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41" w:rsidRDefault="00A80641" w:rsidP="002826C0">
      <w:pPr>
        <w:jc w:val="center"/>
        <w:rPr>
          <w:b/>
        </w:rPr>
      </w:pPr>
    </w:p>
    <w:p w:rsidR="00C271A6" w:rsidRDefault="002159BF" w:rsidP="00625B47">
      <w:pPr>
        <w:ind w:firstLine="0"/>
        <w:jc w:val="center"/>
        <w:rPr>
          <w:color w:val="999999"/>
        </w:rPr>
      </w:pPr>
      <w:r>
        <w:rPr>
          <w:b/>
        </w:rPr>
        <w:t>Finanças Pessoais: Um estudo com Profissionais Contábeis do estado de Santa Catarina</w:t>
      </w:r>
      <w:bookmarkStart w:id="0" w:name="_GoBack"/>
      <w:bookmarkEnd w:id="0"/>
    </w:p>
    <w:p w:rsidR="00C271A6" w:rsidRDefault="00C271A6" w:rsidP="00625B47">
      <w:pPr>
        <w:ind w:firstLine="0"/>
        <w:jc w:val="center"/>
        <w:rPr>
          <w:color w:val="999999"/>
        </w:rPr>
      </w:pPr>
    </w:p>
    <w:p w:rsidR="00554096" w:rsidRDefault="00554096" w:rsidP="00625B47">
      <w:pPr>
        <w:ind w:firstLine="0"/>
        <w:jc w:val="center"/>
        <w:rPr>
          <w:b/>
          <w:szCs w:val="24"/>
        </w:rPr>
      </w:pPr>
    </w:p>
    <w:p w:rsidR="00392E02" w:rsidRDefault="00392E02" w:rsidP="00392E02">
      <w:pPr>
        <w:jc w:val="right"/>
        <w:rPr>
          <w:b/>
          <w:szCs w:val="24"/>
        </w:rPr>
      </w:pPr>
      <w:r>
        <w:rPr>
          <w:b/>
          <w:szCs w:val="24"/>
        </w:rPr>
        <w:t>Bruno Jeremias Vieira</w:t>
      </w:r>
    </w:p>
    <w:p w:rsidR="00392E02" w:rsidRDefault="00392E02" w:rsidP="00392E02">
      <w:pPr>
        <w:jc w:val="right"/>
        <w:rPr>
          <w:b/>
          <w:i/>
          <w:szCs w:val="24"/>
        </w:rPr>
      </w:pPr>
      <w:r>
        <w:rPr>
          <w:b/>
          <w:szCs w:val="24"/>
        </w:rPr>
        <w:t>Universidade do Vale do Itajaí (UNIVALI)</w:t>
      </w:r>
    </w:p>
    <w:p w:rsidR="00392E02" w:rsidRPr="00392E02" w:rsidRDefault="00392E02" w:rsidP="00392E02">
      <w:pPr>
        <w:ind w:firstLine="0"/>
        <w:jc w:val="right"/>
        <w:rPr>
          <w:b/>
          <w:i/>
          <w:szCs w:val="24"/>
        </w:rPr>
      </w:pPr>
      <w:r w:rsidRPr="00392E02">
        <w:rPr>
          <w:b/>
          <w:i/>
          <w:szCs w:val="24"/>
        </w:rPr>
        <w:t>bruno_vieira14</w:t>
      </w:r>
      <w:r w:rsidRPr="00392E02">
        <w:rPr>
          <w:b/>
          <w:i/>
          <w:szCs w:val="24"/>
        </w:rPr>
        <w:t>@hotmail.com</w:t>
      </w:r>
    </w:p>
    <w:p w:rsidR="00392E02" w:rsidRPr="00392E02" w:rsidRDefault="00392E02" w:rsidP="00392E02">
      <w:pPr>
        <w:ind w:firstLine="0"/>
        <w:jc w:val="right"/>
        <w:rPr>
          <w:b/>
          <w:szCs w:val="24"/>
        </w:rPr>
      </w:pPr>
    </w:p>
    <w:p w:rsidR="00392E02" w:rsidRPr="00392E02" w:rsidRDefault="00392E02" w:rsidP="00392E02">
      <w:pPr>
        <w:jc w:val="right"/>
        <w:rPr>
          <w:b/>
          <w:szCs w:val="24"/>
        </w:rPr>
      </w:pPr>
      <w:r w:rsidRPr="00392E02">
        <w:rPr>
          <w:b/>
          <w:szCs w:val="24"/>
        </w:rPr>
        <w:t>D</w:t>
      </w:r>
      <w:r>
        <w:rPr>
          <w:b/>
          <w:szCs w:val="24"/>
        </w:rPr>
        <w:t>iogo Medeiros Francisco</w:t>
      </w:r>
    </w:p>
    <w:p w:rsidR="00392E02" w:rsidRDefault="00392E02" w:rsidP="00392E02">
      <w:pPr>
        <w:jc w:val="right"/>
        <w:rPr>
          <w:b/>
          <w:i/>
          <w:szCs w:val="24"/>
        </w:rPr>
      </w:pPr>
      <w:r>
        <w:rPr>
          <w:b/>
          <w:szCs w:val="24"/>
        </w:rPr>
        <w:t>Universidade do Vale do Itajaí (UNIVALI)</w:t>
      </w:r>
    </w:p>
    <w:p w:rsidR="00392E02" w:rsidRDefault="00392E02" w:rsidP="00392E02">
      <w:pPr>
        <w:ind w:firstLine="0"/>
        <w:jc w:val="right"/>
        <w:rPr>
          <w:b/>
          <w:i/>
          <w:szCs w:val="24"/>
        </w:rPr>
      </w:pPr>
      <w:r>
        <w:rPr>
          <w:b/>
          <w:i/>
          <w:szCs w:val="24"/>
        </w:rPr>
        <w:t>diogomedeirossc</w:t>
      </w:r>
      <w:r>
        <w:rPr>
          <w:b/>
          <w:i/>
          <w:szCs w:val="24"/>
        </w:rPr>
        <w:t>@</w:t>
      </w:r>
      <w:r>
        <w:rPr>
          <w:b/>
          <w:i/>
          <w:szCs w:val="24"/>
        </w:rPr>
        <w:t>gmail</w:t>
      </w:r>
      <w:r>
        <w:rPr>
          <w:b/>
          <w:i/>
          <w:szCs w:val="24"/>
        </w:rPr>
        <w:t>.com</w:t>
      </w:r>
    </w:p>
    <w:p w:rsidR="00392E02" w:rsidRDefault="00392E02" w:rsidP="00392E02">
      <w:pPr>
        <w:ind w:firstLine="0"/>
        <w:jc w:val="right"/>
        <w:rPr>
          <w:b/>
          <w:szCs w:val="24"/>
        </w:rPr>
      </w:pPr>
    </w:p>
    <w:p w:rsidR="00392E02" w:rsidRDefault="00392E02" w:rsidP="00392E02">
      <w:pPr>
        <w:jc w:val="right"/>
        <w:rPr>
          <w:b/>
          <w:szCs w:val="24"/>
        </w:rPr>
      </w:pPr>
      <w:r>
        <w:rPr>
          <w:b/>
          <w:szCs w:val="24"/>
        </w:rPr>
        <w:t>Zilton Bartolomeu Martins</w:t>
      </w:r>
    </w:p>
    <w:p w:rsidR="00392E02" w:rsidRDefault="00392E02" w:rsidP="00392E02">
      <w:pPr>
        <w:jc w:val="right"/>
        <w:rPr>
          <w:b/>
          <w:i/>
          <w:szCs w:val="24"/>
        </w:rPr>
      </w:pPr>
      <w:r>
        <w:rPr>
          <w:b/>
          <w:szCs w:val="24"/>
        </w:rPr>
        <w:t>Universidade do Vale do Itajaí (UNIVALI)</w:t>
      </w:r>
    </w:p>
    <w:p w:rsidR="00160E08" w:rsidRDefault="00392E02" w:rsidP="00392E02">
      <w:pPr>
        <w:ind w:firstLine="0"/>
        <w:jc w:val="right"/>
        <w:rPr>
          <w:b/>
          <w:szCs w:val="24"/>
        </w:rPr>
      </w:pPr>
      <w:r>
        <w:rPr>
          <w:b/>
          <w:i/>
          <w:szCs w:val="24"/>
        </w:rPr>
        <w:t>ziltonmartins@univali.br</w:t>
      </w:r>
    </w:p>
    <w:p w:rsidR="00160E08" w:rsidRDefault="00160E08" w:rsidP="00625B47">
      <w:pPr>
        <w:ind w:firstLine="0"/>
        <w:jc w:val="center"/>
        <w:rPr>
          <w:b/>
          <w:color w:val="999999"/>
        </w:rPr>
      </w:pPr>
    </w:p>
    <w:p w:rsidR="00C271A6" w:rsidRDefault="00C271A6" w:rsidP="00625B47">
      <w:pPr>
        <w:ind w:firstLine="0"/>
        <w:rPr>
          <w:b/>
          <w:szCs w:val="24"/>
        </w:rPr>
      </w:pPr>
      <w:r>
        <w:rPr>
          <w:b/>
          <w:szCs w:val="24"/>
        </w:rPr>
        <w:t xml:space="preserve">Resumo </w:t>
      </w:r>
    </w:p>
    <w:p w:rsidR="00625B47" w:rsidRDefault="00625B47" w:rsidP="00625B47">
      <w:pPr>
        <w:ind w:firstLine="0"/>
        <w:rPr>
          <w:b/>
          <w:szCs w:val="24"/>
        </w:rPr>
      </w:pPr>
    </w:p>
    <w:p w:rsidR="00C271A6" w:rsidRDefault="002159BF" w:rsidP="00625B47">
      <w:pPr>
        <w:ind w:firstLine="0"/>
        <w:rPr>
          <w:b/>
          <w:szCs w:val="24"/>
        </w:rPr>
      </w:pPr>
      <w:r w:rsidRPr="00B56672">
        <w:rPr>
          <w:szCs w:val="24"/>
        </w:rPr>
        <w:t xml:space="preserve">Este estudo teve como objetivo analisar a percepção de profissionais contábeis de Santa Catarina em relação às suas finanças pessoais. Para isto, foi realizada uma pesquisa com abordagem quantitativa, de natureza descritiva e caracterizada como uma pesquisa de levantamento. O instrumento da coleta de dados foi um questionário baseado nas pesquisas de Oliveira (2015) e Conto et al. (2015), composto por vinte e sete questões fechadas, aplicado por meio da plataforma </w:t>
      </w:r>
      <w:r w:rsidRPr="00B56672">
        <w:rPr>
          <w:i/>
          <w:szCs w:val="24"/>
        </w:rPr>
        <w:t>Google</w:t>
      </w:r>
      <w:r w:rsidRPr="00B56672">
        <w:rPr>
          <w:szCs w:val="24"/>
        </w:rPr>
        <w:t xml:space="preserve"> Formulários</w:t>
      </w:r>
      <w:r w:rsidRPr="00B56672">
        <w:rPr>
          <w:color w:val="000000"/>
          <w:szCs w:val="24"/>
        </w:rPr>
        <w:t>®</w:t>
      </w:r>
      <w:r w:rsidRPr="00B56672">
        <w:rPr>
          <w:szCs w:val="24"/>
        </w:rPr>
        <w:t xml:space="preserve"> entre 19 de março e 05 de abril de 2019. A população foi de 18.000 profissionais contábeis, obtendo-se uma amostra foi de 244 respondentes, representando 1,36% da população. Os dados foram tabulados na plataforma </w:t>
      </w:r>
      <w:r w:rsidRPr="00B56672">
        <w:rPr>
          <w:i/>
          <w:szCs w:val="24"/>
        </w:rPr>
        <w:t>Google</w:t>
      </w:r>
      <w:r w:rsidRPr="00B56672">
        <w:rPr>
          <w:szCs w:val="24"/>
        </w:rPr>
        <w:t xml:space="preserve"> Formulários</w:t>
      </w:r>
      <w:r w:rsidRPr="00B56672">
        <w:rPr>
          <w:color w:val="000000"/>
          <w:szCs w:val="24"/>
        </w:rPr>
        <w:t xml:space="preserve">® e a técnica de análise de dados foi a </w:t>
      </w:r>
      <w:r w:rsidRPr="00B56672">
        <w:rPr>
          <w:szCs w:val="24"/>
        </w:rPr>
        <w:t>estatística descritiva, por meio da distribuição de frequência relativa.</w:t>
      </w:r>
      <w:r w:rsidRPr="00B56672">
        <w:rPr>
          <w:i/>
          <w:szCs w:val="24"/>
        </w:rPr>
        <w:t xml:space="preserve"> </w:t>
      </w:r>
      <w:r w:rsidRPr="00B56672">
        <w:rPr>
          <w:szCs w:val="24"/>
        </w:rPr>
        <w:t>Os principais resultados evidenciam que, de maneira geral, os profissionais contábeis consideram importante obter informações voltadas às finanças pessoais. Além disto, os respondentes, em sua grande maioria, consideram fundamental a inserção do tema na grade curricular das escolas brasileiras e concordam que a situação financeira interfere no seu desempenho profissional. Também se observou que os profissionais se sentem preocupados com suas finanças, inclusive, com sua aposentadoria e costumam gastar menos do que ganham.</w:t>
      </w:r>
    </w:p>
    <w:p w:rsidR="00C271A6" w:rsidRDefault="00C271A6" w:rsidP="00625B47">
      <w:pPr>
        <w:ind w:firstLine="0"/>
        <w:rPr>
          <w:b/>
          <w:szCs w:val="24"/>
        </w:rPr>
      </w:pPr>
    </w:p>
    <w:p w:rsidR="00C271A6" w:rsidRDefault="00C271A6" w:rsidP="00625B47">
      <w:pPr>
        <w:ind w:firstLine="0"/>
        <w:rPr>
          <w:szCs w:val="24"/>
        </w:rPr>
      </w:pPr>
      <w:r>
        <w:rPr>
          <w:b/>
          <w:szCs w:val="24"/>
        </w:rPr>
        <w:t>Palavras-</w:t>
      </w:r>
      <w:r w:rsidR="00561D39">
        <w:rPr>
          <w:b/>
          <w:szCs w:val="24"/>
        </w:rPr>
        <w:t>C</w:t>
      </w:r>
      <w:r>
        <w:rPr>
          <w:b/>
          <w:szCs w:val="24"/>
        </w:rPr>
        <w:t xml:space="preserve">have: </w:t>
      </w:r>
      <w:r w:rsidR="002159BF" w:rsidRPr="00B56672">
        <w:rPr>
          <w:szCs w:val="24"/>
        </w:rPr>
        <w:t>Finanças Pessoais</w:t>
      </w:r>
      <w:r w:rsidR="002159BF">
        <w:rPr>
          <w:szCs w:val="24"/>
        </w:rPr>
        <w:t>;</w:t>
      </w:r>
      <w:r w:rsidR="002159BF" w:rsidRPr="00B56672">
        <w:rPr>
          <w:szCs w:val="24"/>
        </w:rPr>
        <w:t xml:space="preserve"> Profissionais Contábeis</w:t>
      </w:r>
      <w:r w:rsidR="002159BF">
        <w:rPr>
          <w:szCs w:val="24"/>
        </w:rPr>
        <w:t>;</w:t>
      </w:r>
      <w:r w:rsidR="002159BF" w:rsidRPr="00B56672">
        <w:rPr>
          <w:szCs w:val="24"/>
        </w:rPr>
        <w:t xml:space="preserve"> Planejamento Financeiro.</w:t>
      </w:r>
    </w:p>
    <w:p w:rsidR="00C271A6" w:rsidRDefault="00C271A6" w:rsidP="00625B47">
      <w:pPr>
        <w:ind w:firstLine="0"/>
        <w:rPr>
          <w:szCs w:val="24"/>
        </w:rPr>
      </w:pPr>
    </w:p>
    <w:p w:rsidR="00C271A6" w:rsidRPr="008411CB" w:rsidRDefault="00C271A6" w:rsidP="00625B47">
      <w:pPr>
        <w:ind w:firstLine="0"/>
        <w:rPr>
          <w:szCs w:val="24"/>
        </w:rPr>
      </w:pPr>
      <w:r>
        <w:rPr>
          <w:b/>
          <w:szCs w:val="24"/>
        </w:rPr>
        <w:t xml:space="preserve">Linha Temática: </w:t>
      </w:r>
      <w:r w:rsidR="002159BF">
        <w:rPr>
          <w:szCs w:val="24"/>
        </w:rPr>
        <w:t>Finanças Pessoais</w:t>
      </w:r>
    </w:p>
    <w:p w:rsidR="00C271A6" w:rsidRDefault="00C271A6" w:rsidP="00C271A6"/>
    <w:p w:rsidR="00C271A6" w:rsidRDefault="00C271A6" w:rsidP="00C271A6"/>
    <w:p w:rsidR="00C271A6" w:rsidRDefault="00C271A6" w:rsidP="00C271A6"/>
    <w:p w:rsidR="00C271A6" w:rsidRDefault="00C271A6" w:rsidP="00C271A6"/>
    <w:p w:rsidR="00C271A6" w:rsidRDefault="00C271A6" w:rsidP="00C271A6"/>
    <w:p w:rsidR="008411CB" w:rsidRPr="005613F7" w:rsidRDefault="008411CB" w:rsidP="008411CB">
      <w:pPr>
        <w:ind w:firstLine="0"/>
        <w:rPr>
          <w:b/>
          <w:color w:val="000000"/>
        </w:rPr>
      </w:pPr>
      <w:r w:rsidRPr="005613F7">
        <w:rPr>
          <w:b/>
          <w:color w:val="000000"/>
        </w:rPr>
        <w:lastRenderedPageBreak/>
        <w:t>1 Introdução</w:t>
      </w:r>
    </w:p>
    <w:p w:rsidR="008411CB" w:rsidRDefault="008411CB" w:rsidP="008411CB">
      <w:pPr>
        <w:rPr>
          <w:b/>
          <w:color w:val="000000"/>
        </w:rPr>
      </w:pPr>
    </w:p>
    <w:p w:rsidR="00D13228" w:rsidRDefault="00D13228" w:rsidP="00D13228">
      <w:pPr>
        <w:pStyle w:val="Corpodetexto"/>
        <w:spacing w:after="0"/>
      </w:pPr>
      <w:r w:rsidRPr="00B56672">
        <w:t xml:space="preserve">A população brasileira vivenciou períodos de instabilidade econômica devido a sucessivas crises. Com a implantação do Plano Real, em 1994, foi possível controlar a alta taxa de inflação, ocasionando nos anos seguintes, estabilidade econômica, acompanhada de novas formas de cessão de crédito.  Neste novo cenário, </w:t>
      </w:r>
      <w:r w:rsidR="007543E5">
        <w:t>aumentou</w:t>
      </w:r>
      <w:r w:rsidRPr="00B56672">
        <w:t xml:space="preserve"> a figura do endividamento familiar, pela falta de planejamento financeiro pessoal (CUNHA et al., 2016).</w:t>
      </w:r>
    </w:p>
    <w:p w:rsidR="00D13228" w:rsidRPr="00B56672" w:rsidRDefault="00D13228" w:rsidP="00D13228">
      <w:pPr>
        <w:pStyle w:val="Corpodetexto"/>
        <w:spacing w:after="0"/>
      </w:pPr>
      <w:r w:rsidRPr="00B56672">
        <w:t>Segundo Verdinelli e Lizote (2014), a gestão das finanças pessoais pode ser compreendida como a decisão de definir uma estratégia que visa estabilidade econômico-financeira, procurando manter ou acumular bens e valores que irão compor o patrimônio individual ou familiar. Mas, para isto, é necessário ter uma adequada” alfabetização” financeira.</w:t>
      </w:r>
    </w:p>
    <w:p w:rsidR="00D13228" w:rsidRPr="00B56672" w:rsidRDefault="00D13228" w:rsidP="00D13228">
      <w:pPr>
        <w:pStyle w:val="Corpodetexto"/>
        <w:spacing w:after="0"/>
      </w:pPr>
      <w:r w:rsidRPr="00B56672">
        <w:t xml:space="preserve">No Brasil, a educação financeira é um assunto tratado em “segundo plano”, tendo em vista que a disciplina não compõe a grade curricular das escolas públicas e privadas. O brasileiro cresce sem receber as noções básicas, não adquirindo hábitos de gerir e tomar decisões financeiras responsáveis. Como consequência, a inadimplência aumenta de forma gradativa, devido ao acesso facilitado ao crédito associado à falta de conhecimento financeiro, levam as pessoas a comprometerem seus rendimentos de forma inapropriada (VIEIRA; </w:t>
      </w:r>
      <w:r w:rsidRPr="00B56672">
        <w:rPr>
          <w:color w:val="000000" w:themeColor="text1"/>
        </w:rPr>
        <w:t xml:space="preserve">BATAGLIA; SEREIA, </w:t>
      </w:r>
      <w:r w:rsidRPr="00B56672">
        <w:t>2011).</w:t>
      </w:r>
    </w:p>
    <w:p w:rsidR="00D13228" w:rsidRPr="00B56672" w:rsidRDefault="00D13228" w:rsidP="006A2727">
      <w:pPr>
        <w:pStyle w:val="Corpodetexto"/>
        <w:spacing w:after="0"/>
      </w:pPr>
      <w:r w:rsidRPr="00B56672">
        <w:t>O modo como as pessoas lidam com suas compras afeta diretamente o comprometimento da renda, tendo em vista que, a maior parte dos consumidores opta por compras à prazo, dificultando o gerenciamento das finanças, além de não contar com reservas para cobrir possíveis imprevistos, propiciando situações de inadimplência (RODRIGUES, 2017).</w:t>
      </w:r>
      <w:r w:rsidR="006A2727">
        <w:t xml:space="preserve"> </w:t>
      </w:r>
      <w:r w:rsidRPr="00B56672">
        <w:t xml:space="preserve">Neste sentido, formar uma consciência financeira é essencial, e exige a utilização de mecanismos que auxiliem no controle do patrimônio. A contabilidade, apesar de ser associada ao âmbito empresarial, pode ser aplicada para administrar de maneira responsável o patrimônio das pessoas físicas (QUEIROZ; </w:t>
      </w:r>
      <w:r w:rsidRPr="00B56672">
        <w:rPr>
          <w:color w:val="000000" w:themeColor="text1"/>
        </w:rPr>
        <w:t xml:space="preserve">VALDEVINO; OLIVEIRA, </w:t>
      </w:r>
      <w:r w:rsidRPr="00B56672">
        <w:t>2015).</w:t>
      </w:r>
    </w:p>
    <w:p w:rsidR="00D13228" w:rsidRPr="00B56672" w:rsidRDefault="00D13228" w:rsidP="00D13228">
      <w:pPr>
        <w:pStyle w:val="Corpodetexto"/>
        <w:spacing w:after="0"/>
      </w:pPr>
      <w:r w:rsidRPr="00B56672">
        <w:t xml:space="preserve">Com esta premissa, a questão que norteia este artigo é a seguinte: </w:t>
      </w:r>
      <w:r w:rsidRPr="00B56672">
        <w:rPr>
          <w:b/>
        </w:rPr>
        <w:t>Qual a percepção de profissionais contábeis de Santa Catarina em relação às suas finanças pessoais?</w:t>
      </w:r>
      <w:r w:rsidRPr="00B56672">
        <w:t xml:space="preserve"> Consequentemente, o estudo teve como objetivo geral analisar a percepção de profissionais contábeis de Santa Catarina em relação às suas finanças pessoais.</w:t>
      </w:r>
    </w:p>
    <w:p w:rsidR="00D13228" w:rsidRPr="00B56672" w:rsidRDefault="00D13228" w:rsidP="00D13228">
      <w:pPr>
        <w:pStyle w:val="Corpodetexto"/>
        <w:spacing w:after="0"/>
      </w:pPr>
      <w:r w:rsidRPr="00B56672">
        <w:t xml:space="preserve">Como justificativa teórica, Pagliato (2015) detectou o conhecimento de alunos do ensino médio sobre finanças pessoais e sugere a elaboração de uma pesquisa com adultos, comparando seu dia-a-dia com suas tomadas de decisões financeiras. </w:t>
      </w:r>
    </w:p>
    <w:p w:rsidR="00D13228" w:rsidRPr="00B56672" w:rsidRDefault="00D13228" w:rsidP="006A2727">
      <w:pPr>
        <w:pStyle w:val="Corpodetexto"/>
        <w:spacing w:after="0"/>
      </w:pPr>
      <w:r w:rsidRPr="00B56672">
        <w:t>Já Lima (2016) conheceu a reação dos estudantes dos cursos das áreas de negócios diante de uma situação de endividamento e recomenda novos estudos para constatar o entendimento da comunidade em geral sobre finanças pessoais, além de salientar que o reconhecimento sobre o tema favorece o crescimento econômico.</w:t>
      </w:r>
      <w:r w:rsidR="006A2727">
        <w:t xml:space="preserve"> </w:t>
      </w:r>
      <w:r w:rsidRPr="00B56672">
        <w:rPr>
          <w:color w:val="000000" w:themeColor="text1"/>
        </w:rPr>
        <w:t>Por fim, Vasconcelos</w:t>
      </w:r>
      <w:r w:rsidRPr="00B56672">
        <w:t xml:space="preserve"> (2017) desenvolveu uma ferramenta para auxiliar na gestão das finanças pessoais e propõe a análise da situação financeira de outros indivíduos com o intuito de ampliar o </w:t>
      </w:r>
      <w:r w:rsidRPr="00B56672">
        <w:rPr>
          <w:i/>
        </w:rPr>
        <w:t>hall</w:t>
      </w:r>
      <w:r w:rsidRPr="00B56672">
        <w:t xml:space="preserve"> de pesquisas e de indicadores.</w:t>
      </w:r>
    </w:p>
    <w:p w:rsidR="00D13228" w:rsidRPr="00B56672" w:rsidRDefault="00D13228" w:rsidP="00D13228">
      <w:pPr>
        <w:pStyle w:val="Corpodetexto"/>
        <w:spacing w:after="0"/>
      </w:pPr>
      <w:r w:rsidRPr="00B56672">
        <w:t xml:space="preserve">O presente estudo justifica-se pelo fato do profissional contábil ter papel fundamental na saúde financeira das organizações, auxiliando a gestão e influenciando de forma direta na tomada de decisão. Portanto, é instigante conhecer seu comportamento diante de suas finanças pessoais, </w:t>
      </w:r>
      <w:r w:rsidRPr="00B56672">
        <w:lastRenderedPageBreak/>
        <w:t>evidenciando se existe um orçamento, a prática de poupar dinheiro e como se dá a gestão de seus gastos.</w:t>
      </w:r>
    </w:p>
    <w:p w:rsidR="00D13228" w:rsidRPr="00B56672" w:rsidRDefault="00D13228" w:rsidP="00D13228">
      <w:pPr>
        <w:pStyle w:val="Corpodetexto"/>
        <w:spacing w:after="0"/>
      </w:pPr>
      <w:r w:rsidRPr="00B56672">
        <w:t>Esta pesquisa contém, além desta introdução, a fundamentação teórica sobre o tema, os procedimentos metodológicos utilizados para a realização deste artigo, a análise dos resultados e por fim, as considerações finais deste estudo.</w:t>
      </w:r>
    </w:p>
    <w:p w:rsidR="00D13228" w:rsidRPr="00B56672" w:rsidRDefault="00D13228" w:rsidP="00D13228">
      <w:pPr>
        <w:pStyle w:val="Corpodetexto"/>
        <w:spacing w:after="0"/>
      </w:pPr>
    </w:p>
    <w:p w:rsidR="00D13228" w:rsidRPr="00B56672" w:rsidRDefault="00D13228" w:rsidP="00D13228">
      <w:pPr>
        <w:tabs>
          <w:tab w:val="left" w:pos="385"/>
        </w:tabs>
        <w:ind w:firstLine="0"/>
        <w:rPr>
          <w:b/>
          <w:szCs w:val="24"/>
        </w:rPr>
      </w:pPr>
      <w:r w:rsidRPr="00B56672">
        <w:rPr>
          <w:b/>
          <w:szCs w:val="24"/>
        </w:rPr>
        <w:t>2 Fundamentação Teórica</w:t>
      </w:r>
    </w:p>
    <w:p w:rsidR="00D13228" w:rsidRPr="00B56672" w:rsidRDefault="00D13228" w:rsidP="00D13228">
      <w:pPr>
        <w:tabs>
          <w:tab w:val="left" w:pos="385"/>
        </w:tabs>
        <w:rPr>
          <w:szCs w:val="24"/>
        </w:rPr>
      </w:pPr>
    </w:p>
    <w:p w:rsidR="00D13228" w:rsidRPr="00B56672" w:rsidRDefault="00D13228" w:rsidP="00D13228">
      <w:pPr>
        <w:tabs>
          <w:tab w:val="left" w:pos="385"/>
        </w:tabs>
        <w:rPr>
          <w:szCs w:val="24"/>
        </w:rPr>
      </w:pPr>
      <w:r w:rsidRPr="00B56672">
        <w:rPr>
          <w:szCs w:val="24"/>
        </w:rPr>
        <w:t xml:space="preserve">Neste tópico é apresentada a fundamentação teórica, abordando conceitos relacionados ao </w:t>
      </w:r>
      <w:r w:rsidRPr="00B56672">
        <w:t>planejamento financeiro, finanças pessoais e estudos anteriores sobre o tema.</w:t>
      </w:r>
    </w:p>
    <w:p w:rsidR="00D13228" w:rsidRPr="00B56672" w:rsidRDefault="00D13228" w:rsidP="00D13228">
      <w:pPr>
        <w:tabs>
          <w:tab w:val="left" w:pos="385"/>
        </w:tabs>
        <w:rPr>
          <w:szCs w:val="24"/>
        </w:rPr>
      </w:pPr>
    </w:p>
    <w:p w:rsidR="00D13228" w:rsidRPr="00B56672" w:rsidRDefault="00D13228" w:rsidP="00D13228">
      <w:pPr>
        <w:tabs>
          <w:tab w:val="left" w:pos="385"/>
        </w:tabs>
        <w:ind w:firstLine="0"/>
        <w:rPr>
          <w:szCs w:val="24"/>
        </w:rPr>
      </w:pPr>
      <w:r w:rsidRPr="00B56672">
        <w:rPr>
          <w:b/>
          <w:szCs w:val="24"/>
        </w:rPr>
        <w:t>2.1 Planejamento Financeiro</w:t>
      </w:r>
    </w:p>
    <w:p w:rsidR="00D13228" w:rsidRPr="00B56672" w:rsidRDefault="00D13228" w:rsidP="00D13228">
      <w:pPr>
        <w:tabs>
          <w:tab w:val="left" w:pos="385"/>
        </w:tabs>
        <w:rPr>
          <w:szCs w:val="24"/>
        </w:rPr>
      </w:pPr>
    </w:p>
    <w:p w:rsidR="00D13228" w:rsidRPr="00B56672" w:rsidRDefault="00D13228" w:rsidP="00D13228">
      <w:pPr>
        <w:tabs>
          <w:tab w:val="left" w:pos="385"/>
        </w:tabs>
        <w:rPr>
          <w:szCs w:val="24"/>
        </w:rPr>
      </w:pPr>
      <w:r w:rsidRPr="00B56672">
        <w:rPr>
          <w:szCs w:val="24"/>
        </w:rPr>
        <w:t xml:space="preserve">Por limitações culturais e educacionais do Brasil, grande parte da população toma decisões financeiras equivocadas, sendo elas, por não se utilizar de estratégias adequadas para que estas decisões se concretizem de forma correta a gerar um retorno financeiro (CONTO et al., 2015). Neste sentido, Accorsi et al. (2017) definem o planejamento como sendo um instrumento de grande importância nas decisões financeiras, sendo este, o ato de preparar algo para o futuro se antevendo de situações que podem vir a acontecer, ou seja, significa projetar uma métrica a ser traçada objetivando um benefício financeiro futuro. </w:t>
      </w:r>
    </w:p>
    <w:p w:rsidR="00D13228" w:rsidRPr="00B56672" w:rsidRDefault="00D13228" w:rsidP="00D13228">
      <w:pPr>
        <w:tabs>
          <w:tab w:val="left" w:pos="385"/>
        </w:tabs>
        <w:rPr>
          <w:szCs w:val="24"/>
        </w:rPr>
      </w:pPr>
      <w:r w:rsidRPr="00B56672">
        <w:rPr>
          <w:szCs w:val="24"/>
        </w:rPr>
        <w:t>Além disto, Leal e Nascimento (2011) destacam que o planejamento financeiro visa responder três questões importantes para que haja um controle efetivo das finanças, sendo elas, o modo de agir para aproveitar as oportunidades de investimentos, mensurar até que ponto suas dívidas não afetam sua integridade monetária e, por fim, verificar os rendimentos auferidos com o tal investimento.</w:t>
      </w:r>
    </w:p>
    <w:p w:rsidR="00D13228" w:rsidRPr="00B56672" w:rsidRDefault="00D13228" w:rsidP="00D13228">
      <w:pPr>
        <w:tabs>
          <w:tab w:val="left" w:pos="385"/>
        </w:tabs>
        <w:rPr>
          <w:szCs w:val="24"/>
        </w:rPr>
      </w:pPr>
      <w:r w:rsidRPr="00B56672">
        <w:rPr>
          <w:szCs w:val="24"/>
        </w:rPr>
        <w:t xml:space="preserve">Desta forma, Santos e Silva (2014) observam que pode haver direcionamento para auxiliar tanto no controle financeiro das empresas, quanto no controle financeiro de pessoas. Sendo assim, o planejamento financeiro pessoal estabelece metas a serem seguidas para o aumento do patrimônio pessoal e ou familiar no curto, médio ou longo prazo, tendo em vista aquisições de bens próprios, ou de investimentos visando retorno. Os autores ainda enfatizam que para alcançar êxito no planejamento financeiro pessoal, ou seja, ter boa qualidade de vida, deve-se controlar os rendimentos obtidos para que seus consumos não os ultrapassem, sendo assim, uma pessoa, mesmo tendo um baixo salário, pode controlar-se para que seus ganhos supram suas necessidades, e uma pessoa, mesmo com altos salários, pode não ter controle de suas finanças e ser endividado.  </w:t>
      </w:r>
    </w:p>
    <w:p w:rsidR="00D13228" w:rsidRPr="00B56672" w:rsidRDefault="00D13228" w:rsidP="00D13228">
      <w:pPr>
        <w:tabs>
          <w:tab w:val="left" w:pos="385"/>
        </w:tabs>
        <w:rPr>
          <w:szCs w:val="24"/>
        </w:rPr>
      </w:pPr>
      <w:r w:rsidRPr="00B56672">
        <w:rPr>
          <w:szCs w:val="24"/>
        </w:rPr>
        <w:t>Rabêlo, Neder e Santos (2013) corroboram e citam que a forma mais simples de conseguir manter este controle é por meio de planilhas, sejam elas informatizadas ou em folhas de caderno, comparando-as entre períodos a fim de visionar o equilíbrio financeiro, fazendo economias para possíveis imprevistos, para a compra de algo pretendido e/ou para uma boa aposentadoria.</w:t>
      </w:r>
    </w:p>
    <w:p w:rsidR="00D13228" w:rsidRPr="00B56672" w:rsidRDefault="00D13228" w:rsidP="00D13228">
      <w:pPr>
        <w:tabs>
          <w:tab w:val="left" w:pos="385"/>
        </w:tabs>
        <w:rPr>
          <w:szCs w:val="24"/>
        </w:rPr>
      </w:pPr>
      <w:r w:rsidRPr="00B56672">
        <w:rPr>
          <w:szCs w:val="24"/>
        </w:rPr>
        <w:t xml:space="preserve">Além destes benefícios, a construção de um planejamento financeiro permite que as pessoas conheçam sua real posição financeira para fins de gerenciamento, evidenciando dados sobre seu capital e que rumo ele está tomando, com o intuito de projetar uma vida saudável, </w:t>
      </w:r>
      <w:r w:rsidRPr="00B56672">
        <w:rPr>
          <w:szCs w:val="24"/>
        </w:rPr>
        <w:lastRenderedPageBreak/>
        <w:t>duradoura e menos estressante (PAGLIATO, 2015).</w:t>
      </w:r>
    </w:p>
    <w:p w:rsidR="00D13228" w:rsidRPr="00B56672" w:rsidRDefault="00D13228" w:rsidP="00D13228">
      <w:pPr>
        <w:tabs>
          <w:tab w:val="left" w:pos="385"/>
        </w:tabs>
        <w:rPr>
          <w:szCs w:val="24"/>
        </w:rPr>
      </w:pPr>
      <w:r w:rsidRPr="00B56672">
        <w:rPr>
          <w:szCs w:val="24"/>
        </w:rPr>
        <w:t>Ainda que um bom planejamento eleve o controle das finanças, poucas pessoas se importam em utilizá-lo no dia-a-dia por sentirem medo das mudanças que seus hábitos podem causar (SANTOS; MOREIRA; SILVA, 2017). Desta maneira, Francischetti, Camargo e Santos (2014) salientam que este fato acontece porque as pessoas preferem consumir todo o seu dinheiro para saciar suas vontades momentâneas, por hábito, não se resguardando para situações de emergência.</w:t>
      </w:r>
    </w:p>
    <w:p w:rsidR="00D13228" w:rsidRPr="00B56672" w:rsidRDefault="00D13228" w:rsidP="00D13228">
      <w:pPr>
        <w:tabs>
          <w:tab w:val="left" w:pos="385"/>
        </w:tabs>
        <w:rPr>
          <w:szCs w:val="24"/>
        </w:rPr>
      </w:pPr>
      <w:r w:rsidRPr="00B56672">
        <w:rPr>
          <w:szCs w:val="24"/>
        </w:rPr>
        <w:t xml:space="preserve">Portanto, como o profissional contábil possui grande responsabilidade para com a sociedade, gerindo o patrimônio das empresas, tem-se a prerrogativa de ser um profissional que segue um perfil pré-definido, ou seja, adota um perfil de </w:t>
      </w:r>
      <w:r w:rsidRPr="00B56672">
        <w:rPr>
          <w:i/>
          <w:szCs w:val="24"/>
        </w:rPr>
        <w:t>status</w:t>
      </w:r>
      <w:r w:rsidRPr="00B56672">
        <w:rPr>
          <w:szCs w:val="24"/>
        </w:rPr>
        <w:t>, onde vai incorrer em gastos para mantê-lo, tendo assim, que planejar-se para que estes gastos não atrapalhem a sua saúde financeira (SANTOS et al., 2011).</w:t>
      </w:r>
    </w:p>
    <w:p w:rsidR="00D13228" w:rsidRPr="00B56672" w:rsidRDefault="00D13228" w:rsidP="00D13228">
      <w:pPr>
        <w:tabs>
          <w:tab w:val="left" w:pos="385"/>
        </w:tabs>
        <w:rPr>
          <w:szCs w:val="24"/>
        </w:rPr>
      </w:pPr>
      <w:r w:rsidRPr="00B56672">
        <w:rPr>
          <w:szCs w:val="24"/>
        </w:rPr>
        <w:tab/>
      </w:r>
    </w:p>
    <w:p w:rsidR="00D13228" w:rsidRPr="00B56672" w:rsidRDefault="00D13228" w:rsidP="00D13228">
      <w:pPr>
        <w:tabs>
          <w:tab w:val="left" w:pos="385"/>
        </w:tabs>
        <w:ind w:firstLine="0"/>
        <w:rPr>
          <w:b/>
          <w:szCs w:val="24"/>
        </w:rPr>
      </w:pPr>
      <w:r w:rsidRPr="00B56672">
        <w:rPr>
          <w:b/>
          <w:szCs w:val="24"/>
        </w:rPr>
        <w:t>2.2 Finanças Pessoais</w:t>
      </w:r>
    </w:p>
    <w:p w:rsidR="00D13228" w:rsidRDefault="00D13228" w:rsidP="00D13228">
      <w:pPr>
        <w:ind w:firstLine="708"/>
        <w:rPr>
          <w:szCs w:val="24"/>
        </w:rPr>
      </w:pPr>
    </w:p>
    <w:p w:rsidR="00D13228" w:rsidRPr="00B56672" w:rsidRDefault="00D13228" w:rsidP="00D13228">
      <w:pPr>
        <w:ind w:firstLine="708"/>
        <w:rPr>
          <w:szCs w:val="24"/>
        </w:rPr>
      </w:pPr>
      <w:r w:rsidRPr="00B56672">
        <w:rPr>
          <w:szCs w:val="24"/>
        </w:rPr>
        <w:t>O tema finanças pessoais compreende a utilização de conceitos financeiros nas decisões financeiras dentro do âmbito familiar ou pessoal, levando em consideração a idade e fatos financeiros de cada indivíduo. Para entender finanças pessoais é necessário perceber a estrutura da sociedade capitalista, onde o dinheiro é tratado como mercadoria e possui um preço (MEDEIROS; LOPES, 2014).</w:t>
      </w:r>
    </w:p>
    <w:p w:rsidR="00D13228" w:rsidRPr="00B56672" w:rsidRDefault="00D13228" w:rsidP="00D13228">
      <w:pPr>
        <w:ind w:firstLine="708"/>
        <w:rPr>
          <w:szCs w:val="24"/>
        </w:rPr>
      </w:pPr>
      <w:r w:rsidRPr="00B56672">
        <w:rPr>
          <w:szCs w:val="24"/>
        </w:rPr>
        <w:t xml:space="preserve">Como consequência, a atual sociedade mercantil baseada em moedas obriga diariamente os indivíduos a realizarem compras para suprir suas necessidades básicas de sobrevivência (LIZOTE; SIMAS; LANA, 2012). Desta forma, o manejo do dinheiro, seja próprio ou de terceiros, com finalidade de adquirir mercadorias ou alocar recursos está intimamente ligado às finanças pessoais (MEDEIROS; LOPES, 2014).  </w:t>
      </w:r>
    </w:p>
    <w:p w:rsidR="00D13228" w:rsidRPr="00B56672" w:rsidRDefault="00D13228" w:rsidP="00D13228">
      <w:pPr>
        <w:rPr>
          <w:szCs w:val="24"/>
        </w:rPr>
      </w:pPr>
      <w:r w:rsidRPr="00B56672">
        <w:rPr>
          <w:szCs w:val="24"/>
        </w:rPr>
        <w:t>Neste contexto, Silva, Carraro e Silva (2017) definem finanças como a ciência do manejo do dinheiro e esboçam a ideia de finanças pessoais como sendo o dinheiro que a famílias precisam para sobreviver, agregado a como fazem para conseguir este dinheiro e de que maneira ele é alocado, no intuito de prevenir e gerir a sua vida financeira. Em conformidade, Pereira, Pereira e Trelm (2015) observam que a ciência de finanças pessoais explora a maneira de consumo dos recursos financeiros na dinâmica de decisões financeiras dos indivíduos, tendo como base o planejamento, a organização e o controle de tais recursos.</w:t>
      </w:r>
    </w:p>
    <w:p w:rsidR="00D13228" w:rsidRPr="00B56672" w:rsidRDefault="00D13228" w:rsidP="00D13228">
      <w:pPr>
        <w:rPr>
          <w:szCs w:val="24"/>
        </w:rPr>
      </w:pPr>
      <w:r w:rsidRPr="00B56672">
        <w:rPr>
          <w:szCs w:val="24"/>
        </w:rPr>
        <w:t>Já para Conto et al. (2015), o tema finanças pessoais é associado geralmente ao sucesso ou insucesso econômico de um indivíduo em relação às suas atividades. Os modos como as pessoas agem, no ponto de vista financeiro, reflete diretamente no resultado financeiro alcançado. Assim, quanto mais risco o indivíduo se propõe a correr, maior será a probabilidade de resultados positivos em termos de ganhos financeiros. Em contrapartida, isto aumenta a possibilidade de resultados negativos devido as variáveis contidas no cotidiano.</w:t>
      </w:r>
    </w:p>
    <w:p w:rsidR="00D13228" w:rsidRPr="00B56672" w:rsidRDefault="00D13228" w:rsidP="00D13228">
      <w:pPr>
        <w:ind w:firstLine="708"/>
        <w:rPr>
          <w:szCs w:val="24"/>
        </w:rPr>
      </w:pPr>
      <w:r w:rsidRPr="00B56672">
        <w:rPr>
          <w:szCs w:val="24"/>
        </w:rPr>
        <w:t xml:space="preserve">Logo, indivíduos “bem-educados financeiramente” evitam gastos desnecessários, são mais eficientes no consumo de seus recursos próprios e planejam a vida financeira familiar (SILVA et al., 2017). Assim, estes indivíduos contribuem com a economia e desenvolvimento do país, uma vez que tendem a ser formadores de poupança por ter em sua realidade uma visão de </w:t>
      </w:r>
      <w:r w:rsidRPr="00B56672">
        <w:rPr>
          <w:szCs w:val="24"/>
        </w:rPr>
        <w:lastRenderedPageBreak/>
        <w:t>futuro, planejando antecipadamente suas ações, objetivos e metas (SILVA; SILVA; GALVÃO, 2015).</w:t>
      </w:r>
    </w:p>
    <w:p w:rsidR="00D13228" w:rsidRPr="00B56672" w:rsidRDefault="00D13228" w:rsidP="00D13228">
      <w:pPr>
        <w:ind w:firstLine="708"/>
        <w:rPr>
          <w:szCs w:val="24"/>
        </w:rPr>
      </w:pPr>
      <w:r w:rsidRPr="00B56672">
        <w:rPr>
          <w:szCs w:val="24"/>
        </w:rPr>
        <w:t xml:space="preserve">Neste contexto, acrescenta-se a figura do profissional contábil que possui um papel importante na gestão das organizações, coletando, gerenciando e gerando informações que auxiliam o gestor na tomada de decisão, contribuindo para manter a saúde financeira da empresa (BIASIBETTI; FEIL, 2017). Em perspectiva similar, Silva, Carraro e Silva (2017) mencionam que o ramo da contabilidade é amplo e sua aplicação se estende as pessoas físicas e jurídicas, cabendo aos profissionais contábeis zelar por esses patrimônios, executando técnicas de controle e planejamento com propósito de assegurar a solvência financeira. </w:t>
      </w:r>
    </w:p>
    <w:p w:rsidR="00D13228" w:rsidRPr="00B56672" w:rsidRDefault="00D13228" w:rsidP="00D13228">
      <w:pPr>
        <w:ind w:firstLine="708"/>
        <w:rPr>
          <w:szCs w:val="24"/>
        </w:rPr>
      </w:pPr>
      <w:r w:rsidRPr="00B56672">
        <w:rPr>
          <w:szCs w:val="24"/>
        </w:rPr>
        <w:t xml:space="preserve">Segundo Silva et al. (2017), os demonstrativos utilizados na contabilidade podem ser empregados na contabilização do patrimônio pessoal. Para isto, é preciso modelá-los de acordo com a necessidade de cada pessoa, obedecendo a uma metodologia clara e objetiva, a fim de facilitar o entendimento e conceder a perspectiva de como o dinheiro está sendo gasto. Neste sentido, as técnicas contábeis agregam conhecimento financeiro pessoal e são de grande valia na criação de um orçamento que permita saber quando se deve ou não contrair uma dívida. </w:t>
      </w:r>
    </w:p>
    <w:p w:rsidR="00D13228" w:rsidRPr="00B56672" w:rsidRDefault="00D13228" w:rsidP="00D13228">
      <w:pPr>
        <w:ind w:firstLine="708"/>
        <w:rPr>
          <w:szCs w:val="24"/>
        </w:rPr>
      </w:pPr>
    </w:p>
    <w:p w:rsidR="00D13228" w:rsidRDefault="00D13228" w:rsidP="00D13228">
      <w:pPr>
        <w:ind w:firstLine="0"/>
        <w:rPr>
          <w:b/>
          <w:color w:val="000000"/>
          <w:szCs w:val="24"/>
        </w:rPr>
      </w:pPr>
      <w:r w:rsidRPr="00B56672">
        <w:rPr>
          <w:b/>
          <w:color w:val="000000"/>
          <w:szCs w:val="24"/>
        </w:rPr>
        <w:t xml:space="preserve">2.3 Estudos Anteriores </w:t>
      </w:r>
      <w:r>
        <w:rPr>
          <w:b/>
          <w:color w:val="000000"/>
          <w:szCs w:val="24"/>
        </w:rPr>
        <w:t>s</w:t>
      </w:r>
      <w:r w:rsidRPr="00B56672">
        <w:rPr>
          <w:b/>
          <w:color w:val="000000"/>
          <w:szCs w:val="24"/>
        </w:rPr>
        <w:t xml:space="preserve">obre </w:t>
      </w:r>
      <w:r>
        <w:rPr>
          <w:b/>
          <w:color w:val="000000"/>
          <w:szCs w:val="24"/>
        </w:rPr>
        <w:t>o</w:t>
      </w:r>
      <w:r w:rsidRPr="00B56672">
        <w:rPr>
          <w:b/>
          <w:color w:val="000000"/>
          <w:szCs w:val="24"/>
        </w:rPr>
        <w:t xml:space="preserve"> Tema</w:t>
      </w:r>
    </w:p>
    <w:p w:rsidR="00D13228" w:rsidRPr="00B56672" w:rsidRDefault="00D13228" w:rsidP="00D13228">
      <w:pPr>
        <w:rPr>
          <w:b/>
          <w:color w:val="000000"/>
          <w:szCs w:val="24"/>
        </w:rPr>
      </w:pPr>
    </w:p>
    <w:p w:rsidR="00D13228" w:rsidRDefault="00D13228" w:rsidP="00D13228">
      <w:pPr>
        <w:ind w:firstLine="708"/>
        <w:rPr>
          <w:szCs w:val="24"/>
        </w:rPr>
      </w:pPr>
      <w:r w:rsidRPr="00B56672">
        <w:rPr>
          <w:szCs w:val="24"/>
        </w:rPr>
        <w:t>A leitura de estudos anteriores contribui para o aumento da compreensão e entendimento a respeito do tema, proporcionando uma visão diversificada sobre diferentes aspectos, além de possibilitar o cruzamento entre os resultados alcançados. Desta forma, o Quadro 1 apresenta trabalhos sobre o tema anteriormente realizados, abordando seus objetivos e os principais resultados.</w:t>
      </w:r>
    </w:p>
    <w:p w:rsidR="00D13228" w:rsidRPr="00B56672" w:rsidRDefault="00D13228" w:rsidP="00D13228">
      <w:pPr>
        <w:ind w:firstLine="708"/>
        <w:rPr>
          <w:szCs w:val="24"/>
        </w:rPr>
      </w:pPr>
    </w:p>
    <w:p w:rsidR="00D13228" w:rsidRPr="00B56672" w:rsidRDefault="00D13228" w:rsidP="00D13228">
      <w:pPr>
        <w:ind w:firstLine="0"/>
        <w:rPr>
          <w:sz w:val="20"/>
        </w:rPr>
      </w:pPr>
      <w:r w:rsidRPr="00B56672">
        <w:rPr>
          <w:b/>
          <w:sz w:val="20"/>
        </w:rPr>
        <w:t>Quadro 1:</w:t>
      </w:r>
      <w:r w:rsidRPr="00B56672">
        <w:rPr>
          <w:sz w:val="20"/>
        </w:rPr>
        <w:t xml:space="preserve"> Estudos anteriores sobre o tema</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3203"/>
        <w:gridCol w:w="5245"/>
      </w:tblGrid>
      <w:tr w:rsidR="00D13228" w:rsidRPr="00B56672" w:rsidTr="002D0D13">
        <w:trPr>
          <w:trHeight w:val="344"/>
          <w:tblHeader/>
        </w:trPr>
        <w:tc>
          <w:tcPr>
            <w:tcW w:w="1050" w:type="dxa"/>
            <w:vAlign w:val="center"/>
          </w:tcPr>
          <w:p w:rsidR="00D13228" w:rsidRPr="00B56672" w:rsidRDefault="00D13228" w:rsidP="00D13228">
            <w:pPr>
              <w:ind w:firstLine="0"/>
              <w:jc w:val="center"/>
              <w:rPr>
                <w:b/>
                <w:sz w:val="20"/>
              </w:rPr>
            </w:pPr>
            <w:r w:rsidRPr="00B56672">
              <w:rPr>
                <w:b/>
                <w:sz w:val="20"/>
              </w:rPr>
              <w:t>Autores</w:t>
            </w:r>
          </w:p>
        </w:tc>
        <w:tc>
          <w:tcPr>
            <w:tcW w:w="3203" w:type="dxa"/>
            <w:vAlign w:val="center"/>
          </w:tcPr>
          <w:p w:rsidR="00D13228" w:rsidRPr="00B56672" w:rsidRDefault="00D13228" w:rsidP="00D13228">
            <w:pPr>
              <w:ind w:firstLine="0"/>
              <w:jc w:val="center"/>
              <w:rPr>
                <w:b/>
                <w:sz w:val="20"/>
              </w:rPr>
            </w:pPr>
            <w:r w:rsidRPr="00B56672">
              <w:rPr>
                <w:b/>
                <w:sz w:val="20"/>
              </w:rPr>
              <w:t>Objetivos</w:t>
            </w:r>
          </w:p>
        </w:tc>
        <w:tc>
          <w:tcPr>
            <w:tcW w:w="5245" w:type="dxa"/>
            <w:vAlign w:val="center"/>
          </w:tcPr>
          <w:p w:rsidR="00D13228" w:rsidRPr="00B56672" w:rsidRDefault="00D13228" w:rsidP="00D13228">
            <w:pPr>
              <w:ind w:firstLine="0"/>
              <w:jc w:val="center"/>
              <w:rPr>
                <w:b/>
                <w:sz w:val="20"/>
              </w:rPr>
            </w:pPr>
            <w:r w:rsidRPr="00B56672">
              <w:rPr>
                <w:b/>
                <w:sz w:val="20"/>
              </w:rPr>
              <w:t>Principais Resultados</w:t>
            </w:r>
          </w:p>
        </w:tc>
      </w:tr>
      <w:tr w:rsidR="00D13228" w:rsidRPr="00B56672" w:rsidTr="002D0D13">
        <w:trPr>
          <w:cantSplit/>
          <w:trHeight w:val="344"/>
        </w:trPr>
        <w:tc>
          <w:tcPr>
            <w:tcW w:w="1050" w:type="dxa"/>
            <w:vAlign w:val="center"/>
          </w:tcPr>
          <w:p w:rsidR="00D13228" w:rsidRPr="00B56672" w:rsidRDefault="00D13228" w:rsidP="00D13228">
            <w:pPr>
              <w:ind w:firstLine="0"/>
              <w:jc w:val="center"/>
              <w:rPr>
                <w:sz w:val="20"/>
              </w:rPr>
            </w:pPr>
            <w:r w:rsidRPr="00B56672">
              <w:rPr>
                <w:sz w:val="20"/>
              </w:rPr>
              <w:t>Vieira, Bataglia e Sereia (2011)</w:t>
            </w:r>
          </w:p>
        </w:tc>
        <w:tc>
          <w:tcPr>
            <w:tcW w:w="3203" w:type="dxa"/>
            <w:vAlign w:val="center"/>
          </w:tcPr>
          <w:p w:rsidR="00D13228" w:rsidRPr="00B56672" w:rsidRDefault="00D13228" w:rsidP="00D13228">
            <w:pPr>
              <w:ind w:firstLine="0"/>
              <w:rPr>
                <w:sz w:val="20"/>
              </w:rPr>
            </w:pPr>
            <w:r w:rsidRPr="00B56672">
              <w:rPr>
                <w:sz w:val="20"/>
              </w:rPr>
              <w:t>Analisar se a educação financeira obtida junto aos cursos de graduação influencia na atitude de consumo, poupança e investimento dos indivíduos.</w:t>
            </w:r>
          </w:p>
        </w:tc>
        <w:tc>
          <w:tcPr>
            <w:tcW w:w="5245" w:type="dxa"/>
            <w:vAlign w:val="center"/>
          </w:tcPr>
          <w:p w:rsidR="00D13228" w:rsidRPr="00B56672" w:rsidRDefault="00D13228" w:rsidP="00D13228">
            <w:pPr>
              <w:ind w:firstLine="0"/>
              <w:rPr>
                <w:sz w:val="20"/>
              </w:rPr>
            </w:pPr>
            <w:r w:rsidRPr="00B56672">
              <w:rPr>
                <w:sz w:val="20"/>
              </w:rPr>
              <w:t>A formação acadêmica contribui para a melhor tomada de decisões de consumo, investimento e poupança dos indivíduos, porém, os aspectos analisados não obtiveram relevância estatística significante.</w:t>
            </w:r>
          </w:p>
        </w:tc>
      </w:tr>
      <w:tr w:rsidR="00D13228" w:rsidRPr="00B56672" w:rsidTr="002D0D13">
        <w:trPr>
          <w:cantSplit/>
          <w:trHeight w:val="344"/>
        </w:trPr>
        <w:tc>
          <w:tcPr>
            <w:tcW w:w="1050" w:type="dxa"/>
            <w:vAlign w:val="center"/>
          </w:tcPr>
          <w:p w:rsidR="00D13228" w:rsidRPr="00B56672" w:rsidRDefault="00D13228" w:rsidP="00D13228">
            <w:pPr>
              <w:ind w:firstLine="0"/>
              <w:jc w:val="center"/>
              <w:rPr>
                <w:sz w:val="20"/>
              </w:rPr>
            </w:pPr>
            <w:r w:rsidRPr="00B56672">
              <w:rPr>
                <w:sz w:val="20"/>
              </w:rPr>
              <w:t xml:space="preserve">Cruz, Kroetz e </w:t>
            </w:r>
            <w:proofErr w:type="spellStart"/>
            <w:r w:rsidRPr="00B56672">
              <w:rPr>
                <w:sz w:val="20"/>
              </w:rPr>
              <w:t>Fáveri</w:t>
            </w:r>
            <w:proofErr w:type="spellEnd"/>
            <w:r w:rsidRPr="00B56672">
              <w:rPr>
                <w:sz w:val="20"/>
              </w:rPr>
              <w:t xml:space="preserve"> (2012)</w:t>
            </w:r>
          </w:p>
        </w:tc>
        <w:tc>
          <w:tcPr>
            <w:tcW w:w="3203" w:type="dxa"/>
            <w:vAlign w:val="center"/>
          </w:tcPr>
          <w:p w:rsidR="00D13228" w:rsidRPr="00B56672" w:rsidRDefault="00D13228" w:rsidP="00D13228">
            <w:pPr>
              <w:ind w:firstLine="0"/>
              <w:rPr>
                <w:sz w:val="20"/>
              </w:rPr>
            </w:pPr>
            <w:r w:rsidRPr="00B56672">
              <w:rPr>
                <w:sz w:val="20"/>
              </w:rPr>
              <w:t>Verificar os percentuais que os voluntários presumem gastar e os que realmente gastam com os diversos tipos de gastos existentes.</w:t>
            </w:r>
          </w:p>
        </w:tc>
        <w:tc>
          <w:tcPr>
            <w:tcW w:w="5245" w:type="dxa"/>
            <w:vAlign w:val="center"/>
          </w:tcPr>
          <w:p w:rsidR="00D13228" w:rsidRPr="00B56672" w:rsidRDefault="00D13228" w:rsidP="00D13228">
            <w:pPr>
              <w:ind w:firstLine="0"/>
              <w:rPr>
                <w:sz w:val="20"/>
              </w:rPr>
            </w:pPr>
            <w:r w:rsidRPr="00B56672">
              <w:rPr>
                <w:sz w:val="20"/>
              </w:rPr>
              <w:t>Verificou-se que a maior parte dos voluntários possui ensino superior incompleto e, ainda, que realizam controle financeiro. Com o acompanhamento do orçamento doméstico notou-se que, o item que os voluntários mais estimavam gastar era com alimentação e lazer.</w:t>
            </w:r>
          </w:p>
        </w:tc>
      </w:tr>
      <w:tr w:rsidR="00D13228" w:rsidRPr="00B56672" w:rsidTr="002D0D13">
        <w:trPr>
          <w:cantSplit/>
          <w:trHeight w:val="344"/>
        </w:trPr>
        <w:tc>
          <w:tcPr>
            <w:tcW w:w="1050" w:type="dxa"/>
            <w:vAlign w:val="center"/>
          </w:tcPr>
          <w:p w:rsidR="00D13228" w:rsidRPr="00B56672" w:rsidRDefault="00D13228" w:rsidP="00D13228">
            <w:pPr>
              <w:ind w:firstLine="0"/>
              <w:jc w:val="center"/>
              <w:rPr>
                <w:sz w:val="20"/>
              </w:rPr>
            </w:pPr>
            <w:r w:rsidRPr="00B56672">
              <w:rPr>
                <w:sz w:val="20"/>
              </w:rPr>
              <w:t>Lucena e Marinho (2013)</w:t>
            </w:r>
          </w:p>
        </w:tc>
        <w:tc>
          <w:tcPr>
            <w:tcW w:w="3203" w:type="dxa"/>
            <w:vAlign w:val="center"/>
          </w:tcPr>
          <w:p w:rsidR="00D13228" w:rsidRPr="00B56672" w:rsidRDefault="00D13228" w:rsidP="00D13228">
            <w:pPr>
              <w:ind w:firstLine="0"/>
              <w:rPr>
                <w:sz w:val="20"/>
              </w:rPr>
            </w:pPr>
            <w:r w:rsidRPr="00B56672">
              <w:rPr>
                <w:sz w:val="20"/>
              </w:rPr>
              <w:t>Identificar os fatores condicionantes nas decisões financeiras dos estudantes do 3º ano do ensino médio.</w:t>
            </w:r>
          </w:p>
        </w:tc>
        <w:tc>
          <w:tcPr>
            <w:tcW w:w="5245" w:type="dxa"/>
            <w:vAlign w:val="center"/>
          </w:tcPr>
          <w:p w:rsidR="00D13228" w:rsidRPr="00B56672" w:rsidRDefault="00D13228" w:rsidP="00D13228">
            <w:pPr>
              <w:ind w:firstLine="0"/>
              <w:rPr>
                <w:sz w:val="20"/>
              </w:rPr>
            </w:pPr>
            <w:r w:rsidRPr="00B56672">
              <w:rPr>
                <w:sz w:val="20"/>
              </w:rPr>
              <w:t>Foi verificado que o nível de conhecimento financeiro dos alunos é baixo quanto a rendimentos futuros, liquidez de investimento, juros de cartão de crédito e financiamento e que este conteúdo não é visto em sala de aula e a maior parte dos discentes adquire este tipo de saber dos pais que por sua vez, a grande maioria não finalizaram o ensino fundamental.</w:t>
            </w:r>
          </w:p>
        </w:tc>
      </w:tr>
      <w:tr w:rsidR="00D13228" w:rsidRPr="00B56672" w:rsidTr="002D0D13">
        <w:trPr>
          <w:cantSplit/>
          <w:trHeight w:val="901"/>
        </w:trPr>
        <w:tc>
          <w:tcPr>
            <w:tcW w:w="1050" w:type="dxa"/>
            <w:vAlign w:val="center"/>
          </w:tcPr>
          <w:p w:rsidR="00D13228" w:rsidRPr="00B56672" w:rsidRDefault="00D13228" w:rsidP="00D13228">
            <w:pPr>
              <w:ind w:firstLine="0"/>
              <w:jc w:val="center"/>
              <w:rPr>
                <w:sz w:val="20"/>
              </w:rPr>
            </w:pPr>
            <w:r w:rsidRPr="00B56672">
              <w:rPr>
                <w:sz w:val="20"/>
              </w:rPr>
              <w:lastRenderedPageBreak/>
              <w:t>Moreira e Carvalho (2013)</w:t>
            </w:r>
          </w:p>
        </w:tc>
        <w:tc>
          <w:tcPr>
            <w:tcW w:w="3203" w:type="dxa"/>
            <w:vAlign w:val="center"/>
          </w:tcPr>
          <w:p w:rsidR="00D13228" w:rsidRPr="00B56672" w:rsidRDefault="00D13228" w:rsidP="00D13228">
            <w:pPr>
              <w:ind w:firstLine="0"/>
              <w:rPr>
                <w:sz w:val="20"/>
              </w:rPr>
            </w:pPr>
            <w:r w:rsidRPr="00B56672">
              <w:rPr>
                <w:sz w:val="20"/>
              </w:rPr>
              <w:t>Conhecer o perfil das finanças pessoais dos professores da Rede Municipal de Ensino de</w:t>
            </w:r>
          </w:p>
          <w:p w:rsidR="00D13228" w:rsidRPr="00B56672" w:rsidRDefault="00D13228" w:rsidP="00D13228">
            <w:pPr>
              <w:ind w:firstLine="0"/>
              <w:rPr>
                <w:sz w:val="20"/>
              </w:rPr>
            </w:pPr>
            <w:r w:rsidRPr="00B56672">
              <w:rPr>
                <w:sz w:val="20"/>
              </w:rPr>
              <w:t>Campo Formoso - Bahia.</w:t>
            </w:r>
          </w:p>
        </w:tc>
        <w:tc>
          <w:tcPr>
            <w:tcW w:w="5245" w:type="dxa"/>
            <w:vAlign w:val="center"/>
          </w:tcPr>
          <w:p w:rsidR="00D13228" w:rsidRPr="00B56672" w:rsidRDefault="00D13228" w:rsidP="00D13228">
            <w:pPr>
              <w:ind w:firstLine="0"/>
              <w:rPr>
                <w:sz w:val="20"/>
              </w:rPr>
            </w:pPr>
            <w:r w:rsidRPr="00B56672">
              <w:rPr>
                <w:sz w:val="20"/>
              </w:rPr>
              <w:t>Os professores pesquisados apresentam um elevado nível de endividamento agregado a um descontrole nas finanças pessoais.</w:t>
            </w:r>
          </w:p>
        </w:tc>
      </w:tr>
      <w:tr w:rsidR="00D13228" w:rsidRPr="00B56672" w:rsidTr="002D0D13">
        <w:trPr>
          <w:cantSplit/>
          <w:trHeight w:val="344"/>
        </w:trPr>
        <w:tc>
          <w:tcPr>
            <w:tcW w:w="1050" w:type="dxa"/>
            <w:vAlign w:val="center"/>
          </w:tcPr>
          <w:p w:rsidR="00D13228" w:rsidRPr="00B56672" w:rsidRDefault="00D13228" w:rsidP="00D13228">
            <w:pPr>
              <w:ind w:firstLine="0"/>
              <w:jc w:val="center"/>
              <w:rPr>
                <w:color w:val="000000" w:themeColor="text1"/>
                <w:sz w:val="20"/>
              </w:rPr>
            </w:pPr>
            <w:r w:rsidRPr="00B56672">
              <w:rPr>
                <w:color w:val="000000" w:themeColor="text1"/>
                <w:sz w:val="20"/>
              </w:rPr>
              <w:t>Oliveira et al. (2014)</w:t>
            </w:r>
          </w:p>
        </w:tc>
        <w:tc>
          <w:tcPr>
            <w:tcW w:w="3203" w:type="dxa"/>
            <w:vAlign w:val="center"/>
          </w:tcPr>
          <w:p w:rsidR="00D13228" w:rsidRPr="00B56672" w:rsidRDefault="00D13228" w:rsidP="00D13228">
            <w:pPr>
              <w:ind w:firstLine="0"/>
              <w:rPr>
                <w:sz w:val="20"/>
              </w:rPr>
            </w:pPr>
            <w:r w:rsidRPr="00B56672">
              <w:rPr>
                <w:sz w:val="20"/>
              </w:rPr>
              <w:t>Relatar a importância que a educação financeira possui no contexto escolar e familiar, visando à abordagem do tema desde a vida escolar, as necessidades de se ter um incentivo do estado e o papel fundamental que a família exerce para esse aprendizado.</w:t>
            </w:r>
          </w:p>
        </w:tc>
        <w:tc>
          <w:tcPr>
            <w:tcW w:w="5245" w:type="dxa"/>
            <w:vAlign w:val="center"/>
          </w:tcPr>
          <w:p w:rsidR="00D13228" w:rsidRPr="00B56672" w:rsidRDefault="00D13228" w:rsidP="00D13228">
            <w:pPr>
              <w:ind w:firstLine="0"/>
              <w:rPr>
                <w:sz w:val="20"/>
              </w:rPr>
            </w:pPr>
            <w:r w:rsidRPr="00B56672">
              <w:rPr>
                <w:sz w:val="20"/>
              </w:rPr>
              <w:t>A escola não é o único agente na tarefa da alfabetização financeira, família e estado também são chamados a contribuir para tal processo, o que denota que cada instituição possui um papel importante no que diz respeito à tomada consciente de decisões financeiras.</w:t>
            </w:r>
          </w:p>
        </w:tc>
      </w:tr>
      <w:tr w:rsidR="00D13228" w:rsidRPr="00B56672" w:rsidTr="002D0D13">
        <w:trPr>
          <w:cantSplit/>
          <w:trHeight w:val="344"/>
        </w:trPr>
        <w:tc>
          <w:tcPr>
            <w:tcW w:w="1050" w:type="dxa"/>
            <w:vAlign w:val="center"/>
          </w:tcPr>
          <w:p w:rsidR="00D13228" w:rsidRPr="00B56672" w:rsidRDefault="00D13228" w:rsidP="00D13228">
            <w:pPr>
              <w:ind w:firstLine="0"/>
              <w:jc w:val="center"/>
              <w:rPr>
                <w:sz w:val="20"/>
              </w:rPr>
            </w:pPr>
            <w:r w:rsidRPr="00B56672">
              <w:rPr>
                <w:sz w:val="20"/>
              </w:rPr>
              <w:t>Conto et al. (2015)</w:t>
            </w:r>
          </w:p>
        </w:tc>
        <w:tc>
          <w:tcPr>
            <w:tcW w:w="3203" w:type="dxa"/>
            <w:vAlign w:val="center"/>
          </w:tcPr>
          <w:p w:rsidR="00D13228" w:rsidRPr="00B56672" w:rsidRDefault="00D13228" w:rsidP="00D13228">
            <w:pPr>
              <w:ind w:firstLine="0"/>
              <w:rPr>
                <w:sz w:val="20"/>
              </w:rPr>
            </w:pPr>
            <w:r w:rsidRPr="00B56672">
              <w:rPr>
                <w:sz w:val="20"/>
              </w:rPr>
              <w:t>Conhecer o comportamento financeiro de estudantes do Ensino Médio que frequentam escolas públicas e privadas em diferentes municípios do Vale do Taquari – Rio Grande do Sul.</w:t>
            </w:r>
          </w:p>
        </w:tc>
        <w:tc>
          <w:tcPr>
            <w:tcW w:w="5245" w:type="dxa"/>
            <w:vAlign w:val="center"/>
          </w:tcPr>
          <w:p w:rsidR="00D13228" w:rsidRPr="00B56672" w:rsidRDefault="00D13228" w:rsidP="00D13228">
            <w:pPr>
              <w:ind w:firstLine="0"/>
              <w:rPr>
                <w:sz w:val="20"/>
              </w:rPr>
            </w:pPr>
            <w:r w:rsidRPr="00B56672">
              <w:rPr>
                <w:sz w:val="20"/>
              </w:rPr>
              <w:t>Constatou-se, dentre outros aspectos, que apenas um terço dos entrevistados poupa dinheiro, somente um quarto dos alunos realiza controle de suas finanças pessoais, e menos da metade realiza algum tipo de planejamento financeiro.</w:t>
            </w:r>
          </w:p>
        </w:tc>
      </w:tr>
      <w:tr w:rsidR="00D13228" w:rsidRPr="00B56672" w:rsidTr="002D0D13">
        <w:trPr>
          <w:cantSplit/>
          <w:trHeight w:val="344"/>
        </w:trPr>
        <w:tc>
          <w:tcPr>
            <w:tcW w:w="1050" w:type="dxa"/>
            <w:vAlign w:val="center"/>
          </w:tcPr>
          <w:p w:rsidR="00D13228" w:rsidRPr="00B56672" w:rsidRDefault="00D13228" w:rsidP="00D13228">
            <w:pPr>
              <w:ind w:firstLine="0"/>
              <w:jc w:val="center"/>
              <w:rPr>
                <w:sz w:val="20"/>
              </w:rPr>
            </w:pPr>
            <w:r w:rsidRPr="00B56672">
              <w:rPr>
                <w:sz w:val="20"/>
              </w:rPr>
              <w:t>Oliveira (2015)</w:t>
            </w:r>
          </w:p>
        </w:tc>
        <w:tc>
          <w:tcPr>
            <w:tcW w:w="3203" w:type="dxa"/>
            <w:vAlign w:val="center"/>
          </w:tcPr>
          <w:p w:rsidR="00D13228" w:rsidRPr="00B56672" w:rsidRDefault="00D13228" w:rsidP="00D13228">
            <w:pPr>
              <w:ind w:firstLine="0"/>
              <w:rPr>
                <w:sz w:val="20"/>
              </w:rPr>
            </w:pPr>
            <w:r w:rsidRPr="00B56672">
              <w:rPr>
                <w:sz w:val="20"/>
              </w:rPr>
              <w:t>Analisar a relação entre os fatores e entre as dimensões que compõem o consumismo, a propensão ao endividamento e a percepção de qualidade de vida no trabalho dos servidores do Instituto Federal do Espírito Santo (IFES).</w:t>
            </w:r>
          </w:p>
        </w:tc>
        <w:tc>
          <w:tcPr>
            <w:tcW w:w="5245" w:type="dxa"/>
            <w:vAlign w:val="center"/>
          </w:tcPr>
          <w:p w:rsidR="00D13228" w:rsidRPr="00B56672" w:rsidRDefault="00D13228" w:rsidP="00D13228">
            <w:pPr>
              <w:ind w:firstLine="0"/>
              <w:rPr>
                <w:sz w:val="20"/>
              </w:rPr>
            </w:pPr>
            <w:r w:rsidRPr="00B56672">
              <w:rPr>
                <w:sz w:val="20"/>
              </w:rPr>
              <w:t>A correlação entre os fatores é pequena, mas definida, indicando que indivíduos com níveis mais elevados de consumismo apresentam uma atitude mais favorável ao endividamento. O fator consumismo possui elevada correlação com as dimensões sucesso, centralidade e felicidade.</w:t>
            </w:r>
          </w:p>
        </w:tc>
      </w:tr>
      <w:tr w:rsidR="00D13228" w:rsidRPr="00B56672" w:rsidTr="002D0D13">
        <w:trPr>
          <w:cantSplit/>
          <w:trHeight w:val="344"/>
        </w:trPr>
        <w:tc>
          <w:tcPr>
            <w:tcW w:w="1050" w:type="dxa"/>
            <w:vAlign w:val="center"/>
          </w:tcPr>
          <w:p w:rsidR="00D13228" w:rsidRPr="00B56672" w:rsidRDefault="00D13228" w:rsidP="00D13228">
            <w:pPr>
              <w:ind w:firstLine="0"/>
              <w:jc w:val="center"/>
              <w:rPr>
                <w:sz w:val="20"/>
              </w:rPr>
            </w:pPr>
            <w:r w:rsidRPr="00B56672">
              <w:rPr>
                <w:sz w:val="20"/>
              </w:rPr>
              <w:t>Brönstrup e Becker (2016)</w:t>
            </w:r>
          </w:p>
        </w:tc>
        <w:tc>
          <w:tcPr>
            <w:tcW w:w="3203" w:type="dxa"/>
            <w:vAlign w:val="center"/>
          </w:tcPr>
          <w:p w:rsidR="00D13228" w:rsidRPr="00B56672" w:rsidRDefault="00D13228" w:rsidP="00D13228">
            <w:pPr>
              <w:ind w:firstLine="0"/>
              <w:rPr>
                <w:sz w:val="20"/>
              </w:rPr>
            </w:pPr>
            <w:r w:rsidRPr="00B56672">
              <w:rPr>
                <w:sz w:val="20"/>
              </w:rPr>
              <w:t>Analisar a inserção do ensino da Educação Financeira em uma escola privada de Ensino Fundamental, situada no município de Santa Maria-RS.</w:t>
            </w:r>
          </w:p>
        </w:tc>
        <w:tc>
          <w:tcPr>
            <w:tcW w:w="5245" w:type="dxa"/>
            <w:vAlign w:val="center"/>
          </w:tcPr>
          <w:p w:rsidR="00D13228" w:rsidRPr="00B56672" w:rsidRDefault="00D13228" w:rsidP="00D13228">
            <w:pPr>
              <w:ind w:firstLine="0"/>
              <w:rPr>
                <w:sz w:val="20"/>
              </w:rPr>
            </w:pPr>
            <w:r w:rsidRPr="00B56672">
              <w:rPr>
                <w:sz w:val="20"/>
              </w:rPr>
              <w:t>A disciplina está inserida de maneira transversal, sendo que a maioria dos professores apresentam conhecimentos sobre o tema e a metade inclui o tema na disciplina que ministra. Além disto, os alunos apresentam conhecimentos sobre Educação Financeira obtidos através do trabalho na escola e também através de meios eletrônicos.</w:t>
            </w:r>
          </w:p>
        </w:tc>
      </w:tr>
      <w:tr w:rsidR="00D13228" w:rsidRPr="00B56672" w:rsidTr="002D0D13">
        <w:trPr>
          <w:cantSplit/>
          <w:trHeight w:val="1046"/>
        </w:trPr>
        <w:tc>
          <w:tcPr>
            <w:tcW w:w="1050" w:type="dxa"/>
            <w:vAlign w:val="center"/>
          </w:tcPr>
          <w:p w:rsidR="00D13228" w:rsidRPr="00B56672" w:rsidRDefault="00D13228" w:rsidP="00D13228">
            <w:pPr>
              <w:ind w:firstLine="0"/>
              <w:jc w:val="center"/>
              <w:rPr>
                <w:sz w:val="20"/>
                <w:highlight w:val="red"/>
              </w:rPr>
            </w:pPr>
            <w:r w:rsidRPr="00B56672">
              <w:rPr>
                <w:color w:val="000000" w:themeColor="text1"/>
                <w:sz w:val="20"/>
              </w:rPr>
              <w:t>Cunha et al. (2016)</w:t>
            </w:r>
          </w:p>
        </w:tc>
        <w:tc>
          <w:tcPr>
            <w:tcW w:w="3203" w:type="dxa"/>
            <w:vAlign w:val="center"/>
          </w:tcPr>
          <w:p w:rsidR="00D13228" w:rsidRPr="00B56672" w:rsidRDefault="00D13228" w:rsidP="00D13228">
            <w:pPr>
              <w:ind w:firstLine="0"/>
              <w:rPr>
                <w:sz w:val="20"/>
                <w:highlight w:val="red"/>
              </w:rPr>
            </w:pPr>
            <w:r w:rsidRPr="00B56672">
              <w:rPr>
                <w:sz w:val="20"/>
              </w:rPr>
              <w:t>Identificar qual o impacto das pesquisas de preços nas finanças pessoais.</w:t>
            </w:r>
          </w:p>
        </w:tc>
        <w:tc>
          <w:tcPr>
            <w:tcW w:w="5245" w:type="dxa"/>
            <w:vAlign w:val="center"/>
          </w:tcPr>
          <w:p w:rsidR="00D13228" w:rsidRPr="00B56672" w:rsidRDefault="00D13228" w:rsidP="00D13228">
            <w:pPr>
              <w:ind w:firstLine="0"/>
              <w:rPr>
                <w:sz w:val="20"/>
                <w:highlight w:val="red"/>
              </w:rPr>
            </w:pPr>
            <w:r w:rsidRPr="00B56672">
              <w:rPr>
                <w:sz w:val="20"/>
              </w:rPr>
              <w:t>A economia advinda da pesquisa de preços representa uma redução de valores considerável nas finanças pessoais. Contudo, para tal, é indispensável que as finanças pessoais sejam bem administradas e planejadas.</w:t>
            </w:r>
          </w:p>
        </w:tc>
      </w:tr>
      <w:tr w:rsidR="00D13228" w:rsidRPr="00B56672" w:rsidTr="002D0D13">
        <w:trPr>
          <w:cantSplit/>
          <w:trHeight w:val="60"/>
        </w:trPr>
        <w:tc>
          <w:tcPr>
            <w:tcW w:w="1050" w:type="dxa"/>
            <w:tcBorders>
              <w:bottom w:val="single" w:sz="4" w:space="0" w:color="auto"/>
            </w:tcBorders>
            <w:vAlign w:val="center"/>
          </w:tcPr>
          <w:p w:rsidR="00D13228" w:rsidRPr="00B56672" w:rsidRDefault="00D13228" w:rsidP="00D13228">
            <w:pPr>
              <w:ind w:firstLine="0"/>
              <w:jc w:val="center"/>
              <w:rPr>
                <w:sz w:val="20"/>
              </w:rPr>
            </w:pPr>
            <w:r w:rsidRPr="00B56672">
              <w:rPr>
                <w:sz w:val="20"/>
              </w:rPr>
              <w:t>Tre</w:t>
            </w:r>
            <w:r w:rsidR="00B8074C">
              <w:rPr>
                <w:sz w:val="20"/>
              </w:rPr>
              <w:t>n</w:t>
            </w:r>
            <w:r w:rsidRPr="00B56672">
              <w:rPr>
                <w:sz w:val="20"/>
              </w:rPr>
              <w:t>tin et al. (2018)</w:t>
            </w:r>
          </w:p>
        </w:tc>
        <w:tc>
          <w:tcPr>
            <w:tcW w:w="3203" w:type="dxa"/>
            <w:tcBorders>
              <w:bottom w:val="single" w:sz="4" w:space="0" w:color="auto"/>
            </w:tcBorders>
            <w:vAlign w:val="center"/>
          </w:tcPr>
          <w:p w:rsidR="00D13228" w:rsidRPr="00B56672" w:rsidRDefault="00D13228" w:rsidP="00D13228">
            <w:pPr>
              <w:ind w:firstLine="0"/>
              <w:rPr>
                <w:sz w:val="20"/>
              </w:rPr>
            </w:pPr>
            <w:r w:rsidRPr="00B56672">
              <w:rPr>
                <w:sz w:val="20"/>
              </w:rPr>
              <w:t>Identificar quais variáveis comunicacionais influenciam na decisão da compra por impulso.</w:t>
            </w:r>
          </w:p>
        </w:tc>
        <w:tc>
          <w:tcPr>
            <w:tcW w:w="5245" w:type="dxa"/>
            <w:tcBorders>
              <w:bottom w:val="single" w:sz="4" w:space="0" w:color="auto"/>
            </w:tcBorders>
            <w:vAlign w:val="center"/>
          </w:tcPr>
          <w:p w:rsidR="00D13228" w:rsidRPr="00B56672" w:rsidRDefault="00D13228" w:rsidP="00D13228">
            <w:pPr>
              <w:ind w:firstLine="0"/>
              <w:rPr>
                <w:sz w:val="20"/>
              </w:rPr>
            </w:pPr>
            <w:r w:rsidRPr="00B56672">
              <w:rPr>
                <w:sz w:val="20"/>
              </w:rPr>
              <w:t xml:space="preserve">A compra por impulso é influenciada por variáveis referentes ao processo comunicacional tais como a exposição dos produtos, a influência do vendedor, a aparência de loja e a organização dos </w:t>
            </w:r>
            <w:r w:rsidRPr="00B56672">
              <w:rPr>
                <w:i/>
                <w:sz w:val="20"/>
              </w:rPr>
              <w:t>displays</w:t>
            </w:r>
            <w:r w:rsidRPr="00B56672">
              <w:rPr>
                <w:sz w:val="20"/>
              </w:rPr>
              <w:t>, ou seja, algumas delas de comunicação visual e outras de comunicação pessoal.</w:t>
            </w:r>
          </w:p>
        </w:tc>
      </w:tr>
    </w:tbl>
    <w:p w:rsidR="00D13228" w:rsidRPr="00B56672" w:rsidRDefault="00D13228" w:rsidP="00D13228">
      <w:pPr>
        <w:pStyle w:val="Corpodetexto"/>
        <w:spacing w:after="0"/>
        <w:ind w:firstLine="0"/>
        <w:rPr>
          <w:sz w:val="20"/>
        </w:rPr>
      </w:pPr>
      <w:r w:rsidRPr="00B56672">
        <w:rPr>
          <w:b/>
          <w:sz w:val="20"/>
        </w:rPr>
        <w:t>Fonte:</w:t>
      </w:r>
      <w:r w:rsidRPr="00B56672">
        <w:rPr>
          <w:sz w:val="20"/>
        </w:rPr>
        <w:t xml:space="preserve"> Elaborado pelos Autores (2019)</w:t>
      </w:r>
    </w:p>
    <w:p w:rsidR="00D13228" w:rsidRPr="00B56672" w:rsidRDefault="00D13228" w:rsidP="00D13228">
      <w:pPr>
        <w:rPr>
          <w:szCs w:val="24"/>
        </w:rPr>
      </w:pPr>
    </w:p>
    <w:p w:rsidR="00D13228" w:rsidRPr="00B56672" w:rsidRDefault="00D13228" w:rsidP="00D13228">
      <w:pPr>
        <w:rPr>
          <w:szCs w:val="24"/>
        </w:rPr>
      </w:pPr>
      <w:r w:rsidRPr="00B56672">
        <w:rPr>
          <w:szCs w:val="24"/>
        </w:rPr>
        <w:t xml:space="preserve">Pode-se afirmar, com base no Quadro, que devido à falta de conhecimento e aplicabilidade, por parte dos professores escolares das finanças pessoais, a vida financeira dos alunos fica mais ainda sem planejamento, por não adquirirem conhecimento sobre o tema desde a infância. Sendo assim, algumas pesquisas tiveram como objeto de estudos os alunos de ensino </w:t>
      </w:r>
      <w:r w:rsidRPr="00B56672">
        <w:rPr>
          <w:szCs w:val="24"/>
        </w:rPr>
        <w:lastRenderedPageBreak/>
        <w:t>fundamental e médio e descobriram que grande parte deles não faz nenhum tipo de planejamento financeiro, ou até desconhecem desta ferramenta.</w:t>
      </w:r>
    </w:p>
    <w:p w:rsidR="00D13228" w:rsidRPr="00B56672" w:rsidRDefault="00D13228" w:rsidP="00D13228">
      <w:pPr>
        <w:rPr>
          <w:szCs w:val="24"/>
        </w:rPr>
      </w:pPr>
      <w:r w:rsidRPr="00B56672">
        <w:rPr>
          <w:szCs w:val="24"/>
        </w:rPr>
        <w:t>Com isto, outras pesquisas elaboradas com acadêmicos de cursos específicos da área financeira, constataram que o avanço no conhecimento sobre finanças pessoais é visível, pois, com o passar dos semestres, os acadêmicos demonstraram possuir mais controle sob suas finanças. Outro ponto a ser salientado é que foram localizados na literatura, estudos com profissionais de diversas áreas, porém, não foram encontradas no arcabouço teórico, pesquisas cujo objeto de estudo fossem os profissionais contábeis.</w:t>
      </w:r>
    </w:p>
    <w:p w:rsidR="00D13228" w:rsidRPr="00B56672" w:rsidRDefault="00D13228" w:rsidP="00D13228">
      <w:pPr>
        <w:rPr>
          <w:szCs w:val="24"/>
        </w:rPr>
      </w:pPr>
    </w:p>
    <w:p w:rsidR="00D13228" w:rsidRDefault="00D13228" w:rsidP="00D13228">
      <w:pPr>
        <w:ind w:firstLine="0"/>
        <w:rPr>
          <w:b/>
          <w:bCs/>
          <w:color w:val="000000" w:themeColor="text1"/>
          <w:szCs w:val="24"/>
        </w:rPr>
      </w:pPr>
      <w:r w:rsidRPr="00B56672">
        <w:rPr>
          <w:b/>
          <w:bCs/>
          <w:color w:val="000000" w:themeColor="text1"/>
          <w:szCs w:val="24"/>
        </w:rPr>
        <w:t>3 Procedimentos Metodológicos</w:t>
      </w:r>
    </w:p>
    <w:p w:rsidR="00D13228" w:rsidRPr="00B56672" w:rsidRDefault="00D13228" w:rsidP="00D13228">
      <w:pPr>
        <w:rPr>
          <w:b/>
          <w:bCs/>
          <w:color w:val="000000" w:themeColor="text1"/>
          <w:szCs w:val="24"/>
        </w:rPr>
      </w:pPr>
    </w:p>
    <w:p w:rsidR="00517CC6" w:rsidRDefault="00D13228" w:rsidP="00D13228">
      <w:pPr>
        <w:ind w:firstLine="708"/>
        <w:rPr>
          <w:rFonts w:eastAsia="Arial"/>
          <w:szCs w:val="24"/>
        </w:rPr>
      </w:pPr>
      <w:r w:rsidRPr="00B56672">
        <w:rPr>
          <w:rFonts w:eastAsia="Arial"/>
          <w:szCs w:val="24"/>
        </w:rPr>
        <w:t>A pesquisa é classificada como quantitativa quanto à abordagem, descritiva em relação aos objetivos e de levantamento no que diz respeito aos procedimentos.</w:t>
      </w:r>
      <w:r w:rsidRPr="00B56672">
        <w:t xml:space="preserve"> </w:t>
      </w:r>
      <w:r w:rsidRPr="00B56672">
        <w:rPr>
          <w:rFonts w:eastAsia="Arial"/>
          <w:szCs w:val="24"/>
        </w:rPr>
        <w:t>Como instrumento de coleta de dados, foi utilizado um questionário</w:t>
      </w:r>
      <w:r w:rsidR="00517CC6">
        <w:rPr>
          <w:rFonts w:eastAsia="Arial"/>
          <w:szCs w:val="24"/>
        </w:rPr>
        <w:t>.</w:t>
      </w:r>
    </w:p>
    <w:p w:rsidR="00D13228" w:rsidRDefault="00D13228" w:rsidP="00D13228">
      <w:pPr>
        <w:ind w:firstLine="708"/>
        <w:rPr>
          <w:rFonts w:eastAsia="Arial"/>
          <w:szCs w:val="24"/>
        </w:rPr>
      </w:pPr>
      <w:r w:rsidRPr="00B56672">
        <w:rPr>
          <w:rFonts w:eastAsia="Arial"/>
          <w:szCs w:val="24"/>
        </w:rPr>
        <w:t xml:space="preserve"> Este questionário foi elaborado com base nos estudos de Oliveira (2015) e Conto et al. (2015), contendo 27 questões fechadas e validado por três professores da área. O instrumento foi </w:t>
      </w:r>
      <w:r w:rsidR="008D1B57">
        <w:rPr>
          <w:rFonts w:eastAsia="Arial"/>
          <w:szCs w:val="24"/>
        </w:rPr>
        <w:t xml:space="preserve">enviado </w:t>
      </w:r>
      <w:r w:rsidRPr="00B56672">
        <w:rPr>
          <w:rFonts w:eastAsia="Arial"/>
          <w:szCs w:val="24"/>
        </w:rPr>
        <w:t xml:space="preserve">para os profissionais contábeis registrados no CRC/SC por meio do </w:t>
      </w:r>
      <w:r w:rsidRPr="00B56672">
        <w:rPr>
          <w:rFonts w:eastAsia="Arial"/>
          <w:i/>
          <w:szCs w:val="24"/>
        </w:rPr>
        <w:t>e-mail</w:t>
      </w:r>
      <w:r w:rsidRPr="00B56672">
        <w:rPr>
          <w:rFonts w:eastAsia="Arial"/>
          <w:szCs w:val="24"/>
        </w:rPr>
        <w:t xml:space="preserve"> oficial do Conselho, disponibilizado na </w:t>
      </w:r>
      <w:r w:rsidRPr="00B56672">
        <w:rPr>
          <w:szCs w:val="24"/>
        </w:rPr>
        <w:t xml:space="preserve">plataforma </w:t>
      </w:r>
      <w:r w:rsidRPr="00B56672">
        <w:rPr>
          <w:i/>
          <w:szCs w:val="24"/>
        </w:rPr>
        <w:t>Google</w:t>
      </w:r>
      <w:r w:rsidRPr="00B56672">
        <w:rPr>
          <w:szCs w:val="24"/>
        </w:rPr>
        <w:t xml:space="preserve"> Formulários</w:t>
      </w:r>
      <w:r w:rsidRPr="00B56672">
        <w:rPr>
          <w:color w:val="000000"/>
          <w:szCs w:val="24"/>
        </w:rPr>
        <w:t xml:space="preserve">®, </w:t>
      </w:r>
      <w:r w:rsidR="008D1B57">
        <w:rPr>
          <w:color w:val="000000"/>
          <w:szCs w:val="24"/>
        </w:rPr>
        <w:t>estando</w:t>
      </w:r>
      <w:r w:rsidRPr="00B56672">
        <w:rPr>
          <w:color w:val="000000"/>
          <w:szCs w:val="24"/>
        </w:rPr>
        <w:t xml:space="preserve"> disponível no período de </w:t>
      </w:r>
      <w:r w:rsidRPr="00B56672">
        <w:rPr>
          <w:rFonts w:eastAsia="Arial"/>
          <w:szCs w:val="24"/>
        </w:rPr>
        <w:t>19 de março a 05 de abril de 2019.</w:t>
      </w:r>
    </w:p>
    <w:p w:rsidR="00517CC6" w:rsidRPr="00B56672" w:rsidRDefault="00517CC6" w:rsidP="00517CC6">
      <w:pPr>
        <w:ind w:firstLine="708"/>
        <w:rPr>
          <w:szCs w:val="24"/>
        </w:rPr>
      </w:pPr>
      <w:r w:rsidRPr="00B56672">
        <w:rPr>
          <w:rFonts w:eastAsia="Arial"/>
          <w:szCs w:val="24"/>
        </w:rPr>
        <w:t xml:space="preserve">Esta pesquisa possui como </w:t>
      </w:r>
      <w:r w:rsidR="008D1B57">
        <w:rPr>
          <w:rFonts w:eastAsia="Arial"/>
          <w:szCs w:val="24"/>
        </w:rPr>
        <w:t>população</w:t>
      </w:r>
      <w:r w:rsidRPr="00B56672">
        <w:rPr>
          <w:rFonts w:eastAsia="Arial"/>
          <w:szCs w:val="24"/>
        </w:rPr>
        <w:t>, os 18.000 profissionais contábeis do estado de Santa Catarina devidamente registrados no Conselho Regional de Contabilidade (CRC)</w:t>
      </w:r>
      <w:r w:rsidRPr="00B56672">
        <w:rPr>
          <w:szCs w:val="24"/>
        </w:rPr>
        <w:t>, obtendo-se uma amostra foi de 244 respondentes, representando 1,36% da população.</w:t>
      </w:r>
    </w:p>
    <w:p w:rsidR="00D13228" w:rsidRPr="00B56672" w:rsidRDefault="00D13228" w:rsidP="00D13228">
      <w:pPr>
        <w:ind w:firstLine="708"/>
        <w:rPr>
          <w:color w:val="000000"/>
          <w:szCs w:val="27"/>
        </w:rPr>
      </w:pPr>
      <w:r w:rsidRPr="00B56672">
        <w:rPr>
          <w:color w:val="000000"/>
          <w:szCs w:val="24"/>
        </w:rPr>
        <w:t xml:space="preserve">Os dados coletados foram tabulados por meio da plataforma </w:t>
      </w:r>
      <w:r w:rsidRPr="00B56672">
        <w:rPr>
          <w:i/>
          <w:szCs w:val="24"/>
        </w:rPr>
        <w:t>Google</w:t>
      </w:r>
      <w:r w:rsidRPr="00B56672">
        <w:rPr>
          <w:szCs w:val="24"/>
        </w:rPr>
        <w:t xml:space="preserve"> Formulários</w:t>
      </w:r>
      <w:r w:rsidRPr="00B56672">
        <w:rPr>
          <w:color w:val="000000"/>
          <w:szCs w:val="24"/>
        </w:rPr>
        <w:t xml:space="preserve">® e a técnica de análise utilizada foi a estatística descritiva, segundo a distribuição de frequência relativa. </w:t>
      </w:r>
    </w:p>
    <w:p w:rsidR="00D13228" w:rsidRPr="00B56672" w:rsidRDefault="00D13228" w:rsidP="00D13228">
      <w:pPr>
        <w:ind w:firstLine="708"/>
        <w:rPr>
          <w:rFonts w:eastAsia="Arial"/>
          <w:szCs w:val="24"/>
        </w:rPr>
      </w:pPr>
    </w:p>
    <w:p w:rsidR="00D13228" w:rsidRPr="00B56672" w:rsidRDefault="00D13228" w:rsidP="00D13228">
      <w:pPr>
        <w:ind w:firstLine="0"/>
        <w:rPr>
          <w:b/>
          <w:bCs/>
          <w:color w:val="000000" w:themeColor="text1"/>
          <w:szCs w:val="24"/>
        </w:rPr>
      </w:pPr>
      <w:r w:rsidRPr="00B56672">
        <w:rPr>
          <w:b/>
          <w:bCs/>
          <w:color w:val="000000" w:themeColor="text1"/>
          <w:szCs w:val="24"/>
        </w:rPr>
        <w:t xml:space="preserve">4 Análise </w:t>
      </w:r>
      <w:r>
        <w:rPr>
          <w:b/>
          <w:bCs/>
          <w:color w:val="000000" w:themeColor="text1"/>
          <w:szCs w:val="24"/>
        </w:rPr>
        <w:t>d</w:t>
      </w:r>
      <w:r w:rsidRPr="00B56672">
        <w:rPr>
          <w:b/>
          <w:bCs/>
          <w:color w:val="000000" w:themeColor="text1"/>
          <w:szCs w:val="24"/>
        </w:rPr>
        <w:t>os Resultados</w:t>
      </w:r>
    </w:p>
    <w:p w:rsidR="00D13228" w:rsidRPr="00B56672" w:rsidRDefault="00D13228" w:rsidP="00D13228">
      <w:pPr>
        <w:ind w:firstLine="708"/>
        <w:rPr>
          <w:rFonts w:eastAsia="Arial"/>
          <w:szCs w:val="24"/>
        </w:rPr>
      </w:pPr>
    </w:p>
    <w:p w:rsidR="00D13228" w:rsidRPr="00B56672" w:rsidRDefault="00D13228" w:rsidP="00D13228">
      <w:pPr>
        <w:ind w:firstLine="708"/>
        <w:rPr>
          <w:rFonts w:eastAsia="Arial"/>
          <w:szCs w:val="24"/>
        </w:rPr>
      </w:pPr>
      <w:r w:rsidRPr="00B56672">
        <w:rPr>
          <w:rFonts w:eastAsia="Arial"/>
          <w:szCs w:val="24"/>
        </w:rPr>
        <w:t>A análise dos resultados foi dividida em duas etapas. Na primeira identificou-se o perfil dos respondentes e, na segunda, a percepção dos profissionais contábeis de Santa Catarina em relação às suas finanças pessoais. Deste modo, na Tabela 1 apresenta-se o gênero dos respondentes.</w:t>
      </w:r>
    </w:p>
    <w:p w:rsidR="00D13228" w:rsidRPr="00B56672" w:rsidRDefault="00D13228" w:rsidP="00D13228">
      <w:pPr>
        <w:rPr>
          <w:rFonts w:eastAsia="Arial"/>
          <w:sz w:val="18"/>
          <w:szCs w:val="18"/>
        </w:rPr>
      </w:pPr>
    </w:p>
    <w:p w:rsidR="00D13228" w:rsidRPr="00B56672" w:rsidRDefault="00D13228" w:rsidP="00D13228">
      <w:pPr>
        <w:ind w:firstLine="0"/>
        <w:rPr>
          <w:rFonts w:eastAsia="Arial"/>
          <w:sz w:val="20"/>
        </w:rPr>
      </w:pPr>
      <w:r w:rsidRPr="00B56672">
        <w:rPr>
          <w:rFonts w:eastAsia="Arial"/>
          <w:b/>
          <w:sz w:val="20"/>
        </w:rPr>
        <w:t>Tabela 1:</w:t>
      </w:r>
      <w:r w:rsidRPr="00B56672">
        <w:rPr>
          <w:rFonts w:eastAsia="Arial"/>
          <w:sz w:val="20"/>
        </w:rPr>
        <w:t xml:space="preserve"> Gênero</w:t>
      </w:r>
    </w:p>
    <w:tbl>
      <w:tblPr>
        <w:tblW w:w="4862" w:type="pct"/>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356"/>
        <w:gridCol w:w="2999"/>
      </w:tblGrid>
      <w:tr w:rsidR="00D13228" w:rsidRPr="00B56672" w:rsidTr="00D13228">
        <w:trPr>
          <w:trHeight w:val="132"/>
        </w:trPr>
        <w:tc>
          <w:tcPr>
            <w:tcW w:w="3397" w:type="pct"/>
            <w:vAlign w:val="bottom"/>
          </w:tcPr>
          <w:p w:rsidR="00D13228" w:rsidRPr="00B56672" w:rsidRDefault="00D13228" w:rsidP="00D13228">
            <w:pPr>
              <w:ind w:firstLine="0"/>
              <w:rPr>
                <w:rFonts w:eastAsia="Arial"/>
                <w:b/>
                <w:sz w:val="20"/>
              </w:rPr>
            </w:pPr>
            <w:r w:rsidRPr="00B56672">
              <w:rPr>
                <w:rFonts w:eastAsia="Arial"/>
                <w:b/>
                <w:sz w:val="20"/>
              </w:rPr>
              <w:t>Gênero</w:t>
            </w:r>
          </w:p>
        </w:tc>
        <w:tc>
          <w:tcPr>
            <w:tcW w:w="1603" w:type="pct"/>
            <w:vAlign w:val="bottom"/>
          </w:tcPr>
          <w:p w:rsidR="00D13228" w:rsidRPr="00B56672" w:rsidRDefault="00D13228" w:rsidP="00D13228">
            <w:pPr>
              <w:ind w:firstLine="0"/>
              <w:jc w:val="center"/>
              <w:rPr>
                <w:rFonts w:eastAsia="Arial"/>
                <w:b/>
                <w:sz w:val="20"/>
              </w:rPr>
            </w:pPr>
            <w:r w:rsidRPr="00B56672">
              <w:rPr>
                <w:rFonts w:eastAsia="Arial"/>
                <w:b/>
                <w:sz w:val="20"/>
              </w:rPr>
              <w:t>Frequência Relativa</w:t>
            </w:r>
          </w:p>
        </w:tc>
      </w:tr>
      <w:tr w:rsidR="00D13228" w:rsidRPr="00B56672" w:rsidTr="00D13228">
        <w:trPr>
          <w:trHeight w:val="21"/>
        </w:trPr>
        <w:tc>
          <w:tcPr>
            <w:tcW w:w="3397" w:type="pct"/>
            <w:vAlign w:val="bottom"/>
          </w:tcPr>
          <w:p w:rsidR="00D13228" w:rsidRPr="00B56672" w:rsidRDefault="00D13228" w:rsidP="00D13228">
            <w:pPr>
              <w:ind w:firstLine="0"/>
              <w:rPr>
                <w:rFonts w:eastAsia="Arial"/>
                <w:sz w:val="20"/>
              </w:rPr>
            </w:pPr>
            <w:r w:rsidRPr="00B56672">
              <w:rPr>
                <w:rFonts w:eastAsia="Arial"/>
                <w:sz w:val="20"/>
              </w:rPr>
              <w:t>Masculino</w:t>
            </w:r>
          </w:p>
        </w:tc>
        <w:tc>
          <w:tcPr>
            <w:tcW w:w="1603" w:type="pct"/>
            <w:vAlign w:val="bottom"/>
          </w:tcPr>
          <w:p w:rsidR="00D13228" w:rsidRPr="00B56672" w:rsidRDefault="00D13228" w:rsidP="00D13228">
            <w:pPr>
              <w:ind w:firstLine="0"/>
              <w:jc w:val="center"/>
              <w:rPr>
                <w:rFonts w:eastAsia="Arial"/>
                <w:sz w:val="20"/>
              </w:rPr>
            </w:pPr>
            <w:r w:rsidRPr="00B56672">
              <w:rPr>
                <w:rFonts w:eastAsia="Arial"/>
                <w:sz w:val="20"/>
              </w:rPr>
              <w:t>52,5%</w:t>
            </w:r>
          </w:p>
        </w:tc>
      </w:tr>
      <w:tr w:rsidR="00D13228" w:rsidRPr="00B56672" w:rsidTr="00D13228">
        <w:trPr>
          <w:trHeight w:val="21"/>
        </w:trPr>
        <w:tc>
          <w:tcPr>
            <w:tcW w:w="3397" w:type="pct"/>
            <w:vAlign w:val="bottom"/>
          </w:tcPr>
          <w:p w:rsidR="00D13228" w:rsidRPr="00B56672" w:rsidRDefault="00D13228" w:rsidP="00D13228">
            <w:pPr>
              <w:ind w:firstLine="0"/>
              <w:rPr>
                <w:rFonts w:eastAsia="Arial"/>
                <w:sz w:val="20"/>
              </w:rPr>
            </w:pPr>
            <w:r w:rsidRPr="00B56672">
              <w:rPr>
                <w:rFonts w:eastAsia="Arial"/>
                <w:sz w:val="20"/>
              </w:rPr>
              <w:t>Feminino</w:t>
            </w:r>
          </w:p>
        </w:tc>
        <w:tc>
          <w:tcPr>
            <w:tcW w:w="1603" w:type="pct"/>
            <w:vAlign w:val="bottom"/>
          </w:tcPr>
          <w:p w:rsidR="00D13228" w:rsidRPr="00B56672" w:rsidRDefault="00D13228" w:rsidP="00D13228">
            <w:pPr>
              <w:ind w:firstLine="0"/>
              <w:jc w:val="center"/>
              <w:rPr>
                <w:rFonts w:eastAsia="Arial"/>
                <w:sz w:val="20"/>
              </w:rPr>
            </w:pPr>
            <w:r w:rsidRPr="00B56672">
              <w:rPr>
                <w:rFonts w:eastAsia="Arial"/>
                <w:sz w:val="20"/>
              </w:rPr>
              <w:t>47,5%</w:t>
            </w:r>
          </w:p>
        </w:tc>
      </w:tr>
      <w:tr w:rsidR="00D13228" w:rsidRPr="00B56672" w:rsidTr="00D13228">
        <w:trPr>
          <w:trHeight w:val="21"/>
        </w:trPr>
        <w:tc>
          <w:tcPr>
            <w:tcW w:w="3397" w:type="pct"/>
            <w:vAlign w:val="bottom"/>
          </w:tcPr>
          <w:p w:rsidR="00D13228" w:rsidRPr="00B56672" w:rsidRDefault="00D13228" w:rsidP="00D13228">
            <w:pPr>
              <w:ind w:firstLine="0"/>
              <w:rPr>
                <w:rFonts w:eastAsia="Arial"/>
                <w:b/>
                <w:sz w:val="20"/>
              </w:rPr>
            </w:pPr>
            <w:r w:rsidRPr="00B56672">
              <w:rPr>
                <w:rFonts w:eastAsia="Arial"/>
                <w:b/>
                <w:sz w:val="20"/>
              </w:rPr>
              <w:t>Total</w:t>
            </w:r>
          </w:p>
        </w:tc>
        <w:tc>
          <w:tcPr>
            <w:tcW w:w="1603" w:type="pct"/>
            <w:vAlign w:val="bottom"/>
          </w:tcPr>
          <w:p w:rsidR="00D13228" w:rsidRPr="00B56672" w:rsidRDefault="00D13228" w:rsidP="00D13228">
            <w:pPr>
              <w:ind w:firstLine="0"/>
              <w:jc w:val="center"/>
              <w:rPr>
                <w:rFonts w:eastAsia="Arial"/>
                <w:b/>
                <w:sz w:val="20"/>
              </w:rPr>
            </w:pPr>
            <w:r w:rsidRPr="00B56672">
              <w:rPr>
                <w:rFonts w:eastAsia="Arial"/>
                <w:b/>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w:t>
      </w:r>
    </w:p>
    <w:p w:rsidR="00D13228" w:rsidRPr="00B56672" w:rsidRDefault="00D13228" w:rsidP="00D13228">
      <w:pPr>
        <w:rPr>
          <w:sz w:val="18"/>
          <w:szCs w:val="18"/>
        </w:rPr>
      </w:pPr>
    </w:p>
    <w:p w:rsidR="00D13228" w:rsidRPr="00B56672" w:rsidRDefault="00D13228" w:rsidP="00D13228">
      <w:pPr>
        <w:ind w:firstLine="708"/>
        <w:rPr>
          <w:szCs w:val="24"/>
        </w:rPr>
      </w:pPr>
      <w:r w:rsidRPr="00B56672">
        <w:rPr>
          <w:szCs w:val="24"/>
        </w:rPr>
        <w:t xml:space="preserve">De acordo com a Tabela 1, é possível perceber um equilíbrio no gênero dos respondentes, tendo como destaque o masculino, representado 52,5% da amostra. A Tabela 2 revela a idade </w:t>
      </w:r>
      <w:r w:rsidR="00D42C09">
        <w:rPr>
          <w:szCs w:val="24"/>
        </w:rPr>
        <w:t xml:space="preserve">e o estado civil </w:t>
      </w:r>
      <w:r w:rsidRPr="00B56672">
        <w:rPr>
          <w:szCs w:val="24"/>
        </w:rPr>
        <w:t>dos profissionais contábeis.</w:t>
      </w:r>
    </w:p>
    <w:p w:rsidR="00D13228" w:rsidRPr="00B56672" w:rsidRDefault="00D13228" w:rsidP="00D13228">
      <w:pPr>
        <w:ind w:firstLine="0"/>
        <w:textAlignment w:val="baseline"/>
        <w:rPr>
          <w:sz w:val="18"/>
          <w:szCs w:val="18"/>
        </w:rPr>
      </w:pPr>
      <w:r w:rsidRPr="00B56672">
        <w:rPr>
          <w:b/>
          <w:bCs/>
          <w:sz w:val="20"/>
        </w:rPr>
        <w:lastRenderedPageBreak/>
        <w:t>Tabela 2:</w:t>
      </w:r>
      <w:r w:rsidRPr="00B56672">
        <w:rPr>
          <w:sz w:val="20"/>
        </w:rPr>
        <w:t> Idade</w:t>
      </w:r>
      <w:r w:rsidR="00D42C09">
        <w:rPr>
          <w:sz w:val="20"/>
        </w:rPr>
        <w:t xml:space="preserve"> e Estado Civil</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2551"/>
        <w:gridCol w:w="2126"/>
        <w:gridCol w:w="2552"/>
      </w:tblGrid>
      <w:tr w:rsidR="00D42C09" w:rsidRPr="00B56672" w:rsidTr="00D42C09">
        <w:trPr>
          <w:trHeight w:val="112"/>
        </w:trPr>
        <w:tc>
          <w:tcPr>
            <w:tcW w:w="2127" w:type="dxa"/>
            <w:tcBorders>
              <w:left w:val="nil"/>
            </w:tcBorders>
            <w:shd w:val="clear" w:color="auto" w:fill="auto"/>
            <w:vAlign w:val="center"/>
            <w:hideMark/>
          </w:tcPr>
          <w:p w:rsidR="00D42C09" w:rsidRPr="00B56672" w:rsidRDefault="00D42C09" w:rsidP="0086683B">
            <w:pPr>
              <w:ind w:firstLine="0"/>
              <w:jc w:val="center"/>
              <w:textAlignment w:val="baseline"/>
              <w:rPr>
                <w:szCs w:val="24"/>
              </w:rPr>
            </w:pPr>
            <w:r w:rsidRPr="00B56672">
              <w:rPr>
                <w:b/>
                <w:bCs/>
                <w:sz w:val="20"/>
              </w:rPr>
              <w:t>Idade</w:t>
            </w:r>
          </w:p>
        </w:tc>
        <w:tc>
          <w:tcPr>
            <w:tcW w:w="2551" w:type="dxa"/>
            <w:shd w:val="clear" w:color="auto" w:fill="auto"/>
            <w:vAlign w:val="center"/>
            <w:hideMark/>
          </w:tcPr>
          <w:p w:rsidR="00D42C09" w:rsidRPr="00B56672" w:rsidRDefault="00D42C09" w:rsidP="00D42C09">
            <w:pPr>
              <w:ind w:firstLine="0"/>
              <w:jc w:val="center"/>
              <w:textAlignment w:val="baseline"/>
              <w:rPr>
                <w:szCs w:val="24"/>
              </w:rPr>
            </w:pPr>
            <w:r w:rsidRPr="00B56672">
              <w:rPr>
                <w:b/>
                <w:bCs/>
                <w:sz w:val="20"/>
              </w:rPr>
              <w:t>Frequência Relativa</w:t>
            </w:r>
          </w:p>
        </w:tc>
        <w:tc>
          <w:tcPr>
            <w:tcW w:w="2126" w:type="dxa"/>
            <w:vAlign w:val="center"/>
          </w:tcPr>
          <w:p w:rsidR="00D42C09" w:rsidRPr="00B56672" w:rsidRDefault="00D42C09" w:rsidP="0086683B">
            <w:pPr>
              <w:ind w:firstLine="0"/>
              <w:jc w:val="center"/>
              <w:rPr>
                <w:b/>
                <w:sz w:val="20"/>
              </w:rPr>
            </w:pPr>
            <w:r w:rsidRPr="00B56672">
              <w:rPr>
                <w:b/>
                <w:sz w:val="20"/>
              </w:rPr>
              <w:t>Estado Civil</w:t>
            </w:r>
          </w:p>
        </w:tc>
        <w:tc>
          <w:tcPr>
            <w:tcW w:w="2552" w:type="dxa"/>
            <w:tcBorders>
              <w:right w:val="nil"/>
            </w:tcBorders>
            <w:vAlign w:val="center"/>
          </w:tcPr>
          <w:p w:rsidR="00D42C09" w:rsidRPr="00B56672" w:rsidRDefault="00D42C09" w:rsidP="00D42C09">
            <w:pPr>
              <w:ind w:firstLine="0"/>
              <w:jc w:val="center"/>
              <w:rPr>
                <w:b/>
                <w:sz w:val="20"/>
              </w:rPr>
            </w:pPr>
            <w:r w:rsidRPr="00B56672">
              <w:rPr>
                <w:b/>
                <w:sz w:val="20"/>
              </w:rPr>
              <w:t>Frequência Relativa</w:t>
            </w:r>
          </w:p>
        </w:tc>
      </w:tr>
      <w:tr w:rsidR="00D42C09" w:rsidRPr="00B56672" w:rsidTr="00D42C09">
        <w:trPr>
          <w:trHeight w:val="65"/>
        </w:trPr>
        <w:tc>
          <w:tcPr>
            <w:tcW w:w="2127" w:type="dxa"/>
            <w:tcBorders>
              <w:left w:val="nil"/>
            </w:tcBorders>
            <w:shd w:val="clear" w:color="auto" w:fill="auto"/>
            <w:vAlign w:val="center"/>
            <w:hideMark/>
          </w:tcPr>
          <w:p w:rsidR="00D42C09" w:rsidRPr="00B56672" w:rsidRDefault="00D42C09" w:rsidP="0086683B">
            <w:pPr>
              <w:ind w:firstLine="0"/>
              <w:jc w:val="center"/>
              <w:rPr>
                <w:szCs w:val="24"/>
              </w:rPr>
            </w:pPr>
            <w:r w:rsidRPr="00B56672">
              <w:rPr>
                <w:sz w:val="20"/>
              </w:rPr>
              <w:t>18 a 30 anos</w:t>
            </w:r>
          </w:p>
        </w:tc>
        <w:tc>
          <w:tcPr>
            <w:tcW w:w="2551" w:type="dxa"/>
            <w:shd w:val="clear" w:color="auto" w:fill="auto"/>
            <w:vAlign w:val="center"/>
            <w:hideMark/>
          </w:tcPr>
          <w:p w:rsidR="00D42C09" w:rsidRPr="00B56672" w:rsidRDefault="00D42C09" w:rsidP="00D42C09">
            <w:pPr>
              <w:ind w:firstLine="0"/>
              <w:jc w:val="center"/>
              <w:textAlignment w:val="baseline"/>
              <w:rPr>
                <w:szCs w:val="24"/>
              </w:rPr>
            </w:pPr>
            <w:r w:rsidRPr="00B56672">
              <w:rPr>
                <w:sz w:val="20"/>
              </w:rPr>
              <w:t>28,3%</w:t>
            </w:r>
          </w:p>
        </w:tc>
        <w:tc>
          <w:tcPr>
            <w:tcW w:w="2126" w:type="dxa"/>
            <w:vAlign w:val="center"/>
          </w:tcPr>
          <w:p w:rsidR="00D42C09" w:rsidRPr="00B56672" w:rsidRDefault="00D42C09" w:rsidP="0086683B">
            <w:pPr>
              <w:ind w:firstLine="0"/>
              <w:jc w:val="center"/>
              <w:rPr>
                <w:sz w:val="20"/>
              </w:rPr>
            </w:pPr>
            <w:r w:rsidRPr="00B56672">
              <w:rPr>
                <w:sz w:val="20"/>
              </w:rPr>
              <w:t>Solteiro (a)</w:t>
            </w:r>
          </w:p>
        </w:tc>
        <w:tc>
          <w:tcPr>
            <w:tcW w:w="2552" w:type="dxa"/>
            <w:tcBorders>
              <w:right w:val="nil"/>
            </w:tcBorders>
            <w:vAlign w:val="center"/>
          </w:tcPr>
          <w:p w:rsidR="00D42C09" w:rsidRPr="00B56672" w:rsidRDefault="00D42C09" w:rsidP="00D42C09">
            <w:pPr>
              <w:ind w:firstLine="0"/>
              <w:jc w:val="center"/>
              <w:rPr>
                <w:sz w:val="20"/>
              </w:rPr>
            </w:pPr>
            <w:r w:rsidRPr="00B56672">
              <w:rPr>
                <w:sz w:val="20"/>
              </w:rPr>
              <w:t>29,1%</w:t>
            </w:r>
          </w:p>
        </w:tc>
      </w:tr>
      <w:tr w:rsidR="00D42C09" w:rsidRPr="00B56672" w:rsidTr="00D42C09">
        <w:trPr>
          <w:trHeight w:val="65"/>
        </w:trPr>
        <w:tc>
          <w:tcPr>
            <w:tcW w:w="2127" w:type="dxa"/>
            <w:tcBorders>
              <w:left w:val="nil"/>
            </w:tcBorders>
            <w:shd w:val="clear" w:color="auto" w:fill="auto"/>
            <w:vAlign w:val="center"/>
            <w:hideMark/>
          </w:tcPr>
          <w:p w:rsidR="00D42C09" w:rsidRPr="00B56672" w:rsidRDefault="00D42C09" w:rsidP="0086683B">
            <w:pPr>
              <w:ind w:firstLine="0"/>
              <w:jc w:val="center"/>
              <w:textAlignment w:val="baseline"/>
              <w:rPr>
                <w:szCs w:val="24"/>
              </w:rPr>
            </w:pPr>
            <w:r w:rsidRPr="00B56672">
              <w:rPr>
                <w:sz w:val="20"/>
              </w:rPr>
              <w:t>31 a 43 anos</w:t>
            </w:r>
          </w:p>
        </w:tc>
        <w:tc>
          <w:tcPr>
            <w:tcW w:w="2551" w:type="dxa"/>
            <w:shd w:val="clear" w:color="auto" w:fill="auto"/>
            <w:vAlign w:val="center"/>
            <w:hideMark/>
          </w:tcPr>
          <w:p w:rsidR="00D42C09" w:rsidRPr="00B56672" w:rsidRDefault="00D42C09" w:rsidP="00D42C09">
            <w:pPr>
              <w:ind w:firstLine="0"/>
              <w:jc w:val="center"/>
              <w:textAlignment w:val="baseline"/>
              <w:rPr>
                <w:szCs w:val="24"/>
              </w:rPr>
            </w:pPr>
            <w:r w:rsidRPr="00B56672">
              <w:rPr>
                <w:sz w:val="20"/>
              </w:rPr>
              <w:t>36,9%</w:t>
            </w:r>
          </w:p>
        </w:tc>
        <w:tc>
          <w:tcPr>
            <w:tcW w:w="2126" w:type="dxa"/>
            <w:vAlign w:val="center"/>
          </w:tcPr>
          <w:p w:rsidR="00D42C09" w:rsidRPr="00B56672" w:rsidRDefault="00D42C09" w:rsidP="0086683B">
            <w:pPr>
              <w:ind w:firstLine="0"/>
              <w:jc w:val="center"/>
              <w:rPr>
                <w:sz w:val="20"/>
              </w:rPr>
            </w:pPr>
            <w:r w:rsidRPr="00B56672">
              <w:rPr>
                <w:sz w:val="20"/>
              </w:rPr>
              <w:t>Casado (a)</w:t>
            </w:r>
          </w:p>
        </w:tc>
        <w:tc>
          <w:tcPr>
            <w:tcW w:w="2552" w:type="dxa"/>
            <w:tcBorders>
              <w:right w:val="nil"/>
            </w:tcBorders>
            <w:vAlign w:val="center"/>
          </w:tcPr>
          <w:p w:rsidR="00D42C09" w:rsidRPr="00B56672" w:rsidRDefault="00D42C09" w:rsidP="00D42C09">
            <w:pPr>
              <w:ind w:firstLine="0"/>
              <w:jc w:val="center"/>
              <w:rPr>
                <w:sz w:val="20"/>
              </w:rPr>
            </w:pPr>
            <w:r w:rsidRPr="00B56672">
              <w:rPr>
                <w:sz w:val="20"/>
              </w:rPr>
              <w:t>52,0%</w:t>
            </w:r>
          </w:p>
        </w:tc>
      </w:tr>
      <w:tr w:rsidR="00D42C09" w:rsidRPr="00B56672" w:rsidTr="00D42C09">
        <w:trPr>
          <w:trHeight w:val="93"/>
        </w:trPr>
        <w:tc>
          <w:tcPr>
            <w:tcW w:w="2127" w:type="dxa"/>
            <w:tcBorders>
              <w:left w:val="nil"/>
            </w:tcBorders>
            <w:shd w:val="clear" w:color="auto" w:fill="auto"/>
            <w:vAlign w:val="center"/>
            <w:hideMark/>
          </w:tcPr>
          <w:p w:rsidR="00D42C09" w:rsidRPr="00B56672" w:rsidRDefault="00D42C09" w:rsidP="0086683B">
            <w:pPr>
              <w:ind w:firstLine="0"/>
              <w:jc w:val="center"/>
              <w:textAlignment w:val="baseline"/>
              <w:rPr>
                <w:szCs w:val="24"/>
              </w:rPr>
            </w:pPr>
            <w:r w:rsidRPr="00B56672">
              <w:rPr>
                <w:sz w:val="20"/>
              </w:rPr>
              <w:t>44 a 56 anos</w:t>
            </w:r>
          </w:p>
        </w:tc>
        <w:tc>
          <w:tcPr>
            <w:tcW w:w="2551" w:type="dxa"/>
            <w:shd w:val="clear" w:color="auto" w:fill="auto"/>
            <w:vAlign w:val="center"/>
            <w:hideMark/>
          </w:tcPr>
          <w:p w:rsidR="00D42C09" w:rsidRPr="00B56672" w:rsidRDefault="00D42C09" w:rsidP="00D42C09">
            <w:pPr>
              <w:ind w:firstLine="0"/>
              <w:jc w:val="center"/>
              <w:textAlignment w:val="baseline"/>
              <w:rPr>
                <w:szCs w:val="24"/>
              </w:rPr>
            </w:pPr>
            <w:r w:rsidRPr="00B56672">
              <w:rPr>
                <w:sz w:val="20"/>
              </w:rPr>
              <w:t>24,6%</w:t>
            </w:r>
          </w:p>
        </w:tc>
        <w:tc>
          <w:tcPr>
            <w:tcW w:w="2126" w:type="dxa"/>
            <w:vAlign w:val="center"/>
          </w:tcPr>
          <w:p w:rsidR="00D42C09" w:rsidRPr="00B56672" w:rsidRDefault="00D42C09" w:rsidP="0086683B">
            <w:pPr>
              <w:ind w:firstLine="0"/>
              <w:jc w:val="center"/>
              <w:rPr>
                <w:sz w:val="20"/>
              </w:rPr>
            </w:pPr>
            <w:r w:rsidRPr="00B56672">
              <w:rPr>
                <w:sz w:val="20"/>
              </w:rPr>
              <w:t>Divorciado</w:t>
            </w:r>
          </w:p>
        </w:tc>
        <w:tc>
          <w:tcPr>
            <w:tcW w:w="2552" w:type="dxa"/>
            <w:tcBorders>
              <w:right w:val="nil"/>
            </w:tcBorders>
            <w:vAlign w:val="center"/>
          </w:tcPr>
          <w:p w:rsidR="00D42C09" w:rsidRPr="00B56672" w:rsidRDefault="00D42C09" w:rsidP="00D42C09">
            <w:pPr>
              <w:ind w:firstLine="0"/>
              <w:jc w:val="center"/>
              <w:rPr>
                <w:sz w:val="20"/>
              </w:rPr>
            </w:pPr>
            <w:r w:rsidRPr="00B56672">
              <w:rPr>
                <w:sz w:val="20"/>
              </w:rPr>
              <w:t>5,7%</w:t>
            </w:r>
          </w:p>
        </w:tc>
      </w:tr>
      <w:tr w:rsidR="00D42C09" w:rsidRPr="00B56672" w:rsidTr="00D42C09">
        <w:trPr>
          <w:trHeight w:val="65"/>
        </w:trPr>
        <w:tc>
          <w:tcPr>
            <w:tcW w:w="2127" w:type="dxa"/>
            <w:tcBorders>
              <w:left w:val="nil"/>
            </w:tcBorders>
            <w:shd w:val="clear" w:color="auto" w:fill="auto"/>
            <w:vAlign w:val="center"/>
            <w:hideMark/>
          </w:tcPr>
          <w:p w:rsidR="00D42C09" w:rsidRPr="00B56672" w:rsidRDefault="00D42C09" w:rsidP="0086683B">
            <w:pPr>
              <w:ind w:firstLine="0"/>
              <w:jc w:val="center"/>
              <w:textAlignment w:val="baseline"/>
              <w:rPr>
                <w:szCs w:val="24"/>
              </w:rPr>
            </w:pPr>
            <w:r w:rsidRPr="00B56672">
              <w:rPr>
                <w:sz w:val="20"/>
              </w:rPr>
              <w:t>57 a 69 anos</w:t>
            </w:r>
          </w:p>
        </w:tc>
        <w:tc>
          <w:tcPr>
            <w:tcW w:w="2551" w:type="dxa"/>
            <w:shd w:val="clear" w:color="auto" w:fill="auto"/>
            <w:vAlign w:val="center"/>
            <w:hideMark/>
          </w:tcPr>
          <w:p w:rsidR="00D42C09" w:rsidRPr="00B56672" w:rsidRDefault="00D42C09" w:rsidP="00D42C09">
            <w:pPr>
              <w:ind w:firstLine="0"/>
              <w:jc w:val="center"/>
              <w:textAlignment w:val="baseline"/>
              <w:rPr>
                <w:szCs w:val="24"/>
              </w:rPr>
            </w:pPr>
            <w:r w:rsidRPr="00B56672">
              <w:rPr>
                <w:sz w:val="20"/>
              </w:rPr>
              <w:t>9,0%</w:t>
            </w:r>
          </w:p>
        </w:tc>
        <w:tc>
          <w:tcPr>
            <w:tcW w:w="2126" w:type="dxa"/>
            <w:vAlign w:val="center"/>
          </w:tcPr>
          <w:p w:rsidR="00D42C09" w:rsidRPr="00B56672" w:rsidRDefault="00D42C09" w:rsidP="0086683B">
            <w:pPr>
              <w:ind w:firstLine="0"/>
              <w:jc w:val="center"/>
              <w:rPr>
                <w:sz w:val="20"/>
              </w:rPr>
            </w:pPr>
            <w:r w:rsidRPr="00B56672">
              <w:rPr>
                <w:sz w:val="20"/>
              </w:rPr>
              <w:t>União Estável</w:t>
            </w:r>
          </w:p>
        </w:tc>
        <w:tc>
          <w:tcPr>
            <w:tcW w:w="2552" w:type="dxa"/>
            <w:tcBorders>
              <w:right w:val="nil"/>
            </w:tcBorders>
            <w:vAlign w:val="center"/>
          </w:tcPr>
          <w:p w:rsidR="00D42C09" w:rsidRPr="00B56672" w:rsidRDefault="00D42C09" w:rsidP="00D42C09">
            <w:pPr>
              <w:ind w:firstLine="0"/>
              <w:jc w:val="center"/>
              <w:rPr>
                <w:sz w:val="20"/>
              </w:rPr>
            </w:pPr>
            <w:r w:rsidRPr="00B56672">
              <w:rPr>
                <w:sz w:val="20"/>
              </w:rPr>
              <w:t>12,7%</w:t>
            </w:r>
          </w:p>
        </w:tc>
      </w:tr>
      <w:tr w:rsidR="00D42C09" w:rsidRPr="00B56672" w:rsidTr="00D42C09">
        <w:trPr>
          <w:trHeight w:val="65"/>
        </w:trPr>
        <w:tc>
          <w:tcPr>
            <w:tcW w:w="2127" w:type="dxa"/>
            <w:tcBorders>
              <w:left w:val="nil"/>
            </w:tcBorders>
            <w:shd w:val="clear" w:color="auto" w:fill="auto"/>
            <w:vAlign w:val="center"/>
            <w:hideMark/>
          </w:tcPr>
          <w:p w:rsidR="00D42C09" w:rsidRPr="00B56672" w:rsidRDefault="00D42C09" w:rsidP="0086683B">
            <w:pPr>
              <w:ind w:firstLine="0"/>
              <w:jc w:val="center"/>
              <w:textAlignment w:val="baseline"/>
              <w:rPr>
                <w:szCs w:val="24"/>
              </w:rPr>
            </w:pPr>
            <w:r w:rsidRPr="00B56672">
              <w:rPr>
                <w:sz w:val="20"/>
              </w:rPr>
              <w:t>70 anos ou mais</w:t>
            </w:r>
          </w:p>
        </w:tc>
        <w:tc>
          <w:tcPr>
            <w:tcW w:w="2551" w:type="dxa"/>
            <w:shd w:val="clear" w:color="auto" w:fill="auto"/>
            <w:vAlign w:val="center"/>
            <w:hideMark/>
          </w:tcPr>
          <w:p w:rsidR="00D42C09" w:rsidRPr="00B56672" w:rsidRDefault="00D42C09" w:rsidP="00D42C09">
            <w:pPr>
              <w:ind w:firstLine="0"/>
              <w:jc w:val="center"/>
              <w:textAlignment w:val="baseline"/>
              <w:rPr>
                <w:szCs w:val="24"/>
              </w:rPr>
            </w:pPr>
            <w:r w:rsidRPr="00B56672">
              <w:rPr>
                <w:sz w:val="20"/>
              </w:rPr>
              <w:t>2,0%</w:t>
            </w:r>
          </w:p>
        </w:tc>
        <w:tc>
          <w:tcPr>
            <w:tcW w:w="2126" w:type="dxa"/>
            <w:vAlign w:val="center"/>
          </w:tcPr>
          <w:p w:rsidR="00D42C09" w:rsidRPr="00B56672" w:rsidRDefault="00D42C09" w:rsidP="0086683B">
            <w:pPr>
              <w:ind w:firstLine="0"/>
              <w:jc w:val="center"/>
              <w:rPr>
                <w:sz w:val="20"/>
              </w:rPr>
            </w:pPr>
            <w:r w:rsidRPr="00B56672">
              <w:rPr>
                <w:sz w:val="20"/>
              </w:rPr>
              <w:t>Viúvo (a)</w:t>
            </w:r>
          </w:p>
        </w:tc>
        <w:tc>
          <w:tcPr>
            <w:tcW w:w="2552" w:type="dxa"/>
            <w:tcBorders>
              <w:right w:val="nil"/>
            </w:tcBorders>
            <w:vAlign w:val="center"/>
          </w:tcPr>
          <w:p w:rsidR="00D42C09" w:rsidRPr="00B56672" w:rsidRDefault="00D42C09" w:rsidP="00D42C09">
            <w:pPr>
              <w:ind w:firstLine="0"/>
              <w:jc w:val="center"/>
              <w:rPr>
                <w:sz w:val="20"/>
              </w:rPr>
            </w:pPr>
            <w:r w:rsidRPr="00B56672">
              <w:rPr>
                <w:sz w:val="20"/>
              </w:rPr>
              <w:t>0,5%</w:t>
            </w:r>
          </w:p>
        </w:tc>
      </w:tr>
      <w:tr w:rsidR="00D42C09" w:rsidRPr="00B56672" w:rsidTr="00D42C09">
        <w:trPr>
          <w:trHeight w:val="65"/>
        </w:trPr>
        <w:tc>
          <w:tcPr>
            <w:tcW w:w="2127" w:type="dxa"/>
            <w:tcBorders>
              <w:left w:val="nil"/>
            </w:tcBorders>
            <w:shd w:val="clear" w:color="auto" w:fill="auto"/>
            <w:vAlign w:val="center"/>
            <w:hideMark/>
          </w:tcPr>
          <w:p w:rsidR="00D42C09" w:rsidRPr="00B56672" w:rsidRDefault="00D42C09" w:rsidP="0086683B">
            <w:pPr>
              <w:ind w:firstLine="0"/>
              <w:jc w:val="center"/>
              <w:textAlignment w:val="baseline"/>
              <w:rPr>
                <w:szCs w:val="24"/>
              </w:rPr>
            </w:pPr>
            <w:r w:rsidRPr="00B56672">
              <w:rPr>
                <w:b/>
                <w:bCs/>
                <w:sz w:val="20"/>
              </w:rPr>
              <w:t>Total</w:t>
            </w:r>
          </w:p>
        </w:tc>
        <w:tc>
          <w:tcPr>
            <w:tcW w:w="2551" w:type="dxa"/>
            <w:shd w:val="clear" w:color="auto" w:fill="auto"/>
            <w:vAlign w:val="center"/>
            <w:hideMark/>
          </w:tcPr>
          <w:p w:rsidR="00D42C09" w:rsidRPr="00B56672" w:rsidRDefault="00D42C09" w:rsidP="00D42C09">
            <w:pPr>
              <w:ind w:firstLine="0"/>
              <w:jc w:val="center"/>
              <w:textAlignment w:val="baseline"/>
              <w:rPr>
                <w:szCs w:val="24"/>
              </w:rPr>
            </w:pPr>
            <w:r w:rsidRPr="00B56672">
              <w:rPr>
                <w:b/>
                <w:bCs/>
                <w:sz w:val="20"/>
              </w:rPr>
              <w:t>100,0%</w:t>
            </w:r>
          </w:p>
        </w:tc>
        <w:tc>
          <w:tcPr>
            <w:tcW w:w="2126" w:type="dxa"/>
          </w:tcPr>
          <w:p w:rsidR="00D42C09" w:rsidRPr="00B56672" w:rsidRDefault="00D42C09" w:rsidP="0086683B">
            <w:pPr>
              <w:ind w:firstLine="0"/>
              <w:jc w:val="center"/>
              <w:rPr>
                <w:b/>
                <w:sz w:val="20"/>
              </w:rPr>
            </w:pPr>
            <w:r w:rsidRPr="00B56672">
              <w:rPr>
                <w:b/>
                <w:sz w:val="20"/>
              </w:rPr>
              <w:t>Total</w:t>
            </w:r>
          </w:p>
        </w:tc>
        <w:tc>
          <w:tcPr>
            <w:tcW w:w="2552" w:type="dxa"/>
            <w:tcBorders>
              <w:right w:val="nil"/>
            </w:tcBorders>
          </w:tcPr>
          <w:p w:rsidR="00D42C09" w:rsidRPr="00B56672" w:rsidRDefault="00D42C09" w:rsidP="00D42C09">
            <w:pPr>
              <w:ind w:firstLine="0"/>
              <w:jc w:val="center"/>
              <w:rPr>
                <w:b/>
                <w:sz w:val="20"/>
              </w:rPr>
            </w:pPr>
            <w:r w:rsidRPr="00B56672">
              <w:rPr>
                <w:b/>
                <w:sz w:val="20"/>
              </w:rPr>
              <w:t>100,0%</w:t>
            </w:r>
          </w:p>
        </w:tc>
      </w:tr>
    </w:tbl>
    <w:p w:rsidR="00D13228" w:rsidRPr="00B56672" w:rsidRDefault="00D13228" w:rsidP="00D13228">
      <w:pPr>
        <w:ind w:firstLine="0"/>
        <w:textAlignment w:val="baseline"/>
        <w:rPr>
          <w:sz w:val="20"/>
        </w:rPr>
      </w:pPr>
      <w:r w:rsidRPr="00B56672">
        <w:rPr>
          <w:b/>
          <w:sz w:val="20"/>
        </w:rPr>
        <w:t>Fonte:</w:t>
      </w:r>
      <w:r w:rsidRPr="00B56672">
        <w:rPr>
          <w:sz w:val="20"/>
        </w:rPr>
        <w:t xml:space="preserve"> Dados da Pesquisa (2019) </w:t>
      </w:r>
    </w:p>
    <w:p w:rsidR="00D13228" w:rsidRPr="00B56672" w:rsidRDefault="00D13228" w:rsidP="00D13228">
      <w:pPr>
        <w:textAlignment w:val="baseline"/>
        <w:rPr>
          <w:sz w:val="18"/>
          <w:szCs w:val="18"/>
        </w:rPr>
      </w:pPr>
    </w:p>
    <w:p w:rsidR="00D13228" w:rsidRPr="00D42C09" w:rsidRDefault="00D13228" w:rsidP="00D42C09">
      <w:pPr>
        <w:ind w:firstLine="705"/>
        <w:textAlignment w:val="baseline"/>
        <w:rPr>
          <w:sz w:val="18"/>
          <w:szCs w:val="18"/>
        </w:rPr>
      </w:pPr>
      <w:r w:rsidRPr="00B56672">
        <w:rPr>
          <w:szCs w:val="24"/>
        </w:rPr>
        <w:t xml:space="preserve">Verifica-se que a maioria dos respondentes possuem idade entre 18 e 56 anos, ou seja, 89,9% estão nesta faixa etária, com destaque para os profissionais de 31 a 43 anos, que ocupam 36,9% do total da amostra. </w:t>
      </w:r>
      <w:r w:rsidRPr="00B56672">
        <w:t xml:space="preserve">Com relação ao estado civil, 52% dos respondentes afirmam estarem casados, seguido de 29,1% que alegam serem solteiros. A Tabela </w:t>
      </w:r>
      <w:r w:rsidR="0086683B">
        <w:t>3</w:t>
      </w:r>
      <w:r w:rsidRPr="00B56672">
        <w:t xml:space="preserve"> buscou averiguar se os profissionais respondentes possuem filhos</w:t>
      </w:r>
      <w:r w:rsidR="0086683B">
        <w:t>, além do seu nível de escolaridade.</w:t>
      </w:r>
    </w:p>
    <w:p w:rsidR="00D13228" w:rsidRPr="00B56672" w:rsidRDefault="00D13228" w:rsidP="00D13228">
      <w:pPr>
        <w:ind w:firstLine="708"/>
        <w:rPr>
          <w:sz w:val="20"/>
        </w:rPr>
      </w:pPr>
    </w:p>
    <w:p w:rsidR="00D13228" w:rsidRPr="00B56672" w:rsidRDefault="00D13228" w:rsidP="00D13228">
      <w:pPr>
        <w:ind w:firstLine="0"/>
        <w:textAlignment w:val="baseline"/>
        <w:rPr>
          <w:sz w:val="18"/>
          <w:szCs w:val="18"/>
        </w:rPr>
      </w:pPr>
      <w:r w:rsidRPr="00B56672">
        <w:rPr>
          <w:b/>
          <w:bCs/>
          <w:sz w:val="20"/>
        </w:rPr>
        <w:t xml:space="preserve">Tabela </w:t>
      </w:r>
      <w:r w:rsidR="0086683B">
        <w:rPr>
          <w:b/>
          <w:bCs/>
          <w:sz w:val="20"/>
        </w:rPr>
        <w:t>3</w:t>
      </w:r>
      <w:r w:rsidRPr="00B56672">
        <w:rPr>
          <w:b/>
          <w:bCs/>
          <w:sz w:val="20"/>
        </w:rPr>
        <w:t>:</w:t>
      </w:r>
      <w:r w:rsidRPr="00B56672">
        <w:rPr>
          <w:sz w:val="20"/>
        </w:rPr>
        <w:t> Número de Filhos</w:t>
      </w:r>
      <w:r w:rsidR="0086683B">
        <w:rPr>
          <w:sz w:val="20"/>
        </w:rPr>
        <w:t xml:space="preserve"> e Nível de Escolaridade</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2551"/>
        <w:gridCol w:w="2126"/>
        <w:gridCol w:w="2601"/>
      </w:tblGrid>
      <w:tr w:rsidR="0086683B" w:rsidRPr="00B56672" w:rsidTr="0086683B">
        <w:trPr>
          <w:trHeight w:val="65"/>
        </w:trPr>
        <w:tc>
          <w:tcPr>
            <w:tcW w:w="2127" w:type="dxa"/>
            <w:tcBorders>
              <w:left w:val="nil"/>
            </w:tcBorders>
            <w:shd w:val="clear" w:color="auto" w:fill="auto"/>
            <w:vAlign w:val="center"/>
            <w:hideMark/>
          </w:tcPr>
          <w:p w:rsidR="0086683B" w:rsidRPr="00DB61BD" w:rsidRDefault="0086683B" w:rsidP="0086683B">
            <w:pPr>
              <w:ind w:firstLine="0"/>
              <w:jc w:val="center"/>
              <w:textAlignment w:val="baseline"/>
              <w:rPr>
                <w:b/>
                <w:szCs w:val="24"/>
              </w:rPr>
            </w:pPr>
            <w:r w:rsidRPr="00DB61BD">
              <w:rPr>
                <w:b/>
                <w:sz w:val="20"/>
              </w:rPr>
              <w:t>Número de Filhos</w:t>
            </w:r>
          </w:p>
        </w:tc>
        <w:tc>
          <w:tcPr>
            <w:tcW w:w="2551" w:type="dxa"/>
            <w:shd w:val="clear" w:color="auto" w:fill="auto"/>
            <w:vAlign w:val="center"/>
            <w:hideMark/>
          </w:tcPr>
          <w:p w:rsidR="0086683B" w:rsidRPr="00DB61BD" w:rsidRDefault="0086683B" w:rsidP="0086683B">
            <w:pPr>
              <w:ind w:firstLine="0"/>
              <w:jc w:val="center"/>
              <w:textAlignment w:val="baseline"/>
              <w:rPr>
                <w:szCs w:val="24"/>
              </w:rPr>
            </w:pPr>
            <w:r w:rsidRPr="00DB61BD">
              <w:rPr>
                <w:b/>
                <w:bCs/>
                <w:sz w:val="20"/>
              </w:rPr>
              <w:t>Frequência Relativa</w:t>
            </w:r>
          </w:p>
        </w:tc>
        <w:tc>
          <w:tcPr>
            <w:tcW w:w="2126" w:type="dxa"/>
            <w:vAlign w:val="center"/>
          </w:tcPr>
          <w:p w:rsidR="0086683B" w:rsidRPr="00B56672" w:rsidRDefault="0086683B" w:rsidP="0086683B">
            <w:pPr>
              <w:ind w:firstLine="0"/>
              <w:jc w:val="center"/>
              <w:textAlignment w:val="baseline"/>
              <w:rPr>
                <w:szCs w:val="24"/>
              </w:rPr>
            </w:pPr>
            <w:r w:rsidRPr="00B56672">
              <w:rPr>
                <w:b/>
                <w:bCs/>
                <w:sz w:val="20"/>
              </w:rPr>
              <w:t>Nível de Escolaridade</w:t>
            </w:r>
          </w:p>
        </w:tc>
        <w:tc>
          <w:tcPr>
            <w:tcW w:w="2601" w:type="dxa"/>
            <w:tcBorders>
              <w:right w:val="nil"/>
            </w:tcBorders>
            <w:vAlign w:val="center"/>
          </w:tcPr>
          <w:p w:rsidR="0086683B" w:rsidRPr="00B56672" w:rsidRDefault="0086683B" w:rsidP="0086683B">
            <w:pPr>
              <w:ind w:firstLine="0"/>
              <w:jc w:val="center"/>
              <w:textAlignment w:val="baseline"/>
              <w:rPr>
                <w:szCs w:val="24"/>
              </w:rPr>
            </w:pPr>
            <w:r w:rsidRPr="00B56672">
              <w:rPr>
                <w:b/>
                <w:bCs/>
                <w:sz w:val="20"/>
              </w:rPr>
              <w:t>Frequência Relativa</w:t>
            </w:r>
          </w:p>
        </w:tc>
      </w:tr>
      <w:tr w:rsidR="0086683B" w:rsidRPr="00B56672" w:rsidTr="0086683B">
        <w:trPr>
          <w:trHeight w:val="65"/>
        </w:trPr>
        <w:tc>
          <w:tcPr>
            <w:tcW w:w="2127" w:type="dxa"/>
            <w:tcBorders>
              <w:left w:val="nil"/>
            </w:tcBorders>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Nenhum</w:t>
            </w:r>
          </w:p>
        </w:tc>
        <w:tc>
          <w:tcPr>
            <w:tcW w:w="2551" w:type="dxa"/>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45,1%</w:t>
            </w:r>
          </w:p>
        </w:tc>
        <w:tc>
          <w:tcPr>
            <w:tcW w:w="2126" w:type="dxa"/>
            <w:vAlign w:val="center"/>
          </w:tcPr>
          <w:p w:rsidR="0086683B" w:rsidRPr="00B56672" w:rsidRDefault="0086683B" w:rsidP="0086683B">
            <w:pPr>
              <w:ind w:firstLine="0"/>
              <w:jc w:val="center"/>
              <w:textAlignment w:val="baseline"/>
              <w:rPr>
                <w:szCs w:val="24"/>
              </w:rPr>
            </w:pPr>
            <w:r w:rsidRPr="00B56672">
              <w:rPr>
                <w:sz w:val="20"/>
              </w:rPr>
              <w:t>Graduação</w:t>
            </w:r>
          </w:p>
        </w:tc>
        <w:tc>
          <w:tcPr>
            <w:tcW w:w="2601" w:type="dxa"/>
            <w:tcBorders>
              <w:right w:val="nil"/>
            </w:tcBorders>
            <w:vAlign w:val="center"/>
          </w:tcPr>
          <w:p w:rsidR="0086683B" w:rsidRPr="00B56672" w:rsidRDefault="0086683B" w:rsidP="0086683B">
            <w:pPr>
              <w:ind w:firstLine="0"/>
              <w:jc w:val="center"/>
              <w:textAlignment w:val="baseline"/>
              <w:rPr>
                <w:szCs w:val="24"/>
              </w:rPr>
            </w:pPr>
            <w:r w:rsidRPr="00B56672">
              <w:rPr>
                <w:sz w:val="20"/>
              </w:rPr>
              <w:t>33,6%</w:t>
            </w:r>
          </w:p>
        </w:tc>
      </w:tr>
      <w:tr w:rsidR="0086683B" w:rsidRPr="00B56672" w:rsidTr="0086683B">
        <w:trPr>
          <w:trHeight w:val="65"/>
        </w:trPr>
        <w:tc>
          <w:tcPr>
            <w:tcW w:w="2127" w:type="dxa"/>
            <w:tcBorders>
              <w:left w:val="nil"/>
            </w:tcBorders>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Um</w:t>
            </w:r>
          </w:p>
        </w:tc>
        <w:tc>
          <w:tcPr>
            <w:tcW w:w="2551" w:type="dxa"/>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25,8%</w:t>
            </w:r>
          </w:p>
        </w:tc>
        <w:tc>
          <w:tcPr>
            <w:tcW w:w="2126" w:type="dxa"/>
            <w:vAlign w:val="center"/>
          </w:tcPr>
          <w:p w:rsidR="0086683B" w:rsidRPr="00B56672" w:rsidRDefault="0086683B" w:rsidP="0086683B">
            <w:pPr>
              <w:ind w:firstLine="0"/>
              <w:jc w:val="center"/>
              <w:textAlignment w:val="baseline"/>
              <w:rPr>
                <w:szCs w:val="24"/>
              </w:rPr>
            </w:pPr>
            <w:r w:rsidRPr="00B56672">
              <w:rPr>
                <w:sz w:val="20"/>
              </w:rPr>
              <w:t>Especialização</w:t>
            </w:r>
          </w:p>
        </w:tc>
        <w:tc>
          <w:tcPr>
            <w:tcW w:w="2601" w:type="dxa"/>
            <w:tcBorders>
              <w:right w:val="nil"/>
            </w:tcBorders>
            <w:vAlign w:val="center"/>
          </w:tcPr>
          <w:p w:rsidR="0086683B" w:rsidRPr="00B56672" w:rsidRDefault="0086683B" w:rsidP="0086683B">
            <w:pPr>
              <w:ind w:firstLine="0"/>
              <w:jc w:val="center"/>
              <w:textAlignment w:val="baseline"/>
              <w:rPr>
                <w:szCs w:val="24"/>
              </w:rPr>
            </w:pPr>
            <w:r w:rsidRPr="00B56672">
              <w:rPr>
                <w:sz w:val="20"/>
              </w:rPr>
              <w:t>55,7%</w:t>
            </w:r>
          </w:p>
        </w:tc>
      </w:tr>
      <w:tr w:rsidR="0086683B" w:rsidRPr="00B56672" w:rsidTr="0086683B">
        <w:trPr>
          <w:trHeight w:val="65"/>
        </w:trPr>
        <w:tc>
          <w:tcPr>
            <w:tcW w:w="2127" w:type="dxa"/>
            <w:tcBorders>
              <w:left w:val="nil"/>
            </w:tcBorders>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Dois</w:t>
            </w:r>
          </w:p>
        </w:tc>
        <w:tc>
          <w:tcPr>
            <w:tcW w:w="2551" w:type="dxa"/>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18,9%</w:t>
            </w:r>
          </w:p>
        </w:tc>
        <w:tc>
          <w:tcPr>
            <w:tcW w:w="2126" w:type="dxa"/>
            <w:vAlign w:val="center"/>
          </w:tcPr>
          <w:p w:rsidR="0086683B" w:rsidRPr="00B56672" w:rsidRDefault="0086683B" w:rsidP="0086683B">
            <w:pPr>
              <w:ind w:firstLine="0"/>
              <w:jc w:val="center"/>
              <w:textAlignment w:val="baseline"/>
              <w:rPr>
                <w:szCs w:val="24"/>
              </w:rPr>
            </w:pPr>
            <w:r w:rsidRPr="00B56672">
              <w:rPr>
                <w:sz w:val="20"/>
              </w:rPr>
              <w:t>Mestrado</w:t>
            </w:r>
          </w:p>
        </w:tc>
        <w:tc>
          <w:tcPr>
            <w:tcW w:w="2601" w:type="dxa"/>
            <w:tcBorders>
              <w:right w:val="nil"/>
            </w:tcBorders>
            <w:vAlign w:val="center"/>
          </w:tcPr>
          <w:p w:rsidR="0086683B" w:rsidRPr="00B56672" w:rsidRDefault="0086683B" w:rsidP="0086683B">
            <w:pPr>
              <w:ind w:firstLine="0"/>
              <w:jc w:val="center"/>
              <w:textAlignment w:val="baseline"/>
              <w:rPr>
                <w:szCs w:val="24"/>
              </w:rPr>
            </w:pPr>
            <w:r w:rsidRPr="00B56672">
              <w:rPr>
                <w:sz w:val="20"/>
              </w:rPr>
              <w:t>8,6%</w:t>
            </w:r>
          </w:p>
        </w:tc>
      </w:tr>
      <w:tr w:rsidR="0086683B" w:rsidRPr="00B56672" w:rsidTr="0086683B">
        <w:trPr>
          <w:trHeight w:val="65"/>
        </w:trPr>
        <w:tc>
          <w:tcPr>
            <w:tcW w:w="2127" w:type="dxa"/>
            <w:tcBorders>
              <w:left w:val="nil"/>
            </w:tcBorders>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Três</w:t>
            </w:r>
          </w:p>
        </w:tc>
        <w:tc>
          <w:tcPr>
            <w:tcW w:w="2551" w:type="dxa"/>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8,2%</w:t>
            </w:r>
          </w:p>
        </w:tc>
        <w:tc>
          <w:tcPr>
            <w:tcW w:w="2126" w:type="dxa"/>
            <w:vAlign w:val="center"/>
          </w:tcPr>
          <w:p w:rsidR="0086683B" w:rsidRPr="00B56672" w:rsidRDefault="0086683B" w:rsidP="0086683B">
            <w:pPr>
              <w:ind w:firstLine="0"/>
              <w:jc w:val="center"/>
              <w:textAlignment w:val="baseline"/>
              <w:rPr>
                <w:szCs w:val="24"/>
              </w:rPr>
            </w:pPr>
            <w:r w:rsidRPr="00B56672">
              <w:rPr>
                <w:sz w:val="20"/>
              </w:rPr>
              <w:t>Doutorado</w:t>
            </w:r>
          </w:p>
        </w:tc>
        <w:tc>
          <w:tcPr>
            <w:tcW w:w="2601" w:type="dxa"/>
            <w:tcBorders>
              <w:right w:val="nil"/>
            </w:tcBorders>
            <w:vAlign w:val="center"/>
          </w:tcPr>
          <w:p w:rsidR="0086683B" w:rsidRPr="00B56672" w:rsidRDefault="0086683B" w:rsidP="0086683B">
            <w:pPr>
              <w:ind w:firstLine="0"/>
              <w:jc w:val="center"/>
              <w:textAlignment w:val="baseline"/>
              <w:rPr>
                <w:szCs w:val="24"/>
              </w:rPr>
            </w:pPr>
            <w:r w:rsidRPr="00B56672">
              <w:rPr>
                <w:sz w:val="20"/>
              </w:rPr>
              <w:t>1,6%</w:t>
            </w:r>
          </w:p>
        </w:tc>
      </w:tr>
      <w:tr w:rsidR="0086683B" w:rsidRPr="00B56672" w:rsidTr="0086683B">
        <w:trPr>
          <w:trHeight w:val="65"/>
        </w:trPr>
        <w:tc>
          <w:tcPr>
            <w:tcW w:w="2127" w:type="dxa"/>
            <w:tcBorders>
              <w:left w:val="nil"/>
            </w:tcBorders>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Quatro ou mais</w:t>
            </w:r>
          </w:p>
        </w:tc>
        <w:tc>
          <w:tcPr>
            <w:tcW w:w="2551" w:type="dxa"/>
            <w:shd w:val="clear" w:color="auto" w:fill="auto"/>
            <w:vAlign w:val="center"/>
            <w:hideMark/>
          </w:tcPr>
          <w:p w:rsidR="0086683B" w:rsidRPr="00DB61BD" w:rsidRDefault="0086683B" w:rsidP="0086683B">
            <w:pPr>
              <w:ind w:firstLine="0"/>
              <w:jc w:val="center"/>
              <w:textAlignment w:val="baseline"/>
              <w:rPr>
                <w:szCs w:val="24"/>
              </w:rPr>
            </w:pPr>
            <w:r w:rsidRPr="00DB61BD">
              <w:rPr>
                <w:sz w:val="20"/>
              </w:rPr>
              <w:t>1,2%</w:t>
            </w:r>
          </w:p>
        </w:tc>
        <w:tc>
          <w:tcPr>
            <w:tcW w:w="2126" w:type="dxa"/>
            <w:vAlign w:val="center"/>
          </w:tcPr>
          <w:p w:rsidR="0086683B" w:rsidRPr="00B56672" w:rsidRDefault="0086683B" w:rsidP="0086683B">
            <w:pPr>
              <w:ind w:firstLine="0"/>
              <w:jc w:val="center"/>
              <w:textAlignment w:val="baseline"/>
              <w:rPr>
                <w:szCs w:val="24"/>
              </w:rPr>
            </w:pPr>
            <w:r w:rsidRPr="00B56672">
              <w:rPr>
                <w:sz w:val="20"/>
              </w:rPr>
              <w:t>Pós-Doutorado</w:t>
            </w:r>
          </w:p>
        </w:tc>
        <w:tc>
          <w:tcPr>
            <w:tcW w:w="2601" w:type="dxa"/>
            <w:tcBorders>
              <w:right w:val="nil"/>
            </w:tcBorders>
            <w:vAlign w:val="center"/>
          </w:tcPr>
          <w:p w:rsidR="0086683B" w:rsidRPr="00B56672" w:rsidRDefault="0086683B" w:rsidP="0086683B">
            <w:pPr>
              <w:ind w:firstLine="0"/>
              <w:jc w:val="center"/>
              <w:textAlignment w:val="baseline"/>
              <w:rPr>
                <w:szCs w:val="24"/>
              </w:rPr>
            </w:pPr>
            <w:r w:rsidRPr="00B56672">
              <w:rPr>
                <w:sz w:val="20"/>
              </w:rPr>
              <w:t>0,5%</w:t>
            </w:r>
          </w:p>
        </w:tc>
      </w:tr>
      <w:tr w:rsidR="0086683B" w:rsidRPr="00B56672" w:rsidTr="0086683B">
        <w:trPr>
          <w:trHeight w:val="65"/>
        </w:trPr>
        <w:tc>
          <w:tcPr>
            <w:tcW w:w="2127" w:type="dxa"/>
            <w:tcBorders>
              <w:left w:val="nil"/>
            </w:tcBorders>
            <w:shd w:val="clear" w:color="auto" w:fill="auto"/>
            <w:vAlign w:val="center"/>
            <w:hideMark/>
          </w:tcPr>
          <w:p w:rsidR="0086683B" w:rsidRPr="00B56672" w:rsidRDefault="0086683B" w:rsidP="0086683B">
            <w:pPr>
              <w:ind w:firstLine="0"/>
              <w:jc w:val="center"/>
              <w:textAlignment w:val="baseline"/>
              <w:rPr>
                <w:szCs w:val="24"/>
              </w:rPr>
            </w:pPr>
            <w:r w:rsidRPr="00B56672">
              <w:rPr>
                <w:b/>
                <w:bCs/>
                <w:sz w:val="20"/>
              </w:rPr>
              <w:t>Total</w:t>
            </w:r>
          </w:p>
        </w:tc>
        <w:tc>
          <w:tcPr>
            <w:tcW w:w="2551" w:type="dxa"/>
            <w:shd w:val="clear" w:color="auto" w:fill="auto"/>
            <w:vAlign w:val="center"/>
            <w:hideMark/>
          </w:tcPr>
          <w:p w:rsidR="0086683B" w:rsidRPr="00B56672" w:rsidRDefault="0086683B" w:rsidP="0086683B">
            <w:pPr>
              <w:ind w:firstLine="0"/>
              <w:jc w:val="center"/>
              <w:textAlignment w:val="baseline"/>
              <w:rPr>
                <w:szCs w:val="24"/>
              </w:rPr>
            </w:pPr>
            <w:r w:rsidRPr="00B56672">
              <w:rPr>
                <w:b/>
                <w:bCs/>
                <w:sz w:val="20"/>
              </w:rPr>
              <w:t>100,0%</w:t>
            </w:r>
          </w:p>
        </w:tc>
        <w:tc>
          <w:tcPr>
            <w:tcW w:w="2126" w:type="dxa"/>
            <w:vAlign w:val="center"/>
          </w:tcPr>
          <w:p w:rsidR="0086683B" w:rsidRPr="00B56672" w:rsidRDefault="0086683B" w:rsidP="0086683B">
            <w:pPr>
              <w:ind w:firstLine="0"/>
              <w:jc w:val="center"/>
              <w:textAlignment w:val="baseline"/>
              <w:rPr>
                <w:szCs w:val="24"/>
              </w:rPr>
            </w:pPr>
            <w:r w:rsidRPr="00B56672">
              <w:rPr>
                <w:b/>
                <w:bCs/>
                <w:sz w:val="20"/>
              </w:rPr>
              <w:t>Total</w:t>
            </w:r>
          </w:p>
        </w:tc>
        <w:tc>
          <w:tcPr>
            <w:tcW w:w="2601" w:type="dxa"/>
            <w:tcBorders>
              <w:right w:val="nil"/>
            </w:tcBorders>
            <w:vAlign w:val="center"/>
          </w:tcPr>
          <w:p w:rsidR="0086683B" w:rsidRPr="00B56672" w:rsidRDefault="0086683B" w:rsidP="0086683B">
            <w:pPr>
              <w:ind w:firstLine="0"/>
              <w:jc w:val="center"/>
              <w:textAlignment w:val="baseline"/>
              <w:rPr>
                <w:szCs w:val="24"/>
              </w:rPr>
            </w:pPr>
            <w:r w:rsidRPr="00B56672">
              <w:rPr>
                <w:b/>
                <w:bCs/>
                <w:sz w:val="20"/>
              </w:rPr>
              <w:t>100,0%</w:t>
            </w:r>
          </w:p>
        </w:tc>
      </w:tr>
    </w:tbl>
    <w:p w:rsidR="00D13228" w:rsidRPr="00B56672" w:rsidRDefault="00D13228" w:rsidP="00D13228">
      <w:pPr>
        <w:ind w:firstLine="0"/>
        <w:textAlignment w:val="baseline"/>
        <w:rPr>
          <w:sz w:val="20"/>
        </w:rPr>
      </w:pPr>
      <w:r w:rsidRPr="00B56672">
        <w:rPr>
          <w:b/>
          <w:sz w:val="20"/>
        </w:rPr>
        <w:t>Fonte:</w:t>
      </w:r>
      <w:r w:rsidRPr="00B56672">
        <w:rPr>
          <w:sz w:val="20"/>
        </w:rPr>
        <w:t xml:space="preserve"> Dados da Pesquisa (2019) </w:t>
      </w:r>
    </w:p>
    <w:p w:rsidR="00D13228" w:rsidRDefault="00D13228" w:rsidP="00D13228">
      <w:pPr>
        <w:textAlignment w:val="baseline"/>
        <w:rPr>
          <w:szCs w:val="24"/>
        </w:rPr>
      </w:pPr>
    </w:p>
    <w:p w:rsidR="00D13228" w:rsidRPr="00B56672" w:rsidRDefault="00D13228" w:rsidP="00D13228">
      <w:pPr>
        <w:textAlignment w:val="baseline"/>
        <w:rPr>
          <w:szCs w:val="24"/>
        </w:rPr>
      </w:pPr>
      <w:r w:rsidRPr="00B56672">
        <w:rPr>
          <w:szCs w:val="24"/>
        </w:rPr>
        <w:t xml:space="preserve">Constata-se a maioria dos respondentes da pesquisa (54,9%) possui um filho ou mais, sendo que destes, 45,1% não possuem filhos, enquanto 25,8% possuem somente um filho. </w:t>
      </w:r>
      <w:r w:rsidR="0086683B" w:rsidRPr="00B56672">
        <w:rPr>
          <w:szCs w:val="24"/>
        </w:rPr>
        <w:t>Nota-se que a maioria dos respondentes são especialistas, compondo 55,7% da amostra. Com isto, pode-se afirmar que estes profissionais buscam a atualização de seu conhecimento, seguido pelos graduados, que compõem 33,6% da amostra.</w:t>
      </w:r>
      <w:r w:rsidR="0086683B">
        <w:rPr>
          <w:szCs w:val="24"/>
        </w:rPr>
        <w:t xml:space="preserve"> </w:t>
      </w:r>
      <w:r w:rsidRPr="00B56672">
        <w:rPr>
          <w:szCs w:val="24"/>
        </w:rPr>
        <w:t xml:space="preserve">A Tabela </w:t>
      </w:r>
      <w:r w:rsidR="0086683B">
        <w:rPr>
          <w:szCs w:val="24"/>
        </w:rPr>
        <w:t>4</w:t>
      </w:r>
      <w:r w:rsidRPr="00B56672">
        <w:rPr>
          <w:szCs w:val="24"/>
        </w:rPr>
        <w:t xml:space="preserve"> demonstra a situação da moradia dos respondentes</w:t>
      </w:r>
      <w:r w:rsidR="001A62DB">
        <w:rPr>
          <w:szCs w:val="24"/>
        </w:rPr>
        <w:t xml:space="preserve"> </w:t>
      </w:r>
      <w:r w:rsidR="001A62DB">
        <w:t>e a região de Santa Catarina em que residem</w:t>
      </w:r>
      <w:r w:rsidRPr="00B56672">
        <w:rPr>
          <w:szCs w:val="24"/>
        </w:rPr>
        <w:t>.</w:t>
      </w:r>
    </w:p>
    <w:p w:rsidR="00D13228" w:rsidRPr="00B56672" w:rsidRDefault="00D13228" w:rsidP="00D13228">
      <w:pPr>
        <w:textAlignment w:val="baseline"/>
        <w:rPr>
          <w:szCs w:val="24"/>
        </w:rPr>
      </w:pPr>
    </w:p>
    <w:p w:rsidR="00D13228" w:rsidRPr="00B56672" w:rsidRDefault="00D13228" w:rsidP="00D13228">
      <w:pPr>
        <w:ind w:firstLine="0"/>
        <w:textAlignment w:val="baseline"/>
        <w:rPr>
          <w:sz w:val="20"/>
        </w:rPr>
      </w:pPr>
      <w:r w:rsidRPr="00B56672">
        <w:rPr>
          <w:b/>
          <w:sz w:val="20"/>
        </w:rPr>
        <w:t xml:space="preserve">Tabela </w:t>
      </w:r>
      <w:r w:rsidR="001A62DB">
        <w:rPr>
          <w:b/>
          <w:sz w:val="20"/>
        </w:rPr>
        <w:t>4</w:t>
      </w:r>
      <w:r w:rsidRPr="00B56672">
        <w:rPr>
          <w:b/>
          <w:sz w:val="20"/>
        </w:rPr>
        <w:t>:</w:t>
      </w:r>
      <w:r w:rsidRPr="00B56672">
        <w:rPr>
          <w:sz w:val="20"/>
        </w:rPr>
        <w:t xml:space="preserve"> Situação da Moradia</w:t>
      </w:r>
      <w:r w:rsidR="001A62DB">
        <w:rPr>
          <w:sz w:val="20"/>
        </w:rPr>
        <w:t xml:space="preserve"> e Região de Residência</w:t>
      </w:r>
    </w:p>
    <w:tbl>
      <w:tblPr>
        <w:tblW w:w="95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127"/>
        <w:gridCol w:w="2551"/>
        <w:gridCol w:w="2693"/>
        <w:gridCol w:w="2142"/>
      </w:tblGrid>
      <w:tr w:rsidR="005F73CC" w:rsidRPr="00B56672" w:rsidTr="005F73CC">
        <w:trPr>
          <w:trHeight w:val="91"/>
        </w:trPr>
        <w:tc>
          <w:tcPr>
            <w:tcW w:w="2127" w:type="dxa"/>
            <w:tcBorders>
              <w:left w:val="nil"/>
            </w:tcBorders>
            <w:vAlign w:val="center"/>
          </w:tcPr>
          <w:p w:rsidR="005F73CC" w:rsidRPr="00B56672" w:rsidRDefault="005F73CC" w:rsidP="005F73CC">
            <w:pPr>
              <w:ind w:firstLine="0"/>
              <w:rPr>
                <w:b/>
                <w:sz w:val="20"/>
              </w:rPr>
            </w:pPr>
            <w:r w:rsidRPr="00B56672">
              <w:rPr>
                <w:b/>
                <w:sz w:val="20"/>
              </w:rPr>
              <w:t>Situação da Moradia</w:t>
            </w:r>
          </w:p>
        </w:tc>
        <w:tc>
          <w:tcPr>
            <w:tcW w:w="2551" w:type="dxa"/>
            <w:tcBorders>
              <w:right w:val="nil"/>
            </w:tcBorders>
            <w:vAlign w:val="center"/>
          </w:tcPr>
          <w:p w:rsidR="005F73CC" w:rsidRPr="00B56672" w:rsidRDefault="005F73CC" w:rsidP="005F73CC">
            <w:pPr>
              <w:ind w:firstLine="0"/>
              <w:jc w:val="center"/>
              <w:rPr>
                <w:b/>
                <w:sz w:val="20"/>
              </w:rPr>
            </w:pPr>
            <w:r w:rsidRPr="00B56672">
              <w:rPr>
                <w:b/>
                <w:sz w:val="20"/>
              </w:rPr>
              <w:t>Frequência Relativa</w:t>
            </w:r>
          </w:p>
        </w:tc>
        <w:tc>
          <w:tcPr>
            <w:tcW w:w="2693" w:type="dxa"/>
            <w:vAlign w:val="center"/>
          </w:tcPr>
          <w:p w:rsidR="005F73CC" w:rsidRPr="00B56672" w:rsidRDefault="005F73CC" w:rsidP="0005035A">
            <w:pPr>
              <w:ind w:firstLine="0"/>
              <w:jc w:val="center"/>
              <w:rPr>
                <w:b/>
                <w:sz w:val="20"/>
              </w:rPr>
            </w:pPr>
            <w:r w:rsidRPr="00B56672">
              <w:rPr>
                <w:b/>
                <w:sz w:val="20"/>
              </w:rPr>
              <w:t xml:space="preserve">Região de </w:t>
            </w:r>
            <w:r>
              <w:rPr>
                <w:b/>
                <w:sz w:val="20"/>
              </w:rPr>
              <w:t>SC</w:t>
            </w:r>
            <w:r w:rsidRPr="00B56672">
              <w:rPr>
                <w:b/>
                <w:sz w:val="20"/>
              </w:rPr>
              <w:t xml:space="preserve"> em que reside</w:t>
            </w:r>
          </w:p>
        </w:tc>
        <w:tc>
          <w:tcPr>
            <w:tcW w:w="2142" w:type="dxa"/>
            <w:tcBorders>
              <w:right w:val="nil"/>
            </w:tcBorders>
            <w:vAlign w:val="center"/>
          </w:tcPr>
          <w:p w:rsidR="005F73CC" w:rsidRPr="00B56672" w:rsidRDefault="005F73CC" w:rsidP="005F73CC">
            <w:pPr>
              <w:ind w:firstLine="0"/>
              <w:jc w:val="center"/>
              <w:rPr>
                <w:b/>
                <w:sz w:val="20"/>
              </w:rPr>
            </w:pPr>
            <w:r w:rsidRPr="00B56672">
              <w:rPr>
                <w:b/>
                <w:sz w:val="20"/>
              </w:rPr>
              <w:t>Frequência Relativa</w:t>
            </w:r>
          </w:p>
        </w:tc>
      </w:tr>
      <w:tr w:rsidR="005F73CC" w:rsidRPr="00B56672" w:rsidTr="005F73CC">
        <w:trPr>
          <w:trHeight w:val="75"/>
        </w:trPr>
        <w:tc>
          <w:tcPr>
            <w:tcW w:w="2127" w:type="dxa"/>
            <w:tcBorders>
              <w:left w:val="nil"/>
            </w:tcBorders>
            <w:vAlign w:val="center"/>
          </w:tcPr>
          <w:p w:rsidR="005F73CC" w:rsidRPr="00B56672" w:rsidRDefault="005F73CC" w:rsidP="005F73CC">
            <w:pPr>
              <w:ind w:firstLine="0"/>
              <w:rPr>
                <w:sz w:val="20"/>
              </w:rPr>
            </w:pPr>
            <w:r w:rsidRPr="00B56672">
              <w:rPr>
                <w:sz w:val="20"/>
              </w:rPr>
              <w:t>Alugada</w:t>
            </w:r>
          </w:p>
        </w:tc>
        <w:tc>
          <w:tcPr>
            <w:tcW w:w="2551" w:type="dxa"/>
            <w:tcBorders>
              <w:right w:val="nil"/>
            </w:tcBorders>
            <w:vAlign w:val="center"/>
          </w:tcPr>
          <w:p w:rsidR="005F73CC" w:rsidRPr="00B56672" w:rsidRDefault="005F73CC" w:rsidP="005F73CC">
            <w:pPr>
              <w:ind w:firstLine="0"/>
              <w:jc w:val="center"/>
              <w:rPr>
                <w:sz w:val="20"/>
              </w:rPr>
            </w:pPr>
            <w:r w:rsidRPr="00B56672">
              <w:rPr>
                <w:sz w:val="20"/>
              </w:rPr>
              <w:t>11,5%</w:t>
            </w:r>
          </w:p>
        </w:tc>
        <w:tc>
          <w:tcPr>
            <w:tcW w:w="2693" w:type="dxa"/>
            <w:vAlign w:val="center"/>
          </w:tcPr>
          <w:p w:rsidR="005F73CC" w:rsidRPr="00B56672" w:rsidRDefault="005F73CC" w:rsidP="0005035A">
            <w:pPr>
              <w:ind w:firstLine="0"/>
              <w:jc w:val="center"/>
              <w:rPr>
                <w:sz w:val="20"/>
              </w:rPr>
            </w:pPr>
            <w:r w:rsidRPr="00B56672">
              <w:rPr>
                <w:sz w:val="20"/>
              </w:rPr>
              <w:t>Grande Florianópolis</w:t>
            </w:r>
          </w:p>
        </w:tc>
        <w:tc>
          <w:tcPr>
            <w:tcW w:w="2142" w:type="dxa"/>
            <w:tcBorders>
              <w:right w:val="nil"/>
            </w:tcBorders>
            <w:vAlign w:val="center"/>
          </w:tcPr>
          <w:p w:rsidR="005F73CC" w:rsidRPr="00B56672" w:rsidRDefault="005F73CC" w:rsidP="005F73CC">
            <w:pPr>
              <w:ind w:firstLine="0"/>
              <w:jc w:val="center"/>
              <w:rPr>
                <w:sz w:val="20"/>
              </w:rPr>
            </w:pPr>
            <w:r w:rsidRPr="00B56672">
              <w:rPr>
                <w:sz w:val="20"/>
              </w:rPr>
              <w:t>27,6%</w:t>
            </w:r>
          </w:p>
        </w:tc>
      </w:tr>
      <w:tr w:rsidR="005F73CC" w:rsidRPr="00B56672" w:rsidTr="005F73CC">
        <w:trPr>
          <w:trHeight w:val="75"/>
        </w:trPr>
        <w:tc>
          <w:tcPr>
            <w:tcW w:w="2127" w:type="dxa"/>
            <w:tcBorders>
              <w:left w:val="nil"/>
            </w:tcBorders>
            <w:vAlign w:val="center"/>
          </w:tcPr>
          <w:p w:rsidR="005F73CC" w:rsidRPr="00B56672" w:rsidRDefault="005F73CC" w:rsidP="005F73CC">
            <w:pPr>
              <w:ind w:firstLine="0"/>
              <w:rPr>
                <w:sz w:val="20"/>
              </w:rPr>
            </w:pPr>
            <w:r w:rsidRPr="00B56672">
              <w:rPr>
                <w:sz w:val="20"/>
              </w:rPr>
              <w:t>Financiada</w:t>
            </w:r>
          </w:p>
        </w:tc>
        <w:tc>
          <w:tcPr>
            <w:tcW w:w="2551" w:type="dxa"/>
            <w:tcBorders>
              <w:right w:val="nil"/>
            </w:tcBorders>
            <w:vAlign w:val="center"/>
          </w:tcPr>
          <w:p w:rsidR="005F73CC" w:rsidRPr="00B56672" w:rsidRDefault="005F73CC" w:rsidP="005F73CC">
            <w:pPr>
              <w:ind w:firstLine="0"/>
              <w:jc w:val="center"/>
              <w:rPr>
                <w:sz w:val="20"/>
              </w:rPr>
            </w:pPr>
            <w:r w:rsidRPr="00B56672">
              <w:rPr>
                <w:sz w:val="20"/>
              </w:rPr>
              <w:t>20,1%</w:t>
            </w:r>
          </w:p>
        </w:tc>
        <w:tc>
          <w:tcPr>
            <w:tcW w:w="2693" w:type="dxa"/>
            <w:vAlign w:val="center"/>
          </w:tcPr>
          <w:p w:rsidR="005F73CC" w:rsidRPr="00B56672" w:rsidRDefault="005F73CC" w:rsidP="0005035A">
            <w:pPr>
              <w:ind w:firstLine="0"/>
              <w:jc w:val="center"/>
              <w:rPr>
                <w:sz w:val="20"/>
              </w:rPr>
            </w:pPr>
            <w:r w:rsidRPr="00B56672">
              <w:rPr>
                <w:sz w:val="20"/>
              </w:rPr>
              <w:t>Norte</w:t>
            </w:r>
          </w:p>
        </w:tc>
        <w:tc>
          <w:tcPr>
            <w:tcW w:w="2142" w:type="dxa"/>
            <w:tcBorders>
              <w:right w:val="nil"/>
            </w:tcBorders>
            <w:vAlign w:val="center"/>
          </w:tcPr>
          <w:p w:rsidR="005F73CC" w:rsidRPr="00B56672" w:rsidRDefault="005F73CC" w:rsidP="005F73CC">
            <w:pPr>
              <w:ind w:firstLine="0"/>
              <w:jc w:val="center"/>
              <w:rPr>
                <w:sz w:val="20"/>
              </w:rPr>
            </w:pPr>
            <w:r w:rsidRPr="00B56672">
              <w:rPr>
                <w:sz w:val="20"/>
              </w:rPr>
              <w:t>11,5%</w:t>
            </w:r>
          </w:p>
        </w:tc>
      </w:tr>
      <w:tr w:rsidR="005F73CC" w:rsidRPr="00B56672" w:rsidTr="005F73CC">
        <w:trPr>
          <w:trHeight w:val="75"/>
        </w:trPr>
        <w:tc>
          <w:tcPr>
            <w:tcW w:w="2127" w:type="dxa"/>
            <w:tcBorders>
              <w:left w:val="nil"/>
            </w:tcBorders>
            <w:vAlign w:val="center"/>
          </w:tcPr>
          <w:p w:rsidR="005F73CC" w:rsidRPr="00B56672" w:rsidRDefault="005F73CC" w:rsidP="005F73CC">
            <w:pPr>
              <w:ind w:firstLine="0"/>
              <w:rPr>
                <w:sz w:val="20"/>
              </w:rPr>
            </w:pPr>
            <w:r w:rsidRPr="00B56672">
              <w:rPr>
                <w:sz w:val="20"/>
              </w:rPr>
              <w:t>Própria</w:t>
            </w:r>
          </w:p>
        </w:tc>
        <w:tc>
          <w:tcPr>
            <w:tcW w:w="2551" w:type="dxa"/>
            <w:tcBorders>
              <w:right w:val="nil"/>
            </w:tcBorders>
            <w:vAlign w:val="center"/>
          </w:tcPr>
          <w:p w:rsidR="005F73CC" w:rsidRPr="00B56672" w:rsidRDefault="005F73CC" w:rsidP="005F73CC">
            <w:pPr>
              <w:ind w:firstLine="0"/>
              <w:jc w:val="center"/>
              <w:rPr>
                <w:sz w:val="20"/>
              </w:rPr>
            </w:pPr>
            <w:r w:rsidRPr="00B56672">
              <w:rPr>
                <w:sz w:val="20"/>
              </w:rPr>
              <w:t>63,9%</w:t>
            </w:r>
          </w:p>
        </w:tc>
        <w:tc>
          <w:tcPr>
            <w:tcW w:w="2693" w:type="dxa"/>
            <w:vAlign w:val="center"/>
          </w:tcPr>
          <w:p w:rsidR="005F73CC" w:rsidRPr="00B56672" w:rsidRDefault="005F73CC" w:rsidP="0005035A">
            <w:pPr>
              <w:ind w:firstLine="0"/>
              <w:jc w:val="center"/>
              <w:rPr>
                <w:sz w:val="20"/>
              </w:rPr>
            </w:pPr>
            <w:r w:rsidRPr="00B56672">
              <w:rPr>
                <w:sz w:val="20"/>
              </w:rPr>
              <w:t>Oeste</w:t>
            </w:r>
          </w:p>
        </w:tc>
        <w:tc>
          <w:tcPr>
            <w:tcW w:w="2142" w:type="dxa"/>
            <w:tcBorders>
              <w:right w:val="nil"/>
            </w:tcBorders>
            <w:vAlign w:val="center"/>
          </w:tcPr>
          <w:p w:rsidR="005F73CC" w:rsidRPr="00B56672" w:rsidRDefault="005F73CC" w:rsidP="005F73CC">
            <w:pPr>
              <w:ind w:firstLine="0"/>
              <w:jc w:val="center"/>
              <w:rPr>
                <w:sz w:val="20"/>
              </w:rPr>
            </w:pPr>
            <w:r w:rsidRPr="00B56672">
              <w:rPr>
                <w:sz w:val="20"/>
              </w:rPr>
              <w:t>18,9%</w:t>
            </w:r>
          </w:p>
        </w:tc>
      </w:tr>
      <w:tr w:rsidR="005F73CC" w:rsidRPr="00B56672" w:rsidTr="005F73CC">
        <w:trPr>
          <w:trHeight w:val="133"/>
        </w:trPr>
        <w:tc>
          <w:tcPr>
            <w:tcW w:w="2127" w:type="dxa"/>
            <w:tcBorders>
              <w:left w:val="nil"/>
            </w:tcBorders>
            <w:vAlign w:val="center"/>
          </w:tcPr>
          <w:p w:rsidR="005F73CC" w:rsidRPr="00B56672" w:rsidRDefault="005F73CC" w:rsidP="005F73CC">
            <w:pPr>
              <w:ind w:firstLine="0"/>
              <w:rPr>
                <w:sz w:val="20"/>
              </w:rPr>
            </w:pPr>
            <w:r w:rsidRPr="00B56672">
              <w:rPr>
                <w:sz w:val="20"/>
              </w:rPr>
              <w:t>Cedida</w:t>
            </w:r>
          </w:p>
        </w:tc>
        <w:tc>
          <w:tcPr>
            <w:tcW w:w="2551" w:type="dxa"/>
            <w:tcBorders>
              <w:right w:val="nil"/>
            </w:tcBorders>
            <w:vAlign w:val="center"/>
          </w:tcPr>
          <w:p w:rsidR="005F73CC" w:rsidRPr="00B56672" w:rsidRDefault="005F73CC" w:rsidP="005F73CC">
            <w:pPr>
              <w:ind w:firstLine="0"/>
              <w:jc w:val="center"/>
              <w:rPr>
                <w:sz w:val="20"/>
              </w:rPr>
            </w:pPr>
            <w:r w:rsidRPr="00B56672">
              <w:rPr>
                <w:sz w:val="20"/>
              </w:rPr>
              <w:t>4,5%</w:t>
            </w:r>
          </w:p>
        </w:tc>
        <w:tc>
          <w:tcPr>
            <w:tcW w:w="2693" w:type="dxa"/>
            <w:vAlign w:val="center"/>
          </w:tcPr>
          <w:p w:rsidR="005F73CC" w:rsidRPr="00B56672" w:rsidRDefault="005F73CC" w:rsidP="0005035A">
            <w:pPr>
              <w:ind w:firstLine="0"/>
              <w:jc w:val="center"/>
              <w:rPr>
                <w:sz w:val="20"/>
              </w:rPr>
            </w:pPr>
            <w:r w:rsidRPr="00B56672">
              <w:rPr>
                <w:sz w:val="20"/>
              </w:rPr>
              <w:t>Extremo Oeste</w:t>
            </w:r>
          </w:p>
        </w:tc>
        <w:tc>
          <w:tcPr>
            <w:tcW w:w="2142" w:type="dxa"/>
            <w:tcBorders>
              <w:right w:val="nil"/>
            </w:tcBorders>
            <w:vAlign w:val="center"/>
          </w:tcPr>
          <w:p w:rsidR="005F73CC" w:rsidRPr="00B56672" w:rsidRDefault="005F73CC" w:rsidP="005F73CC">
            <w:pPr>
              <w:ind w:firstLine="0"/>
              <w:jc w:val="center"/>
              <w:rPr>
                <w:sz w:val="20"/>
              </w:rPr>
            </w:pPr>
            <w:r w:rsidRPr="00B56672">
              <w:rPr>
                <w:sz w:val="20"/>
              </w:rPr>
              <w:t>4,5%</w:t>
            </w:r>
          </w:p>
        </w:tc>
      </w:tr>
      <w:tr w:rsidR="005F73CC" w:rsidRPr="00B56672" w:rsidTr="005F73CC">
        <w:trPr>
          <w:trHeight w:val="75"/>
        </w:trPr>
        <w:tc>
          <w:tcPr>
            <w:tcW w:w="2127" w:type="dxa"/>
            <w:tcBorders>
              <w:left w:val="nil"/>
              <w:bottom w:val="single" w:sz="4" w:space="0" w:color="auto"/>
            </w:tcBorders>
            <w:vAlign w:val="center"/>
          </w:tcPr>
          <w:p w:rsidR="005F73CC" w:rsidRPr="00B56672" w:rsidRDefault="005F73CC" w:rsidP="005F73CC">
            <w:pPr>
              <w:ind w:firstLine="0"/>
              <w:rPr>
                <w:b/>
                <w:sz w:val="20"/>
              </w:rPr>
            </w:pPr>
            <w:r w:rsidRPr="00B56672">
              <w:rPr>
                <w:b/>
                <w:sz w:val="20"/>
              </w:rPr>
              <w:t>Total</w:t>
            </w:r>
          </w:p>
        </w:tc>
        <w:tc>
          <w:tcPr>
            <w:tcW w:w="2551" w:type="dxa"/>
            <w:tcBorders>
              <w:bottom w:val="single" w:sz="4" w:space="0" w:color="auto"/>
              <w:right w:val="nil"/>
            </w:tcBorders>
            <w:vAlign w:val="center"/>
          </w:tcPr>
          <w:p w:rsidR="005F73CC" w:rsidRPr="00B56672" w:rsidRDefault="005F73CC" w:rsidP="005F73CC">
            <w:pPr>
              <w:ind w:firstLine="0"/>
              <w:jc w:val="center"/>
              <w:rPr>
                <w:b/>
                <w:sz w:val="20"/>
              </w:rPr>
            </w:pPr>
            <w:r w:rsidRPr="00B56672">
              <w:rPr>
                <w:b/>
                <w:sz w:val="20"/>
              </w:rPr>
              <w:t>100,0%</w:t>
            </w:r>
          </w:p>
        </w:tc>
        <w:tc>
          <w:tcPr>
            <w:tcW w:w="2693" w:type="dxa"/>
            <w:vAlign w:val="center"/>
          </w:tcPr>
          <w:p w:rsidR="005F73CC" w:rsidRPr="00B56672" w:rsidRDefault="005F73CC" w:rsidP="0005035A">
            <w:pPr>
              <w:ind w:firstLine="0"/>
              <w:jc w:val="center"/>
              <w:rPr>
                <w:sz w:val="20"/>
              </w:rPr>
            </w:pPr>
            <w:r w:rsidRPr="00B56672">
              <w:rPr>
                <w:sz w:val="20"/>
              </w:rPr>
              <w:t>Serrana</w:t>
            </w:r>
          </w:p>
        </w:tc>
        <w:tc>
          <w:tcPr>
            <w:tcW w:w="2142" w:type="dxa"/>
            <w:tcBorders>
              <w:right w:val="nil"/>
            </w:tcBorders>
            <w:vAlign w:val="center"/>
          </w:tcPr>
          <w:p w:rsidR="005F73CC" w:rsidRPr="00B56672" w:rsidRDefault="005F73CC" w:rsidP="005F73CC">
            <w:pPr>
              <w:ind w:firstLine="0"/>
              <w:jc w:val="center"/>
              <w:rPr>
                <w:sz w:val="20"/>
              </w:rPr>
            </w:pPr>
            <w:r w:rsidRPr="00B56672">
              <w:rPr>
                <w:sz w:val="20"/>
              </w:rPr>
              <w:t>2,1%</w:t>
            </w:r>
          </w:p>
        </w:tc>
      </w:tr>
      <w:tr w:rsidR="005F73CC" w:rsidRPr="00B56672" w:rsidTr="005F73CC">
        <w:trPr>
          <w:trHeight w:val="75"/>
        </w:trPr>
        <w:tc>
          <w:tcPr>
            <w:tcW w:w="4678" w:type="dxa"/>
            <w:gridSpan w:val="2"/>
            <w:vMerge w:val="restart"/>
            <w:tcBorders>
              <w:left w:val="nil"/>
              <w:bottom w:val="single" w:sz="4" w:space="0" w:color="auto"/>
            </w:tcBorders>
            <w:vAlign w:val="center"/>
          </w:tcPr>
          <w:p w:rsidR="005F73CC" w:rsidRPr="00B56672" w:rsidRDefault="005F73CC" w:rsidP="005F73CC">
            <w:pPr>
              <w:ind w:firstLine="0"/>
              <w:jc w:val="center"/>
              <w:rPr>
                <w:b/>
                <w:sz w:val="20"/>
              </w:rPr>
            </w:pPr>
          </w:p>
        </w:tc>
        <w:tc>
          <w:tcPr>
            <w:tcW w:w="2693" w:type="dxa"/>
            <w:vAlign w:val="center"/>
          </w:tcPr>
          <w:p w:rsidR="005F73CC" w:rsidRPr="00B56672" w:rsidRDefault="005F73CC" w:rsidP="0005035A">
            <w:pPr>
              <w:ind w:firstLine="0"/>
              <w:jc w:val="center"/>
              <w:rPr>
                <w:sz w:val="20"/>
              </w:rPr>
            </w:pPr>
            <w:r w:rsidRPr="00B56672">
              <w:rPr>
                <w:sz w:val="20"/>
              </w:rPr>
              <w:t>Sul</w:t>
            </w:r>
          </w:p>
        </w:tc>
        <w:tc>
          <w:tcPr>
            <w:tcW w:w="2142" w:type="dxa"/>
            <w:tcBorders>
              <w:right w:val="nil"/>
            </w:tcBorders>
            <w:vAlign w:val="center"/>
          </w:tcPr>
          <w:p w:rsidR="005F73CC" w:rsidRPr="00B56672" w:rsidRDefault="005F73CC" w:rsidP="005F73CC">
            <w:pPr>
              <w:ind w:firstLine="0"/>
              <w:jc w:val="center"/>
              <w:rPr>
                <w:sz w:val="20"/>
              </w:rPr>
            </w:pPr>
            <w:r w:rsidRPr="00B56672">
              <w:rPr>
                <w:sz w:val="20"/>
              </w:rPr>
              <w:t>14,8%</w:t>
            </w:r>
          </w:p>
        </w:tc>
      </w:tr>
      <w:tr w:rsidR="005F73CC" w:rsidRPr="00B56672" w:rsidTr="005F73CC">
        <w:trPr>
          <w:trHeight w:val="75"/>
        </w:trPr>
        <w:tc>
          <w:tcPr>
            <w:tcW w:w="4678" w:type="dxa"/>
            <w:gridSpan w:val="2"/>
            <w:vMerge/>
            <w:tcBorders>
              <w:left w:val="nil"/>
              <w:bottom w:val="single" w:sz="4" w:space="0" w:color="auto"/>
            </w:tcBorders>
            <w:vAlign w:val="center"/>
          </w:tcPr>
          <w:p w:rsidR="005F73CC" w:rsidRPr="00B56672" w:rsidRDefault="005F73CC" w:rsidP="005F73CC">
            <w:pPr>
              <w:ind w:firstLine="0"/>
              <w:jc w:val="center"/>
              <w:rPr>
                <w:b/>
                <w:sz w:val="20"/>
              </w:rPr>
            </w:pPr>
          </w:p>
        </w:tc>
        <w:tc>
          <w:tcPr>
            <w:tcW w:w="2693" w:type="dxa"/>
            <w:vAlign w:val="center"/>
          </w:tcPr>
          <w:p w:rsidR="005F73CC" w:rsidRPr="00B56672" w:rsidRDefault="005F73CC" w:rsidP="0005035A">
            <w:pPr>
              <w:ind w:firstLine="0"/>
              <w:jc w:val="center"/>
              <w:rPr>
                <w:sz w:val="20"/>
              </w:rPr>
            </w:pPr>
            <w:r w:rsidRPr="00B56672">
              <w:rPr>
                <w:sz w:val="20"/>
              </w:rPr>
              <w:t>Vale do Itajaí</w:t>
            </w:r>
          </w:p>
        </w:tc>
        <w:tc>
          <w:tcPr>
            <w:tcW w:w="2142" w:type="dxa"/>
            <w:tcBorders>
              <w:right w:val="nil"/>
            </w:tcBorders>
            <w:vAlign w:val="center"/>
          </w:tcPr>
          <w:p w:rsidR="005F73CC" w:rsidRPr="00B56672" w:rsidRDefault="005F73CC" w:rsidP="005F73CC">
            <w:pPr>
              <w:ind w:firstLine="0"/>
              <w:jc w:val="center"/>
              <w:rPr>
                <w:sz w:val="20"/>
              </w:rPr>
            </w:pPr>
            <w:r w:rsidRPr="00B56672">
              <w:rPr>
                <w:sz w:val="20"/>
              </w:rPr>
              <w:t>20,6%</w:t>
            </w:r>
          </w:p>
        </w:tc>
      </w:tr>
      <w:tr w:rsidR="005F73CC" w:rsidRPr="00B56672" w:rsidTr="005F73CC">
        <w:trPr>
          <w:trHeight w:val="75"/>
        </w:trPr>
        <w:tc>
          <w:tcPr>
            <w:tcW w:w="4678" w:type="dxa"/>
            <w:gridSpan w:val="2"/>
            <w:vMerge/>
            <w:tcBorders>
              <w:left w:val="nil"/>
              <w:bottom w:val="single" w:sz="4" w:space="0" w:color="auto"/>
            </w:tcBorders>
            <w:vAlign w:val="center"/>
          </w:tcPr>
          <w:p w:rsidR="005F73CC" w:rsidRPr="00B56672" w:rsidRDefault="005F73CC" w:rsidP="005F73CC">
            <w:pPr>
              <w:ind w:firstLine="0"/>
              <w:jc w:val="center"/>
              <w:rPr>
                <w:b/>
                <w:sz w:val="20"/>
              </w:rPr>
            </w:pPr>
          </w:p>
        </w:tc>
        <w:tc>
          <w:tcPr>
            <w:tcW w:w="2693" w:type="dxa"/>
            <w:vAlign w:val="center"/>
          </w:tcPr>
          <w:p w:rsidR="005F73CC" w:rsidRPr="00B56672" w:rsidRDefault="005F73CC" w:rsidP="0005035A">
            <w:pPr>
              <w:ind w:firstLine="0"/>
              <w:jc w:val="center"/>
              <w:rPr>
                <w:b/>
                <w:sz w:val="20"/>
              </w:rPr>
            </w:pPr>
            <w:r w:rsidRPr="00B56672">
              <w:rPr>
                <w:b/>
                <w:sz w:val="20"/>
              </w:rPr>
              <w:t>Total</w:t>
            </w:r>
          </w:p>
        </w:tc>
        <w:tc>
          <w:tcPr>
            <w:tcW w:w="2142" w:type="dxa"/>
            <w:tcBorders>
              <w:right w:val="nil"/>
            </w:tcBorders>
            <w:vAlign w:val="center"/>
          </w:tcPr>
          <w:p w:rsidR="005F73CC" w:rsidRPr="00B56672" w:rsidRDefault="005F73CC" w:rsidP="005F73CC">
            <w:pPr>
              <w:ind w:firstLine="0"/>
              <w:jc w:val="center"/>
              <w:rPr>
                <w:b/>
                <w:sz w:val="20"/>
              </w:rPr>
            </w:pPr>
            <w:r w:rsidRPr="00B56672">
              <w:rPr>
                <w:b/>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w:t>
      </w:r>
    </w:p>
    <w:p w:rsidR="00D13228" w:rsidRPr="00B56672" w:rsidRDefault="00D13228" w:rsidP="00D13228">
      <w:pPr>
        <w:rPr>
          <w:sz w:val="20"/>
        </w:rPr>
      </w:pPr>
    </w:p>
    <w:p w:rsidR="00D13228" w:rsidRPr="00B56672" w:rsidRDefault="00D13228" w:rsidP="00D13228">
      <w:pPr>
        <w:ind w:firstLine="708"/>
      </w:pPr>
      <w:r w:rsidRPr="00B56672">
        <w:t xml:space="preserve">Analisando a Tabela </w:t>
      </w:r>
      <w:r w:rsidR="005F73CC">
        <w:t>4</w:t>
      </w:r>
      <w:r w:rsidRPr="00B56672">
        <w:t xml:space="preserve">, constata-se que a maior porção de respondentes (63,9%) possui </w:t>
      </w:r>
      <w:r w:rsidRPr="00B56672">
        <w:lastRenderedPageBreak/>
        <w:t xml:space="preserve">residência própria, além de 20,1% que são proprietários de imóveis financiados. </w:t>
      </w:r>
      <w:r w:rsidR="005F73CC" w:rsidRPr="00B56672">
        <w:t xml:space="preserve">Foi possível verificar que os participantes do estudo residem em variadas regiões do estado, tendo como destaque a grande Florianópolis com 27,9% e Vale do Itajaí com 20,6% da amostra. </w:t>
      </w:r>
      <w:r w:rsidRPr="00B56672">
        <w:t xml:space="preserve">Em seguida, a Tabela </w:t>
      </w:r>
      <w:r w:rsidR="005F73CC">
        <w:t>5</w:t>
      </w:r>
      <w:r w:rsidRPr="00B56672">
        <w:t xml:space="preserve"> buscou mensurar a renda familiar dos profissionais contábeis.</w:t>
      </w:r>
    </w:p>
    <w:p w:rsidR="00D13228" w:rsidRPr="00B56672" w:rsidRDefault="00D13228" w:rsidP="00D13228">
      <w:pPr>
        <w:ind w:firstLine="708"/>
      </w:pPr>
    </w:p>
    <w:p w:rsidR="00D13228" w:rsidRPr="00B56672" w:rsidRDefault="00D13228" w:rsidP="00D13228">
      <w:pPr>
        <w:ind w:firstLine="0"/>
        <w:textAlignment w:val="baseline"/>
        <w:rPr>
          <w:sz w:val="18"/>
          <w:szCs w:val="18"/>
        </w:rPr>
      </w:pPr>
      <w:r w:rsidRPr="00B56672">
        <w:rPr>
          <w:b/>
          <w:bCs/>
          <w:sz w:val="20"/>
        </w:rPr>
        <w:t>Tabela </w:t>
      </w:r>
      <w:r w:rsidR="00E233A4">
        <w:rPr>
          <w:b/>
          <w:bCs/>
          <w:sz w:val="20"/>
        </w:rPr>
        <w:t>5</w:t>
      </w:r>
      <w:r w:rsidRPr="00B56672">
        <w:rPr>
          <w:b/>
          <w:bCs/>
          <w:sz w:val="20"/>
        </w:rPr>
        <w:t>:</w:t>
      </w:r>
      <w:r w:rsidRPr="00B56672">
        <w:rPr>
          <w:sz w:val="20"/>
        </w:rPr>
        <w:t> Renda Familiar </w:t>
      </w:r>
    </w:p>
    <w:tbl>
      <w:tblPr>
        <w:tblW w:w="93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21"/>
        <w:gridCol w:w="2835"/>
      </w:tblGrid>
      <w:tr w:rsidR="00D13228" w:rsidRPr="00B56672" w:rsidTr="00D13228">
        <w:trPr>
          <w:trHeight w:val="65"/>
        </w:trPr>
        <w:tc>
          <w:tcPr>
            <w:tcW w:w="6521" w:type="dxa"/>
            <w:tcBorders>
              <w:top w:val="single" w:sz="6" w:space="0" w:color="666666"/>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b/>
                <w:bCs/>
                <w:sz w:val="20"/>
              </w:rPr>
              <w:t>Renda Familiar</w:t>
            </w:r>
          </w:p>
        </w:tc>
        <w:tc>
          <w:tcPr>
            <w:tcW w:w="2835" w:type="dxa"/>
            <w:tcBorders>
              <w:top w:val="single" w:sz="6" w:space="0" w:color="666666"/>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b/>
                <w:bCs/>
                <w:sz w:val="20"/>
              </w:rPr>
              <w:t>Frequência Relativa</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Até R$ 1.999,99</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3,3%</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De R$ 2.000,00 a R$ 3.499,99</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10,6%</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De R$ 3.500,00 a R$ 4.999,99</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14,8%</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De R$ 5.000,00 a R$ 6.499,99</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17,2%</w:t>
            </w:r>
          </w:p>
        </w:tc>
      </w:tr>
      <w:tr w:rsidR="00D13228" w:rsidRPr="00B56672" w:rsidTr="00D13228">
        <w:trPr>
          <w:trHeight w:val="99"/>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De R$ 6.500,00 a R$ 7.999,99</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11,9%</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De R$ 8.000,00 a R$ 9.499,99</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8,2%</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Acima de R$ 9.500,00</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34,0%</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b/>
                <w:bCs/>
                <w:sz w:val="20"/>
              </w:rPr>
              <w:t>Total</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b/>
                <w:bCs/>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w:t>
      </w:r>
    </w:p>
    <w:p w:rsidR="00D13228" w:rsidRPr="00B56672" w:rsidRDefault="00D13228" w:rsidP="00D13228">
      <w:pPr>
        <w:textAlignment w:val="baseline"/>
        <w:rPr>
          <w:sz w:val="18"/>
          <w:szCs w:val="18"/>
        </w:rPr>
      </w:pPr>
    </w:p>
    <w:p w:rsidR="00D13228" w:rsidRPr="00B56672" w:rsidRDefault="00D13228" w:rsidP="00E233A4">
      <w:pPr>
        <w:ind w:firstLine="708"/>
        <w:textAlignment w:val="baseline"/>
        <w:rPr>
          <w:szCs w:val="24"/>
        </w:rPr>
      </w:pPr>
      <w:r w:rsidRPr="00B56672">
        <w:rPr>
          <w:szCs w:val="24"/>
        </w:rPr>
        <w:t xml:space="preserve">Observa-se que 71,3% da amostra possui uma renda familiar acima de R$ 5.000,00, destacando-se os respondentes com renda acima de R$ 9.500,00, que compõem 34,0% da amostra. Apresentado o perfil dos respondentes, parte-se para a segunda etapa da pesquisa, que analisa a percepção dos profissionais de contabilidade em relação às finanças pessoais. Desta forma, a Tabela </w:t>
      </w:r>
      <w:r w:rsidR="00E233A4">
        <w:rPr>
          <w:szCs w:val="24"/>
        </w:rPr>
        <w:t>6</w:t>
      </w:r>
      <w:r w:rsidRPr="00B56672">
        <w:rPr>
          <w:szCs w:val="24"/>
        </w:rPr>
        <w:t xml:space="preserve"> evidencia a situação dos gastos dos participantes desta pesquisa. </w:t>
      </w:r>
    </w:p>
    <w:p w:rsidR="00D13228" w:rsidRPr="00B56672" w:rsidRDefault="00D13228" w:rsidP="00D13228">
      <w:pPr>
        <w:ind w:firstLine="708"/>
      </w:pPr>
    </w:p>
    <w:p w:rsidR="00D13228" w:rsidRPr="00B56672" w:rsidRDefault="00D13228" w:rsidP="00D13228">
      <w:pPr>
        <w:ind w:firstLine="0"/>
        <w:rPr>
          <w:sz w:val="20"/>
        </w:rPr>
      </w:pPr>
      <w:r w:rsidRPr="00B56672">
        <w:rPr>
          <w:b/>
          <w:sz w:val="20"/>
        </w:rPr>
        <w:t xml:space="preserve">Tabela </w:t>
      </w:r>
      <w:r w:rsidR="00E233A4">
        <w:rPr>
          <w:b/>
          <w:sz w:val="20"/>
        </w:rPr>
        <w:t>6</w:t>
      </w:r>
      <w:r w:rsidRPr="00B56672">
        <w:rPr>
          <w:b/>
          <w:sz w:val="20"/>
        </w:rPr>
        <w:t>:</w:t>
      </w:r>
      <w:r w:rsidRPr="00B56672">
        <w:rPr>
          <w:sz w:val="20"/>
        </w:rPr>
        <w:t xml:space="preserve"> Comportamento em relação aos gastos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629"/>
        <w:gridCol w:w="2835"/>
      </w:tblGrid>
      <w:tr w:rsidR="00D13228" w:rsidRPr="00B56672" w:rsidTr="00DB61BD">
        <w:trPr>
          <w:trHeight w:val="101"/>
        </w:trPr>
        <w:tc>
          <w:tcPr>
            <w:tcW w:w="6629" w:type="dxa"/>
            <w:tcBorders>
              <w:left w:val="nil"/>
            </w:tcBorders>
            <w:vAlign w:val="center"/>
          </w:tcPr>
          <w:p w:rsidR="00D13228" w:rsidRPr="00B56672" w:rsidRDefault="00D13228" w:rsidP="00D13228">
            <w:pPr>
              <w:ind w:firstLine="0"/>
              <w:rPr>
                <w:b/>
                <w:sz w:val="20"/>
              </w:rPr>
            </w:pPr>
            <w:r w:rsidRPr="00B56672">
              <w:rPr>
                <w:b/>
                <w:sz w:val="20"/>
              </w:rPr>
              <w:t>Comportamento em relação aos gastos</w:t>
            </w:r>
          </w:p>
        </w:tc>
        <w:tc>
          <w:tcPr>
            <w:tcW w:w="2835" w:type="dxa"/>
            <w:tcBorders>
              <w:right w:val="nil"/>
            </w:tcBorders>
            <w:vAlign w:val="center"/>
          </w:tcPr>
          <w:p w:rsidR="00D13228" w:rsidRPr="00B56672" w:rsidRDefault="00D13228" w:rsidP="00D13228">
            <w:pPr>
              <w:ind w:firstLine="0"/>
              <w:jc w:val="center"/>
              <w:rPr>
                <w:b/>
                <w:sz w:val="20"/>
              </w:rPr>
            </w:pPr>
            <w:r w:rsidRPr="00B56672">
              <w:rPr>
                <w:b/>
                <w:sz w:val="20"/>
              </w:rPr>
              <w:t>Frequência Relativa</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Gasta muito menos do que ganha</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8,2%</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Gasta menos do que ganha</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63,9%</w:t>
            </w:r>
          </w:p>
        </w:tc>
      </w:tr>
      <w:tr w:rsidR="00D13228" w:rsidRPr="00B56672" w:rsidTr="00DB61BD">
        <w:trPr>
          <w:trHeight w:val="97"/>
        </w:trPr>
        <w:tc>
          <w:tcPr>
            <w:tcW w:w="6629" w:type="dxa"/>
            <w:tcBorders>
              <w:left w:val="nil"/>
            </w:tcBorders>
            <w:vAlign w:val="center"/>
          </w:tcPr>
          <w:p w:rsidR="00D13228" w:rsidRPr="00B56672" w:rsidRDefault="00D13228" w:rsidP="00D13228">
            <w:pPr>
              <w:ind w:firstLine="0"/>
              <w:rPr>
                <w:sz w:val="20"/>
              </w:rPr>
            </w:pPr>
            <w:r w:rsidRPr="00B56672">
              <w:rPr>
                <w:sz w:val="20"/>
              </w:rPr>
              <w:t>Gasta igual ao que ganha</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20,1%</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Gasta mais do que ganha</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7,4%</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Gasta muito mais do que ganha</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0,4%</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b/>
                <w:sz w:val="20"/>
              </w:rPr>
            </w:pPr>
            <w:r w:rsidRPr="00B56672">
              <w:rPr>
                <w:b/>
                <w:sz w:val="20"/>
              </w:rPr>
              <w:t>Total</w:t>
            </w:r>
          </w:p>
        </w:tc>
        <w:tc>
          <w:tcPr>
            <w:tcW w:w="2835" w:type="dxa"/>
            <w:tcBorders>
              <w:right w:val="nil"/>
            </w:tcBorders>
            <w:vAlign w:val="center"/>
          </w:tcPr>
          <w:p w:rsidR="00D13228" w:rsidRPr="00B56672" w:rsidRDefault="00D13228" w:rsidP="00D13228">
            <w:pPr>
              <w:ind w:firstLine="0"/>
              <w:jc w:val="center"/>
              <w:rPr>
                <w:b/>
                <w:sz w:val="20"/>
              </w:rPr>
            </w:pPr>
            <w:r w:rsidRPr="00B56672">
              <w:rPr>
                <w:b/>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w:t>
      </w:r>
    </w:p>
    <w:p w:rsidR="00D13228" w:rsidRPr="00B56672" w:rsidRDefault="00D13228" w:rsidP="00D13228"/>
    <w:p w:rsidR="00D13228" w:rsidRPr="00B56672" w:rsidRDefault="00D13228" w:rsidP="00E233A4">
      <w:pPr>
        <w:ind w:firstLine="708"/>
        <w:rPr>
          <w:szCs w:val="24"/>
        </w:rPr>
      </w:pPr>
      <w:r w:rsidRPr="00B56672">
        <w:rPr>
          <w:szCs w:val="24"/>
        </w:rPr>
        <w:t xml:space="preserve">Com base na Tabela </w:t>
      </w:r>
      <w:r w:rsidR="00E233A4">
        <w:rPr>
          <w:szCs w:val="24"/>
        </w:rPr>
        <w:t>6</w:t>
      </w:r>
      <w:r w:rsidRPr="00B56672">
        <w:rPr>
          <w:szCs w:val="24"/>
        </w:rPr>
        <w:t>, percebe-se que 63,9% dos respondentes alegam gastar menos do que arrecadam. Isto pode evidenciar que os profissionais contábeis se preocupam com o endividamento pessoal, além de serem prudentes no que diz respeito aos seus gastos. Este resultado vai ao encontro de Oliveira (2015), que também teve como porção maior da sua amostra (54%) que gastam menos que ganham.</w:t>
      </w:r>
      <w:r w:rsidR="00E233A4">
        <w:rPr>
          <w:szCs w:val="24"/>
        </w:rPr>
        <w:t xml:space="preserve"> </w:t>
      </w:r>
      <w:r w:rsidRPr="00B56672">
        <w:rPr>
          <w:szCs w:val="24"/>
        </w:rPr>
        <w:t xml:space="preserve">Quanto à preocupação com as finanças pessoais em geral, buscou-se saber na Tabela </w:t>
      </w:r>
      <w:r w:rsidR="00E233A4">
        <w:rPr>
          <w:szCs w:val="24"/>
        </w:rPr>
        <w:t>7</w:t>
      </w:r>
      <w:r w:rsidRPr="00B56672">
        <w:rPr>
          <w:szCs w:val="24"/>
        </w:rPr>
        <w:t>, qual o sentimento a respeito levando em consideração a preparação para a aposentadoria.</w:t>
      </w:r>
    </w:p>
    <w:p w:rsidR="00D13228" w:rsidRDefault="00D13228" w:rsidP="00D13228">
      <w:pPr>
        <w:ind w:firstLine="708"/>
        <w:rPr>
          <w:szCs w:val="24"/>
        </w:rPr>
      </w:pPr>
    </w:p>
    <w:p w:rsidR="00E233A4" w:rsidRDefault="00E233A4" w:rsidP="00D13228">
      <w:pPr>
        <w:ind w:firstLine="708"/>
        <w:rPr>
          <w:szCs w:val="24"/>
        </w:rPr>
      </w:pPr>
    </w:p>
    <w:p w:rsidR="00E233A4" w:rsidRDefault="00E233A4" w:rsidP="00D13228">
      <w:pPr>
        <w:ind w:firstLine="708"/>
        <w:rPr>
          <w:szCs w:val="24"/>
        </w:rPr>
      </w:pPr>
    </w:p>
    <w:p w:rsidR="00E233A4" w:rsidRPr="00B56672" w:rsidRDefault="00E233A4" w:rsidP="00D13228">
      <w:pPr>
        <w:ind w:firstLine="708"/>
        <w:rPr>
          <w:szCs w:val="24"/>
        </w:rPr>
      </w:pPr>
    </w:p>
    <w:p w:rsidR="00D13228" w:rsidRPr="00B56672" w:rsidRDefault="00D13228" w:rsidP="00D13228">
      <w:pPr>
        <w:ind w:firstLine="0"/>
        <w:textAlignment w:val="baseline"/>
        <w:rPr>
          <w:sz w:val="18"/>
          <w:szCs w:val="18"/>
        </w:rPr>
      </w:pPr>
      <w:r w:rsidRPr="00B56672">
        <w:rPr>
          <w:b/>
          <w:bCs/>
          <w:sz w:val="20"/>
        </w:rPr>
        <w:lastRenderedPageBreak/>
        <w:t xml:space="preserve">Tabela </w:t>
      </w:r>
      <w:r w:rsidR="00E233A4">
        <w:rPr>
          <w:b/>
          <w:bCs/>
          <w:sz w:val="20"/>
        </w:rPr>
        <w:t>7</w:t>
      </w:r>
      <w:r w:rsidRPr="00B56672">
        <w:rPr>
          <w:b/>
          <w:bCs/>
          <w:sz w:val="20"/>
        </w:rPr>
        <w:t>:</w:t>
      </w:r>
      <w:r w:rsidRPr="00B56672">
        <w:rPr>
          <w:sz w:val="20"/>
        </w:rPr>
        <w:t> Nível de preocupação em relação às suas finanças em geral, incluindo aposentadoria</w:t>
      </w:r>
    </w:p>
    <w:tbl>
      <w:tblPr>
        <w:tblW w:w="93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21"/>
        <w:gridCol w:w="2835"/>
      </w:tblGrid>
      <w:tr w:rsidR="00D13228" w:rsidRPr="00B56672" w:rsidTr="00D13228">
        <w:trPr>
          <w:trHeight w:val="78"/>
        </w:trPr>
        <w:tc>
          <w:tcPr>
            <w:tcW w:w="6521" w:type="dxa"/>
            <w:tcBorders>
              <w:top w:val="single" w:sz="6" w:space="0" w:color="666666"/>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b/>
                <w:bCs/>
                <w:sz w:val="20"/>
              </w:rPr>
              <w:t>Nível de Preocupação</w:t>
            </w:r>
          </w:p>
        </w:tc>
        <w:tc>
          <w:tcPr>
            <w:tcW w:w="2835" w:type="dxa"/>
            <w:tcBorders>
              <w:top w:val="single" w:sz="6" w:space="0" w:color="666666"/>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b/>
                <w:bCs/>
                <w:sz w:val="20"/>
              </w:rPr>
              <w:t>Frequência Relativa</w:t>
            </w:r>
          </w:p>
        </w:tc>
      </w:tr>
      <w:tr w:rsidR="00D13228" w:rsidRPr="00B56672" w:rsidTr="00D13228">
        <w:trPr>
          <w:trHeight w:val="111"/>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Sem preocupação</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1,6%</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Pouco preocupado</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16,4%</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Neutro</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18,0%</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Muito preocupado</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48,4%</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Muitíssimo preocupado</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15,6%</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b/>
                <w:bCs/>
                <w:sz w:val="20"/>
              </w:rPr>
              <w:t>Total</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b/>
                <w:bCs/>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w:t>
      </w:r>
    </w:p>
    <w:p w:rsidR="00D13228" w:rsidRPr="00B56672" w:rsidRDefault="00D13228" w:rsidP="00D13228">
      <w:pPr>
        <w:textAlignment w:val="baseline"/>
        <w:rPr>
          <w:sz w:val="18"/>
          <w:szCs w:val="18"/>
        </w:rPr>
      </w:pPr>
    </w:p>
    <w:p w:rsidR="00D13228" w:rsidRPr="00B56672" w:rsidRDefault="00D13228" w:rsidP="00E233A4">
      <w:pPr>
        <w:ind w:firstLine="708"/>
        <w:rPr>
          <w:szCs w:val="24"/>
        </w:rPr>
      </w:pPr>
      <w:r w:rsidRPr="00B56672">
        <w:rPr>
          <w:szCs w:val="24"/>
        </w:rPr>
        <w:t>Com base na Tabela, pode-se afirmar que a grande maioria dos respondentes (64,0%) está muito ou muitíssimo preocupado com suas finanças, incluindo sua aposentadoria. Com isto, afirma-se que os contadores são atentos quanto à gestão financeira pessoal. O resultado é distinto do encontrado por Vieira, Bataglia e Sereia (2011), quando a maioria de sua amostra ainda não se preocupava em poupar para este fim.</w:t>
      </w:r>
      <w:r w:rsidR="00E233A4">
        <w:rPr>
          <w:szCs w:val="24"/>
        </w:rPr>
        <w:t xml:space="preserve"> </w:t>
      </w:r>
      <w:r w:rsidRPr="00B56672">
        <w:rPr>
          <w:szCs w:val="24"/>
        </w:rPr>
        <w:t xml:space="preserve">A Tabela </w:t>
      </w:r>
      <w:r w:rsidR="00E233A4">
        <w:rPr>
          <w:szCs w:val="24"/>
        </w:rPr>
        <w:t>8</w:t>
      </w:r>
      <w:r w:rsidRPr="00B56672">
        <w:rPr>
          <w:szCs w:val="24"/>
        </w:rPr>
        <w:t xml:space="preserve"> evidencia o nível de preocupação dos respondentes quanto as informações voltadas à educação financeira.</w:t>
      </w:r>
    </w:p>
    <w:p w:rsidR="00D13228" w:rsidRPr="00B56672" w:rsidRDefault="00D13228" w:rsidP="00D13228">
      <w:pPr>
        <w:ind w:firstLine="708"/>
        <w:rPr>
          <w:szCs w:val="24"/>
        </w:rPr>
      </w:pPr>
    </w:p>
    <w:p w:rsidR="00D13228" w:rsidRPr="00B56672" w:rsidRDefault="00D13228" w:rsidP="00D13228">
      <w:pPr>
        <w:ind w:firstLine="0"/>
        <w:rPr>
          <w:sz w:val="20"/>
        </w:rPr>
      </w:pPr>
      <w:r w:rsidRPr="00B56672">
        <w:rPr>
          <w:b/>
          <w:sz w:val="20"/>
        </w:rPr>
        <w:t xml:space="preserve">Tabela </w:t>
      </w:r>
      <w:r w:rsidR="00E233A4">
        <w:rPr>
          <w:b/>
          <w:sz w:val="20"/>
        </w:rPr>
        <w:t>8</w:t>
      </w:r>
      <w:r w:rsidRPr="00B56672">
        <w:rPr>
          <w:b/>
          <w:sz w:val="20"/>
        </w:rPr>
        <w:t>:</w:t>
      </w:r>
      <w:r w:rsidRPr="00B56672">
        <w:rPr>
          <w:sz w:val="20"/>
        </w:rPr>
        <w:t xml:space="preserve"> Informações voltadas à educação financeira são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521"/>
        <w:gridCol w:w="2835"/>
      </w:tblGrid>
      <w:tr w:rsidR="00D13228" w:rsidRPr="00B56672" w:rsidTr="00DB61BD">
        <w:trPr>
          <w:trHeight w:val="117"/>
        </w:trPr>
        <w:tc>
          <w:tcPr>
            <w:tcW w:w="6521" w:type="dxa"/>
            <w:tcBorders>
              <w:left w:val="nil"/>
            </w:tcBorders>
            <w:vAlign w:val="center"/>
          </w:tcPr>
          <w:p w:rsidR="00D13228" w:rsidRPr="00B56672" w:rsidRDefault="00D13228" w:rsidP="00D13228">
            <w:pPr>
              <w:ind w:firstLine="0"/>
              <w:rPr>
                <w:b/>
                <w:sz w:val="20"/>
              </w:rPr>
            </w:pPr>
            <w:r w:rsidRPr="00B56672">
              <w:rPr>
                <w:b/>
                <w:sz w:val="20"/>
              </w:rPr>
              <w:t>Informações voltadas à educação financeira</w:t>
            </w:r>
          </w:p>
        </w:tc>
        <w:tc>
          <w:tcPr>
            <w:tcW w:w="2835" w:type="dxa"/>
            <w:tcBorders>
              <w:right w:val="nil"/>
            </w:tcBorders>
            <w:vAlign w:val="center"/>
          </w:tcPr>
          <w:p w:rsidR="00D13228" w:rsidRPr="00B56672" w:rsidRDefault="00D13228" w:rsidP="00D13228">
            <w:pPr>
              <w:ind w:firstLine="0"/>
              <w:jc w:val="center"/>
              <w:rPr>
                <w:b/>
                <w:sz w:val="20"/>
              </w:rPr>
            </w:pPr>
            <w:r w:rsidRPr="00B56672">
              <w:rPr>
                <w:b/>
                <w:sz w:val="20"/>
              </w:rPr>
              <w:t>Frequência Relativa</w:t>
            </w:r>
          </w:p>
        </w:tc>
      </w:tr>
      <w:tr w:rsidR="00D13228" w:rsidRPr="00B56672" w:rsidTr="00DB61BD">
        <w:trPr>
          <w:trHeight w:val="75"/>
        </w:trPr>
        <w:tc>
          <w:tcPr>
            <w:tcW w:w="6521" w:type="dxa"/>
            <w:tcBorders>
              <w:left w:val="nil"/>
            </w:tcBorders>
            <w:vAlign w:val="center"/>
          </w:tcPr>
          <w:p w:rsidR="00D13228" w:rsidRPr="00B56672" w:rsidRDefault="00D13228" w:rsidP="00D13228">
            <w:pPr>
              <w:ind w:firstLine="0"/>
              <w:rPr>
                <w:sz w:val="20"/>
              </w:rPr>
            </w:pPr>
            <w:r w:rsidRPr="00B56672">
              <w:rPr>
                <w:sz w:val="20"/>
              </w:rPr>
              <w:t>Sem Importância</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0,0%</w:t>
            </w:r>
          </w:p>
        </w:tc>
      </w:tr>
      <w:tr w:rsidR="00D13228" w:rsidRPr="00B56672" w:rsidTr="00DB61BD">
        <w:trPr>
          <w:trHeight w:val="75"/>
        </w:trPr>
        <w:tc>
          <w:tcPr>
            <w:tcW w:w="6521" w:type="dxa"/>
            <w:tcBorders>
              <w:left w:val="nil"/>
            </w:tcBorders>
            <w:vAlign w:val="center"/>
          </w:tcPr>
          <w:p w:rsidR="00D13228" w:rsidRPr="00B56672" w:rsidRDefault="00D13228" w:rsidP="00D13228">
            <w:pPr>
              <w:ind w:firstLine="0"/>
              <w:rPr>
                <w:sz w:val="20"/>
              </w:rPr>
            </w:pPr>
            <w:r w:rsidRPr="00B56672">
              <w:rPr>
                <w:sz w:val="20"/>
              </w:rPr>
              <w:t>Pouco Importante</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0,8%</w:t>
            </w:r>
          </w:p>
        </w:tc>
      </w:tr>
      <w:tr w:rsidR="00D13228" w:rsidRPr="00B56672" w:rsidTr="00DB61BD">
        <w:trPr>
          <w:trHeight w:val="75"/>
        </w:trPr>
        <w:tc>
          <w:tcPr>
            <w:tcW w:w="6521" w:type="dxa"/>
            <w:tcBorders>
              <w:left w:val="nil"/>
            </w:tcBorders>
            <w:vAlign w:val="center"/>
          </w:tcPr>
          <w:p w:rsidR="00D13228" w:rsidRPr="00B56672" w:rsidRDefault="00D13228" w:rsidP="00D13228">
            <w:pPr>
              <w:ind w:firstLine="0"/>
              <w:rPr>
                <w:sz w:val="20"/>
              </w:rPr>
            </w:pPr>
            <w:r w:rsidRPr="00B56672">
              <w:rPr>
                <w:sz w:val="20"/>
              </w:rPr>
              <w:t>Neutro</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0,0%</w:t>
            </w:r>
          </w:p>
        </w:tc>
      </w:tr>
      <w:tr w:rsidR="00D13228" w:rsidRPr="00B56672" w:rsidTr="00DB61BD">
        <w:trPr>
          <w:trHeight w:val="75"/>
        </w:trPr>
        <w:tc>
          <w:tcPr>
            <w:tcW w:w="6521" w:type="dxa"/>
            <w:tcBorders>
              <w:left w:val="nil"/>
            </w:tcBorders>
            <w:vAlign w:val="center"/>
          </w:tcPr>
          <w:p w:rsidR="00D13228" w:rsidRPr="00B56672" w:rsidRDefault="00D13228" w:rsidP="00D13228">
            <w:pPr>
              <w:ind w:firstLine="0"/>
              <w:rPr>
                <w:sz w:val="20"/>
              </w:rPr>
            </w:pPr>
            <w:r w:rsidRPr="00B56672">
              <w:rPr>
                <w:sz w:val="20"/>
              </w:rPr>
              <w:t>Importante</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23,4%</w:t>
            </w:r>
          </w:p>
        </w:tc>
      </w:tr>
      <w:tr w:rsidR="00D13228" w:rsidRPr="00B56672" w:rsidTr="00DB61BD">
        <w:trPr>
          <w:trHeight w:val="75"/>
        </w:trPr>
        <w:tc>
          <w:tcPr>
            <w:tcW w:w="6521" w:type="dxa"/>
            <w:tcBorders>
              <w:left w:val="nil"/>
            </w:tcBorders>
            <w:vAlign w:val="center"/>
          </w:tcPr>
          <w:p w:rsidR="00D13228" w:rsidRPr="00B56672" w:rsidRDefault="00D13228" w:rsidP="00D13228">
            <w:pPr>
              <w:ind w:firstLine="0"/>
              <w:rPr>
                <w:sz w:val="20"/>
              </w:rPr>
            </w:pPr>
            <w:r w:rsidRPr="00B56672">
              <w:rPr>
                <w:sz w:val="20"/>
              </w:rPr>
              <w:t>Muito Importante</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75,8%</w:t>
            </w:r>
          </w:p>
        </w:tc>
      </w:tr>
      <w:tr w:rsidR="00D13228" w:rsidRPr="00B56672" w:rsidTr="00DB61BD">
        <w:trPr>
          <w:trHeight w:val="75"/>
        </w:trPr>
        <w:tc>
          <w:tcPr>
            <w:tcW w:w="6521" w:type="dxa"/>
            <w:tcBorders>
              <w:left w:val="nil"/>
            </w:tcBorders>
            <w:vAlign w:val="center"/>
          </w:tcPr>
          <w:p w:rsidR="00D13228" w:rsidRPr="00B56672" w:rsidRDefault="00D13228" w:rsidP="00D13228">
            <w:pPr>
              <w:ind w:firstLine="0"/>
              <w:rPr>
                <w:b/>
                <w:sz w:val="20"/>
              </w:rPr>
            </w:pPr>
            <w:r w:rsidRPr="00B56672">
              <w:rPr>
                <w:b/>
                <w:sz w:val="20"/>
              </w:rPr>
              <w:t>Total</w:t>
            </w:r>
          </w:p>
        </w:tc>
        <w:tc>
          <w:tcPr>
            <w:tcW w:w="2835" w:type="dxa"/>
            <w:tcBorders>
              <w:right w:val="nil"/>
            </w:tcBorders>
            <w:vAlign w:val="center"/>
          </w:tcPr>
          <w:p w:rsidR="00D13228" w:rsidRPr="00B56672" w:rsidRDefault="00D13228" w:rsidP="00D13228">
            <w:pPr>
              <w:ind w:firstLine="0"/>
              <w:jc w:val="center"/>
              <w:rPr>
                <w:b/>
                <w:sz w:val="20"/>
              </w:rPr>
            </w:pPr>
            <w:r w:rsidRPr="00B56672">
              <w:rPr>
                <w:b/>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w:t>
      </w:r>
    </w:p>
    <w:p w:rsidR="00D13228" w:rsidRPr="00B56672" w:rsidRDefault="00D13228" w:rsidP="00D13228">
      <w:pPr>
        <w:rPr>
          <w:sz w:val="20"/>
        </w:rPr>
      </w:pPr>
    </w:p>
    <w:p w:rsidR="00D13228" w:rsidRPr="00B56672" w:rsidRDefault="00D13228" w:rsidP="00687B5D">
      <w:pPr>
        <w:ind w:firstLine="708"/>
        <w:rPr>
          <w:szCs w:val="24"/>
        </w:rPr>
      </w:pPr>
      <w:r w:rsidRPr="00B56672">
        <w:rPr>
          <w:szCs w:val="24"/>
        </w:rPr>
        <w:t xml:space="preserve">De acordo com a Tabela </w:t>
      </w:r>
      <w:r w:rsidR="00E233A4">
        <w:rPr>
          <w:szCs w:val="24"/>
        </w:rPr>
        <w:t>8</w:t>
      </w:r>
      <w:r w:rsidRPr="00B56672">
        <w:rPr>
          <w:szCs w:val="24"/>
        </w:rPr>
        <w:t>, quase a totalidade dos profissionais contábeis (99,2%) enfatizam que as informações voltadas à educação financeira são importantes ou muito importantes. Este resultado corrobora com a pesquisa de Conto et al. (2015), quando a grande maioria dos pesquisados também consideraram esta importância.</w:t>
      </w:r>
      <w:r w:rsidR="00687B5D">
        <w:rPr>
          <w:szCs w:val="24"/>
        </w:rPr>
        <w:t xml:space="preserve"> </w:t>
      </w:r>
      <w:r w:rsidRPr="00B56672">
        <w:rPr>
          <w:szCs w:val="24"/>
        </w:rPr>
        <w:t xml:space="preserve">A influência da situação financeira sobre o desempenho profissional é medida na Tabela </w:t>
      </w:r>
      <w:r w:rsidR="00E233A4">
        <w:rPr>
          <w:szCs w:val="24"/>
        </w:rPr>
        <w:t>9</w:t>
      </w:r>
      <w:r w:rsidRPr="00B56672">
        <w:rPr>
          <w:szCs w:val="24"/>
        </w:rPr>
        <w:t>.</w:t>
      </w:r>
    </w:p>
    <w:p w:rsidR="00D13228" w:rsidRPr="00B56672" w:rsidRDefault="00D13228" w:rsidP="00D13228">
      <w:pPr>
        <w:ind w:firstLine="708"/>
        <w:rPr>
          <w:szCs w:val="24"/>
        </w:rPr>
      </w:pPr>
    </w:p>
    <w:p w:rsidR="00D13228" w:rsidRPr="00B56672" w:rsidRDefault="00D13228" w:rsidP="00D13228">
      <w:pPr>
        <w:ind w:firstLine="0"/>
        <w:textAlignment w:val="baseline"/>
        <w:rPr>
          <w:sz w:val="18"/>
          <w:szCs w:val="18"/>
        </w:rPr>
      </w:pPr>
      <w:r w:rsidRPr="00B56672">
        <w:rPr>
          <w:b/>
          <w:bCs/>
          <w:sz w:val="20"/>
        </w:rPr>
        <w:t xml:space="preserve">Tabela </w:t>
      </w:r>
      <w:r w:rsidR="00E233A4">
        <w:rPr>
          <w:b/>
          <w:bCs/>
          <w:sz w:val="20"/>
        </w:rPr>
        <w:t>9</w:t>
      </w:r>
      <w:r w:rsidRPr="00B56672">
        <w:rPr>
          <w:b/>
          <w:bCs/>
          <w:sz w:val="20"/>
        </w:rPr>
        <w:t>:</w:t>
      </w:r>
      <w:r w:rsidRPr="00B56672">
        <w:rPr>
          <w:sz w:val="20"/>
        </w:rPr>
        <w:t> Situação financeira e desempenho profissional</w:t>
      </w:r>
    </w:p>
    <w:tbl>
      <w:tblPr>
        <w:tblW w:w="93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21"/>
        <w:gridCol w:w="2835"/>
      </w:tblGrid>
      <w:tr w:rsidR="00D13228" w:rsidRPr="00B56672" w:rsidTr="00D13228">
        <w:trPr>
          <w:trHeight w:val="65"/>
        </w:trPr>
        <w:tc>
          <w:tcPr>
            <w:tcW w:w="6521" w:type="dxa"/>
            <w:tcBorders>
              <w:top w:val="single" w:sz="6" w:space="0" w:color="666666"/>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b/>
                <w:bCs/>
                <w:sz w:val="20"/>
              </w:rPr>
              <w:t>Situação financeira e desempenho profissional</w:t>
            </w:r>
          </w:p>
        </w:tc>
        <w:tc>
          <w:tcPr>
            <w:tcW w:w="2835" w:type="dxa"/>
            <w:tcBorders>
              <w:top w:val="single" w:sz="6" w:space="0" w:color="666666"/>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b/>
                <w:bCs/>
                <w:sz w:val="20"/>
              </w:rPr>
              <w:t>Frequência Relativa</w:t>
            </w:r>
          </w:p>
        </w:tc>
      </w:tr>
      <w:tr w:rsidR="00D13228" w:rsidRPr="00B56672" w:rsidTr="00D13228">
        <w:trPr>
          <w:trHeight w:val="247"/>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Discordo totalmente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5,0%</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Discordo parcialmente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6,1%</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Nem concordo / Nem discordo</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14,8%</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Concordo parcialmente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43,4%</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Concordo totalmente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30,7%</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b/>
                <w:bCs/>
                <w:sz w:val="20"/>
              </w:rPr>
              <w:t>Total</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b/>
                <w:bCs/>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w:t>
      </w:r>
    </w:p>
    <w:p w:rsidR="00D13228" w:rsidRPr="00B56672" w:rsidRDefault="00D13228" w:rsidP="00D13228">
      <w:pPr>
        <w:ind w:firstLine="708"/>
        <w:rPr>
          <w:szCs w:val="24"/>
        </w:rPr>
      </w:pPr>
    </w:p>
    <w:p w:rsidR="00D13228" w:rsidRPr="00B56672" w:rsidRDefault="00D13228" w:rsidP="00D13228">
      <w:pPr>
        <w:ind w:firstLine="708"/>
        <w:rPr>
          <w:sz w:val="20"/>
        </w:rPr>
      </w:pPr>
      <w:r w:rsidRPr="00B56672">
        <w:rPr>
          <w:szCs w:val="24"/>
        </w:rPr>
        <w:t xml:space="preserve">Pode-se confirmar que a maioria dos respondentes (74,1%) observam a situação financeira como algo que interfere no desempenho profissional e demonstra a importância que o </w:t>
      </w:r>
      <w:r w:rsidRPr="00B56672">
        <w:rPr>
          <w:szCs w:val="24"/>
        </w:rPr>
        <w:lastRenderedPageBreak/>
        <w:t>profissional contábil dá a um ambiente em que seja bem remunerado, fazendo com que esteja mais disposto a desenvolver seu trabalho com dedicação e zelo. O resultado corrobora com Oliveira (2015), quando se tem a evidenciação de que a situação financeira dos indivíduos questionados influencia no desempenho de suas profissões. A Tabela 1</w:t>
      </w:r>
      <w:r w:rsidR="00E233A4">
        <w:rPr>
          <w:szCs w:val="24"/>
        </w:rPr>
        <w:t>0</w:t>
      </w:r>
      <w:r w:rsidRPr="00B56672">
        <w:rPr>
          <w:szCs w:val="24"/>
        </w:rPr>
        <w:t xml:space="preserve"> demonstra o nível de conhecimento dos respondentes acerca do tema em estudo.</w:t>
      </w:r>
    </w:p>
    <w:p w:rsidR="00D13228" w:rsidRPr="00B56672" w:rsidRDefault="00D13228" w:rsidP="00D13228">
      <w:pPr>
        <w:rPr>
          <w:szCs w:val="24"/>
        </w:rPr>
      </w:pPr>
    </w:p>
    <w:p w:rsidR="00D13228" w:rsidRPr="00B56672" w:rsidRDefault="00D13228" w:rsidP="00D13228">
      <w:pPr>
        <w:ind w:firstLine="0"/>
        <w:rPr>
          <w:sz w:val="20"/>
        </w:rPr>
      </w:pPr>
      <w:r w:rsidRPr="00B56672">
        <w:rPr>
          <w:b/>
          <w:sz w:val="20"/>
        </w:rPr>
        <w:t>Tabela 1</w:t>
      </w:r>
      <w:r w:rsidR="00E233A4">
        <w:rPr>
          <w:b/>
          <w:sz w:val="20"/>
        </w:rPr>
        <w:t>0</w:t>
      </w:r>
      <w:r w:rsidRPr="00B56672">
        <w:rPr>
          <w:b/>
          <w:sz w:val="20"/>
        </w:rPr>
        <w:t>:</w:t>
      </w:r>
      <w:r w:rsidRPr="00B56672">
        <w:rPr>
          <w:sz w:val="20"/>
        </w:rPr>
        <w:t xml:space="preserve"> Nível de conhecimento em finanças pessoais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629"/>
        <w:gridCol w:w="2835"/>
      </w:tblGrid>
      <w:tr w:rsidR="00D13228" w:rsidRPr="00B56672" w:rsidTr="00DB61BD">
        <w:trPr>
          <w:trHeight w:val="75"/>
        </w:trPr>
        <w:tc>
          <w:tcPr>
            <w:tcW w:w="6629" w:type="dxa"/>
            <w:tcBorders>
              <w:left w:val="nil"/>
            </w:tcBorders>
            <w:vAlign w:val="center"/>
          </w:tcPr>
          <w:p w:rsidR="00D13228" w:rsidRPr="00B56672" w:rsidRDefault="00D13228" w:rsidP="00D13228">
            <w:pPr>
              <w:ind w:firstLine="0"/>
              <w:rPr>
                <w:b/>
                <w:sz w:val="20"/>
              </w:rPr>
            </w:pPr>
            <w:r w:rsidRPr="00B56672">
              <w:rPr>
                <w:b/>
                <w:sz w:val="20"/>
              </w:rPr>
              <w:t>Nível de conhecimento em finanças pessoais</w:t>
            </w:r>
          </w:p>
        </w:tc>
        <w:tc>
          <w:tcPr>
            <w:tcW w:w="2835" w:type="dxa"/>
            <w:tcBorders>
              <w:right w:val="nil"/>
            </w:tcBorders>
            <w:vAlign w:val="center"/>
          </w:tcPr>
          <w:p w:rsidR="00D13228" w:rsidRPr="00B56672" w:rsidRDefault="00D13228" w:rsidP="00D13228">
            <w:pPr>
              <w:ind w:firstLine="0"/>
              <w:jc w:val="center"/>
              <w:rPr>
                <w:b/>
                <w:sz w:val="20"/>
              </w:rPr>
            </w:pPr>
            <w:r w:rsidRPr="00B56672">
              <w:rPr>
                <w:b/>
                <w:sz w:val="20"/>
              </w:rPr>
              <w:t>Frequência Relativa</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Nenhum conhecimento</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0,0%</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Pouco conhecimento</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6,1%</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Regular conhecimento</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43,9%</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Muito Conhecimento</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38,1%</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sz w:val="20"/>
              </w:rPr>
            </w:pPr>
            <w:r w:rsidRPr="00B56672">
              <w:rPr>
                <w:sz w:val="20"/>
              </w:rPr>
              <w:t>Total Conhecimento</w:t>
            </w:r>
          </w:p>
        </w:tc>
        <w:tc>
          <w:tcPr>
            <w:tcW w:w="2835" w:type="dxa"/>
            <w:tcBorders>
              <w:right w:val="nil"/>
            </w:tcBorders>
            <w:vAlign w:val="center"/>
          </w:tcPr>
          <w:p w:rsidR="00D13228" w:rsidRPr="00B56672" w:rsidRDefault="00D13228" w:rsidP="00D13228">
            <w:pPr>
              <w:ind w:firstLine="0"/>
              <w:jc w:val="center"/>
              <w:rPr>
                <w:sz w:val="20"/>
              </w:rPr>
            </w:pPr>
            <w:r w:rsidRPr="00B56672">
              <w:rPr>
                <w:sz w:val="20"/>
              </w:rPr>
              <w:t>11,9%</w:t>
            </w:r>
          </w:p>
        </w:tc>
      </w:tr>
      <w:tr w:rsidR="00D13228" w:rsidRPr="00B56672" w:rsidTr="00DB61BD">
        <w:trPr>
          <w:trHeight w:val="75"/>
        </w:trPr>
        <w:tc>
          <w:tcPr>
            <w:tcW w:w="6629" w:type="dxa"/>
            <w:tcBorders>
              <w:left w:val="nil"/>
            </w:tcBorders>
            <w:vAlign w:val="center"/>
          </w:tcPr>
          <w:p w:rsidR="00D13228" w:rsidRPr="00B56672" w:rsidRDefault="00D13228" w:rsidP="00D13228">
            <w:pPr>
              <w:ind w:firstLine="0"/>
              <w:rPr>
                <w:b/>
                <w:sz w:val="20"/>
              </w:rPr>
            </w:pPr>
            <w:r w:rsidRPr="00B56672">
              <w:rPr>
                <w:b/>
                <w:sz w:val="20"/>
              </w:rPr>
              <w:t>Total</w:t>
            </w:r>
          </w:p>
        </w:tc>
        <w:tc>
          <w:tcPr>
            <w:tcW w:w="2835" w:type="dxa"/>
            <w:tcBorders>
              <w:right w:val="nil"/>
            </w:tcBorders>
            <w:vAlign w:val="center"/>
          </w:tcPr>
          <w:p w:rsidR="00D13228" w:rsidRPr="00B56672" w:rsidRDefault="00D13228" w:rsidP="00D13228">
            <w:pPr>
              <w:ind w:firstLine="0"/>
              <w:jc w:val="center"/>
              <w:rPr>
                <w:b/>
                <w:sz w:val="20"/>
              </w:rPr>
            </w:pPr>
            <w:r w:rsidRPr="00B56672">
              <w:rPr>
                <w:b/>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w:t>
      </w:r>
    </w:p>
    <w:p w:rsidR="00D13228" w:rsidRPr="00B56672" w:rsidRDefault="00D13228" w:rsidP="00D13228">
      <w:pPr>
        <w:rPr>
          <w:sz w:val="20"/>
        </w:rPr>
      </w:pPr>
    </w:p>
    <w:p w:rsidR="00D13228" w:rsidRPr="00B56672" w:rsidRDefault="00D13228" w:rsidP="00D13228">
      <w:pPr>
        <w:ind w:firstLine="708"/>
        <w:rPr>
          <w:szCs w:val="24"/>
        </w:rPr>
      </w:pPr>
      <w:r w:rsidRPr="00B56672">
        <w:rPr>
          <w:szCs w:val="24"/>
        </w:rPr>
        <w:t>Verifica-se que 100% dos respondentes possuem algum conhecimento a respeito de finanças pessoais, sendo que a maior porção (43,9%) alega ter conhecimento de nível regular, seguido de 38,1% com muito conhecimento na área. Comparando estes achados com a pesquisa de Conto et al. (2015), encontra-se uma semelhança nos resultados quanto ao nível de conhecimento regular, acompanhada por uma discrepância na maior frequência de respondentes que alegaram possuir pouco conhecimento.</w:t>
      </w:r>
    </w:p>
    <w:p w:rsidR="00D13228" w:rsidRPr="00B56672" w:rsidRDefault="00D13228" w:rsidP="00D13228">
      <w:pPr>
        <w:ind w:firstLine="708"/>
        <w:rPr>
          <w:szCs w:val="24"/>
        </w:rPr>
      </w:pPr>
      <w:r w:rsidRPr="00B56672">
        <w:rPr>
          <w:szCs w:val="24"/>
        </w:rPr>
        <w:t xml:space="preserve">Procurou-se identificar na Tabela </w:t>
      </w:r>
      <w:r w:rsidR="00E233A4">
        <w:rPr>
          <w:szCs w:val="24"/>
        </w:rPr>
        <w:t>11</w:t>
      </w:r>
      <w:r w:rsidRPr="00B56672">
        <w:rPr>
          <w:szCs w:val="24"/>
        </w:rPr>
        <w:t>, se o respondente já havia participado de algum curso, palestra, treinamento ou aula cujo conteúdo ministrado estava relacionado à educação financeira pessoal.</w:t>
      </w:r>
    </w:p>
    <w:p w:rsidR="00D13228" w:rsidRPr="00B56672" w:rsidRDefault="00D13228" w:rsidP="00D13228">
      <w:pPr>
        <w:ind w:firstLine="708"/>
        <w:rPr>
          <w:szCs w:val="24"/>
        </w:rPr>
      </w:pPr>
    </w:p>
    <w:p w:rsidR="00D13228" w:rsidRPr="00B56672" w:rsidRDefault="00D13228" w:rsidP="00D13228">
      <w:pPr>
        <w:ind w:firstLine="0"/>
        <w:textAlignment w:val="baseline"/>
        <w:rPr>
          <w:sz w:val="18"/>
          <w:szCs w:val="18"/>
        </w:rPr>
      </w:pPr>
      <w:r w:rsidRPr="00B56672">
        <w:rPr>
          <w:b/>
          <w:bCs/>
          <w:sz w:val="20"/>
        </w:rPr>
        <w:t>Tabela 1</w:t>
      </w:r>
      <w:r w:rsidR="00E233A4">
        <w:rPr>
          <w:b/>
          <w:bCs/>
          <w:sz w:val="20"/>
        </w:rPr>
        <w:t>1</w:t>
      </w:r>
      <w:r w:rsidRPr="00B56672">
        <w:rPr>
          <w:b/>
          <w:bCs/>
          <w:sz w:val="20"/>
        </w:rPr>
        <w:t>:</w:t>
      </w:r>
      <w:r w:rsidRPr="00B56672">
        <w:rPr>
          <w:sz w:val="20"/>
        </w:rPr>
        <w:t> Participação em algum curso, palestra, treinamento ou aula cujo conteúdo ministrado estava relacionado à educação financeira pessoal</w:t>
      </w:r>
    </w:p>
    <w:tbl>
      <w:tblPr>
        <w:tblW w:w="93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21"/>
        <w:gridCol w:w="2835"/>
      </w:tblGrid>
      <w:tr w:rsidR="00D13228" w:rsidRPr="00B56672" w:rsidTr="00D13228">
        <w:trPr>
          <w:trHeight w:val="65"/>
        </w:trPr>
        <w:tc>
          <w:tcPr>
            <w:tcW w:w="6521" w:type="dxa"/>
            <w:tcBorders>
              <w:top w:val="single" w:sz="6" w:space="0" w:color="666666"/>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b/>
                <w:sz w:val="20"/>
              </w:rPr>
            </w:pPr>
            <w:r w:rsidRPr="00B56672">
              <w:rPr>
                <w:b/>
                <w:sz w:val="20"/>
              </w:rPr>
              <w:t>Curso, palestra, treinamento ou aula</w:t>
            </w:r>
          </w:p>
        </w:tc>
        <w:tc>
          <w:tcPr>
            <w:tcW w:w="2835" w:type="dxa"/>
            <w:tcBorders>
              <w:top w:val="single" w:sz="6" w:space="0" w:color="666666"/>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b/>
                <w:bCs/>
                <w:sz w:val="20"/>
              </w:rPr>
              <w:t>Frequência Relativa</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Discordo totalmente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2,5%</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Discordo parcialmente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9,4%</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Nem concordo / Nem discordo</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26,6%</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Concordo parcialmente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24,6%</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sz w:val="20"/>
              </w:rPr>
              <w:t>Concordo totalmente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sz w:val="20"/>
              </w:rPr>
              <w:t>36,9%</w:t>
            </w:r>
          </w:p>
        </w:tc>
      </w:tr>
      <w:tr w:rsidR="00D13228" w:rsidRPr="00B56672" w:rsidTr="00D13228">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D13228">
            <w:pPr>
              <w:ind w:firstLine="0"/>
              <w:textAlignment w:val="baseline"/>
              <w:rPr>
                <w:szCs w:val="24"/>
              </w:rPr>
            </w:pPr>
            <w:r w:rsidRPr="00B56672">
              <w:rPr>
                <w:b/>
                <w:bCs/>
                <w:sz w:val="20"/>
              </w:rPr>
              <w:t>Total</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D13228">
            <w:pPr>
              <w:ind w:firstLine="0"/>
              <w:jc w:val="center"/>
              <w:textAlignment w:val="baseline"/>
              <w:rPr>
                <w:szCs w:val="24"/>
              </w:rPr>
            </w:pPr>
            <w:r w:rsidRPr="00B56672">
              <w:rPr>
                <w:b/>
                <w:bCs/>
                <w:sz w:val="20"/>
              </w:rPr>
              <w:t>100,0%</w:t>
            </w:r>
          </w:p>
        </w:tc>
      </w:tr>
    </w:tbl>
    <w:p w:rsidR="00D13228" w:rsidRPr="00B56672" w:rsidRDefault="00D13228" w:rsidP="00D13228">
      <w:pPr>
        <w:ind w:firstLine="0"/>
        <w:rPr>
          <w:sz w:val="20"/>
        </w:rPr>
      </w:pPr>
      <w:r w:rsidRPr="00B56672">
        <w:rPr>
          <w:b/>
          <w:sz w:val="20"/>
        </w:rPr>
        <w:t>Fonte:</w:t>
      </w:r>
      <w:r w:rsidRPr="00B56672">
        <w:rPr>
          <w:sz w:val="20"/>
        </w:rPr>
        <w:t xml:space="preserve"> Dados da Pesquisa (2019) </w:t>
      </w:r>
    </w:p>
    <w:p w:rsidR="00D13228" w:rsidRPr="00B56672" w:rsidRDefault="00D13228" w:rsidP="00D13228">
      <w:pPr>
        <w:textAlignment w:val="baseline"/>
        <w:rPr>
          <w:sz w:val="18"/>
          <w:szCs w:val="18"/>
        </w:rPr>
      </w:pPr>
    </w:p>
    <w:p w:rsidR="00D13228" w:rsidRPr="00B56672" w:rsidRDefault="00D13228" w:rsidP="00D13228">
      <w:pPr>
        <w:ind w:firstLine="705"/>
        <w:textAlignment w:val="baseline"/>
        <w:rPr>
          <w:sz w:val="18"/>
          <w:szCs w:val="18"/>
        </w:rPr>
      </w:pPr>
      <w:r w:rsidRPr="00B56672">
        <w:rPr>
          <w:szCs w:val="24"/>
        </w:rPr>
        <w:t>Pode-se afirmar que a maioria dos respondentes (61,5%) já participou de eventos com o tema “educação financeira”, ou seja, confirma-se mais uma vez que de fato, os contadores são profissionais preocupados com o ambiente financeiro que lhes rodeia. Outra evidência é que 26,6% dos respondentes não possui precisamente a lembrança de ter participado de algum evento com este fim. Este resultado contraria os encontrados por Conto et al. (2015) quando concluíram que apenas 9,2% de seus respondentes já havia participado de algum curso de finanças pessoais.</w:t>
      </w:r>
    </w:p>
    <w:p w:rsidR="00D13228" w:rsidRPr="00B56672" w:rsidRDefault="00D13228" w:rsidP="00D13228">
      <w:pPr>
        <w:ind w:firstLine="705"/>
        <w:textAlignment w:val="baseline"/>
        <w:rPr>
          <w:sz w:val="18"/>
          <w:szCs w:val="18"/>
        </w:rPr>
      </w:pPr>
      <w:r w:rsidRPr="00B56672">
        <w:rPr>
          <w:szCs w:val="24"/>
        </w:rPr>
        <w:lastRenderedPageBreak/>
        <w:t>A Tabela 1</w:t>
      </w:r>
      <w:r w:rsidR="00E233A4">
        <w:rPr>
          <w:szCs w:val="24"/>
        </w:rPr>
        <w:t>2</w:t>
      </w:r>
      <w:r w:rsidRPr="00B56672">
        <w:rPr>
          <w:szCs w:val="24"/>
        </w:rPr>
        <w:t xml:space="preserve"> demonstra a opinião dos respondentes quanto à implementação de disciplinas ligadas a educação financeira nas escolas de ensino fundamental e médio.</w:t>
      </w:r>
    </w:p>
    <w:p w:rsidR="00D13228" w:rsidRPr="00B56672" w:rsidRDefault="00D13228" w:rsidP="00D13228">
      <w:pPr>
        <w:ind w:firstLine="708"/>
        <w:rPr>
          <w:szCs w:val="24"/>
        </w:rPr>
      </w:pPr>
    </w:p>
    <w:p w:rsidR="00D13228" w:rsidRPr="00B56672" w:rsidRDefault="00D13228" w:rsidP="00E233A4">
      <w:pPr>
        <w:ind w:firstLine="0"/>
        <w:rPr>
          <w:sz w:val="20"/>
        </w:rPr>
      </w:pPr>
      <w:r w:rsidRPr="00B56672">
        <w:rPr>
          <w:b/>
          <w:sz w:val="20"/>
        </w:rPr>
        <w:t>Tabela 1</w:t>
      </w:r>
      <w:r w:rsidR="00E233A4">
        <w:rPr>
          <w:b/>
          <w:sz w:val="20"/>
        </w:rPr>
        <w:t>2</w:t>
      </w:r>
      <w:r w:rsidRPr="00B56672">
        <w:rPr>
          <w:b/>
          <w:sz w:val="20"/>
        </w:rPr>
        <w:t>:</w:t>
      </w:r>
      <w:r w:rsidRPr="00B56672">
        <w:rPr>
          <w:sz w:val="20"/>
        </w:rPr>
        <w:t xml:space="preserve"> A educação financeira pessoal como parte integrante do currículo de escolas de ensino fundamental e médio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521"/>
        <w:gridCol w:w="2835"/>
      </w:tblGrid>
      <w:tr w:rsidR="00D13228" w:rsidRPr="00B56672" w:rsidTr="00390C14">
        <w:trPr>
          <w:trHeight w:val="75"/>
        </w:trPr>
        <w:tc>
          <w:tcPr>
            <w:tcW w:w="6521" w:type="dxa"/>
            <w:tcBorders>
              <w:left w:val="nil"/>
            </w:tcBorders>
            <w:vAlign w:val="center"/>
          </w:tcPr>
          <w:p w:rsidR="00D13228" w:rsidRPr="00B56672" w:rsidRDefault="00D13228" w:rsidP="00390C14">
            <w:pPr>
              <w:ind w:firstLine="0"/>
              <w:rPr>
                <w:b/>
                <w:sz w:val="20"/>
              </w:rPr>
            </w:pPr>
            <w:r w:rsidRPr="00B56672">
              <w:rPr>
                <w:b/>
                <w:sz w:val="20"/>
              </w:rPr>
              <w:t>Educação financeira em escolas</w:t>
            </w:r>
          </w:p>
        </w:tc>
        <w:tc>
          <w:tcPr>
            <w:tcW w:w="2835" w:type="dxa"/>
            <w:tcBorders>
              <w:right w:val="nil"/>
            </w:tcBorders>
            <w:vAlign w:val="center"/>
          </w:tcPr>
          <w:p w:rsidR="00D13228" w:rsidRPr="00B56672" w:rsidRDefault="00D13228" w:rsidP="00390C14">
            <w:pPr>
              <w:ind w:firstLine="0"/>
              <w:jc w:val="center"/>
              <w:rPr>
                <w:b/>
                <w:sz w:val="20"/>
              </w:rPr>
            </w:pPr>
            <w:r w:rsidRPr="00B56672">
              <w:rPr>
                <w:b/>
                <w:sz w:val="20"/>
              </w:rPr>
              <w:t>Frequência Relativa</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sz w:val="20"/>
              </w:rPr>
            </w:pPr>
            <w:r w:rsidRPr="00B56672">
              <w:rPr>
                <w:sz w:val="20"/>
              </w:rPr>
              <w:t>Discordo totalmente</w:t>
            </w:r>
          </w:p>
        </w:tc>
        <w:tc>
          <w:tcPr>
            <w:tcW w:w="2835" w:type="dxa"/>
            <w:tcBorders>
              <w:right w:val="nil"/>
            </w:tcBorders>
            <w:vAlign w:val="center"/>
          </w:tcPr>
          <w:p w:rsidR="00D13228" w:rsidRPr="00B56672" w:rsidRDefault="00D13228" w:rsidP="00390C14">
            <w:pPr>
              <w:ind w:firstLine="0"/>
              <w:jc w:val="center"/>
              <w:rPr>
                <w:sz w:val="20"/>
              </w:rPr>
            </w:pPr>
            <w:r w:rsidRPr="00B56672">
              <w:rPr>
                <w:sz w:val="20"/>
              </w:rPr>
              <w:t>0,0%</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sz w:val="20"/>
              </w:rPr>
            </w:pPr>
            <w:r w:rsidRPr="00B56672">
              <w:rPr>
                <w:sz w:val="20"/>
              </w:rPr>
              <w:t>Discordo parcialmente</w:t>
            </w:r>
          </w:p>
        </w:tc>
        <w:tc>
          <w:tcPr>
            <w:tcW w:w="2835" w:type="dxa"/>
            <w:tcBorders>
              <w:right w:val="nil"/>
            </w:tcBorders>
            <w:vAlign w:val="center"/>
          </w:tcPr>
          <w:p w:rsidR="00D13228" w:rsidRPr="00B56672" w:rsidRDefault="00D13228" w:rsidP="00390C14">
            <w:pPr>
              <w:ind w:firstLine="0"/>
              <w:jc w:val="center"/>
              <w:rPr>
                <w:sz w:val="20"/>
              </w:rPr>
            </w:pPr>
            <w:r w:rsidRPr="00B56672">
              <w:rPr>
                <w:sz w:val="20"/>
              </w:rPr>
              <w:t>1,6%</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sz w:val="20"/>
              </w:rPr>
            </w:pPr>
            <w:r w:rsidRPr="00B56672">
              <w:rPr>
                <w:sz w:val="20"/>
              </w:rPr>
              <w:t>Nem concordo / Nem discordo</w:t>
            </w:r>
          </w:p>
        </w:tc>
        <w:tc>
          <w:tcPr>
            <w:tcW w:w="2835" w:type="dxa"/>
            <w:tcBorders>
              <w:right w:val="nil"/>
            </w:tcBorders>
            <w:vAlign w:val="center"/>
          </w:tcPr>
          <w:p w:rsidR="00D13228" w:rsidRPr="00B56672" w:rsidRDefault="00D13228" w:rsidP="00390C14">
            <w:pPr>
              <w:ind w:firstLine="0"/>
              <w:jc w:val="center"/>
              <w:rPr>
                <w:sz w:val="20"/>
              </w:rPr>
            </w:pPr>
            <w:r w:rsidRPr="00B56672">
              <w:rPr>
                <w:sz w:val="20"/>
              </w:rPr>
              <w:t>5,7%</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sz w:val="20"/>
              </w:rPr>
            </w:pPr>
            <w:r w:rsidRPr="00B56672">
              <w:rPr>
                <w:sz w:val="20"/>
              </w:rPr>
              <w:t>Concordo parcialmente</w:t>
            </w:r>
          </w:p>
        </w:tc>
        <w:tc>
          <w:tcPr>
            <w:tcW w:w="2835" w:type="dxa"/>
            <w:tcBorders>
              <w:right w:val="nil"/>
            </w:tcBorders>
            <w:vAlign w:val="center"/>
          </w:tcPr>
          <w:p w:rsidR="00D13228" w:rsidRPr="00B56672" w:rsidRDefault="00D13228" w:rsidP="00390C14">
            <w:pPr>
              <w:ind w:firstLine="0"/>
              <w:jc w:val="center"/>
              <w:rPr>
                <w:sz w:val="20"/>
              </w:rPr>
            </w:pPr>
            <w:r w:rsidRPr="00B56672">
              <w:rPr>
                <w:sz w:val="20"/>
              </w:rPr>
              <w:t>14,8%</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sz w:val="20"/>
              </w:rPr>
            </w:pPr>
            <w:r w:rsidRPr="00B56672">
              <w:rPr>
                <w:sz w:val="20"/>
              </w:rPr>
              <w:t>Concordo totalmente</w:t>
            </w:r>
          </w:p>
        </w:tc>
        <w:tc>
          <w:tcPr>
            <w:tcW w:w="2835" w:type="dxa"/>
            <w:tcBorders>
              <w:right w:val="nil"/>
            </w:tcBorders>
            <w:vAlign w:val="center"/>
          </w:tcPr>
          <w:p w:rsidR="00D13228" w:rsidRPr="00B56672" w:rsidRDefault="00D13228" w:rsidP="00390C14">
            <w:pPr>
              <w:ind w:firstLine="0"/>
              <w:jc w:val="center"/>
              <w:rPr>
                <w:sz w:val="20"/>
              </w:rPr>
            </w:pPr>
            <w:r w:rsidRPr="00B56672">
              <w:rPr>
                <w:sz w:val="20"/>
              </w:rPr>
              <w:t>77,9%</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b/>
                <w:sz w:val="20"/>
              </w:rPr>
            </w:pPr>
            <w:r w:rsidRPr="00B56672">
              <w:rPr>
                <w:b/>
                <w:sz w:val="20"/>
              </w:rPr>
              <w:t>Total</w:t>
            </w:r>
          </w:p>
        </w:tc>
        <w:tc>
          <w:tcPr>
            <w:tcW w:w="2835" w:type="dxa"/>
            <w:tcBorders>
              <w:right w:val="nil"/>
            </w:tcBorders>
            <w:vAlign w:val="center"/>
          </w:tcPr>
          <w:p w:rsidR="00D13228" w:rsidRPr="00B56672" w:rsidRDefault="00D13228" w:rsidP="00390C14">
            <w:pPr>
              <w:ind w:firstLine="0"/>
              <w:jc w:val="center"/>
              <w:rPr>
                <w:b/>
                <w:sz w:val="20"/>
              </w:rPr>
            </w:pPr>
            <w:r w:rsidRPr="00B56672">
              <w:rPr>
                <w:b/>
                <w:sz w:val="20"/>
              </w:rPr>
              <w:t>100,0%</w:t>
            </w:r>
          </w:p>
        </w:tc>
      </w:tr>
    </w:tbl>
    <w:p w:rsidR="00D13228" w:rsidRPr="00B56672" w:rsidRDefault="00D13228" w:rsidP="00390C14">
      <w:pPr>
        <w:ind w:firstLine="0"/>
        <w:rPr>
          <w:sz w:val="20"/>
        </w:rPr>
      </w:pPr>
      <w:r w:rsidRPr="00B56672">
        <w:rPr>
          <w:b/>
          <w:sz w:val="20"/>
        </w:rPr>
        <w:t>Fonte:</w:t>
      </w:r>
      <w:r w:rsidRPr="00B56672">
        <w:rPr>
          <w:sz w:val="20"/>
        </w:rPr>
        <w:t xml:space="preserve"> Dados da Pesquisa (2019) </w:t>
      </w:r>
    </w:p>
    <w:p w:rsidR="00D13228" w:rsidRPr="00B56672" w:rsidRDefault="00D13228" w:rsidP="00D13228">
      <w:pPr>
        <w:rPr>
          <w:sz w:val="20"/>
        </w:rPr>
      </w:pPr>
    </w:p>
    <w:p w:rsidR="00D13228" w:rsidRPr="00B56672" w:rsidRDefault="00D13228" w:rsidP="00D13228">
      <w:pPr>
        <w:ind w:firstLine="708"/>
        <w:rPr>
          <w:szCs w:val="24"/>
        </w:rPr>
      </w:pPr>
      <w:r w:rsidRPr="00B56672">
        <w:rPr>
          <w:szCs w:val="24"/>
        </w:rPr>
        <w:t>Observa-se na Tabela 1</w:t>
      </w:r>
      <w:r w:rsidR="00E233A4">
        <w:rPr>
          <w:szCs w:val="24"/>
        </w:rPr>
        <w:t>2</w:t>
      </w:r>
      <w:r w:rsidRPr="00B56672">
        <w:rPr>
          <w:szCs w:val="24"/>
        </w:rPr>
        <w:t>, que quase a totalidade dos profissionais contábeis (92,7%) concordam que a educação financeira deveria ser parte integrante do currículo de escolas de ensino fundamental e médio, tendo como destaque 77,9% que concordam totalmente. Este resultado vai ao encontro com a pesquisa de Brönstrup e Becker (2016), cujo todos os participantes julgaram que a inserção da educação financeira nas escolas é importante.</w:t>
      </w:r>
    </w:p>
    <w:p w:rsidR="00D13228" w:rsidRPr="00B56672" w:rsidRDefault="00D13228" w:rsidP="00D13228">
      <w:pPr>
        <w:ind w:firstLine="708"/>
        <w:rPr>
          <w:szCs w:val="24"/>
        </w:rPr>
      </w:pPr>
      <w:r w:rsidRPr="00B56672">
        <w:rPr>
          <w:szCs w:val="24"/>
        </w:rPr>
        <w:t>A relevância do ensino da educação financeira pessoal para a formação do cidadão brasileiro foi questionada, e os resultados estão expressos na Tabela 1</w:t>
      </w:r>
      <w:r w:rsidR="00E233A4">
        <w:rPr>
          <w:szCs w:val="24"/>
        </w:rPr>
        <w:t>3</w:t>
      </w:r>
      <w:r w:rsidRPr="00B56672">
        <w:rPr>
          <w:szCs w:val="24"/>
        </w:rPr>
        <w:t>.</w:t>
      </w:r>
    </w:p>
    <w:p w:rsidR="00D13228" w:rsidRPr="00B56672" w:rsidRDefault="00D13228" w:rsidP="00D13228">
      <w:pPr>
        <w:ind w:firstLine="708"/>
        <w:rPr>
          <w:szCs w:val="24"/>
        </w:rPr>
      </w:pPr>
    </w:p>
    <w:p w:rsidR="00D13228" w:rsidRPr="00B56672" w:rsidRDefault="00D13228" w:rsidP="00390C14">
      <w:pPr>
        <w:ind w:firstLine="0"/>
        <w:textAlignment w:val="baseline"/>
        <w:rPr>
          <w:sz w:val="18"/>
          <w:szCs w:val="18"/>
        </w:rPr>
      </w:pPr>
      <w:r w:rsidRPr="00B56672">
        <w:rPr>
          <w:b/>
          <w:bCs/>
          <w:sz w:val="20"/>
        </w:rPr>
        <w:t>Tabela 1</w:t>
      </w:r>
      <w:r w:rsidR="00E233A4">
        <w:rPr>
          <w:b/>
          <w:bCs/>
          <w:sz w:val="20"/>
        </w:rPr>
        <w:t>3</w:t>
      </w:r>
      <w:r w:rsidRPr="00B56672">
        <w:rPr>
          <w:b/>
          <w:bCs/>
          <w:sz w:val="20"/>
        </w:rPr>
        <w:t>:</w:t>
      </w:r>
      <w:r w:rsidRPr="00B56672">
        <w:rPr>
          <w:sz w:val="20"/>
        </w:rPr>
        <w:t> Relevância do ensino da educação financeira pessoal para a formação do cidadão brasileiro </w:t>
      </w:r>
    </w:p>
    <w:tbl>
      <w:tblPr>
        <w:tblW w:w="93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21"/>
        <w:gridCol w:w="2835"/>
      </w:tblGrid>
      <w:tr w:rsidR="00D13228" w:rsidRPr="00B56672" w:rsidTr="00390C14">
        <w:trPr>
          <w:trHeight w:val="65"/>
        </w:trPr>
        <w:tc>
          <w:tcPr>
            <w:tcW w:w="6521" w:type="dxa"/>
            <w:tcBorders>
              <w:top w:val="single" w:sz="6" w:space="0" w:color="666666"/>
              <w:left w:val="nil"/>
              <w:bottom w:val="single" w:sz="6" w:space="0" w:color="666666"/>
              <w:right w:val="single" w:sz="6" w:space="0" w:color="666666"/>
            </w:tcBorders>
            <w:shd w:val="clear" w:color="auto" w:fill="auto"/>
            <w:vAlign w:val="center"/>
            <w:hideMark/>
          </w:tcPr>
          <w:p w:rsidR="00D13228" w:rsidRPr="00B56672" w:rsidRDefault="00D13228" w:rsidP="00390C14">
            <w:pPr>
              <w:ind w:firstLine="0"/>
              <w:textAlignment w:val="baseline"/>
              <w:rPr>
                <w:szCs w:val="24"/>
              </w:rPr>
            </w:pPr>
            <w:r w:rsidRPr="00B56672">
              <w:rPr>
                <w:b/>
                <w:bCs/>
                <w:sz w:val="20"/>
              </w:rPr>
              <w:t>Relevância do ensino da educação financeira</w:t>
            </w:r>
          </w:p>
        </w:tc>
        <w:tc>
          <w:tcPr>
            <w:tcW w:w="2835" w:type="dxa"/>
            <w:tcBorders>
              <w:top w:val="single" w:sz="6" w:space="0" w:color="666666"/>
              <w:left w:val="nil"/>
              <w:bottom w:val="single" w:sz="6" w:space="0" w:color="666666"/>
              <w:right w:val="nil"/>
            </w:tcBorders>
            <w:shd w:val="clear" w:color="auto" w:fill="auto"/>
            <w:vAlign w:val="center"/>
            <w:hideMark/>
          </w:tcPr>
          <w:p w:rsidR="00D13228" w:rsidRPr="00B56672" w:rsidRDefault="00D13228" w:rsidP="00390C14">
            <w:pPr>
              <w:ind w:firstLine="0"/>
              <w:jc w:val="center"/>
              <w:textAlignment w:val="baseline"/>
              <w:rPr>
                <w:szCs w:val="24"/>
              </w:rPr>
            </w:pPr>
            <w:r w:rsidRPr="00B56672">
              <w:rPr>
                <w:b/>
                <w:bCs/>
                <w:sz w:val="20"/>
              </w:rPr>
              <w:t>Frequência Relativa</w:t>
            </w:r>
          </w:p>
        </w:tc>
      </w:tr>
      <w:tr w:rsidR="00D13228" w:rsidRPr="00B56672" w:rsidTr="00390C14">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390C14">
            <w:pPr>
              <w:ind w:firstLine="0"/>
              <w:textAlignment w:val="baseline"/>
              <w:rPr>
                <w:szCs w:val="24"/>
              </w:rPr>
            </w:pPr>
            <w:r w:rsidRPr="00B56672">
              <w:rPr>
                <w:sz w:val="20"/>
              </w:rPr>
              <w:t>Discordo totalmente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390C14">
            <w:pPr>
              <w:ind w:firstLine="0"/>
              <w:jc w:val="center"/>
              <w:textAlignment w:val="baseline"/>
              <w:rPr>
                <w:szCs w:val="24"/>
              </w:rPr>
            </w:pPr>
            <w:r w:rsidRPr="00B56672">
              <w:rPr>
                <w:sz w:val="20"/>
              </w:rPr>
              <w:t>0,4%</w:t>
            </w:r>
          </w:p>
        </w:tc>
      </w:tr>
      <w:tr w:rsidR="00D13228" w:rsidRPr="00B56672" w:rsidTr="00390C14">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390C14">
            <w:pPr>
              <w:ind w:firstLine="0"/>
              <w:textAlignment w:val="baseline"/>
              <w:rPr>
                <w:szCs w:val="24"/>
              </w:rPr>
            </w:pPr>
            <w:r w:rsidRPr="00B56672">
              <w:rPr>
                <w:sz w:val="20"/>
              </w:rPr>
              <w:t>Discordo parcialmente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390C14">
            <w:pPr>
              <w:ind w:firstLine="0"/>
              <w:jc w:val="center"/>
              <w:textAlignment w:val="baseline"/>
              <w:rPr>
                <w:szCs w:val="24"/>
              </w:rPr>
            </w:pPr>
            <w:r w:rsidRPr="00B56672">
              <w:rPr>
                <w:sz w:val="20"/>
              </w:rPr>
              <w:t>0,4%</w:t>
            </w:r>
          </w:p>
        </w:tc>
      </w:tr>
      <w:tr w:rsidR="00D13228" w:rsidRPr="00B56672" w:rsidTr="00390C14">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390C14">
            <w:pPr>
              <w:ind w:firstLine="0"/>
              <w:textAlignment w:val="baseline"/>
              <w:rPr>
                <w:szCs w:val="24"/>
              </w:rPr>
            </w:pPr>
            <w:r w:rsidRPr="00B56672">
              <w:rPr>
                <w:sz w:val="20"/>
              </w:rPr>
              <w:t>Nem concordo / Nem discordo</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390C14">
            <w:pPr>
              <w:ind w:firstLine="0"/>
              <w:jc w:val="center"/>
              <w:textAlignment w:val="baseline"/>
              <w:rPr>
                <w:szCs w:val="24"/>
              </w:rPr>
            </w:pPr>
            <w:r w:rsidRPr="00B56672">
              <w:rPr>
                <w:sz w:val="20"/>
              </w:rPr>
              <w:t>3,3%</w:t>
            </w:r>
          </w:p>
        </w:tc>
      </w:tr>
      <w:tr w:rsidR="00D13228" w:rsidRPr="00B56672" w:rsidTr="00390C14">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390C14">
            <w:pPr>
              <w:ind w:firstLine="0"/>
              <w:textAlignment w:val="baseline"/>
              <w:rPr>
                <w:szCs w:val="24"/>
              </w:rPr>
            </w:pPr>
            <w:r w:rsidRPr="00B56672">
              <w:rPr>
                <w:sz w:val="20"/>
              </w:rPr>
              <w:t>Concordo parcialmente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390C14">
            <w:pPr>
              <w:ind w:firstLine="0"/>
              <w:jc w:val="center"/>
              <w:textAlignment w:val="baseline"/>
              <w:rPr>
                <w:szCs w:val="24"/>
              </w:rPr>
            </w:pPr>
            <w:r w:rsidRPr="00B56672">
              <w:rPr>
                <w:sz w:val="20"/>
              </w:rPr>
              <w:t>11,1%</w:t>
            </w:r>
          </w:p>
        </w:tc>
      </w:tr>
      <w:tr w:rsidR="00D13228" w:rsidRPr="00B56672" w:rsidTr="00390C14">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390C14">
            <w:pPr>
              <w:ind w:firstLine="0"/>
              <w:textAlignment w:val="baseline"/>
              <w:rPr>
                <w:szCs w:val="24"/>
              </w:rPr>
            </w:pPr>
            <w:r w:rsidRPr="00B56672">
              <w:rPr>
                <w:sz w:val="20"/>
              </w:rPr>
              <w:t>Concordo totalmente</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390C14">
            <w:pPr>
              <w:ind w:firstLine="0"/>
              <w:jc w:val="center"/>
              <w:textAlignment w:val="baseline"/>
              <w:rPr>
                <w:szCs w:val="24"/>
              </w:rPr>
            </w:pPr>
            <w:r w:rsidRPr="00B56672">
              <w:rPr>
                <w:sz w:val="20"/>
              </w:rPr>
              <w:t>84,8%</w:t>
            </w:r>
          </w:p>
        </w:tc>
      </w:tr>
      <w:tr w:rsidR="00D13228" w:rsidRPr="00B56672" w:rsidTr="00390C14">
        <w:trPr>
          <w:trHeight w:val="65"/>
        </w:trPr>
        <w:tc>
          <w:tcPr>
            <w:tcW w:w="6521" w:type="dxa"/>
            <w:tcBorders>
              <w:top w:val="nil"/>
              <w:left w:val="nil"/>
              <w:bottom w:val="single" w:sz="6" w:space="0" w:color="666666"/>
              <w:right w:val="single" w:sz="6" w:space="0" w:color="666666"/>
            </w:tcBorders>
            <w:shd w:val="clear" w:color="auto" w:fill="auto"/>
            <w:vAlign w:val="center"/>
            <w:hideMark/>
          </w:tcPr>
          <w:p w:rsidR="00D13228" w:rsidRPr="00B56672" w:rsidRDefault="00D13228" w:rsidP="00390C14">
            <w:pPr>
              <w:ind w:firstLine="0"/>
              <w:textAlignment w:val="baseline"/>
              <w:rPr>
                <w:szCs w:val="24"/>
              </w:rPr>
            </w:pPr>
            <w:r w:rsidRPr="00B56672">
              <w:rPr>
                <w:b/>
                <w:bCs/>
                <w:sz w:val="20"/>
              </w:rPr>
              <w:t>Total</w:t>
            </w:r>
          </w:p>
        </w:tc>
        <w:tc>
          <w:tcPr>
            <w:tcW w:w="2835" w:type="dxa"/>
            <w:tcBorders>
              <w:top w:val="nil"/>
              <w:left w:val="nil"/>
              <w:bottom w:val="single" w:sz="6" w:space="0" w:color="666666"/>
              <w:right w:val="nil"/>
            </w:tcBorders>
            <w:shd w:val="clear" w:color="auto" w:fill="auto"/>
            <w:vAlign w:val="center"/>
            <w:hideMark/>
          </w:tcPr>
          <w:p w:rsidR="00D13228" w:rsidRPr="00B56672" w:rsidRDefault="00D13228" w:rsidP="00390C14">
            <w:pPr>
              <w:ind w:firstLine="0"/>
              <w:jc w:val="center"/>
              <w:textAlignment w:val="baseline"/>
              <w:rPr>
                <w:b/>
                <w:szCs w:val="24"/>
              </w:rPr>
            </w:pPr>
            <w:r w:rsidRPr="00B56672">
              <w:rPr>
                <w:b/>
                <w:sz w:val="20"/>
              </w:rPr>
              <w:t>100,0%</w:t>
            </w:r>
          </w:p>
        </w:tc>
      </w:tr>
    </w:tbl>
    <w:p w:rsidR="00D13228" w:rsidRPr="00B56672" w:rsidRDefault="00D13228" w:rsidP="00390C14">
      <w:pPr>
        <w:ind w:firstLine="0"/>
        <w:rPr>
          <w:sz w:val="20"/>
        </w:rPr>
      </w:pPr>
      <w:r w:rsidRPr="00B56672">
        <w:rPr>
          <w:b/>
          <w:sz w:val="20"/>
        </w:rPr>
        <w:t>Fonte:</w:t>
      </w:r>
      <w:r w:rsidRPr="00B56672">
        <w:rPr>
          <w:sz w:val="20"/>
        </w:rPr>
        <w:t xml:space="preserve"> Dados da Pesquisa (2019) </w:t>
      </w:r>
    </w:p>
    <w:p w:rsidR="00D13228" w:rsidRPr="00B56672" w:rsidRDefault="00D13228" w:rsidP="00D13228">
      <w:pPr>
        <w:textAlignment w:val="baseline"/>
        <w:rPr>
          <w:sz w:val="18"/>
          <w:szCs w:val="18"/>
        </w:rPr>
      </w:pPr>
    </w:p>
    <w:p w:rsidR="00D13228" w:rsidRPr="00B56672" w:rsidRDefault="00D13228" w:rsidP="00D13228">
      <w:pPr>
        <w:ind w:firstLine="705"/>
        <w:textAlignment w:val="baseline"/>
        <w:rPr>
          <w:szCs w:val="24"/>
        </w:rPr>
      </w:pPr>
      <w:r w:rsidRPr="00B56672">
        <w:rPr>
          <w:szCs w:val="24"/>
        </w:rPr>
        <w:t>Com base na Tabela 1</w:t>
      </w:r>
      <w:r w:rsidR="00E233A4">
        <w:rPr>
          <w:szCs w:val="24"/>
        </w:rPr>
        <w:t>3</w:t>
      </w:r>
      <w:r w:rsidRPr="00B56672">
        <w:rPr>
          <w:szCs w:val="24"/>
        </w:rPr>
        <w:t>, pode-se observar que a maioria dos respondentes (95,9%), concorda total ou parcialmente que a educação financeira pessoal é relevante para a formação do cidadão brasileiro, podendo assim, constatar a vontade que o profissional contábil tem em inserir novas didáticas que tenham como foco o desenvolvimento das finanças pessoais da população. Neste contexto, o resultado corrobora com o apresentado por Lucena e Marinho (2013), cuja maioria dos respondentes afirma que as disciplinas sobre finanças são essenciais para o desenvolvimento desde a pouca idade. </w:t>
      </w:r>
    </w:p>
    <w:p w:rsidR="00D13228" w:rsidRPr="00B56672" w:rsidRDefault="00D13228" w:rsidP="00D13228">
      <w:pPr>
        <w:ind w:firstLine="705"/>
        <w:textAlignment w:val="baseline"/>
        <w:rPr>
          <w:sz w:val="18"/>
          <w:szCs w:val="18"/>
        </w:rPr>
      </w:pPr>
      <w:r w:rsidRPr="00B56672">
        <w:rPr>
          <w:szCs w:val="24"/>
        </w:rPr>
        <w:t>Na Tabela 1</w:t>
      </w:r>
      <w:r w:rsidR="00E233A4">
        <w:rPr>
          <w:szCs w:val="24"/>
        </w:rPr>
        <w:t>4</w:t>
      </w:r>
      <w:r w:rsidRPr="00B56672">
        <w:rPr>
          <w:szCs w:val="24"/>
        </w:rPr>
        <w:t xml:space="preserve"> os respondentes foram questionados quanto a quem deveria ser o responsável por promover e atuar diretamente na educação financeira da população. </w:t>
      </w:r>
    </w:p>
    <w:p w:rsidR="00D13228" w:rsidRPr="00B56672" w:rsidRDefault="00D13228" w:rsidP="00D13228">
      <w:pPr>
        <w:ind w:firstLine="708"/>
        <w:rPr>
          <w:szCs w:val="24"/>
        </w:rPr>
      </w:pPr>
    </w:p>
    <w:p w:rsidR="00E233A4" w:rsidRDefault="00E233A4" w:rsidP="00390C14">
      <w:pPr>
        <w:ind w:firstLine="0"/>
        <w:rPr>
          <w:b/>
          <w:color w:val="000000" w:themeColor="text1"/>
          <w:sz w:val="20"/>
        </w:rPr>
      </w:pPr>
    </w:p>
    <w:p w:rsidR="00E233A4" w:rsidRDefault="00E233A4" w:rsidP="00390C14">
      <w:pPr>
        <w:ind w:firstLine="0"/>
        <w:rPr>
          <w:b/>
          <w:color w:val="000000" w:themeColor="text1"/>
          <w:sz w:val="20"/>
        </w:rPr>
      </w:pPr>
    </w:p>
    <w:p w:rsidR="00E233A4" w:rsidRDefault="00E233A4" w:rsidP="00390C14">
      <w:pPr>
        <w:ind w:firstLine="0"/>
        <w:rPr>
          <w:b/>
          <w:color w:val="000000" w:themeColor="text1"/>
          <w:sz w:val="20"/>
        </w:rPr>
      </w:pPr>
    </w:p>
    <w:p w:rsidR="00D13228" w:rsidRPr="00B56672" w:rsidRDefault="00D13228" w:rsidP="00390C14">
      <w:pPr>
        <w:ind w:firstLine="0"/>
        <w:rPr>
          <w:color w:val="000000" w:themeColor="text1"/>
          <w:sz w:val="20"/>
        </w:rPr>
      </w:pPr>
      <w:r w:rsidRPr="00B56672">
        <w:rPr>
          <w:b/>
          <w:color w:val="000000" w:themeColor="text1"/>
          <w:sz w:val="20"/>
        </w:rPr>
        <w:lastRenderedPageBreak/>
        <w:t>Tabela 1</w:t>
      </w:r>
      <w:r w:rsidR="00E233A4">
        <w:rPr>
          <w:b/>
          <w:color w:val="000000" w:themeColor="text1"/>
          <w:sz w:val="20"/>
        </w:rPr>
        <w:t>4</w:t>
      </w:r>
      <w:r w:rsidRPr="00B56672">
        <w:rPr>
          <w:b/>
          <w:color w:val="000000" w:themeColor="text1"/>
          <w:sz w:val="20"/>
        </w:rPr>
        <w:t>:</w:t>
      </w:r>
      <w:r w:rsidRPr="00B56672">
        <w:rPr>
          <w:color w:val="000000" w:themeColor="text1"/>
          <w:sz w:val="20"/>
        </w:rPr>
        <w:t xml:space="preserve"> Responsável por promover e atuar diretamente na educação financeira da população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521"/>
        <w:gridCol w:w="2835"/>
      </w:tblGrid>
      <w:tr w:rsidR="00D13228" w:rsidRPr="00B56672" w:rsidTr="00390C14">
        <w:trPr>
          <w:trHeight w:val="75"/>
        </w:trPr>
        <w:tc>
          <w:tcPr>
            <w:tcW w:w="6521" w:type="dxa"/>
            <w:tcBorders>
              <w:left w:val="nil"/>
            </w:tcBorders>
            <w:vAlign w:val="center"/>
          </w:tcPr>
          <w:p w:rsidR="00D13228" w:rsidRPr="00B56672" w:rsidRDefault="00D13228" w:rsidP="00390C14">
            <w:pPr>
              <w:ind w:firstLine="0"/>
              <w:rPr>
                <w:b/>
                <w:color w:val="000000" w:themeColor="text1"/>
                <w:sz w:val="20"/>
              </w:rPr>
            </w:pPr>
            <w:r w:rsidRPr="00B56672">
              <w:rPr>
                <w:b/>
                <w:color w:val="000000" w:themeColor="text1"/>
                <w:sz w:val="20"/>
              </w:rPr>
              <w:t>Responsável por promover e atuar na educação financeira</w:t>
            </w:r>
          </w:p>
        </w:tc>
        <w:tc>
          <w:tcPr>
            <w:tcW w:w="2835" w:type="dxa"/>
            <w:tcBorders>
              <w:right w:val="nil"/>
            </w:tcBorders>
            <w:vAlign w:val="center"/>
          </w:tcPr>
          <w:p w:rsidR="00D13228" w:rsidRPr="00B56672" w:rsidRDefault="00D13228" w:rsidP="00390C14">
            <w:pPr>
              <w:ind w:firstLine="0"/>
              <w:jc w:val="center"/>
              <w:rPr>
                <w:b/>
                <w:color w:val="000000" w:themeColor="text1"/>
                <w:sz w:val="20"/>
              </w:rPr>
            </w:pPr>
            <w:r w:rsidRPr="00B56672">
              <w:rPr>
                <w:b/>
                <w:color w:val="000000" w:themeColor="text1"/>
                <w:sz w:val="20"/>
              </w:rPr>
              <w:t>Frequência Relativa</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color w:val="000000" w:themeColor="text1"/>
                <w:sz w:val="20"/>
              </w:rPr>
            </w:pPr>
            <w:r w:rsidRPr="00B56672">
              <w:rPr>
                <w:color w:val="000000" w:themeColor="text1"/>
                <w:sz w:val="20"/>
              </w:rPr>
              <w:t>Os pais</w:t>
            </w:r>
          </w:p>
        </w:tc>
        <w:tc>
          <w:tcPr>
            <w:tcW w:w="2835" w:type="dxa"/>
            <w:tcBorders>
              <w:right w:val="nil"/>
            </w:tcBorders>
            <w:vAlign w:val="center"/>
          </w:tcPr>
          <w:p w:rsidR="00D13228" w:rsidRPr="00B56672" w:rsidRDefault="00D13228" w:rsidP="00390C14">
            <w:pPr>
              <w:ind w:firstLine="0"/>
              <w:jc w:val="center"/>
              <w:rPr>
                <w:color w:val="000000" w:themeColor="text1"/>
                <w:sz w:val="20"/>
              </w:rPr>
            </w:pPr>
            <w:r w:rsidRPr="00B56672">
              <w:rPr>
                <w:color w:val="000000" w:themeColor="text1"/>
                <w:sz w:val="20"/>
              </w:rPr>
              <w:t>39,8%</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color w:val="000000" w:themeColor="text1"/>
                <w:sz w:val="20"/>
              </w:rPr>
            </w:pPr>
            <w:r w:rsidRPr="00B56672">
              <w:rPr>
                <w:color w:val="000000" w:themeColor="text1"/>
                <w:sz w:val="20"/>
              </w:rPr>
              <w:t>As escolas</w:t>
            </w:r>
          </w:p>
        </w:tc>
        <w:tc>
          <w:tcPr>
            <w:tcW w:w="2835" w:type="dxa"/>
            <w:tcBorders>
              <w:right w:val="nil"/>
            </w:tcBorders>
            <w:vAlign w:val="center"/>
          </w:tcPr>
          <w:p w:rsidR="00D13228" w:rsidRPr="00B56672" w:rsidRDefault="00D13228" w:rsidP="00390C14">
            <w:pPr>
              <w:ind w:firstLine="0"/>
              <w:jc w:val="center"/>
              <w:rPr>
                <w:color w:val="000000" w:themeColor="text1"/>
                <w:sz w:val="20"/>
              </w:rPr>
            </w:pPr>
            <w:r w:rsidRPr="00B56672">
              <w:rPr>
                <w:color w:val="000000" w:themeColor="text1"/>
                <w:sz w:val="20"/>
              </w:rPr>
              <w:t>40,6%</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color w:val="000000" w:themeColor="text1"/>
                <w:sz w:val="20"/>
              </w:rPr>
            </w:pPr>
            <w:r w:rsidRPr="00B56672">
              <w:rPr>
                <w:color w:val="000000" w:themeColor="text1"/>
                <w:sz w:val="20"/>
              </w:rPr>
              <w:t>O próprio aluno</w:t>
            </w:r>
          </w:p>
        </w:tc>
        <w:tc>
          <w:tcPr>
            <w:tcW w:w="2835" w:type="dxa"/>
            <w:tcBorders>
              <w:right w:val="nil"/>
            </w:tcBorders>
            <w:vAlign w:val="center"/>
          </w:tcPr>
          <w:p w:rsidR="00D13228" w:rsidRPr="00B56672" w:rsidRDefault="00D13228" w:rsidP="00390C14">
            <w:pPr>
              <w:ind w:firstLine="0"/>
              <w:jc w:val="center"/>
              <w:rPr>
                <w:color w:val="000000" w:themeColor="text1"/>
                <w:sz w:val="20"/>
              </w:rPr>
            </w:pPr>
            <w:r w:rsidRPr="00B56672">
              <w:rPr>
                <w:color w:val="000000" w:themeColor="text1"/>
                <w:sz w:val="20"/>
              </w:rPr>
              <w:t>10,7%</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color w:val="000000" w:themeColor="text1"/>
                <w:sz w:val="20"/>
              </w:rPr>
            </w:pPr>
            <w:r w:rsidRPr="00B56672">
              <w:rPr>
                <w:color w:val="000000" w:themeColor="text1"/>
                <w:sz w:val="20"/>
              </w:rPr>
              <w:t>A Imprensa</w:t>
            </w:r>
          </w:p>
        </w:tc>
        <w:tc>
          <w:tcPr>
            <w:tcW w:w="2835" w:type="dxa"/>
            <w:tcBorders>
              <w:right w:val="nil"/>
            </w:tcBorders>
            <w:vAlign w:val="center"/>
          </w:tcPr>
          <w:p w:rsidR="00D13228" w:rsidRPr="00B56672" w:rsidRDefault="00D13228" w:rsidP="00390C14">
            <w:pPr>
              <w:ind w:firstLine="0"/>
              <w:jc w:val="center"/>
              <w:rPr>
                <w:color w:val="000000" w:themeColor="text1"/>
                <w:sz w:val="20"/>
              </w:rPr>
            </w:pPr>
            <w:r w:rsidRPr="00B56672">
              <w:rPr>
                <w:color w:val="000000" w:themeColor="text1"/>
                <w:sz w:val="20"/>
              </w:rPr>
              <w:t>0,4%</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color w:val="000000" w:themeColor="text1"/>
                <w:sz w:val="20"/>
              </w:rPr>
            </w:pPr>
            <w:r w:rsidRPr="00B56672">
              <w:rPr>
                <w:color w:val="000000" w:themeColor="text1"/>
                <w:sz w:val="20"/>
              </w:rPr>
              <w:t>Outros</w:t>
            </w:r>
          </w:p>
        </w:tc>
        <w:tc>
          <w:tcPr>
            <w:tcW w:w="2835" w:type="dxa"/>
            <w:tcBorders>
              <w:right w:val="nil"/>
            </w:tcBorders>
            <w:vAlign w:val="center"/>
          </w:tcPr>
          <w:p w:rsidR="00D13228" w:rsidRPr="00B56672" w:rsidRDefault="00D13228" w:rsidP="00390C14">
            <w:pPr>
              <w:ind w:firstLine="0"/>
              <w:jc w:val="center"/>
              <w:rPr>
                <w:color w:val="000000" w:themeColor="text1"/>
                <w:sz w:val="20"/>
              </w:rPr>
            </w:pPr>
            <w:r w:rsidRPr="00B56672">
              <w:rPr>
                <w:color w:val="000000" w:themeColor="text1"/>
                <w:sz w:val="20"/>
              </w:rPr>
              <w:t>8,5%</w:t>
            </w:r>
          </w:p>
        </w:tc>
      </w:tr>
      <w:tr w:rsidR="00D13228" w:rsidRPr="00B56672" w:rsidTr="00390C14">
        <w:trPr>
          <w:trHeight w:val="75"/>
        </w:trPr>
        <w:tc>
          <w:tcPr>
            <w:tcW w:w="6521" w:type="dxa"/>
            <w:tcBorders>
              <w:left w:val="nil"/>
            </w:tcBorders>
            <w:vAlign w:val="center"/>
          </w:tcPr>
          <w:p w:rsidR="00D13228" w:rsidRPr="00B56672" w:rsidRDefault="00D13228" w:rsidP="00390C14">
            <w:pPr>
              <w:ind w:firstLine="0"/>
              <w:rPr>
                <w:b/>
                <w:color w:val="000000" w:themeColor="text1"/>
                <w:sz w:val="20"/>
              </w:rPr>
            </w:pPr>
            <w:r w:rsidRPr="00B56672">
              <w:rPr>
                <w:b/>
                <w:color w:val="000000" w:themeColor="text1"/>
                <w:sz w:val="20"/>
              </w:rPr>
              <w:t>Total</w:t>
            </w:r>
          </w:p>
        </w:tc>
        <w:tc>
          <w:tcPr>
            <w:tcW w:w="2835" w:type="dxa"/>
            <w:tcBorders>
              <w:right w:val="nil"/>
            </w:tcBorders>
            <w:vAlign w:val="center"/>
          </w:tcPr>
          <w:p w:rsidR="00D13228" w:rsidRPr="00B56672" w:rsidRDefault="00D13228" w:rsidP="00390C14">
            <w:pPr>
              <w:ind w:firstLine="0"/>
              <w:jc w:val="center"/>
              <w:rPr>
                <w:b/>
                <w:color w:val="000000" w:themeColor="text1"/>
                <w:sz w:val="20"/>
              </w:rPr>
            </w:pPr>
            <w:r w:rsidRPr="00B56672">
              <w:rPr>
                <w:b/>
                <w:color w:val="000000" w:themeColor="text1"/>
                <w:sz w:val="20"/>
              </w:rPr>
              <w:t>100,0%</w:t>
            </w:r>
          </w:p>
        </w:tc>
      </w:tr>
    </w:tbl>
    <w:p w:rsidR="00D13228" w:rsidRPr="00B56672" w:rsidRDefault="00D13228" w:rsidP="00390C14">
      <w:pPr>
        <w:ind w:firstLine="0"/>
        <w:rPr>
          <w:sz w:val="20"/>
        </w:rPr>
      </w:pPr>
      <w:r w:rsidRPr="00B56672">
        <w:rPr>
          <w:b/>
          <w:sz w:val="20"/>
        </w:rPr>
        <w:t>Fonte:</w:t>
      </w:r>
      <w:r w:rsidRPr="00B56672">
        <w:rPr>
          <w:sz w:val="20"/>
        </w:rPr>
        <w:t xml:space="preserve"> Dados da Pesquisa (2019) </w:t>
      </w:r>
    </w:p>
    <w:p w:rsidR="00D13228" w:rsidRPr="00B56672" w:rsidRDefault="00D13228" w:rsidP="00D13228">
      <w:pPr>
        <w:rPr>
          <w:color w:val="000000" w:themeColor="text1"/>
          <w:sz w:val="20"/>
        </w:rPr>
      </w:pPr>
    </w:p>
    <w:p w:rsidR="00D13228" w:rsidRPr="00B56672" w:rsidRDefault="00D13228" w:rsidP="00E233A4">
      <w:pPr>
        <w:ind w:firstLine="708"/>
        <w:rPr>
          <w:szCs w:val="24"/>
        </w:rPr>
      </w:pPr>
      <w:r w:rsidRPr="00B56672">
        <w:rPr>
          <w:szCs w:val="24"/>
        </w:rPr>
        <w:t>A Tabela 1</w:t>
      </w:r>
      <w:r w:rsidR="00E233A4">
        <w:rPr>
          <w:szCs w:val="24"/>
        </w:rPr>
        <w:t>4</w:t>
      </w:r>
      <w:r w:rsidRPr="00B56672">
        <w:rPr>
          <w:szCs w:val="24"/>
        </w:rPr>
        <w:t xml:space="preserve"> demonstra que 40,6% dos profissionais contábeis acreditam que é responsabilidade das escolas promover e atuar diretamente na educação financeira, seguido de 39,8% que acham ser dos pais. Vale ressaltar que este resultado foi semelhante ao encontrado por Oliveira et al. (2014), que também apontaram como responsabilidade, tanto as escolas quanto os pais.</w:t>
      </w:r>
      <w:r w:rsidR="00E233A4">
        <w:rPr>
          <w:szCs w:val="24"/>
        </w:rPr>
        <w:t xml:space="preserve"> </w:t>
      </w:r>
      <w:r w:rsidRPr="00B56672">
        <w:rPr>
          <w:szCs w:val="24"/>
        </w:rPr>
        <w:t>Na Tabela 1</w:t>
      </w:r>
      <w:r w:rsidR="00E233A4">
        <w:rPr>
          <w:szCs w:val="24"/>
        </w:rPr>
        <w:t>5</w:t>
      </w:r>
      <w:r w:rsidRPr="00B56672">
        <w:rPr>
          <w:szCs w:val="24"/>
        </w:rPr>
        <w:t xml:space="preserve"> pode-se avaliar as características financeiras, como gestão, controle, satisfação e metas adotadas pelos profissionais contábeis e utilizados para gerenciar suas finanças pessoais.</w:t>
      </w:r>
    </w:p>
    <w:p w:rsidR="00D13228" w:rsidRPr="00B56672" w:rsidRDefault="00D13228" w:rsidP="00D13228">
      <w:pPr>
        <w:ind w:firstLine="708"/>
        <w:rPr>
          <w:szCs w:val="24"/>
        </w:rPr>
      </w:pPr>
    </w:p>
    <w:p w:rsidR="00D13228" w:rsidRPr="00B56672" w:rsidRDefault="00D13228" w:rsidP="00390C14">
      <w:pPr>
        <w:ind w:firstLine="0"/>
        <w:rPr>
          <w:szCs w:val="24"/>
        </w:rPr>
      </w:pPr>
      <w:r w:rsidRPr="00B56672">
        <w:rPr>
          <w:b/>
          <w:color w:val="000000" w:themeColor="text1"/>
          <w:sz w:val="20"/>
        </w:rPr>
        <w:t>Tabela 1</w:t>
      </w:r>
      <w:r w:rsidR="00E233A4">
        <w:rPr>
          <w:b/>
          <w:color w:val="000000" w:themeColor="text1"/>
          <w:sz w:val="20"/>
        </w:rPr>
        <w:t>5</w:t>
      </w:r>
      <w:r w:rsidRPr="00B56672">
        <w:rPr>
          <w:b/>
          <w:color w:val="000000" w:themeColor="text1"/>
          <w:sz w:val="20"/>
        </w:rPr>
        <w:t xml:space="preserve">: </w:t>
      </w:r>
      <w:r w:rsidRPr="00B56672">
        <w:rPr>
          <w:color w:val="000000" w:themeColor="text1"/>
          <w:sz w:val="20"/>
        </w:rPr>
        <w:t>Características financeiras</w:t>
      </w:r>
    </w:p>
    <w:tbl>
      <w:tblPr>
        <w:tblW w:w="0" w:type="auto"/>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536"/>
        <w:gridCol w:w="993"/>
        <w:gridCol w:w="992"/>
        <w:gridCol w:w="850"/>
        <w:gridCol w:w="993"/>
        <w:gridCol w:w="992"/>
      </w:tblGrid>
      <w:tr w:rsidR="00D13228" w:rsidRPr="00B56672" w:rsidTr="00390C14">
        <w:trPr>
          <w:tblHeader/>
        </w:trPr>
        <w:tc>
          <w:tcPr>
            <w:tcW w:w="4536" w:type="dxa"/>
            <w:vAlign w:val="center"/>
          </w:tcPr>
          <w:p w:rsidR="00D13228" w:rsidRPr="00B56672" w:rsidRDefault="00D13228" w:rsidP="00390C14">
            <w:pPr>
              <w:ind w:firstLine="0"/>
              <w:jc w:val="center"/>
              <w:rPr>
                <w:b/>
                <w:sz w:val="20"/>
              </w:rPr>
            </w:pPr>
            <w:r w:rsidRPr="00B56672">
              <w:rPr>
                <w:b/>
                <w:sz w:val="20"/>
              </w:rPr>
              <w:t>Afirmativas</w:t>
            </w:r>
          </w:p>
        </w:tc>
        <w:tc>
          <w:tcPr>
            <w:tcW w:w="993" w:type="dxa"/>
            <w:vAlign w:val="center"/>
          </w:tcPr>
          <w:p w:rsidR="00D13228" w:rsidRPr="00B56672" w:rsidRDefault="00D13228" w:rsidP="00390C14">
            <w:pPr>
              <w:ind w:firstLine="0"/>
              <w:jc w:val="center"/>
              <w:rPr>
                <w:b/>
                <w:sz w:val="20"/>
              </w:rPr>
            </w:pPr>
            <w:r w:rsidRPr="00B56672">
              <w:rPr>
                <w:b/>
                <w:sz w:val="20"/>
              </w:rPr>
              <w:t>Nunca</w:t>
            </w:r>
          </w:p>
        </w:tc>
        <w:tc>
          <w:tcPr>
            <w:tcW w:w="992" w:type="dxa"/>
            <w:vAlign w:val="center"/>
          </w:tcPr>
          <w:p w:rsidR="00D13228" w:rsidRPr="00B56672" w:rsidRDefault="00D13228" w:rsidP="00390C14">
            <w:pPr>
              <w:ind w:firstLine="0"/>
              <w:jc w:val="center"/>
              <w:rPr>
                <w:b/>
                <w:sz w:val="20"/>
              </w:rPr>
            </w:pPr>
            <w:r w:rsidRPr="00B56672">
              <w:rPr>
                <w:b/>
                <w:sz w:val="20"/>
              </w:rPr>
              <w:t>Quase nunca</w:t>
            </w:r>
          </w:p>
        </w:tc>
        <w:tc>
          <w:tcPr>
            <w:tcW w:w="850" w:type="dxa"/>
            <w:vAlign w:val="center"/>
          </w:tcPr>
          <w:p w:rsidR="00D13228" w:rsidRPr="00B56672" w:rsidRDefault="00D13228" w:rsidP="00390C14">
            <w:pPr>
              <w:ind w:firstLine="0"/>
              <w:jc w:val="center"/>
              <w:rPr>
                <w:b/>
                <w:sz w:val="20"/>
              </w:rPr>
            </w:pPr>
            <w:r w:rsidRPr="00B56672">
              <w:rPr>
                <w:b/>
                <w:sz w:val="20"/>
              </w:rPr>
              <w:t>Neutro</w:t>
            </w:r>
          </w:p>
        </w:tc>
        <w:tc>
          <w:tcPr>
            <w:tcW w:w="993" w:type="dxa"/>
            <w:vAlign w:val="center"/>
          </w:tcPr>
          <w:p w:rsidR="00D13228" w:rsidRPr="00B56672" w:rsidRDefault="00D13228" w:rsidP="00390C14">
            <w:pPr>
              <w:ind w:firstLine="0"/>
              <w:jc w:val="center"/>
              <w:rPr>
                <w:b/>
                <w:sz w:val="20"/>
              </w:rPr>
            </w:pPr>
            <w:r w:rsidRPr="00B56672">
              <w:rPr>
                <w:b/>
                <w:sz w:val="20"/>
              </w:rPr>
              <w:t>Quase sempre</w:t>
            </w:r>
          </w:p>
        </w:tc>
        <w:tc>
          <w:tcPr>
            <w:tcW w:w="992" w:type="dxa"/>
            <w:vAlign w:val="center"/>
          </w:tcPr>
          <w:p w:rsidR="00D13228" w:rsidRPr="00B56672" w:rsidRDefault="00D13228" w:rsidP="00390C14">
            <w:pPr>
              <w:ind w:firstLine="0"/>
              <w:jc w:val="center"/>
              <w:rPr>
                <w:b/>
                <w:sz w:val="20"/>
              </w:rPr>
            </w:pPr>
            <w:r w:rsidRPr="00B56672">
              <w:rPr>
                <w:b/>
                <w:sz w:val="20"/>
              </w:rPr>
              <w:t>Sempre</w:t>
            </w:r>
          </w:p>
        </w:tc>
      </w:tr>
      <w:tr w:rsidR="00D13228" w:rsidRPr="00B56672" w:rsidTr="00390C14">
        <w:trPr>
          <w:cantSplit/>
          <w:trHeight w:val="208"/>
        </w:trPr>
        <w:tc>
          <w:tcPr>
            <w:tcW w:w="4536" w:type="dxa"/>
            <w:vAlign w:val="center"/>
          </w:tcPr>
          <w:p w:rsidR="00D13228" w:rsidRPr="00B56672" w:rsidRDefault="00D13228" w:rsidP="00390C14">
            <w:pPr>
              <w:ind w:firstLine="0"/>
              <w:rPr>
                <w:sz w:val="20"/>
              </w:rPr>
            </w:pPr>
            <w:r w:rsidRPr="00B56672">
              <w:rPr>
                <w:color w:val="000000" w:themeColor="text1"/>
                <w:sz w:val="20"/>
              </w:rPr>
              <w:t>Preocupa-se em gerenciar melhor o seu dinheiro</w:t>
            </w:r>
          </w:p>
        </w:tc>
        <w:tc>
          <w:tcPr>
            <w:tcW w:w="993" w:type="dxa"/>
            <w:vAlign w:val="center"/>
          </w:tcPr>
          <w:p w:rsidR="00D13228" w:rsidRPr="00B56672" w:rsidRDefault="00D13228" w:rsidP="00390C14">
            <w:pPr>
              <w:ind w:firstLine="0"/>
              <w:jc w:val="center"/>
              <w:rPr>
                <w:sz w:val="20"/>
              </w:rPr>
            </w:pPr>
            <w:r w:rsidRPr="00B56672">
              <w:rPr>
                <w:color w:val="000000" w:themeColor="text1"/>
                <w:sz w:val="20"/>
              </w:rPr>
              <w:t>0,0%</w:t>
            </w:r>
          </w:p>
        </w:tc>
        <w:tc>
          <w:tcPr>
            <w:tcW w:w="992" w:type="dxa"/>
            <w:vAlign w:val="center"/>
          </w:tcPr>
          <w:p w:rsidR="00D13228" w:rsidRPr="00B56672" w:rsidRDefault="00D13228" w:rsidP="00390C14">
            <w:pPr>
              <w:ind w:firstLine="0"/>
              <w:jc w:val="center"/>
              <w:rPr>
                <w:sz w:val="20"/>
              </w:rPr>
            </w:pPr>
            <w:r w:rsidRPr="00B56672">
              <w:rPr>
                <w:color w:val="000000" w:themeColor="text1"/>
                <w:sz w:val="20"/>
              </w:rPr>
              <w:t>2,0%</w:t>
            </w:r>
          </w:p>
        </w:tc>
        <w:tc>
          <w:tcPr>
            <w:tcW w:w="850" w:type="dxa"/>
            <w:vAlign w:val="center"/>
          </w:tcPr>
          <w:p w:rsidR="00D13228" w:rsidRPr="00B56672" w:rsidRDefault="00D13228" w:rsidP="00390C14">
            <w:pPr>
              <w:ind w:firstLine="0"/>
              <w:jc w:val="center"/>
              <w:rPr>
                <w:sz w:val="20"/>
              </w:rPr>
            </w:pPr>
            <w:r w:rsidRPr="00B56672">
              <w:rPr>
                <w:color w:val="000000" w:themeColor="text1"/>
                <w:sz w:val="20"/>
              </w:rPr>
              <w:t>2,5%</w:t>
            </w:r>
          </w:p>
        </w:tc>
        <w:tc>
          <w:tcPr>
            <w:tcW w:w="993" w:type="dxa"/>
            <w:vAlign w:val="center"/>
          </w:tcPr>
          <w:p w:rsidR="00D13228" w:rsidRPr="00B56672" w:rsidRDefault="00D13228" w:rsidP="00390C14">
            <w:pPr>
              <w:ind w:firstLine="0"/>
              <w:jc w:val="center"/>
              <w:rPr>
                <w:sz w:val="20"/>
              </w:rPr>
            </w:pPr>
            <w:r w:rsidRPr="00B56672">
              <w:rPr>
                <w:color w:val="000000" w:themeColor="text1"/>
                <w:sz w:val="20"/>
              </w:rPr>
              <w:t>36,1%</w:t>
            </w:r>
          </w:p>
        </w:tc>
        <w:tc>
          <w:tcPr>
            <w:tcW w:w="992" w:type="dxa"/>
            <w:vAlign w:val="center"/>
          </w:tcPr>
          <w:p w:rsidR="00D13228" w:rsidRPr="00B56672" w:rsidRDefault="00D13228" w:rsidP="00390C14">
            <w:pPr>
              <w:ind w:firstLine="0"/>
              <w:jc w:val="center"/>
              <w:rPr>
                <w:sz w:val="20"/>
              </w:rPr>
            </w:pPr>
            <w:r w:rsidRPr="00B56672">
              <w:rPr>
                <w:color w:val="000000" w:themeColor="text1"/>
                <w:sz w:val="20"/>
              </w:rPr>
              <w:t>59,4%</w:t>
            </w:r>
          </w:p>
        </w:tc>
      </w:tr>
      <w:tr w:rsidR="00D13228" w:rsidRPr="00B56672" w:rsidTr="00390C14">
        <w:trPr>
          <w:cantSplit/>
        </w:trPr>
        <w:tc>
          <w:tcPr>
            <w:tcW w:w="4536" w:type="dxa"/>
            <w:vAlign w:val="center"/>
          </w:tcPr>
          <w:p w:rsidR="00D13228" w:rsidRPr="00B56672" w:rsidRDefault="00D13228" w:rsidP="00390C14">
            <w:pPr>
              <w:ind w:firstLine="0"/>
              <w:rPr>
                <w:sz w:val="20"/>
              </w:rPr>
            </w:pPr>
            <w:r w:rsidRPr="00B56672">
              <w:rPr>
                <w:color w:val="000000" w:themeColor="text1"/>
                <w:sz w:val="20"/>
              </w:rPr>
              <w:t>Identifica existência de juros ao comprar um produto a crédito</w:t>
            </w:r>
          </w:p>
        </w:tc>
        <w:tc>
          <w:tcPr>
            <w:tcW w:w="993" w:type="dxa"/>
            <w:vAlign w:val="center"/>
          </w:tcPr>
          <w:p w:rsidR="00D13228" w:rsidRPr="00B56672" w:rsidRDefault="00D13228" w:rsidP="00390C14">
            <w:pPr>
              <w:ind w:firstLine="0"/>
              <w:jc w:val="center"/>
              <w:rPr>
                <w:sz w:val="20"/>
              </w:rPr>
            </w:pPr>
            <w:r w:rsidRPr="00B56672">
              <w:rPr>
                <w:sz w:val="20"/>
              </w:rPr>
              <w:t>0,0%</w:t>
            </w:r>
          </w:p>
        </w:tc>
        <w:tc>
          <w:tcPr>
            <w:tcW w:w="992" w:type="dxa"/>
            <w:vAlign w:val="center"/>
          </w:tcPr>
          <w:p w:rsidR="00D13228" w:rsidRPr="00B56672" w:rsidRDefault="00D13228" w:rsidP="00390C14">
            <w:pPr>
              <w:ind w:firstLine="0"/>
              <w:jc w:val="center"/>
              <w:rPr>
                <w:sz w:val="20"/>
              </w:rPr>
            </w:pPr>
            <w:r w:rsidRPr="00B56672">
              <w:rPr>
                <w:sz w:val="20"/>
              </w:rPr>
              <w:t>3,3%</w:t>
            </w:r>
          </w:p>
        </w:tc>
        <w:tc>
          <w:tcPr>
            <w:tcW w:w="850" w:type="dxa"/>
            <w:vAlign w:val="center"/>
          </w:tcPr>
          <w:p w:rsidR="00D13228" w:rsidRPr="00B56672" w:rsidRDefault="00D13228" w:rsidP="00390C14">
            <w:pPr>
              <w:ind w:firstLine="0"/>
              <w:jc w:val="center"/>
              <w:rPr>
                <w:sz w:val="20"/>
              </w:rPr>
            </w:pPr>
            <w:r w:rsidRPr="00B56672">
              <w:rPr>
                <w:sz w:val="20"/>
              </w:rPr>
              <w:t>3,3%</w:t>
            </w:r>
          </w:p>
        </w:tc>
        <w:tc>
          <w:tcPr>
            <w:tcW w:w="993" w:type="dxa"/>
            <w:vAlign w:val="center"/>
          </w:tcPr>
          <w:p w:rsidR="00D13228" w:rsidRPr="00B56672" w:rsidRDefault="00D13228" w:rsidP="00390C14">
            <w:pPr>
              <w:ind w:firstLine="0"/>
              <w:jc w:val="center"/>
              <w:rPr>
                <w:sz w:val="20"/>
              </w:rPr>
            </w:pPr>
            <w:r w:rsidRPr="00B56672">
              <w:rPr>
                <w:sz w:val="20"/>
              </w:rPr>
              <w:t>20%</w:t>
            </w:r>
          </w:p>
        </w:tc>
        <w:tc>
          <w:tcPr>
            <w:tcW w:w="992" w:type="dxa"/>
            <w:vAlign w:val="center"/>
          </w:tcPr>
          <w:p w:rsidR="00D13228" w:rsidRPr="00B56672" w:rsidRDefault="00D13228" w:rsidP="00390C14">
            <w:pPr>
              <w:ind w:firstLine="0"/>
              <w:jc w:val="center"/>
              <w:rPr>
                <w:sz w:val="20"/>
              </w:rPr>
            </w:pPr>
            <w:r w:rsidRPr="00B56672">
              <w:rPr>
                <w:sz w:val="20"/>
              </w:rPr>
              <w:t>73,4%</w:t>
            </w:r>
          </w:p>
        </w:tc>
      </w:tr>
      <w:tr w:rsidR="00D13228" w:rsidRPr="00B56672" w:rsidTr="00390C14">
        <w:trPr>
          <w:cantSplit/>
          <w:trHeight w:val="513"/>
        </w:trPr>
        <w:tc>
          <w:tcPr>
            <w:tcW w:w="4536" w:type="dxa"/>
            <w:vAlign w:val="center"/>
          </w:tcPr>
          <w:p w:rsidR="00D13228" w:rsidRPr="00B56672" w:rsidRDefault="00D13228" w:rsidP="00390C14">
            <w:pPr>
              <w:ind w:firstLine="0"/>
              <w:rPr>
                <w:sz w:val="20"/>
              </w:rPr>
            </w:pPr>
            <w:r w:rsidRPr="00B56672">
              <w:rPr>
                <w:color w:val="000000" w:themeColor="text1"/>
                <w:sz w:val="20"/>
              </w:rPr>
              <w:t>Anota e controla os seus gastos pessoais mensais (ex.: planilha de receitas e despesas, caderno de anotações, etc.)</w:t>
            </w:r>
          </w:p>
        </w:tc>
        <w:tc>
          <w:tcPr>
            <w:tcW w:w="993" w:type="dxa"/>
            <w:vAlign w:val="center"/>
          </w:tcPr>
          <w:p w:rsidR="00D13228" w:rsidRPr="00B56672" w:rsidRDefault="00D13228" w:rsidP="00390C14">
            <w:pPr>
              <w:ind w:firstLine="0"/>
              <w:jc w:val="center"/>
              <w:rPr>
                <w:sz w:val="20"/>
              </w:rPr>
            </w:pPr>
            <w:r w:rsidRPr="00B56672">
              <w:rPr>
                <w:sz w:val="20"/>
              </w:rPr>
              <w:t>4,5%</w:t>
            </w:r>
          </w:p>
        </w:tc>
        <w:tc>
          <w:tcPr>
            <w:tcW w:w="992" w:type="dxa"/>
            <w:vAlign w:val="center"/>
          </w:tcPr>
          <w:p w:rsidR="00D13228" w:rsidRPr="00B56672" w:rsidRDefault="00D13228" w:rsidP="00390C14">
            <w:pPr>
              <w:ind w:firstLine="0"/>
              <w:jc w:val="center"/>
              <w:rPr>
                <w:sz w:val="20"/>
              </w:rPr>
            </w:pPr>
            <w:r w:rsidRPr="00B56672">
              <w:rPr>
                <w:sz w:val="20"/>
              </w:rPr>
              <w:t>5,8%</w:t>
            </w:r>
          </w:p>
        </w:tc>
        <w:tc>
          <w:tcPr>
            <w:tcW w:w="850" w:type="dxa"/>
            <w:vAlign w:val="center"/>
          </w:tcPr>
          <w:p w:rsidR="00D13228" w:rsidRPr="00B56672" w:rsidRDefault="00D13228" w:rsidP="00390C14">
            <w:pPr>
              <w:ind w:firstLine="0"/>
              <w:jc w:val="center"/>
              <w:rPr>
                <w:sz w:val="20"/>
              </w:rPr>
            </w:pPr>
            <w:r w:rsidRPr="00B56672">
              <w:rPr>
                <w:sz w:val="20"/>
              </w:rPr>
              <w:t>6,1%</w:t>
            </w:r>
          </w:p>
        </w:tc>
        <w:tc>
          <w:tcPr>
            <w:tcW w:w="993" w:type="dxa"/>
            <w:vAlign w:val="center"/>
          </w:tcPr>
          <w:p w:rsidR="00D13228" w:rsidRPr="00B56672" w:rsidRDefault="00D13228" w:rsidP="00390C14">
            <w:pPr>
              <w:ind w:firstLine="0"/>
              <w:jc w:val="center"/>
              <w:rPr>
                <w:sz w:val="20"/>
              </w:rPr>
            </w:pPr>
            <w:r w:rsidRPr="00B56672">
              <w:rPr>
                <w:sz w:val="20"/>
              </w:rPr>
              <w:t>22,5%</w:t>
            </w:r>
          </w:p>
        </w:tc>
        <w:tc>
          <w:tcPr>
            <w:tcW w:w="992" w:type="dxa"/>
            <w:vAlign w:val="center"/>
          </w:tcPr>
          <w:p w:rsidR="00D13228" w:rsidRPr="00B56672" w:rsidRDefault="00D13228" w:rsidP="00390C14">
            <w:pPr>
              <w:ind w:firstLine="0"/>
              <w:jc w:val="center"/>
              <w:rPr>
                <w:sz w:val="20"/>
              </w:rPr>
            </w:pPr>
            <w:r w:rsidRPr="00B56672">
              <w:rPr>
                <w:sz w:val="20"/>
              </w:rPr>
              <w:t>61,1%</w:t>
            </w:r>
          </w:p>
        </w:tc>
      </w:tr>
      <w:tr w:rsidR="00D13228" w:rsidRPr="00B56672" w:rsidTr="00390C14">
        <w:trPr>
          <w:cantSplit/>
        </w:trPr>
        <w:tc>
          <w:tcPr>
            <w:tcW w:w="4536" w:type="dxa"/>
            <w:vAlign w:val="center"/>
          </w:tcPr>
          <w:p w:rsidR="00D13228" w:rsidRPr="00B56672" w:rsidRDefault="00D13228" w:rsidP="00390C14">
            <w:pPr>
              <w:ind w:firstLine="0"/>
              <w:rPr>
                <w:sz w:val="20"/>
              </w:rPr>
            </w:pPr>
            <w:r w:rsidRPr="00B56672">
              <w:rPr>
                <w:color w:val="000000" w:themeColor="text1"/>
                <w:sz w:val="20"/>
              </w:rPr>
              <w:t>Está satisfeito com o sistema de controle de suas finanças.</w:t>
            </w:r>
          </w:p>
        </w:tc>
        <w:tc>
          <w:tcPr>
            <w:tcW w:w="993" w:type="dxa"/>
            <w:vAlign w:val="center"/>
          </w:tcPr>
          <w:p w:rsidR="00D13228" w:rsidRPr="00B56672" w:rsidRDefault="00D13228" w:rsidP="00390C14">
            <w:pPr>
              <w:ind w:firstLine="0"/>
              <w:jc w:val="center"/>
              <w:rPr>
                <w:sz w:val="20"/>
              </w:rPr>
            </w:pPr>
            <w:r w:rsidRPr="00B56672">
              <w:rPr>
                <w:sz w:val="20"/>
              </w:rPr>
              <w:t>4,1%</w:t>
            </w:r>
          </w:p>
        </w:tc>
        <w:tc>
          <w:tcPr>
            <w:tcW w:w="992" w:type="dxa"/>
            <w:vAlign w:val="center"/>
          </w:tcPr>
          <w:p w:rsidR="00D13228" w:rsidRPr="00B56672" w:rsidRDefault="00D13228" w:rsidP="00390C14">
            <w:pPr>
              <w:ind w:firstLine="0"/>
              <w:jc w:val="center"/>
              <w:rPr>
                <w:sz w:val="20"/>
              </w:rPr>
            </w:pPr>
            <w:r w:rsidRPr="00B56672">
              <w:rPr>
                <w:sz w:val="20"/>
              </w:rPr>
              <w:t>7,4%</w:t>
            </w:r>
          </w:p>
        </w:tc>
        <w:tc>
          <w:tcPr>
            <w:tcW w:w="850" w:type="dxa"/>
            <w:vAlign w:val="center"/>
          </w:tcPr>
          <w:p w:rsidR="00D13228" w:rsidRPr="00B56672" w:rsidRDefault="00D13228" w:rsidP="00390C14">
            <w:pPr>
              <w:ind w:firstLine="0"/>
              <w:jc w:val="center"/>
              <w:rPr>
                <w:sz w:val="20"/>
              </w:rPr>
            </w:pPr>
            <w:r w:rsidRPr="00B56672">
              <w:rPr>
                <w:sz w:val="20"/>
              </w:rPr>
              <w:t>15,2%</w:t>
            </w:r>
          </w:p>
        </w:tc>
        <w:tc>
          <w:tcPr>
            <w:tcW w:w="993" w:type="dxa"/>
            <w:vAlign w:val="center"/>
          </w:tcPr>
          <w:p w:rsidR="00D13228" w:rsidRPr="00B56672" w:rsidRDefault="00D13228" w:rsidP="00390C14">
            <w:pPr>
              <w:ind w:firstLine="0"/>
              <w:jc w:val="center"/>
              <w:rPr>
                <w:sz w:val="20"/>
              </w:rPr>
            </w:pPr>
            <w:r w:rsidRPr="00B56672">
              <w:rPr>
                <w:sz w:val="20"/>
              </w:rPr>
              <w:t>42,6%</w:t>
            </w:r>
          </w:p>
        </w:tc>
        <w:tc>
          <w:tcPr>
            <w:tcW w:w="992" w:type="dxa"/>
            <w:vAlign w:val="center"/>
          </w:tcPr>
          <w:p w:rsidR="00D13228" w:rsidRPr="00B56672" w:rsidRDefault="00D13228" w:rsidP="00390C14">
            <w:pPr>
              <w:ind w:firstLine="0"/>
              <w:jc w:val="center"/>
              <w:rPr>
                <w:sz w:val="20"/>
              </w:rPr>
            </w:pPr>
            <w:r w:rsidRPr="00B56672">
              <w:rPr>
                <w:sz w:val="20"/>
              </w:rPr>
              <w:t>30,7%</w:t>
            </w:r>
          </w:p>
        </w:tc>
      </w:tr>
      <w:tr w:rsidR="00D13228" w:rsidRPr="00B56672" w:rsidTr="00390C14">
        <w:trPr>
          <w:cantSplit/>
        </w:trPr>
        <w:tc>
          <w:tcPr>
            <w:tcW w:w="4536" w:type="dxa"/>
            <w:vAlign w:val="center"/>
          </w:tcPr>
          <w:p w:rsidR="00D13228" w:rsidRPr="00B56672" w:rsidRDefault="00D13228" w:rsidP="00390C14">
            <w:pPr>
              <w:ind w:firstLine="0"/>
              <w:rPr>
                <w:sz w:val="20"/>
              </w:rPr>
            </w:pPr>
            <w:r w:rsidRPr="00B56672">
              <w:rPr>
                <w:color w:val="000000" w:themeColor="text1"/>
                <w:sz w:val="20"/>
              </w:rPr>
              <w:t>Poupa visando à compra de um produto mais caro</w:t>
            </w:r>
          </w:p>
        </w:tc>
        <w:tc>
          <w:tcPr>
            <w:tcW w:w="993" w:type="dxa"/>
            <w:vAlign w:val="center"/>
          </w:tcPr>
          <w:p w:rsidR="00D13228" w:rsidRPr="00B56672" w:rsidRDefault="00D13228" w:rsidP="00390C14">
            <w:pPr>
              <w:ind w:firstLine="0"/>
              <w:jc w:val="center"/>
              <w:rPr>
                <w:sz w:val="20"/>
              </w:rPr>
            </w:pPr>
            <w:r w:rsidRPr="00B56672">
              <w:rPr>
                <w:sz w:val="20"/>
              </w:rPr>
              <w:t>8,2%</w:t>
            </w:r>
          </w:p>
        </w:tc>
        <w:tc>
          <w:tcPr>
            <w:tcW w:w="992" w:type="dxa"/>
            <w:vAlign w:val="center"/>
          </w:tcPr>
          <w:p w:rsidR="00D13228" w:rsidRPr="00B56672" w:rsidRDefault="00D13228" w:rsidP="00390C14">
            <w:pPr>
              <w:ind w:firstLine="0"/>
              <w:jc w:val="center"/>
              <w:rPr>
                <w:sz w:val="20"/>
              </w:rPr>
            </w:pPr>
            <w:r w:rsidRPr="00B56672">
              <w:rPr>
                <w:sz w:val="20"/>
              </w:rPr>
              <w:t>12,3%</w:t>
            </w:r>
          </w:p>
        </w:tc>
        <w:tc>
          <w:tcPr>
            <w:tcW w:w="850" w:type="dxa"/>
            <w:vAlign w:val="center"/>
          </w:tcPr>
          <w:p w:rsidR="00D13228" w:rsidRPr="00B56672" w:rsidRDefault="00D13228" w:rsidP="00390C14">
            <w:pPr>
              <w:ind w:firstLine="0"/>
              <w:jc w:val="center"/>
              <w:rPr>
                <w:sz w:val="20"/>
              </w:rPr>
            </w:pPr>
            <w:r w:rsidRPr="00B56672">
              <w:rPr>
                <w:sz w:val="20"/>
              </w:rPr>
              <w:t>18%</w:t>
            </w:r>
          </w:p>
        </w:tc>
        <w:tc>
          <w:tcPr>
            <w:tcW w:w="993" w:type="dxa"/>
            <w:vAlign w:val="center"/>
          </w:tcPr>
          <w:p w:rsidR="00D13228" w:rsidRPr="00B56672" w:rsidRDefault="00D13228" w:rsidP="00390C14">
            <w:pPr>
              <w:ind w:firstLine="0"/>
              <w:jc w:val="center"/>
              <w:rPr>
                <w:sz w:val="20"/>
              </w:rPr>
            </w:pPr>
            <w:r w:rsidRPr="00B56672">
              <w:rPr>
                <w:sz w:val="20"/>
              </w:rPr>
              <w:t>32,4%</w:t>
            </w:r>
          </w:p>
        </w:tc>
        <w:tc>
          <w:tcPr>
            <w:tcW w:w="992" w:type="dxa"/>
            <w:vAlign w:val="center"/>
          </w:tcPr>
          <w:p w:rsidR="00D13228" w:rsidRPr="00B56672" w:rsidRDefault="00D13228" w:rsidP="00390C14">
            <w:pPr>
              <w:ind w:firstLine="0"/>
              <w:jc w:val="center"/>
              <w:rPr>
                <w:sz w:val="20"/>
              </w:rPr>
            </w:pPr>
            <w:r w:rsidRPr="00B56672">
              <w:rPr>
                <w:sz w:val="20"/>
              </w:rPr>
              <w:t>29,1%</w:t>
            </w:r>
          </w:p>
        </w:tc>
      </w:tr>
      <w:tr w:rsidR="00D13228" w:rsidRPr="00B56672" w:rsidTr="00390C14">
        <w:trPr>
          <w:cantSplit/>
        </w:trPr>
        <w:tc>
          <w:tcPr>
            <w:tcW w:w="4536" w:type="dxa"/>
            <w:vAlign w:val="center"/>
          </w:tcPr>
          <w:p w:rsidR="00D13228" w:rsidRPr="00B56672" w:rsidRDefault="00D13228" w:rsidP="00390C14">
            <w:pPr>
              <w:ind w:firstLine="0"/>
              <w:rPr>
                <w:sz w:val="20"/>
              </w:rPr>
            </w:pPr>
            <w:r w:rsidRPr="00B56672">
              <w:rPr>
                <w:color w:val="000000"/>
                <w:sz w:val="20"/>
                <w:shd w:val="clear" w:color="auto" w:fill="FFFFFF"/>
              </w:rPr>
              <w:t>Compara preços ao fazer compras</w:t>
            </w:r>
          </w:p>
        </w:tc>
        <w:tc>
          <w:tcPr>
            <w:tcW w:w="993" w:type="dxa"/>
            <w:vAlign w:val="center"/>
          </w:tcPr>
          <w:p w:rsidR="00D13228" w:rsidRPr="00B56672" w:rsidRDefault="00D13228" w:rsidP="00390C14">
            <w:pPr>
              <w:ind w:firstLine="0"/>
              <w:jc w:val="center"/>
              <w:rPr>
                <w:sz w:val="20"/>
              </w:rPr>
            </w:pPr>
            <w:r w:rsidRPr="00B56672">
              <w:rPr>
                <w:sz w:val="20"/>
              </w:rPr>
              <w:t>0,8%</w:t>
            </w:r>
          </w:p>
        </w:tc>
        <w:tc>
          <w:tcPr>
            <w:tcW w:w="992" w:type="dxa"/>
            <w:vAlign w:val="center"/>
          </w:tcPr>
          <w:p w:rsidR="00D13228" w:rsidRPr="00B56672" w:rsidRDefault="00D13228" w:rsidP="00390C14">
            <w:pPr>
              <w:ind w:firstLine="0"/>
              <w:jc w:val="center"/>
              <w:rPr>
                <w:sz w:val="20"/>
              </w:rPr>
            </w:pPr>
            <w:r w:rsidRPr="00B56672">
              <w:rPr>
                <w:sz w:val="20"/>
              </w:rPr>
              <w:t>4,1%</w:t>
            </w:r>
          </w:p>
        </w:tc>
        <w:tc>
          <w:tcPr>
            <w:tcW w:w="850" w:type="dxa"/>
            <w:vAlign w:val="center"/>
          </w:tcPr>
          <w:p w:rsidR="00D13228" w:rsidRPr="00B56672" w:rsidRDefault="00D13228" w:rsidP="00390C14">
            <w:pPr>
              <w:ind w:firstLine="0"/>
              <w:jc w:val="center"/>
              <w:rPr>
                <w:sz w:val="20"/>
              </w:rPr>
            </w:pPr>
            <w:r w:rsidRPr="00B56672">
              <w:rPr>
                <w:sz w:val="20"/>
              </w:rPr>
              <w:t>3,3%</w:t>
            </w:r>
          </w:p>
        </w:tc>
        <w:tc>
          <w:tcPr>
            <w:tcW w:w="993" w:type="dxa"/>
            <w:vAlign w:val="center"/>
          </w:tcPr>
          <w:p w:rsidR="00D13228" w:rsidRPr="00B56672" w:rsidRDefault="00D13228" w:rsidP="00390C14">
            <w:pPr>
              <w:ind w:firstLine="0"/>
              <w:jc w:val="center"/>
              <w:rPr>
                <w:sz w:val="20"/>
              </w:rPr>
            </w:pPr>
            <w:r w:rsidRPr="00B56672">
              <w:rPr>
                <w:sz w:val="20"/>
              </w:rPr>
              <w:t>32,4%</w:t>
            </w:r>
          </w:p>
        </w:tc>
        <w:tc>
          <w:tcPr>
            <w:tcW w:w="992" w:type="dxa"/>
            <w:vAlign w:val="center"/>
          </w:tcPr>
          <w:p w:rsidR="00D13228" w:rsidRPr="00B56672" w:rsidRDefault="00D13228" w:rsidP="00390C14">
            <w:pPr>
              <w:ind w:firstLine="0"/>
              <w:jc w:val="center"/>
              <w:rPr>
                <w:sz w:val="20"/>
              </w:rPr>
            </w:pPr>
            <w:r w:rsidRPr="00B56672">
              <w:rPr>
                <w:sz w:val="20"/>
              </w:rPr>
              <w:t>59,4%</w:t>
            </w:r>
          </w:p>
        </w:tc>
      </w:tr>
      <w:tr w:rsidR="00D13228" w:rsidRPr="00B56672" w:rsidTr="00390C14">
        <w:trPr>
          <w:cantSplit/>
        </w:trPr>
        <w:tc>
          <w:tcPr>
            <w:tcW w:w="4536" w:type="dxa"/>
            <w:vAlign w:val="center"/>
          </w:tcPr>
          <w:p w:rsidR="00D13228" w:rsidRPr="00B56672" w:rsidRDefault="00D13228" w:rsidP="00390C14">
            <w:pPr>
              <w:ind w:firstLine="0"/>
              <w:rPr>
                <w:sz w:val="20"/>
              </w:rPr>
            </w:pPr>
            <w:r w:rsidRPr="00B56672">
              <w:rPr>
                <w:color w:val="000000" w:themeColor="text1"/>
                <w:sz w:val="20"/>
              </w:rPr>
              <w:t>Compra por impulso</w:t>
            </w:r>
          </w:p>
        </w:tc>
        <w:tc>
          <w:tcPr>
            <w:tcW w:w="993" w:type="dxa"/>
            <w:vAlign w:val="center"/>
          </w:tcPr>
          <w:p w:rsidR="00D13228" w:rsidRPr="00B56672" w:rsidRDefault="00D13228" w:rsidP="00390C14">
            <w:pPr>
              <w:ind w:firstLine="0"/>
              <w:jc w:val="center"/>
              <w:rPr>
                <w:sz w:val="20"/>
              </w:rPr>
            </w:pPr>
            <w:r w:rsidRPr="00B56672">
              <w:rPr>
                <w:sz w:val="20"/>
              </w:rPr>
              <w:t>21,7%</w:t>
            </w:r>
          </w:p>
        </w:tc>
        <w:tc>
          <w:tcPr>
            <w:tcW w:w="992" w:type="dxa"/>
            <w:vAlign w:val="center"/>
          </w:tcPr>
          <w:p w:rsidR="00D13228" w:rsidRPr="00B56672" w:rsidRDefault="00D13228" w:rsidP="00390C14">
            <w:pPr>
              <w:ind w:firstLine="0"/>
              <w:jc w:val="center"/>
              <w:rPr>
                <w:sz w:val="20"/>
              </w:rPr>
            </w:pPr>
            <w:r w:rsidRPr="00B56672">
              <w:rPr>
                <w:sz w:val="20"/>
              </w:rPr>
              <w:t>42,2%</w:t>
            </w:r>
          </w:p>
        </w:tc>
        <w:tc>
          <w:tcPr>
            <w:tcW w:w="850" w:type="dxa"/>
            <w:vAlign w:val="center"/>
          </w:tcPr>
          <w:p w:rsidR="00D13228" w:rsidRPr="00B56672" w:rsidRDefault="00D13228" w:rsidP="00390C14">
            <w:pPr>
              <w:ind w:firstLine="0"/>
              <w:jc w:val="center"/>
              <w:rPr>
                <w:sz w:val="20"/>
              </w:rPr>
            </w:pPr>
            <w:r w:rsidRPr="00B56672">
              <w:rPr>
                <w:sz w:val="20"/>
              </w:rPr>
              <w:t>24,6%</w:t>
            </w:r>
          </w:p>
        </w:tc>
        <w:tc>
          <w:tcPr>
            <w:tcW w:w="993" w:type="dxa"/>
            <w:vAlign w:val="center"/>
          </w:tcPr>
          <w:p w:rsidR="00D13228" w:rsidRPr="00B56672" w:rsidRDefault="00D13228" w:rsidP="00390C14">
            <w:pPr>
              <w:ind w:firstLine="0"/>
              <w:jc w:val="center"/>
              <w:rPr>
                <w:sz w:val="20"/>
              </w:rPr>
            </w:pPr>
            <w:r w:rsidRPr="00B56672">
              <w:rPr>
                <w:sz w:val="20"/>
              </w:rPr>
              <w:t>10,2%</w:t>
            </w:r>
          </w:p>
        </w:tc>
        <w:tc>
          <w:tcPr>
            <w:tcW w:w="992" w:type="dxa"/>
            <w:vAlign w:val="center"/>
          </w:tcPr>
          <w:p w:rsidR="00D13228" w:rsidRPr="00B56672" w:rsidRDefault="00D13228" w:rsidP="00390C14">
            <w:pPr>
              <w:ind w:firstLine="0"/>
              <w:jc w:val="center"/>
              <w:rPr>
                <w:sz w:val="20"/>
              </w:rPr>
            </w:pPr>
            <w:r w:rsidRPr="00B56672">
              <w:rPr>
                <w:sz w:val="20"/>
              </w:rPr>
              <w:t>1,3%</w:t>
            </w:r>
          </w:p>
        </w:tc>
      </w:tr>
      <w:tr w:rsidR="00D13228" w:rsidRPr="00B56672" w:rsidTr="00390C14">
        <w:trPr>
          <w:cantSplit/>
        </w:trPr>
        <w:tc>
          <w:tcPr>
            <w:tcW w:w="4536" w:type="dxa"/>
            <w:vAlign w:val="center"/>
          </w:tcPr>
          <w:p w:rsidR="00D13228" w:rsidRPr="00B56672" w:rsidRDefault="00D13228" w:rsidP="00390C14">
            <w:pPr>
              <w:ind w:firstLine="0"/>
              <w:rPr>
                <w:color w:val="000000" w:themeColor="text1"/>
                <w:sz w:val="20"/>
              </w:rPr>
            </w:pPr>
            <w:r w:rsidRPr="00B56672">
              <w:rPr>
                <w:color w:val="000000"/>
                <w:sz w:val="20"/>
                <w:shd w:val="clear" w:color="auto" w:fill="FFFFFF"/>
              </w:rPr>
              <w:t>Paga suas contas com atraso</w:t>
            </w:r>
          </w:p>
        </w:tc>
        <w:tc>
          <w:tcPr>
            <w:tcW w:w="993" w:type="dxa"/>
            <w:vAlign w:val="center"/>
          </w:tcPr>
          <w:p w:rsidR="00D13228" w:rsidRPr="00B56672" w:rsidRDefault="00D13228" w:rsidP="00390C14">
            <w:pPr>
              <w:ind w:firstLine="0"/>
              <w:jc w:val="center"/>
              <w:rPr>
                <w:sz w:val="20"/>
              </w:rPr>
            </w:pPr>
            <w:r w:rsidRPr="00B56672">
              <w:rPr>
                <w:sz w:val="20"/>
              </w:rPr>
              <w:t>66,4%</w:t>
            </w:r>
          </w:p>
        </w:tc>
        <w:tc>
          <w:tcPr>
            <w:tcW w:w="992" w:type="dxa"/>
            <w:vAlign w:val="center"/>
          </w:tcPr>
          <w:p w:rsidR="00D13228" w:rsidRPr="00B56672" w:rsidRDefault="00D13228" w:rsidP="00390C14">
            <w:pPr>
              <w:ind w:firstLine="0"/>
              <w:jc w:val="center"/>
              <w:rPr>
                <w:sz w:val="20"/>
              </w:rPr>
            </w:pPr>
            <w:r w:rsidRPr="00B56672">
              <w:rPr>
                <w:sz w:val="20"/>
              </w:rPr>
              <w:t>20,5%</w:t>
            </w:r>
          </w:p>
        </w:tc>
        <w:tc>
          <w:tcPr>
            <w:tcW w:w="850" w:type="dxa"/>
            <w:vAlign w:val="center"/>
          </w:tcPr>
          <w:p w:rsidR="00D13228" w:rsidRPr="00B56672" w:rsidRDefault="00D13228" w:rsidP="00390C14">
            <w:pPr>
              <w:ind w:firstLine="0"/>
              <w:jc w:val="center"/>
              <w:rPr>
                <w:sz w:val="20"/>
              </w:rPr>
            </w:pPr>
            <w:r w:rsidRPr="00B56672">
              <w:rPr>
                <w:sz w:val="20"/>
              </w:rPr>
              <w:t>6,1%</w:t>
            </w:r>
          </w:p>
        </w:tc>
        <w:tc>
          <w:tcPr>
            <w:tcW w:w="993" w:type="dxa"/>
            <w:vAlign w:val="center"/>
          </w:tcPr>
          <w:p w:rsidR="00D13228" w:rsidRPr="00B56672" w:rsidRDefault="00D13228" w:rsidP="00390C14">
            <w:pPr>
              <w:ind w:firstLine="0"/>
              <w:jc w:val="center"/>
              <w:rPr>
                <w:sz w:val="20"/>
              </w:rPr>
            </w:pPr>
            <w:r w:rsidRPr="00B56672">
              <w:rPr>
                <w:sz w:val="20"/>
              </w:rPr>
              <w:t>4,1%</w:t>
            </w:r>
          </w:p>
        </w:tc>
        <w:tc>
          <w:tcPr>
            <w:tcW w:w="992" w:type="dxa"/>
            <w:vAlign w:val="center"/>
          </w:tcPr>
          <w:p w:rsidR="00D13228" w:rsidRPr="00B56672" w:rsidRDefault="00D13228" w:rsidP="00390C14">
            <w:pPr>
              <w:ind w:firstLine="0"/>
              <w:jc w:val="center"/>
              <w:rPr>
                <w:sz w:val="20"/>
              </w:rPr>
            </w:pPr>
            <w:r w:rsidRPr="00B56672">
              <w:rPr>
                <w:sz w:val="20"/>
              </w:rPr>
              <w:t>2,9%</w:t>
            </w:r>
          </w:p>
        </w:tc>
      </w:tr>
      <w:tr w:rsidR="00D13228" w:rsidRPr="00B56672" w:rsidTr="00390C14">
        <w:trPr>
          <w:cantSplit/>
        </w:trPr>
        <w:tc>
          <w:tcPr>
            <w:tcW w:w="4536" w:type="dxa"/>
            <w:vAlign w:val="center"/>
          </w:tcPr>
          <w:p w:rsidR="00D13228" w:rsidRPr="00B56672" w:rsidRDefault="00D13228" w:rsidP="00390C14">
            <w:pPr>
              <w:ind w:firstLine="0"/>
              <w:rPr>
                <w:color w:val="000000" w:themeColor="text1"/>
                <w:sz w:val="20"/>
              </w:rPr>
            </w:pPr>
            <w:r w:rsidRPr="00B56672">
              <w:rPr>
                <w:color w:val="000000"/>
                <w:sz w:val="20"/>
                <w:shd w:val="clear" w:color="auto" w:fill="FFFFFF"/>
              </w:rPr>
              <w:t>Prefere comprar um produto financiado a juntar dinheiro para comprá-lo à vista</w:t>
            </w:r>
            <w:r w:rsidRPr="00B56672">
              <w:rPr>
                <w:color w:val="000000" w:themeColor="text1"/>
                <w:sz w:val="20"/>
              </w:rPr>
              <w:t>.</w:t>
            </w:r>
          </w:p>
        </w:tc>
        <w:tc>
          <w:tcPr>
            <w:tcW w:w="993" w:type="dxa"/>
            <w:vAlign w:val="center"/>
          </w:tcPr>
          <w:p w:rsidR="00D13228" w:rsidRPr="00B56672" w:rsidRDefault="00D13228" w:rsidP="00390C14">
            <w:pPr>
              <w:ind w:firstLine="0"/>
              <w:jc w:val="center"/>
              <w:rPr>
                <w:sz w:val="20"/>
              </w:rPr>
            </w:pPr>
            <w:r w:rsidRPr="00B56672">
              <w:rPr>
                <w:sz w:val="20"/>
              </w:rPr>
              <w:t>27,9%</w:t>
            </w:r>
          </w:p>
        </w:tc>
        <w:tc>
          <w:tcPr>
            <w:tcW w:w="992" w:type="dxa"/>
            <w:vAlign w:val="center"/>
          </w:tcPr>
          <w:p w:rsidR="00D13228" w:rsidRPr="00B56672" w:rsidRDefault="00D13228" w:rsidP="00390C14">
            <w:pPr>
              <w:ind w:firstLine="0"/>
              <w:jc w:val="center"/>
              <w:rPr>
                <w:sz w:val="20"/>
              </w:rPr>
            </w:pPr>
            <w:r w:rsidRPr="00B56672">
              <w:rPr>
                <w:sz w:val="20"/>
              </w:rPr>
              <w:t>30,3%</w:t>
            </w:r>
          </w:p>
        </w:tc>
        <w:tc>
          <w:tcPr>
            <w:tcW w:w="850" w:type="dxa"/>
            <w:vAlign w:val="center"/>
          </w:tcPr>
          <w:p w:rsidR="00D13228" w:rsidRPr="00B56672" w:rsidRDefault="00D13228" w:rsidP="00390C14">
            <w:pPr>
              <w:ind w:firstLine="0"/>
              <w:jc w:val="center"/>
              <w:rPr>
                <w:sz w:val="20"/>
              </w:rPr>
            </w:pPr>
            <w:r w:rsidRPr="00B56672">
              <w:rPr>
                <w:sz w:val="20"/>
              </w:rPr>
              <w:t>23%</w:t>
            </w:r>
          </w:p>
        </w:tc>
        <w:tc>
          <w:tcPr>
            <w:tcW w:w="993" w:type="dxa"/>
            <w:vAlign w:val="center"/>
          </w:tcPr>
          <w:p w:rsidR="00D13228" w:rsidRPr="00B56672" w:rsidRDefault="00D13228" w:rsidP="00390C14">
            <w:pPr>
              <w:ind w:firstLine="0"/>
              <w:jc w:val="center"/>
              <w:rPr>
                <w:sz w:val="20"/>
              </w:rPr>
            </w:pPr>
            <w:r w:rsidRPr="00B56672">
              <w:rPr>
                <w:sz w:val="20"/>
              </w:rPr>
              <w:t>14,3%</w:t>
            </w:r>
          </w:p>
        </w:tc>
        <w:tc>
          <w:tcPr>
            <w:tcW w:w="992" w:type="dxa"/>
            <w:vAlign w:val="center"/>
          </w:tcPr>
          <w:p w:rsidR="00D13228" w:rsidRPr="00B56672" w:rsidRDefault="00D13228" w:rsidP="00390C14">
            <w:pPr>
              <w:ind w:firstLine="0"/>
              <w:jc w:val="center"/>
              <w:rPr>
                <w:sz w:val="20"/>
              </w:rPr>
            </w:pPr>
            <w:r w:rsidRPr="00B56672">
              <w:rPr>
                <w:sz w:val="20"/>
              </w:rPr>
              <w:t>4,5%</w:t>
            </w:r>
          </w:p>
        </w:tc>
      </w:tr>
      <w:tr w:rsidR="00D13228" w:rsidRPr="00B56672" w:rsidTr="00390C14">
        <w:trPr>
          <w:cantSplit/>
        </w:trPr>
        <w:tc>
          <w:tcPr>
            <w:tcW w:w="4536" w:type="dxa"/>
            <w:vAlign w:val="center"/>
          </w:tcPr>
          <w:p w:rsidR="00D13228" w:rsidRPr="00B56672" w:rsidRDefault="00D13228" w:rsidP="00390C14">
            <w:pPr>
              <w:ind w:firstLine="0"/>
              <w:rPr>
                <w:color w:val="000000" w:themeColor="text1"/>
                <w:sz w:val="20"/>
              </w:rPr>
            </w:pPr>
            <w:r w:rsidRPr="00B56672">
              <w:rPr>
                <w:color w:val="000000" w:themeColor="text1"/>
                <w:sz w:val="20"/>
              </w:rPr>
              <w:t>Considera importante ter uma vida financeira saudável</w:t>
            </w:r>
          </w:p>
        </w:tc>
        <w:tc>
          <w:tcPr>
            <w:tcW w:w="993" w:type="dxa"/>
            <w:vAlign w:val="center"/>
          </w:tcPr>
          <w:p w:rsidR="00D13228" w:rsidRPr="00B56672" w:rsidRDefault="00D13228" w:rsidP="00390C14">
            <w:pPr>
              <w:ind w:firstLine="0"/>
              <w:jc w:val="center"/>
              <w:rPr>
                <w:sz w:val="20"/>
              </w:rPr>
            </w:pPr>
            <w:r w:rsidRPr="00B56672">
              <w:rPr>
                <w:sz w:val="20"/>
              </w:rPr>
              <w:t>0,8%</w:t>
            </w:r>
          </w:p>
        </w:tc>
        <w:tc>
          <w:tcPr>
            <w:tcW w:w="992" w:type="dxa"/>
            <w:vAlign w:val="center"/>
          </w:tcPr>
          <w:p w:rsidR="00D13228" w:rsidRPr="00B56672" w:rsidRDefault="00D13228" w:rsidP="00390C14">
            <w:pPr>
              <w:ind w:firstLine="0"/>
              <w:jc w:val="center"/>
              <w:rPr>
                <w:sz w:val="20"/>
              </w:rPr>
            </w:pPr>
            <w:r w:rsidRPr="00B56672">
              <w:rPr>
                <w:sz w:val="20"/>
              </w:rPr>
              <w:t>0,8%</w:t>
            </w:r>
          </w:p>
        </w:tc>
        <w:tc>
          <w:tcPr>
            <w:tcW w:w="850" w:type="dxa"/>
            <w:vAlign w:val="center"/>
          </w:tcPr>
          <w:p w:rsidR="00D13228" w:rsidRPr="00B56672" w:rsidRDefault="00D13228" w:rsidP="00390C14">
            <w:pPr>
              <w:ind w:firstLine="0"/>
              <w:jc w:val="center"/>
              <w:rPr>
                <w:sz w:val="20"/>
              </w:rPr>
            </w:pPr>
            <w:r w:rsidRPr="00B56672">
              <w:rPr>
                <w:sz w:val="20"/>
              </w:rPr>
              <w:t>0,0%</w:t>
            </w:r>
          </w:p>
        </w:tc>
        <w:tc>
          <w:tcPr>
            <w:tcW w:w="993" w:type="dxa"/>
            <w:vAlign w:val="center"/>
          </w:tcPr>
          <w:p w:rsidR="00D13228" w:rsidRPr="00B56672" w:rsidRDefault="00D13228" w:rsidP="00390C14">
            <w:pPr>
              <w:ind w:firstLine="0"/>
              <w:jc w:val="center"/>
              <w:rPr>
                <w:sz w:val="20"/>
              </w:rPr>
            </w:pPr>
            <w:r w:rsidRPr="00B56672">
              <w:rPr>
                <w:sz w:val="20"/>
              </w:rPr>
              <w:t>6,6%</w:t>
            </w:r>
          </w:p>
        </w:tc>
        <w:tc>
          <w:tcPr>
            <w:tcW w:w="992" w:type="dxa"/>
            <w:vAlign w:val="center"/>
          </w:tcPr>
          <w:p w:rsidR="00D13228" w:rsidRPr="00B56672" w:rsidRDefault="00D13228" w:rsidP="00390C14">
            <w:pPr>
              <w:ind w:firstLine="0"/>
              <w:jc w:val="center"/>
              <w:rPr>
                <w:sz w:val="20"/>
              </w:rPr>
            </w:pPr>
            <w:r w:rsidRPr="00B56672">
              <w:rPr>
                <w:sz w:val="20"/>
              </w:rPr>
              <w:t>91,8%</w:t>
            </w:r>
          </w:p>
        </w:tc>
      </w:tr>
    </w:tbl>
    <w:p w:rsidR="00D13228" w:rsidRPr="00B56672" w:rsidRDefault="00D13228" w:rsidP="00390C14">
      <w:pPr>
        <w:ind w:firstLine="0"/>
        <w:rPr>
          <w:color w:val="000000" w:themeColor="text1"/>
          <w:sz w:val="20"/>
        </w:rPr>
      </w:pPr>
      <w:r w:rsidRPr="00B56672">
        <w:rPr>
          <w:b/>
          <w:color w:val="000000" w:themeColor="text1"/>
          <w:sz w:val="20"/>
        </w:rPr>
        <w:t>Fonte:</w:t>
      </w:r>
      <w:r w:rsidRPr="00B56672">
        <w:rPr>
          <w:color w:val="000000" w:themeColor="text1"/>
          <w:sz w:val="20"/>
        </w:rPr>
        <w:t xml:space="preserve"> Dados da pesquisa (2019)</w:t>
      </w:r>
    </w:p>
    <w:p w:rsidR="00D13228" w:rsidRPr="00B56672" w:rsidRDefault="00D13228" w:rsidP="00D13228">
      <w:pPr>
        <w:ind w:firstLine="705"/>
        <w:rPr>
          <w:rStyle w:val="normaltextrun"/>
          <w:color w:val="000000"/>
          <w:szCs w:val="24"/>
        </w:rPr>
      </w:pPr>
    </w:p>
    <w:p w:rsidR="00D13228" w:rsidRPr="00B56672" w:rsidRDefault="00D13228" w:rsidP="00D13228">
      <w:pPr>
        <w:ind w:firstLine="705"/>
        <w:rPr>
          <w:color w:val="000000" w:themeColor="text1"/>
          <w:sz w:val="20"/>
        </w:rPr>
      </w:pPr>
      <w:r w:rsidRPr="00B56672">
        <w:rPr>
          <w:rStyle w:val="normaltextrun"/>
          <w:color w:val="000000"/>
          <w:szCs w:val="24"/>
        </w:rPr>
        <w:t>Evidencia-se na Tabela 1</w:t>
      </w:r>
      <w:r w:rsidR="00E233A4">
        <w:rPr>
          <w:rStyle w:val="normaltextrun"/>
          <w:color w:val="000000"/>
          <w:szCs w:val="24"/>
        </w:rPr>
        <w:t>5</w:t>
      </w:r>
      <w:r w:rsidRPr="00B56672">
        <w:rPr>
          <w:rStyle w:val="normaltextrun"/>
          <w:color w:val="000000"/>
          <w:szCs w:val="24"/>
        </w:rPr>
        <w:t xml:space="preserve"> que a maioria dos respondentes se preocupa em gerenciar seu dinheiro, tendo 36,1% da amostra respondido que se preocupam quase sempre e 59,4% sempre se preocupam. Sendo assim, pode-se afirmar que os contadores prezam pela gestão financeira. Este resultado discorda do obtido por Conto et al. (2015), quando dois terços de sua amostra não demonstravam interesse em gerenciar seu dinheiro.</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rPr>
          <w:sz w:val="18"/>
          <w:szCs w:val="18"/>
        </w:rPr>
      </w:pPr>
      <w:r w:rsidRPr="00B56672">
        <w:rPr>
          <w:rStyle w:val="normaltextrun"/>
          <w:color w:val="000000"/>
        </w:rPr>
        <w:t xml:space="preserve">Verifica-se que uma porção maior dos respondentes (93,4%) possui o hábito de identificar a existência de juros na compra de produtos a crédito, e ressalta-se que deste montante, 73,4% </w:t>
      </w:r>
      <w:r w:rsidRPr="00B56672">
        <w:rPr>
          <w:rStyle w:val="normaltextrun"/>
          <w:color w:val="000000"/>
        </w:rPr>
        <w:lastRenderedPageBreak/>
        <w:t>alegam ser um hábito constante. Assim, este resultado é distinto ao observado na pesquisa de Lucena e Marinho (2013), onde 54% dos pesquisados optaram por decisões que elevariam a carga de juros de suas compras, demonstrando o não entendimento dos respondentes quanto a identificação de juros.</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rPr>
          <w:sz w:val="18"/>
          <w:szCs w:val="18"/>
        </w:rPr>
      </w:pPr>
      <w:r w:rsidRPr="00B56672">
        <w:rPr>
          <w:rStyle w:val="normaltextrun"/>
          <w:color w:val="000000"/>
        </w:rPr>
        <w:t>Nota-se que grande parte dos respondentes se utilizam do controle, seja ele por sistemas, planilhas, caderno e etc. Com isto, pode-se afirmar que os profissionais da área contábil são organizados quanto às suas finanças pessoais, já que 83,6% da amostra demonstram ter controle efetivo sobre suas finanças. O resultado corrobora com Cruz, </w:t>
      </w:r>
      <w:r w:rsidRPr="00B56672">
        <w:rPr>
          <w:rStyle w:val="spellingerror"/>
          <w:color w:val="000000"/>
        </w:rPr>
        <w:t>Kroetz</w:t>
      </w:r>
      <w:r w:rsidRPr="00B56672">
        <w:rPr>
          <w:rStyle w:val="normaltextrun"/>
          <w:color w:val="000000"/>
        </w:rPr>
        <w:t> e </w:t>
      </w:r>
      <w:proofErr w:type="spellStart"/>
      <w:r w:rsidRPr="00B56672">
        <w:rPr>
          <w:rStyle w:val="spellingerror"/>
          <w:color w:val="000000"/>
        </w:rPr>
        <w:t>Fáveri</w:t>
      </w:r>
      <w:proofErr w:type="spellEnd"/>
      <w:r w:rsidRPr="00B56672">
        <w:rPr>
          <w:rStyle w:val="normaltextrun"/>
          <w:color w:val="000000"/>
        </w:rPr>
        <w:t> (2012) cuja amostra revelou que controla suas movimentações financeiras.</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rPr>
          <w:sz w:val="18"/>
          <w:szCs w:val="18"/>
        </w:rPr>
      </w:pPr>
      <w:r w:rsidRPr="00B56672">
        <w:rPr>
          <w:rStyle w:val="normaltextrun"/>
          <w:color w:val="000000"/>
        </w:rPr>
        <w:t>Quando questionados sobre o sistema de controle de suas finanças, 42,6% dos profissionais declaram estarem parcialmente satisfeitos, seguido de 30,7% que se consideram totalmente satisfeitos. Este resultado é diferente do encontrado por </w:t>
      </w:r>
      <w:r w:rsidRPr="00B56672">
        <w:rPr>
          <w:rStyle w:val="normaltextrun"/>
        </w:rPr>
        <w:t>Oliveira (2015), quando 82,4% dos respondentes não estavam satisfeitos com o sistema de controle de finanças utilizado atualmente. </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rPr>
          <w:sz w:val="18"/>
          <w:szCs w:val="18"/>
        </w:rPr>
      </w:pPr>
      <w:r w:rsidRPr="00B56672">
        <w:rPr>
          <w:rStyle w:val="normaltextrun"/>
          <w:color w:val="000000"/>
        </w:rPr>
        <w:t>Os resultados também indicam que 32,4% dos participantes procuram quase sempre poupar para adquirir um produto de valor superior, tendo em seguida, 29,1% que procuram poupar sempre. Logo, é possível perceber que os profissionais da contabilidade tendem a poupar com intuito de possuir o montante necessário para adquirir um bem de maior valor. Este achado difere do encontrado por Oliveira (2015), quando observou uma semelhança nas escolhas do indivíduo entre comprar um bem no presente, ou poupar para adquirir um melhor no futuro.</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rPr>
          <w:sz w:val="18"/>
          <w:szCs w:val="18"/>
        </w:rPr>
      </w:pPr>
      <w:r w:rsidRPr="00B56672">
        <w:rPr>
          <w:rStyle w:val="normaltextrun"/>
          <w:color w:val="000000"/>
        </w:rPr>
        <w:t>Os profissionais contábeis alegam em sua grande maioria (91,8%, com destaque para 59,4% que alegam que sempre) comparar preços ao realizar suas compras. Este resultado vai ao encontro do estudo de Moreira e Carvalho (2013), que alcançaram achados semelhantes ao desta pesquisa.</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rPr>
          <w:sz w:val="18"/>
          <w:szCs w:val="18"/>
        </w:rPr>
      </w:pPr>
      <w:r w:rsidRPr="00B56672">
        <w:rPr>
          <w:rStyle w:val="normaltextrun"/>
          <w:color w:val="000000"/>
        </w:rPr>
        <w:t>Ao serem questionados se compram por impulso, os contadores mostraram um poder de controle nestas situações, não se mostrando influenciados por encantos momentâneos, já que 63,9% responderam que quase nunca ou nunca compram por ímpeto. Esta análise vai ao encontro de </w:t>
      </w:r>
      <w:r w:rsidRPr="00B56672">
        <w:rPr>
          <w:rStyle w:val="spellingerror"/>
          <w:color w:val="000000"/>
        </w:rPr>
        <w:t>Trentin</w:t>
      </w:r>
      <w:r w:rsidRPr="00B56672">
        <w:rPr>
          <w:rStyle w:val="normaltextrun"/>
          <w:color w:val="000000"/>
        </w:rPr>
        <w:t> et al. (2018) que evidencia a compra por impulsão é uma variável que não está frequentemente presente na vida de seus questionados.</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rPr>
          <w:sz w:val="18"/>
          <w:szCs w:val="18"/>
        </w:rPr>
      </w:pPr>
      <w:r w:rsidRPr="00B56672">
        <w:rPr>
          <w:rStyle w:val="normaltextrun"/>
          <w:color w:val="000000"/>
        </w:rPr>
        <w:t>É possível constatar que 86,9% dos respondentes alegam não pagar suas contas com atraso, o que não implica em desembolsos referente a juros de mora. Entretanto, é interessante ressaltar que 2,9% afirmam pagar constantemente as contas com atraso. Estes achados divergem dos observados por Moreira e Carvalho (2013), onde a porção maior (57%) dos questionados declara pagar </w:t>
      </w:r>
      <w:r w:rsidRPr="00B56672">
        <w:rPr>
          <w:rStyle w:val="contextualspellingandgrammarerror"/>
          <w:color w:val="000000"/>
        </w:rPr>
        <w:t>suas</w:t>
      </w:r>
      <w:r w:rsidRPr="00B56672">
        <w:rPr>
          <w:rStyle w:val="normaltextrun"/>
          <w:color w:val="000000"/>
        </w:rPr>
        <w:t> contas com atraso.</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rPr>
          <w:rStyle w:val="eop"/>
        </w:rPr>
      </w:pPr>
      <w:r w:rsidRPr="00B56672">
        <w:rPr>
          <w:rStyle w:val="normaltextrun"/>
          <w:color w:val="000000"/>
        </w:rPr>
        <w:t>Percebe-se que 58,2% dos participantes prefere guardar o dinheiro para comprar o produto à vista e 23% se mantiveram neutros quanto ao posicionamento. Este resultado corrobora com a pesquisa de Vieira, Bataglia e Sereia (2011), na qual 63,7% dos respondentes preferem renunciar o bem no presente para comprá-lo à vista no futuro, e 6,6% se mostram consumistas, preferindo ter o bem imediatamente, mesmo pagando mais por ele.</w:t>
      </w:r>
      <w:r w:rsidRPr="00B56672">
        <w:rPr>
          <w:rStyle w:val="eop"/>
        </w:rPr>
        <w:t> </w:t>
      </w:r>
    </w:p>
    <w:p w:rsidR="00D13228" w:rsidRPr="00B56672" w:rsidRDefault="00D13228" w:rsidP="00D13228">
      <w:pPr>
        <w:pStyle w:val="paragraph"/>
        <w:spacing w:before="0" w:beforeAutospacing="0" w:after="0" w:afterAutospacing="0"/>
        <w:ind w:firstLine="705"/>
        <w:jc w:val="both"/>
        <w:textAlignment w:val="baseline"/>
      </w:pPr>
      <w:r w:rsidRPr="00B56672">
        <w:t>Por fim, a maioria absoluta, ou seja, 98,4% dos respondentes quase sempre ou sempre, considera importante ter uma vida financeira saudável. Estes achados corroboram com os observados por Conto et al. (2015), uma vez que os resultados são semelhantes.</w:t>
      </w:r>
    </w:p>
    <w:p w:rsidR="00D13228" w:rsidRDefault="00390C14" w:rsidP="00390C14">
      <w:pPr>
        <w:ind w:firstLine="0"/>
        <w:rPr>
          <w:b/>
          <w:bCs/>
          <w:color w:val="000000" w:themeColor="text1"/>
          <w:szCs w:val="24"/>
        </w:rPr>
      </w:pPr>
      <w:r w:rsidRPr="00B56672">
        <w:rPr>
          <w:b/>
          <w:bCs/>
          <w:color w:val="000000" w:themeColor="text1"/>
          <w:szCs w:val="24"/>
        </w:rPr>
        <w:lastRenderedPageBreak/>
        <w:t>5 Considerações Finais</w:t>
      </w:r>
    </w:p>
    <w:p w:rsidR="00390C14" w:rsidRPr="00B56672" w:rsidRDefault="00390C14" w:rsidP="00D13228">
      <w:pPr>
        <w:rPr>
          <w:b/>
          <w:bCs/>
          <w:color w:val="000000" w:themeColor="text1"/>
          <w:szCs w:val="24"/>
        </w:rPr>
      </w:pPr>
    </w:p>
    <w:p w:rsidR="00D13228" w:rsidRPr="00B56672" w:rsidRDefault="00D13228" w:rsidP="00D13228">
      <w:pPr>
        <w:pStyle w:val="paragraph"/>
        <w:spacing w:before="0" w:beforeAutospacing="0" w:after="0" w:afterAutospacing="0"/>
        <w:ind w:firstLine="708"/>
        <w:jc w:val="both"/>
        <w:textAlignment w:val="baseline"/>
      </w:pPr>
      <w:bookmarkStart w:id="1" w:name="_Hlk6703121"/>
      <w:r w:rsidRPr="00B56672">
        <w:t>O presente artigo buscou analisar a percepção de profissionais contábeis de Santa Catarina em relação às suas finanças pessoais. Desta forma o arcabouço teórico mostrou a necessidade e importância de conhecer conceitos relacionados às finanças pessoais, aplicando-os no planejamento das decisões financeiras. Assim, é interessante que o tema seja incorporado na grade curricular das escolas brasileiras, contribuindo desde cedo, para a criação de hábitos financeiros responsáveis.</w:t>
      </w:r>
    </w:p>
    <w:p w:rsidR="00D13228" w:rsidRPr="00B56672" w:rsidRDefault="00D13228" w:rsidP="00D13228">
      <w:pPr>
        <w:pStyle w:val="paragraph"/>
        <w:spacing w:before="0" w:beforeAutospacing="0" w:after="0" w:afterAutospacing="0"/>
        <w:ind w:firstLine="708"/>
        <w:jc w:val="both"/>
        <w:textAlignment w:val="baseline"/>
      </w:pPr>
      <w:r w:rsidRPr="00B56672">
        <w:t xml:space="preserve">Deste modo, com base no estudo realizado, percebeu-se que os profissionais contábeis consideram importante obter informações voltadas à educação financeira, sendo relevante para a formação do cidadão brasileiro, devendo ser promovidas pelas escolas (compondo a grade curricular), além dos pais ou responsáveis. </w:t>
      </w:r>
    </w:p>
    <w:p w:rsidR="00D13228" w:rsidRPr="00B56672" w:rsidRDefault="00D13228" w:rsidP="00D13228">
      <w:pPr>
        <w:pStyle w:val="paragraph"/>
        <w:spacing w:before="0" w:beforeAutospacing="0" w:after="0" w:afterAutospacing="0"/>
        <w:ind w:firstLine="708"/>
        <w:jc w:val="both"/>
        <w:textAlignment w:val="baseline"/>
      </w:pPr>
      <w:r w:rsidRPr="00B56672">
        <w:t>Além disto, observou-se que os profissionais contábeis possuem um nível de conhecimento relativamente alto em relação às finanças pessoas, tendo já participado em algum momento de suas vidas de cursos e palestras que abordavam o tema. Com isto, é possível dizer que esta busca por conhecimento financeiro pode estar relacionada ao fato de acreditarem que o seu desempenho profissional sofre influência direta da sua situação financeira.</w:t>
      </w:r>
    </w:p>
    <w:bookmarkEnd w:id="1"/>
    <w:p w:rsidR="00D13228" w:rsidRPr="00B56672" w:rsidRDefault="00D13228" w:rsidP="00D13228">
      <w:pPr>
        <w:pStyle w:val="paragraph"/>
        <w:spacing w:before="0" w:beforeAutospacing="0" w:after="0" w:afterAutospacing="0"/>
        <w:ind w:firstLine="708"/>
        <w:jc w:val="both"/>
        <w:textAlignment w:val="baseline"/>
      </w:pPr>
      <w:r w:rsidRPr="00B56672">
        <w:t xml:space="preserve">Ressalta-se que os profissionais pesquisados apresentam hábitos financeiros saudáveis, tendo preocupação em gerir de maneira eficiente seu dinheiro, utilizam sistema de controle de gastos, não compram por impulso e se preocupam com o futuro, sendo assim, costumam poupar para garantir sua liberdade e segurança financeira. </w:t>
      </w:r>
    </w:p>
    <w:p w:rsidR="00D13228" w:rsidRPr="00B56672" w:rsidRDefault="00D13228" w:rsidP="00E233A4">
      <w:pPr>
        <w:pStyle w:val="paragraph"/>
        <w:spacing w:before="0" w:beforeAutospacing="0" w:after="0" w:afterAutospacing="0"/>
        <w:ind w:firstLine="708"/>
        <w:jc w:val="both"/>
        <w:textAlignment w:val="baseline"/>
      </w:pPr>
      <w:r w:rsidRPr="00B56672">
        <w:t>Concluiu-se assim, que os profissionais contábeis estão atentos ao ambiente em que estão inseridos e que são preparados para exercer o papel de auxiliar na gestão do patrimônio de pessoas físicas e jurídicas.</w:t>
      </w:r>
      <w:r w:rsidRPr="00B56672" w:rsidDel="00E84D50">
        <w:t xml:space="preserve"> </w:t>
      </w:r>
      <w:r w:rsidRPr="00B56672">
        <w:t xml:space="preserve">Acredita-se que o tema é de grande importância para a população de modo geral, para que haja um entendimento e se possa fazer um planejamento financeiro com a finalidade de saber gerir seus recursos de forma que seus investimentos apresentem retorno e seus gastos não ultrapassem seus rendimentos, proporcionando assim, qualidade de vida aos indivíduos. </w:t>
      </w:r>
    </w:p>
    <w:p w:rsidR="00D13228" w:rsidRPr="00B56672" w:rsidRDefault="00D13228" w:rsidP="00D13228">
      <w:pPr>
        <w:pStyle w:val="paragraph"/>
        <w:spacing w:before="0" w:beforeAutospacing="0" w:after="0" w:afterAutospacing="0"/>
        <w:ind w:firstLine="708"/>
        <w:jc w:val="both"/>
        <w:textAlignment w:val="baseline"/>
      </w:pPr>
      <w:r w:rsidRPr="00B56672">
        <w:t>Deste modo, o estudo contribuiu para o entendimento sobre a importância das finanças pessoais no dia-a-dia dos profissionais contábeis, fazendo com que possam discorrer sobre o tema para a tomada de decisões também em sua vida pessoal. Sendo assim, pode-se concluir que a pergunta de pesquisa foi respondida, os objetivos foram alcançados e a metodologia utilizada foi adequada. A maior limitação do estudo foi a sua amostra, que é representada por apenas 1,36% da população pesquisada, além de não encontrar no arcabouço teórico, pesquisas cujo objeto de estudo fossem os profissionais contábeis, dificultando a comparação dos resultados.</w:t>
      </w:r>
    </w:p>
    <w:p w:rsidR="00D13228" w:rsidRPr="00B56672" w:rsidRDefault="00D13228" w:rsidP="00D13228">
      <w:pPr>
        <w:pStyle w:val="paragraph"/>
        <w:spacing w:before="0" w:beforeAutospacing="0" w:after="0" w:afterAutospacing="0"/>
        <w:ind w:firstLine="708"/>
        <w:jc w:val="both"/>
        <w:textAlignment w:val="baseline"/>
      </w:pPr>
      <w:r w:rsidRPr="00B56672">
        <w:t>Com isto, sugere-se para futuros trabalhos, que esta pesquisa seja replicada cujo objeto sejam profissionais contábeis de outros estados, além de profissionais de outras áreas ligadas às finanças. Também recomenda-se investigar o conhecimento de alunos do ensino fundamental, médio e superior, com o intuito de descobrir suas perspectivas quanto ao tema finanças pessoais. Por fim, propõe-se um estudo qualitativo, com o intuito de verificar novas variáveis relacionadas ao tema em estudo.</w:t>
      </w:r>
    </w:p>
    <w:p w:rsidR="00D13228" w:rsidRPr="00B56672" w:rsidRDefault="00D13228" w:rsidP="00D13228"/>
    <w:p w:rsidR="00D13228" w:rsidRPr="00B56672" w:rsidRDefault="00390C14" w:rsidP="00390C14">
      <w:pPr>
        <w:widowControl/>
        <w:ind w:firstLine="0"/>
        <w:rPr>
          <w:b/>
          <w:caps/>
          <w:szCs w:val="24"/>
        </w:rPr>
      </w:pPr>
      <w:bookmarkStart w:id="2" w:name="_Hlk525197819"/>
      <w:r w:rsidRPr="00B56672">
        <w:rPr>
          <w:b/>
          <w:szCs w:val="24"/>
        </w:rPr>
        <w:lastRenderedPageBreak/>
        <w:t>Referências</w:t>
      </w:r>
    </w:p>
    <w:p w:rsidR="00D13228" w:rsidRPr="00B56672" w:rsidRDefault="00D13228" w:rsidP="00D13228">
      <w:pPr>
        <w:widowControl/>
        <w:rPr>
          <w:szCs w:val="24"/>
        </w:rPr>
      </w:pPr>
    </w:p>
    <w:bookmarkEnd w:id="2"/>
    <w:p w:rsidR="00D13228" w:rsidRPr="00390C14" w:rsidRDefault="00D13228" w:rsidP="00390C14">
      <w:pPr>
        <w:spacing w:after="120"/>
        <w:ind w:firstLine="0"/>
        <w:rPr>
          <w:sz w:val="20"/>
          <w:shd w:val="clear" w:color="auto" w:fill="FFFFFF"/>
        </w:rPr>
      </w:pPr>
      <w:r w:rsidRPr="00390C14">
        <w:rPr>
          <w:sz w:val="20"/>
          <w:shd w:val="clear" w:color="auto" w:fill="FFFFFF"/>
        </w:rPr>
        <w:t xml:space="preserve">ACCORSI, R. S. et al. </w:t>
      </w:r>
      <w:r w:rsidRPr="00390C14">
        <w:rPr>
          <w:bCs/>
          <w:sz w:val="20"/>
          <w:shd w:val="clear" w:color="auto" w:fill="FFFFFF"/>
        </w:rPr>
        <w:t>Influência do curso de Administração nas finanças pessoais de seus alunos</w:t>
      </w:r>
      <w:r w:rsidRPr="00390C14">
        <w:rPr>
          <w:sz w:val="20"/>
          <w:shd w:val="clear" w:color="auto" w:fill="FFFFFF"/>
        </w:rPr>
        <w:t>. </w:t>
      </w:r>
      <w:r w:rsidRPr="00390C14">
        <w:rPr>
          <w:b/>
          <w:sz w:val="20"/>
          <w:shd w:val="clear" w:color="auto" w:fill="FFFFFF"/>
        </w:rPr>
        <w:t>Acta Negócios</w:t>
      </w:r>
      <w:r w:rsidRPr="00390C14">
        <w:rPr>
          <w:sz w:val="20"/>
          <w:shd w:val="clear" w:color="auto" w:fill="FFFFFF"/>
        </w:rPr>
        <w:t>, v. 1, n. 2, p. 79-106, 2017.</w:t>
      </w:r>
    </w:p>
    <w:p w:rsidR="00D13228" w:rsidRPr="00390C14" w:rsidRDefault="00D13228" w:rsidP="00390C14">
      <w:pPr>
        <w:spacing w:after="120"/>
        <w:ind w:firstLine="0"/>
        <w:rPr>
          <w:rStyle w:val="normaltextrun"/>
          <w:sz w:val="20"/>
        </w:rPr>
      </w:pPr>
      <w:r w:rsidRPr="00390C14">
        <w:rPr>
          <w:sz w:val="20"/>
        </w:rPr>
        <w:t xml:space="preserve">BIASIBETTI, A. P.; FEIL, A. A. Análise do perfil do profissional contábil requerido pelas empresas do vale do Taquari-RS. </w:t>
      </w:r>
      <w:r w:rsidRPr="00390C14">
        <w:rPr>
          <w:b/>
          <w:sz w:val="20"/>
        </w:rPr>
        <w:t>Revista Destaques Acadêmicos</w:t>
      </w:r>
      <w:r w:rsidRPr="00390C14">
        <w:rPr>
          <w:sz w:val="20"/>
        </w:rPr>
        <w:t>, v. 9, n. 1, p. 89-110, 2017.</w:t>
      </w:r>
    </w:p>
    <w:p w:rsidR="00D13228" w:rsidRPr="00390C14" w:rsidRDefault="00D13228" w:rsidP="00390C14">
      <w:pPr>
        <w:spacing w:after="120"/>
        <w:ind w:firstLine="0"/>
        <w:rPr>
          <w:sz w:val="20"/>
        </w:rPr>
      </w:pPr>
      <w:r w:rsidRPr="00390C14">
        <w:rPr>
          <w:rStyle w:val="normaltextrun"/>
          <w:sz w:val="20"/>
          <w:shd w:val="clear" w:color="auto" w:fill="FFFFFF"/>
        </w:rPr>
        <w:t>BRÖNSTRUP, </w:t>
      </w:r>
      <w:r w:rsidRPr="00390C14">
        <w:rPr>
          <w:rStyle w:val="spellingerror"/>
          <w:sz w:val="20"/>
          <w:shd w:val="clear" w:color="auto" w:fill="FFFFFF"/>
        </w:rPr>
        <w:t>T.</w:t>
      </w:r>
      <w:r w:rsidRPr="00390C14">
        <w:rPr>
          <w:rStyle w:val="normaltextrun"/>
          <w:sz w:val="20"/>
          <w:shd w:val="clear" w:color="auto" w:fill="FFFFFF"/>
        </w:rPr>
        <w:t> M.; BECKER, </w:t>
      </w:r>
      <w:r w:rsidRPr="00390C14">
        <w:rPr>
          <w:rStyle w:val="spellingerror"/>
          <w:sz w:val="20"/>
          <w:shd w:val="clear" w:color="auto" w:fill="FFFFFF"/>
        </w:rPr>
        <w:t>K.</w:t>
      </w:r>
      <w:r w:rsidRPr="00390C14">
        <w:rPr>
          <w:rStyle w:val="normaltextrun"/>
          <w:sz w:val="20"/>
          <w:shd w:val="clear" w:color="auto" w:fill="FFFFFF"/>
        </w:rPr>
        <w:t> L. Educação financeira nas escolas: Estudo de caso de uma escola privada de ensino fundamental no município de Santa Maria-RS. </w:t>
      </w:r>
      <w:r w:rsidRPr="00390C14">
        <w:rPr>
          <w:rStyle w:val="normaltextrun"/>
          <w:bCs/>
          <w:sz w:val="20"/>
          <w:shd w:val="clear" w:color="auto" w:fill="FFFFFF"/>
        </w:rPr>
        <w:t>Caminhos da Educação</w:t>
      </w:r>
      <w:r w:rsidRPr="00390C14">
        <w:rPr>
          <w:rStyle w:val="normaltextrun"/>
          <w:sz w:val="20"/>
          <w:shd w:val="clear" w:color="auto" w:fill="FFFFFF"/>
        </w:rPr>
        <w:t>, v. 8, n. 2, p. 19-44, 2016.</w:t>
      </w:r>
      <w:r w:rsidRPr="00390C14">
        <w:rPr>
          <w:rStyle w:val="eop"/>
          <w:sz w:val="20"/>
          <w:shd w:val="clear" w:color="auto" w:fill="FFFFFF"/>
        </w:rPr>
        <w:t> </w:t>
      </w:r>
    </w:p>
    <w:p w:rsidR="00D13228" w:rsidRPr="00390C14" w:rsidRDefault="00D13228" w:rsidP="00390C14">
      <w:pPr>
        <w:spacing w:after="120"/>
        <w:ind w:firstLine="0"/>
        <w:rPr>
          <w:sz w:val="20"/>
          <w:shd w:val="clear" w:color="auto" w:fill="FFFFFF"/>
        </w:rPr>
      </w:pPr>
      <w:r w:rsidRPr="00392E02">
        <w:rPr>
          <w:sz w:val="20"/>
          <w:shd w:val="clear" w:color="auto" w:fill="FFFFFF"/>
        </w:rPr>
        <w:t xml:space="preserve">CONTO, S. M. et al. </w:t>
      </w:r>
      <w:r w:rsidRPr="00390C14">
        <w:rPr>
          <w:bCs/>
          <w:sz w:val="20"/>
          <w:shd w:val="clear" w:color="auto" w:fill="FFFFFF"/>
        </w:rPr>
        <w:t>O comportamento de alunos do ensino médio do vale do Taquari em relação às finanças pessoais</w:t>
      </w:r>
      <w:r w:rsidRPr="00390C14">
        <w:rPr>
          <w:sz w:val="20"/>
          <w:shd w:val="clear" w:color="auto" w:fill="FFFFFF"/>
        </w:rPr>
        <w:t>. </w:t>
      </w:r>
      <w:r w:rsidRPr="00390C14">
        <w:rPr>
          <w:b/>
          <w:sz w:val="20"/>
          <w:shd w:val="clear" w:color="auto" w:fill="FFFFFF"/>
        </w:rPr>
        <w:t>Revista Eletrônica de Estratégia &amp; Negócios</w:t>
      </w:r>
      <w:r w:rsidRPr="00390C14">
        <w:rPr>
          <w:sz w:val="20"/>
          <w:shd w:val="clear" w:color="auto" w:fill="FFFFFF"/>
        </w:rPr>
        <w:t>, v. 8, n. 2, p. 182-206, 2015.</w:t>
      </w:r>
    </w:p>
    <w:p w:rsidR="00D13228" w:rsidRPr="00390C14" w:rsidRDefault="00D13228" w:rsidP="00390C14">
      <w:pPr>
        <w:spacing w:after="120"/>
        <w:ind w:firstLine="0"/>
        <w:rPr>
          <w:rFonts w:eastAsia="Arial"/>
          <w:sz w:val="20"/>
        </w:rPr>
      </w:pPr>
      <w:r w:rsidRPr="00390C14">
        <w:rPr>
          <w:sz w:val="20"/>
          <w:shd w:val="clear" w:color="auto" w:fill="FFFFFF"/>
        </w:rPr>
        <w:t>CRUZ, B. H.; KROETZ, M.; FÁVERI, D. B. Gestão financeira pessoal: Uma aplicação prática.</w:t>
      </w:r>
      <w:r w:rsidRPr="00390C14">
        <w:rPr>
          <w:b/>
          <w:sz w:val="20"/>
          <w:shd w:val="clear" w:color="auto" w:fill="FFFFFF"/>
        </w:rPr>
        <w:t xml:space="preserve"> </w:t>
      </w:r>
      <w:r w:rsidRPr="00390C14">
        <w:rPr>
          <w:sz w:val="20"/>
        </w:rPr>
        <w:t xml:space="preserve">SIMPÓSIO DE EXCELÊNCIA EM GESTÃO E TECNOLOGIA, 9, 2012, Resende/RJ. </w:t>
      </w:r>
      <w:r w:rsidRPr="00390C14">
        <w:rPr>
          <w:b/>
          <w:bCs/>
          <w:sz w:val="20"/>
        </w:rPr>
        <w:t>Anais[...].</w:t>
      </w:r>
      <w:r w:rsidRPr="00390C14">
        <w:rPr>
          <w:sz w:val="20"/>
        </w:rPr>
        <w:t xml:space="preserve"> Resende: AEDB, 2012.</w:t>
      </w:r>
    </w:p>
    <w:p w:rsidR="00D13228" w:rsidRPr="00390C14" w:rsidRDefault="00D13228" w:rsidP="00390C14">
      <w:pPr>
        <w:spacing w:after="120"/>
        <w:ind w:firstLine="0"/>
        <w:rPr>
          <w:b/>
          <w:bCs/>
          <w:sz w:val="20"/>
        </w:rPr>
      </w:pPr>
      <w:r w:rsidRPr="00390C14">
        <w:rPr>
          <w:sz w:val="20"/>
        </w:rPr>
        <w:t xml:space="preserve">CUNHA, C. G. et al. Impacto das pesquisas de preço nas finanças pessoais. In: SEMINÁRIO CIENTÍFICO DA FACIG, 2, 2016, Manhuaçu/MG. </w:t>
      </w:r>
      <w:r w:rsidRPr="00390C14">
        <w:rPr>
          <w:b/>
          <w:bCs/>
          <w:sz w:val="20"/>
        </w:rPr>
        <w:t>Anais[...].</w:t>
      </w:r>
      <w:r w:rsidRPr="00390C14">
        <w:rPr>
          <w:sz w:val="20"/>
        </w:rPr>
        <w:t xml:space="preserve"> Manhuaçu: FACIG, 2016.</w:t>
      </w:r>
    </w:p>
    <w:p w:rsidR="00D13228" w:rsidRPr="00390C14" w:rsidRDefault="00D13228" w:rsidP="00390C14">
      <w:pPr>
        <w:spacing w:after="120"/>
        <w:ind w:firstLine="0"/>
        <w:rPr>
          <w:sz w:val="20"/>
          <w:shd w:val="clear" w:color="auto" w:fill="FFFFFF"/>
        </w:rPr>
      </w:pPr>
      <w:r w:rsidRPr="00390C14">
        <w:rPr>
          <w:sz w:val="20"/>
          <w:shd w:val="clear" w:color="auto" w:fill="FFFFFF"/>
        </w:rPr>
        <w:t>FRANCISCHETTI, C. E.; CAMARGO, L. S. G.; SANTOS, N. C. Qualidade de vida, sustentabilidade e educação financeira. </w:t>
      </w:r>
      <w:r w:rsidRPr="00390C14">
        <w:rPr>
          <w:b/>
          <w:bCs/>
          <w:sz w:val="20"/>
          <w:shd w:val="clear" w:color="auto" w:fill="FFFFFF"/>
        </w:rPr>
        <w:t>Revista de Finanças e Contabilidade da Unimep</w:t>
      </w:r>
      <w:r w:rsidRPr="00390C14">
        <w:rPr>
          <w:sz w:val="20"/>
          <w:shd w:val="clear" w:color="auto" w:fill="FFFFFF"/>
        </w:rPr>
        <w:t>, v. 1, n. 1, p. 33-47, 2014.</w:t>
      </w:r>
    </w:p>
    <w:p w:rsidR="00D13228" w:rsidRPr="00390C14" w:rsidRDefault="00D13228" w:rsidP="00390C14">
      <w:pPr>
        <w:spacing w:after="120"/>
        <w:ind w:firstLine="0"/>
        <w:rPr>
          <w:sz w:val="20"/>
        </w:rPr>
      </w:pPr>
      <w:r w:rsidRPr="00390C14">
        <w:rPr>
          <w:rStyle w:val="Hyperlink"/>
          <w:color w:val="auto"/>
          <w:sz w:val="20"/>
          <w:u w:val="none"/>
        </w:rPr>
        <w:t xml:space="preserve">LEAL, C. P.; NASCIMENTO, J. A. R. Planejamento financeiro pessoal. </w:t>
      </w:r>
      <w:r w:rsidRPr="00390C14">
        <w:rPr>
          <w:rStyle w:val="Hyperlink"/>
          <w:b/>
          <w:color w:val="auto"/>
          <w:sz w:val="20"/>
          <w:u w:val="none"/>
        </w:rPr>
        <w:t>Revista de Ciências Gerenciais</w:t>
      </w:r>
      <w:r w:rsidRPr="00390C14">
        <w:rPr>
          <w:rStyle w:val="Hyperlink"/>
          <w:color w:val="auto"/>
          <w:sz w:val="20"/>
          <w:u w:val="none"/>
        </w:rPr>
        <w:t>, v. 15, n. 22, p. 163-186, 2011.</w:t>
      </w:r>
    </w:p>
    <w:p w:rsidR="00D13228" w:rsidRPr="00390C14" w:rsidRDefault="00D13228" w:rsidP="00390C14">
      <w:pPr>
        <w:spacing w:after="120"/>
        <w:ind w:firstLine="0"/>
        <w:rPr>
          <w:sz w:val="20"/>
        </w:rPr>
      </w:pPr>
      <w:r w:rsidRPr="00390C14">
        <w:rPr>
          <w:sz w:val="20"/>
        </w:rPr>
        <w:t xml:space="preserve">LIMA, M. P. </w:t>
      </w:r>
      <w:r w:rsidRPr="00390C14">
        <w:rPr>
          <w:b/>
          <w:sz w:val="20"/>
        </w:rPr>
        <w:t>Literácia financeira e endividamento pessoal:</w:t>
      </w:r>
      <w:r w:rsidRPr="00390C14">
        <w:rPr>
          <w:sz w:val="20"/>
        </w:rPr>
        <w:t xml:space="preserve"> Um estudo com alunos de cursos da área de negócios. 2016. 139</w:t>
      </w:r>
      <w:r w:rsidRPr="00390C14" w:rsidDel="006F348D">
        <w:rPr>
          <w:sz w:val="20"/>
        </w:rPr>
        <w:t xml:space="preserve"> </w:t>
      </w:r>
      <w:r w:rsidRPr="00390C14">
        <w:rPr>
          <w:sz w:val="20"/>
        </w:rPr>
        <w:t>f. Dissertação (Mestrado em Controladoria Empresarial) – Programa de Pós-graduação em Ciências Contábeis, Universidade Presbiteriana Mackenzie, São Paulo, 2016.</w:t>
      </w:r>
    </w:p>
    <w:p w:rsidR="00D13228" w:rsidRPr="00390C14" w:rsidRDefault="00D13228" w:rsidP="00390C14">
      <w:pPr>
        <w:spacing w:after="120"/>
        <w:ind w:firstLine="0"/>
        <w:rPr>
          <w:sz w:val="20"/>
        </w:rPr>
      </w:pPr>
      <w:r w:rsidRPr="00390C14">
        <w:rPr>
          <w:sz w:val="20"/>
        </w:rPr>
        <w:t xml:space="preserve">LIZOTE, S. A.; SIMAS, J.; LANA, J. Finanças pessoais: Um estudo envolvendo os alunos de Ciências Contábeis de uma instituição de ensino superior de Santa Catarina. In: SIMPÓSIO DE EXCELÊNCIA EM GESTÃO E TECNOLOGIA, 9, 2012, Resende/RJ. </w:t>
      </w:r>
      <w:r w:rsidRPr="00390C14">
        <w:rPr>
          <w:b/>
          <w:bCs/>
          <w:sz w:val="20"/>
        </w:rPr>
        <w:t>Anais[...].</w:t>
      </w:r>
      <w:r w:rsidRPr="00390C14">
        <w:rPr>
          <w:sz w:val="20"/>
        </w:rPr>
        <w:t xml:space="preserve"> Resende: AEDB, 2012.</w:t>
      </w:r>
    </w:p>
    <w:p w:rsidR="00D13228" w:rsidRPr="00390C14" w:rsidRDefault="00D13228" w:rsidP="00390C14">
      <w:pPr>
        <w:pStyle w:val="NormalWeb"/>
        <w:spacing w:before="0" w:beforeAutospacing="0" w:after="120" w:afterAutospacing="0"/>
        <w:ind w:firstLine="0"/>
        <w:rPr>
          <w:sz w:val="20"/>
          <w:szCs w:val="20"/>
        </w:rPr>
      </w:pPr>
      <w:r w:rsidRPr="00390C14">
        <w:rPr>
          <w:sz w:val="20"/>
          <w:szCs w:val="20"/>
          <w:shd w:val="clear" w:color="auto" w:fill="FFFFFF"/>
        </w:rPr>
        <w:t xml:space="preserve">LUCENA, W. G. L.; MARINHO, R. A. L. Competências financeiras: Uma análise das decisões financeiras dos discentes no tocante às finanças pessoais. In: SEMINÁRIOS EM ADMINISTRAÇÃO - SEMEAD, 16, 2013, São Paulo/SP. </w:t>
      </w:r>
      <w:r w:rsidRPr="00390C14">
        <w:rPr>
          <w:b/>
          <w:bCs/>
          <w:sz w:val="20"/>
          <w:szCs w:val="20"/>
          <w:shd w:val="clear" w:color="auto" w:fill="FFFFFF"/>
        </w:rPr>
        <w:t>Anais [...].</w:t>
      </w:r>
      <w:r w:rsidRPr="00390C14">
        <w:rPr>
          <w:sz w:val="20"/>
          <w:szCs w:val="20"/>
          <w:shd w:val="clear" w:color="auto" w:fill="FFFFFF"/>
        </w:rPr>
        <w:t xml:space="preserve"> São Paulo: FEA USP, 2013.</w:t>
      </w:r>
    </w:p>
    <w:p w:rsidR="00D13228" w:rsidRPr="00390C14" w:rsidRDefault="00D13228" w:rsidP="00390C14">
      <w:pPr>
        <w:spacing w:after="120"/>
        <w:ind w:firstLine="0"/>
        <w:rPr>
          <w:sz w:val="20"/>
        </w:rPr>
      </w:pPr>
      <w:r w:rsidRPr="00390C14">
        <w:rPr>
          <w:sz w:val="20"/>
        </w:rPr>
        <w:t xml:space="preserve">MEDEIROS, F. S. B.; LOPES, T. A. M. Finanças pessoais: Um estudo com alunos do Curso de Ciências Contábeis de uma IES privada de Santa Maria–RS. </w:t>
      </w:r>
      <w:r w:rsidRPr="00390C14">
        <w:rPr>
          <w:b/>
          <w:sz w:val="20"/>
        </w:rPr>
        <w:t>Revista Eletrônica de Estratégia &amp; Negócios</w:t>
      </w:r>
      <w:r w:rsidRPr="00390C14">
        <w:rPr>
          <w:sz w:val="20"/>
        </w:rPr>
        <w:t>, v. 7, n. 2, p. 221-251, 2014.</w:t>
      </w:r>
    </w:p>
    <w:p w:rsidR="00D13228" w:rsidRPr="00390C14" w:rsidRDefault="00D13228" w:rsidP="00390C14">
      <w:pPr>
        <w:spacing w:after="120"/>
        <w:ind w:firstLine="0"/>
        <w:rPr>
          <w:sz w:val="20"/>
        </w:rPr>
      </w:pPr>
      <w:r w:rsidRPr="00390C14">
        <w:rPr>
          <w:sz w:val="20"/>
        </w:rPr>
        <w:t xml:space="preserve">MOREIRA, R.; CARVALHO, H. L. F. S. As finanças pessoais dos professores da rede municipal de ensino de Campo Formoso-Bahia: Um estudo na escola José de Anchieta. </w:t>
      </w:r>
      <w:r w:rsidRPr="00390C14">
        <w:rPr>
          <w:b/>
          <w:sz w:val="20"/>
        </w:rPr>
        <w:t>Revista de Gestão, Finanças e Contabilidade</w:t>
      </w:r>
      <w:r w:rsidRPr="00390C14">
        <w:rPr>
          <w:sz w:val="20"/>
        </w:rPr>
        <w:t>, v. 3, n. 1, p. 122-137, 2013.</w:t>
      </w:r>
    </w:p>
    <w:p w:rsidR="00D13228" w:rsidRPr="00390C14" w:rsidRDefault="00D13228" w:rsidP="00390C14">
      <w:pPr>
        <w:spacing w:after="120"/>
        <w:ind w:firstLine="0"/>
        <w:rPr>
          <w:sz w:val="20"/>
          <w:shd w:val="clear" w:color="auto" w:fill="FFFFFF"/>
        </w:rPr>
      </w:pPr>
      <w:r w:rsidRPr="00390C14">
        <w:rPr>
          <w:sz w:val="20"/>
          <w:shd w:val="clear" w:color="auto" w:fill="FFFFFF"/>
        </w:rPr>
        <w:t xml:space="preserve">OLIVEIRA, A. E. et al. A importância da educação financeira no contexto escolar e familiar: Uma amostra do projeto implantado na UNESPAR. In: ENCONTRO DE ENCONOMIA PARANAENSE, 11, 2014, Apucarana/PR. </w:t>
      </w:r>
      <w:r w:rsidRPr="00390C14">
        <w:rPr>
          <w:b/>
          <w:sz w:val="20"/>
          <w:shd w:val="clear" w:color="auto" w:fill="FFFFFF"/>
        </w:rPr>
        <w:t xml:space="preserve">Anais [...]. </w:t>
      </w:r>
      <w:r w:rsidRPr="00390C14">
        <w:rPr>
          <w:sz w:val="20"/>
          <w:shd w:val="clear" w:color="auto" w:fill="FFFFFF"/>
        </w:rPr>
        <w:t>Apucarana: UNESPAR, 2014.</w:t>
      </w:r>
    </w:p>
    <w:p w:rsidR="00D13228" w:rsidRPr="00390C14" w:rsidRDefault="00D13228" w:rsidP="00390C14">
      <w:pPr>
        <w:spacing w:after="120"/>
        <w:ind w:firstLine="0"/>
        <w:rPr>
          <w:sz w:val="20"/>
          <w:shd w:val="clear" w:color="auto" w:fill="FFFFFF"/>
        </w:rPr>
      </w:pPr>
      <w:r w:rsidRPr="00390C14">
        <w:rPr>
          <w:sz w:val="20"/>
          <w:shd w:val="clear" w:color="auto" w:fill="FFFFFF"/>
        </w:rPr>
        <w:t xml:space="preserve">OLIVEIRA, G. C. </w:t>
      </w:r>
      <w:r w:rsidRPr="00390C14">
        <w:rPr>
          <w:b/>
          <w:sz w:val="20"/>
          <w:shd w:val="clear" w:color="auto" w:fill="FFFFFF"/>
        </w:rPr>
        <w:t>Finanças pessoais e qualidade de vida no trabalho dos servidores:</w:t>
      </w:r>
      <w:r w:rsidRPr="00390C14">
        <w:rPr>
          <w:sz w:val="20"/>
          <w:shd w:val="clear" w:color="auto" w:fill="FFFFFF"/>
        </w:rPr>
        <w:t xml:space="preserve"> Um estudo aplicado a uma Instituição Federal de Ensino. 2015. 107 f. Dissertação (Mestrado em Gestão Pública) – Programa de Pós-Graduação em Gestão Pública do Centro de Ciências Jurídicas e Econômicas, Universidade Federal do Espírito Santo, Vitória, 2015.</w:t>
      </w:r>
    </w:p>
    <w:p w:rsidR="00D13228" w:rsidRPr="00390C14" w:rsidRDefault="00D13228" w:rsidP="00390C14">
      <w:pPr>
        <w:spacing w:after="120"/>
        <w:ind w:firstLine="0"/>
        <w:rPr>
          <w:sz w:val="20"/>
        </w:rPr>
      </w:pPr>
      <w:r w:rsidRPr="00390C14">
        <w:rPr>
          <w:sz w:val="20"/>
        </w:rPr>
        <w:t xml:space="preserve">PAGLIATO, W. </w:t>
      </w:r>
      <w:r w:rsidRPr="00390C14">
        <w:rPr>
          <w:b/>
          <w:sz w:val="20"/>
        </w:rPr>
        <w:t xml:space="preserve">Educação financeira: </w:t>
      </w:r>
      <w:r w:rsidRPr="00390C14">
        <w:rPr>
          <w:sz w:val="20"/>
        </w:rPr>
        <w:t>A percepção dos alunos do ensino médio sobre a relação entre gestão das finanças pessoais e vida financeira saudável. 2015. 90</w:t>
      </w:r>
      <w:r w:rsidRPr="00390C14" w:rsidDel="006F348D">
        <w:rPr>
          <w:sz w:val="20"/>
        </w:rPr>
        <w:t xml:space="preserve"> </w:t>
      </w:r>
      <w:r w:rsidRPr="00390C14">
        <w:rPr>
          <w:sz w:val="20"/>
        </w:rPr>
        <w:t>f. Dissertação (Mestrado em Educação) – Programa de Mestrado em Educação, Universidade Cidade de São Paulo, São Paulo, 2015.</w:t>
      </w:r>
    </w:p>
    <w:p w:rsidR="00D13228" w:rsidRPr="00390C14" w:rsidRDefault="00D13228" w:rsidP="00390C14">
      <w:pPr>
        <w:spacing w:after="120"/>
        <w:ind w:firstLine="0"/>
        <w:rPr>
          <w:sz w:val="20"/>
        </w:rPr>
      </w:pPr>
      <w:r w:rsidRPr="00390C14">
        <w:rPr>
          <w:sz w:val="20"/>
        </w:rPr>
        <w:lastRenderedPageBreak/>
        <w:t xml:space="preserve">PEREIRA, L.; PEREIRA, M. S.; TREML, E. E. Z. F. Finanças pessoais: Um estudo dos seus princípios básicos com alunos da universidade de Brasília. In: CONGRESSO INTERNACIONAL DE ADMINISTRAÇÃO, 5, 2015, Ponta Grossa/PR. </w:t>
      </w:r>
      <w:r w:rsidRPr="00390C14">
        <w:rPr>
          <w:b/>
          <w:sz w:val="20"/>
        </w:rPr>
        <w:t xml:space="preserve">Anais[...]. </w:t>
      </w:r>
      <w:r w:rsidRPr="00390C14">
        <w:rPr>
          <w:sz w:val="20"/>
        </w:rPr>
        <w:t>Ponta Grossa: UEPG, 2015.</w:t>
      </w:r>
    </w:p>
    <w:p w:rsidR="00D13228" w:rsidRPr="00390C14" w:rsidRDefault="00D13228" w:rsidP="00390C14">
      <w:pPr>
        <w:spacing w:after="120"/>
        <w:ind w:firstLine="0"/>
        <w:rPr>
          <w:sz w:val="20"/>
        </w:rPr>
      </w:pPr>
      <w:r w:rsidRPr="00390C14">
        <w:rPr>
          <w:sz w:val="20"/>
        </w:rPr>
        <w:t xml:space="preserve">QUEIROZ, E. H.; VALDEVINO, R. Q.; OLIVEIRA, A. A contabilidade na gestão das finanças pessoais: Um estudo comparativo entre discentes do curso de Ciências Contábeis. </w:t>
      </w:r>
      <w:r w:rsidRPr="00390C14">
        <w:rPr>
          <w:b/>
          <w:sz w:val="20"/>
        </w:rPr>
        <w:t>Revista Conhecimento Contábil</w:t>
      </w:r>
      <w:r w:rsidRPr="00390C14">
        <w:rPr>
          <w:sz w:val="20"/>
        </w:rPr>
        <w:t>, v. 1, n. 1, p. 1-19, 2015.</w:t>
      </w:r>
    </w:p>
    <w:p w:rsidR="00D13228" w:rsidRPr="00390C14" w:rsidRDefault="00D13228" w:rsidP="00390C14">
      <w:pPr>
        <w:spacing w:after="120"/>
        <w:ind w:firstLine="0"/>
        <w:rPr>
          <w:sz w:val="20"/>
        </w:rPr>
      </w:pPr>
      <w:r w:rsidRPr="00390C14">
        <w:rPr>
          <w:sz w:val="20"/>
        </w:rPr>
        <w:t xml:space="preserve">RABÊLO, O. S.; NEDER, R.; SANTOS, L. F. Planejamento financeiro pessoal: Uma análise dos trabalhadores do centro histórico de Cuiabá-MT. In. CONGRESSO NACIONAL DE EXCELÊNCIA EM GESTÃO, 9, 2013, Niterói/RJ. </w:t>
      </w:r>
      <w:r w:rsidRPr="00390C14">
        <w:rPr>
          <w:b/>
          <w:bCs/>
          <w:sz w:val="20"/>
        </w:rPr>
        <w:t xml:space="preserve">Anais[...]. </w:t>
      </w:r>
      <w:r w:rsidRPr="00390C14">
        <w:rPr>
          <w:sz w:val="20"/>
        </w:rPr>
        <w:t>Cuiabá: UFMT, 2013.</w:t>
      </w:r>
    </w:p>
    <w:p w:rsidR="00D13228" w:rsidRPr="00390C14" w:rsidRDefault="00D13228" w:rsidP="00390C14">
      <w:pPr>
        <w:spacing w:after="120"/>
        <w:ind w:firstLine="0"/>
        <w:rPr>
          <w:sz w:val="20"/>
        </w:rPr>
      </w:pPr>
      <w:r w:rsidRPr="00390C14">
        <w:rPr>
          <w:sz w:val="20"/>
        </w:rPr>
        <w:t xml:space="preserve">RODRIGUES, A. S. </w:t>
      </w:r>
      <w:r w:rsidRPr="00390C14">
        <w:rPr>
          <w:b/>
          <w:bCs/>
          <w:sz w:val="20"/>
        </w:rPr>
        <w:t>Finanças pessoais:</w:t>
      </w:r>
      <w:r w:rsidRPr="00390C14">
        <w:rPr>
          <w:sz w:val="20"/>
        </w:rPr>
        <w:t xml:space="preserve"> Fatores determinantes do comportamento financeiro dos servidores técnico-administrativos da Universidade Federal de Ouro Preto. 2017. 77 f. Dissertação (Mestrado em Administração) - Programa de Pós-Graduação em Administração, C. Universitário Unihorizontes, Belo Horizonte, 2017.</w:t>
      </w:r>
    </w:p>
    <w:p w:rsidR="00D13228" w:rsidRPr="00390C14" w:rsidRDefault="00D13228" w:rsidP="00390C14">
      <w:pPr>
        <w:spacing w:after="120"/>
        <w:ind w:firstLine="0"/>
        <w:rPr>
          <w:sz w:val="20"/>
        </w:rPr>
      </w:pPr>
      <w:r w:rsidRPr="00390C14">
        <w:rPr>
          <w:sz w:val="20"/>
          <w:shd w:val="clear" w:color="auto" w:fill="FFFFFF"/>
        </w:rPr>
        <w:t xml:space="preserve">SANTOS, E. M. R.; MOREIRA, F. G.; SILVA, L. C. Ferramentas administrativas para a estabilidade financeira familiar. In: </w:t>
      </w:r>
      <w:r w:rsidRPr="00390C14">
        <w:rPr>
          <w:bCs/>
          <w:sz w:val="20"/>
          <w:shd w:val="clear" w:color="auto" w:fill="FFFFFF"/>
        </w:rPr>
        <w:t>ENCONTRO INTERNACIONAL DE GESTÃO, DESENVOLVIMENTO E INOVAÇÃO</w:t>
      </w:r>
      <w:r w:rsidRPr="00390C14">
        <w:rPr>
          <w:sz w:val="20"/>
          <w:shd w:val="clear" w:color="auto" w:fill="FFFFFF"/>
        </w:rPr>
        <w:t xml:space="preserve">, 1, 2017, Naviraí/MS. </w:t>
      </w:r>
      <w:r w:rsidRPr="00390C14">
        <w:rPr>
          <w:b/>
          <w:sz w:val="20"/>
          <w:shd w:val="clear" w:color="auto" w:fill="FFFFFF"/>
        </w:rPr>
        <w:t xml:space="preserve">Anais [...]. </w:t>
      </w:r>
      <w:r w:rsidRPr="00390C14">
        <w:rPr>
          <w:sz w:val="20"/>
          <w:shd w:val="clear" w:color="auto" w:fill="FFFFFF"/>
        </w:rPr>
        <w:t>Naviraí, UFMS, 2017.</w:t>
      </w:r>
    </w:p>
    <w:p w:rsidR="00D13228" w:rsidRPr="00390C14" w:rsidRDefault="00D13228" w:rsidP="00390C14">
      <w:pPr>
        <w:spacing w:after="120"/>
        <w:ind w:firstLine="0"/>
        <w:rPr>
          <w:sz w:val="20"/>
        </w:rPr>
      </w:pPr>
      <w:r w:rsidRPr="00390C14">
        <w:rPr>
          <w:sz w:val="20"/>
        </w:rPr>
        <w:t xml:space="preserve">SANTOS, A. C.; SILVA, M. </w:t>
      </w:r>
      <w:r w:rsidRPr="00390C14">
        <w:rPr>
          <w:bCs/>
          <w:sz w:val="20"/>
        </w:rPr>
        <w:t>Importância do planejamento financeiro no processo de controle do endividamento familiar:</w:t>
      </w:r>
      <w:r w:rsidRPr="00390C14">
        <w:rPr>
          <w:sz w:val="20"/>
        </w:rPr>
        <w:t xml:space="preserve"> um estudo de caso nas regiões metropolitanas da Bahia e Sergipe. </w:t>
      </w:r>
      <w:r w:rsidRPr="00390C14">
        <w:rPr>
          <w:b/>
          <w:sz w:val="20"/>
        </w:rPr>
        <w:t>Revista Formadores</w:t>
      </w:r>
      <w:r w:rsidRPr="00390C14">
        <w:rPr>
          <w:sz w:val="20"/>
        </w:rPr>
        <w:t>, v. 7, n. 1, p. 5-17, 2014.</w:t>
      </w:r>
    </w:p>
    <w:p w:rsidR="00D13228" w:rsidRPr="00390C14" w:rsidRDefault="00D13228" w:rsidP="00390C14">
      <w:pPr>
        <w:spacing w:after="120"/>
        <w:ind w:firstLine="0"/>
        <w:rPr>
          <w:sz w:val="20"/>
        </w:rPr>
      </w:pPr>
      <w:r w:rsidRPr="00392E02">
        <w:rPr>
          <w:rFonts w:eastAsia="Arial"/>
          <w:sz w:val="20"/>
        </w:rPr>
        <w:t xml:space="preserve">SANTOS, D. F. et al. </w:t>
      </w:r>
      <w:r w:rsidRPr="00390C14">
        <w:rPr>
          <w:rFonts w:eastAsia="Arial"/>
          <w:sz w:val="20"/>
        </w:rPr>
        <w:t xml:space="preserve">Perfil do profissional contábil: Estudo comparativo entre as exigências do mercado de trabalho e a formação oferecida pelas instituições de ensino superior de Curitiba. </w:t>
      </w:r>
      <w:r w:rsidRPr="00390C14">
        <w:rPr>
          <w:rFonts w:eastAsia="Arial"/>
          <w:b/>
          <w:bCs/>
          <w:sz w:val="20"/>
        </w:rPr>
        <w:t>Revista Contemporânea de Contabilidade</w:t>
      </w:r>
      <w:r w:rsidRPr="00390C14">
        <w:rPr>
          <w:rFonts w:eastAsia="Arial"/>
          <w:sz w:val="20"/>
        </w:rPr>
        <w:t xml:space="preserve">, v. 8, n. 16, p. 137-152, 2011. </w:t>
      </w:r>
    </w:p>
    <w:p w:rsidR="00D13228" w:rsidRPr="00390C14" w:rsidRDefault="00D13228" w:rsidP="00390C14">
      <w:pPr>
        <w:spacing w:after="120"/>
        <w:ind w:firstLine="0"/>
        <w:rPr>
          <w:sz w:val="20"/>
        </w:rPr>
      </w:pPr>
      <w:r w:rsidRPr="00390C14">
        <w:rPr>
          <w:sz w:val="20"/>
        </w:rPr>
        <w:t xml:space="preserve">SILVA, A. P.  et al. Contribuição da contabilidade para as finanças pessoais. </w:t>
      </w:r>
      <w:r w:rsidRPr="00390C14">
        <w:rPr>
          <w:b/>
          <w:sz w:val="20"/>
        </w:rPr>
        <w:t>Revista Humanidades e Inovação,</w:t>
      </w:r>
      <w:r w:rsidRPr="00390C14">
        <w:rPr>
          <w:sz w:val="20"/>
        </w:rPr>
        <w:t xml:space="preserve"> v. 4, n. 5, 352-363, 2017.</w:t>
      </w:r>
    </w:p>
    <w:p w:rsidR="00D13228" w:rsidRPr="00390C14" w:rsidRDefault="00D13228" w:rsidP="00390C14">
      <w:pPr>
        <w:spacing w:after="120"/>
        <w:ind w:firstLine="0"/>
        <w:rPr>
          <w:sz w:val="20"/>
        </w:rPr>
      </w:pPr>
      <w:r w:rsidRPr="00390C14">
        <w:rPr>
          <w:sz w:val="20"/>
        </w:rPr>
        <w:t xml:space="preserve">SILVA, C. L.; SILVA, T. V.; GALVÃO, R. Finanças pessoais: Análise do comportamento dos discentes das Ciências Sociais Aplicadas e os demais de graduação da FAFICA a respeito da gestão financeira pessoal. </w:t>
      </w:r>
      <w:r w:rsidRPr="00390C14">
        <w:rPr>
          <w:b/>
          <w:sz w:val="20"/>
        </w:rPr>
        <w:t>Interfaces de Saberes</w:t>
      </w:r>
      <w:r w:rsidRPr="00390C14">
        <w:rPr>
          <w:sz w:val="20"/>
        </w:rPr>
        <w:t>, v. 14, n. 1, p. 1-19, 2015.</w:t>
      </w:r>
    </w:p>
    <w:p w:rsidR="00D13228" w:rsidRPr="00390C14" w:rsidRDefault="00D13228" w:rsidP="00390C14">
      <w:pPr>
        <w:spacing w:after="120"/>
        <w:ind w:firstLine="0"/>
        <w:rPr>
          <w:sz w:val="20"/>
        </w:rPr>
      </w:pPr>
      <w:r w:rsidRPr="00390C14">
        <w:rPr>
          <w:sz w:val="20"/>
        </w:rPr>
        <w:t xml:space="preserve">SILVA, W. J.; CARRARO, W. B. H.; SILVA, M. L. F. A Contabilidade como instrumento de controle e planejamento financeiro pessoal. In: CONGRESSO DE INICIAÇÃO CIENTIFICA EM CONTABILIDADE DA UFRGS, 2, 2017, Porto Alegre/RS. </w:t>
      </w:r>
      <w:r w:rsidRPr="00390C14">
        <w:rPr>
          <w:b/>
          <w:sz w:val="20"/>
        </w:rPr>
        <w:t xml:space="preserve">Anais[...]. </w:t>
      </w:r>
      <w:r w:rsidRPr="00390C14">
        <w:rPr>
          <w:sz w:val="20"/>
        </w:rPr>
        <w:t>Porto Alegre: UFRGS, 2017.</w:t>
      </w:r>
    </w:p>
    <w:p w:rsidR="00D13228" w:rsidRPr="00390C14" w:rsidRDefault="00D13228" w:rsidP="00390C14">
      <w:pPr>
        <w:spacing w:after="120"/>
        <w:ind w:firstLine="0"/>
        <w:rPr>
          <w:sz w:val="20"/>
        </w:rPr>
      </w:pPr>
      <w:r w:rsidRPr="00390C14">
        <w:rPr>
          <w:sz w:val="20"/>
          <w:shd w:val="clear" w:color="auto" w:fill="FFFFFF"/>
        </w:rPr>
        <w:t xml:space="preserve">TRENTIN, S. M. et al. As variáveis comunicacionais na compra por impulso: A percepção dos clientes de um varejo em Carlos Barbosa. MOSTRA DE INICIAÇÃO CIENTIFICA, PÓS-GRADUAÇÃO, PESQUISA E EXTENSÃO,15, 2018, Caxias do Sul/RS. </w:t>
      </w:r>
      <w:r w:rsidRPr="00390C14">
        <w:rPr>
          <w:b/>
          <w:sz w:val="20"/>
          <w:shd w:val="clear" w:color="auto" w:fill="FFFFFF"/>
        </w:rPr>
        <w:t>Anais...</w:t>
      </w:r>
      <w:r w:rsidRPr="00390C14">
        <w:rPr>
          <w:sz w:val="20"/>
          <w:shd w:val="clear" w:color="auto" w:fill="FFFFFF"/>
        </w:rPr>
        <w:t xml:space="preserve"> Caxias do Sul: UCS, 2018. </w:t>
      </w:r>
    </w:p>
    <w:p w:rsidR="00D13228" w:rsidRPr="00390C14" w:rsidRDefault="00D13228" w:rsidP="00390C14">
      <w:pPr>
        <w:spacing w:after="120"/>
        <w:ind w:firstLine="0"/>
        <w:rPr>
          <w:sz w:val="20"/>
        </w:rPr>
      </w:pPr>
      <w:r w:rsidRPr="00390C14">
        <w:rPr>
          <w:sz w:val="20"/>
        </w:rPr>
        <w:t xml:space="preserve">VASCONCELOS, F. S. </w:t>
      </w:r>
      <w:r w:rsidRPr="00390C14">
        <w:rPr>
          <w:b/>
          <w:sz w:val="20"/>
        </w:rPr>
        <w:t>Proposta de método de acompanhamento da gestão financeira pessoal.</w:t>
      </w:r>
      <w:r w:rsidRPr="00390C14">
        <w:rPr>
          <w:sz w:val="20"/>
        </w:rPr>
        <w:t xml:space="preserve"> 2017. 80</w:t>
      </w:r>
      <w:r w:rsidRPr="00390C14" w:rsidDel="006F348D">
        <w:rPr>
          <w:sz w:val="20"/>
        </w:rPr>
        <w:t xml:space="preserve"> </w:t>
      </w:r>
      <w:r w:rsidRPr="00390C14">
        <w:rPr>
          <w:sz w:val="20"/>
        </w:rPr>
        <w:t>f. Dissertação (Mestrado em Administração) - Programa de Pós-Graduação em Administração, Universidade Potiguar, Natal, 2017.</w:t>
      </w:r>
    </w:p>
    <w:p w:rsidR="00D13228" w:rsidRPr="00390C14" w:rsidRDefault="00D13228" w:rsidP="00390C14">
      <w:pPr>
        <w:spacing w:after="120"/>
        <w:ind w:firstLine="0"/>
        <w:rPr>
          <w:sz w:val="20"/>
        </w:rPr>
      </w:pPr>
      <w:r w:rsidRPr="00390C14">
        <w:rPr>
          <w:sz w:val="20"/>
        </w:rPr>
        <w:t>VERDINELLI, M. A.; LIZOTE, S. A. Relações entre finanças pessoais e as características dos estudantes universitários do curso de Ciências Contábeis. In: CONGRESSO UFSC DE CONTROLADORIA E INICIAÇÃO CIENTÍ</w:t>
      </w:r>
      <w:r w:rsidRPr="00390C14" w:rsidDel="006F348D">
        <w:rPr>
          <w:sz w:val="20"/>
        </w:rPr>
        <w:t>I</w:t>
      </w:r>
      <w:r w:rsidRPr="00390C14">
        <w:rPr>
          <w:sz w:val="20"/>
        </w:rPr>
        <w:t xml:space="preserve">FICA EM CONTABILIDADE, 5, 2014, Florianópolis/SC. </w:t>
      </w:r>
      <w:r w:rsidRPr="00390C14">
        <w:rPr>
          <w:b/>
          <w:bCs/>
          <w:sz w:val="20"/>
        </w:rPr>
        <w:t>Anais</w:t>
      </w:r>
      <w:r w:rsidR="00390C14">
        <w:rPr>
          <w:b/>
          <w:bCs/>
          <w:sz w:val="20"/>
        </w:rPr>
        <w:t>[</w:t>
      </w:r>
      <w:r w:rsidRPr="00390C14">
        <w:rPr>
          <w:b/>
          <w:bCs/>
          <w:sz w:val="20"/>
        </w:rPr>
        <w:t>...</w:t>
      </w:r>
      <w:r w:rsidR="00390C14">
        <w:rPr>
          <w:b/>
          <w:bCs/>
          <w:sz w:val="20"/>
        </w:rPr>
        <w:t>].</w:t>
      </w:r>
      <w:r w:rsidRPr="00390C14">
        <w:rPr>
          <w:b/>
          <w:bCs/>
          <w:sz w:val="20"/>
        </w:rPr>
        <w:t xml:space="preserve"> </w:t>
      </w:r>
      <w:r w:rsidRPr="00390C14">
        <w:rPr>
          <w:sz w:val="20"/>
        </w:rPr>
        <w:t>Florianópolis: UFSC, 2014.</w:t>
      </w:r>
    </w:p>
    <w:p w:rsidR="00D13228" w:rsidRPr="00390C14" w:rsidRDefault="00D13228" w:rsidP="00390C14">
      <w:pPr>
        <w:spacing w:after="120"/>
        <w:ind w:firstLine="0"/>
        <w:rPr>
          <w:b/>
          <w:color w:val="000000"/>
          <w:sz w:val="20"/>
        </w:rPr>
      </w:pPr>
      <w:r w:rsidRPr="00390C14">
        <w:rPr>
          <w:sz w:val="20"/>
        </w:rPr>
        <w:t xml:space="preserve">VIEIRA, S. F. A.; BATAGLIA, R. T. M.; SEREIA, V. J. Educação financeira e decisões de consumo, investimento e poupança: Uma análise dos alunos de uma universidade pública do Norte do Paraná. </w:t>
      </w:r>
      <w:r w:rsidRPr="00390C14">
        <w:rPr>
          <w:b/>
          <w:bCs/>
          <w:sz w:val="20"/>
        </w:rPr>
        <w:t>Revista de Administração da Unimep</w:t>
      </w:r>
      <w:r w:rsidRPr="00390C14">
        <w:rPr>
          <w:sz w:val="20"/>
        </w:rPr>
        <w:t>, v. 9, n. 3, p. 61-86, 2011.</w:t>
      </w:r>
    </w:p>
    <w:sectPr w:rsidR="00D13228" w:rsidRPr="00390C14" w:rsidSect="00C271A6">
      <w:headerReference w:type="default" r:id="rId8"/>
      <w:footerReference w:type="default" r:id="rId9"/>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3E6" w:rsidRDefault="001B23E6" w:rsidP="005840EF">
      <w:r>
        <w:separator/>
      </w:r>
    </w:p>
  </w:endnote>
  <w:endnote w:type="continuationSeparator" w:id="0">
    <w:p w:rsidR="001B23E6" w:rsidRDefault="001B23E6"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228" w:rsidRPr="00F05FBB" w:rsidRDefault="00D13228"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4</w:t>
    </w:r>
    <w:r w:rsidRPr="00F05FBB">
      <w:rPr>
        <w:sz w:val="20"/>
      </w:rPr>
      <w:fldChar w:fldCharType="end"/>
    </w:r>
  </w:p>
  <w:p w:rsidR="00D13228" w:rsidRPr="00862FD2" w:rsidRDefault="00D13228" w:rsidP="004E0B39">
    <w:pPr>
      <w:pStyle w:val="Rodap"/>
      <w:ind w:firstLine="0"/>
      <w:jc w:val="center"/>
    </w:pPr>
    <w:r>
      <w:rPr>
        <w:noProof/>
      </w:rPr>
      <w:drawing>
        <wp:inline distT="0" distB="0" distL="0" distR="0">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3E6" w:rsidRDefault="001B23E6" w:rsidP="005840EF">
      <w:r>
        <w:separator/>
      </w:r>
    </w:p>
  </w:footnote>
  <w:footnote w:type="continuationSeparator" w:id="0">
    <w:p w:rsidR="001B23E6" w:rsidRDefault="001B23E6"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228" w:rsidRPr="004E0B39" w:rsidRDefault="00D13228" w:rsidP="004E0B39">
    <w:pPr>
      <w:pStyle w:val="Cabealho"/>
      <w:ind w:firstLine="0"/>
      <w:jc w:val="center"/>
    </w:pPr>
    <w:r>
      <w:rPr>
        <w:noProof/>
      </w:rPr>
      <w:drawing>
        <wp:inline distT="0" distB="0" distL="0" distR="0">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988"/>
    <w:multiLevelType w:val="hybridMultilevel"/>
    <w:tmpl w:val="72DAA2C0"/>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1" w15:restartNumberingAfterBreak="0">
    <w:nsid w:val="08FD119F"/>
    <w:multiLevelType w:val="hybridMultilevel"/>
    <w:tmpl w:val="C278EA1C"/>
    <w:lvl w:ilvl="0" w:tplc="8CD41458">
      <w:start w:val="1"/>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35D65"/>
    <w:multiLevelType w:val="hybridMultilevel"/>
    <w:tmpl w:val="ADFE9D7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9" w15:restartNumberingAfterBreak="0">
    <w:nsid w:val="32830071"/>
    <w:multiLevelType w:val="hybridMultilevel"/>
    <w:tmpl w:val="5F5E1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BED6D50"/>
    <w:multiLevelType w:val="hybridMultilevel"/>
    <w:tmpl w:val="56682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CB027D1"/>
    <w:multiLevelType w:val="hybridMultilevel"/>
    <w:tmpl w:val="07940B12"/>
    <w:lvl w:ilvl="0" w:tplc="0910FF0C">
      <w:start w:val="1"/>
      <w:numFmt w:val="decimal"/>
      <w:lvlText w:val="%1."/>
      <w:lvlJc w:val="left"/>
      <w:pPr>
        <w:ind w:left="384" w:hanging="265"/>
      </w:pPr>
      <w:rPr>
        <w:rFonts w:ascii="Times New Roman" w:eastAsia="Times New Roman" w:hAnsi="Times New Roman" w:cs="Times New Roman" w:hint="default"/>
        <w:b/>
        <w:bCs/>
        <w:w w:val="99"/>
        <w:sz w:val="26"/>
        <w:szCs w:val="26"/>
      </w:rPr>
    </w:lvl>
    <w:lvl w:ilvl="1" w:tplc="2246484E">
      <w:numFmt w:val="bullet"/>
      <w:lvlText w:val=""/>
      <w:lvlJc w:val="left"/>
      <w:pPr>
        <w:ind w:left="1008" w:hanging="178"/>
      </w:pPr>
      <w:rPr>
        <w:rFonts w:ascii="Symbol" w:eastAsia="Symbol" w:hAnsi="Symbol" w:cs="Symbol" w:hint="default"/>
        <w:w w:val="100"/>
        <w:sz w:val="24"/>
        <w:szCs w:val="24"/>
      </w:rPr>
    </w:lvl>
    <w:lvl w:ilvl="2" w:tplc="5E346C78">
      <w:numFmt w:val="bullet"/>
      <w:lvlText w:val="•"/>
      <w:lvlJc w:val="left"/>
      <w:pPr>
        <w:ind w:left="1923" w:hanging="178"/>
      </w:pPr>
    </w:lvl>
    <w:lvl w:ilvl="3" w:tplc="BB62283C">
      <w:numFmt w:val="bullet"/>
      <w:lvlText w:val="•"/>
      <w:lvlJc w:val="left"/>
      <w:pPr>
        <w:ind w:left="2846" w:hanging="178"/>
      </w:pPr>
    </w:lvl>
    <w:lvl w:ilvl="4" w:tplc="E6F4CBD4">
      <w:numFmt w:val="bullet"/>
      <w:lvlText w:val="•"/>
      <w:lvlJc w:val="left"/>
      <w:pPr>
        <w:ind w:left="3769" w:hanging="178"/>
      </w:pPr>
    </w:lvl>
    <w:lvl w:ilvl="5" w:tplc="FB3853AE">
      <w:numFmt w:val="bullet"/>
      <w:lvlText w:val="•"/>
      <w:lvlJc w:val="left"/>
      <w:pPr>
        <w:ind w:left="4692" w:hanging="178"/>
      </w:pPr>
    </w:lvl>
    <w:lvl w:ilvl="6" w:tplc="D2D27F82">
      <w:numFmt w:val="bullet"/>
      <w:lvlText w:val="•"/>
      <w:lvlJc w:val="left"/>
      <w:pPr>
        <w:ind w:left="5616" w:hanging="178"/>
      </w:pPr>
    </w:lvl>
    <w:lvl w:ilvl="7" w:tplc="FA8EB290">
      <w:numFmt w:val="bullet"/>
      <w:lvlText w:val="•"/>
      <w:lvlJc w:val="left"/>
      <w:pPr>
        <w:ind w:left="6539" w:hanging="178"/>
      </w:pPr>
    </w:lvl>
    <w:lvl w:ilvl="8" w:tplc="B51EDC74">
      <w:numFmt w:val="bullet"/>
      <w:lvlText w:val="•"/>
      <w:lvlJc w:val="left"/>
      <w:pPr>
        <w:ind w:left="7462" w:hanging="178"/>
      </w:pPr>
    </w:lvl>
  </w:abstractNum>
  <w:abstractNum w:abstractNumId="14"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467D9C"/>
    <w:multiLevelType w:val="hybridMultilevel"/>
    <w:tmpl w:val="BC9A134C"/>
    <w:lvl w:ilvl="0" w:tplc="06927E54">
      <w:start w:val="1"/>
      <w:numFmt w:val="lowerLetter"/>
      <w:lvlText w:val="%1)"/>
      <w:lvlJc w:val="left"/>
      <w:pPr>
        <w:ind w:left="1084" w:hanging="37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6C704D18"/>
    <w:multiLevelType w:val="hybridMultilevel"/>
    <w:tmpl w:val="847854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10"/>
  </w:num>
  <w:num w:numId="4">
    <w:abstractNumId w:val="18"/>
  </w:num>
  <w:num w:numId="5">
    <w:abstractNumId w:val="7"/>
  </w:num>
  <w:num w:numId="6">
    <w:abstractNumId w:val="3"/>
  </w:num>
  <w:num w:numId="7">
    <w:abstractNumId w:val="2"/>
  </w:num>
  <w:num w:numId="8">
    <w:abstractNumId w:val="4"/>
  </w:num>
  <w:num w:numId="9">
    <w:abstractNumId w:val="4"/>
  </w:num>
  <w:num w:numId="10">
    <w:abstractNumId w:val="14"/>
  </w:num>
  <w:num w:numId="11">
    <w:abstractNumId w:val="17"/>
  </w:num>
  <w:num w:numId="12">
    <w:abstractNumId w:val="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1"/>
  </w:num>
  <w:num w:numId="16">
    <w:abstractNumId w:val="0"/>
  </w:num>
  <w:num w:numId="17">
    <w:abstractNumId w:val="12"/>
  </w:num>
  <w:num w:numId="18">
    <w:abstractNumId w:val="9"/>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40F"/>
    <w:rsid w:val="000011A2"/>
    <w:rsid w:val="000103E0"/>
    <w:rsid w:val="00021054"/>
    <w:rsid w:val="0005035A"/>
    <w:rsid w:val="0006261D"/>
    <w:rsid w:val="000720BF"/>
    <w:rsid w:val="00086609"/>
    <w:rsid w:val="000B0CF1"/>
    <w:rsid w:val="000B3319"/>
    <w:rsid w:val="000D7722"/>
    <w:rsid w:val="000E1287"/>
    <w:rsid w:val="000E7454"/>
    <w:rsid w:val="000F0530"/>
    <w:rsid w:val="001114F1"/>
    <w:rsid w:val="00122DDD"/>
    <w:rsid w:val="001457BE"/>
    <w:rsid w:val="00160E08"/>
    <w:rsid w:val="001627D6"/>
    <w:rsid w:val="001714B2"/>
    <w:rsid w:val="001A62DB"/>
    <w:rsid w:val="001B23E6"/>
    <w:rsid w:val="001C209E"/>
    <w:rsid w:val="001D7A22"/>
    <w:rsid w:val="001E2E6C"/>
    <w:rsid w:val="0020354A"/>
    <w:rsid w:val="002056D7"/>
    <w:rsid w:val="002136AE"/>
    <w:rsid w:val="002159BF"/>
    <w:rsid w:val="00244401"/>
    <w:rsid w:val="00244C0A"/>
    <w:rsid w:val="002505D4"/>
    <w:rsid w:val="002536F6"/>
    <w:rsid w:val="002566DC"/>
    <w:rsid w:val="00263CEF"/>
    <w:rsid w:val="0027190F"/>
    <w:rsid w:val="002826C0"/>
    <w:rsid w:val="002B78FC"/>
    <w:rsid w:val="002C7235"/>
    <w:rsid w:val="002D0D13"/>
    <w:rsid w:val="002D3C94"/>
    <w:rsid w:val="002F4105"/>
    <w:rsid w:val="00303C6F"/>
    <w:rsid w:val="00344795"/>
    <w:rsid w:val="00352E93"/>
    <w:rsid w:val="00371DFF"/>
    <w:rsid w:val="0038710F"/>
    <w:rsid w:val="00390C14"/>
    <w:rsid w:val="003923C3"/>
    <w:rsid w:val="00392E02"/>
    <w:rsid w:val="00393A0F"/>
    <w:rsid w:val="00395244"/>
    <w:rsid w:val="00397046"/>
    <w:rsid w:val="003A022B"/>
    <w:rsid w:val="003A3639"/>
    <w:rsid w:val="003B207D"/>
    <w:rsid w:val="003B6B27"/>
    <w:rsid w:val="00406C08"/>
    <w:rsid w:val="00423365"/>
    <w:rsid w:val="004251EF"/>
    <w:rsid w:val="004438B1"/>
    <w:rsid w:val="004609B7"/>
    <w:rsid w:val="00472EE1"/>
    <w:rsid w:val="0048579A"/>
    <w:rsid w:val="0049262F"/>
    <w:rsid w:val="004C0CA4"/>
    <w:rsid w:val="004D47C8"/>
    <w:rsid w:val="004D6B0E"/>
    <w:rsid w:val="004E0B39"/>
    <w:rsid w:val="004E41EE"/>
    <w:rsid w:val="004E54F5"/>
    <w:rsid w:val="00517CC6"/>
    <w:rsid w:val="00523BAB"/>
    <w:rsid w:val="00526240"/>
    <w:rsid w:val="00531A76"/>
    <w:rsid w:val="0055088A"/>
    <w:rsid w:val="00554096"/>
    <w:rsid w:val="00561D39"/>
    <w:rsid w:val="00581F16"/>
    <w:rsid w:val="005840EF"/>
    <w:rsid w:val="005D0785"/>
    <w:rsid w:val="005D711E"/>
    <w:rsid w:val="005F73CC"/>
    <w:rsid w:val="00606F36"/>
    <w:rsid w:val="00625B47"/>
    <w:rsid w:val="0063432D"/>
    <w:rsid w:val="006750E6"/>
    <w:rsid w:val="00683BE5"/>
    <w:rsid w:val="00687B5D"/>
    <w:rsid w:val="006A2727"/>
    <w:rsid w:val="006C284A"/>
    <w:rsid w:val="006D02CA"/>
    <w:rsid w:val="006D340F"/>
    <w:rsid w:val="007011AC"/>
    <w:rsid w:val="00710D8D"/>
    <w:rsid w:val="00714245"/>
    <w:rsid w:val="0072707C"/>
    <w:rsid w:val="007543E5"/>
    <w:rsid w:val="007610C6"/>
    <w:rsid w:val="00771103"/>
    <w:rsid w:val="0079254E"/>
    <w:rsid w:val="007A6B64"/>
    <w:rsid w:val="007C0C2C"/>
    <w:rsid w:val="007D3E8A"/>
    <w:rsid w:val="007F1447"/>
    <w:rsid w:val="008001C7"/>
    <w:rsid w:val="008411CB"/>
    <w:rsid w:val="0085158B"/>
    <w:rsid w:val="00862FD2"/>
    <w:rsid w:val="00865A23"/>
    <w:rsid w:val="00866591"/>
    <w:rsid w:val="0086665D"/>
    <w:rsid w:val="0086683B"/>
    <w:rsid w:val="008902BE"/>
    <w:rsid w:val="008A1488"/>
    <w:rsid w:val="008B21BE"/>
    <w:rsid w:val="008D1B57"/>
    <w:rsid w:val="008D4123"/>
    <w:rsid w:val="008E4F4B"/>
    <w:rsid w:val="008E7638"/>
    <w:rsid w:val="008E7B8E"/>
    <w:rsid w:val="008F1B7C"/>
    <w:rsid w:val="008F67F7"/>
    <w:rsid w:val="00911523"/>
    <w:rsid w:val="0092413C"/>
    <w:rsid w:val="00943459"/>
    <w:rsid w:val="00952306"/>
    <w:rsid w:val="009724D8"/>
    <w:rsid w:val="009837A0"/>
    <w:rsid w:val="009976D2"/>
    <w:rsid w:val="009B11E7"/>
    <w:rsid w:val="009B3488"/>
    <w:rsid w:val="009C10C2"/>
    <w:rsid w:val="009C79D7"/>
    <w:rsid w:val="009C7DFA"/>
    <w:rsid w:val="009D68AF"/>
    <w:rsid w:val="00A01395"/>
    <w:rsid w:val="00A16D53"/>
    <w:rsid w:val="00A40665"/>
    <w:rsid w:val="00A41567"/>
    <w:rsid w:val="00A43460"/>
    <w:rsid w:val="00A80641"/>
    <w:rsid w:val="00AB5527"/>
    <w:rsid w:val="00AC61AF"/>
    <w:rsid w:val="00AC7E25"/>
    <w:rsid w:val="00B12485"/>
    <w:rsid w:val="00B169EE"/>
    <w:rsid w:val="00B25FFE"/>
    <w:rsid w:val="00B615F8"/>
    <w:rsid w:val="00B7357D"/>
    <w:rsid w:val="00B801AB"/>
    <w:rsid w:val="00B8074C"/>
    <w:rsid w:val="00B84625"/>
    <w:rsid w:val="00B96719"/>
    <w:rsid w:val="00BC4277"/>
    <w:rsid w:val="00C01F1F"/>
    <w:rsid w:val="00C22A7A"/>
    <w:rsid w:val="00C271A6"/>
    <w:rsid w:val="00C671EC"/>
    <w:rsid w:val="00C84F71"/>
    <w:rsid w:val="00C92F3A"/>
    <w:rsid w:val="00CD5C3C"/>
    <w:rsid w:val="00CD5DAF"/>
    <w:rsid w:val="00CF0220"/>
    <w:rsid w:val="00CF0D35"/>
    <w:rsid w:val="00CF5474"/>
    <w:rsid w:val="00CF55B1"/>
    <w:rsid w:val="00D13228"/>
    <w:rsid w:val="00D2342D"/>
    <w:rsid w:val="00D42C09"/>
    <w:rsid w:val="00D60FF7"/>
    <w:rsid w:val="00D62985"/>
    <w:rsid w:val="00D707A4"/>
    <w:rsid w:val="00D86B5F"/>
    <w:rsid w:val="00D92C12"/>
    <w:rsid w:val="00D94E67"/>
    <w:rsid w:val="00DA5E5B"/>
    <w:rsid w:val="00DB61BD"/>
    <w:rsid w:val="00DE1E14"/>
    <w:rsid w:val="00DE631D"/>
    <w:rsid w:val="00DE75F7"/>
    <w:rsid w:val="00E1786F"/>
    <w:rsid w:val="00E233A4"/>
    <w:rsid w:val="00E24E18"/>
    <w:rsid w:val="00E42D5A"/>
    <w:rsid w:val="00E94A5E"/>
    <w:rsid w:val="00EB4412"/>
    <w:rsid w:val="00EC6EDB"/>
    <w:rsid w:val="00ED6578"/>
    <w:rsid w:val="00EE0339"/>
    <w:rsid w:val="00EF213A"/>
    <w:rsid w:val="00EF4ED8"/>
    <w:rsid w:val="00F05FBB"/>
    <w:rsid w:val="00F35516"/>
    <w:rsid w:val="00F5650A"/>
    <w:rsid w:val="00F70D09"/>
    <w:rsid w:val="00FC1C75"/>
    <w:rsid w:val="00FE7D3C"/>
    <w:rsid w:val="00FF3E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95E5F83"/>
  <w15:docId w15:val="{87180ECF-8C17-48BF-8EAC-5E1EC4B1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rPr>
  </w:style>
  <w:style w:type="paragraph" w:styleId="Ttulo2">
    <w:name w:val="heading 2"/>
    <w:basedOn w:val="Normal"/>
    <w:next w:val="Normal"/>
    <w:link w:val="Ttulo2Char"/>
    <w:uiPriority w:val="9"/>
    <w:qFormat/>
    <w:rsid w:val="002056D7"/>
    <w:pPr>
      <w:keepNext/>
      <w:numPr>
        <w:ilvl w:val="1"/>
        <w:numId w:val="8"/>
      </w:numPr>
      <w:outlineLvl w:val="1"/>
    </w:pPr>
    <w:rPr>
      <w:caps/>
    </w:rPr>
  </w:style>
  <w:style w:type="paragraph" w:styleId="Ttulo3">
    <w:name w:val="heading 3"/>
    <w:basedOn w:val="Normal"/>
    <w:next w:val="Normal"/>
    <w:link w:val="Ttulo3Char"/>
    <w:uiPriority w:val="9"/>
    <w:qFormat/>
    <w:rsid w:val="001627D6"/>
    <w:pPr>
      <w:keepNext/>
      <w:numPr>
        <w:ilvl w:val="2"/>
        <w:numId w:val="8"/>
      </w:numPr>
      <w:tabs>
        <w:tab w:val="left" w:pos="0"/>
      </w:tabs>
      <w:outlineLvl w:val="2"/>
    </w:pPr>
    <w:rPr>
      <w:b/>
      <w:sz w:val="22"/>
      <w:u w:val="single"/>
    </w:rPr>
  </w:style>
  <w:style w:type="paragraph" w:styleId="Ttulo4">
    <w:name w:val="heading 4"/>
    <w:basedOn w:val="Normal"/>
    <w:next w:val="Normal"/>
    <w:link w:val="Ttulo4Char"/>
    <w:uiPriority w:val="9"/>
    <w:qFormat/>
    <w:rsid w:val="001627D6"/>
    <w:pPr>
      <w:keepNext/>
      <w:numPr>
        <w:ilvl w:val="3"/>
        <w:numId w:val="8"/>
      </w:numPr>
      <w:outlineLvl w:val="3"/>
    </w:pPr>
    <w:rPr>
      <w:rFonts w:ascii="Arial" w:hAnsi="Arial"/>
      <w:szCs w:val="24"/>
    </w:rPr>
  </w:style>
  <w:style w:type="paragraph" w:styleId="Ttulo5">
    <w:name w:val="heading 5"/>
    <w:basedOn w:val="Normal"/>
    <w:next w:val="Normal"/>
    <w:link w:val="Ttulo5Char"/>
    <w:uiPriority w:val="9"/>
    <w:qFormat/>
    <w:rsid w:val="001627D6"/>
    <w:pPr>
      <w:keepNext/>
      <w:numPr>
        <w:ilvl w:val="4"/>
        <w:numId w:val="8"/>
      </w:numPr>
      <w:tabs>
        <w:tab w:val="left" w:pos="0"/>
      </w:tabs>
      <w:jc w:val="center"/>
      <w:outlineLvl w:val="4"/>
    </w:pPr>
    <w:rPr>
      <w:b/>
      <w:sz w:val="22"/>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paragraph" w:styleId="Corpodetexto2">
    <w:name w:val="Body Text 2"/>
    <w:basedOn w:val="Normal"/>
    <w:semiHidden/>
    <w:rsid w:val="001627D6"/>
    <w:pPr>
      <w:tabs>
        <w:tab w:val="left" w:pos="0"/>
      </w:tabs>
    </w:pPr>
    <w:rPr>
      <w:sz w:val="22"/>
    </w:rPr>
  </w:style>
  <w:style w:type="paragraph" w:styleId="Rodap">
    <w:name w:val="footer"/>
    <w:basedOn w:val="Normal"/>
    <w:link w:val="RodapChar"/>
    <w:uiPriority w:val="99"/>
    <w:rsid w:val="001627D6"/>
    <w:pPr>
      <w:tabs>
        <w:tab w:val="center" w:pos="4419"/>
        <w:tab w:val="right" w:pos="8838"/>
      </w:tabs>
    </w:pPr>
    <w:rPr>
      <w:szCs w:val="24"/>
    </w:rPr>
  </w:style>
  <w:style w:type="character" w:customStyle="1" w:styleId="RodapChar">
    <w:name w:val="Rodapé Char"/>
    <w:link w:val="Rodap"/>
    <w:uiPriority w:val="99"/>
    <w:rsid w:val="005D711E"/>
    <w:rPr>
      <w:sz w:val="24"/>
      <w:szCs w:val="24"/>
    </w:rPr>
  </w:style>
  <w:style w:type="character" w:styleId="Hyperlink">
    <w:name w:val="Hyperlink"/>
    <w:uiPriority w:val="99"/>
    <w:rsid w:val="001627D6"/>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xxmsonormal">
    <w:name w:val="x_x_msonormal"/>
    <w:basedOn w:val="Normal"/>
    <w:rsid w:val="008411CB"/>
    <w:pPr>
      <w:widowControl/>
      <w:suppressLineNumbers w:val="0"/>
      <w:suppressAutoHyphens w:val="0"/>
      <w:spacing w:before="100" w:beforeAutospacing="1" w:after="100" w:afterAutospacing="1"/>
      <w:ind w:firstLine="0"/>
      <w:jc w:val="left"/>
    </w:pPr>
    <w:rPr>
      <w:szCs w:val="24"/>
    </w:rPr>
  </w:style>
  <w:style w:type="paragraph" w:styleId="Corpodetexto3">
    <w:name w:val="Body Text 3"/>
    <w:basedOn w:val="Normal"/>
    <w:link w:val="Corpodetexto3Char"/>
    <w:semiHidden/>
    <w:rsid w:val="008411CB"/>
    <w:pPr>
      <w:widowControl/>
      <w:suppressLineNumbers w:val="0"/>
      <w:suppressAutoHyphens w:val="0"/>
      <w:ind w:firstLine="0"/>
      <w:jc w:val="left"/>
    </w:pPr>
    <w:rPr>
      <w:rFonts w:ascii="Comic Sans MS" w:hAnsi="Comic Sans MS"/>
      <w:b/>
      <w:color w:val="0000FF"/>
      <w:sz w:val="28"/>
      <w:szCs w:val="24"/>
      <w:lang w:val="x-none" w:eastAsia="x-none"/>
    </w:rPr>
  </w:style>
  <w:style w:type="character" w:customStyle="1" w:styleId="Corpodetexto3Char">
    <w:name w:val="Corpo de texto 3 Char"/>
    <w:basedOn w:val="Fontepargpadro"/>
    <w:link w:val="Corpodetexto3"/>
    <w:semiHidden/>
    <w:rsid w:val="008411CB"/>
    <w:rPr>
      <w:rFonts w:ascii="Comic Sans MS" w:hAnsi="Comic Sans MS"/>
      <w:b/>
      <w:color w:val="0000FF"/>
      <w:sz w:val="28"/>
      <w:szCs w:val="24"/>
      <w:lang w:val="x-none" w:eastAsia="x-none"/>
    </w:rPr>
  </w:style>
  <w:style w:type="paragraph" w:styleId="Subttulo">
    <w:name w:val="Subtitle"/>
    <w:basedOn w:val="Normal"/>
    <w:link w:val="SubttuloChar"/>
    <w:qFormat/>
    <w:rsid w:val="008411CB"/>
    <w:pPr>
      <w:widowControl/>
      <w:suppressLineNumbers w:val="0"/>
      <w:suppressAutoHyphens w:val="0"/>
      <w:ind w:firstLine="0"/>
      <w:jc w:val="left"/>
    </w:pPr>
    <w:rPr>
      <w:b/>
      <w:szCs w:val="24"/>
    </w:rPr>
  </w:style>
  <w:style w:type="character" w:customStyle="1" w:styleId="SubttuloChar">
    <w:name w:val="Subtítulo Char"/>
    <w:basedOn w:val="Fontepargpadro"/>
    <w:link w:val="Subttulo"/>
    <w:rsid w:val="008411CB"/>
    <w:rPr>
      <w:b/>
      <w:sz w:val="24"/>
      <w:szCs w:val="24"/>
    </w:rPr>
  </w:style>
  <w:style w:type="paragraph" w:customStyle="1" w:styleId="Default">
    <w:name w:val="Default"/>
    <w:rsid w:val="008411CB"/>
    <w:pPr>
      <w:autoSpaceDE w:val="0"/>
      <w:autoSpaceDN w:val="0"/>
      <w:adjustRightInd w:val="0"/>
    </w:pPr>
    <w:rPr>
      <w:rFonts w:eastAsiaTheme="minorHAnsi"/>
      <w:color w:val="000000"/>
      <w:sz w:val="24"/>
      <w:szCs w:val="24"/>
      <w:lang w:eastAsia="en-US"/>
    </w:rPr>
  </w:style>
  <w:style w:type="paragraph" w:styleId="PargrafodaLista">
    <w:name w:val="List Paragraph"/>
    <w:basedOn w:val="Normal"/>
    <w:uiPriority w:val="1"/>
    <w:qFormat/>
    <w:rsid w:val="00FE7D3C"/>
    <w:pPr>
      <w:widowControl/>
      <w:suppressLineNumbers w:val="0"/>
      <w:suppressAutoHyphens w:val="0"/>
      <w:spacing w:after="160" w:line="256" w:lineRule="auto"/>
      <w:ind w:left="720" w:firstLine="0"/>
      <w:contextualSpacing/>
      <w:jc w:val="left"/>
    </w:pPr>
    <w:rPr>
      <w:rFonts w:asciiTheme="minorHAnsi" w:eastAsiaTheme="minorHAnsi" w:hAnsiTheme="minorHAnsi" w:cstheme="minorBidi"/>
      <w:sz w:val="22"/>
      <w:szCs w:val="22"/>
      <w:lang w:eastAsia="en-US"/>
    </w:rPr>
  </w:style>
  <w:style w:type="paragraph" w:styleId="Corpodetexto">
    <w:name w:val="Body Text"/>
    <w:basedOn w:val="Normal"/>
    <w:link w:val="CorpodetextoChar"/>
    <w:uiPriority w:val="1"/>
    <w:unhideWhenUsed/>
    <w:qFormat/>
    <w:rsid w:val="00D13228"/>
    <w:pPr>
      <w:spacing w:after="120"/>
    </w:pPr>
  </w:style>
  <w:style w:type="character" w:customStyle="1" w:styleId="CorpodetextoChar">
    <w:name w:val="Corpo de texto Char"/>
    <w:basedOn w:val="Fontepargpadro"/>
    <w:link w:val="Corpodetexto"/>
    <w:uiPriority w:val="1"/>
    <w:rsid w:val="00D13228"/>
    <w:rPr>
      <w:sz w:val="24"/>
    </w:rPr>
  </w:style>
  <w:style w:type="table" w:customStyle="1" w:styleId="TabeladeGrade21">
    <w:name w:val="Tabela de Grade 21"/>
    <w:basedOn w:val="Tabelanormal"/>
    <w:uiPriority w:val="47"/>
    <w:rsid w:val="00D1322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D13228"/>
    <w:pPr>
      <w:widowControl/>
      <w:suppressLineNumbers w:val="0"/>
      <w:suppressAutoHyphens w:val="0"/>
      <w:spacing w:before="100" w:beforeAutospacing="1" w:after="100" w:afterAutospacing="1"/>
      <w:ind w:firstLine="0"/>
      <w:jc w:val="left"/>
    </w:pPr>
    <w:rPr>
      <w:szCs w:val="24"/>
    </w:rPr>
  </w:style>
  <w:style w:type="character" w:customStyle="1" w:styleId="normaltextrun">
    <w:name w:val="normaltextrun"/>
    <w:basedOn w:val="Fontepargpadro"/>
    <w:rsid w:val="00D13228"/>
  </w:style>
  <w:style w:type="character" w:customStyle="1" w:styleId="eop">
    <w:name w:val="eop"/>
    <w:basedOn w:val="Fontepargpadro"/>
    <w:rsid w:val="00D13228"/>
  </w:style>
  <w:style w:type="character" w:customStyle="1" w:styleId="spellingerror">
    <w:name w:val="spellingerror"/>
    <w:basedOn w:val="Fontepargpadro"/>
    <w:rsid w:val="00D13228"/>
  </w:style>
  <w:style w:type="character" w:customStyle="1" w:styleId="contextualspellingandgrammarerror">
    <w:name w:val="contextualspellingandgrammarerror"/>
    <w:basedOn w:val="Fontepargpadro"/>
    <w:rsid w:val="00D13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0587">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63713-8354-4A6D-8FAC-7ECCD6A2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7336</Words>
  <Characters>39616</Characters>
  <DocSecurity>0</DocSecurity>
  <Lines>330</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À</vt:lpstr>
    </vt:vector>
  </TitlesOfParts>
  <Company/>
  <LinksUpToDate>false</LinksUpToDate>
  <CharactersWithSpaces>46859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2019-06-13T17:31:00Z</dcterms:created>
  <dcterms:modified xsi:type="dcterms:W3CDTF">2019-06-27T18:10:00Z</dcterms:modified>
</cp:coreProperties>
</file>