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A512" w14:textId="77777777" w:rsidR="00A80641" w:rsidRDefault="00A80641" w:rsidP="002826C0">
      <w:pPr>
        <w:jc w:val="center"/>
        <w:rPr>
          <w:b/>
        </w:rPr>
      </w:pPr>
    </w:p>
    <w:p w14:paraId="308C2A03" w14:textId="6C4E07EA" w:rsidR="00C271A6" w:rsidRPr="005264B1" w:rsidRDefault="0016084B" w:rsidP="00C271A6">
      <w:pPr>
        <w:jc w:val="center"/>
        <w:rPr>
          <w:color w:val="999999"/>
        </w:rPr>
      </w:pPr>
      <w:r w:rsidRPr="005264B1">
        <w:rPr>
          <w:b/>
        </w:rPr>
        <w:t>FINANÇAS PÚBLICAS MUNICIPAIS: O COMPORTAMENTO DOS GASTOS COM PESSOAL EM UM CONTEXTO DE CRISE ECONÔMICA</w:t>
      </w:r>
    </w:p>
    <w:p w14:paraId="0C349274" w14:textId="77777777" w:rsidR="00C271A6" w:rsidRDefault="00C271A6" w:rsidP="00C271A6">
      <w:pPr>
        <w:jc w:val="center"/>
        <w:rPr>
          <w:b/>
          <w:szCs w:val="24"/>
        </w:rPr>
      </w:pPr>
    </w:p>
    <w:p w14:paraId="57E32C0E" w14:textId="09126E99" w:rsidR="008A1488" w:rsidRDefault="0016084B" w:rsidP="008A1488">
      <w:pPr>
        <w:jc w:val="right"/>
        <w:rPr>
          <w:b/>
          <w:szCs w:val="24"/>
        </w:rPr>
      </w:pPr>
      <w:r>
        <w:rPr>
          <w:b/>
          <w:szCs w:val="24"/>
        </w:rPr>
        <w:t>Adilson Giovanini</w:t>
      </w:r>
    </w:p>
    <w:p w14:paraId="411DEC9A" w14:textId="669C2CB1" w:rsidR="008A1488" w:rsidRDefault="0016084B" w:rsidP="008A1488">
      <w:pPr>
        <w:jc w:val="right"/>
        <w:rPr>
          <w:b/>
          <w:i/>
          <w:szCs w:val="24"/>
        </w:rPr>
      </w:pPr>
      <w:r>
        <w:rPr>
          <w:b/>
          <w:szCs w:val="24"/>
        </w:rPr>
        <w:t>Universidade do Estado de Santa Catarina</w:t>
      </w:r>
      <w:r w:rsidR="008A1488">
        <w:rPr>
          <w:b/>
          <w:szCs w:val="24"/>
        </w:rPr>
        <w:t xml:space="preserve"> (</w:t>
      </w:r>
      <w:r>
        <w:rPr>
          <w:b/>
          <w:szCs w:val="24"/>
        </w:rPr>
        <w:t>UDESC</w:t>
      </w:r>
      <w:r w:rsidR="008A1488">
        <w:rPr>
          <w:b/>
          <w:szCs w:val="24"/>
        </w:rPr>
        <w:t>)</w:t>
      </w:r>
    </w:p>
    <w:p w14:paraId="340AAFC8" w14:textId="43906CD9" w:rsidR="008A1488" w:rsidRDefault="008A1488" w:rsidP="008A1488">
      <w:pPr>
        <w:jc w:val="right"/>
        <w:rPr>
          <w:b/>
          <w:szCs w:val="24"/>
        </w:rPr>
      </w:pPr>
      <w:r>
        <w:rPr>
          <w:b/>
          <w:i/>
          <w:szCs w:val="24"/>
        </w:rPr>
        <w:t>E-mail:</w:t>
      </w:r>
      <w:r w:rsidR="0016084B">
        <w:rPr>
          <w:b/>
          <w:i/>
          <w:szCs w:val="24"/>
        </w:rPr>
        <w:t>adilson.giovanini@udesc.br</w:t>
      </w:r>
    </w:p>
    <w:p w14:paraId="19064B59" w14:textId="77777777" w:rsidR="008A1488" w:rsidRDefault="008A1488" w:rsidP="008A1488">
      <w:pPr>
        <w:jc w:val="right"/>
        <w:rPr>
          <w:b/>
          <w:szCs w:val="24"/>
        </w:rPr>
      </w:pPr>
    </w:p>
    <w:p w14:paraId="218557F2" w14:textId="6524C799" w:rsidR="008A1488" w:rsidRDefault="0016084B" w:rsidP="008A1488">
      <w:pPr>
        <w:jc w:val="right"/>
        <w:rPr>
          <w:b/>
          <w:szCs w:val="24"/>
        </w:rPr>
      </w:pPr>
      <w:r>
        <w:rPr>
          <w:b/>
          <w:szCs w:val="24"/>
        </w:rPr>
        <w:t>Helberte João França Almeida</w:t>
      </w:r>
    </w:p>
    <w:p w14:paraId="138BA4C0" w14:textId="5A5D1A29" w:rsidR="008A1488" w:rsidRDefault="0016084B" w:rsidP="008A1488">
      <w:pPr>
        <w:jc w:val="right"/>
        <w:rPr>
          <w:b/>
          <w:i/>
          <w:szCs w:val="24"/>
        </w:rPr>
      </w:pPr>
      <w:r>
        <w:rPr>
          <w:b/>
          <w:szCs w:val="24"/>
        </w:rPr>
        <w:t>Universidade Federal de Santa Catarina</w:t>
      </w:r>
      <w:r w:rsidR="008A1488">
        <w:rPr>
          <w:b/>
          <w:szCs w:val="24"/>
        </w:rPr>
        <w:t xml:space="preserve"> (</w:t>
      </w:r>
      <w:r>
        <w:rPr>
          <w:b/>
          <w:szCs w:val="24"/>
        </w:rPr>
        <w:t>UFSC</w:t>
      </w:r>
      <w:r w:rsidR="008A1488">
        <w:rPr>
          <w:b/>
          <w:szCs w:val="24"/>
        </w:rPr>
        <w:t>)</w:t>
      </w:r>
    </w:p>
    <w:p w14:paraId="6F3C1850" w14:textId="2ED899AA" w:rsidR="008A1488" w:rsidRPr="0016084B" w:rsidRDefault="008A1488" w:rsidP="008A1488">
      <w:pPr>
        <w:jc w:val="right"/>
        <w:rPr>
          <w:b/>
          <w:i/>
          <w:szCs w:val="24"/>
        </w:rPr>
      </w:pPr>
      <w:r>
        <w:rPr>
          <w:b/>
          <w:i/>
          <w:szCs w:val="24"/>
        </w:rPr>
        <w:t>E-mail:</w:t>
      </w:r>
      <w:r w:rsidR="0016084B" w:rsidRPr="0016084B">
        <w:rPr>
          <w:b/>
          <w:i/>
          <w:szCs w:val="24"/>
        </w:rPr>
        <w:t xml:space="preserve"> helberte.almeida@ufsc.br</w:t>
      </w:r>
    </w:p>
    <w:p w14:paraId="42B9F962" w14:textId="77777777" w:rsidR="00160E08" w:rsidRPr="00B0085E" w:rsidRDefault="00160E08" w:rsidP="00C271A6">
      <w:pPr>
        <w:jc w:val="center"/>
        <w:rPr>
          <w:b/>
          <w:szCs w:val="24"/>
        </w:rPr>
      </w:pPr>
      <w:bookmarkStart w:id="0" w:name="_GoBack"/>
      <w:bookmarkEnd w:id="0"/>
    </w:p>
    <w:p w14:paraId="73A0EB8E" w14:textId="77777777" w:rsidR="00160E08" w:rsidRPr="00B0085E" w:rsidRDefault="00160E08" w:rsidP="00C271A6">
      <w:pPr>
        <w:jc w:val="center"/>
        <w:rPr>
          <w:b/>
          <w:color w:val="999999"/>
        </w:rPr>
      </w:pPr>
    </w:p>
    <w:p w14:paraId="7F79A74F" w14:textId="71A8C63F" w:rsidR="00C271A6" w:rsidRPr="00007A00" w:rsidRDefault="00C271A6" w:rsidP="005264B1">
      <w:pPr>
        <w:ind w:firstLine="0"/>
        <w:rPr>
          <w:b/>
          <w:szCs w:val="24"/>
        </w:rPr>
      </w:pPr>
      <w:r w:rsidRPr="00007A00">
        <w:rPr>
          <w:b/>
          <w:szCs w:val="24"/>
        </w:rPr>
        <w:t>Resumo</w:t>
      </w:r>
    </w:p>
    <w:p w14:paraId="5A05E139" w14:textId="5A652753" w:rsidR="0016084B" w:rsidRPr="00007A00" w:rsidRDefault="0016084B" w:rsidP="0016084B">
      <w:r w:rsidRPr="00007A00">
        <w:t xml:space="preserve">A Lei de Responsabilidade Fiscal (LRF) estabelece diferentes mecanismos que garantem a saúde das finanças públicas locais. Todavia, diversos estudos têm argumentado que ela favorece a elevação nas despesas com pessoal, uma vez que durante os anos de crescimento econômico, o espaço gerado pelo aumento na arrecadação foi utilizado para elevar os gastos com pessoal, e dada à elevada rigidez destas despesas, com a ocorrência da crise econômica os municípios passaram a enfrentar uma grave crise fiscal. Neste cenário, o presente estudo recorre a análise descritiva dos dados e à estimação de um </w:t>
      </w:r>
      <w:r w:rsidR="00081F23">
        <w:t>teste de convergência</w:t>
      </w:r>
      <w:r w:rsidRPr="00007A00">
        <w:t>, para identificar os fatores que explicam o aumento do gasto com pessoal no período 2010-2016. Ademais, realizam-se testes de convergência (absoluta e condicional) para avaliar se os municípios convergem para o teto de gasto da LRF. Os resultados encontrados na estimação mostram que a maior centralidade espacial dos municípios, a crise econômica, a presença de gestores do sexo feminino, o aumento no número de funcionários públicos e o maior percentual de funcionários estatutários com ensino superior são os fatores que elevam as despesas com pessoal dos municípios brasileiros. Por sua vez, os testes de convergência apontam que os municípios caminham em direção a alcançar o teto de gastos da LRF.</w:t>
      </w:r>
    </w:p>
    <w:p w14:paraId="7914844C" w14:textId="11BB86C8" w:rsidR="00C271A6" w:rsidRPr="00007A00" w:rsidRDefault="00C271A6" w:rsidP="00C271A6">
      <w:pPr>
        <w:rPr>
          <w:b/>
          <w:szCs w:val="24"/>
        </w:rPr>
      </w:pPr>
    </w:p>
    <w:p w14:paraId="73F37974" w14:textId="77777777" w:rsidR="0016084B" w:rsidRPr="00007A00" w:rsidRDefault="00C271A6" w:rsidP="0016084B">
      <w:pPr>
        <w:ind w:firstLine="0"/>
      </w:pPr>
      <w:r w:rsidRPr="00007A00">
        <w:rPr>
          <w:b/>
          <w:szCs w:val="24"/>
        </w:rPr>
        <w:t xml:space="preserve">Palavras-chave: </w:t>
      </w:r>
      <w:r w:rsidR="0016084B" w:rsidRPr="00007A00">
        <w:t>Lei de Responsabilidade Fiscal; Determinantes dos Gastos; Testes de Convergência.</w:t>
      </w:r>
    </w:p>
    <w:p w14:paraId="76488D5C" w14:textId="77777777" w:rsidR="00C271A6" w:rsidRPr="00007A00" w:rsidRDefault="00C271A6" w:rsidP="00C271A6">
      <w:pPr>
        <w:rPr>
          <w:szCs w:val="24"/>
        </w:rPr>
      </w:pPr>
    </w:p>
    <w:p w14:paraId="5863F330" w14:textId="1EDBF20B" w:rsidR="00C271A6" w:rsidRPr="00007A00" w:rsidRDefault="00C271A6" w:rsidP="0016084B">
      <w:pPr>
        <w:ind w:firstLine="0"/>
        <w:rPr>
          <w:szCs w:val="24"/>
        </w:rPr>
      </w:pPr>
      <w:r w:rsidRPr="00007A00">
        <w:rPr>
          <w:b/>
          <w:szCs w:val="24"/>
        </w:rPr>
        <w:t xml:space="preserve">Linha Temática: </w:t>
      </w:r>
      <w:r w:rsidR="009D652B">
        <w:rPr>
          <w:b/>
          <w:szCs w:val="24"/>
        </w:rPr>
        <w:t>[Outros temas relevantes em contabilidade] Contabilidade Pública Governamental</w:t>
      </w:r>
    </w:p>
    <w:p w14:paraId="0D756084" w14:textId="77777777" w:rsidR="00C271A6" w:rsidRPr="00007A00" w:rsidRDefault="00C271A6" w:rsidP="00C271A6"/>
    <w:p w14:paraId="6B0466E4" w14:textId="44852EA4" w:rsidR="00C271A6" w:rsidRPr="00007A00" w:rsidRDefault="00C271A6" w:rsidP="00C271A6"/>
    <w:p w14:paraId="445B2BBC" w14:textId="78A9A32F" w:rsidR="00F54895" w:rsidRPr="00007A00" w:rsidRDefault="00F54895" w:rsidP="00C271A6"/>
    <w:p w14:paraId="1EE644C0" w14:textId="77777777" w:rsidR="00F54895" w:rsidRPr="00007A00" w:rsidRDefault="00F54895" w:rsidP="00C271A6"/>
    <w:p w14:paraId="22EC28D9" w14:textId="77777777" w:rsidR="00C271A6" w:rsidRPr="00007A00" w:rsidRDefault="00C271A6" w:rsidP="00C271A6"/>
    <w:p w14:paraId="58E7D596" w14:textId="008652F6" w:rsidR="00C271A6" w:rsidRDefault="00C271A6" w:rsidP="00C271A6"/>
    <w:p w14:paraId="3C296482" w14:textId="1B01B176" w:rsidR="00007A00" w:rsidRDefault="00007A00" w:rsidP="00C271A6"/>
    <w:p w14:paraId="2B01BFD4" w14:textId="77777777" w:rsidR="00007A00" w:rsidRPr="00007A00" w:rsidRDefault="00007A00" w:rsidP="00C271A6"/>
    <w:p w14:paraId="12E0D107" w14:textId="77777777" w:rsidR="00C271A6" w:rsidRPr="00007A00" w:rsidRDefault="00C271A6" w:rsidP="00C271A6"/>
    <w:p w14:paraId="55BFB3FC" w14:textId="1321694D" w:rsidR="00C271A6" w:rsidRPr="00007A00" w:rsidRDefault="00C271A6" w:rsidP="008A1488">
      <w:pPr>
        <w:ind w:firstLine="0"/>
        <w:rPr>
          <w:b/>
          <w:szCs w:val="24"/>
        </w:rPr>
      </w:pPr>
      <w:r w:rsidRPr="00007A00">
        <w:rPr>
          <w:b/>
          <w:szCs w:val="24"/>
        </w:rPr>
        <w:t>1 Introdução</w:t>
      </w:r>
    </w:p>
    <w:p w14:paraId="6A0B4529" w14:textId="77777777" w:rsidR="0016084B" w:rsidRPr="00007A00" w:rsidRDefault="0016084B" w:rsidP="0016084B">
      <w:r w:rsidRPr="00007A00">
        <w:t xml:space="preserve">Atualmente, os municípios brasileiros vivem um período de elevada crise fiscal, na qual </w:t>
      </w:r>
      <w:r w:rsidRPr="00007A00">
        <w:lastRenderedPageBreak/>
        <w:t>85,9% destes apresentam situação fiscal difícil ou crítica. Assim, a grande maioria dos municípios apresenta sérios problemas financeiros, tendo inclusive que recorrer ao atraso no pagamento de despesas como fonte de financiamento. Dado o esforço de ajuste fiscal realizado com a adoção da Lei de Responsabilidade Fiscal (LRF), aprovada no ano de 2000 e que definiu mecanismos rigorosos de controle dos gastos públicos, é difícil compreender como o país conseguiu retroceder para uma situação de descontrole fiscal generalizado.</w:t>
      </w:r>
    </w:p>
    <w:p w14:paraId="4D692A7C" w14:textId="77777777" w:rsidR="0016084B" w:rsidRPr="00007A00" w:rsidRDefault="0016084B" w:rsidP="0016084B">
      <w:r w:rsidRPr="00007A00">
        <w:t>A Lei Complementar 101/2000, mais conhecida como LRF, é adotada com o objetivo de disciplinar o orçamento público e obrigar cada esfera da federação a controlar as suas despesas. Tal lei possibilita um aumento do nível de transparência do setor público e o obriga os gestores a adotar medidas que resultem em rápido retorno para os limites de gastos com pessoal e endividamento estabelecidos, caso estes sejam extrapolados.</w:t>
      </w:r>
    </w:p>
    <w:p w14:paraId="568FA2CC" w14:textId="77777777" w:rsidR="0016084B" w:rsidRPr="00007A00" w:rsidRDefault="0016084B" w:rsidP="0016084B">
      <w:r w:rsidRPr="00007A00">
        <w:t>Segundo Fioravante, Pinheiro e Vieira (2006), o limite definido para a Despesa total com pessoal (DTP), de 60% da receita corrente líquida (RCL), se mostrou muito acima da DTP observada para os municípios brasileiros, cuja média era de 42% quando a LRF foi aprovada. Desta maneira, a LRF estimulou o aumento no gasto com pessoal. Como este gasto é rígido, sendo difícil de ser alterado, os municípios ingressaram em um profundo descontrole fiscal, com a ocorrência da crise econômica no período 2014-2016 (FIRJAN, 2017).</w:t>
      </w:r>
    </w:p>
    <w:p w14:paraId="5F655E73" w14:textId="77777777" w:rsidR="0016084B" w:rsidRPr="00007A00" w:rsidRDefault="0016084B" w:rsidP="0016084B">
      <w:r w:rsidRPr="00007A00">
        <w:t xml:space="preserve">A despeito da literatura de finanças públicas defender que a atual crise fiscal dos municípios é explicada pelo elevado comprometimento das receitas com as DTP, não se encontrou nenhum estudo com uma análise mais detalhada destas despesas. Assim, todos os estudos encontrados se limitam a descrever o comportamento da DTP, sem identificar os fatores que levaram ao seu crescimento. </w:t>
      </w:r>
    </w:p>
    <w:p w14:paraId="4EE542A9" w14:textId="77777777" w:rsidR="0016084B" w:rsidRPr="00007A00" w:rsidRDefault="0016084B" w:rsidP="0016084B">
      <w:r w:rsidRPr="00007A00">
        <w:t>Diante desta limitação na literatura, a contribuição do presente estudo é analisar o comportamento das DTP dos municípios brasileiros no período 2010-2016 e identificar os fatores que levaram ao seu crescimento com base em informações que abrangem um elevado número de dimensões da gestão municipal, entre as quais, cita-se: perfil e orientação política do gestor público municipal; grau de profissionalização e de qualificação das burocracias profissionais municipais; a crise econômica de 2014-2016, gastos com inativos, contribuições previdenciárias, renda per capita, tamanho, composição da estrutura produtiva, centralidade espacial do município e outros indicadores econômicos e sociais que totalizam uma amostra composta por 38 variáveis, discriminadas para 1567 municípios com população superior a 20.000 habitantes. Para tanto, utilizar-se-á da metodologia de dados em painéis e emprega testes de convergência para garantir a robustez dos resultados.</w:t>
      </w:r>
    </w:p>
    <w:p w14:paraId="4C3B21EA" w14:textId="77777777" w:rsidR="0016084B" w:rsidRPr="00007A00" w:rsidRDefault="0016084B" w:rsidP="0016084B">
      <w:r w:rsidRPr="00007A00">
        <w:t xml:space="preserve">Além desta introdução, o artigo segue estruturado em mais quatro seções. Mais precisamente, a seção 2 revisa a LRF e a literatura que aponta para o avanço das DTP como responsáveis pelo crescente descontrole fiscal. Na sequência, a seção 3 mostra a metodologia utilizada para identificar os fatores que levaram ao aumento dos gastos com pessoal e os testes de convergências adotados. Posteriormente, a seção 4 apresenta e discute os resultados encontrados para as estatísticas descritivas, do modelo estimado e dos testes de convergências. Por fim, a seção 5 traz as considerações finais. </w:t>
      </w:r>
    </w:p>
    <w:p w14:paraId="1FD5BF93" w14:textId="77777777" w:rsidR="00007A00" w:rsidRPr="00007A00" w:rsidRDefault="00007A00" w:rsidP="0016084B"/>
    <w:p w14:paraId="78181BC8" w14:textId="77777777" w:rsidR="00081F23" w:rsidRDefault="00081F23" w:rsidP="00081F23">
      <w:pPr>
        <w:spacing w:line="360" w:lineRule="auto"/>
        <w:ind w:firstLine="0"/>
        <w:rPr>
          <w:b/>
          <w:sz w:val="28"/>
          <w:szCs w:val="28"/>
        </w:rPr>
      </w:pPr>
    </w:p>
    <w:p w14:paraId="28946B64" w14:textId="03D15AF6" w:rsidR="0016084B" w:rsidRPr="00DC7281" w:rsidRDefault="005264B1" w:rsidP="00081F23">
      <w:pPr>
        <w:spacing w:line="360" w:lineRule="auto"/>
        <w:ind w:firstLine="0"/>
        <w:rPr>
          <w:b/>
          <w:szCs w:val="24"/>
        </w:rPr>
      </w:pPr>
      <w:r w:rsidRPr="00DC7281">
        <w:rPr>
          <w:b/>
          <w:szCs w:val="24"/>
        </w:rPr>
        <w:t>2 A lei de responsabilidade fiscal e o seu impacto nas despesas com pessoal</w:t>
      </w:r>
    </w:p>
    <w:p w14:paraId="60E8B3D1" w14:textId="66233D92" w:rsidR="0016084B" w:rsidRPr="00007A00" w:rsidRDefault="0016084B" w:rsidP="0016084B">
      <w:r w:rsidRPr="00007A00">
        <w:t xml:space="preserve">De acordo com Asazu (2003), o período entre 1982 e 1994 foi caracterizado pela </w:t>
      </w:r>
      <w:r w:rsidRPr="00007A00">
        <w:lastRenderedPageBreak/>
        <w:t>presença de elevado descontrole fiscal. Com a adoção do plano real, a união, os estados e os municípios perderam as receitas oriundas do imposto inflacionário, diante desta perda de receita, os municípios tiveram um rápido aumento no endividamento público, colocando-os em uma trajetória de crescente descontrole fiscal na segunda metade da década de 1990.</w:t>
      </w:r>
    </w:p>
    <w:p w14:paraId="5A47469F" w14:textId="77777777" w:rsidR="0016084B" w:rsidRPr="00007A00" w:rsidRDefault="0016084B" w:rsidP="0016084B">
      <w:pPr>
        <w:ind w:firstLine="708"/>
      </w:pPr>
      <w:r w:rsidRPr="00007A00">
        <w:t>A resposta ao crescente descontrole das finanças públicas municipais foi a promulgação da Lei de Responsabilidade Fiscal (LRF). O marco da sua criação foi a Lei Complementar 101/2000, sendo o seu objetivo normatizar e estabelecer diretrizes que devem ser seguidas por todas as esferas da federação. Neste contexto, Giuberti (2005) discorre que a LRF definiu metas numéricas, limites, diretrizes e disponibilizou ferramentas de controle que devem, obrigatoriamente, ser utilizadas pelos gestores públicos.</w:t>
      </w:r>
    </w:p>
    <w:p w14:paraId="7B6D189A" w14:textId="77777777" w:rsidR="0016084B" w:rsidRPr="00007A00" w:rsidRDefault="0016084B" w:rsidP="0016084B">
      <w:pPr>
        <w:ind w:firstLine="708"/>
      </w:pPr>
      <w:r w:rsidRPr="00007A00">
        <w:t xml:space="preserve">Mais precisamente, a LRF define normas para as finanças públicas, no âmbito municipal, estadual e federal, estipulando ação planejada e transparente, prevenindo riscos e prevendo mecanismos para a correção de distorções que prejudiquem a estabilidade fiscal dos entes que compõem a federação. Segundo Menezes (2006), ela propiciou avanços significativos na gestão fiscal e no controle dos gastos públicos. Ademais, cabe salientar que a fonte de inspiração para a sua criação foram as experiências bem-sucedidas dos Estados Unidos, com o </w:t>
      </w:r>
      <w:r w:rsidRPr="00007A00">
        <w:rPr>
          <w:i/>
        </w:rPr>
        <w:t>Budget Enforcement Act</w:t>
      </w:r>
      <w:r w:rsidRPr="00007A00">
        <w:t xml:space="preserve"> (BEA) e da Nova Zelândia, com o </w:t>
      </w:r>
      <w:r w:rsidRPr="00007A00">
        <w:rPr>
          <w:i/>
        </w:rPr>
        <w:t>Fiscal Responsability Act</w:t>
      </w:r>
      <w:r w:rsidRPr="00007A00">
        <w:t xml:space="preserve"> (FRA), sendo ambas utilizadas para controlar os gastos através da adoção de limites e normas de transparência nas contas públicas (GIAMBIAGI; ALÉM, 2008).</w:t>
      </w:r>
    </w:p>
    <w:p w14:paraId="2355B9CB" w14:textId="77777777" w:rsidR="0016084B" w:rsidRPr="00007A00" w:rsidRDefault="0016084B" w:rsidP="0016084B">
      <w:pPr>
        <w:ind w:firstLine="708"/>
      </w:pPr>
      <w:r w:rsidRPr="00007A00">
        <w:t xml:space="preserve">No Brasil, a LRF surgiu para atender ao art. 169 da Constituição Federal de 1998, possuindo como precursora a Lei Camata (Lei Complementar 82/1995), que limitou a DTP em 60% da receita corrente líquida para as despesas totais com pessoal ativo e inativo da administração direta e indireta da União e 70% para Estados e Municípios. Todavia, a Lei Camata não conseguiu conter o crescimento dos gastos com pessoal, sendo necessário elaborar um novo dispositivo institucional em maio de 1999: a Lei Complementar 96/1999, ou Lei Camata 2, na qual a principal novidade foi a redução no limite do gasto com pessoal do governo federal para 50% e dos Estados e Municípios para 60% (ASAZU, 2003). </w:t>
      </w:r>
    </w:p>
    <w:p w14:paraId="2AC55F50" w14:textId="77777777" w:rsidR="0016084B" w:rsidRPr="00007A00" w:rsidRDefault="0016084B" w:rsidP="0016084B">
      <w:pPr>
        <w:ind w:firstLine="708"/>
      </w:pPr>
      <w:r w:rsidRPr="00007A00">
        <w:t xml:space="preserve">Embora a lei Camata 2 represente um avanço em relação à Lei Camata, as regras fixadas se restringiram à cada esfera da federação, deixando os três poderes que constituem estas esferas (Legislativo, Executivo e Judiciário) livres para atuarem conforme desejassem. Esta limitação foi solucionada com a aprovação da LRF, em 2000 (MORAIS, 2013). </w:t>
      </w:r>
    </w:p>
    <w:p w14:paraId="70E64D3C" w14:textId="77777777" w:rsidR="0016084B" w:rsidRPr="00007A00" w:rsidRDefault="0016084B" w:rsidP="0016084B">
      <w:pPr>
        <w:ind w:firstLine="708"/>
      </w:pPr>
      <w:r w:rsidRPr="00007A00">
        <w:t>Segundo o art.18 da LRF, a DTP equivale à soma dos gastos de cada ente da Federação com os ativos, os inativos e os pensionistas, com referência à mandatos eletivos, cargos, funções ou empregos, civis, militares e de membros de Poder, com quaisquer espécies remuneratórias, sendo as formas de remuneração os “vencimentos e vantagens, fixas e variáveis, subsídios, proventos da aposentadoria, reformas e pensões, inclusive adicionais, gratificações, horas extras e vantagens pessoais de qualquer natureza”. Além disso, têm os encargos sociais e contribuições recolhidas pelos entes da federação para as entidades de previdência social (BRASIL, 2000).</w:t>
      </w:r>
    </w:p>
    <w:p w14:paraId="4E2DFA72" w14:textId="77777777" w:rsidR="0016084B" w:rsidRPr="00007A00" w:rsidRDefault="0016084B" w:rsidP="0016084B">
      <w:pPr>
        <w:ind w:firstLine="708"/>
      </w:pPr>
      <w:r w:rsidRPr="00007A00">
        <w:t>De acordo com Morais (2013), apesar da abrangência, nem todos os itens de despesas com pessoal são contemplados na LRF. Exemplificando, as verbas indenizatórias relacionadas a diárias, auxílio alimentação, auxílio medicamento e auxílio moradia não são considerados no cálculo da DTP, o que acaba provendo os municípios de instrumentos que podem ser utilizados para extrapolar o limite estabelecido pela LRF.</w:t>
      </w:r>
    </w:p>
    <w:p w14:paraId="54EDC6CC" w14:textId="77777777" w:rsidR="0016084B" w:rsidRPr="00007A00" w:rsidRDefault="0016084B" w:rsidP="0016084B">
      <w:pPr>
        <w:ind w:firstLine="708"/>
      </w:pPr>
      <w:r w:rsidRPr="00007A00">
        <w:t xml:space="preserve">Por sua vez, o artigo 19 da LRF fixou em 60% o limite máximo para a DTP em relação </w:t>
      </w:r>
      <w:r w:rsidRPr="00007A00">
        <w:lastRenderedPageBreak/>
        <w:t xml:space="preserve">à RCL, sendo o limite para o Poder Executivo de 54% e para o poder Legislativo de 6%. Ademais, ela determina os limites de alerta para o executivo e o legislativo, em 48,6% e 5,4%, respectivamente, e o limite prudencial de 51,30% para o Executivo e 5,7% para o legislativo (BRASIL, 2000). </w:t>
      </w:r>
    </w:p>
    <w:p w14:paraId="40F062B7" w14:textId="77777777" w:rsidR="0016084B" w:rsidRPr="00007A00" w:rsidRDefault="0016084B" w:rsidP="0016084B">
      <w:pPr>
        <w:ind w:firstLine="708"/>
      </w:pPr>
      <w:r w:rsidRPr="00007A00">
        <w:t xml:space="preserve">Segundo o art. 22 da LRF, quando o Limite Prudencial for excedido, o gestor deve promover o ajuste fiscal, ficando proibido de adotar as seguintes medidas, a saber: i) conceder vantagem, aumento, reajuste ou adequação da remuneração a qualquer título, salvo em caso de sentença judicial ou determinação legal ou contratual, ressalvada a revisão prevista no inciso X do art. 37 da Constituição; ii) criar cargo, emprego ou função; iii) alterar a estrutura de modo a aumentar as despesas incorridas; iv) prover cargo público, admissão ou contratação de pessoal a qualquer título, exceto para a reposição decorrente de aposentadoria ou falecimento de servidores das áreas de educação, saúde e segurança; e, v) contratar hora extra, exceto para os casos estabelecidos no inciso II do § 6º do art. 57 da Constituição e as situações previstas na lei de diretrizes orçamentárias. </w:t>
      </w:r>
    </w:p>
    <w:p w14:paraId="6107E1D1" w14:textId="77777777" w:rsidR="0016084B" w:rsidRPr="00007A00" w:rsidRDefault="0016084B" w:rsidP="0016084B">
      <w:pPr>
        <w:ind w:firstLine="708"/>
      </w:pPr>
      <w:r w:rsidRPr="00007A00">
        <w:t xml:space="preserve">Caso o limite máximo seja ultrapassado o gestor público deverá adotar medidas que garantam o retorno nos dois quadrimestres subsequentes para o teto estabelecido. Por sua vez, caso o município permaneça três quadrimestres seguidos acima do Limite Prudencial, ele passará a sofrer penalidades (LODI, 2018). Além dos mecanismos de retorno aos limites fixados na LRF, os parágrafos 3º e 4º do art. 169 da CF/88, determinam que, se o limite máximo de gasto com pessoal for superado, os municípios deverão reduzir em pelo menos 20% as despesas com cargos em comissão e funções de confiança, exonerar servidores não estáveis, e, em último caso, exonerar servidores estáveis (BRASIL, 1988). </w:t>
      </w:r>
    </w:p>
    <w:p w14:paraId="066EF8E1" w14:textId="77777777" w:rsidR="0016084B" w:rsidRPr="00007A00" w:rsidRDefault="0016084B" w:rsidP="0016084B">
      <w:pPr>
        <w:ind w:firstLine="708"/>
      </w:pPr>
      <w:r w:rsidRPr="00007A00">
        <w:t xml:space="preserve">Embora a LRF trouxesse maior estabilização das contas públicas municipais, </w:t>
      </w:r>
      <w:r w:rsidRPr="00007A00">
        <w:rPr>
          <w:rFonts w:eastAsiaTheme="minorHAnsi"/>
          <w:color w:val="000000"/>
        </w:rPr>
        <w:t xml:space="preserve">diversos autores enfatizam os seus aspectos negativos. Assim, </w:t>
      </w:r>
      <w:r w:rsidRPr="00007A00">
        <w:t xml:space="preserve">Giuberti (2005), Fioravante, Pinheiro e Vieira (2006) e Menezes (2006) </w:t>
      </w:r>
      <w:r w:rsidRPr="00007A00">
        <w:rPr>
          <w:rFonts w:eastAsiaTheme="minorHAnsi"/>
          <w:color w:val="000000"/>
        </w:rPr>
        <w:t>salientam que a LRF foi elaborada sem considerar a realidade dos municípios</w:t>
      </w:r>
      <w:r w:rsidRPr="00007A00">
        <w:t>, sendo vantajosa apenas para os municípios que se encontravam acima do limite de 60% do DTP em relação à RCL. Portanto, os municípios abaixo deste limite foram prejudicados pela RLF, que estimulou o aumento nos gastos com pessoal.</w:t>
      </w:r>
    </w:p>
    <w:p w14:paraId="6A4E7D11" w14:textId="77777777" w:rsidR="0016084B" w:rsidRPr="00007A00" w:rsidRDefault="0016084B" w:rsidP="0016084B">
      <w:pPr>
        <w:pStyle w:val="Default"/>
        <w:spacing w:after="120"/>
        <w:ind w:firstLine="709"/>
        <w:jc w:val="both"/>
        <w:rPr>
          <w:rFonts w:ascii="Times New Roman" w:hAnsi="Times New Roman" w:cs="Times New Roman"/>
          <w:color w:val="auto"/>
        </w:rPr>
      </w:pPr>
      <w:r w:rsidRPr="00007A00">
        <w:rPr>
          <w:rFonts w:ascii="Times New Roman" w:hAnsi="Times New Roman" w:cs="Times New Roman"/>
        </w:rPr>
        <w:t>Fioravante, Pinheiro e Vieira (2006) argumentam que esse</w:t>
      </w:r>
      <w:r w:rsidRPr="00007A00">
        <w:rPr>
          <w:rFonts w:ascii="Times New Roman" w:hAnsi="Times New Roman" w:cs="Times New Roman"/>
          <w:color w:val="auto"/>
        </w:rPr>
        <w:t xml:space="preserve"> limite foi definido com base em dados oriundos de uma minoria de municípios que descumpriam a lei, sem olhar para a realidade dos demais municípios.  Por sua vez, Giuberti (2005), </w:t>
      </w:r>
      <w:r w:rsidRPr="00007A00">
        <w:rPr>
          <w:rFonts w:ascii="Times New Roman" w:hAnsi="Times New Roman" w:cs="Times New Roman"/>
        </w:rPr>
        <w:t>Fioravante, Pinheiro e Vieira (2006),</w:t>
      </w:r>
      <w:r w:rsidRPr="00007A00">
        <w:rPr>
          <w:rFonts w:ascii="Times New Roman" w:hAnsi="Times New Roman" w:cs="Times New Roman"/>
          <w:color w:val="auto"/>
        </w:rPr>
        <w:t xml:space="preserve"> Menezes (2006), Macedo e Corbari (2009) e Gomes (2012) apresentam evidências favoráveis ao argumento de que o limite de DTP fixado para os municípios foi semelhante ao definido para os estados, apesar das óbvias diferenças existentes entre estas esferas. Desta forma, os fatores que levaram à fixação do limite na DTP para os municípios em 60% da RCL não foram esclarecidos, dado o seu distanciamento da média de 42%, para os municípios na época da sua aprovação. </w:t>
      </w:r>
    </w:p>
    <w:p w14:paraId="6020F141" w14:textId="77777777" w:rsidR="0016084B" w:rsidRPr="00007A00" w:rsidRDefault="0016084B" w:rsidP="0016084B">
      <w:pPr>
        <w:ind w:firstLine="708"/>
        <w:rPr>
          <w:rFonts w:eastAsiaTheme="minorHAnsi"/>
        </w:rPr>
      </w:pPr>
      <w:r w:rsidRPr="00007A00">
        <w:t>Segundo Giubert (2005)</w:t>
      </w:r>
      <w:r w:rsidRPr="00007A00">
        <w:rPr>
          <w:rFonts w:eastAsiaTheme="minorHAnsi"/>
        </w:rPr>
        <w:t xml:space="preserve">, apesar dos ganhos gerados no curto prazo, a LRF já possuía em seu âmago os elementos responsáveis por comprometer a instabilidade fiscal dos municípios no longo prazo. Ela gera efeitos opostos aos perseguidos, impulsionando a DTP em vez de a inibir e </w:t>
      </w:r>
      <w:r w:rsidRPr="00007A00">
        <w:t>incentivando os gestores públicos a aumentar a DTP, para atender interesses eleitorais e clientelistas</w:t>
      </w:r>
      <w:r w:rsidRPr="00007A00">
        <w:rPr>
          <w:rFonts w:eastAsiaTheme="minorHAnsi"/>
        </w:rPr>
        <w:t xml:space="preserve">. Estes argumentos são enfatizados por estudos recentes realizados para municípios brasileiros (DA SILVA DUTRA; PAGNUSSAT, 2018; HOFSTAETTER; SÖTHE, 2018; ARANHA, 2018, BARROS, 2018; LODI, 2018; DO COUTO; GOULARTE, 2019; RODRIGUES, 2019). Portanto, a elevação na DTP é explicada pela criação de novos cargos, </w:t>
      </w:r>
      <w:r w:rsidRPr="00007A00">
        <w:rPr>
          <w:rFonts w:eastAsiaTheme="minorHAnsi"/>
        </w:rPr>
        <w:lastRenderedPageBreak/>
        <w:t>aumento</w:t>
      </w:r>
      <w:r w:rsidRPr="00007A00">
        <w:t xml:space="preserve"> no número de vagas para </w:t>
      </w:r>
      <w:r w:rsidRPr="00007A00">
        <w:rPr>
          <w:rFonts w:eastAsiaTheme="minorHAnsi"/>
        </w:rPr>
        <w:t xml:space="preserve">cargos já existentes e pela presença de regras generosas de progressão de carreira por tempo de serviço e qualificação. </w:t>
      </w:r>
    </w:p>
    <w:p w14:paraId="6AD44305" w14:textId="348CD05C" w:rsidR="0016084B" w:rsidRPr="00007A00" w:rsidRDefault="0016084B" w:rsidP="0016084B">
      <w:pPr>
        <w:ind w:firstLine="708"/>
      </w:pPr>
      <w:r w:rsidRPr="00007A00">
        <w:t>Segundo Velloso (2006), um dos grandes problemas da DTP se refere a sua elevada rigidez no curto prazo. Como os valores dos salários e aposentadorias são definidos em lei e a Constituição Federal de 1988 garantiu a reposição da inflação, torna-se extremamente difícil para os políticos reduzirem este gasto. Tal argumentação também é corroborado por Santolini et al.</w:t>
      </w:r>
      <w:r w:rsidR="005264B1">
        <w:t xml:space="preserve"> </w:t>
      </w:r>
      <w:r w:rsidRPr="00007A00">
        <w:t>(2009). Nas palavras do autor:</w:t>
      </w:r>
    </w:p>
    <w:p w14:paraId="6C1C130C" w14:textId="77777777" w:rsidR="0016084B" w:rsidRPr="00007A00" w:rsidRDefault="0016084B" w:rsidP="0016084B">
      <w:pPr>
        <w:ind w:firstLine="708"/>
      </w:pPr>
    </w:p>
    <w:p w14:paraId="0C13937F" w14:textId="77777777" w:rsidR="0016084B" w:rsidRPr="00007A00" w:rsidRDefault="0016084B" w:rsidP="00081F23">
      <w:pPr>
        <w:ind w:left="2268" w:firstLine="0"/>
        <w:rPr>
          <w:sz w:val="20"/>
        </w:rPr>
      </w:pPr>
      <w:r w:rsidRPr="00007A00">
        <w:rPr>
          <w:sz w:val="20"/>
        </w:rPr>
        <w:t>Ao sugerir explicitamente que os municípios poderiam aumentar seus gastos com pessoal [...] a LRF levou os municípios a associarem diretamente aumento das transferências correntes com gastos de pessoal, além de reduzir o vínculo entre a despesa de investimento e a arrecadação tributária. Como a LRF obriga uma relação de equilíbrio entre receita e despesa orçamentária, associado ao fato de que as despesas com pessoal são de difícil corte, qualquer cenário em que haja uma redução das receitas por transferências deverá incidir sobre os gastos de investimento. Em outras palavras, em um ambiente de depressão macroeconômica, as rígidas regras e as severas punições previstas na LFR acabam limitando os gastos em investimentos públicos, pois essa é a área mais suscetível a cortes para que os limites fiscais sejam atingidos uma vez que os demais gastos apresentam uma estrutura mais rígida, sendo mais complicado alterá-los. (SANTOLINI; JAYME JR.; REIS, p. 27, 2009)</w:t>
      </w:r>
    </w:p>
    <w:p w14:paraId="660E2469" w14:textId="77777777" w:rsidR="0016084B" w:rsidRPr="00007A00" w:rsidRDefault="0016084B" w:rsidP="0016084B"/>
    <w:p w14:paraId="4797AF9A" w14:textId="77777777" w:rsidR="0016084B" w:rsidRPr="00007A00" w:rsidRDefault="0016084B" w:rsidP="0016084B">
      <w:r w:rsidRPr="00007A00">
        <w:t>Portanto, a LRF conseguiu reduzir os problemas fiscais dos municípios no curto prazo, mas gerou uma estrutura de incentivo que favoreceu a modificação nas despesas públicas, desestimulando os investimentos e incentivando o aumento da DTP. Dada a elevada rigidez desta despesa, ela criou as condições que favoreceram a ocorrência de uma grave crise fiscal, situação observada a partir de 2015 com a redução nas taxas de crescimento econômico.</w:t>
      </w:r>
    </w:p>
    <w:p w14:paraId="120D1589" w14:textId="77777777" w:rsidR="0016084B" w:rsidRPr="00007A00" w:rsidRDefault="0016084B" w:rsidP="0016084B"/>
    <w:p w14:paraId="1AFFECBB" w14:textId="63212C2C" w:rsidR="0016084B" w:rsidRPr="00DC7281" w:rsidRDefault="005264B1" w:rsidP="005264B1">
      <w:pPr>
        <w:ind w:firstLine="0"/>
        <w:jc w:val="left"/>
        <w:rPr>
          <w:b/>
          <w:szCs w:val="24"/>
        </w:rPr>
      </w:pPr>
      <w:r w:rsidRPr="00DC7281">
        <w:rPr>
          <w:b/>
          <w:szCs w:val="24"/>
        </w:rPr>
        <w:t>3 Metodologia</w:t>
      </w:r>
    </w:p>
    <w:p w14:paraId="6729921B" w14:textId="77777777" w:rsidR="0016084B" w:rsidRPr="00007A00" w:rsidRDefault="0016084B" w:rsidP="00081F23">
      <w:pPr>
        <w:ind w:firstLine="0"/>
        <w:rPr>
          <w:b/>
        </w:rPr>
      </w:pPr>
      <w:r w:rsidRPr="00007A00">
        <w:rPr>
          <w:b/>
        </w:rPr>
        <w:t>3.1 Base de dados</w:t>
      </w:r>
    </w:p>
    <w:p w14:paraId="40D6FD49" w14:textId="77777777" w:rsidR="0016084B" w:rsidRPr="00007A00" w:rsidRDefault="0016084B" w:rsidP="0016084B">
      <w:r w:rsidRPr="00007A00">
        <w:t xml:space="preserve">A base de dados é composta por um amplo conjunto de dados municipais, os quais buscam mensurar as diferentes dimensões da gestão municipal que podem ajudar a explicar o aumento nos gastos com pessoal dos municípios brasileiros no período 2010-2018. O Índice Firjan de Gestão Fiscal Gasto com Pessoal, disponibilizado pela FIRJAN, doravante denominado IGP, é utilizado para mensurar o comportamento das DTP no período analisado. Segundo Firjan (2017), este indicador é construído de modo a assumir valor zero quando o percentual de gasto dos municípios com pessoal supera o limite máximo de 60% da receita corrente líquida, teto da LRF; valor igual a 1 se o percentual for inferior à 30%; e o caso intermediário é definido pela seguinte equação: </w:t>
      </w:r>
      <m:oMath>
        <m:r>
          <w:rPr>
            <w:rFonts w:ascii="Cambria Math" w:hAnsi="Cambria Math"/>
          </w:rPr>
          <m:t>IGP=1+60%-2*</m:t>
        </m:r>
        <m:f>
          <m:fPr>
            <m:ctrlPr>
              <w:rPr>
                <w:rFonts w:ascii="Cambria Math" w:hAnsi="Cambria Math"/>
                <w:i/>
              </w:rPr>
            </m:ctrlPr>
          </m:fPr>
          <m:num>
            <m:r>
              <w:rPr>
                <w:rFonts w:ascii="Cambria Math" w:hAnsi="Cambria Math"/>
              </w:rPr>
              <m:t>Gasto com pessoal</m:t>
            </m:r>
          </m:num>
          <m:den>
            <m:r>
              <w:rPr>
                <w:rFonts w:ascii="Cambria Math" w:hAnsi="Cambria Math"/>
              </w:rPr>
              <m:t>Receita corrente líquida</m:t>
            </m:r>
          </m:den>
        </m:f>
      </m:oMath>
      <w:r w:rsidRPr="00007A00">
        <w:t>. Assim, quanto mais próximo de 1 for o valor do IGP, melhor é o desempenho do município e quanto mais próximo de zero, maior o comprometimento do orçamento com os gastos com pessoal.</w:t>
      </w:r>
    </w:p>
    <w:p w14:paraId="12BFAD71" w14:textId="77777777" w:rsidR="0016084B" w:rsidRPr="00007A00" w:rsidRDefault="0016084B" w:rsidP="0016084B">
      <w:r w:rsidRPr="00007A00">
        <w:t xml:space="preserve">As dimensões analisadas no presente estudo se referem à dados de gestão municipal, extraídos da Pesquisa de Informações Básicas Municipais (Munic/IBGE), referentes ao perfil do gestor municipal (sexo; idade; segundo mandato; ensino superior; pós-graduação e orientação política: centro; direita ou esquerda); ao grau de profissionalização da burocracia local (percentual de estatutários; percentual de celetistas, percentual de comissionados); à capacidade dos municípios em desenvolver burocracias estatais qualificadas (percentual de </w:t>
      </w:r>
      <w:r w:rsidRPr="00007A00">
        <w:lastRenderedPageBreak/>
        <w:t>estatutários com ensino superior, percentual funcionários públicos com ensino superior) e variáveis que mensuram a participação dos gastos com inativos e das contribuições previdenciárias no gasto com pessoal, extraídos do SICONFI.</w:t>
      </w:r>
    </w:p>
    <w:p w14:paraId="5E6D8C4F" w14:textId="3F40A636" w:rsidR="0016084B" w:rsidRPr="00007A00" w:rsidRDefault="0016084B" w:rsidP="0016084B">
      <w:r w:rsidRPr="00007A00">
        <w:t>Também são incluídos dados relacionadas à fatores econômicos, disponibilizados pelo IBGE, discriminados em: composição da estrutura produtiva (percentual do valor adicionado da agricultura, indústria e serviços), variáveis binárias que identificam o setor com maior valor adicionado (agricultura; indústria ou serviços), renda per capita do município, tamanho do municípios (em número de habitantes), concentração de renda (mensurada pelo índice de Gini), Tipologia Rural-Urbana (urbano; intermediários adjacente; intermediário remoto; rural adjacente; rural remoto), variáveis binárias para as regiões geográficas do IBGE (Norte; Sul; Sudeste; Nordeste e Centro-Oeste), variáveis binárias para o PIB per capita (municípios com PIB per capita inferior à R$ 9.000,00 e municípios com renda per capita superior à R$ 150.000,00) e variáveis binárias para os anos de crise econômica (2014; 2015 e 2016)</w:t>
      </w:r>
    </w:p>
    <w:p w14:paraId="45AB0007" w14:textId="77777777" w:rsidR="0016084B" w:rsidRPr="00007A00" w:rsidRDefault="0016084B" w:rsidP="0016084B"/>
    <w:p w14:paraId="4C2CEB2D" w14:textId="77777777" w:rsidR="0016084B" w:rsidRPr="00007A00" w:rsidRDefault="0016084B" w:rsidP="00007A00">
      <w:pPr>
        <w:ind w:firstLine="0"/>
        <w:rPr>
          <w:b/>
          <w:bCs/>
        </w:rPr>
      </w:pPr>
      <w:r w:rsidRPr="00007A00">
        <w:rPr>
          <w:b/>
          <w:bCs/>
        </w:rPr>
        <w:t xml:space="preserve">3.2 Testes de convergência </w:t>
      </w:r>
    </w:p>
    <w:p w14:paraId="724706FE" w14:textId="77777777" w:rsidR="0016084B" w:rsidRPr="00007A00" w:rsidRDefault="0016084B" w:rsidP="00007A00">
      <w:pPr>
        <w:ind w:firstLine="0"/>
        <w:rPr>
          <w:b/>
          <w:bCs/>
        </w:rPr>
      </w:pPr>
      <w:r w:rsidRPr="00007A00">
        <w:rPr>
          <w:b/>
          <w:bCs/>
        </w:rPr>
        <w:t>3.2.1 Testes de convergência absoluta</w:t>
      </w:r>
    </w:p>
    <w:p w14:paraId="29E442D3" w14:textId="77777777" w:rsidR="0016084B" w:rsidRPr="00007A00" w:rsidRDefault="0016084B" w:rsidP="0016084B">
      <w:r w:rsidRPr="00007A00">
        <w:t>Os testes de convergência são utilizados para verificar a hipótese de que todas as observações vão convergir para o mesmo ponto. Diversos autores têm contribuído para o desenvolvimento desta literatura em diferentes objetivos, cita-se: nível de renda per capita (BAUMOL 1986; BERNARD; DURLAUF 1995; BARRO; SALA-I-MARTIN, 1997; LEE et al. 1997; LUGINBUHL; KOOPMAN 2004); custo de vida (PHILLIPS; SUL, 2007), emissões de dióxido de carbono (PANOPOULOU; PANTELIDIS, 2009), ecoeficiência (CAMARERO et al. 2013), preço das casas (MONTANÉS; OLMOS, 2013) e impostos sobre pessoas jurídicas (REGIS et al. 2015).</w:t>
      </w:r>
    </w:p>
    <w:p w14:paraId="34E45891" w14:textId="77777777" w:rsidR="0016084B" w:rsidRPr="00007A00" w:rsidRDefault="0016084B" w:rsidP="0016084B">
      <w:r w:rsidRPr="00007A00">
        <w:t>O teste de convergência é aplicado para identificar se o IGP dos municípios está convergindo para o limite da LRF (BAUMOL, 1986; REY; MONTOURI, 1999). Como o índice Firjan assume o valor zero quando o gasto com pessoal supera o limite definido pela LRF, realiza-se a seguinte transformação ortogonal no IGP.</w:t>
      </w:r>
    </w:p>
    <w:p w14:paraId="37268A31" w14:textId="34235786" w:rsidR="0016084B" w:rsidRPr="00007A00" w:rsidRDefault="0016084B" w:rsidP="00007A00">
      <w:pPr>
        <w:ind w:firstLine="0"/>
      </w:pPr>
      <m:oMath>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=1-IG</m:t>
        </m:r>
        <m:sSub>
          <m:sSubPr>
            <m:ctrlPr>
              <w:rPr>
                <w:rFonts w:ascii="Cambria Math" w:hAnsi="Cambria Math"/>
                <w:i/>
              </w:rPr>
            </m:ctrlPr>
          </m:sSubPr>
          <m:e>
            <m:r>
              <w:rPr>
                <w:rFonts w:ascii="Cambria Math" w:hAnsi="Cambria Math"/>
              </w:rPr>
              <m:t>P</m:t>
            </m:r>
          </m:e>
          <m:sub>
            <m:r>
              <w:rPr>
                <w:rFonts w:ascii="Cambria Math" w:hAnsi="Cambria Math"/>
              </w:rPr>
              <m:t>it</m:t>
            </m:r>
          </m:sub>
        </m:sSub>
      </m:oMath>
      <w:r w:rsidRPr="00007A00">
        <w:t xml:space="preserve">,                                                              </w:t>
      </w:r>
      <w:r w:rsidR="00007A00">
        <w:t xml:space="preserve">         </w:t>
      </w:r>
      <w:r w:rsidRPr="00007A00">
        <w:t xml:space="preserve">                                          (</w:t>
      </w:r>
      <w:r w:rsidR="00D611F8">
        <w:t>1</w:t>
      </w:r>
      <w:r w:rsidRPr="00007A00">
        <w:t>)</w:t>
      </w:r>
    </w:p>
    <w:p w14:paraId="5C9059A2" w14:textId="77777777" w:rsidR="0016084B" w:rsidRPr="00007A00" w:rsidRDefault="0016084B" w:rsidP="0016084B">
      <w:r w:rsidRPr="00007A00">
        <w:t>Posteriormente, o teste de convergência absoluta é realizado para diferentes configurações, a saber. Para cada ano de 2011 a 2016:</w:t>
      </w:r>
    </w:p>
    <w:p w14:paraId="28CB81E8" w14:textId="77777777" w:rsidR="0016084B" w:rsidRPr="00007A00" w:rsidRDefault="0016084B" w:rsidP="0016084B"/>
    <w:p w14:paraId="224363E5" w14:textId="47CD575A" w:rsidR="0016084B" w:rsidRPr="00007A00" w:rsidRDefault="0016084B" w:rsidP="00007A00">
      <w:pPr>
        <w:ind w:firstLine="0"/>
      </w:pPr>
      <m:oMath>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)=α+β</m:t>
        </m:r>
        <m:r>
          <m:rPr>
            <m:sty m:val="p"/>
          </m:rPr>
          <w:rPr>
            <w:rFonts w:ascii="Cambria Math" w:hAnsi="Cambria Math"/>
          </w:rPr>
          <m:t>ln⁡</m:t>
        </m:r>
        <m:r>
          <w:rPr>
            <w:rFonts w:ascii="Cambria Math" w:hAnsi="Cambria Math"/>
          </w:rPr>
          <m:t>(IG</m:t>
        </m:r>
        <m:sSub>
          <m:sSubPr>
            <m:ctrlPr>
              <w:rPr>
                <w:rFonts w:ascii="Cambria Math" w:hAnsi="Cambria Math"/>
                <w:i/>
              </w:rPr>
            </m:ctrlPr>
          </m:sSubPr>
          <m:e>
            <m:r>
              <w:rPr>
                <w:rFonts w:ascii="Cambria Math" w:hAnsi="Cambria Math"/>
              </w:rPr>
              <m:t>PT</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007A00">
        <w:t xml:space="preserve">,                                </w:t>
      </w:r>
      <w:r w:rsidR="00007A00">
        <w:t xml:space="preserve">        </w:t>
      </w:r>
      <w:r w:rsidRPr="00007A00">
        <w:t xml:space="preserve">                                              (</w:t>
      </w:r>
      <w:r w:rsidR="00D611F8">
        <w:t>2</w:t>
      </w:r>
      <w:r w:rsidRPr="00007A00">
        <w:t>)</w:t>
      </w:r>
    </w:p>
    <w:p w14:paraId="0E5C0E07" w14:textId="77777777" w:rsidR="0016084B" w:rsidRPr="00007A00" w:rsidRDefault="0016084B" w:rsidP="0016084B"/>
    <w:p w14:paraId="7C92E11B" w14:textId="77777777" w:rsidR="0016084B" w:rsidRPr="00007A00" w:rsidRDefault="0016084B" w:rsidP="0016084B">
      <w:r w:rsidRPr="00007A00">
        <w:t>para o período de 2010-2014, anterior à crise econômica:</w:t>
      </w:r>
    </w:p>
    <w:p w14:paraId="29D2BC5A" w14:textId="77777777" w:rsidR="0016084B" w:rsidRPr="00007A00" w:rsidRDefault="0016084B" w:rsidP="0016084B"/>
    <w:p w14:paraId="14907FC5" w14:textId="404F5668" w:rsidR="0016084B" w:rsidRPr="00007A00" w:rsidRDefault="000F7635" w:rsidP="00007A00">
      <w:pPr>
        <w:ind w:firstLine="0"/>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2014</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2010</m:t>
                        </m:r>
                      </m:sub>
                    </m:sSub>
                  </m:den>
                </m:f>
              </m:e>
            </m:d>
          </m:e>
        </m:func>
        <m:r>
          <w:rPr>
            <w:rFonts w:ascii="Cambria Math" w:hAnsi="Cambria Math"/>
          </w:rPr>
          <m:t>=α+β</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IG</m:t>
                </m:r>
                <m:sSub>
                  <m:sSubPr>
                    <m:ctrlPr>
                      <w:rPr>
                        <w:rFonts w:ascii="Cambria Math" w:hAnsi="Cambria Math"/>
                        <w:i/>
                      </w:rPr>
                    </m:ctrlPr>
                  </m:sSubPr>
                  <m:e>
                    <m:r>
                      <w:rPr>
                        <w:rFonts w:ascii="Cambria Math" w:hAnsi="Cambria Math"/>
                      </w:rPr>
                      <m:t>P</m:t>
                    </m:r>
                  </m:e>
                  <m:sub>
                    <m:r>
                      <w:rPr>
                        <w:rFonts w:ascii="Cambria Math" w:hAnsi="Cambria Math"/>
                      </w:rPr>
                      <m:t>2010</m:t>
                    </m:r>
                  </m:sub>
                </m:sSub>
              </m:e>
            </m:d>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16084B" w:rsidRPr="00007A00">
        <w:t xml:space="preserve">,                </w:t>
      </w:r>
      <w:r w:rsidR="00007A00">
        <w:t xml:space="preserve">         </w:t>
      </w:r>
      <w:r w:rsidR="0016084B" w:rsidRPr="00007A00">
        <w:t xml:space="preserve">           </w:t>
      </w:r>
      <w:r w:rsidR="00007A00">
        <w:t xml:space="preserve"> </w:t>
      </w:r>
      <w:r w:rsidR="0016084B" w:rsidRPr="00007A00">
        <w:t xml:space="preserve">                                             (</w:t>
      </w:r>
      <w:r w:rsidR="00D611F8">
        <w:t>3</w:t>
      </w:r>
      <w:r w:rsidR="0016084B" w:rsidRPr="00007A00">
        <w:t>)</w:t>
      </w:r>
    </w:p>
    <w:p w14:paraId="06826F74" w14:textId="77777777" w:rsidR="0016084B" w:rsidRPr="00007A00" w:rsidRDefault="0016084B" w:rsidP="0016084B"/>
    <w:p w14:paraId="54FA622C" w14:textId="77777777" w:rsidR="0016084B" w:rsidRPr="00007A00" w:rsidRDefault="0016084B" w:rsidP="00007A00">
      <w:pPr>
        <w:ind w:firstLine="0"/>
      </w:pPr>
      <w:r w:rsidRPr="00007A00">
        <w:t>para todo o período:</w:t>
      </w:r>
    </w:p>
    <w:p w14:paraId="24951232" w14:textId="77777777" w:rsidR="0016084B" w:rsidRPr="00007A00" w:rsidRDefault="0016084B" w:rsidP="0016084B"/>
    <w:p w14:paraId="05E7C456" w14:textId="65D2D46B" w:rsidR="0016084B" w:rsidRPr="00007A00" w:rsidRDefault="0016084B" w:rsidP="00007A00">
      <w:pPr>
        <w:ind w:firstLine="0"/>
      </w:pPr>
      <w:r w:rsidRPr="00007A00">
        <w:t xml:space="preserve">  </w:t>
      </w:r>
      <m:oMath>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2016</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2010</m:t>
                </m:r>
              </m:sub>
            </m:sSub>
          </m:den>
        </m:f>
        <m:r>
          <w:rPr>
            <w:rFonts w:ascii="Cambria Math" w:hAnsi="Cambria Math"/>
          </w:rPr>
          <m:t>)=α+β</m:t>
        </m:r>
        <m:r>
          <m:rPr>
            <m:sty m:val="p"/>
          </m:rPr>
          <w:rPr>
            <w:rFonts w:ascii="Cambria Math" w:hAnsi="Cambria Math"/>
          </w:rPr>
          <m:t>ln⁡</m:t>
        </m:r>
        <m:r>
          <w:rPr>
            <w:rFonts w:ascii="Cambria Math" w:hAnsi="Cambria Math"/>
          </w:rPr>
          <m:t>(IG</m:t>
        </m:r>
        <m:sSub>
          <m:sSubPr>
            <m:ctrlPr>
              <w:rPr>
                <w:rFonts w:ascii="Cambria Math" w:hAnsi="Cambria Math"/>
                <w:i/>
              </w:rPr>
            </m:ctrlPr>
          </m:sSubPr>
          <m:e>
            <m:r>
              <w:rPr>
                <w:rFonts w:ascii="Cambria Math" w:hAnsi="Cambria Math"/>
              </w:rPr>
              <m:t>P</m:t>
            </m:r>
          </m:e>
          <m:sub>
            <m:r>
              <w:rPr>
                <w:rFonts w:ascii="Cambria Math" w:hAnsi="Cambria Math"/>
              </w:rPr>
              <m:t>2010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007A00">
        <w:t xml:space="preserve">,                  </w:t>
      </w:r>
      <w:r w:rsidR="00007A00">
        <w:t xml:space="preserve">        </w:t>
      </w:r>
      <w:r w:rsidRPr="00007A00">
        <w:t xml:space="preserve">                                                      (</w:t>
      </w:r>
      <w:r w:rsidR="00D611F8">
        <w:t>4</w:t>
      </w:r>
      <w:r w:rsidRPr="00007A00">
        <w:t>)</w:t>
      </w:r>
    </w:p>
    <w:p w14:paraId="2763C540" w14:textId="77777777" w:rsidR="0016084B" w:rsidRPr="00007A00" w:rsidRDefault="0016084B" w:rsidP="0016084B"/>
    <w:p w14:paraId="3992EFF5" w14:textId="77777777" w:rsidR="0016084B" w:rsidRPr="00007A00" w:rsidRDefault="0016084B" w:rsidP="00007A00">
      <w:pPr>
        <w:ind w:firstLine="0"/>
      </w:pPr>
      <w:r w:rsidRPr="00007A00">
        <w:t>e uma versão em painel para os dados anualizados:</w:t>
      </w:r>
    </w:p>
    <w:p w14:paraId="550C5D53" w14:textId="77777777" w:rsidR="0016084B" w:rsidRPr="00007A00" w:rsidRDefault="0016084B" w:rsidP="0016084B"/>
    <w:p w14:paraId="56651264" w14:textId="04AE953D" w:rsidR="0016084B" w:rsidRPr="00007A00" w:rsidRDefault="0016084B" w:rsidP="00007A00">
      <w:pPr>
        <w:ind w:firstLine="0"/>
      </w:pPr>
      <m:oMath>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it</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it</m:t>
                </m:r>
              </m:sub>
            </m:sSub>
          </m:den>
        </m:f>
        <m:r>
          <w:rPr>
            <w:rFonts w:ascii="Cambria Math" w:hAnsi="Cambria Math"/>
          </w:rPr>
          <m:t>)=α+β</m:t>
        </m:r>
        <m:r>
          <m:rPr>
            <m:sty m:val="p"/>
          </m:rPr>
          <w:rPr>
            <w:rFonts w:ascii="Cambria Math" w:hAnsi="Cambria Math"/>
          </w:rPr>
          <m:t>ln⁡</m:t>
        </m:r>
        <m:r>
          <w:rPr>
            <w:rFonts w:ascii="Cambria Math" w:hAnsi="Cambria Math"/>
          </w:rPr>
          <m:t>(IG</m:t>
        </m:r>
        <m:sSub>
          <m:sSubPr>
            <m:ctrlPr>
              <w:rPr>
                <w:rFonts w:ascii="Cambria Math" w:hAnsi="Cambria Math"/>
                <w:i/>
              </w:rPr>
            </m:ctrlPr>
          </m:sSubPr>
          <m:e>
            <m:r>
              <w:rPr>
                <w:rFonts w:ascii="Cambria Math" w:hAnsi="Cambria Math"/>
              </w:rPr>
              <m:t>PT</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w:r w:rsidRPr="00007A00">
        <w:t xml:space="preserve">,                                </w:t>
      </w:r>
      <w:r w:rsidR="00007A00">
        <w:t xml:space="preserve">        </w:t>
      </w:r>
      <w:r w:rsidRPr="00007A00">
        <w:t xml:space="preserve">                                          (</w:t>
      </w:r>
      <w:r w:rsidR="00D611F8">
        <w:t>5</w:t>
      </w:r>
      <w:r w:rsidRPr="00007A00">
        <w:t>)</w:t>
      </w:r>
    </w:p>
    <w:p w14:paraId="7E7F6CFA" w14:textId="77777777" w:rsidR="0016084B" w:rsidRPr="00007A00" w:rsidRDefault="0016084B" w:rsidP="0016084B"/>
    <w:p w14:paraId="7984AD2D" w14:textId="77777777" w:rsidR="0016084B" w:rsidRPr="00007A00" w:rsidRDefault="0016084B" w:rsidP="00007A00">
      <w:pPr>
        <w:ind w:firstLine="0"/>
      </w:pPr>
      <w:r w:rsidRPr="00007A00">
        <w:t xml:space="preserve">sendo </w:t>
      </w:r>
      <m:oMath>
        <m:r>
          <w:rPr>
            <w:rFonts w:ascii="Cambria Math" w:hAnsi="Cambria Math"/>
          </w:rPr>
          <m:t>β</m:t>
        </m:r>
        <m:r>
          <m:rPr>
            <m:scr m:val="double-struck"/>
          </m:rPr>
          <w:rPr>
            <w:rFonts w:ascii="Cambria Math" w:hAnsi="Cambria Math"/>
          </w:rPr>
          <m:t>∈ R</m:t>
        </m:r>
      </m:oMath>
      <w:r w:rsidRPr="00007A00">
        <w:t xml:space="preserve">  o parâmetro estimado.</w:t>
      </w:r>
    </w:p>
    <w:p w14:paraId="4D39270F" w14:textId="77777777" w:rsidR="0016084B" w:rsidRPr="00007A00" w:rsidRDefault="0016084B" w:rsidP="0016084B">
      <w:pPr>
        <w:rPr>
          <w:b/>
          <w:bCs/>
        </w:rPr>
      </w:pPr>
    </w:p>
    <w:p w14:paraId="249C44BD" w14:textId="77777777" w:rsidR="0016084B" w:rsidRPr="00007A00" w:rsidRDefault="0016084B" w:rsidP="00007A00">
      <w:pPr>
        <w:ind w:firstLine="0"/>
        <w:rPr>
          <w:b/>
          <w:bCs/>
        </w:rPr>
      </w:pPr>
      <w:r w:rsidRPr="00007A00">
        <w:rPr>
          <w:b/>
          <w:bCs/>
        </w:rPr>
        <w:t>3.2.2 Teste de convergência condicional</w:t>
      </w:r>
    </w:p>
    <w:p w14:paraId="6DCD4851" w14:textId="25C592F0" w:rsidR="0016084B" w:rsidRPr="00007A00" w:rsidRDefault="0016084B" w:rsidP="0016084B">
      <w:r w:rsidRPr="00007A00">
        <w:t xml:space="preserve">O teste de convergência condicional é realizado para identificar se as características dos municípios contribuem para a ocorrência de convergência. Para tanto, o teste é realizado para as nove configurações anteriores e segue a mesma ordem dos testes anteriores, isto é, para cada ano de 2011 a 2016 (equação </w:t>
      </w:r>
      <w:r w:rsidR="00D611F8">
        <w:t>6</w:t>
      </w:r>
      <w:r w:rsidRPr="00007A00">
        <w:t xml:space="preserve">); para o período de 2010-2014 (equação </w:t>
      </w:r>
      <w:r w:rsidR="00D611F8">
        <w:t>7</w:t>
      </w:r>
      <w:r w:rsidRPr="00007A00">
        <w:t xml:space="preserve">); para todo o período (equação </w:t>
      </w:r>
      <w:r w:rsidR="00D611F8">
        <w:t>8</w:t>
      </w:r>
      <w:r w:rsidRPr="00007A00">
        <w:t xml:space="preserve">); e uma versão em painel para os anos anualizados (equação </w:t>
      </w:r>
      <w:r w:rsidR="00D611F8">
        <w:t>9</w:t>
      </w:r>
      <w:r w:rsidRPr="00007A00">
        <w:t>).</w:t>
      </w:r>
    </w:p>
    <w:p w14:paraId="775C4242" w14:textId="77777777" w:rsidR="0016084B" w:rsidRPr="00007A00" w:rsidRDefault="0016084B" w:rsidP="0016084B"/>
    <w:p w14:paraId="2966E17A" w14:textId="6D71071B" w:rsidR="0016084B" w:rsidRPr="00007A00" w:rsidRDefault="0016084B" w:rsidP="00007A00">
      <w:pPr>
        <w:ind w:firstLine="0"/>
      </w:pPr>
      <m:oMath>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t</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t</m:t>
                </m:r>
              </m:sub>
            </m:sSub>
          </m:den>
        </m:f>
        <m:r>
          <w:rPr>
            <w:rFonts w:ascii="Cambria Math" w:hAnsi="Cambria Math"/>
          </w:rPr>
          <m:t>)=α+β</m:t>
        </m:r>
        <m:r>
          <m:rPr>
            <m:sty m:val="p"/>
          </m:rPr>
          <w:rPr>
            <w:rFonts w:ascii="Cambria Math" w:hAnsi="Cambria Math"/>
          </w:rPr>
          <m:t>ln⁡</m:t>
        </m:r>
        <m:r>
          <w:rPr>
            <w:rFonts w:ascii="Cambria Math" w:hAnsi="Cambria Math"/>
          </w:rPr>
          <m:t>(IG</m:t>
        </m:r>
        <m:sSub>
          <m:sSubPr>
            <m:ctrlPr>
              <w:rPr>
                <w:rFonts w:ascii="Cambria Math" w:hAnsi="Cambria Math"/>
                <w:i/>
              </w:rPr>
            </m:ctrlPr>
          </m:sSubPr>
          <m:e>
            <m:r>
              <w:rPr>
                <w:rFonts w:ascii="Cambria Math" w:hAnsi="Cambria Math"/>
              </w:rPr>
              <m:t>PT</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007A00">
        <w:t xml:space="preserve">,                      </w:t>
      </w:r>
      <w:r w:rsidR="00007A00">
        <w:t xml:space="preserve">         </w:t>
      </w:r>
      <w:r w:rsidRPr="00007A00">
        <w:t xml:space="preserve">                                            (</w:t>
      </w:r>
      <w:r w:rsidR="00D611F8">
        <w:t>6</w:t>
      </w:r>
      <w:r w:rsidRPr="00007A00">
        <w:t>)</w:t>
      </w:r>
    </w:p>
    <w:p w14:paraId="6AE4D6C4" w14:textId="77777777" w:rsidR="0016084B" w:rsidRPr="00007A00" w:rsidRDefault="0016084B" w:rsidP="0016084B"/>
    <w:p w14:paraId="6810080C" w14:textId="1043A799" w:rsidR="0016084B" w:rsidRPr="00007A00" w:rsidRDefault="000F7635" w:rsidP="00007A00">
      <w:pPr>
        <w:ind w:firstLine="0"/>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2014</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2010</m:t>
                        </m:r>
                      </m:sub>
                    </m:sSub>
                  </m:den>
                </m:f>
              </m:e>
            </m:d>
          </m:e>
        </m:func>
        <m:r>
          <w:rPr>
            <w:rFonts w:ascii="Cambria Math" w:hAnsi="Cambria Math"/>
          </w:rPr>
          <m:t>=α+β</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IG</m:t>
                </m:r>
                <m:sSub>
                  <m:sSubPr>
                    <m:ctrlPr>
                      <w:rPr>
                        <w:rFonts w:ascii="Cambria Math" w:hAnsi="Cambria Math"/>
                        <w:i/>
                      </w:rPr>
                    </m:ctrlPr>
                  </m:sSubPr>
                  <m:e>
                    <m:r>
                      <w:rPr>
                        <w:rFonts w:ascii="Cambria Math" w:hAnsi="Cambria Math"/>
                      </w:rPr>
                      <m:t>P</m:t>
                    </m:r>
                  </m:e>
                  <m:sub>
                    <m:r>
                      <w:rPr>
                        <w:rFonts w:ascii="Cambria Math" w:hAnsi="Cambria Math"/>
                      </w:rPr>
                      <m:t>2010</m:t>
                    </m:r>
                  </m:sub>
                </m:sSub>
              </m:e>
            </m:d>
          </m:e>
        </m:func>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2010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16084B" w:rsidRPr="00007A00">
        <w:t xml:space="preserve">,                   </w:t>
      </w:r>
      <w:r w:rsidR="00007A00">
        <w:t xml:space="preserve">           </w:t>
      </w:r>
      <w:r w:rsidR="0016084B" w:rsidRPr="00007A00">
        <w:t xml:space="preserve">                                    (</w:t>
      </w:r>
      <w:r w:rsidR="00D611F8">
        <w:t>7</w:t>
      </w:r>
      <w:r w:rsidR="0016084B" w:rsidRPr="00007A00">
        <w:t>)</w:t>
      </w:r>
    </w:p>
    <w:p w14:paraId="4A11B576" w14:textId="77777777" w:rsidR="0016084B" w:rsidRPr="00007A00" w:rsidRDefault="0016084B" w:rsidP="0016084B"/>
    <w:p w14:paraId="246B486F" w14:textId="14D92463" w:rsidR="0016084B" w:rsidRPr="00007A00" w:rsidRDefault="0016084B" w:rsidP="00007A00">
      <w:pPr>
        <w:ind w:firstLine="0"/>
      </w:pPr>
      <w:r w:rsidRPr="00007A00">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2016</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2010</m:t>
                        </m:r>
                      </m:sub>
                    </m:sSub>
                  </m:den>
                </m:f>
              </m:e>
            </m:d>
          </m:e>
        </m:func>
        <m:r>
          <w:rPr>
            <w:rFonts w:ascii="Cambria Math" w:hAnsi="Cambria Math"/>
          </w:rPr>
          <m:t>=α+β</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IG</m:t>
                </m:r>
                <m:sSub>
                  <m:sSubPr>
                    <m:ctrlPr>
                      <w:rPr>
                        <w:rFonts w:ascii="Cambria Math" w:hAnsi="Cambria Math"/>
                        <w:i/>
                      </w:rPr>
                    </m:ctrlPr>
                  </m:sSubPr>
                  <m:e>
                    <m:r>
                      <w:rPr>
                        <w:rFonts w:ascii="Cambria Math" w:hAnsi="Cambria Math"/>
                      </w:rPr>
                      <m:t>P</m:t>
                    </m:r>
                  </m:e>
                  <m:sub>
                    <m:r>
                      <w:rPr>
                        <w:rFonts w:ascii="Cambria Math" w:hAnsi="Cambria Math"/>
                      </w:rPr>
                      <m:t>2010</m:t>
                    </m:r>
                  </m:sub>
                </m:sSub>
              </m:e>
            </m:d>
          </m:e>
        </m:func>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2010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Pr="00007A00">
        <w:t xml:space="preserve">,                    </w:t>
      </w:r>
      <w:r w:rsidR="00007A00">
        <w:t xml:space="preserve">           </w:t>
      </w:r>
      <w:r w:rsidRPr="00007A00">
        <w:t xml:space="preserve">                                 (</w:t>
      </w:r>
      <w:r w:rsidR="00D611F8">
        <w:t>8</w:t>
      </w:r>
      <w:r w:rsidRPr="00007A00">
        <w:t>)</w:t>
      </w:r>
    </w:p>
    <w:p w14:paraId="42C698A0" w14:textId="77777777" w:rsidR="0016084B" w:rsidRPr="00007A00" w:rsidRDefault="0016084B" w:rsidP="0016084B"/>
    <w:p w14:paraId="57DA04D8" w14:textId="0E93165E" w:rsidR="0016084B" w:rsidRPr="00007A00" w:rsidRDefault="000F7635" w:rsidP="00007A00">
      <w:pPr>
        <w:ind w:firstLine="0"/>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it</m:t>
                        </m:r>
                      </m:sub>
                    </m:sSub>
                  </m:num>
                  <m:den>
                    <m:r>
                      <w:rPr>
                        <w:rFonts w:ascii="Cambria Math" w:hAnsi="Cambria Math"/>
                      </w:rPr>
                      <m:t>IGP</m:t>
                    </m:r>
                    <m:sSub>
                      <m:sSubPr>
                        <m:ctrlPr>
                          <w:rPr>
                            <w:rFonts w:ascii="Cambria Math" w:hAnsi="Cambria Math"/>
                            <w:i/>
                          </w:rPr>
                        </m:ctrlPr>
                      </m:sSubPr>
                      <m:e>
                        <m:r>
                          <w:rPr>
                            <w:rFonts w:ascii="Cambria Math" w:hAnsi="Cambria Math"/>
                          </w:rPr>
                          <m:t>T</m:t>
                        </m:r>
                      </m:e>
                      <m:sub>
                        <m:r>
                          <w:rPr>
                            <w:rFonts w:ascii="Cambria Math" w:hAnsi="Cambria Math"/>
                          </w:rPr>
                          <m:t>it</m:t>
                        </m:r>
                      </m:sub>
                    </m:sSub>
                  </m:den>
                </m:f>
              </m:e>
            </m:d>
          </m:e>
        </m:func>
        <m:r>
          <w:rPr>
            <w:rFonts w:ascii="Cambria Math" w:hAnsi="Cambria Math"/>
          </w:rPr>
          <m:t>=α+β</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IG</m:t>
                </m:r>
                <m:sSub>
                  <m:sSubPr>
                    <m:ctrlPr>
                      <w:rPr>
                        <w:rFonts w:ascii="Cambria Math" w:hAnsi="Cambria Math"/>
                        <w:i/>
                      </w:rPr>
                    </m:ctrlPr>
                  </m:sSubPr>
                  <m:e>
                    <m:r>
                      <w:rPr>
                        <w:rFonts w:ascii="Cambria Math" w:hAnsi="Cambria Math"/>
                      </w:rPr>
                      <m:t>PT</m:t>
                    </m:r>
                  </m:e>
                  <m:sub>
                    <m:r>
                      <w:rPr>
                        <w:rFonts w:ascii="Cambria Math" w:hAnsi="Cambria Math"/>
                      </w:rPr>
                      <m:t>it-1</m:t>
                    </m:r>
                  </m:sub>
                </m:sSub>
              </m:e>
            </m:d>
          </m:e>
        </m:func>
        <m:r>
          <w:rPr>
            <w:rFonts w:ascii="Cambria Math" w:hAnsi="Cambria Math"/>
          </w:rPr>
          <m:t>+γ</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w:r w:rsidR="0016084B" w:rsidRPr="00007A00">
        <w:t xml:space="preserve">,                </w:t>
      </w:r>
      <w:r w:rsidR="00007A00">
        <w:t xml:space="preserve">         </w:t>
      </w:r>
      <w:r w:rsidR="0016084B" w:rsidRPr="00007A00">
        <w:t xml:space="preserve">                                         </w:t>
      </w:r>
      <w:r w:rsidR="00D611F8">
        <w:t xml:space="preserve">  </w:t>
      </w:r>
      <w:r w:rsidR="0016084B" w:rsidRPr="00007A00">
        <w:t xml:space="preserve">  (</w:t>
      </w:r>
      <w:r w:rsidR="00D611F8">
        <w:t>9</w:t>
      </w:r>
      <w:r w:rsidR="0016084B" w:rsidRPr="00007A00">
        <w:t>)</w:t>
      </w:r>
    </w:p>
    <w:p w14:paraId="61F8C0B0" w14:textId="77777777" w:rsidR="0016084B" w:rsidRPr="00007A00" w:rsidRDefault="0016084B" w:rsidP="0016084B"/>
    <w:p w14:paraId="1F050132" w14:textId="77777777" w:rsidR="0016084B" w:rsidRPr="00007A00" w:rsidRDefault="0016084B" w:rsidP="00007A00">
      <w:pPr>
        <w:ind w:firstLine="0"/>
      </w:pPr>
      <w:r w:rsidRPr="00007A00">
        <w:t xml:space="preserve">sendo  </w:t>
      </w:r>
      <m:oMath>
        <m:sSub>
          <m:sSubPr>
            <m:ctrlPr>
              <w:rPr>
                <w:rFonts w:ascii="Cambria Math" w:hAnsi="Cambria Math"/>
                <w:i/>
              </w:rPr>
            </m:ctrlPr>
          </m:sSubPr>
          <m:e>
            <m:r>
              <w:rPr>
                <w:rFonts w:ascii="Cambria Math" w:hAnsi="Cambria Math"/>
              </w:rPr>
              <m:t>Z</m:t>
            </m:r>
          </m:e>
          <m:sub>
            <m:r>
              <w:rPr>
                <w:rFonts w:ascii="Cambria Math" w:hAnsi="Cambria Math"/>
              </w:rPr>
              <m:t>it</m:t>
            </m:r>
          </m:sub>
        </m:sSub>
        <m:r>
          <m:rPr>
            <m:scr m:val="double-struck"/>
          </m:rPr>
          <w:rPr>
            <w:rFonts w:ascii="Cambria Math" w:hAnsi="Cambria Math"/>
          </w:rPr>
          <m:t>⊂ R</m:t>
        </m:r>
      </m:oMath>
      <w:r w:rsidRPr="00007A00">
        <w:t xml:space="preserve"> um vetor de variáveis de controle; e </w:t>
      </w:r>
      <m:oMath>
        <m:r>
          <w:rPr>
            <w:rFonts w:ascii="Cambria Math" w:hAnsi="Cambria Math"/>
          </w:rPr>
          <m:t>γ</m:t>
        </m:r>
        <m:r>
          <m:rPr>
            <m:scr m:val="double-struck"/>
          </m:rPr>
          <w:rPr>
            <w:rFonts w:ascii="Cambria Math" w:hAnsi="Cambria Math"/>
          </w:rPr>
          <m:t>∈ R</m:t>
        </m:r>
      </m:oMath>
      <w:r w:rsidRPr="00007A00">
        <w:t xml:space="preserve"> um vetor dos parâmetros a serem estimados.</w:t>
      </w:r>
    </w:p>
    <w:p w14:paraId="40D8884C" w14:textId="77777777" w:rsidR="0016084B" w:rsidRPr="00007A00" w:rsidRDefault="0016084B" w:rsidP="0016084B">
      <w:pPr>
        <w:rPr>
          <w:b/>
        </w:rPr>
      </w:pPr>
    </w:p>
    <w:p w14:paraId="4DF1988F" w14:textId="0AA88B33" w:rsidR="0016084B" w:rsidRPr="00DC7281" w:rsidRDefault="005264B1" w:rsidP="005264B1">
      <w:pPr>
        <w:ind w:firstLine="0"/>
        <w:rPr>
          <w:b/>
          <w:szCs w:val="24"/>
        </w:rPr>
      </w:pPr>
      <w:r w:rsidRPr="00DC7281">
        <w:rPr>
          <w:b/>
          <w:szCs w:val="24"/>
        </w:rPr>
        <w:t>4 Resultados</w:t>
      </w:r>
    </w:p>
    <w:p w14:paraId="083335FA" w14:textId="77777777" w:rsidR="0016084B" w:rsidRPr="00007A00" w:rsidRDefault="0016084B" w:rsidP="00007A00">
      <w:pPr>
        <w:ind w:firstLine="0"/>
        <w:rPr>
          <w:b/>
        </w:rPr>
      </w:pPr>
      <w:r w:rsidRPr="00007A00">
        <w:rPr>
          <w:b/>
        </w:rPr>
        <w:t>4.1 Evolução das finanças públicas municipais no período recente</w:t>
      </w:r>
    </w:p>
    <w:p w14:paraId="2FAA6BF9" w14:textId="77777777" w:rsidR="0016084B" w:rsidRPr="00007A00" w:rsidRDefault="0016084B" w:rsidP="0016084B">
      <w:r w:rsidRPr="00007A00">
        <w:t xml:space="preserve">Entre os anos de 2008 e 2015, exceto 2009, o percentual de municípios com problemas fiscais (valor inferior à 0,6 para o IFGF) registra tendência de alta, de 66% em 2008 para 88% em 2012 (Gráfico 1), sendo a crise financeira internacional o principal responsável pelo aumento no número de municípios com problemas fiscais. A partir de 2013, os municípios passam a observar deterioração de suas finanças, assim, 84% dos municípios apresentaram dificuldades financeiras em 2013. Em 2014, este número recua para 80%, mas com o agravamento da crise econômica, em 2015, avança para 88%. Por sua vez, em 2016 o percentual de municípios com problemas fiscais registra uma tênue redução, para 86%. Atualmente, a grande maioria dos municípios se encontram em situação de elevado descontrole fiscal, informação corroborada pelo valor médio do IFGF, que recuou de 0,53 em 2008 para 0,47 em 2016. </w:t>
      </w:r>
    </w:p>
    <w:p w14:paraId="37FCF31E" w14:textId="77777777" w:rsidR="0016084B" w:rsidRPr="00007A00" w:rsidRDefault="0016084B" w:rsidP="0016084B"/>
    <w:p w14:paraId="7E07A08F" w14:textId="77777777" w:rsidR="0016084B" w:rsidRPr="00007A00" w:rsidRDefault="0016084B" w:rsidP="00D611F8">
      <w:pPr>
        <w:ind w:firstLine="0"/>
      </w:pPr>
      <w:r w:rsidRPr="00007A00">
        <w:t>Gráfico 1 – Percentual de municípios com gestão em dificuldade ou crítica (colunas) e valor médio do IFGF (linha), período 2010-2016</w:t>
      </w:r>
    </w:p>
    <w:p w14:paraId="05A785EA" w14:textId="77777777" w:rsidR="0016084B" w:rsidRPr="00007A00" w:rsidRDefault="0016084B" w:rsidP="00007A00">
      <w:pPr>
        <w:ind w:firstLine="0"/>
      </w:pPr>
      <w:r w:rsidRPr="00007A00">
        <w:rPr>
          <w:noProof/>
        </w:rPr>
        <w:lastRenderedPageBreak/>
        <w:drawing>
          <wp:inline distT="0" distB="0" distL="0" distR="0" wp14:anchorId="54E54C64" wp14:editId="5DDF6C1E">
            <wp:extent cx="5676900" cy="2393950"/>
            <wp:effectExtent l="0" t="0" r="0" b="6350"/>
            <wp:docPr id="5" name="Gráfico 5">
              <a:extLst xmlns:a="http://schemas.openxmlformats.org/drawingml/2006/main">
                <a:ext uri="{FF2B5EF4-FFF2-40B4-BE49-F238E27FC236}">
                  <a16:creationId xmlns:a16="http://schemas.microsoft.com/office/drawing/2014/main" id="{0F69D9B0-1430-4EAD-A89A-91F3BFC128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C90E25" w14:textId="77777777" w:rsidR="0016084B" w:rsidRPr="00007A00" w:rsidRDefault="0016084B" w:rsidP="00007A00">
      <w:pPr>
        <w:ind w:firstLine="0"/>
        <w:rPr>
          <w:sz w:val="20"/>
        </w:rPr>
      </w:pPr>
      <w:r w:rsidRPr="00007A00">
        <w:rPr>
          <w:sz w:val="20"/>
        </w:rPr>
        <w:t>Fonte: FIRJAN</w:t>
      </w:r>
    </w:p>
    <w:p w14:paraId="6A305464" w14:textId="77777777" w:rsidR="0016084B" w:rsidRPr="00007A00" w:rsidRDefault="0016084B" w:rsidP="0016084B">
      <w:pPr>
        <w:rPr>
          <w:noProof/>
        </w:rPr>
      </w:pPr>
    </w:p>
    <w:p w14:paraId="5B226DF2" w14:textId="45B7B50E" w:rsidR="0016084B" w:rsidRPr="00007A00" w:rsidRDefault="0016084B" w:rsidP="0016084B">
      <w:r w:rsidRPr="00007A00">
        <w:t xml:space="preserve">A crise fiscal dos municípios é explicada, ao menos em parte, pelo comportamento das transferências dos estados e do governo federal para os municípios (Gráfico 2). </w:t>
      </w:r>
    </w:p>
    <w:p w14:paraId="52E0D326" w14:textId="77777777" w:rsidR="0016084B" w:rsidRPr="00007A00" w:rsidRDefault="0016084B" w:rsidP="0016084B"/>
    <w:p w14:paraId="16114AC6" w14:textId="77777777" w:rsidR="0016084B" w:rsidRPr="00007A00" w:rsidRDefault="0016084B" w:rsidP="00007A00">
      <w:pPr>
        <w:ind w:firstLine="0"/>
      </w:pPr>
      <w:r w:rsidRPr="00007A00">
        <w:t>Gráfico 2 – Participação média das transferências nas receitas correntes dos municípios discriminadas para as classes de renda per capita e população, em percentual (2015).</w:t>
      </w:r>
    </w:p>
    <w:p w14:paraId="306E4BF9" w14:textId="77777777" w:rsidR="0016084B" w:rsidRPr="00007A00" w:rsidRDefault="0016084B" w:rsidP="0016084B">
      <w:pPr>
        <w:rPr>
          <w:sz w:val="20"/>
        </w:rPr>
      </w:pPr>
      <w:r w:rsidRPr="00007A00">
        <w:rPr>
          <w:sz w:val="20"/>
        </w:rPr>
        <w:t>Renda per capita                                                                      População</w:t>
      </w:r>
    </w:p>
    <w:p w14:paraId="12655239" w14:textId="77777777" w:rsidR="0016084B" w:rsidRPr="00007A00" w:rsidRDefault="0016084B" w:rsidP="00007A00">
      <w:pPr>
        <w:ind w:firstLine="0"/>
        <w:rPr>
          <w:noProof/>
        </w:rPr>
      </w:pPr>
      <w:r w:rsidRPr="00007A00">
        <w:rPr>
          <w:noProof/>
        </w:rPr>
        <w:drawing>
          <wp:anchor distT="0" distB="0" distL="114300" distR="114300" simplePos="0" relativeHeight="251657216" behindDoc="0" locked="0" layoutInCell="1" allowOverlap="1" wp14:anchorId="3B18AD4B" wp14:editId="3CBCEFC9">
            <wp:simplePos x="0" y="0"/>
            <wp:positionH relativeFrom="margin">
              <wp:align>right</wp:align>
            </wp:positionH>
            <wp:positionV relativeFrom="paragraph">
              <wp:posOffset>3810</wp:posOffset>
            </wp:positionV>
            <wp:extent cx="2631440" cy="1828800"/>
            <wp:effectExtent l="0" t="0" r="16510" b="0"/>
            <wp:wrapSquare wrapText="bothSides"/>
            <wp:docPr id="8" name="Gráfico 8">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007A00">
        <w:rPr>
          <w:noProof/>
        </w:rPr>
        <w:drawing>
          <wp:inline distT="0" distB="0" distL="0" distR="0" wp14:anchorId="3747CE2F" wp14:editId="58BDA495">
            <wp:extent cx="2584174" cy="1828800"/>
            <wp:effectExtent l="0" t="0" r="6985" b="0"/>
            <wp:docPr id="7" name="Gráfico 7">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10021D" w14:textId="77777777" w:rsidR="0016084B" w:rsidRPr="00007A00" w:rsidRDefault="0016084B" w:rsidP="00007A00">
      <w:pPr>
        <w:ind w:firstLine="0"/>
        <w:rPr>
          <w:noProof/>
          <w:sz w:val="20"/>
        </w:rPr>
      </w:pPr>
      <w:r w:rsidRPr="00007A00">
        <w:rPr>
          <w:noProof/>
          <w:sz w:val="20"/>
        </w:rPr>
        <w:t>Fonte: Siconfi</w:t>
      </w:r>
    </w:p>
    <w:p w14:paraId="052DEF3A" w14:textId="77777777" w:rsidR="0016084B" w:rsidRPr="00007A00" w:rsidRDefault="0016084B" w:rsidP="0016084B">
      <w:pPr>
        <w:rPr>
          <w:noProof/>
        </w:rPr>
      </w:pPr>
    </w:p>
    <w:p w14:paraId="33A9A338" w14:textId="77777777" w:rsidR="00D611F8" w:rsidRPr="00007A00" w:rsidRDefault="00D611F8" w:rsidP="00D611F8">
      <w:r w:rsidRPr="00007A00">
        <w:t>Os municípios com menor nível de renda per capita e menor população possuem elevada dependência dos recursos transferidos pelas demais esferas da federação. Em média, 95% das receitas correntes dos municípios com renda per capita inferior a R$ 5.000,00 são transferências, ao passo que 91% das receitas correntes dos municípios com população inferior à 10.000 habitantes é proveniente de transferências. Ademais, conforme o nível de renda e o tamanho dos municípios se elevam a dependência das transferências se reduz. Porém, mesmo nos municípios com maior população e renda, as transferências ainda representam a principal fonte de recursos, 56% e 77%, respectivamente.</w:t>
      </w:r>
    </w:p>
    <w:p w14:paraId="4E3F2BA2" w14:textId="418AE75B" w:rsidR="0016084B" w:rsidRPr="00007A00" w:rsidRDefault="0016084B" w:rsidP="0016084B">
      <w:pPr>
        <w:rPr>
          <w:noProof/>
        </w:rPr>
      </w:pPr>
      <w:r w:rsidRPr="00007A00">
        <w:rPr>
          <w:noProof/>
        </w:rPr>
        <w:t xml:space="preserve">A estagnação da economia em 2014, ano em que a taxa de crescimento do PIB a preços básicos foi de apenas 0,46% (Gráfico 3), e a sua retração nos anos de 2015 e 2016, -3,15% e -2,93%, respectivamente, resultaram em recuo na capacidade de arrecadação dos estados e da união. A consequência de tal conjuctura é que os repasses de transferências para os municípios </w:t>
      </w:r>
      <w:r w:rsidRPr="00007A00">
        <w:rPr>
          <w:noProof/>
        </w:rPr>
        <w:lastRenderedPageBreak/>
        <w:t>recuaram de R$ 289,07 bilhões em 2014 para R$ 272,59  bilhões em 2015, com suave avanço para R$ 278,02 bilhões em 2016, acompanhando a taxa de crescimento do PIB brasileiro. Este cenário de crise econômica que resultou na queda das transferências gerou um quadro de crise fiscal generalizada nos municípios.</w:t>
      </w:r>
    </w:p>
    <w:p w14:paraId="6879BC18" w14:textId="77777777" w:rsidR="0016084B" w:rsidRPr="00007A00" w:rsidRDefault="0016084B" w:rsidP="0016084B">
      <w:pPr>
        <w:rPr>
          <w:noProof/>
        </w:rPr>
      </w:pPr>
      <w:r w:rsidRPr="00007A00">
        <w:rPr>
          <w:noProof/>
        </w:rPr>
        <w:t>Apesar da conjuntura de retração da economia ajudar a explicar o atual quadro de crise fiscal dos municípios, não é possível se atribuir os problemas financeiros dos municípios, em sua totalidade, à crise econômica. Também existem importantes fatores de ordem estrutural que contribuíram para que a situação financeira dos municípios se deteriorasse ao longo da segunda década do século XXI (Gráfico 4.a). Desta forma, o IGP registra tendência de retração ao longo de todo o período 2008-2016, evidenciando uma tendência de aumento na participação das DTP na RCL no período anterior à crise. Por sua vez, o IFGF Investimento também recua fortemente no período 2012-2016, indicando que os municípios reagiram à crise cortando investimentos.</w:t>
      </w:r>
    </w:p>
    <w:p w14:paraId="2131C12F" w14:textId="77777777" w:rsidR="0016084B" w:rsidRPr="00007A00" w:rsidRDefault="0016084B" w:rsidP="0016084B">
      <w:pPr>
        <w:rPr>
          <w:noProof/>
        </w:rPr>
      </w:pPr>
    </w:p>
    <w:p w14:paraId="0CCCE119" w14:textId="77777777" w:rsidR="0016084B" w:rsidRPr="00007A00" w:rsidRDefault="0016084B" w:rsidP="00007A00">
      <w:pPr>
        <w:ind w:firstLine="0"/>
        <w:rPr>
          <w:noProof/>
        </w:rPr>
      </w:pPr>
      <w:r w:rsidRPr="00007A00">
        <w:rPr>
          <w:noProof/>
        </w:rPr>
        <w:t>Gráfico 3 – Taxa de crescimento do PIB a preços básicos (em percentual) e montante de transferências recebidas pelos municípios, em bilhões R$ - colunas, (deflator IPCA 2013=100)</w:t>
      </w:r>
    </w:p>
    <w:p w14:paraId="2AE43853" w14:textId="77777777" w:rsidR="0016084B" w:rsidRPr="00007A00" w:rsidRDefault="0016084B" w:rsidP="00007A00">
      <w:pPr>
        <w:ind w:firstLine="0"/>
      </w:pPr>
      <w:r w:rsidRPr="00007A00">
        <w:rPr>
          <w:noProof/>
        </w:rPr>
        <w:drawing>
          <wp:inline distT="0" distB="0" distL="0" distR="0" wp14:anchorId="7E5FDB37" wp14:editId="7E2EB284">
            <wp:extent cx="5724525" cy="2348230"/>
            <wp:effectExtent l="0" t="0" r="9525" b="13970"/>
            <wp:docPr id="14" name="Gráfico 14">
              <a:extLst xmlns:a="http://schemas.openxmlformats.org/drawingml/2006/main">
                <a:ext uri="{FF2B5EF4-FFF2-40B4-BE49-F238E27FC236}">
                  <a16:creationId xmlns:a16="http://schemas.microsoft.com/office/drawing/2014/main" id="{A1B89F50-0313-432A-B011-7DEA168BE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51A37E" w14:textId="77777777" w:rsidR="0016084B" w:rsidRPr="00007A00" w:rsidRDefault="0016084B" w:rsidP="00007A00">
      <w:pPr>
        <w:ind w:firstLine="0"/>
        <w:rPr>
          <w:sz w:val="22"/>
          <w:szCs w:val="22"/>
        </w:rPr>
      </w:pPr>
      <w:r w:rsidRPr="00007A00">
        <w:rPr>
          <w:sz w:val="22"/>
          <w:szCs w:val="22"/>
        </w:rPr>
        <w:t>Fonte: Adaptado de Ipeadata e Siconfi</w:t>
      </w:r>
    </w:p>
    <w:p w14:paraId="5A87891E" w14:textId="77777777" w:rsidR="0016084B" w:rsidRPr="00007A00" w:rsidRDefault="0016084B" w:rsidP="0016084B">
      <w:pPr>
        <w:rPr>
          <w:noProof/>
        </w:rPr>
      </w:pPr>
    </w:p>
    <w:p w14:paraId="1CA4199E" w14:textId="5F43A7D8" w:rsidR="0016084B" w:rsidRPr="00007A00" w:rsidRDefault="0016084B" w:rsidP="00007A00">
      <w:pPr>
        <w:ind w:firstLine="0"/>
        <w:rPr>
          <w:noProof/>
        </w:rPr>
      </w:pPr>
      <w:r w:rsidRPr="00007A00">
        <w:rPr>
          <w:noProof/>
        </w:rPr>
        <w:t xml:space="preserve">Gráfico 4 – IFGF discriminado por indicador, período 2006-2016, ano-base 2006=100 (esquerda); </w:t>
      </w:r>
      <w:r w:rsidRPr="00007A00">
        <w:t>Percentual de municípios com IGP em dificuldade ou crítico (colunas) e valor médio do IDP (linha), período 2010-2016 (direita)</w:t>
      </w:r>
    </w:p>
    <w:p w14:paraId="5E779472" w14:textId="77777777" w:rsidR="0016084B" w:rsidRPr="00007A00" w:rsidRDefault="0016084B" w:rsidP="00007A00">
      <w:pPr>
        <w:ind w:firstLine="0"/>
        <w:rPr>
          <w:noProof/>
        </w:rPr>
      </w:pPr>
      <w:r w:rsidRPr="00007A00">
        <w:rPr>
          <w:noProof/>
        </w:rPr>
        <w:drawing>
          <wp:anchor distT="0" distB="0" distL="114300" distR="114300" simplePos="0" relativeHeight="251659264" behindDoc="1" locked="0" layoutInCell="1" allowOverlap="1" wp14:anchorId="7BF155D1" wp14:editId="402639C1">
            <wp:simplePos x="0" y="0"/>
            <wp:positionH relativeFrom="margin">
              <wp:posOffset>2919730</wp:posOffset>
            </wp:positionH>
            <wp:positionV relativeFrom="paragraph">
              <wp:posOffset>12700</wp:posOffset>
            </wp:positionV>
            <wp:extent cx="2714625" cy="2040890"/>
            <wp:effectExtent l="0" t="0" r="9525" b="16510"/>
            <wp:wrapTight wrapText="bothSides">
              <wp:wrapPolygon edited="0">
                <wp:start x="0" y="0"/>
                <wp:lineTo x="0" y="21573"/>
                <wp:lineTo x="21524" y="21573"/>
                <wp:lineTo x="21524" y="0"/>
                <wp:lineTo x="0" y="0"/>
              </wp:wrapPolygon>
            </wp:wrapTight>
            <wp:docPr id="13" name="Gráfico 13">
              <a:extLst xmlns:a="http://schemas.openxmlformats.org/drawingml/2006/main">
                <a:ext uri="{FF2B5EF4-FFF2-40B4-BE49-F238E27FC236}">
                  <a16:creationId xmlns:a16="http://schemas.microsoft.com/office/drawing/2014/main" id="{11127900-9BFC-4BEB-A6A2-ADB48C42E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007A00">
        <w:rPr>
          <w:noProof/>
        </w:rPr>
        <w:drawing>
          <wp:inline distT="0" distB="0" distL="0" distR="0" wp14:anchorId="768E5F8E" wp14:editId="4EF4CB16">
            <wp:extent cx="2764465" cy="2062480"/>
            <wp:effectExtent l="0" t="0" r="17145" b="13970"/>
            <wp:docPr id="15" name="Gráfico 15">
              <a:extLst xmlns:a="http://schemas.openxmlformats.org/drawingml/2006/main">
                <a:ext uri="{FF2B5EF4-FFF2-40B4-BE49-F238E27FC236}">
                  <a16:creationId xmlns:a16="http://schemas.microsoft.com/office/drawing/2014/main" id="{0C0B0ABA-FD53-44BC-AE7D-42C836D5F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86AF49" w14:textId="77777777" w:rsidR="0016084B" w:rsidRPr="00007A00" w:rsidRDefault="0016084B" w:rsidP="00007A00">
      <w:pPr>
        <w:ind w:firstLine="0"/>
        <w:rPr>
          <w:noProof/>
          <w:sz w:val="20"/>
        </w:rPr>
      </w:pPr>
      <w:r w:rsidRPr="00007A00">
        <w:rPr>
          <w:noProof/>
          <w:sz w:val="20"/>
        </w:rPr>
        <w:lastRenderedPageBreak/>
        <w:t>Fonte: FIRJAN</w:t>
      </w:r>
    </w:p>
    <w:p w14:paraId="45FF3D24" w14:textId="77777777" w:rsidR="0016084B" w:rsidRPr="00007A00" w:rsidRDefault="0016084B" w:rsidP="0016084B">
      <w:r w:rsidRPr="00007A00">
        <w:rPr>
          <w:noProof/>
        </w:rPr>
        <w:t xml:space="preserve"> </w:t>
      </w:r>
    </w:p>
    <w:p w14:paraId="6BD95BB4" w14:textId="77777777" w:rsidR="0016084B" w:rsidRPr="00007A00" w:rsidRDefault="0016084B" w:rsidP="0016084B">
      <w:r w:rsidRPr="00007A00">
        <w:t>O percentual de municípios em dificuldade ou em situação crítica para o IGP no período 2010-2016 (Gráfico 4.b, coluna) se eleva de 41% em 2011 para 75% em 2015 e recua para 68% em 2016. Além disso, a média do IGP (Gráfico 2, linha) para os municípios brasileiros é de 0,61 em 2011 e cai para 0,46 em 2015, com leve recuperação, para 0,51 em 2016.</w:t>
      </w:r>
    </w:p>
    <w:p w14:paraId="0C9FE920" w14:textId="77777777" w:rsidR="0016084B" w:rsidRPr="00007A00" w:rsidRDefault="0016084B" w:rsidP="0016084B">
      <w:pPr>
        <w:ind w:firstLine="708"/>
      </w:pPr>
      <w:r w:rsidRPr="00007A00">
        <w:t xml:space="preserve">A trajetória ascendente do gasto com pessoal, observada para o período 2008-2014, é explicada, ao menos em parte, pela complacência da LRF, que coloca os municípios em uma situação muito delicada atualmente. O período de elevado crescimento econômico resultou em aumento na arrecadação dos municípios, que diante da liberdade estabelecida pela LRF elevaram a DTP. Até o ano de 2014 a pressão gerada pelo avanço na DTP foi arrefecida pelo crescimento da arrecadação, fruto do contexto de crescimento da economia brasileira. </w:t>
      </w:r>
    </w:p>
    <w:p w14:paraId="6DBF3748" w14:textId="77777777" w:rsidR="0016084B" w:rsidRPr="00007A00" w:rsidRDefault="0016084B" w:rsidP="0016084B">
      <w:r w:rsidRPr="00007A00">
        <w:t xml:space="preserve">Com a redução da arrecadação, provocada pela crise econômica, o problema se tornou evidente, surgindo um descompasso entre a tendência de crescimento dos gastos com pessoal e a forte retração nas receitas dos municípios. Contudo, não se pode afirmar que a crise econômica pode ser apontada como a grande responsável pelo cenário atual de crise fiscal dos municípios. Ela apenas tornou evidente uma inconsistência já existente, pois mais cedo ou mais tarde a pressão gerada pela tendência de avanço no gasto com pessoal cobraria o seu preço, demandando a adoção de medidas que resultassem em uma correção de rota. Portanto, a crise apenas eliminou o espaço de manobra dos municípios, adiantando a necessidade de realização desta correção. </w:t>
      </w:r>
    </w:p>
    <w:p w14:paraId="5BB8AA02" w14:textId="77777777" w:rsidR="0016084B" w:rsidRPr="00007A00" w:rsidRDefault="0016084B" w:rsidP="0016084B">
      <w:r w:rsidRPr="00007A00">
        <w:t>Conforme destacado por FIRJAN (2017), a despesa com pessoal é o componente com maior peso nos gastos dos municípios. Ela exibe elevada rigidez (VELLOSO, 2006), de modo que a crise econômica colocou os municípios em uma situação delicada, pois a redução da DTP, principal gasto responsável por pressionar as contas públicas, depende da aprovação de reformas, as quais além de difíceis de serem aprovadas, não são desejadas pelos gestores públicos locais, por causa do elevado desgaste político decorrente.</w:t>
      </w:r>
    </w:p>
    <w:p w14:paraId="565EFB72" w14:textId="77777777" w:rsidR="0016084B" w:rsidRPr="00007A00" w:rsidRDefault="0016084B" w:rsidP="0016084B">
      <w:pPr>
        <w:ind w:firstLine="708"/>
      </w:pPr>
      <w:r w:rsidRPr="00007A00">
        <w:t>Diante do impasse criado pela crise, os municípios adotam diferentes medidas para reduzir os gastos com pessoal, com destaque para o congelamento de salários, postergação na contratação de novos servidores públicos, redução de gratificações e comissões e reajuste salarial abaixo da inflação (RODRIGUES, 2019). Do Couto e Goularte (2019), enfatiza que na expectativa de que a crise fosse passageira, os governantes postergaram a realização de reformas mais abrangentes, que poderiam resultar em desgaste político. Como a crise se mostrou mais resiliente do que o esperado, a estratégia de inação acabou resultando em persistência dos problemas fiscais, levando os municípios a situação de descontrole observada atualmente.</w:t>
      </w:r>
    </w:p>
    <w:p w14:paraId="14E133C3" w14:textId="77777777" w:rsidR="0016084B" w:rsidRPr="00007A00" w:rsidRDefault="0016084B" w:rsidP="0016084B">
      <w:pPr>
        <w:ind w:firstLine="708"/>
      </w:pPr>
      <w:r w:rsidRPr="00007A00">
        <w:t>A argumentação de que a culpa pelos problemas fiscais é da crise econômica (algo exógeno) é frequentemente utilizada pelos gestores municipais para se isentar da responsabilidade pelos problemas fiscais e para não adotar as medidas (antipopulares) de corte nas DTPs necessárias. Esta situação sugere que não existe uma conscientização entre os gestores municipais de que os problemas fiscais dos municípios são oriundos de distorções e aumentos nas DTPs ocorridas no período anterior à crise econômica. O resultado é uma grande aversão a adoção de uma agenda mais dura de reformas que resultem em redução das DTP.</w:t>
      </w:r>
    </w:p>
    <w:p w14:paraId="1E8B702C" w14:textId="77777777" w:rsidR="0016084B" w:rsidRPr="00007A00" w:rsidRDefault="0016084B" w:rsidP="0016084B">
      <w:pPr>
        <w:ind w:firstLine="708"/>
      </w:pPr>
      <w:r w:rsidRPr="00007A00">
        <w:t xml:space="preserve">Essa visão, de que a culpa não é dos municípios e de que um ajuste fiscal mais abrangente não é necessário, contaminou, inclusive, os técnicos fiscais, que deveriam cobrar a </w:t>
      </w:r>
      <w:r w:rsidRPr="00007A00">
        <w:lastRenderedPageBreak/>
        <w:t>realização do ajuste. A sua força é tamanha que levou a aprovação da Lei Complementar 1.649/2018 que, em oposição aos avanços gerados pela LRF, afrouxou as regras sobre a necessidade de cumprimento dos limites de despesas com pessoal. A aludida lei eliminou as restrições de gasto com pessoal dos municípios quando o limite for ultrapassado por causa da redução na arrecadação em mais de 10%, conforme segue:</w:t>
      </w:r>
    </w:p>
    <w:p w14:paraId="665B0187" w14:textId="77777777" w:rsidR="0016084B" w:rsidRPr="00007A00" w:rsidRDefault="0016084B" w:rsidP="0016084B">
      <w:pPr>
        <w:pStyle w:val="NormalWeb"/>
        <w:shd w:val="clear" w:color="auto" w:fill="FFFFFF"/>
        <w:spacing w:before="0" w:beforeAutospacing="0" w:after="0" w:afterAutospacing="0"/>
        <w:ind w:left="2268"/>
        <w:rPr>
          <w:rStyle w:val="nfase"/>
          <w:i w:val="0"/>
        </w:rPr>
      </w:pPr>
    </w:p>
    <w:p w14:paraId="4C568510" w14:textId="77777777" w:rsidR="0016084B" w:rsidRPr="00007A00" w:rsidRDefault="0016084B" w:rsidP="00081F23">
      <w:pPr>
        <w:pStyle w:val="NormalWeb"/>
        <w:shd w:val="clear" w:color="auto" w:fill="FFFFFF"/>
        <w:spacing w:before="0" w:beforeAutospacing="0" w:after="0" w:afterAutospacing="0"/>
        <w:ind w:left="2268" w:firstLine="0"/>
        <w:rPr>
          <w:i/>
          <w:sz w:val="20"/>
          <w:szCs w:val="20"/>
        </w:rPr>
      </w:pPr>
      <w:r w:rsidRPr="00007A00">
        <w:rPr>
          <w:rStyle w:val="nfase"/>
          <w:sz w:val="20"/>
          <w:szCs w:val="20"/>
        </w:rPr>
        <w:t>§ 5º As restrições previstas no § 3º deste artigo não se aplicam ao Município em caso de queda de receita real superior a 10% (dez por cento), em comparação ao correspondente quadrimestre do exercício financeiro anterior, devido a:</w:t>
      </w:r>
    </w:p>
    <w:p w14:paraId="2E3B9BAB" w14:textId="77777777" w:rsidR="0016084B" w:rsidRPr="00007A00" w:rsidRDefault="0016084B" w:rsidP="00081F23">
      <w:pPr>
        <w:pStyle w:val="NormalWeb"/>
        <w:shd w:val="clear" w:color="auto" w:fill="FFFFFF"/>
        <w:spacing w:before="0" w:beforeAutospacing="0" w:after="0" w:afterAutospacing="0"/>
        <w:ind w:left="2268" w:firstLine="0"/>
        <w:rPr>
          <w:i/>
          <w:sz w:val="20"/>
          <w:szCs w:val="20"/>
        </w:rPr>
      </w:pPr>
      <w:r w:rsidRPr="00007A00">
        <w:rPr>
          <w:rStyle w:val="nfase"/>
          <w:sz w:val="20"/>
          <w:szCs w:val="20"/>
        </w:rPr>
        <w:t> I – diminuição das transferências recebidas do Fundo de Participação dos Municípios decorrente de concessão de isenções tributárias pela União; e</w:t>
      </w:r>
    </w:p>
    <w:p w14:paraId="3FCFB554" w14:textId="77777777" w:rsidR="0016084B" w:rsidRPr="00007A00" w:rsidRDefault="0016084B" w:rsidP="00081F23">
      <w:pPr>
        <w:pStyle w:val="NormalWeb"/>
        <w:shd w:val="clear" w:color="auto" w:fill="FFFFFF"/>
        <w:spacing w:before="0" w:beforeAutospacing="0" w:after="0" w:afterAutospacing="0"/>
        <w:ind w:left="2268" w:firstLine="0"/>
        <w:rPr>
          <w:i/>
          <w:sz w:val="20"/>
          <w:szCs w:val="20"/>
        </w:rPr>
      </w:pPr>
      <w:r w:rsidRPr="00007A00">
        <w:rPr>
          <w:rStyle w:val="nfase"/>
          <w:sz w:val="20"/>
          <w:szCs w:val="20"/>
        </w:rPr>
        <w:t> II – diminuição das receitas recebidas de royalties e participações especiais.</w:t>
      </w:r>
    </w:p>
    <w:p w14:paraId="1E6C38ED" w14:textId="77777777" w:rsidR="0016084B" w:rsidRPr="00007A00" w:rsidRDefault="0016084B" w:rsidP="00081F23">
      <w:pPr>
        <w:pStyle w:val="NormalWeb"/>
        <w:shd w:val="clear" w:color="auto" w:fill="FFFFFF"/>
        <w:spacing w:before="0" w:beforeAutospacing="0" w:after="0" w:afterAutospacing="0"/>
        <w:ind w:left="2268" w:firstLine="0"/>
        <w:rPr>
          <w:i/>
          <w:sz w:val="20"/>
          <w:szCs w:val="20"/>
        </w:rPr>
      </w:pPr>
      <w:r w:rsidRPr="00007A00">
        <w:rPr>
          <w:rStyle w:val="nfase"/>
          <w:sz w:val="20"/>
          <w:szCs w:val="20"/>
        </w:rPr>
        <w:t> § 6º O disposto no § 5º deste artigo só se aplica caso a despesa total com pessoal do quadrimestre vigente não ultrapasse o limite percentual previsto no art. 19 desta Lei Complementar, considerada, para este cálculo, a receita corrente líquida do quadrimestre correspondente do ano anterior atualizada monetariamente. (BRASIL, 2018).</w:t>
      </w:r>
    </w:p>
    <w:p w14:paraId="38D094AB" w14:textId="77777777" w:rsidR="0016084B" w:rsidRPr="00007A00" w:rsidRDefault="0016084B" w:rsidP="0016084B">
      <w:pPr>
        <w:pStyle w:val="NormalWeb"/>
        <w:shd w:val="clear" w:color="auto" w:fill="FFFFFF"/>
        <w:spacing w:before="0" w:beforeAutospacing="0" w:after="0" w:afterAutospacing="0"/>
        <w:ind w:left="2268"/>
        <w:rPr>
          <w:rStyle w:val="nfase"/>
          <w:i w:val="0"/>
          <w:color w:val="333333"/>
        </w:rPr>
      </w:pPr>
      <w:r w:rsidRPr="00007A00">
        <w:rPr>
          <w:rStyle w:val="nfase"/>
          <w:color w:val="333333"/>
        </w:rPr>
        <w:t xml:space="preserve"> </w:t>
      </w:r>
    </w:p>
    <w:p w14:paraId="34E44348" w14:textId="77777777" w:rsidR="0016084B" w:rsidRPr="00007A00" w:rsidRDefault="0016084B" w:rsidP="0016084B">
      <w:pPr>
        <w:ind w:firstLine="708"/>
      </w:pPr>
      <w:r w:rsidRPr="00007A00">
        <w:t xml:space="preserve">A Lei Complementar 1.649 pode colocar em xeque parte dos avanços obtidos pela LRF, sinalizando uma maior complacência e um abrandamento nas punições dos gestores que forem negligentes. Ela, indiretamente, pode estimular os gestores municipais a adotarem políticas menos rígidas em relação ao controle de suas despesas, podendo ter efeito futuro negativo sobre a saúde fiscal dos municípios. </w:t>
      </w:r>
    </w:p>
    <w:p w14:paraId="33F5EEDC" w14:textId="77777777" w:rsidR="0016084B" w:rsidRPr="00007A00" w:rsidRDefault="0016084B" w:rsidP="0016084B">
      <w:pPr>
        <w:ind w:firstLine="708"/>
      </w:pPr>
    </w:p>
    <w:p w14:paraId="7EA28AB2" w14:textId="447BB5B8" w:rsidR="0016084B" w:rsidRPr="00007A00" w:rsidRDefault="0016084B" w:rsidP="00081F23">
      <w:pPr>
        <w:ind w:firstLine="0"/>
        <w:rPr>
          <w:b/>
        </w:rPr>
      </w:pPr>
      <w:r w:rsidRPr="00007A00">
        <w:rPr>
          <w:b/>
        </w:rPr>
        <w:t>4.4 Resultados encontrados para os testes de convergência</w:t>
      </w:r>
    </w:p>
    <w:p w14:paraId="3CAFB983" w14:textId="1E1EDE8F" w:rsidR="0016084B" w:rsidRPr="00007A00" w:rsidRDefault="0016084B" w:rsidP="0016084B">
      <w:r w:rsidRPr="00007A00">
        <w:t>Os resultados encontrados para o teste de convergência absoluta (Tabela 5) mostram elevada convergência em todas as nove regressões estimadas, sendo que o modelo em painel apresenta coeficiente beta superior a menos um (-1), indicando a ocorrência de convergência forte. Por sua vez, os modelos estimados para cada ano indicam que os anos de 2011 e 2012 são os que apresentam maior convergência. Por fim, os modelos estimados para o período pré-crise e todo o período indicam que a crise aumentou ainda mais a velocidade de convergência para o teto da LRF.</w:t>
      </w:r>
    </w:p>
    <w:p w14:paraId="3C6CB154" w14:textId="77777777" w:rsidR="0016084B" w:rsidRPr="00007A00" w:rsidRDefault="0016084B" w:rsidP="0016084B"/>
    <w:p w14:paraId="30DBBC15" w14:textId="77777777" w:rsidR="0016084B" w:rsidRPr="00007A00" w:rsidRDefault="0016084B" w:rsidP="00007A00">
      <w:pPr>
        <w:ind w:firstLine="0"/>
      </w:pPr>
      <w:r w:rsidRPr="00007A00">
        <w:t>Tabela 5 – Resultados encontrados para o teste de convergência absoluta</w:t>
      </w:r>
    </w:p>
    <w:tbl>
      <w:tblPr>
        <w:tblW w:w="5000" w:type="pct"/>
        <w:tblCellMar>
          <w:left w:w="70" w:type="dxa"/>
          <w:right w:w="70" w:type="dxa"/>
        </w:tblCellMar>
        <w:tblLook w:val="04A0" w:firstRow="1" w:lastRow="0" w:firstColumn="1" w:lastColumn="0" w:noHBand="0" w:noVBand="1"/>
      </w:tblPr>
      <w:tblGrid>
        <w:gridCol w:w="1153"/>
        <w:gridCol w:w="895"/>
        <w:gridCol w:w="807"/>
        <w:gridCol w:w="831"/>
        <w:gridCol w:w="831"/>
        <w:gridCol w:w="831"/>
        <w:gridCol w:w="831"/>
        <w:gridCol w:w="831"/>
        <w:gridCol w:w="1231"/>
        <w:gridCol w:w="831"/>
      </w:tblGrid>
      <w:tr w:rsidR="0016084B" w:rsidRPr="00007A00" w14:paraId="3F916FE4" w14:textId="77777777" w:rsidTr="00F54895">
        <w:trPr>
          <w:trHeight w:val="300"/>
        </w:trPr>
        <w:tc>
          <w:tcPr>
            <w:tcW w:w="741" w:type="pct"/>
            <w:tcBorders>
              <w:top w:val="single" w:sz="4" w:space="0" w:color="auto"/>
              <w:left w:val="nil"/>
              <w:bottom w:val="single" w:sz="4" w:space="0" w:color="auto"/>
              <w:right w:val="single" w:sz="4" w:space="0" w:color="auto"/>
            </w:tcBorders>
            <w:shd w:val="clear" w:color="auto" w:fill="auto"/>
            <w:noWrap/>
            <w:vAlign w:val="bottom"/>
            <w:hideMark/>
          </w:tcPr>
          <w:p w14:paraId="78CB3FED" w14:textId="77777777" w:rsidR="0016084B" w:rsidRPr="00007A00" w:rsidRDefault="0016084B" w:rsidP="00007A00">
            <w:pPr>
              <w:ind w:firstLine="0"/>
              <w:rPr>
                <w:color w:val="000000"/>
                <w:sz w:val="20"/>
              </w:rPr>
            </w:pPr>
            <w:r w:rsidRPr="00007A00">
              <w:rPr>
                <w:color w:val="000000"/>
                <w:sz w:val="20"/>
              </w:rPr>
              <w:t>Variável</w:t>
            </w:r>
          </w:p>
        </w:tc>
        <w:tc>
          <w:tcPr>
            <w:tcW w:w="563" w:type="pct"/>
            <w:tcBorders>
              <w:top w:val="single" w:sz="4" w:space="0" w:color="auto"/>
              <w:left w:val="single" w:sz="4" w:space="0" w:color="auto"/>
              <w:bottom w:val="single" w:sz="4" w:space="0" w:color="auto"/>
              <w:right w:val="nil"/>
            </w:tcBorders>
            <w:shd w:val="clear" w:color="auto" w:fill="auto"/>
            <w:noWrap/>
            <w:vAlign w:val="bottom"/>
            <w:hideMark/>
          </w:tcPr>
          <w:p w14:paraId="2860602F" w14:textId="77777777" w:rsidR="0016084B" w:rsidRPr="00007A00" w:rsidRDefault="0016084B" w:rsidP="00007A00">
            <w:pPr>
              <w:ind w:firstLine="0"/>
              <w:rPr>
                <w:color w:val="000000"/>
                <w:sz w:val="20"/>
              </w:rPr>
            </w:pPr>
            <w:r w:rsidRPr="00007A00">
              <w:rPr>
                <w:color w:val="000000"/>
                <w:sz w:val="20"/>
              </w:rPr>
              <w:t>Painel</w:t>
            </w:r>
          </w:p>
        </w:tc>
        <w:tc>
          <w:tcPr>
            <w:tcW w:w="505" w:type="pct"/>
            <w:tcBorders>
              <w:top w:val="single" w:sz="4" w:space="0" w:color="auto"/>
              <w:left w:val="nil"/>
              <w:bottom w:val="single" w:sz="4" w:space="0" w:color="auto"/>
              <w:right w:val="nil"/>
            </w:tcBorders>
            <w:shd w:val="clear" w:color="auto" w:fill="auto"/>
            <w:noWrap/>
            <w:vAlign w:val="bottom"/>
            <w:hideMark/>
          </w:tcPr>
          <w:p w14:paraId="1456B2EF" w14:textId="77777777" w:rsidR="0016084B" w:rsidRPr="00007A00" w:rsidRDefault="0016084B" w:rsidP="00007A00">
            <w:pPr>
              <w:ind w:firstLine="0"/>
              <w:rPr>
                <w:color w:val="000000"/>
                <w:sz w:val="20"/>
              </w:rPr>
            </w:pPr>
            <w:r w:rsidRPr="00007A00">
              <w:rPr>
                <w:color w:val="000000"/>
                <w:sz w:val="20"/>
              </w:rPr>
              <w:t>2010/16</w:t>
            </w:r>
          </w:p>
        </w:tc>
        <w:tc>
          <w:tcPr>
            <w:tcW w:w="447" w:type="pct"/>
            <w:tcBorders>
              <w:top w:val="single" w:sz="4" w:space="0" w:color="auto"/>
              <w:left w:val="nil"/>
              <w:bottom w:val="single" w:sz="4" w:space="0" w:color="auto"/>
              <w:right w:val="nil"/>
            </w:tcBorders>
            <w:shd w:val="clear" w:color="auto" w:fill="auto"/>
            <w:noWrap/>
            <w:vAlign w:val="bottom"/>
            <w:hideMark/>
          </w:tcPr>
          <w:p w14:paraId="5D1B35B7" w14:textId="77777777" w:rsidR="0016084B" w:rsidRPr="00007A00" w:rsidRDefault="0016084B" w:rsidP="00007A00">
            <w:pPr>
              <w:ind w:firstLine="0"/>
              <w:rPr>
                <w:color w:val="000000"/>
                <w:sz w:val="20"/>
              </w:rPr>
            </w:pPr>
            <w:r w:rsidRPr="00007A00">
              <w:rPr>
                <w:color w:val="000000"/>
                <w:sz w:val="20"/>
              </w:rPr>
              <w:t>2010/14</w:t>
            </w:r>
          </w:p>
        </w:tc>
        <w:tc>
          <w:tcPr>
            <w:tcW w:w="447" w:type="pct"/>
            <w:tcBorders>
              <w:top w:val="single" w:sz="4" w:space="0" w:color="auto"/>
              <w:left w:val="nil"/>
              <w:bottom w:val="single" w:sz="4" w:space="0" w:color="auto"/>
              <w:right w:val="nil"/>
            </w:tcBorders>
            <w:shd w:val="clear" w:color="auto" w:fill="auto"/>
            <w:noWrap/>
            <w:vAlign w:val="bottom"/>
            <w:hideMark/>
          </w:tcPr>
          <w:p w14:paraId="77E8A4D7" w14:textId="77777777" w:rsidR="0016084B" w:rsidRPr="00007A00" w:rsidRDefault="0016084B" w:rsidP="00007A00">
            <w:pPr>
              <w:ind w:firstLine="0"/>
              <w:rPr>
                <w:color w:val="000000"/>
                <w:sz w:val="20"/>
              </w:rPr>
            </w:pPr>
            <w:r w:rsidRPr="00007A00">
              <w:rPr>
                <w:color w:val="000000"/>
                <w:sz w:val="20"/>
              </w:rPr>
              <w:t>2011</w:t>
            </w:r>
          </w:p>
        </w:tc>
        <w:tc>
          <w:tcPr>
            <w:tcW w:w="447" w:type="pct"/>
            <w:tcBorders>
              <w:top w:val="single" w:sz="4" w:space="0" w:color="auto"/>
              <w:left w:val="nil"/>
              <w:bottom w:val="single" w:sz="4" w:space="0" w:color="auto"/>
              <w:right w:val="nil"/>
            </w:tcBorders>
            <w:shd w:val="clear" w:color="auto" w:fill="auto"/>
            <w:noWrap/>
            <w:vAlign w:val="bottom"/>
            <w:hideMark/>
          </w:tcPr>
          <w:p w14:paraId="3308B382" w14:textId="77777777" w:rsidR="0016084B" w:rsidRPr="00007A00" w:rsidRDefault="0016084B" w:rsidP="00007A00">
            <w:pPr>
              <w:ind w:firstLine="0"/>
              <w:rPr>
                <w:color w:val="000000"/>
                <w:sz w:val="20"/>
              </w:rPr>
            </w:pPr>
            <w:r w:rsidRPr="00007A00">
              <w:rPr>
                <w:color w:val="000000"/>
                <w:sz w:val="20"/>
              </w:rPr>
              <w:t>2012</w:t>
            </w:r>
          </w:p>
        </w:tc>
        <w:tc>
          <w:tcPr>
            <w:tcW w:w="447" w:type="pct"/>
            <w:tcBorders>
              <w:top w:val="single" w:sz="4" w:space="0" w:color="auto"/>
              <w:left w:val="nil"/>
              <w:bottom w:val="single" w:sz="4" w:space="0" w:color="auto"/>
              <w:right w:val="nil"/>
            </w:tcBorders>
            <w:shd w:val="clear" w:color="auto" w:fill="auto"/>
            <w:noWrap/>
            <w:vAlign w:val="bottom"/>
            <w:hideMark/>
          </w:tcPr>
          <w:p w14:paraId="6FDB4F2D" w14:textId="77777777" w:rsidR="0016084B" w:rsidRPr="00007A00" w:rsidRDefault="0016084B" w:rsidP="00007A00">
            <w:pPr>
              <w:ind w:firstLine="0"/>
              <w:rPr>
                <w:color w:val="000000"/>
                <w:sz w:val="20"/>
              </w:rPr>
            </w:pPr>
            <w:r w:rsidRPr="00007A00">
              <w:rPr>
                <w:color w:val="000000"/>
                <w:sz w:val="20"/>
              </w:rPr>
              <w:t>2013</w:t>
            </w:r>
          </w:p>
        </w:tc>
        <w:tc>
          <w:tcPr>
            <w:tcW w:w="447" w:type="pct"/>
            <w:tcBorders>
              <w:top w:val="single" w:sz="4" w:space="0" w:color="auto"/>
              <w:left w:val="nil"/>
              <w:bottom w:val="single" w:sz="4" w:space="0" w:color="auto"/>
              <w:right w:val="nil"/>
            </w:tcBorders>
            <w:shd w:val="clear" w:color="auto" w:fill="auto"/>
            <w:noWrap/>
            <w:vAlign w:val="bottom"/>
            <w:hideMark/>
          </w:tcPr>
          <w:p w14:paraId="4B796017" w14:textId="77777777" w:rsidR="0016084B" w:rsidRPr="00007A00" w:rsidRDefault="0016084B" w:rsidP="00007A00">
            <w:pPr>
              <w:ind w:firstLine="0"/>
              <w:rPr>
                <w:color w:val="000000"/>
                <w:sz w:val="20"/>
              </w:rPr>
            </w:pPr>
            <w:r w:rsidRPr="00007A00">
              <w:rPr>
                <w:color w:val="000000"/>
                <w:sz w:val="20"/>
              </w:rPr>
              <w:t>2014</w:t>
            </w:r>
          </w:p>
        </w:tc>
        <w:tc>
          <w:tcPr>
            <w:tcW w:w="447" w:type="pct"/>
            <w:tcBorders>
              <w:top w:val="single" w:sz="4" w:space="0" w:color="auto"/>
              <w:left w:val="nil"/>
              <w:bottom w:val="single" w:sz="4" w:space="0" w:color="auto"/>
              <w:right w:val="nil"/>
            </w:tcBorders>
            <w:shd w:val="clear" w:color="auto" w:fill="auto"/>
            <w:noWrap/>
            <w:vAlign w:val="bottom"/>
            <w:hideMark/>
          </w:tcPr>
          <w:p w14:paraId="0A683E2E" w14:textId="77777777" w:rsidR="0016084B" w:rsidRPr="00007A00" w:rsidRDefault="0016084B" w:rsidP="00007A00">
            <w:pPr>
              <w:ind w:firstLine="0"/>
              <w:rPr>
                <w:color w:val="000000"/>
                <w:sz w:val="20"/>
              </w:rPr>
            </w:pPr>
            <w:r w:rsidRPr="00007A00">
              <w:rPr>
                <w:color w:val="000000"/>
                <w:sz w:val="20"/>
              </w:rPr>
              <w:t>2015</w:t>
            </w:r>
          </w:p>
        </w:tc>
        <w:tc>
          <w:tcPr>
            <w:tcW w:w="505" w:type="pct"/>
            <w:tcBorders>
              <w:top w:val="single" w:sz="4" w:space="0" w:color="auto"/>
              <w:left w:val="nil"/>
              <w:bottom w:val="single" w:sz="4" w:space="0" w:color="auto"/>
              <w:right w:val="nil"/>
            </w:tcBorders>
            <w:shd w:val="clear" w:color="auto" w:fill="auto"/>
            <w:noWrap/>
            <w:vAlign w:val="bottom"/>
            <w:hideMark/>
          </w:tcPr>
          <w:p w14:paraId="5C262CCC" w14:textId="77777777" w:rsidR="0016084B" w:rsidRPr="00007A00" w:rsidRDefault="0016084B" w:rsidP="00007A00">
            <w:pPr>
              <w:ind w:firstLine="0"/>
              <w:rPr>
                <w:color w:val="000000"/>
                <w:sz w:val="20"/>
              </w:rPr>
            </w:pPr>
            <w:r w:rsidRPr="00007A00">
              <w:rPr>
                <w:color w:val="000000"/>
                <w:sz w:val="20"/>
              </w:rPr>
              <w:t>2016</w:t>
            </w:r>
          </w:p>
        </w:tc>
      </w:tr>
      <w:tr w:rsidR="0016084B" w:rsidRPr="00007A00" w14:paraId="706ADE2D" w14:textId="77777777" w:rsidTr="00F54895">
        <w:trPr>
          <w:trHeight w:val="300"/>
        </w:trPr>
        <w:tc>
          <w:tcPr>
            <w:tcW w:w="741" w:type="pct"/>
            <w:tcBorders>
              <w:top w:val="single" w:sz="4" w:space="0" w:color="auto"/>
              <w:left w:val="nil"/>
              <w:right w:val="single" w:sz="4" w:space="0" w:color="auto"/>
            </w:tcBorders>
            <w:shd w:val="clear" w:color="auto" w:fill="auto"/>
            <w:noWrap/>
            <w:vAlign w:val="bottom"/>
            <w:hideMark/>
          </w:tcPr>
          <w:p w14:paraId="497E593E" w14:textId="77777777" w:rsidR="0016084B" w:rsidRPr="00007A00" w:rsidRDefault="0016084B" w:rsidP="00007A00">
            <w:pPr>
              <w:ind w:firstLine="0"/>
              <w:rPr>
                <w:color w:val="000000"/>
                <w:sz w:val="20"/>
              </w:rPr>
            </w:pPr>
            <m:oMathPara>
              <m:oMath>
                <m:r>
                  <w:rPr>
                    <w:rFonts w:ascii="Cambria Math" w:hAnsi="Cambria Math"/>
                    <w:color w:val="000000"/>
                    <w:sz w:val="20"/>
                  </w:rPr>
                  <m:t>β</m:t>
                </m:r>
              </m:oMath>
            </m:oMathPara>
          </w:p>
        </w:tc>
        <w:tc>
          <w:tcPr>
            <w:tcW w:w="563" w:type="pct"/>
            <w:tcBorders>
              <w:top w:val="single" w:sz="4" w:space="0" w:color="auto"/>
              <w:left w:val="single" w:sz="4" w:space="0" w:color="auto"/>
              <w:right w:val="nil"/>
            </w:tcBorders>
            <w:shd w:val="clear" w:color="auto" w:fill="auto"/>
            <w:noWrap/>
            <w:vAlign w:val="bottom"/>
            <w:hideMark/>
          </w:tcPr>
          <w:p w14:paraId="0F326A15" w14:textId="77777777" w:rsidR="0016084B" w:rsidRPr="00007A00" w:rsidRDefault="0016084B" w:rsidP="00007A00">
            <w:pPr>
              <w:ind w:firstLine="0"/>
              <w:rPr>
                <w:color w:val="000000"/>
                <w:sz w:val="20"/>
              </w:rPr>
            </w:pPr>
            <w:r w:rsidRPr="00007A00">
              <w:rPr>
                <w:color w:val="000000"/>
                <w:sz w:val="20"/>
              </w:rPr>
              <w:t>-1,126</w:t>
            </w:r>
          </w:p>
        </w:tc>
        <w:tc>
          <w:tcPr>
            <w:tcW w:w="505" w:type="pct"/>
            <w:tcBorders>
              <w:top w:val="single" w:sz="4" w:space="0" w:color="auto"/>
              <w:left w:val="nil"/>
              <w:right w:val="nil"/>
            </w:tcBorders>
            <w:shd w:val="clear" w:color="auto" w:fill="auto"/>
            <w:noWrap/>
            <w:vAlign w:val="bottom"/>
            <w:hideMark/>
          </w:tcPr>
          <w:p w14:paraId="1C1C50D8" w14:textId="77777777" w:rsidR="0016084B" w:rsidRPr="00007A00" w:rsidRDefault="0016084B" w:rsidP="00007A00">
            <w:pPr>
              <w:ind w:firstLine="0"/>
              <w:rPr>
                <w:color w:val="000000"/>
                <w:sz w:val="20"/>
              </w:rPr>
            </w:pPr>
            <w:r w:rsidRPr="00007A00">
              <w:rPr>
                <w:color w:val="000000"/>
                <w:sz w:val="20"/>
              </w:rPr>
              <w:t>-0,813</w:t>
            </w:r>
          </w:p>
        </w:tc>
        <w:tc>
          <w:tcPr>
            <w:tcW w:w="447" w:type="pct"/>
            <w:tcBorders>
              <w:top w:val="single" w:sz="4" w:space="0" w:color="auto"/>
              <w:left w:val="nil"/>
              <w:right w:val="nil"/>
            </w:tcBorders>
            <w:shd w:val="clear" w:color="auto" w:fill="auto"/>
            <w:noWrap/>
            <w:vAlign w:val="bottom"/>
            <w:hideMark/>
          </w:tcPr>
          <w:p w14:paraId="05561E34" w14:textId="77777777" w:rsidR="0016084B" w:rsidRPr="00007A00" w:rsidRDefault="0016084B" w:rsidP="00081F23">
            <w:pPr>
              <w:ind w:firstLine="0"/>
              <w:rPr>
                <w:color w:val="000000"/>
                <w:sz w:val="20"/>
              </w:rPr>
            </w:pPr>
            <w:r w:rsidRPr="00007A00">
              <w:rPr>
                <w:color w:val="000000"/>
                <w:sz w:val="20"/>
              </w:rPr>
              <w:t>-0,674</w:t>
            </w:r>
          </w:p>
        </w:tc>
        <w:tc>
          <w:tcPr>
            <w:tcW w:w="447" w:type="pct"/>
            <w:tcBorders>
              <w:top w:val="single" w:sz="4" w:space="0" w:color="auto"/>
              <w:left w:val="nil"/>
              <w:right w:val="nil"/>
            </w:tcBorders>
            <w:shd w:val="clear" w:color="auto" w:fill="auto"/>
            <w:noWrap/>
            <w:vAlign w:val="bottom"/>
            <w:hideMark/>
          </w:tcPr>
          <w:p w14:paraId="53D1590D" w14:textId="77777777" w:rsidR="0016084B" w:rsidRPr="00007A00" w:rsidRDefault="0016084B" w:rsidP="00081F23">
            <w:pPr>
              <w:ind w:firstLine="0"/>
              <w:rPr>
                <w:color w:val="000000"/>
                <w:sz w:val="20"/>
              </w:rPr>
            </w:pPr>
            <w:r w:rsidRPr="00007A00">
              <w:rPr>
                <w:color w:val="000000"/>
                <w:sz w:val="20"/>
              </w:rPr>
              <w:t>-0,914</w:t>
            </w:r>
          </w:p>
        </w:tc>
        <w:tc>
          <w:tcPr>
            <w:tcW w:w="447" w:type="pct"/>
            <w:tcBorders>
              <w:top w:val="single" w:sz="4" w:space="0" w:color="auto"/>
              <w:left w:val="nil"/>
              <w:right w:val="nil"/>
            </w:tcBorders>
            <w:shd w:val="clear" w:color="auto" w:fill="auto"/>
            <w:noWrap/>
            <w:vAlign w:val="bottom"/>
            <w:hideMark/>
          </w:tcPr>
          <w:p w14:paraId="21522F5A" w14:textId="77777777" w:rsidR="0016084B" w:rsidRPr="00007A00" w:rsidRDefault="0016084B" w:rsidP="00081F23">
            <w:pPr>
              <w:ind w:firstLine="0"/>
              <w:rPr>
                <w:color w:val="000000"/>
                <w:sz w:val="20"/>
              </w:rPr>
            </w:pPr>
            <w:r w:rsidRPr="00007A00">
              <w:rPr>
                <w:color w:val="000000"/>
                <w:sz w:val="20"/>
              </w:rPr>
              <w:t>-0,819</w:t>
            </w:r>
          </w:p>
        </w:tc>
        <w:tc>
          <w:tcPr>
            <w:tcW w:w="447" w:type="pct"/>
            <w:tcBorders>
              <w:top w:val="single" w:sz="4" w:space="0" w:color="auto"/>
              <w:left w:val="nil"/>
              <w:right w:val="nil"/>
            </w:tcBorders>
            <w:shd w:val="clear" w:color="auto" w:fill="auto"/>
            <w:noWrap/>
            <w:vAlign w:val="bottom"/>
            <w:hideMark/>
          </w:tcPr>
          <w:p w14:paraId="68EF4B30" w14:textId="77777777" w:rsidR="0016084B" w:rsidRPr="00007A00" w:rsidRDefault="0016084B" w:rsidP="00081F23">
            <w:pPr>
              <w:ind w:firstLine="0"/>
              <w:rPr>
                <w:color w:val="000000"/>
                <w:sz w:val="20"/>
              </w:rPr>
            </w:pPr>
            <w:r w:rsidRPr="00007A00">
              <w:rPr>
                <w:color w:val="000000"/>
                <w:sz w:val="20"/>
              </w:rPr>
              <w:t>-0,930</w:t>
            </w:r>
          </w:p>
        </w:tc>
        <w:tc>
          <w:tcPr>
            <w:tcW w:w="447" w:type="pct"/>
            <w:tcBorders>
              <w:top w:val="single" w:sz="4" w:space="0" w:color="auto"/>
              <w:left w:val="nil"/>
              <w:right w:val="nil"/>
            </w:tcBorders>
            <w:shd w:val="clear" w:color="auto" w:fill="auto"/>
            <w:noWrap/>
            <w:vAlign w:val="bottom"/>
            <w:hideMark/>
          </w:tcPr>
          <w:p w14:paraId="3F2452D2" w14:textId="77777777" w:rsidR="0016084B" w:rsidRPr="00007A00" w:rsidRDefault="0016084B" w:rsidP="00081F23">
            <w:pPr>
              <w:ind w:firstLine="0"/>
              <w:rPr>
                <w:color w:val="000000"/>
                <w:sz w:val="20"/>
              </w:rPr>
            </w:pPr>
            <w:r w:rsidRPr="00007A00">
              <w:rPr>
                <w:color w:val="000000"/>
                <w:sz w:val="20"/>
              </w:rPr>
              <w:t>-0,673</w:t>
            </w:r>
          </w:p>
        </w:tc>
        <w:tc>
          <w:tcPr>
            <w:tcW w:w="447" w:type="pct"/>
            <w:tcBorders>
              <w:top w:val="single" w:sz="4" w:space="0" w:color="auto"/>
              <w:left w:val="nil"/>
              <w:right w:val="nil"/>
            </w:tcBorders>
            <w:shd w:val="clear" w:color="auto" w:fill="auto"/>
            <w:noWrap/>
            <w:vAlign w:val="bottom"/>
            <w:hideMark/>
          </w:tcPr>
          <w:p w14:paraId="6F8A08B8" w14:textId="77777777" w:rsidR="0016084B" w:rsidRPr="00007A00" w:rsidRDefault="0016084B" w:rsidP="00081F23">
            <w:pPr>
              <w:ind w:firstLine="0"/>
              <w:rPr>
                <w:color w:val="000000"/>
                <w:sz w:val="20"/>
              </w:rPr>
            </w:pPr>
            <w:r w:rsidRPr="00007A00">
              <w:rPr>
                <w:color w:val="000000"/>
                <w:sz w:val="20"/>
              </w:rPr>
              <w:t>-0,685</w:t>
            </w:r>
          </w:p>
        </w:tc>
        <w:tc>
          <w:tcPr>
            <w:tcW w:w="505" w:type="pct"/>
            <w:tcBorders>
              <w:top w:val="single" w:sz="4" w:space="0" w:color="auto"/>
              <w:left w:val="nil"/>
              <w:right w:val="nil"/>
            </w:tcBorders>
            <w:shd w:val="clear" w:color="auto" w:fill="auto"/>
            <w:noWrap/>
            <w:vAlign w:val="bottom"/>
            <w:hideMark/>
          </w:tcPr>
          <w:p w14:paraId="1D7D7128" w14:textId="77777777" w:rsidR="0016084B" w:rsidRPr="00007A00" w:rsidRDefault="0016084B" w:rsidP="00081F23">
            <w:pPr>
              <w:ind w:firstLine="0"/>
              <w:rPr>
                <w:color w:val="000000"/>
                <w:sz w:val="20"/>
              </w:rPr>
            </w:pPr>
            <w:r w:rsidRPr="00007A00">
              <w:rPr>
                <w:color w:val="000000"/>
                <w:sz w:val="20"/>
              </w:rPr>
              <w:t>-0,818</w:t>
            </w:r>
          </w:p>
        </w:tc>
      </w:tr>
      <w:tr w:rsidR="0016084B" w:rsidRPr="00007A00" w14:paraId="4A4D3193" w14:textId="77777777" w:rsidTr="00F54895">
        <w:trPr>
          <w:trHeight w:val="300"/>
        </w:trPr>
        <w:tc>
          <w:tcPr>
            <w:tcW w:w="741" w:type="pct"/>
            <w:tcBorders>
              <w:top w:val="nil"/>
              <w:left w:val="nil"/>
              <w:bottom w:val="single" w:sz="4" w:space="0" w:color="auto"/>
              <w:right w:val="single" w:sz="4" w:space="0" w:color="auto"/>
            </w:tcBorders>
            <w:shd w:val="clear" w:color="auto" w:fill="auto"/>
            <w:noWrap/>
            <w:vAlign w:val="bottom"/>
            <w:hideMark/>
          </w:tcPr>
          <w:p w14:paraId="4EDA4B99" w14:textId="77777777" w:rsidR="0016084B" w:rsidRPr="00007A00" w:rsidRDefault="0016084B" w:rsidP="00007A00">
            <w:pPr>
              <w:ind w:firstLine="0"/>
              <w:rPr>
                <w:color w:val="000000"/>
                <w:sz w:val="20"/>
              </w:rPr>
            </w:pPr>
            <m:oMathPara>
              <m:oMath>
                <m:r>
                  <w:rPr>
                    <w:rFonts w:ascii="Cambria Math" w:hAnsi="Cambria Math"/>
                    <w:color w:val="000000"/>
                    <w:sz w:val="20"/>
                  </w:rPr>
                  <m:t>α</m:t>
                </m:r>
              </m:oMath>
            </m:oMathPara>
          </w:p>
        </w:tc>
        <w:tc>
          <w:tcPr>
            <w:tcW w:w="563" w:type="pct"/>
            <w:tcBorders>
              <w:top w:val="nil"/>
              <w:left w:val="single" w:sz="4" w:space="0" w:color="auto"/>
              <w:bottom w:val="single" w:sz="4" w:space="0" w:color="auto"/>
              <w:right w:val="nil"/>
            </w:tcBorders>
            <w:shd w:val="clear" w:color="auto" w:fill="auto"/>
            <w:noWrap/>
            <w:vAlign w:val="bottom"/>
            <w:hideMark/>
          </w:tcPr>
          <w:p w14:paraId="2793121D" w14:textId="77777777" w:rsidR="0016084B" w:rsidRPr="00007A00" w:rsidRDefault="0016084B" w:rsidP="00007A00">
            <w:pPr>
              <w:ind w:firstLine="0"/>
              <w:rPr>
                <w:color w:val="000000"/>
                <w:sz w:val="20"/>
              </w:rPr>
            </w:pPr>
            <w:r w:rsidRPr="00007A00">
              <w:rPr>
                <w:color w:val="000000"/>
                <w:sz w:val="20"/>
              </w:rPr>
              <w:t>-1,143</w:t>
            </w:r>
          </w:p>
        </w:tc>
        <w:tc>
          <w:tcPr>
            <w:tcW w:w="505" w:type="pct"/>
            <w:tcBorders>
              <w:top w:val="nil"/>
              <w:left w:val="nil"/>
              <w:bottom w:val="single" w:sz="4" w:space="0" w:color="auto"/>
              <w:right w:val="nil"/>
            </w:tcBorders>
            <w:shd w:val="clear" w:color="auto" w:fill="auto"/>
            <w:noWrap/>
            <w:vAlign w:val="bottom"/>
            <w:hideMark/>
          </w:tcPr>
          <w:p w14:paraId="502A9ABB" w14:textId="77777777" w:rsidR="0016084B" w:rsidRPr="00007A00" w:rsidRDefault="0016084B" w:rsidP="00007A00">
            <w:pPr>
              <w:ind w:firstLine="0"/>
              <w:rPr>
                <w:color w:val="000000"/>
                <w:sz w:val="20"/>
              </w:rPr>
            </w:pPr>
            <w:r w:rsidRPr="00007A00">
              <w:rPr>
                <w:color w:val="000000"/>
                <w:sz w:val="20"/>
              </w:rPr>
              <w:t>-0,719</w:t>
            </w:r>
          </w:p>
        </w:tc>
        <w:tc>
          <w:tcPr>
            <w:tcW w:w="447" w:type="pct"/>
            <w:tcBorders>
              <w:top w:val="nil"/>
              <w:left w:val="nil"/>
              <w:bottom w:val="single" w:sz="4" w:space="0" w:color="auto"/>
              <w:right w:val="nil"/>
            </w:tcBorders>
            <w:shd w:val="clear" w:color="auto" w:fill="auto"/>
            <w:noWrap/>
            <w:vAlign w:val="bottom"/>
            <w:hideMark/>
          </w:tcPr>
          <w:p w14:paraId="0D7EDA9E" w14:textId="77777777" w:rsidR="0016084B" w:rsidRPr="00007A00" w:rsidRDefault="0016084B" w:rsidP="00081F23">
            <w:pPr>
              <w:ind w:firstLine="0"/>
              <w:rPr>
                <w:color w:val="000000"/>
                <w:sz w:val="20"/>
              </w:rPr>
            </w:pPr>
            <w:r w:rsidRPr="00007A00">
              <w:rPr>
                <w:color w:val="000000"/>
                <w:sz w:val="20"/>
              </w:rPr>
              <w:t>-0,645</w:t>
            </w:r>
          </w:p>
        </w:tc>
        <w:tc>
          <w:tcPr>
            <w:tcW w:w="447" w:type="pct"/>
            <w:tcBorders>
              <w:top w:val="nil"/>
              <w:left w:val="nil"/>
              <w:bottom w:val="single" w:sz="4" w:space="0" w:color="auto"/>
              <w:right w:val="nil"/>
            </w:tcBorders>
            <w:shd w:val="clear" w:color="auto" w:fill="auto"/>
            <w:noWrap/>
            <w:vAlign w:val="bottom"/>
            <w:hideMark/>
          </w:tcPr>
          <w:p w14:paraId="56959B57" w14:textId="77777777" w:rsidR="0016084B" w:rsidRPr="00007A00" w:rsidRDefault="0016084B" w:rsidP="00081F23">
            <w:pPr>
              <w:ind w:firstLine="0"/>
              <w:rPr>
                <w:color w:val="000000"/>
                <w:sz w:val="20"/>
              </w:rPr>
            </w:pPr>
            <w:r w:rsidRPr="00007A00">
              <w:rPr>
                <w:color w:val="000000"/>
                <w:sz w:val="20"/>
              </w:rPr>
              <w:t>-1,062</w:t>
            </w:r>
          </w:p>
        </w:tc>
        <w:tc>
          <w:tcPr>
            <w:tcW w:w="447" w:type="pct"/>
            <w:tcBorders>
              <w:top w:val="nil"/>
              <w:left w:val="nil"/>
              <w:bottom w:val="single" w:sz="4" w:space="0" w:color="auto"/>
              <w:right w:val="nil"/>
            </w:tcBorders>
            <w:shd w:val="clear" w:color="auto" w:fill="auto"/>
            <w:noWrap/>
            <w:vAlign w:val="bottom"/>
            <w:hideMark/>
          </w:tcPr>
          <w:p w14:paraId="44753E6F" w14:textId="77777777" w:rsidR="0016084B" w:rsidRPr="00007A00" w:rsidRDefault="0016084B" w:rsidP="00081F23">
            <w:pPr>
              <w:ind w:firstLine="0"/>
              <w:rPr>
                <w:color w:val="000000"/>
                <w:sz w:val="20"/>
              </w:rPr>
            </w:pPr>
            <w:r w:rsidRPr="00007A00">
              <w:rPr>
                <w:color w:val="000000"/>
                <w:sz w:val="20"/>
              </w:rPr>
              <w:t>-0,913</w:t>
            </w:r>
          </w:p>
        </w:tc>
        <w:tc>
          <w:tcPr>
            <w:tcW w:w="447" w:type="pct"/>
            <w:tcBorders>
              <w:top w:val="nil"/>
              <w:left w:val="nil"/>
              <w:bottom w:val="single" w:sz="4" w:space="0" w:color="auto"/>
              <w:right w:val="nil"/>
            </w:tcBorders>
            <w:shd w:val="clear" w:color="auto" w:fill="auto"/>
            <w:noWrap/>
            <w:vAlign w:val="bottom"/>
            <w:hideMark/>
          </w:tcPr>
          <w:p w14:paraId="60E8FC64" w14:textId="77777777" w:rsidR="0016084B" w:rsidRPr="00007A00" w:rsidRDefault="0016084B" w:rsidP="00081F23">
            <w:pPr>
              <w:ind w:firstLine="0"/>
              <w:rPr>
                <w:color w:val="000000"/>
                <w:sz w:val="20"/>
              </w:rPr>
            </w:pPr>
            <w:r w:rsidRPr="00007A00">
              <w:rPr>
                <w:color w:val="000000"/>
                <w:sz w:val="20"/>
              </w:rPr>
              <w:t>-0,926</w:t>
            </w:r>
          </w:p>
        </w:tc>
        <w:tc>
          <w:tcPr>
            <w:tcW w:w="447" w:type="pct"/>
            <w:tcBorders>
              <w:top w:val="nil"/>
              <w:left w:val="nil"/>
              <w:bottom w:val="single" w:sz="4" w:space="0" w:color="auto"/>
              <w:right w:val="nil"/>
            </w:tcBorders>
            <w:shd w:val="clear" w:color="auto" w:fill="auto"/>
            <w:noWrap/>
            <w:vAlign w:val="bottom"/>
            <w:hideMark/>
          </w:tcPr>
          <w:p w14:paraId="652780E3" w14:textId="77777777" w:rsidR="0016084B" w:rsidRPr="00007A00" w:rsidRDefault="0016084B" w:rsidP="00081F23">
            <w:pPr>
              <w:ind w:firstLine="0"/>
              <w:rPr>
                <w:color w:val="000000"/>
                <w:sz w:val="20"/>
              </w:rPr>
            </w:pPr>
            <w:r w:rsidRPr="00007A00">
              <w:rPr>
                <w:color w:val="000000"/>
                <w:sz w:val="20"/>
              </w:rPr>
              <w:t>-0,645</w:t>
            </w:r>
          </w:p>
        </w:tc>
        <w:tc>
          <w:tcPr>
            <w:tcW w:w="447" w:type="pct"/>
            <w:tcBorders>
              <w:top w:val="nil"/>
              <w:left w:val="nil"/>
              <w:bottom w:val="single" w:sz="4" w:space="0" w:color="auto"/>
              <w:right w:val="nil"/>
            </w:tcBorders>
            <w:shd w:val="clear" w:color="auto" w:fill="auto"/>
            <w:noWrap/>
            <w:vAlign w:val="bottom"/>
            <w:hideMark/>
          </w:tcPr>
          <w:p w14:paraId="37886845" w14:textId="77777777" w:rsidR="0016084B" w:rsidRPr="00007A00" w:rsidRDefault="0016084B" w:rsidP="00F54895">
            <w:pPr>
              <w:rPr>
                <w:color w:val="000000"/>
                <w:sz w:val="20"/>
              </w:rPr>
            </w:pPr>
            <w:r w:rsidRPr="00007A00">
              <w:rPr>
                <w:color w:val="000000"/>
                <w:sz w:val="20"/>
              </w:rPr>
              <w:t>-0,547</w:t>
            </w:r>
          </w:p>
        </w:tc>
        <w:tc>
          <w:tcPr>
            <w:tcW w:w="505" w:type="pct"/>
            <w:tcBorders>
              <w:top w:val="nil"/>
              <w:left w:val="nil"/>
              <w:bottom w:val="single" w:sz="4" w:space="0" w:color="auto"/>
              <w:right w:val="nil"/>
            </w:tcBorders>
            <w:shd w:val="clear" w:color="auto" w:fill="auto"/>
            <w:noWrap/>
            <w:vAlign w:val="bottom"/>
            <w:hideMark/>
          </w:tcPr>
          <w:p w14:paraId="0714F6D0" w14:textId="77777777" w:rsidR="0016084B" w:rsidRPr="00007A00" w:rsidRDefault="0016084B" w:rsidP="00081F23">
            <w:pPr>
              <w:ind w:firstLine="0"/>
              <w:rPr>
                <w:color w:val="000000"/>
                <w:sz w:val="20"/>
              </w:rPr>
            </w:pPr>
            <w:r w:rsidRPr="00007A00">
              <w:rPr>
                <w:color w:val="000000"/>
                <w:sz w:val="20"/>
              </w:rPr>
              <w:t>-0,724</w:t>
            </w:r>
          </w:p>
        </w:tc>
      </w:tr>
      <w:tr w:rsidR="0016084B" w:rsidRPr="00007A00" w14:paraId="4F73AD78" w14:textId="77777777" w:rsidTr="00F54895">
        <w:trPr>
          <w:trHeight w:val="300"/>
        </w:trPr>
        <w:tc>
          <w:tcPr>
            <w:tcW w:w="741" w:type="pct"/>
            <w:tcBorders>
              <w:top w:val="single" w:sz="4" w:space="0" w:color="auto"/>
              <w:left w:val="nil"/>
              <w:bottom w:val="nil"/>
              <w:right w:val="single" w:sz="4" w:space="0" w:color="auto"/>
            </w:tcBorders>
            <w:shd w:val="clear" w:color="auto" w:fill="auto"/>
            <w:noWrap/>
            <w:vAlign w:val="bottom"/>
            <w:hideMark/>
          </w:tcPr>
          <w:p w14:paraId="0E73AE18" w14:textId="77777777" w:rsidR="0016084B" w:rsidRPr="00007A00" w:rsidRDefault="0016084B" w:rsidP="00007A00">
            <w:pPr>
              <w:ind w:firstLine="0"/>
              <w:rPr>
                <w:color w:val="000000"/>
                <w:sz w:val="20"/>
              </w:rPr>
            </w:pPr>
            <w:r w:rsidRPr="00007A00">
              <w:rPr>
                <w:color w:val="000000"/>
                <w:sz w:val="20"/>
              </w:rPr>
              <w:t>R</w:t>
            </w:r>
            <w:r w:rsidRPr="00007A00">
              <w:rPr>
                <w:color w:val="000000"/>
                <w:sz w:val="20"/>
                <w:vertAlign w:val="superscript"/>
              </w:rPr>
              <w:t xml:space="preserve">2 </w:t>
            </w:r>
            <w:r w:rsidRPr="00007A00">
              <w:rPr>
                <w:color w:val="000000"/>
                <w:sz w:val="20"/>
              </w:rPr>
              <w:t>within</w:t>
            </w:r>
          </w:p>
        </w:tc>
        <w:tc>
          <w:tcPr>
            <w:tcW w:w="563" w:type="pct"/>
            <w:tcBorders>
              <w:top w:val="single" w:sz="4" w:space="0" w:color="auto"/>
              <w:left w:val="single" w:sz="4" w:space="0" w:color="auto"/>
              <w:bottom w:val="nil"/>
              <w:right w:val="nil"/>
            </w:tcBorders>
            <w:shd w:val="clear" w:color="auto" w:fill="auto"/>
            <w:noWrap/>
            <w:vAlign w:val="bottom"/>
            <w:hideMark/>
          </w:tcPr>
          <w:p w14:paraId="06EA9275" w14:textId="77777777" w:rsidR="0016084B" w:rsidRPr="00007A00" w:rsidRDefault="0016084B" w:rsidP="00007A00">
            <w:pPr>
              <w:ind w:firstLine="0"/>
              <w:rPr>
                <w:color w:val="000000"/>
                <w:sz w:val="20"/>
              </w:rPr>
            </w:pPr>
            <w:r w:rsidRPr="00007A00">
              <w:rPr>
                <w:color w:val="000000"/>
                <w:sz w:val="20"/>
              </w:rPr>
              <w:t>0,723</w:t>
            </w:r>
          </w:p>
        </w:tc>
        <w:tc>
          <w:tcPr>
            <w:tcW w:w="505" w:type="pct"/>
            <w:tcBorders>
              <w:top w:val="single" w:sz="4" w:space="0" w:color="auto"/>
              <w:left w:val="nil"/>
              <w:bottom w:val="nil"/>
              <w:right w:val="nil"/>
            </w:tcBorders>
            <w:shd w:val="clear" w:color="auto" w:fill="auto"/>
            <w:noWrap/>
            <w:vAlign w:val="bottom"/>
            <w:hideMark/>
          </w:tcPr>
          <w:p w14:paraId="70014DC5" w14:textId="77777777" w:rsidR="0016084B" w:rsidRPr="00007A00" w:rsidRDefault="0016084B" w:rsidP="00007A00">
            <w:pPr>
              <w:ind w:firstLine="0"/>
              <w:rPr>
                <w:color w:val="000000"/>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7D117267" w14:textId="77777777" w:rsidR="0016084B" w:rsidRPr="00007A00" w:rsidRDefault="0016084B" w:rsidP="00081F23">
            <w:pPr>
              <w:ind w:firstLine="0"/>
              <w:rPr>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215ED2BB" w14:textId="77777777" w:rsidR="0016084B" w:rsidRPr="00007A00" w:rsidRDefault="0016084B" w:rsidP="00F54895">
            <w:pPr>
              <w:rPr>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4DC70668" w14:textId="77777777" w:rsidR="0016084B" w:rsidRPr="00007A00" w:rsidRDefault="0016084B" w:rsidP="00F54895">
            <w:pPr>
              <w:rPr>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674D9FA4" w14:textId="77777777" w:rsidR="0016084B" w:rsidRPr="00007A00" w:rsidRDefault="0016084B" w:rsidP="00F54895">
            <w:pPr>
              <w:rPr>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27F24AF2" w14:textId="77777777" w:rsidR="0016084B" w:rsidRPr="00007A00" w:rsidRDefault="0016084B" w:rsidP="00F54895">
            <w:pPr>
              <w:rPr>
                <w:sz w:val="20"/>
              </w:rPr>
            </w:pPr>
            <w:r w:rsidRPr="00007A00">
              <w:rPr>
                <w:color w:val="000000"/>
                <w:sz w:val="20"/>
              </w:rPr>
              <w:t>-</w:t>
            </w:r>
          </w:p>
        </w:tc>
        <w:tc>
          <w:tcPr>
            <w:tcW w:w="447" w:type="pct"/>
            <w:tcBorders>
              <w:top w:val="single" w:sz="4" w:space="0" w:color="auto"/>
              <w:left w:val="nil"/>
              <w:bottom w:val="nil"/>
              <w:right w:val="nil"/>
            </w:tcBorders>
            <w:shd w:val="clear" w:color="auto" w:fill="auto"/>
            <w:noWrap/>
            <w:hideMark/>
          </w:tcPr>
          <w:p w14:paraId="1531DCC4" w14:textId="77777777" w:rsidR="0016084B" w:rsidRPr="00007A00" w:rsidRDefault="0016084B" w:rsidP="00F54895">
            <w:pPr>
              <w:rPr>
                <w:sz w:val="20"/>
              </w:rPr>
            </w:pPr>
            <w:r w:rsidRPr="00007A00">
              <w:rPr>
                <w:color w:val="000000"/>
                <w:sz w:val="20"/>
              </w:rPr>
              <w:t>-</w:t>
            </w:r>
          </w:p>
        </w:tc>
        <w:tc>
          <w:tcPr>
            <w:tcW w:w="505" w:type="pct"/>
            <w:tcBorders>
              <w:top w:val="single" w:sz="4" w:space="0" w:color="auto"/>
              <w:left w:val="nil"/>
              <w:bottom w:val="nil"/>
              <w:right w:val="nil"/>
            </w:tcBorders>
            <w:shd w:val="clear" w:color="auto" w:fill="auto"/>
            <w:noWrap/>
            <w:hideMark/>
          </w:tcPr>
          <w:p w14:paraId="34EEFD2E" w14:textId="77777777" w:rsidR="0016084B" w:rsidRPr="00007A00" w:rsidRDefault="0016084B" w:rsidP="00F54895">
            <w:pPr>
              <w:rPr>
                <w:sz w:val="20"/>
              </w:rPr>
            </w:pPr>
            <w:r w:rsidRPr="00007A00">
              <w:rPr>
                <w:color w:val="000000"/>
                <w:sz w:val="20"/>
              </w:rPr>
              <w:t>-</w:t>
            </w:r>
          </w:p>
        </w:tc>
      </w:tr>
      <w:tr w:rsidR="0016084B" w:rsidRPr="00007A00" w14:paraId="03E4BA47" w14:textId="77777777" w:rsidTr="00F54895">
        <w:trPr>
          <w:trHeight w:val="300"/>
        </w:trPr>
        <w:tc>
          <w:tcPr>
            <w:tcW w:w="741" w:type="pct"/>
            <w:tcBorders>
              <w:top w:val="nil"/>
              <w:left w:val="nil"/>
              <w:bottom w:val="nil"/>
              <w:right w:val="single" w:sz="4" w:space="0" w:color="auto"/>
            </w:tcBorders>
            <w:shd w:val="clear" w:color="auto" w:fill="auto"/>
            <w:noWrap/>
            <w:vAlign w:val="bottom"/>
            <w:hideMark/>
          </w:tcPr>
          <w:p w14:paraId="23D2B3AE" w14:textId="77777777" w:rsidR="0016084B" w:rsidRPr="00007A00" w:rsidRDefault="0016084B" w:rsidP="00007A00">
            <w:pPr>
              <w:ind w:firstLine="0"/>
              <w:rPr>
                <w:color w:val="000000"/>
                <w:sz w:val="20"/>
              </w:rPr>
            </w:pPr>
            <w:r w:rsidRPr="00007A00">
              <w:rPr>
                <w:color w:val="000000"/>
                <w:sz w:val="20"/>
              </w:rPr>
              <w:t>R</w:t>
            </w:r>
            <w:r w:rsidRPr="00007A00">
              <w:rPr>
                <w:color w:val="000000"/>
                <w:sz w:val="20"/>
                <w:vertAlign w:val="superscript"/>
              </w:rPr>
              <w:t xml:space="preserve">2 </w:t>
            </w:r>
            <w:r w:rsidRPr="00007A00">
              <w:rPr>
                <w:color w:val="000000"/>
                <w:sz w:val="20"/>
              </w:rPr>
              <w:t>between</w:t>
            </w:r>
          </w:p>
        </w:tc>
        <w:tc>
          <w:tcPr>
            <w:tcW w:w="563" w:type="pct"/>
            <w:tcBorders>
              <w:top w:val="nil"/>
              <w:left w:val="single" w:sz="4" w:space="0" w:color="auto"/>
              <w:bottom w:val="nil"/>
              <w:right w:val="nil"/>
            </w:tcBorders>
            <w:shd w:val="clear" w:color="auto" w:fill="auto"/>
            <w:noWrap/>
            <w:vAlign w:val="bottom"/>
            <w:hideMark/>
          </w:tcPr>
          <w:p w14:paraId="6543E0F1" w14:textId="77777777" w:rsidR="0016084B" w:rsidRPr="00007A00" w:rsidRDefault="0016084B" w:rsidP="00007A00">
            <w:pPr>
              <w:ind w:firstLine="0"/>
              <w:rPr>
                <w:color w:val="000000"/>
                <w:sz w:val="20"/>
              </w:rPr>
            </w:pPr>
            <w:r w:rsidRPr="00007A00">
              <w:rPr>
                <w:color w:val="000000"/>
                <w:sz w:val="20"/>
              </w:rPr>
              <w:t>0,069</w:t>
            </w:r>
          </w:p>
        </w:tc>
        <w:tc>
          <w:tcPr>
            <w:tcW w:w="505" w:type="pct"/>
            <w:tcBorders>
              <w:top w:val="nil"/>
              <w:left w:val="nil"/>
              <w:bottom w:val="nil"/>
              <w:right w:val="nil"/>
            </w:tcBorders>
            <w:shd w:val="clear" w:color="auto" w:fill="auto"/>
            <w:noWrap/>
            <w:vAlign w:val="bottom"/>
            <w:hideMark/>
          </w:tcPr>
          <w:p w14:paraId="7819695F" w14:textId="77777777" w:rsidR="0016084B" w:rsidRPr="00007A00" w:rsidRDefault="0016084B" w:rsidP="00007A00">
            <w:pPr>
              <w:ind w:firstLine="0"/>
              <w:rPr>
                <w:color w:val="000000"/>
                <w:sz w:val="20"/>
              </w:rPr>
            </w:pPr>
            <w:r w:rsidRPr="00007A00">
              <w:rPr>
                <w:color w:val="000000"/>
                <w:sz w:val="20"/>
              </w:rPr>
              <w:t>-</w:t>
            </w:r>
          </w:p>
        </w:tc>
        <w:tc>
          <w:tcPr>
            <w:tcW w:w="447" w:type="pct"/>
            <w:tcBorders>
              <w:top w:val="nil"/>
              <w:left w:val="nil"/>
              <w:bottom w:val="nil"/>
              <w:right w:val="nil"/>
            </w:tcBorders>
            <w:shd w:val="clear" w:color="auto" w:fill="auto"/>
            <w:noWrap/>
            <w:hideMark/>
          </w:tcPr>
          <w:p w14:paraId="01EC49F7" w14:textId="77777777" w:rsidR="0016084B" w:rsidRPr="00007A00" w:rsidRDefault="0016084B" w:rsidP="00F54895">
            <w:pPr>
              <w:rPr>
                <w:sz w:val="20"/>
              </w:rPr>
            </w:pPr>
            <w:r w:rsidRPr="00007A00">
              <w:rPr>
                <w:color w:val="000000"/>
                <w:sz w:val="20"/>
              </w:rPr>
              <w:t>-</w:t>
            </w:r>
          </w:p>
        </w:tc>
        <w:tc>
          <w:tcPr>
            <w:tcW w:w="447" w:type="pct"/>
            <w:tcBorders>
              <w:top w:val="nil"/>
              <w:left w:val="nil"/>
              <w:bottom w:val="nil"/>
              <w:right w:val="nil"/>
            </w:tcBorders>
            <w:shd w:val="clear" w:color="auto" w:fill="auto"/>
            <w:noWrap/>
            <w:hideMark/>
          </w:tcPr>
          <w:p w14:paraId="60DE444C" w14:textId="77777777" w:rsidR="0016084B" w:rsidRPr="00007A00" w:rsidRDefault="0016084B" w:rsidP="00F54895">
            <w:pPr>
              <w:rPr>
                <w:sz w:val="20"/>
              </w:rPr>
            </w:pPr>
            <w:r w:rsidRPr="00007A00">
              <w:rPr>
                <w:color w:val="000000"/>
                <w:sz w:val="20"/>
              </w:rPr>
              <w:t>-</w:t>
            </w:r>
          </w:p>
        </w:tc>
        <w:tc>
          <w:tcPr>
            <w:tcW w:w="447" w:type="pct"/>
            <w:tcBorders>
              <w:top w:val="nil"/>
              <w:left w:val="nil"/>
              <w:bottom w:val="nil"/>
              <w:right w:val="nil"/>
            </w:tcBorders>
            <w:shd w:val="clear" w:color="auto" w:fill="auto"/>
            <w:noWrap/>
            <w:hideMark/>
          </w:tcPr>
          <w:p w14:paraId="49EF00F6" w14:textId="77777777" w:rsidR="0016084B" w:rsidRPr="00007A00" w:rsidRDefault="0016084B" w:rsidP="00F54895">
            <w:pPr>
              <w:rPr>
                <w:sz w:val="20"/>
              </w:rPr>
            </w:pPr>
            <w:r w:rsidRPr="00007A00">
              <w:rPr>
                <w:color w:val="000000"/>
                <w:sz w:val="20"/>
              </w:rPr>
              <w:t>-</w:t>
            </w:r>
          </w:p>
        </w:tc>
        <w:tc>
          <w:tcPr>
            <w:tcW w:w="447" w:type="pct"/>
            <w:tcBorders>
              <w:top w:val="nil"/>
              <w:left w:val="nil"/>
              <w:bottom w:val="nil"/>
              <w:right w:val="nil"/>
            </w:tcBorders>
            <w:shd w:val="clear" w:color="auto" w:fill="auto"/>
            <w:noWrap/>
            <w:hideMark/>
          </w:tcPr>
          <w:p w14:paraId="7104B6AE" w14:textId="77777777" w:rsidR="0016084B" w:rsidRPr="00007A00" w:rsidRDefault="0016084B" w:rsidP="00F54895">
            <w:pPr>
              <w:rPr>
                <w:sz w:val="20"/>
              </w:rPr>
            </w:pPr>
            <w:r w:rsidRPr="00007A00">
              <w:rPr>
                <w:color w:val="000000"/>
                <w:sz w:val="20"/>
              </w:rPr>
              <w:t>-</w:t>
            </w:r>
          </w:p>
        </w:tc>
        <w:tc>
          <w:tcPr>
            <w:tcW w:w="447" w:type="pct"/>
            <w:tcBorders>
              <w:top w:val="nil"/>
              <w:left w:val="nil"/>
              <w:bottom w:val="nil"/>
              <w:right w:val="nil"/>
            </w:tcBorders>
            <w:shd w:val="clear" w:color="auto" w:fill="auto"/>
            <w:noWrap/>
            <w:hideMark/>
          </w:tcPr>
          <w:p w14:paraId="5CE11ED4" w14:textId="77777777" w:rsidR="0016084B" w:rsidRPr="00007A00" w:rsidRDefault="0016084B" w:rsidP="00F54895">
            <w:pPr>
              <w:rPr>
                <w:sz w:val="20"/>
              </w:rPr>
            </w:pPr>
            <w:r w:rsidRPr="00007A00">
              <w:rPr>
                <w:color w:val="000000"/>
                <w:sz w:val="20"/>
              </w:rPr>
              <w:t>-</w:t>
            </w:r>
          </w:p>
        </w:tc>
        <w:tc>
          <w:tcPr>
            <w:tcW w:w="447" w:type="pct"/>
            <w:tcBorders>
              <w:top w:val="nil"/>
              <w:left w:val="nil"/>
              <w:bottom w:val="nil"/>
              <w:right w:val="nil"/>
            </w:tcBorders>
            <w:shd w:val="clear" w:color="auto" w:fill="auto"/>
            <w:noWrap/>
            <w:hideMark/>
          </w:tcPr>
          <w:p w14:paraId="4368A154" w14:textId="77777777" w:rsidR="0016084B" w:rsidRPr="00007A00" w:rsidRDefault="0016084B" w:rsidP="00F54895">
            <w:pPr>
              <w:rPr>
                <w:sz w:val="20"/>
              </w:rPr>
            </w:pPr>
            <w:r w:rsidRPr="00007A00">
              <w:rPr>
                <w:color w:val="000000"/>
                <w:sz w:val="20"/>
              </w:rPr>
              <w:t>-</w:t>
            </w:r>
          </w:p>
        </w:tc>
        <w:tc>
          <w:tcPr>
            <w:tcW w:w="505" w:type="pct"/>
            <w:tcBorders>
              <w:top w:val="nil"/>
              <w:left w:val="nil"/>
              <w:bottom w:val="nil"/>
              <w:right w:val="nil"/>
            </w:tcBorders>
            <w:shd w:val="clear" w:color="auto" w:fill="auto"/>
            <w:noWrap/>
            <w:hideMark/>
          </w:tcPr>
          <w:p w14:paraId="2001E617" w14:textId="77777777" w:rsidR="0016084B" w:rsidRPr="00007A00" w:rsidRDefault="0016084B" w:rsidP="00F54895">
            <w:pPr>
              <w:rPr>
                <w:sz w:val="20"/>
              </w:rPr>
            </w:pPr>
            <w:r w:rsidRPr="00007A00">
              <w:rPr>
                <w:color w:val="000000"/>
                <w:sz w:val="20"/>
              </w:rPr>
              <w:t>-</w:t>
            </w:r>
          </w:p>
        </w:tc>
      </w:tr>
      <w:tr w:rsidR="0016084B" w:rsidRPr="00007A00" w14:paraId="708A0737" w14:textId="77777777" w:rsidTr="00F54895">
        <w:trPr>
          <w:trHeight w:val="300"/>
        </w:trPr>
        <w:tc>
          <w:tcPr>
            <w:tcW w:w="741" w:type="pct"/>
            <w:tcBorders>
              <w:top w:val="nil"/>
              <w:left w:val="nil"/>
              <w:bottom w:val="nil"/>
              <w:right w:val="single" w:sz="4" w:space="0" w:color="auto"/>
            </w:tcBorders>
            <w:shd w:val="clear" w:color="auto" w:fill="auto"/>
            <w:noWrap/>
            <w:vAlign w:val="bottom"/>
            <w:hideMark/>
          </w:tcPr>
          <w:p w14:paraId="78CAF8ED" w14:textId="77777777" w:rsidR="0016084B" w:rsidRPr="00007A00" w:rsidRDefault="0016084B" w:rsidP="00007A00">
            <w:pPr>
              <w:ind w:firstLine="0"/>
              <w:rPr>
                <w:color w:val="000000"/>
                <w:sz w:val="20"/>
              </w:rPr>
            </w:pPr>
            <w:r w:rsidRPr="00007A00">
              <w:rPr>
                <w:color w:val="000000"/>
                <w:sz w:val="20"/>
              </w:rPr>
              <w:t>R</w:t>
            </w:r>
            <w:r w:rsidRPr="00007A00">
              <w:rPr>
                <w:color w:val="000000"/>
                <w:sz w:val="20"/>
                <w:vertAlign w:val="superscript"/>
              </w:rPr>
              <w:t>2</w:t>
            </w:r>
          </w:p>
        </w:tc>
        <w:tc>
          <w:tcPr>
            <w:tcW w:w="563" w:type="pct"/>
            <w:tcBorders>
              <w:top w:val="nil"/>
              <w:left w:val="single" w:sz="4" w:space="0" w:color="auto"/>
              <w:bottom w:val="nil"/>
              <w:right w:val="nil"/>
            </w:tcBorders>
            <w:shd w:val="clear" w:color="auto" w:fill="auto"/>
            <w:noWrap/>
            <w:vAlign w:val="bottom"/>
            <w:hideMark/>
          </w:tcPr>
          <w:p w14:paraId="1DBC92B6" w14:textId="77777777" w:rsidR="0016084B" w:rsidRPr="00007A00" w:rsidRDefault="0016084B" w:rsidP="00007A00">
            <w:pPr>
              <w:ind w:firstLine="0"/>
              <w:rPr>
                <w:color w:val="000000"/>
                <w:sz w:val="20"/>
              </w:rPr>
            </w:pPr>
            <w:r w:rsidRPr="00007A00">
              <w:rPr>
                <w:color w:val="000000"/>
                <w:sz w:val="20"/>
              </w:rPr>
              <w:t>0,447</w:t>
            </w:r>
          </w:p>
        </w:tc>
        <w:tc>
          <w:tcPr>
            <w:tcW w:w="505" w:type="pct"/>
            <w:tcBorders>
              <w:top w:val="nil"/>
              <w:left w:val="nil"/>
              <w:bottom w:val="nil"/>
              <w:right w:val="nil"/>
            </w:tcBorders>
            <w:shd w:val="clear" w:color="auto" w:fill="auto"/>
            <w:noWrap/>
            <w:vAlign w:val="bottom"/>
            <w:hideMark/>
          </w:tcPr>
          <w:p w14:paraId="66551845" w14:textId="77777777" w:rsidR="0016084B" w:rsidRPr="00007A00" w:rsidRDefault="0016084B" w:rsidP="00007A00">
            <w:pPr>
              <w:ind w:firstLine="0"/>
              <w:rPr>
                <w:color w:val="000000"/>
                <w:sz w:val="20"/>
              </w:rPr>
            </w:pPr>
            <w:r w:rsidRPr="00007A00">
              <w:rPr>
                <w:color w:val="000000"/>
                <w:sz w:val="20"/>
              </w:rPr>
              <w:t>0,603</w:t>
            </w:r>
          </w:p>
        </w:tc>
        <w:tc>
          <w:tcPr>
            <w:tcW w:w="447" w:type="pct"/>
            <w:tcBorders>
              <w:top w:val="nil"/>
              <w:left w:val="nil"/>
              <w:bottom w:val="nil"/>
              <w:right w:val="nil"/>
            </w:tcBorders>
            <w:shd w:val="clear" w:color="auto" w:fill="auto"/>
            <w:noWrap/>
            <w:vAlign w:val="bottom"/>
            <w:hideMark/>
          </w:tcPr>
          <w:p w14:paraId="69910C32" w14:textId="77777777" w:rsidR="0016084B" w:rsidRPr="00007A00" w:rsidRDefault="0016084B" w:rsidP="00081F23">
            <w:pPr>
              <w:ind w:firstLine="0"/>
              <w:rPr>
                <w:color w:val="000000"/>
                <w:sz w:val="20"/>
              </w:rPr>
            </w:pPr>
            <w:r w:rsidRPr="00007A00">
              <w:rPr>
                <w:color w:val="000000"/>
                <w:sz w:val="20"/>
              </w:rPr>
              <w:t>0,484</w:t>
            </w:r>
          </w:p>
        </w:tc>
        <w:tc>
          <w:tcPr>
            <w:tcW w:w="447" w:type="pct"/>
            <w:tcBorders>
              <w:top w:val="nil"/>
              <w:left w:val="nil"/>
              <w:bottom w:val="nil"/>
              <w:right w:val="nil"/>
            </w:tcBorders>
            <w:shd w:val="clear" w:color="auto" w:fill="auto"/>
            <w:noWrap/>
            <w:vAlign w:val="bottom"/>
            <w:hideMark/>
          </w:tcPr>
          <w:p w14:paraId="7C8DC10A" w14:textId="77777777" w:rsidR="0016084B" w:rsidRPr="00007A00" w:rsidRDefault="0016084B" w:rsidP="00081F23">
            <w:pPr>
              <w:ind w:firstLine="0"/>
              <w:rPr>
                <w:color w:val="000000"/>
                <w:sz w:val="20"/>
              </w:rPr>
            </w:pPr>
            <w:r w:rsidRPr="00007A00">
              <w:rPr>
                <w:color w:val="000000"/>
                <w:sz w:val="20"/>
              </w:rPr>
              <w:t>0,432</w:t>
            </w:r>
          </w:p>
        </w:tc>
        <w:tc>
          <w:tcPr>
            <w:tcW w:w="447" w:type="pct"/>
            <w:tcBorders>
              <w:top w:val="nil"/>
              <w:left w:val="nil"/>
              <w:bottom w:val="nil"/>
              <w:right w:val="nil"/>
            </w:tcBorders>
            <w:shd w:val="clear" w:color="auto" w:fill="auto"/>
            <w:noWrap/>
            <w:vAlign w:val="bottom"/>
            <w:hideMark/>
          </w:tcPr>
          <w:p w14:paraId="65338588" w14:textId="77777777" w:rsidR="0016084B" w:rsidRPr="00007A00" w:rsidRDefault="0016084B" w:rsidP="00081F23">
            <w:pPr>
              <w:ind w:firstLine="0"/>
              <w:rPr>
                <w:color w:val="000000"/>
                <w:sz w:val="20"/>
              </w:rPr>
            </w:pPr>
            <w:r w:rsidRPr="00007A00">
              <w:rPr>
                <w:color w:val="000000"/>
                <w:sz w:val="20"/>
              </w:rPr>
              <w:t>0,471</w:t>
            </w:r>
          </w:p>
        </w:tc>
        <w:tc>
          <w:tcPr>
            <w:tcW w:w="447" w:type="pct"/>
            <w:tcBorders>
              <w:top w:val="nil"/>
              <w:left w:val="nil"/>
              <w:bottom w:val="nil"/>
              <w:right w:val="nil"/>
            </w:tcBorders>
            <w:shd w:val="clear" w:color="auto" w:fill="auto"/>
            <w:noWrap/>
            <w:vAlign w:val="bottom"/>
            <w:hideMark/>
          </w:tcPr>
          <w:p w14:paraId="049697A3" w14:textId="77777777" w:rsidR="0016084B" w:rsidRPr="00007A00" w:rsidRDefault="0016084B" w:rsidP="00081F23">
            <w:pPr>
              <w:ind w:firstLine="0"/>
              <w:rPr>
                <w:color w:val="000000"/>
                <w:sz w:val="20"/>
              </w:rPr>
            </w:pPr>
            <w:r w:rsidRPr="00007A00">
              <w:rPr>
                <w:color w:val="000000"/>
                <w:sz w:val="20"/>
              </w:rPr>
              <w:t>0,411</w:t>
            </w:r>
          </w:p>
        </w:tc>
        <w:tc>
          <w:tcPr>
            <w:tcW w:w="447" w:type="pct"/>
            <w:tcBorders>
              <w:top w:val="nil"/>
              <w:left w:val="nil"/>
              <w:bottom w:val="nil"/>
              <w:right w:val="nil"/>
            </w:tcBorders>
            <w:shd w:val="clear" w:color="auto" w:fill="auto"/>
            <w:noWrap/>
            <w:vAlign w:val="bottom"/>
            <w:hideMark/>
          </w:tcPr>
          <w:p w14:paraId="20440AE7" w14:textId="77777777" w:rsidR="0016084B" w:rsidRPr="00007A00" w:rsidRDefault="0016084B" w:rsidP="00081F23">
            <w:pPr>
              <w:ind w:firstLine="0"/>
              <w:rPr>
                <w:color w:val="000000"/>
                <w:sz w:val="20"/>
              </w:rPr>
            </w:pPr>
            <w:r w:rsidRPr="00007A00">
              <w:rPr>
                <w:color w:val="000000"/>
                <w:sz w:val="20"/>
              </w:rPr>
              <w:t>0,302</w:t>
            </w:r>
          </w:p>
        </w:tc>
        <w:tc>
          <w:tcPr>
            <w:tcW w:w="447" w:type="pct"/>
            <w:tcBorders>
              <w:top w:val="nil"/>
              <w:left w:val="nil"/>
              <w:bottom w:val="nil"/>
              <w:right w:val="nil"/>
            </w:tcBorders>
            <w:shd w:val="clear" w:color="auto" w:fill="auto"/>
            <w:noWrap/>
            <w:vAlign w:val="bottom"/>
            <w:hideMark/>
          </w:tcPr>
          <w:p w14:paraId="6D630CB8" w14:textId="77777777" w:rsidR="0016084B" w:rsidRPr="00007A00" w:rsidRDefault="0016084B" w:rsidP="00081F23">
            <w:pPr>
              <w:ind w:firstLine="0"/>
              <w:rPr>
                <w:color w:val="000000"/>
                <w:sz w:val="20"/>
              </w:rPr>
            </w:pPr>
            <w:r w:rsidRPr="00007A00">
              <w:rPr>
                <w:color w:val="000000"/>
                <w:sz w:val="20"/>
              </w:rPr>
              <w:t>0,305</w:t>
            </w:r>
          </w:p>
        </w:tc>
        <w:tc>
          <w:tcPr>
            <w:tcW w:w="505" w:type="pct"/>
            <w:tcBorders>
              <w:top w:val="nil"/>
              <w:left w:val="nil"/>
              <w:bottom w:val="nil"/>
              <w:right w:val="nil"/>
            </w:tcBorders>
            <w:shd w:val="clear" w:color="auto" w:fill="auto"/>
            <w:noWrap/>
            <w:vAlign w:val="bottom"/>
            <w:hideMark/>
          </w:tcPr>
          <w:p w14:paraId="0BEBCFA8" w14:textId="77777777" w:rsidR="0016084B" w:rsidRPr="00007A00" w:rsidRDefault="0016084B" w:rsidP="00081F23">
            <w:pPr>
              <w:ind w:firstLine="0"/>
              <w:rPr>
                <w:color w:val="000000"/>
                <w:sz w:val="20"/>
              </w:rPr>
            </w:pPr>
            <w:r w:rsidRPr="00007A00">
              <w:rPr>
                <w:color w:val="000000"/>
                <w:sz w:val="20"/>
              </w:rPr>
              <w:t>0,283</w:t>
            </w:r>
          </w:p>
        </w:tc>
      </w:tr>
      <w:tr w:rsidR="0016084B" w:rsidRPr="00007A00" w14:paraId="165B122B" w14:textId="77777777" w:rsidTr="00F54895">
        <w:trPr>
          <w:trHeight w:val="300"/>
        </w:trPr>
        <w:tc>
          <w:tcPr>
            <w:tcW w:w="741" w:type="pct"/>
            <w:tcBorders>
              <w:top w:val="nil"/>
              <w:left w:val="nil"/>
              <w:bottom w:val="nil"/>
              <w:right w:val="single" w:sz="4" w:space="0" w:color="auto"/>
            </w:tcBorders>
            <w:shd w:val="clear" w:color="auto" w:fill="auto"/>
            <w:noWrap/>
            <w:vAlign w:val="bottom"/>
            <w:hideMark/>
          </w:tcPr>
          <w:p w14:paraId="7A43C91B" w14:textId="77777777" w:rsidR="0016084B" w:rsidRPr="00007A00" w:rsidRDefault="0016084B" w:rsidP="00007A00">
            <w:pPr>
              <w:ind w:firstLine="0"/>
              <w:rPr>
                <w:color w:val="000000"/>
                <w:sz w:val="20"/>
              </w:rPr>
            </w:pPr>
            <w:r w:rsidRPr="00007A00">
              <w:rPr>
                <w:color w:val="000000"/>
                <w:sz w:val="20"/>
              </w:rPr>
              <w:t>F/wald</w:t>
            </w:r>
          </w:p>
        </w:tc>
        <w:tc>
          <w:tcPr>
            <w:tcW w:w="563" w:type="pct"/>
            <w:tcBorders>
              <w:top w:val="nil"/>
              <w:left w:val="single" w:sz="4" w:space="0" w:color="auto"/>
              <w:bottom w:val="nil"/>
              <w:right w:val="nil"/>
            </w:tcBorders>
            <w:shd w:val="clear" w:color="auto" w:fill="auto"/>
            <w:noWrap/>
            <w:vAlign w:val="bottom"/>
            <w:hideMark/>
          </w:tcPr>
          <w:p w14:paraId="15870207" w14:textId="77777777" w:rsidR="0016084B" w:rsidRPr="00007A00" w:rsidRDefault="0016084B" w:rsidP="00007A00">
            <w:pPr>
              <w:ind w:firstLine="0"/>
              <w:rPr>
                <w:color w:val="000000"/>
                <w:sz w:val="20"/>
              </w:rPr>
            </w:pPr>
            <w:r w:rsidRPr="00007A00">
              <w:rPr>
                <w:color w:val="000000"/>
                <w:sz w:val="20"/>
              </w:rPr>
              <w:t>7692,880</w:t>
            </w:r>
          </w:p>
        </w:tc>
        <w:tc>
          <w:tcPr>
            <w:tcW w:w="505" w:type="pct"/>
            <w:tcBorders>
              <w:top w:val="nil"/>
              <w:left w:val="nil"/>
              <w:bottom w:val="nil"/>
              <w:right w:val="nil"/>
            </w:tcBorders>
            <w:shd w:val="clear" w:color="auto" w:fill="auto"/>
            <w:noWrap/>
            <w:vAlign w:val="bottom"/>
            <w:hideMark/>
          </w:tcPr>
          <w:p w14:paraId="77658BB3" w14:textId="77777777" w:rsidR="0016084B" w:rsidRPr="00007A00" w:rsidRDefault="0016084B" w:rsidP="00007A00">
            <w:pPr>
              <w:ind w:firstLine="0"/>
              <w:rPr>
                <w:color w:val="000000"/>
                <w:sz w:val="20"/>
              </w:rPr>
            </w:pPr>
            <w:r w:rsidRPr="00007A00">
              <w:rPr>
                <w:color w:val="000000"/>
                <w:sz w:val="20"/>
              </w:rPr>
              <w:t>1078,940</w:t>
            </w:r>
          </w:p>
        </w:tc>
        <w:tc>
          <w:tcPr>
            <w:tcW w:w="447" w:type="pct"/>
            <w:tcBorders>
              <w:top w:val="nil"/>
              <w:left w:val="nil"/>
              <w:bottom w:val="nil"/>
              <w:right w:val="nil"/>
            </w:tcBorders>
            <w:shd w:val="clear" w:color="auto" w:fill="auto"/>
            <w:noWrap/>
            <w:vAlign w:val="bottom"/>
            <w:hideMark/>
          </w:tcPr>
          <w:p w14:paraId="0DAD44F9" w14:textId="77777777" w:rsidR="0016084B" w:rsidRPr="00007A00" w:rsidRDefault="0016084B" w:rsidP="00081F23">
            <w:pPr>
              <w:ind w:firstLine="0"/>
              <w:rPr>
                <w:color w:val="000000"/>
                <w:sz w:val="20"/>
              </w:rPr>
            </w:pPr>
            <w:r w:rsidRPr="00007A00">
              <w:rPr>
                <w:color w:val="000000"/>
                <w:sz w:val="20"/>
              </w:rPr>
              <w:t>667,340</w:t>
            </w:r>
          </w:p>
        </w:tc>
        <w:tc>
          <w:tcPr>
            <w:tcW w:w="447" w:type="pct"/>
            <w:tcBorders>
              <w:top w:val="nil"/>
              <w:left w:val="nil"/>
              <w:bottom w:val="nil"/>
              <w:right w:val="nil"/>
            </w:tcBorders>
            <w:shd w:val="clear" w:color="auto" w:fill="auto"/>
            <w:noWrap/>
            <w:vAlign w:val="bottom"/>
            <w:hideMark/>
          </w:tcPr>
          <w:p w14:paraId="4B3BAA25" w14:textId="77777777" w:rsidR="0016084B" w:rsidRPr="00007A00" w:rsidRDefault="0016084B" w:rsidP="00081F23">
            <w:pPr>
              <w:ind w:firstLine="0"/>
              <w:rPr>
                <w:color w:val="000000"/>
                <w:sz w:val="20"/>
              </w:rPr>
            </w:pPr>
            <w:r w:rsidRPr="00007A00">
              <w:rPr>
                <w:color w:val="000000"/>
                <w:sz w:val="20"/>
              </w:rPr>
              <w:t>404,710</w:t>
            </w:r>
          </w:p>
        </w:tc>
        <w:tc>
          <w:tcPr>
            <w:tcW w:w="447" w:type="pct"/>
            <w:tcBorders>
              <w:top w:val="nil"/>
              <w:left w:val="nil"/>
              <w:bottom w:val="nil"/>
              <w:right w:val="nil"/>
            </w:tcBorders>
            <w:shd w:val="clear" w:color="auto" w:fill="auto"/>
            <w:noWrap/>
            <w:vAlign w:val="bottom"/>
            <w:hideMark/>
          </w:tcPr>
          <w:p w14:paraId="4AFB354B" w14:textId="77777777" w:rsidR="0016084B" w:rsidRPr="00007A00" w:rsidRDefault="0016084B" w:rsidP="00081F23">
            <w:pPr>
              <w:ind w:firstLine="0"/>
              <w:rPr>
                <w:color w:val="000000"/>
                <w:sz w:val="20"/>
              </w:rPr>
            </w:pPr>
            <w:r w:rsidRPr="00007A00">
              <w:rPr>
                <w:color w:val="000000"/>
                <w:sz w:val="20"/>
              </w:rPr>
              <w:t>273,660</w:t>
            </w:r>
          </w:p>
        </w:tc>
        <w:tc>
          <w:tcPr>
            <w:tcW w:w="447" w:type="pct"/>
            <w:tcBorders>
              <w:top w:val="nil"/>
              <w:left w:val="nil"/>
              <w:bottom w:val="nil"/>
              <w:right w:val="nil"/>
            </w:tcBorders>
            <w:shd w:val="clear" w:color="auto" w:fill="auto"/>
            <w:noWrap/>
            <w:vAlign w:val="bottom"/>
            <w:hideMark/>
          </w:tcPr>
          <w:p w14:paraId="22384EA5" w14:textId="77777777" w:rsidR="0016084B" w:rsidRPr="00007A00" w:rsidRDefault="0016084B" w:rsidP="00081F23">
            <w:pPr>
              <w:ind w:firstLine="0"/>
              <w:rPr>
                <w:color w:val="000000"/>
                <w:sz w:val="20"/>
              </w:rPr>
            </w:pPr>
            <w:r w:rsidRPr="00007A00">
              <w:rPr>
                <w:color w:val="000000"/>
                <w:sz w:val="20"/>
              </w:rPr>
              <w:t>598,130</w:t>
            </w:r>
          </w:p>
        </w:tc>
        <w:tc>
          <w:tcPr>
            <w:tcW w:w="447" w:type="pct"/>
            <w:tcBorders>
              <w:top w:val="nil"/>
              <w:left w:val="nil"/>
              <w:bottom w:val="nil"/>
              <w:right w:val="nil"/>
            </w:tcBorders>
            <w:shd w:val="clear" w:color="auto" w:fill="auto"/>
            <w:noWrap/>
            <w:vAlign w:val="bottom"/>
            <w:hideMark/>
          </w:tcPr>
          <w:p w14:paraId="652DE5F5" w14:textId="77777777" w:rsidR="0016084B" w:rsidRPr="00007A00" w:rsidRDefault="0016084B" w:rsidP="00081F23">
            <w:pPr>
              <w:ind w:firstLine="0"/>
              <w:rPr>
                <w:color w:val="000000"/>
                <w:sz w:val="20"/>
              </w:rPr>
            </w:pPr>
            <w:r w:rsidRPr="00007A00">
              <w:rPr>
                <w:color w:val="000000"/>
                <w:sz w:val="20"/>
              </w:rPr>
              <w:t>668,450</w:t>
            </w:r>
          </w:p>
        </w:tc>
        <w:tc>
          <w:tcPr>
            <w:tcW w:w="447" w:type="pct"/>
            <w:tcBorders>
              <w:top w:val="nil"/>
              <w:left w:val="nil"/>
              <w:bottom w:val="nil"/>
              <w:right w:val="nil"/>
            </w:tcBorders>
            <w:shd w:val="clear" w:color="auto" w:fill="auto"/>
            <w:noWrap/>
            <w:vAlign w:val="bottom"/>
            <w:hideMark/>
          </w:tcPr>
          <w:p w14:paraId="2CDBD5ED" w14:textId="77777777" w:rsidR="0016084B" w:rsidRPr="00007A00" w:rsidRDefault="0016084B" w:rsidP="00081F23">
            <w:pPr>
              <w:ind w:firstLine="0"/>
              <w:rPr>
                <w:color w:val="000000"/>
                <w:sz w:val="20"/>
              </w:rPr>
            </w:pPr>
            <w:r w:rsidRPr="00007A00">
              <w:rPr>
                <w:color w:val="000000"/>
                <w:sz w:val="20"/>
              </w:rPr>
              <w:t>665,940</w:t>
            </w:r>
          </w:p>
        </w:tc>
        <w:tc>
          <w:tcPr>
            <w:tcW w:w="505" w:type="pct"/>
            <w:tcBorders>
              <w:top w:val="nil"/>
              <w:left w:val="nil"/>
              <w:bottom w:val="nil"/>
              <w:right w:val="nil"/>
            </w:tcBorders>
            <w:shd w:val="clear" w:color="auto" w:fill="auto"/>
            <w:noWrap/>
            <w:vAlign w:val="bottom"/>
            <w:hideMark/>
          </w:tcPr>
          <w:p w14:paraId="08AAAA7C" w14:textId="77777777" w:rsidR="0016084B" w:rsidRPr="00007A00" w:rsidRDefault="0016084B" w:rsidP="00081F23">
            <w:pPr>
              <w:ind w:firstLine="0"/>
              <w:rPr>
                <w:color w:val="000000"/>
                <w:sz w:val="20"/>
              </w:rPr>
            </w:pPr>
            <w:r w:rsidRPr="00007A00">
              <w:rPr>
                <w:color w:val="000000"/>
                <w:sz w:val="20"/>
              </w:rPr>
              <w:t>1329,740</w:t>
            </w:r>
          </w:p>
        </w:tc>
      </w:tr>
      <w:tr w:rsidR="0016084B" w:rsidRPr="00007A00" w14:paraId="285AEF3D" w14:textId="77777777" w:rsidTr="00F54895">
        <w:trPr>
          <w:trHeight w:val="300"/>
        </w:trPr>
        <w:tc>
          <w:tcPr>
            <w:tcW w:w="741" w:type="pct"/>
            <w:tcBorders>
              <w:top w:val="nil"/>
              <w:left w:val="nil"/>
              <w:right w:val="single" w:sz="4" w:space="0" w:color="auto"/>
            </w:tcBorders>
            <w:shd w:val="clear" w:color="auto" w:fill="auto"/>
            <w:noWrap/>
            <w:vAlign w:val="bottom"/>
            <w:hideMark/>
          </w:tcPr>
          <w:p w14:paraId="3ED4BB29" w14:textId="77777777" w:rsidR="0016084B" w:rsidRPr="00007A00" w:rsidRDefault="0016084B" w:rsidP="00007A00">
            <w:pPr>
              <w:ind w:firstLine="0"/>
              <w:rPr>
                <w:color w:val="000000"/>
                <w:sz w:val="20"/>
              </w:rPr>
            </w:pPr>
            <w:r w:rsidRPr="00007A00">
              <w:rPr>
                <w:color w:val="000000"/>
                <w:sz w:val="20"/>
              </w:rPr>
              <w:t>Breusc pagam</w:t>
            </w:r>
          </w:p>
        </w:tc>
        <w:tc>
          <w:tcPr>
            <w:tcW w:w="563" w:type="pct"/>
            <w:tcBorders>
              <w:top w:val="nil"/>
              <w:left w:val="single" w:sz="4" w:space="0" w:color="auto"/>
              <w:right w:val="nil"/>
            </w:tcBorders>
            <w:shd w:val="clear" w:color="auto" w:fill="auto"/>
            <w:noWrap/>
            <w:vAlign w:val="bottom"/>
            <w:hideMark/>
          </w:tcPr>
          <w:p w14:paraId="021CEEF0" w14:textId="77777777" w:rsidR="0016084B" w:rsidRPr="00007A00" w:rsidRDefault="0016084B" w:rsidP="00007A00">
            <w:pPr>
              <w:ind w:firstLine="0"/>
              <w:rPr>
                <w:color w:val="000000"/>
                <w:sz w:val="20"/>
              </w:rPr>
            </w:pPr>
            <w:r w:rsidRPr="00007A00">
              <w:rPr>
                <w:color w:val="000000"/>
                <w:sz w:val="20"/>
              </w:rPr>
              <w:t>1080,820</w:t>
            </w:r>
          </w:p>
        </w:tc>
        <w:tc>
          <w:tcPr>
            <w:tcW w:w="505" w:type="pct"/>
            <w:tcBorders>
              <w:top w:val="nil"/>
              <w:left w:val="nil"/>
              <w:right w:val="nil"/>
            </w:tcBorders>
            <w:shd w:val="clear" w:color="auto" w:fill="auto"/>
            <w:noWrap/>
            <w:vAlign w:val="bottom"/>
            <w:hideMark/>
          </w:tcPr>
          <w:p w14:paraId="2B0714E7" w14:textId="77777777" w:rsidR="0016084B" w:rsidRPr="00007A00" w:rsidRDefault="0016084B" w:rsidP="00007A00">
            <w:pPr>
              <w:ind w:firstLine="0"/>
              <w:rPr>
                <w:color w:val="000000"/>
                <w:sz w:val="20"/>
              </w:rPr>
            </w:pPr>
            <w:r w:rsidRPr="00007A00">
              <w:rPr>
                <w:color w:val="000000"/>
                <w:sz w:val="20"/>
              </w:rPr>
              <w:t>102,720</w:t>
            </w:r>
          </w:p>
        </w:tc>
        <w:tc>
          <w:tcPr>
            <w:tcW w:w="447" w:type="pct"/>
            <w:tcBorders>
              <w:top w:val="nil"/>
              <w:left w:val="nil"/>
              <w:right w:val="nil"/>
            </w:tcBorders>
            <w:shd w:val="clear" w:color="auto" w:fill="auto"/>
            <w:noWrap/>
            <w:vAlign w:val="bottom"/>
            <w:hideMark/>
          </w:tcPr>
          <w:p w14:paraId="49B99FBC" w14:textId="77777777" w:rsidR="0016084B" w:rsidRPr="00007A00" w:rsidRDefault="0016084B" w:rsidP="00081F23">
            <w:pPr>
              <w:ind w:firstLine="0"/>
              <w:rPr>
                <w:color w:val="000000"/>
                <w:sz w:val="20"/>
              </w:rPr>
            </w:pPr>
            <w:r w:rsidRPr="00007A00">
              <w:rPr>
                <w:color w:val="000000"/>
                <w:sz w:val="20"/>
              </w:rPr>
              <w:t>53,760</w:t>
            </w:r>
          </w:p>
        </w:tc>
        <w:tc>
          <w:tcPr>
            <w:tcW w:w="447" w:type="pct"/>
            <w:tcBorders>
              <w:top w:val="nil"/>
              <w:left w:val="nil"/>
              <w:right w:val="nil"/>
            </w:tcBorders>
            <w:shd w:val="clear" w:color="auto" w:fill="auto"/>
            <w:noWrap/>
            <w:vAlign w:val="bottom"/>
            <w:hideMark/>
          </w:tcPr>
          <w:p w14:paraId="7131DA84" w14:textId="77777777" w:rsidR="0016084B" w:rsidRPr="00007A00" w:rsidRDefault="0016084B" w:rsidP="00081F23">
            <w:pPr>
              <w:ind w:firstLine="0"/>
              <w:rPr>
                <w:color w:val="000000"/>
                <w:sz w:val="20"/>
              </w:rPr>
            </w:pPr>
            <w:r w:rsidRPr="00007A00">
              <w:rPr>
                <w:color w:val="000000"/>
                <w:sz w:val="20"/>
              </w:rPr>
              <w:t>0,350</w:t>
            </w:r>
          </w:p>
        </w:tc>
        <w:tc>
          <w:tcPr>
            <w:tcW w:w="447" w:type="pct"/>
            <w:tcBorders>
              <w:top w:val="nil"/>
              <w:left w:val="nil"/>
              <w:right w:val="nil"/>
            </w:tcBorders>
            <w:shd w:val="clear" w:color="auto" w:fill="auto"/>
            <w:noWrap/>
            <w:vAlign w:val="bottom"/>
            <w:hideMark/>
          </w:tcPr>
          <w:p w14:paraId="2098F763" w14:textId="77777777" w:rsidR="0016084B" w:rsidRPr="00007A00" w:rsidRDefault="0016084B" w:rsidP="00081F23">
            <w:pPr>
              <w:ind w:firstLine="0"/>
              <w:rPr>
                <w:color w:val="000000"/>
                <w:sz w:val="20"/>
              </w:rPr>
            </w:pPr>
            <w:r w:rsidRPr="00007A00">
              <w:rPr>
                <w:color w:val="000000"/>
                <w:sz w:val="20"/>
              </w:rPr>
              <w:t>1,170</w:t>
            </w:r>
          </w:p>
        </w:tc>
        <w:tc>
          <w:tcPr>
            <w:tcW w:w="447" w:type="pct"/>
            <w:tcBorders>
              <w:top w:val="nil"/>
              <w:left w:val="nil"/>
              <w:right w:val="nil"/>
            </w:tcBorders>
            <w:shd w:val="clear" w:color="auto" w:fill="auto"/>
            <w:noWrap/>
            <w:vAlign w:val="bottom"/>
            <w:hideMark/>
          </w:tcPr>
          <w:p w14:paraId="27574724" w14:textId="77777777" w:rsidR="0016084B" w:rsidRPr="00007A00" w:rsidRDefault="0016084B" w:rsidP="00081F23">
            <w:pPr>
              <w:ind w:firstLine="0"/>
              <w:rPr>
                <w:color w:val="000000"/>
                <w:sz w:val="20"/>
              </w:rPr>
            </w:pPr>
            <w:r w:rsidRPr="00007A00">
              <w:rPr>
                <w:color w:val="000000"/>
                <w:sz w:val="20"/>
              </w:rPr>
              <w:t>12,680</w:t>
            </w:r>
          </w:p>
        </w:tc>
        <w:tc>
          <w:tcPr>
            <w:tcW w:w="447" w:type="pct"/>
            <w:tcBorders>
              <w:top w:val="nil"/>
              <w:left w:val="nil"/>
              <w:right w:val="nil"/>
            </w:tcBorders>
            <w:shd w:val="clear" w:color="auto" w:fill="auto"/>
            <w:noWrap/>
            <w:vAlign w:val="bottom"/>
            <w:hideMark/>
          </w:tcPr>
          <w:p w14:paraId="5A50F011" w14:textId="77777777" w:rsidR="0016084B" w:rsidRPr="00007A00" w:rsidRDefault="0016084B" w:rsidP="00081F23">
            <w:pPr>
              <w:ind w:firstLine="0"/>
              <w:rPr>
                <w:color w:val="000000"/>
                <w:sz w:val="20"/>
              </w:rPr>
            </w:pPr>
            <w:r w:rsidRPr="00007A00">
              <w:rPr>
                <w:color w:val="000000"/>
                <w:sz w:val="20"/>
              </w:rPr>
              <w:t>54,090</w:t>
            </w:r>
          </w:p>
        </w:tc>
        <w:tc>
          <w:tcPr>
            <w:tcW w:w="447" w:type="pct"/>
            <w:tcBorders>
              <w:top w:val="nil"/>
              <w:left w:val="nil"/>
              <w:right w:val="nil"/>
            </w:tcBorders>
            <w:shd w:val="clear" w:color="auto" w:fill="auto"/>
            <w:noWrap/>
            <w:vAlign w:val="bottom"/>
            <w:hideMark/>
          </w:tcPr>
          <w:p w14:paraId="6E169AA8" w14:textId="77777777" w:rsidR="0016084B" w:rsidRPr="00007A00" w:rsidRDefault="0016084B" w:rsidP="00081F23">
            <w:pPr>
              <w:ind w:firstLine="0"/>
              <w:rPr>
                <w:color w:val="000000"/>
                <w:sz w:val="20"/>
              </w:rPr>
            </w:pPr>
            <w:r w:rsidRPr="00007A00">
              <w:rPr>
                <w:color w:val="000000"/>
                <w:sz w:val="20"/>
              </w:rPr>
              <w:t>377,400</w:t>
            </w:r>
          </w:p>
        </w:tc>
        <w:tc>
          <w:tcPr>
            <w:tcW w:w="505" w:type="pct"/>
            <w:tcBorders>
              <w:top w:val="nil"/>
              <w:left w:val="nil"/>
              <w:right w:val="nil"/>
            </w:tcBorders>
            <w:shd w:val="clear" w:color="auto" w:fill="auto"/>
            <w:noWrap/>
            <w:vAlign w:val="bottom"/>
            <w:hideMark/>
          </w:tcPr>
          <w:p w14:paraId="7438211B" w14:textId="77777777" w:rsidR="0016084B" w:rsidRPr="00007A00" w:rsidRDefault="0016084B" w:rsidP="00081F23">
            <w:pPr>
              <w:ind w:firstLine="0"/>
              <w:rPr>
                <w:color w:val="000000"/>
                <w:sz w:val="20"/>
              </w:rPr>
            </w:pPr>
            <w:r w:rsidRPr="00007A00">
              <w:rPr>
                <w:color w:val="000000"/>
                <w:sz w:val="20"/>
              </w:rPr>
              <w:t>188,910</w:t>
            </w:r>
          </w:p>
        </w:tc>
      </w:tr>
      <w:tr w:rsidR="0016084B" w:rsidRPr="00007A00" w14:paraId="394C3DA7" w14:textId="77777777" w:rsidTr="00F54895">
        <w:trPr>
          <w:trHeight w:val="300"/>
        </w:trPr>
        <w:tc>
          <w:tcPr>
            <w:tcW w:w="741" w:type="pct"/>
            <w:tcBorders>
              <w:top w:val="nil"/>
              <w:left w:val="nil"/>
              <w:bottom w:val="single" w:sz="4" w:space="0" w:color="auto"/>
              <w:right w:val="single" w:sz="4" w:space="0" w:color="auto"/>
            </w:tcBorders>
            <w:shd w:val="clear" w:color="auto" w:fill="auto"/>
            <w:noWrap/>
            <w:vAlign w:val="bottom"/>
            <w:hideMark/>
          </w:tcPr>
          <w:p w14:paraId="4398B653" w14:textId="77777777" w:rsidR="0016084B" w:rsidRPr="00007A00" w:rsidRDefault="0016084B" w:rsidP="00007A00">
            <w:pPr>
              <w:ind w:firstLine="0"/>
              <w:rPr>
                <w:color w:val="000000"/>
                <w:sz w:val="20"/>
              </w:rPr>
            </w:pPr>
            <w:r w:rsidRPr="00007A00">
              <w:rPr>
                <w:color w:val="000000"/>
                <w:sz w:val="20"/>
              </w:rPr>
              <w:t>Hausman</w:t>
            </w:r>
          </w:p>
        </w:tc>
        <w:tc>
          <w:tcPr>
            <w:tcW w:w="563" w:type="pct"/>
            <w:tcBorders>
              <w:top w:val="nil"/>
              <w:left w:val="single" w:sz="4" w:space="0" w:color="auto"/>
              <w:bottom w:val="single" w:sz="4" w:space="0" w:color="auto"/>
              <w:right w:val="nil"/>
            </w:tcBorders>
            <w:shd w:val="clear" w:color="auto" w:fill="auto"/>
            <w:noWrap/>
            <w:vAlign w:val="bottom"/>
            <w:hideMark/>
          </w:tcPr>
          <w:p w14:paraId="54976CB6" w14:textId="77777777" w:rsidR="0016084B" w:rsidRPr="00007A00" w:rsidRDefault="0016084B" w:rsidP="00007A00">
            <w:pPr>
              <w:ind w:firstLine="0"/>
              <w:rPr>
                <w:color w:val="000000"/>
                <w:sz w:val="20"/>
              </w:rPr>
            </w:pPr>
            <w:r w:rsidRPr="00007A00">
              <w:rPr>
                <w:color w:val="000000"/>
                <w:sz w:val="20"/>
              </w:rPr>
              <w:t>53766,720</w:t>
            </w:r>
          </w:p>
        </w:tc>
        <w:tc>
          <w:tcPr>
            <w:tcW w:w="505" w:type="pct"/>
            <w:tcBorders>
              <w:top w:val="nil"/>
              <w:left w:val="nil"/>
              <w:bottom w:val="single" w:sz="4" w:space="0" w:color="auto"/>
              <w:right w:val="nil"/>
            </w:tcBorders>
            <w:shd w:val="clear" w:color="auto" w:fill="auto"/>
            <w:noWrap/>
            <w:vAlign w:val="bottom"/>
            <w:hideMark/>
          </w:tcPr>
          <w:p w14:paraId="503264CC" w14:textId="77777777" w:rsidR="0016084B" w:rsidRPr="00007A00" w:rsidRDefault="0016084B" w:rsidP="00007A00">
            <w:pPr>
              <w:ind w:firstLine="0"/>
              <w:rPr>
                <w:color w:val="000000"/>
                <w:sz w:val="20"/>
              </w:rPr>
            </w:pPr>
          </w:p>
        </w:tc>
        <w:tc>
          <w:tcPr>
            <w:tcW w:w="447" w:type="pct"/>
            <w:tcBorders>
              <w:top w:val="nil"/>
              <w:left w:val="nil"/>
              <w:bottom w:val="single" w:sz="4" w:space="0" w:color="auto"/>
              <w:right w:val="nil"/>
            </w:tcBorders>
            <w:shd w:val="clear" w:color="auto" w:fill="auto"/>
            <w:noWrap/>
            <w:vAlign w:val="bottom"/>
            <w:hideMark/>
          </w:tcPr>
          <w:p w14:paraId="3851C86B" w14:textId="77777777" w:rsidR="0016084B" w:rsidRPr="00007A00" w:rsidRDefault="0016084B" w:rsidP="00F54895">
            <w:pPr>
              <w:rPr>
                <w:sz w:val="20"/>
              </w:rPr>
            </w:pPr>
          </w:p>
        </w:tc>
        <w:tc>
          <w:tcPr>
            <w:tcW w:w="447" w:type="pct"/>
            <w:tcBorders>
              <w:top w:val="nil"/>
              <w:left w:val="nil"/>
              <w:bottom w:val="single" w:sz="4" w:space="0" w:color="auto"/>
              <w:right w:val="nil"/>
            </w:tcBorders>
            <w:shd w:val="clear" w:color="auto" w:fill="auto"/>
            <w:noWrap/>
            <w:vAlign w:val="bottom"/>
            <w:hideMark/>
          </w:tcPr>
          <w:p w14:paraId="34827056" w14:textId="77777777" w:rsidR="0016084B" w:rsidRPr="00007A00" w:rsidRDefault="0016084B" w:rsidP="00F54895">
            <w:pPr>
              <w:rPr>
                <w:sz w:val="20"/>
              </w:rPr>
            </w:pPr>
          </w:p>
        </w:tc>
        <w:tc>
          <w:tcPr>
            <w:tcW w:w="447" w:type="pct"/>
            <w:tcBorders>
              <w:top w:val="nil"/>
              <w:left w:val="nil"/>
              <w:bottom w:val="single" w:sz="4" w:space="0" w:color="auto"/>
              <w:right w:val="nil"/>
            </w:tcBorders>
            <w:shd w:val="clear" w:color="auto" w:fill="auto"/>
            <w:noWrap/>
            <w:vAlign w:val="bottom"/>
            <w:hideMark/>
          </w:tcPr>
          <w:p w14:paraId="0B1C6751" w14:textId="77777777" w:rsidR="0016084B" w:rsidRPr="00007A00" w:rsidRDefault="0016084B" w:rsidP="00F54895">
            <w:pPr>
              <w:rPr>
                <w:sz w:val="20"/>
              </w:rPr>
            </w:pPr>
          </w:p>
        </w:tc>
        <w:tc>
          <w:tcPr>
            <w:tcW w:w="447" w:type="pct"/>
            <w:tcBorders>
              <w:top w:val="nil"/>
              <w:left w:val="nil"/>
              <w:bottom w:val="single" w:sz="4" w:space="0" w:color="auto"/>
              <w:right w:val="nil"/>
            </w:tcBorders>
            <w:shd w:val="clear" w:color="auto" w:fill="auto"/>
            <w:noWrap/>
            <w:vAlign w:val="bottom"/>
            <w:hideMark/>
          </w:tcPr>
          <w:p w14:paraId="5BB43A42" w14:textId="77777777" w:rsidR="0016084B" w:rsidRPr="00007A00" w:rsidRDefault="0016084B" w:rsidP="00F54895">
            <w:pPr>
              <w:rPr>
                <w:sz w:val="20"/>
              </w:rPr>
            </w:pPr>
          </w:p>
        </w:tc>
        <w:tc>
          <w:tcPr>
            <w:tcW w:w="447" w:type="pct"/>
            <w:tcBorders>
              <w:top w:val="nil"/>
              <w:left w:val="nil"/>
              <w:bottom w:val="single" w:sz="4" w:space="0" w:color="auto"/>
              <w:right w:val="nil"/>
            </w:tcBorders>
            <w:shd w:val="clear" w:color="auto" w:fill="auto"/>
            <w:noWrap/>
            <w:vAlign w:val="bottom"/>
            <w:hideMark/>
          </w:tcPr>
          <w:p w14:paraId="2C2BD9C8" w14:textId="77777777" w:rsidR="0016084B" w:rsidRPr="00007A00" w:rsidRDefault="0016084B" w:rsidP="00F54895">
            <w:pPr>
              <w:rPr>
                <w:sz w:val="20"/>
              </w:rPr>
            </w:pPr>
          </w:p>
        </w:tc>
        <w:tc>
          <w:tcPr>
            <w:tcW w:w="447" w:type="pct"/>
            <w:tcBorders>
              <w:top w:val="nil"/>
              <w:left w:val="nil"/>
              <w:bottom w:val="single" w:sz="4" w:space="0" w:color="auto"/>
              <w:right w:val="nil"/>
            </w:tcBorders>
            <w:shd w:val="clear" w:color="auto" w:fill="auto"/>
            <w:noWrap/>
            <w:vAlign w:val="bottom"/>
            <w:hideMark/>
          </w:tcPr>
          <w:p w14:paraId="294EA566" w14:textId="77777777" w:rsidR="0016084B" w:rsidRPr="00007A00" w:rsidRDefault="0016084B" w:rsidP="00F54895">
            <w:pPr>
              <w:rPr>
                <w:sz w:val="20"/>
              </w:rPr>
            </w:pPr>
          </w:p>
        </w:tc>
        <w:tc>
          <w:tcPr>
            <w:tcW w:w="505" w:type="pct"/>
            <w:tcBorders>
              <w:top w:val="nil"/>
              <w:left w:val="nil"/>
              <w:bottom w:val="single" w:sz="4" w:space="0" w:color="auto"/>
              <w:right w:val="nil"/>
            </w:tcBorders>
            <w:shd w:val="clear" w:color="auto" w:fill="auto"/>
            <w:noWrap/>
            <w:vAlign w:val="bottom"/>
            <w:hideMark/>
          </w:tcPr>
          <w:p w14:paraId="492C086E" w14:textId="77777777" w:rsidR="0016084B" w:rsidRPr="00007A00" w:rsidRDefault="0016084B" w:rsidP="00F54895">
            <w:pPr>
              <w:rPr>
                <w:sz w:val="20"/>
              </w:rPr>
            </w:pPr>
          </w:p>
        </w:tc>
      </w:tr>
    </w:tbl>
    <w:p w14:paraId="3CE5F367" w14:textId="77777777" w:rsidR="0016084B" w:rsidRPr="00007A00" w:rsidRDefault="0016084B" w:rsidP="00D611F8">
      <w:pPr>
        <w:ind w:firstLine="0"/>
        <w:rPr>
          <w:sz w:val="20"/>
        </w:rPr>
      </w:pPr>
      <w:r w:rsidRPr="00007A00">
        <w:rPr>
          <w:sz w:val="20"/>
        </w:rPr>
        <w:t xml:space="preserve">Fonte: Elaboração própria, todos os coeficientes estimados são significativos, os modelos para os anos de 2011 e </w:t>
      </w:r>
      <w:r w:rsidRPr="00007A00">
        <w:rPr>
          <w:sz w:val="20"/>
        </w:rPr>
        <w:lastRenderedPageBreak/>
        <w:t>2012 foram estimados com a correção de White para heterocedasticidade.</w:t>
      </w:r>
    </w:p>
    <w:p w14:paraId="5CB7980C" w14:textId="77777777" w:rsidR="0016084B" w:rsidRPr="00007A00" w:rsidRDefault="0016084B" w:rsidP="0016084B"/>
    <w:p w14:paraId="0A50F834" w14:textId="77777777" w:rsidR="0016084B" w:rsidRPr="00007A00" w:rsidRDefault="0016084B" w:rsidP="0016084B">
      <w:r w:rsidRPr="00007A00">
        <w:t>Os resultados encontrados para o teste de convergência condicional (Tabela 6) mostram que mesmo após se considerar as diferentes características dos municípios, o IGP continua apresentando forte convergência. Este resultado reforça a ideia de que o aumento no IGP é explicado por fatores comuns a todos os municípios, provavelmente pela LRF. Estes resultados são corroborados pelas regressões estimadas para cada período, o período pré-crise e o período como um todo (Anexo 1).</w:t>
      </w:r>
    </w:p>
    <w:p w14:paraId="5F4E8F52" w14:textId="77777777" w:rsidR="0016084B" w:rsidRPr="00007A00" w:rsidRDefault="0016084B" w:rsidP="0016084B"/>
    <w:p w14:paraId="63DD31FA" w14:textId="77777777" w:rsidR="0016084B" w:rsidRPr="00007A00" w:rsidRDefault="0016084B" w:rsidP="00081F23">
      <w:pPr>
        <w:ind w:firstLine="0"/>
      </w:pPr>
      <w:r w:rsidRPr="00007A00">
        <w:t>Tabela 6 - Resultados encontrados para o teste de convergência condicional, modelo em painel</w:t>
      </w:r>
    </w:p>
    <w:tbl>
      <w:tblPr>
        <w:tblW w:w="8789" w:type="dxa"/>
        <w:tblCellMar>
          <w:left w:w="70" w:type="dxa"/>
          <w:right w:w="70" w:type="dxa"/>
        </w:tblCellMar>
        <w:tblLook w:val="04A0" w:firstRow="1" w:lastRow="0" w:firstColumn="1" w:lastColumn="0" w:noHBand="0" w:noVBand="1"/>
      </w:tblPr>
      <w:tblGrid>
        <w:gridCol w:w="2268"/>
        <w:gridCol w:w="860"/>
        <w:gridCol w:w="1125"/>
        <w:gridCol w:w="2126"/>
        <w:gridCol w:w="1275"/>
        <w:gridCol w:w="1135"/>
      </w:tblGrid>
      <w:tr w:rsidR="0016084B" w:rsidRPr="00007A00" w14:paraId="63E8448B" w14:textId="77777777" w:rsidTr="00F54895">
        <w:trPr>
          <w:trHeight w:val="300"/>
        </w:trPr>
        <w:tc>
          <w:tcPr>
            <w:tcW w:w="2268" w:type="dxa"/>
            <w:tcBorders>
              <w:top w:val="single" w:sz="4" w:space="0" w:color="auto"/>
              <w:left w:val="nil"/>
              <w:bottom w:val="single" w:sz="4" w:space="0" w:color="auto"/>
              <w:right w:val="nil"/>
            </w:tcBorders>
            <w:shd w:val="clear" w:color="auto" w:fill="auto"/>
            <w:noWrap/>
            <w:vAlign w:val="bottom"/>
            <w:hideMark/>
          </w:tcPr>
          <w:p w14:paraId="37D320F5" w14:textId="77777777" w:rsidR="0016084B" w:rsidRPr="00007A00" w:rsidRDefault="0016084B" w:rsidP="00081F23">
            <w:pPr>
              <w:ind w:firstLine="0"/>
              <w:rPr>
                <w:color w:val="000000"/>
                <w:sz w:val="20"/>
              </w:rPr>
            </w:pPr>
            <w:r w:rsidRPr="00007A00">
              <w:rPr>
                <w:color w:val="000000"/>
                <w:sz w:val="20"/>
              </w:rPr>
              <w:t>Variável</w:t>
            </w:r>
          </w:p>
        </w:tc>
        <w:tc>
          <w:tcPr>
            <w:tcW w:w="860" w:type="dxa"/>
            <w:tcBorders>
              <w:top w:val="single" w:sz="4" w:space="0" w:color="auto"/>
              <w:left w:val="nil"/>
              <w:bottom w:val="single" w:sz="4" w:space="0" w:color="auto"/>
              <w:right w:val="nil"/>
            </w:tcBorders>
            <w:shd w:val="clear" w:color="auto" w:fill="auto"/>
            <w:noWrap/>
            <w:vAlign w:val="bottom"/>
            <w:hideMark/>
          </w:tcPr>
          <w:p w14:paraId="39A42860" w14:textId="77777777" w:rsidR="0016084B" w:rsidRPr="00007A00" w:rsidRDefault="0016084B" w:rsidP="00081F23">
            <w:pPr>
              <w:ind w:firstLine="0"/>
              <w:rPr>
                <w:color w:val="000000"/>
                <w:sz w:val="20"/>
              </w:rPr>
            </w:pPr>
            <w:r w:rsidRPr="00007A00">
              <w:rPr>
                <w:color w:val="000000"/>
                <w:sz w:val="20"/>
              </w:rPr>
              <w:t>Coef.</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69ADCEC1" w14:textId="77777777" w:rsidR="0016084B" w:rsidRPr="00007A00" w:rsidRDefault="0016084B" w:rsidP="00081F23">
            <w:pPr>
              <w:ind w:firstLine="0"/>
              <w:rPr>
                <w:color w:val="000000"/>
                <w:sz w:val="20"/>
              </w:rPr>
            </w:pPr>
            <w:r w:rsidRPr="00007A00">
              <w:rPr>
                <w:color w:val="000000"/>
                <w:sz w:val="20"/>
              </w:rPr>
              <w:t>Erro padrão</w:t>
            </w:r>
          </w:p>
        </w:tc>
        <w:tc>
          <w:tcPr>
            <w:tcW w:w="2126" w:type="dxa"/>
            <w:tcBorders>
              <w:top w:val="single" w:sz="4" w:space="0" w:color="auto"/>
              <w:left w:val="single" w:sz="4" w:space="0" w:color="auto"/>
              <w:bottom w:val="single" w:sz="4" w:space="0" w:color="auto"/>
              <w:right w:val="nil"/>
            </w:tcBorders>
            <w:shd w:val="clear" w:color="auto" w:fill="auto"/>
            <w:noWrap/>
            <w:vAlign w:val="bottom"/>
            <w:hideMark/>
          </w:tcPr>
          <w:p w14:paraId="4BE1A0D2" w14:textId="77777777" w:rsidR="0016084B" w:rsidRPr="00007A00" w:rsidRDefault="0016084B" w:rsidP="00081F23">
            <w:pPr>
              <w:ind w:firstLine="0"/>
              <w:rPr>
                <w:color w:val="000000"/>
                <w:sz w:val="20"/>
              </w:rPr>
            </w:pPr>
            <w:r w:rsidRPr="00007A00">
              <w:rPr>
                <w:color w:val="000000"/>
                <w:sz w:val="20"/>
              </w:rPr>
              <w:t>Variável</w:t>
            </w:r>
          </w:p>
        </w:tc>
        <w:tc>
          <w:tcPr>
            <w:tcW w:w="1275" w:type="dxa"/>
            <w:tcBorders>
              <w:top w:val="single" w:sz="4" w:space="0" w:color="auto"/>
              <w:left w:val="nil"/>
              <w:bottom w:val="single" w:sz="4" w:space="0" w:color="auto"/>
              <w:right w:val="nil"/>
            </w:tcBorders>
            <w:shd w:val="clear" w:color="auto" w:fill="auto"/>
            <w:noWrap/>
            <w:vAlign w:val="bottom"/>
            <w:hideMark/>
          </w:tcPr>
          <w:p w14:paraId="29E388E8" w14:textId="77777777" w:rsidR="0016084B" w:rsidRPr="00007A00" w:rsidRDefault="0016084B" w:rsidP="00081F23">
            <w:pPr>
              <w:ind w:firstLine="0"/>
              <w:rPr>
                <w:color w:val="000000"/>
                <w:sz w:val="20"/>
              </w:rPr>
            </w:pPr>
            <w:r w:rsidRPr="00007A00">
              <w:rPr>
                <w:color w:val="000000"/>
                <w:sz w:val="20"/>
              </w:rPr>
              <w:t>Coef.</w:t>
            </w:r>
          </w:p>
        </w:tc>
        <w:tc>
          <w:tcPr>
            <w:tcW w:w="1135" w:type="dxa"/>
            <w:tcBorders>
              <w:top w:val="single" w:sz="4" w:space="0" w:color="auto"/>
              <w:left w:val="nil"/>
              <w:bottom w:val="single" w:sz="4" w:space="0" w:color="auto"/>
              <w:right w:val="nil"/>
            </w:tcBorders>
            <w:shd w:val="clear" w:color="auto" w:fill="auto"/>
            <w:noWrap/>
            <w:vAlign w:val="bottom"/>
            <w:hideMark/>
          </w:tcPr>
          <w:p w14:paraId="19080659" w14:textId="77777777" w:rsidR="0016084B" w:rsidRPr="00007A00" w:rsidRDefault="0016084B" w:rsidP="00081F23">
            <w:pPr>
              <w:ind w:firstLine="0"/>
              <w:rPr>
                <w:color w:val="000000"/>
                <w:sz w:val="20"/>
              </w:rPr>
            </w:pPr>
            <w:r w:rsidRPr="00007A00">
              <w:rPr>
                <w:color w:val="000000"/>
                <w:sz w:val="20"/>
              </w:rPr>
              <w:t>Erro padrão</w:t>
            </w:r>
          </w:p>
        </w:tc>
      </w:tr>
      <w:tr w:rsidR="0016084B" w:rsidRPr="00007A00" w14:paraId="1C1E7764" w14:textId="77777777" w:rsidTr="00F54895">
        <w:trPr>
          <w:trHeight w:val="300"/>
        </w:trPr>
        <w:tc>
          <w:tcPr>
            <w:tcW w:w="2268" w:type="dxa"/>
            <w:tcBorders>
              <w:top w:val="single" w:sz="4" w:space="0" w:color="auto"/>
              <w:left w:val="nil"/>
              <w:bottom w:val="nil"/>
              <w:right w:val="nil"/>
            </w:tcBorders>
            <w:shd w:val="clear" w:color="auto" w:fill="auto"/>
            <w:noWrap/>
            <w:vAlign w:val="bottom"/>
            <w:hideMark/>
          </w:tcPr>
          <w:p w14:paraId="609A7BE2" w14:textId="77777777" w:rsidR="0016084B" w:rsidRPr="00007A00" w:rsidRDefault="0016084B" w:rsidP="00081F23">
            <w:pPr>
              <w:ind w:firstLine="0"/>
              <w:rPr>
                <w:color w:val="000000"/>
                <w:sz w:val="20"/>
              </w:rPr>
            </w:pPr>
            <m:oMathPara>
              <m:oMathParaPr>
                <m:jc m:val="left"/>
              </m:oMathParaPr>
              <m:oMath>
                <m:r>
                  <w:rPr>
                    <w:rFonts w:ascii="Cambria Math" w:hAnsi="Cambria Math"/>
                    <w:color w:val="000000"/>
                    <w:sz w:val="20"/>
                  </w:rPr>
                  <m:t>β</m:t>
                </m:r>
              </m:oMath>
            </m:oMathPara>
          </w:p>
        </w:tc>
        <w:tc>
          <w:tcPr>
            <w:tcW w:w="860" w:type="dxa"/>
            <w:tcBorders>
              <w:top w:val="single" w:sz="4" w:space="0" w:color="auto"/>
              <w:left w:val="nil"/>
              <w:bottom w:val="nil"/>
              <w:right w:val="nil"/>
            </w:tcBorders>
            <w:shd w:val="clear" w:color="auto" w:fill="auto"/>
            <w:noWrap/>
            <w:vAlign w:val="bottom"/>
            <w:hideMark/>
          </w:tcPr>
          <w:p w14:paraId="218F82D1" w14:textId="77777777" w:rsidR="0016084B" w:rsidRPr="00007A00" w:rsidRDefault="0016084B" w:rsidP="00081F23">
            <w:pPr>
              <w:ind w:firstLine="0"/>
              <w:rPr>
                <w:color w:val="000000"/>
                <w:sz w:val="20"/>
              </w:rPr>
            </w:pPr>
            <w:r w:rsidRPr="00007A00">
              <w:rPr>
                <w:color w:val="000000"/>
                <w:sz w:val="20"/>
              </w:rPr>
              <w:t>-1,126**</w:t>
            </w:r>
          </w:p>
        </w:tc>
        <w:tc>
          <w:tcPr>
            <w:tcW w:w="1125" w:type="dxa"/>
            <w:tcBorders>
              <w:top w:val="single" w:sz="4" w:space="0" w:color="auto"/>
              <w:left w:val="nil"/>
              <w:bottom w:val="nil"/>
              <w:right w:val="single" w:sz="4" w:space="0" w:color="auto"/>
            </w:tcBorders>
            <w:shd w:val="clear" w:color="auto" w:fill="auto"/>
            <w:noWrap/>
            <w:vAlign w:val="bottom"/>
            <w:hideMark/>
          </w:tcPr>
          <w:p w14:paraId="199A4D1E" w14:textId="77777777" w:rsidR="0016084B" w:rsidRPr="00007A00" w:rsidRDefault="0016084B" w:rsidP="00081F23">
            <w:pPr>
              <w:ind w:firstLine="0"/>
              <w:rPr>
                <w:color w:val="000000"/>
                <w:sz w:val="20"/>
              </w:rPr>
            </w:pPr>
            <w:r w:rsidRPr="00007A00">
              <w:rPr>
                <w:color w:val="000000"/>
                <w:sz w:val="20"/>
              </w:rPr>
              <w:t>0,014</w:t>
            </w:r>
          </w:p>
        </w:tc>
        <w:tc>
          <w:tcPr>
            <w:tcW w:w="2126" w:type="dxa"/>
            <w:tcBorders>
              <w:top w:val="single" w:sz="4" w:space="0" w:color="auto"/>
              <w:left w:val="single" w:sz="4" w:space="0" w:color="auto"/>
              <w:bottom w:val="nil"/>
              <w:right w:val="nil"/>
            </w:tcBorders>
            <w:shd w:val="clear" w:color="auto" w:fill="auto"/>
            <w:noWrap/>
            <w:vAlign w:val="bottom"/>
            <w:hideMark/>
          </w:tcPr>
          <w:p w14:paraId="4F8D2C6C" w14:textId="77777777" w:rsidR="0016084B" w:rsidRPr="00007A00" w:rsidRDefault="0016084B" w:rsidP="00081F23">
            <w:pPr>
              <w:ind w:firstLine="0"/>
              <w:rPr>
                <w:color w:val="000000"/>
                <w:sz w:val="20"/>
              </w:rPr>
            </w:pPr>
            <w:r w:rsidRPr="00007A00">
              <w:rPr>
                <w:color w:val="000000"/>
                <w:sz w:val="20"/>
              </w:rPr>
              <w:t>Direita</w:t>
            </w:r>
          </w:p>
        </w:tc>
        <w:tc>
          <w:tcPr>
            <w:tcW w:w="1275" w:type="dxa"/>
            <w:tcBorders>
              <w:top w:val="single" w:sz="4" w:space="0" w:color="auto"/>
              <w:left w:val="nil"/>
              <w:bottom w:val="nil"/>
              <w:right w:val="nil"/>
            </w:tcBorders>
            <w:shd w:val="clear" w:color="auto" w:fill="auto"/>
            <w:noWrap/>
            <w:vAlign w:val="bottom"/>
            <w:hideMark/>
          </w:tcPr>
          <w:p w14:paraId="75EE11BC" w14:textId="77777777" w:rsidR="0016084B" w:rsidRPr="00007A00" w:rsidRDefault="0016084B" w:rsidP="00081F23">
            <w:pPr>
              <w:ind w:firstLine="0"/>
              <w:rPr>
                <w:color w:val="000000"/>
                <w:sz w:val="20"/>
              </w:rPr>
            </w:pPr>
            <w:r w:rsidRPr="00007A00">
              <w:rPr>
                <w:color w:val="000000"/>
                <w:sz w:val="20"/>
              </w:rPr>
              <w:t>0,016</w:t>
            </w:r>
          </w:p>
        </w:tc>
        <w:tc>
          <w:tcPr>
            <w:tcW w:w="1135" w:type="dxa"/>
            <w:tcBorders>
              <w:top w:val="single" w:sz="4" w:space="0" w:color="auto"/>
              <w:left w:val="nil"/>
              <w:bottom w:val="nil"/>
              <w:right w:val="nil"/>
            </w:tcBorders>
            <w:shd w:val="clear" w:color="auto" w:fill="auto"/>
            <w:noWrap/>
            <w:vAlign w:val="bottom"/>
            <w:hideMark/>
          </w:tcPr>
          <w:p w14:paraId="492B45B8" w14:textId="77777777" w:rsidR="0016084B" w:rsidRPr="00007A00" w:rsidRDefault="0016084B" w:rsidP="00081F23">
            <w:pPr>
              <w:ind w:firstLine="0"/>
              <w:rPr>
                <w:color w:val="000000"/>
                <w:sz w:val="20"/>
              </w:rPr>
            </w:pPr>
            <w:r w:rsidRPr="00007A00">
              <w:rPr>
                <w:color w:val="000000"/>
                <w:sz w:val="20"/>
              </w:rPr>
              <w:t>0,017</w:t>
            </w:r>
          </w:p>
        </w:tc>
      </w:tr>
      <w:tr w:rsidR="0016084B" w:rsidRPr="00007A00" w14:paraId="3CDB2A1D" w14:textId="77777777" w:rsidTr="00F54895">
        <w:trPr>
          <w:trHeight w:val="300"/>
        </w:trPr>
        <w:tc>
          <w:tcPr>
            <w:tcW w:w="2268" w:type="dxa"/>
            <w:tcBorders>
              <w:top w:val="nil"/>
              <w:left w:val="nil"/>
              <w:bottom w:val="nil"/>
              <w:right w:val="nil"/>
            </w:tcBorders>
            <w:shd w:val="clear" w:color="auto" w:fill="auto"/>
            <w:noWrap/>
            <w:vAlign w:val="bottom"/>
            <w:hideMark/>
          </w:tcPr>
          <w:p w14:paraId="57D6FF1C" w14:textId="77777777" w:rsidR="0016084B" w:rsidRPr="00007A00" w:rsidRDefault="0016084B" w:rsidP="00081F23">
            <w:pPr>
              <w:ind w:firstLine="0"/>
              <w:rPr>
                <w:color w:val="000000"/>
                <w:sz w:val="20"/>
              </w:rPr>
            </w:pPr>
            <w:r w:rsidRPr="00007A00">
              <w:rPr>
                <w:color w:val="000000"/>
                <w:sz w:val="20"/>
              </w:rPr>
              <w:t xml:space="preserve">Urbano </w:t>
            </w:r>
          </w:p>
        </w:tc>
        <w:tc>
          <w:tcPr>
            <w:tcW w:w="860" w:type="dxa"/>
            <w:tcBorders>
              <w:top w:val="nil"/>
              <w:left w:val="nil"/>
              <w:bottom w:val="nil"/>
              <w:right w:val="nil"/>
            </w:tcBorders>
            <w:shd w:val="clear" w:color="auto" w:fill="auto"/>
            <w:noWrap/>
            <w:vAlign w:val="bottom"/>
            <w:hideMark/>
          </w:tcPr>
          <w:p w14:paraId="6E05AF75" w14:textId="77777777" w:rsidR="0016084B" w:rsidRPr="00007A00" w:rsidRDefault="0016084B" w:rsidP="00081F23">
            <w:pPr>
              <w:ind w:firstLine="0"/>
              <w:rPr>
                <w:color w:val="000000"/>
                <w:sz w:val="20"/>
              </w:rPr>
            </w:pPr>
            <w:r w:rsidRPr="00007A00">
              <w:rPr>
                <w:color w:val="000000"/>
                <w:sz w:val="20"/>
              </w:rPr>
              <w:t>0,071**</w:t>
            </w:r>
          </w:p>
        </w:tc>
        <w:tc>
          <w:tcPr>
            <w:tcW w:w="1125" w:type="dxa"/>
            <w:tcBorders>
              <w:top w:val="nil"/>
              <w:left w:val="nil"/>
              <w:bottom w:val="nil"/>
              <w:right w:val="single" w:sz="4" w:space="0" w:color="auto"/>
            </w:tcBorders>
            <w:shd w:val="clear" w:color="auto" w:fill="auto"/>
            <w:noWrap/>
            <w:vAlign w:val="bottom"/>
            <w:hideMark/>
          </w:tcPr>
          <w:p w14:paraId="6B2916FC" w14:textId="77777777" w:rsidR="0016084B" w:rsidRPr="00007A00" w:rsidRDefault="0016084B" w:rsidP="00081F23">
            <w:pPr>
              <w:ind w:firstLine="0"/>
              <w:rPr>
                <w:color w:val="000000"/>
                <w:sz w:val="20"/>
              </w:rPr>
            </w:pPr>
            <w:r w:rsidRPr="00007A00">
              <w:rPr>
                <w:color w:val="000000"/>
                <w:sz w:val="20"/>
              </w:rPr>
              <w:t>0,035</w:t>
            </w:r>
          </w:p>
        </w:tc>
        <w:tc>
          <w:tcPr>
            <w:tcW w:w="2126" w:type="dxa"/>
            <w:tcBorders>
              <w:top w:val="nil"/>
              <w:left w:val="single" w:sz="4" w:space="0" w:color="auto"/>
              <w:bottom w:val="nil"/>
              <w:right w:val="nil"/>
            </w:tcBorders>
            <w:shd w:val="clear" w:color="auto" w:fill="auto"/>
            <w:noWrap/>
            <w:vAlign w:val="bottom"/>
            <w:hideMark/>
          </w:tcPr>
          <w:p w14:paraId="2263A893" w14:textId="77777777" w:rsidR="0016084B" w:rsidRPr="00007A00" w:rsidRDefault="0016084B" w:rsidP="00081F23">
            <w:pPr>
              <w:ind w:firstLine="0"/>
              <w:rPr>
                <w:color w:val="000000"/>
                <w:sz w:val="20"/>
              </w:rPr>
            </w:pPr>
            <w:r w:rsidRPr="00007A00">
              <w:rPr>
                <w:color w:val="000000"/>
                <w:sz w:val="20"/>
              </w:rPr>
              <w:t>Centro</w:t>
            </w:r>
          </w:p>
        </w:tc>
        <w:tc>
          <w:tcPr>
            <w:tcW w:w="1275" w:type="dxa"/>
            <w:tcBorders>
              <w:top w:val="nil"/>
              <w:left w:val="nil"/>
              <w:bottom w:val="nil"/>
              <w:right w:val="nil"/>
            </w:tcBorders>
            <w:shd w:val="clear" w:color="auto" w:fill="auto"/>
            <w:noWrap/>
            <w:vAlign w:val="bottom"/>
            <w:hideMark/>
          </w:tcPr>
          <w:p w14:paraId="6446DFF3" w14:textId="77777777" w:rsidR="0016084B" w:rsidRPr="00007A00" w:rsidRDefault="0016084B" w:rsidP="00081F23">
            <w:pPr>
              <w:ind w:firstLine="0"/>
              <w:rPr>
                <w:color w:val="000000"/>
                <w:sz w:val="20"/>
              </w:rPr>
            </w:pPr>
            <w:r w:rsidRPr="00007A00">
              <w:rPr>
                <w:color w:val="000000"/>
                <w:sz w:val="20"/>
              </w:rPr>
              <w:t>-0,022</w:t>
            </w:r>
          </w:p>
        </w:tc>
        <w:tc>
          <w:tcPr>
            <w:tcW w:w="1135" w:type="dxa"/>
            <w:tcBorders>
              <w:top w:val="nil"/>
              <w:left w:val="nil"/>
              <w:bottom w:val="nil"/>
              <w:right w:val="nil"/>
            </w:tcBorders>
            <w:shd w:val="clear" w:color="auto" w:fill="auto"/>
            <w:noWrap/>
            <w:vAlign w:val="bottom"/>
            <w:hideMark/>
          </w:tcPr>
          <w:p w14:paraId="0E0A513C" w14:textId="77777777" w:rsidR="0016084B" w:rsidRPr="00007A00" w:rsidRDefault="0016084B" w:rsidP="00081F23">
            <w:pPr>
              <w:ind w:firstLine="0"/>
              <w:rPr>
                <w:color w:val="000000"/>
                <w:sz w:val="20"/>
              </w:rPr>
            </w:pPr>
            <w:r w:rsidRPr="00007A00">
              <w:rPr>
                <w:color w:val="000000"/>
                <w:sz w:val="20"/>
              </w:rPr>
              <w:t>0,018</w:t>
            </w:r>
          </w:p>
        </w:tc>
      </w:tr>
      <w:tr w:rsidR="0016084B" w:rsidRPr="00007A00" w14:paraId="113466E4" w14:textId="77777777" w:rsidTr="00F54895">
        <w:trPr>
          <w:trHeight w:val="300"/>
        </w:trPr>
        <w:tc>
          <w:tcPr>
            <w:tcW w:w="2268" w:type="dxa"/>
            <w:tcBorders>
              <w:top w:val="nil"/>
              <w:left w:val="nil"/>
              <w:bottom w:val="nil"/>
              <w:right w:val="nil"/>
            </w:tcBorders>
            <w:shd w:val="clear" w:color="auto" w:fill="auto"/>
            <w:noWrap/>
            <w:vAlign w:val="bottom"/>
            <w:hideMark/>
          </w:tcPr>
          <w:p w14:paraId="3EEB60AB" w14:textId="77777777" w:rsidR="0016084B" w:rsidRPr="00007A00" w:rsidRDefault="0016084B" w:rsidP="00081F23">
            <w:pPr>
              <w:ind w:firstLine="0"/>
              <w:rPr>
                <w:color w:val="000000"/>
                <w:sz w:val="20"/>
              </w:rPr>
            </w:pPr>
            <w:r w:rsidRPr="00007A00">
              <w:rPr>
                <w:color w:val="000000"/>
                <w:sz w:val="20"/>
              </w:rPr>
              <w:t xml:space="preserve">Rural remoto </w:t>
            </w:r>
          </w:p>
        </w:tc>
        <w:tc>
          <w:tcPr>
            <w:tcW w:w="860" w:type="dxa"/>
            <w:tcBorders>
              <w:top w:val="nil"/>
              <w:left w:val="nil"/>
              <w:bottom w:val="nil"/>
              <w:right w:val="nil"/>
            </w:tcBorders>
            <w:shd w:val="clear" w:color="auto" w:fill="auto"/>
            <w:noWrap/>
            <w:vAlign w:val="bottom"/>
            <w:hideMark/>
          </w:tcPr>
          <w:p w14:paraId="66E85A8F" w14:textId="77777777" w:rsidR="0016084B" w:rsidRPr="00007A00" w:rsidRDefault="0016084B" w:rsidP="00081F23">
            <w:pPr>
              <w:ind w:firstLine="0"/>
              <w:rPr>
                <w:color w:val="000000"/>
                <w:sz w:val="20"/>
              </w:rPr>
            </w:pPr>
            <w:r w:rsidRPr="00007A00">
              <w:rPr>
                <w:color w:val="000000"/>
                <w:sz w:val="20"/>
              </w:rPr>
              <w:t>-0,118</w:t>
            </w:r>
          </w:p>
        </w:tc>
        <w:tc>
          <w:tcPr>
            <w:tcW w:w="1125" w:type="dxa"/>
            <w:tcBorders>
              <w:top w:val="nil"/>
              <w:left w:val="nil"/>
              <w:bottom w:val="nil"/>
              <w:right w:val="single" w:sz="4" w:space="0" w:color="auto"/>
            </w:tcBorders>
            <w:shd w:val="clear" w:color="auto" w:fill="auto"/>
            <w:noWrap/>
            <w:vAlign w:val="bottom"/>
            <w:hideMark/>
          </w:tcPr>
          <w:p w14:paraId="7AE70300" w14:textId="77777777" w:rsidR="0016084B" w:rsidRPr="00007A00" w:rsidRDefault="0016084B" w:rsidP="00081F23">
            <w:pPr>
              <w:ind w:firstLine="0"/>
              <w:rPr>
                <w:color w:val="000000"/>
                <w:sz w:val="20"/>
              </w:rPr>
            </w:pPr>
            <w:r w:rsidRPr="00007A00">
              <w:rPr>
                <w:color w:val="000000"/>
                <w:sz w:val="20"/>
              </w:rPr>
              <w:t>0,093</w:t>
            </w:r>
          </w:p>
        </w:tc>
        <w:tc>
          <w:tcPr>
            <w:tcW w:w="2126" w:type="dxa"/>
            <w:tcBorders>
              <w:top w:val="nil"/>
              <w:left w:val="single" w:sz="4" w:space="0" w:color="auto"/>
              <w:bottom w:val="nil"/>
              <w:right w:val="nil"/>
            </w:tcBorders>
            <w:shd w:val="clear" w:color="auto" w:fill="auto"/>
            <w:noWrap/>
            <w:vAlign w:val="bottom"/>
            <w:hideMark/>
          </w:tcPr>
          <w:p w14:paraId="0B6B1C27" w14:textId="77777777" w:rsidR="0016084B" w:rsidRPr="00007A00" w:rsidRDefault="0016084B" w:rsidP="00081F23">
            <w:pPr>
              <w:ind w:firstLine="0"/>
              <w:rPr>
                <w:color w:val="000000"/>
                <w:sz w:val="20"/>
              </w:rPr>
            </w:pPr>
            <w:r w:rsidRPr="00007A00">
              <w:rPr>
                <w:color w:val="000000"/>
                <w:sz w:val="20"/>
              </w:rPr>
              <w:t>Indústria</w:t>
            </w:r>
          </w:p>
        </w:tc>
        <w:tc>
          <w:tcPr>
            <w:tcW w:w="1275" w:type="dxa"/>
            <w:tcBorders>
              <w:top w:val="nil"/>
              <w:left w:val="nil"/>
              <w:bottom w:val="nil"/>
              <w:right w:val="nil"/>
            </w:tcBorders>
            <w:shd w:val="clear" w:color="auto" w:fill="auto"/>
            <w:noWrap/>
            <w:vAlign w:val="bottom"/>
            <w:hideMark/>
          </w:tcPr>
          <w:p w14:paraId="2723AF1B" w14:textId="77777777" w:rsidR="0016084B" w:rsidRPr="00007A00" w:rsidRDefault="0016084B" w:rsidP="00081F23">
            <w:pPr>
              <w:ind w:firstLine="0"/>
              <w:rPr>
                <w:color w:val="000000"/>
                <w:sz w:val="20"/>
              </w:rPr>
            </w:pPr>
            <w:r w:rsidRPr="00007A00">
              <w:rPr>
                <w:color w:val="000000"/>
                <w:sz w:val="20"/>
              </w:rPr>
              <w:t>-0,686**</w:t>
            </w:r>
          </w:p>
        </w:tc>
        <w:tc>
          <w:tcPr>
            <w:tcW w:w="1135" w:type="dxa"/>
            <w:tcBorders>
              <w:top w:val="nil"/>
              <w:left w:val="nil"/>
              <w:bottom w:val="nil"/>
              <w:right w:val="nil"/>
            </w:tcBorders>
            <w:shd w:val="clear" w:color="auto" w:fill="auto"/>
            <w:noWrap/>
            <w:vAlign w:val="bottom"/>
            <w:hideMark/>
          </w:tcPr>
          <w:p w14:paraId="1F01555C" w14:textId="77777777" w:rsidR="0016084B" w:rsidRPr="00007A00" w:rsidRDefault="0016084B" w:rsidP="00081F23">
            <w:pPr>
              <w:ind w:firstLine="0"/>
              <w:rPr>
                <w:color w:val="000000"/>
                <w:sz w:val="20"/>
              </w:rPr>
            </w:pPr>
            <w:r w:rsidRPr="00007A00">
              <w:rPr>
                <w:color w:val="000000"/>
                <w:sz w:val="20"/>
              </w:rPr>
              <w:t>0,232</w:t>
            </w:r>
          </w:p>
        </w:tc>
      </w:tr>
      <w:tr w:rsidR="0016084B" w:rsidRPr="00007A00" w14:paraId="648EEA0B" w14:textId="77777777" w:rsidTr="00F54895">
        <w:trPr>
          <w:trHeight w:val="300"/>
        </w:trPr>
        <w:tc>
          <w:tcPr>
            <w:tcW w:w="2268" w:type="dxa"/>
            <w:tcBorders>
              <w:top w:val="nil"/>
              <w:left w:val="nil"/>
              <w:bottom w:val="nil"/>
              <w:right w:val="nil"/>
            </w:tcBorders>
            <w:shd w:val="clear" w:color="auto" w:fill="auto"/>
            <w:noWrap/>
            <w:vAlign w:val="bottom"/>
            <w:hideMark/>
          </w:tcPr>
          <w:p w14:paraId="225C02B6" w14:textId="77777777" w:rsidR="0016084B" w:rsidRPr="00007A00" w:rsidRDefault="0016084B" w:rsidP="00081F23">
            <w:pPr>
              <w:ind w:firstLine="0"/>
              <w:rPr>
                <w:color w:val="000000"/>
                <w:sz w:val="20"/>
              </w:rPr>
            </w:pPr>
            <w:r w:rsidRPr="00007A00">
              <w:rPr>
                <w:color w:val="000000"/>
                <w:sz w:val="20"/>
              </w:rPr>
              <w:t>Norte</w:t>
            </w:r>
          </w:p>
        </w:tc>
        <w:tc>
          <w:tcPr>
            <w:tcW w:w="860" w:type="dxa"/>
            <w:tcBorders>
              <w:top w:val="nil"/>
              <w:left w:val="nil"/>
              <w:bottom w:val="nil"/>
              <w:right w:val="nil"/>
            </w:tcBorders>
            <w:shd w:val="clear" w:color="auto" w:fill="auto"/>
            <w:noWrap/>
            <w:vAlign w:val="bottom"/>
            <w:hideMark/>
          </w:tcPr>
          <w:p w14:paraId="3EE0B757" w14:textId="77777777" w:rsidR="0016084B" w:rsidRPr="00007A00" w:rsidRDefault="0016084B" w:rsidP="00081F23">
            <w:pPr>
              <w:ind w:firstLine="0"/>
              <w:rPr>
                <w:color w:val="000000"/>
                <w:sz w:val="20"/>
              </w:rPr>
            </w:pPr>
            <w:r w:rsidRPr="00007A00">
              <w:rPr>
                <w:color w:val="000000"/>
                <w:sz w:val="20"/>
              </w:rPr>
              <w:t>-0,007</w:t>
            </w:r>
          </w:p>
        </w:tc>
        <w:tc>
          <w:tcPr>
            <w:tcW w:w="1125" w:type="dxa"/>
            <w:tcBorders>
              <w:top w:val="nil"/>
              <w:left w:val="nil"/>
              <w:bottom w:val="nil"/>
              <w:right w:val="single" w:sz="4" w:space="0" w:color="auto"/>
            </w:tcBorders>
            <w:shd w:val="clear" w:color="auto" w:fill="auto"/>
            <w:noWrap/>
            <w:vAlign w:val="bottom"/>
            <w:hideMark/>
          </w:tcPr>
          <w:p w14:paraId="4DE6596C" w14:textId="77777777" w:rsidR="0016084B" w:rsidRPr="00007A00" w:rsidRDefault="0016084B" w:rsidP="00081F23">
            <w:pPr>
              <w:ind w:firstLine="0"/>
              <w:rPr>
                <w:color w:val="000000"/>
                <w:sz w:val="20"/>
              </w:rPr>
            </w:pPr>
            <w:r w:rsidRPr="00007A00">
              <w:rPr>
                <w:color w:val="000000"/>
                <w:sz w:val="20"/>
              </w:rPr>
              <w:t>0,065</w:t>
            </w:r>
          </w:p>
        </w:tc>
        <w:tc>
          <w:tcPr>
            <w:tcW w:w="2126" w:type="dxa"/>
            <w:tcBorders>
              <w:top w:val="nil"/>
              <w:left w:val="single" w:sz="4" w:space="0" w:color="auto"/>
              <w:bottom w:val="nil"/>
              <w:right w:val="nil"/>
            </w:tcBorders>
            <w:shd w:val="clear" w:color="auto" w:fill="auto"/>
            <w:noWrap/>
            <w:vAlign w:val="bottom"/>
            <w:hideMark/>
          </w:tcPr>
          <w:p w14:paraId="190175C1" w14:textId="77777777" w:rsidR="0016084B" w:rsidRPr="00007A00" w:rsidRDefault="0016084B" w:rsidP="00081F23">
            <w:pPr>
              <w:ind w:firstLine="0"/>
              <w:rPr>
                <w:color w:val="000000"/>
                <w:sz w:val="20"/>
              </w:rPr>
            </w:pPr>
            <w:r w:rsidRPr="00007A00">
              <w:rPr>
                <w:color w:val="000000"/>
                <w:sz w:val="20"/>
              </w:rPr>
              <w:t>Serviços</w:t>
            </w:r>
          </w:p>
        </w:tc>
        <w:tc>
          <w:tcPr>
            <w:tcW w:w="1275" w:type="dxa"/>
            <w:tcBorders>
              <w:top w:val="nil"/>
              <w:left w:val="nil"/>
              <w:bottom w:val="nil"/>
              <w:right w:val="nil"/>
            </w:tcBorders>
            <w:shd w:val="clear" w:color="auto" w:fill="auto"/>
            <w:noWrap/>
            <w:vAlign w:val="bottom"/>
            <w:hideMark/>
          </w:tcPr>
          <w:p w14:paraId="680F27B5" w14:textId="77777777" w:rsidR="0016084B" w:rsidRPr="00007A00" w:rsidRDefault="0016084B" w:rsidP="00081F23">
            <w:pPr>
              <w:ind w:firstLine="0"/>
              <w:rPr>
                <w:color w:val="000000"/>
                <w:sz w:val="20"/>
              </w:rPr>
            </w:pPr>
            <w:r w:rsidRPr="00007A00">
              <w:rPr>
                <w:color w:val="000000"/>
                <w:sz w:val="20"/>
              </w:rPr>
              <w:t>-0,556**</w:t>
            </w:r>
          </w:p>
        </w:tc>
        <w:tc>
          <w:tcPr>
            <w:tcW w:w="1135" w:type="dxa"/>
            <w:tcBorders>
              <w:top w:val="nil"/>
              <w:left w:val="nil"/>
              <w:bottom w:val="nil"/>
              <w:right w:val="nil"/>
            </w:tcBorders>
            <w:shd w:val="clear" w:color="auto" w:fill="auto"/>
            <w:noWrap/>
            <w:vAlign w:val="bottom"/>
            <w:hideMark/>
          </w:tcPr>
          <w:p w14:paraId="2873263E" w14:textId="77777777" w:rsidR="0016084B" w:rsidRPr="00007A00" w:rsidRDefault="0016084B" w:rsidP="00081F23">
            <w:pPr>
              <w:ind w:firstLine="0"/>
              <w:rPr>
                <w:color w:val="000000"/>
                <w:sz w:val="20"/>
              </w:rPr>
            </w:pPr>
            <w:r w:rsidRPr="00007A00">
              <w:rPr>
                <w:color w:val="000000"/>
                <w:sz w:val="20"/>
              </w:rPr>
              <w:t>0,244</w:t>
            </w:r>
          </w:p>
        </w:tc>
      </w:tr>
      <w:tr w:rsidR="0016084B" w:rsidRPr="00007A00" w14:paraId="3E28C792" w14:textId="77777777" w:rsidTr="00F54895">
        <w:trPr>
          <w:trHeight w:val="300"/>
        </w:trPr>
        <w:tc>
          <w:tcPr>
            <w:tcW w:w="2268" w:type="dxa"/>
            <w:tcBorders>
              <w:top w:val="nil"/>
              <w:left w:val="nil"/>
              <w:bottom w:val="nil"/>
              <w:right w:val="nil"/>
            </w:tcBorders>
            <w:shd w:val="clear" w:color="auto" w:fill="auto"/>
            <w:noWrap/>
            <w:vAlign w:val="bottom"/>
            <w:hideMark/>
          </w:tcPr>
          <w:p w14:paraId="59B599D0" w14:textId="77777777" w:rsidR="0016084B" w:rsidRPr="00007A00" w:rsidRDefault="0016084B" w:rsidP="00081F23">
            <w:pPr>
              <w:ind w:firstLine="0"/>
              <w:rPr>
                <w:color w:val="000000"/>
                <w:sz w:val="20"/>
              </w:rPr>
            </w:pPr>
            <w:r w:rsidRPr="00007A00">
              <w:rPr>
                <w:color w:val="000000"/>
                <w:sz w:val="20"/>
              </w:rPr>
              <w:t>Nordeste</w:t>
            </w:r>
          </w:p>
        </w:tc>
        <w:tc>
          <w:tcPr>
            <w:tcW w:w="860" w:type="dxa"/>
            <w:tcBorders>
              <w:top w:val="nil"/>
              <w:left w:val="nil"/>
              <w:bottom w:val="nil"/>
              <w:right w:val="nil"/>
            </w:tcBorders>
            <w:shd w:val="clear" w:color="auto" w:fill="auto"/>
            <w:noWrap/>
            <w:vAlign w:val="bottom"/>
            <w:hideMark/>
          </w:tcPr>
          <w:p w14:paraId="26DA9708" w14:textId="77777777" w:rsidR="0016084B" w:rsidRPr="00007A00" w:rsidRDefault="0016084B" w:rsidP="00081F23">
            <w:pPr>
              <w:ind w:firstLine="0"/>
              <w:rPr>
                <w:color w:val="000000"/>
                <w:sz w:val="20"/>
              </w:rPr>
            </w:pPr>
            <w:r w:rsidRPr="00007A00">
              <w:rPr>
                <w:color w:val="000000"/>
                <w:sz w:val="20"/>
              </w:rPr>
              <w:t>-0,015</w:t>
            </w:r>
          </w:p>
        </w:tc>
        <w:tc>
          <w:tcPr>
            <w:tcW w:w="1125" w:type="dxa"/>
            <w:tcBorders>
              <w:top w:val="nil"/>
              <w:left w:val="nil"/>
              <w:bottom w:val="nil"/>
              <w:right w:val="single" w:sz="4" w:space="0" w:color="auto"/>
            </w:tcBorders>
            <w:shd w:val="clear" w:color="auto" w:fill="auto"/>
            <w:noWrap/>
            <w:vAlign w:val="bottom"/>
            <w:hideMark/>
          </w:tcPr>
          <w:p w14:paraId="2AE0D8E9" w14:textId="77777777" w:rsidR="0016084B" w:rsidRPr="00007A00" w:rsidRDefault="0016084B" w:rsidP="00081F23">
            <w:pPr>
              <w:ind w:firstLine="0"/>
              <w:rPr>
                <w:color w:val="000000"/>
                <w:sz w:val="20"/>
              </w:rPr>
            </w:pPr>
            <w:r w:rsidRPr="00007A00">
              <w:rPr>
                <w:color w:val="000000"/>
                <w:sz w:val="20"/>
              </w:rPr>
              <w:t>0,056</w:t>
            </w:r>
          </w:p>
        </w:tc>
        <w:tc>
          <w:tcPr>
            <w:tcW w:w="2126" w:type="dxa"/>
            <w:tcBorders>
              <w:top w:val="nil"/>
              <w:left w:val="single" w:sz="4" w:space="0" w:color="auto"/>
              <w:bottom w:val="nil"/>
              <w:right w:val="nil"/>
            </w:tcBorders>
            <w:shd w:val="clear" w:color="auto" w:fill="auto"/>
            <w:noWrap/>
            <w:vAlign w:val="bottom"/>
            <w:hideMark/>
          </w:tcPr>
          <w:p w14:paraId="0EEE35AB" w14:textId="77777777" w:rsidR="0016084B" w:rsidRPr="00007A00" w:rsidRDefault="0016084B" w:rsidP="00081F23">
            <w:pPr>
              <w:ind w:firstLine="0"/>
              <w:rPr>
                <w:color w:val="000000"/>
                <w:sz w:val="20"/>
              </w:rPr>
            </w:pPr>
            <w:r w:rsidRPr="00007A00">
              <w:rPr>
                <w:color w:val="000000"/>
                <w:sz w:val="20"/>
              </w:rPr>
              <w:t>Comissionados</w:t>
            </w:r>
          </w:p>
        </w:tc>
        <w:tc>
          <w:tcPr>
            <w:tcW w:w="1275" w:type="dxa"/>
            <w:tcBorders>
              <w:top w:val="nil"/>
              <w:left w:val="nil"/>
              <w:bottom w:val="nil"/>
              <w:right w:val="nil"/>
            </w:tcBorders>
            <w:shd w:val="clear" w:color="auto" w:fill="auto"/>
            <w:noWrap/>
            <w:vAlign w:val="bottom"/>
            <w:hideMark/>
          </w:tcPr>
          <w:p w14:paraId="638D9E7C" w14:textId="77777777" w:rsidR="0016084B" w:rsidRPr="00007A00" w:rsidRDefault="0016084B" w:rsidP="00081F23">
            <w:pPr>
              <w:ind w:firstLine="0"/>
              <w:rPr>
                <w:color w:val="000000"/>
                <w:sz w:val="20"/>
              </w:rPr>
            </w:pPr>
            <w:r w:rsidRPr="00007A00">
              <w:rPr>
                <w:color w:val="000000"/>
                <w:sz w:val="20"/>
              </w:rPr>
              <w:t>-0,255*</w:t>
            </w:r>
          </w:p>
        </w:tc>
        <w:tc>
          <w:tcPr>
            <w:tcW w:w="1135" w:type="dxa"/>
            <w:tcBorders>
              <w:top w:val="nil"/>
              <w:left w:val="nil"/>
              <w:bottom w:val="nil"/>
              <w:right w:val="nil"/>
            </w:tcBorders>
            <w:shd w:val="clear" w:color="auto" w:fill="auto"/>
            <w:noWrap/>
            <w:vAlign w:val="bottom"/>
            <w:hideMark/>
          </w:tcPr>
          <w:p w14:paraId="4B05F22F" w14:textId="77777777" w:rsidR="0016084B" w:rsidRPr="00007A00" w:rsidRDefault="0016084B" w:rsidP="00081F23">
            <w:pPr>
              <w:ind w:firstLine="0"/>
              <w:rPr>
                <w:color w:val="000000"/>
                <w:sz w:val="20"/>
              </w:rPr>
            </w:pPr>
            <w:r w:rsidRPr="00007A00">
              <w:rPr>
                <w:color w:val="000000"/>
                <w:sz w:val="20"/>
              </w:rPr>
              <w:t>0,150</w:t>
            </w:r>
          </w:p>
        </w:tc>
      </w:tr>
      <w:tr w:rsidR="0016084B" w:rsidRPr="00007A00" w14:paraId="72F29524" w14:textId="77777777" w:rsidTr="00F54895">
        <w:trPr>
          <w:trHeight w:val="300"/>
        </w:trPr>
        <w:tc>
          <w:tcPr>
            <w:tcW w:w="2268" w:type="dxa"/>
            <w:tcBorders>
              <w:top w:val="nil"/>
              <w:left w:val="nil"/>
              <w:bottom w:val="nil"/>
              <w:right w:val="nil"/>
            </w:tcBorders>
            <w:shd w:val="clear" w:color="auto" w:fill="auto"/>
            <w:noWrap/>
            <w:vAlign w:val="bottom"/>
            <w:hideMark/>
          </w:tcPr>
          <w:p w14:paraId="3D7D055B" w14:textId="77777777" w:rsidR="0016084B" w:rsidRPr="00007A00" w:rsidRDefault="0016084B" w:rsidP="00081F23">
            <w:pPr>
              <w:ind w:firstLine="0"/>
              <w:rPr>
                <w:color w:val="000000"/>
                <w:sz w:val="20"/>
              </w:rPr>
            </w:pPr>
            <w:r w:rsidRPr="00007A00">
              <w:rPr>
                <w:color w:val="000000"/>
                <w:sz w:val="20"/>
              </w:rPr>
              <w:t>Sul</w:t>
            </w:r>
          </w:p>
        </w:tc>
        <w:tc>
          <w:tcPr>
            <w:tcW w:w="860" w:type="dxa"/>
            <w:tcBorders>
              <w:top w:val="nil"/>
              <w:left w:val="nil"/>
              <w:bottom w:val="nil"/>
              <w:right w:val="nil"/>
            </w:tcBorders>
            <w:shd w:val="clear" w:color="auto" w:fill="auto"/>
            <w:noWrap/>
            <w:vAlign w:val="bottom"/>
            <w:hideMark/>
          </w:tcPr>
          <w:p w14:paraId="00433B52" w14:textId="77777777" w:rsidR="0016084B" w:rsidRPr="00007A00" w:rsidRDefault="0016084B" w:rsidP="00081F23">
            <w:pPr>
              <w:ind w:firstLine="0"/>
              <w:rPr>
                <w:color w:val="000000"/>
                <w:sz w:val="20"/>
              </w:rPr>
            </w:pPr>
            <w:r w:rsidRPr="00007A00">
              <w:rPr>
                <w:color w:val="000000"/>
                <w:sz w:val="20"/>
              </w:rPr>
              <w:t>-0,114**</w:t>
            </w:r>
          </w:p>
        </w:tc>
        <w:tc>
          <w:tcPr>
            <w:tcW w:w="1125" w:type="dxa"/>
            <w:tcBorders>
              <w:top w:val="nil"/>
              <w:left w:val="nil"/>
              <w:bottom w:val="nil"/>
              <w:right w:val="single" w:sz="4" w:space="0" w:color="auto"/>
            </w:tcBorders>
            <w:shd w:val="clear" w:color="auto" w:fill="auto"/>
            <w:noWrap/>
            <w:vAlign w:val="bottom"/>
            <w:hideMark/>
          </w:tcPr>
          <w:p w14:paraId="2E47624D" w14:textId="77777777" w:rsidR="0016084B" w:rsidRPr="00007A00" w:rsidRDefault="0016084B" w:rsidP="00081F23">
            <w:pPr>
              <w:ind w:firstLine="0"/>
              <w:rPr>
                <w:color w:val="000000"/>
                <w:sz w:val="20"/>
              </w:rPr>
            </w:pPr>
            <w:r w:rsidRPr="00007A00">
              <w:rPr>
                <w:color w:val="000000"/>
                <w:sz w:val="20"/>
              </w:rPr>
              <w:t>0,050</w:t>
            </w:r>
          </w:p>
        </w:tc>
        <w:tc>
          <w:tcPr>
            <w:tcW w:w="2126" w:type="dxa"/>
            <w:tcBorders>
              <w:top w:val="nil"/>
              <w:left w:val="single" w:sz="4" w:space="0" w:color="auto"/>
              <w:bottom w:val="nil"/>
              <w:right w:val="nil"/>
            </w:tcBorders>
            <w:shd w:val="clear" w:color="auto" w:fill="auto"/>
            <w:noWrap/>
            <w:vAlign w:val="bottom"/>
            <w:hideMark/>
          </w:tcPr>
          <w:p w14:paraId="0392EF95" w14:textId="77777777" w:rsidR="0016084B" w:rsidRPr="00007A00" w:rsidRDefault="0016084B" w:rsidP="00081F23">
            <w:pPr>
              <w:ind w:firstLine="0"/>
              <w:rPr>
                <w:color w:val="000000"/>
                <w:sz w:val="20"/>
              </w:rPr>
            </w:pPr>
            <w:r w:rsidRPr="00007A00">
              <w:rPr>
                <w:color w:val="000000"/>
                <w:sz w:val="20"/>
              </w:rPr>
              <w:t>Fun. Ens. superior</w:t>
            </w:r>
          </w:p>
        </w:tc>
        <w:tc>
          <w:tcPr>
            <w:tcW w:w="1275" w:type="dxa"/>
            <w:tcBorders>
              <w:top w:val="nil"/>
              <w:left w:val="nil"/>
              <w:bottom w:val="nil"/>
              <w:right w:val="nil"/>
            </w:tcBorders>
            <w:shd w:val="clear" w:color="auto" w:fill="auto"/>
            <w:noWrap/>
            <w:vAlign w:val="bottom"/>
            <w:hideMark/>
          </w:tcPr>
          <w:p w14:paraId="36FDCD32" w14:textId="77777777" w:rsidR="0016084B" w:rsidRPr="00007A00" w:rsidRDefault="0016084B" w:rsidP="00081F23">
            <w:pPr>
              <w:ind w:firstLine="0"/>
              <w:rPr>
                <w:color w:val="000000"/>
                <w:sz w:val="20"/>
              </w:rPr>
            </w:pPr>
            <w:r w:rsidRPr="00007A00">
              <w:rPr>
                <w:color w:val="000000"/>
                <w:sz w:val="20"/>
              </w:rPr>
              <w:t>-0,138</w:t>
            </w:r>
          </w:p>
        </w:tc>
        <w:tc>
          <w:tcPr>
            <w:tcW w:w="1135" w:type="dxa"/>
            <w:tcBorders>
              <w:top w:val="nil"/>
              <w:left w:val="nil"/>
              <w:bottom w:val="nil"/>
              <w:right w:val="nil"/>
            </w:tcBorders>
            <w:shd w:val="clear" w:color="auto" w:fill="auto"/>
            <w:noWrap/>
            <w:vAlign w:val="bottom"/>
            <w:hideMark/>
          </w:tcPr>
          <w:p w14:paraId="41B5B521" w14:textId="77777777" w:rsidR="0016084B" w:rsidRPr="00007A00" w:rsidRDefault="0016084B" w:rsidP="00081F23">
            <w:pPr>
              <w:ind w:firstLine="0"/>
              <w:rPr>
                <w:color w:val="000000"/>
                <w:sz w:val="20"/>
              </w:rPr>
            </w:pPr>
            <w:r w:rsidRPr="00007A00">
              <w:rPr>
                <w:color w:val="000000"/>
                <w:sz w:val="20"/>
              </w:rPr>
              <w:t>0,095</w:t>
            </w:r>
          </w:p>
        </w:tc>
      </w:tr>
      <w:tr w:rsidR="0016084B" w:rsidRPr="00007A00" w14:paraId="537D642B" w14:textId="77777777" w:rsidTr="00F54895">
        <w:trPr>
          <w:trHeight w:val="300"/>
        </w:trPr>
        <w:tc>
          <w:tcPr>
            <w:tcW w:w="2268" w:type="dxa"/>
            <w:tcBorders>
              <w:top w:val="nil"/>
              <w:left w:val="nil"/>
              <w:bottom w:val="nil"/>
              <w:right w:val="nil"/>
            </w:tcBorders>
            <w:shd w:val="clear" w:color="auto" w:fill="auto"/>
            <w:noWrap/>
            <w:vAlign w:val="bottom"/>
            <w:hideMark/>
          </w:tcPr>
          <w:p w14:paraId="5F508455" w14:textId="77777777" w:rsidR="0016084B" w:rsidRPr="00007A00" w:rsidRDefault="0016084B" w:rsidP="00081F23">
            <w:pPr>
              <w:ind w:firstLine="0"/>
              <w:rPr>
                <w:color w:val="000000"/>
                <w:sz w:val="20"/>
              </w:rPr>
            </w:pPr>
            <w:r w:rsidRPr="00007A00">
              <w:rPr>
                <w:color w:val="000000"/>
                <w:sz w:val="20"/>
              </w:rPr>
              <w:t>Sudeste</w:t>
            </w:r>
          </w:p>
        </w:tc>
        <w:tc>
          <w:tcPr>
            <w:tcW w:w="860" w:type="dxa"/>
            <w:tcBorders>
              <w:top w:val="nil"/>
              <w:left w:val="nil"/>
              <w:bottom w:val="nil"/>
              <w:right w:val="nil"/>
            </w:tcBorders>
            <w:shd w:val="clear" w:color="auto" w:fill="auto"/>
            <w:noWrap/>
            <w:vAlign w:val="bottom"/>
            <w:hideMark/>
          </w:tcPr>
          <w:p w14:paraId="2EF18D44" w14:textId="77777777" w:rsidR="0016084B" w:rsidRPr="00007A00" w:rsidRDefault="0016084B" w:rsidP="00081F23">
            <w:pPr>
              <w:ind w:firstLine="0"/>
              <w:rPr>
                <w:color w:val="000000"/>
                <w:sz w:val="20"/>
              </w:rPr>
            </w:pPr>
            <w:r w:rsidRPr="00007A00">
              <w:rPr>
                <w:color w:val="000000"/>
                <w:sz w:val="20"/>
              </w:rPr>
              <w:t>-0,111**</w:t>
            </w:r>
          </w:p>
        </w:tc>
        <w:tc>
          <w:tcPr>
            <w:tcW w:w="1125" w:type="dxa"/>
            <w:tcBorders>
              <w:top w:val="nil"/>
              <w:left w:val="nil"/>
              <w:bottom w:val="nil"/>
              <w:right w:val="single" w:sz="4" w:space="0" w:color="auto"/>
            </w:tcBorders>
            <w:shd w:val="clear" w:color="auto" w:fill="auto"/>
            <w:noWrap/>
            <w:vAlign w:val="bottom"/>
            <w:hideMark/>
          </w:tcPr>
          <w:p w14:paraId="03C5421F" w14:textId="77777777" w:rsidR="0016084B" w:rsidRPr="00007A00" w:rsidRDefault="0016084B" w:rsidP="00081F23">
            <w:pPr>
              <w:ind w:firstLine="0"/>
              <w:rPr>
                <w:color w:val="000000"/>
                <w:sz w:val="20"/>
              </w:rPr>
            </w:pPr>
            <w:r w:rsidRPr="00007A00">
              <w:rPr>
                <w:color w:val="000000"/>
                <w:sz w:val="20"/>
              </w:rPr>
              <w:t>0,047</w:t>
            </w:r>
          </w:p>
        </w:tc>
        <w:tc>
          <w:tcPr>
            <w:tcW w:w="2126" w:type="dxa"/>
            <w:tcBorders>
              <w:top w:val="nil"/>
              <w:left w:val="single" w:sz="4" w:space="0" w:color="auto"/>
              <w:bottom w:val="nil"/>
              <w:right w:val="nil"/>
            </w:tcBorders>
            <w:shd w:val="clear" w:color="auto" w:fill="auto"/>
            <w:noWrap/>
            <w:vAlign w:val="bottom"/>
            <w:hideMark/>
          </w:tcPr>
          <w:p w14:paraId="41865FA0" w14:textId="77777777" w:rsidR="0016084B" w:rsidRPr="00007A00" w:rsidRDefault="0016084B" w:rsidP="00081F23">
            <w:pPr>
              <w:ind w:firstLine="0"/>
              <w:rPr>
                <w:color w:val="000000"/>
                <w:sz w:val="20"/>
              </w:rPr>
            </w:pPr>
            <w:r w:rsidRPr="00007A00">
              <w:rPr>
                <w:color w:val="000000"/>
                <w:sz w:val="20"/>
              </w:rPr>
              <w:t>Estat. Ens. superior</w:t>
            </w:r>
          </w:p>
        </w:tc>
        <w:tc>
          <w:tcPr>
            <w:tcW w:w="1275" w:type="dxa"/>
            <w:tcBorders>
              <w:top w:val="nil"/>
              <w:left w:val="nil"/>
              <w:bottom w:val="nil"/>
              <w:right w:val="nil"/>
            </w:tcBorders>
            <w:shd w:val="clear" w:color="auto" w:fill="auto"/>
            <w:noWrap/>
            <w:vAlign w:val="bottom"/>
            <w:hideMark/>
          </w:tcPr>
          <w:p w14:paraId="5B0F5816" w14:textId="77777777" w:rsidR="0016084B" w:rsidRPr="00007A00" w:rsidRDefault="0016084B" w:rsidP="00081F23">
            <w:pPr>
              <w:ind w:firstLine="0"/>
              <w:rPr>
                <w:color w:val="000000"/>
                <w:sz w:val="20"/>
              </w:rPr>
            </w:pPr>
            <w:r w:rsidRPr="00007A00">
              <w:rPr>
                <w:color w:val="000000"/>
                <w:sz w:val="20"/>
              </w:rPr>
              <w:t>0,253**</w:t>
            </w:r>
          </w:p>
        </w:tc>
        <w:tc>
          <w:tcPr>
            <w:tcW w:w="1135" w:type="dxa"/>
            <w:tcBorders>
              <w:top w:val="nil"/>
              <w:left w:val="nil"/>
              <w:bottom w:val="nil"/>
              <w:right w:val="nil"/>
            </w:tcBorders>
            <w:shd w:val="clear" w:color="auto" w:fill="auto"/>
            <w:noWrap/>
            <w:vAlign w:val="bottom"/>
            <w:hideMark/>
          </w:tcPr>
          <w:p w14:paraId="76B33176" w14:textId="77777777" w:rsidR="0016084B" w:rsidRPr="00007A00" w:rsidRDefault="0016084B" w:rsidP="00081F23">
            <w:pPr>
              <w:ind w:firstLine="0"/>
              <w:rPr>
                <w:color w:val="000000"/>
                <w:sz w:val="20"/>
              </w:rPr>
            </w:pPr>
            <w:r w:rsidRPr="00007A00">
              <w:rPr>
                <w:color w:val="000000"/>
                <w:sz w:val="20"/>
              </w:rPr>
              <w:t>0,048</w:t>
            </w:r>
          </w:p>
        </w:tc>
      </w:tr>
      <w:tr w:rsidR="0016084B" w:rsidRPr="00007A00" w14:paraId="4EFC6E90" w14:textId="77777777" w:rsidTr="00F54895">
        <w:trPr>
          <w:trHeight w:val="300"/>
        </w:trPr>
        <w:tc>
          <w:tcPr>
            <w:tcW w:w="2268" w:type="dxa"/>
            <w:tcBorders>
              <w:top w:val="nil"/>
              <w:left w:val="nil"/>
              <w:bottom w:val="nil"/>
              <w:right w:val="nil"/>
            </w:tcBorders>
            <w:shd w:val="clear" w:color="auto" w:fill="auto"/>
            <w:noWrap/>
            <w:vAlign w:val="bottom"/>
            <w:hideMark/>
          </w:tcPr>
          <w:p w14:paraId="0C789978" w14:textId="77777777" w:rsidR="0016084B" w:rsidRPr="00007A00" w:rsidRDefault="0016084B" w:rsidP="00081F23">
            <w:pPr>
              <w:ind w:firstLine="0"/>
              <w:rPr>
                <w:color w:val="000000"/>
                <w:sz w:val="20"/>
              </w:rPr>
            </w:pPr>
            <w:r w:rsidRPr="00007A00">
              <w:rPr>
                <w:color w:val="000000"/>
                <w:sz w:val="20"/>
              </w:rPr>
              <w:t>Segundo mandato</w:t>
            </w:r>
          </w:p>
        </w:tc>
        <w:tc>
          <w:tcPr>
            <w:tcW w:w="860" w:type="dxa"/>
            <w:tcBorders>
              <w:top w:val="nil"/>
              <w:left w:val="nil"/>
              <w:bottom w:val="nil"/>
              <w:right w:val="nil"/>
            </w:tcBorders>
            <w:shd w:val="clear" w:color="auto" w:fill="auto"/>
            <w:noWrap/>
            <w:vAlign w:val="bottom"/>
            <w:hideMark/>
          </w:tcPr>
          <w:p w14:paraId="09A44DE4" w14:textId="77777777" w:rsidR="0016084B" w:rsidRPr="00007A00" w:rsidRDefault="0016084B" w:rsidP="00081F23">
            <w:pPr>
              <w:ind w:firstLine="0"/>
              <w:rPr>
                <w:color w:val="000000"/>
                <w:sz w:val="20"/>
              </w:rPr>
            </w:pPr>
            <w:r w:rsidRPr="00007A00">
              <w:rPr>
                <w:color w:val="000000"/>
                <w:sz w:val="20"/>
              </w:rPr>
              <w:t>-0,03**</w:t>
            </w:r>
          </w:p>
        </w:tc>
        <w:tc>
          <w:tcPr>
            <w:tcW w:w="1125" w:type="dxa"/>
            <w:tcBorders>
              <w:top w:val="nil"/>
              <w:left w:val="nil"/>
              <w:bottom w:val="nil"/>
              <w:right w:val="single" w:sz="4" w:space="0" w:color="auto"/>
            </w:tcBorders>
            <w:shd w:val="clear" w:color="auto" w:fill="auto"/>
            <w:noWrap/>
            <w:vAlign w:val="bottom"/>
            <w:hideMark/>
          </w:tcPr>
          <w:p w14:paraId="7F4CC744" w14:textId="77777777" w:rsidR="0016084B" w:rsidRPr="00007A00" w:rsidRDefault="0016084B" w:rsidP="00081F23">
            <w:pPr>
              <w:ind w:firstLine="0"/>
              <w:rPr>
                <w:color w:val="000000"/>
                <w:sz w:val="20"/>
              </w:rPr>
            </w:pPr>
            <w:r w:rsidRPr="00007A00">
              <w:rPr>
                <w:color w:val="000000"/>
                <w:sz w:val="20"/>
              </w:rPr>
              <w:t>0,012</w:t>
            </w:r>
          </w:p>
        </w:tc>
        <w:tc>
          <w:tcPr>
            <w:tcW w:w="2126" w:type="dxa"/>
            <w:tcBorders>
              <w:top w:val="nil"/>
              <w:left w:val="single" w:sz="4" w:space="0" w:color="auto"/>
              <w:bottom w:val="nil"/>
              <w:right w:val="nil"/>
            </w:tcBorders>
            <w:shd w:val="clear" w:color="auto" w:fill="auto"/>
            <w:noWrap/>
            <w:vAlign w:val="bottom"/>
            <w:hideMark/>
          </w:tcPr>
          <w:p w14:paraId="3F8578AF" w14:textId="77777777" w:rsidR="0016084B" w:rsidRPr="00007A00" w:rsidRDefault="0016084B" w:rsidP="00081F23">
            <w:pPr>
              <w:ind w:firstLine="0"/>
              <w:rPr>
                <w:color w:val="000000"/>
                <w:sz w:val="20"/>
              </w:rPr>
            </w:pPr>
            <w:r w:rsidRPr="00007A00">
              <w:rPr>
                <w:color w:val="000000"/>
                <w:sz w:val="20"/>
              </w:rPr>
              <w:t>População</w:t>
            </w:r>
          </w:p>
        </w:tc>
        <w:tc>
          <w:tcPr>
            <w:tcW w:w="1275" w:type="dxa"/>
            <w:tcBorders>
              <w:top w:val="nil"/>
              <w:left w:val="nil"/>
              <w:bottom w:val="nil"/>
              <w:right w:val="nil"/>
            </w:tcBorders>
            <w:shd w:val="clear" w:color="auto" w:fill="auto"/>
            <w:noWrap/>
            <w:vAlign w:val="bottom"/>
            <w:hideMark/>
          </w:tcPr>
          <w:p w14:paraId="7E73AA83" w14:textId="77777777" w:rsidR="0016084B" w:rsidRPr="00007A00" w:rsidRDefault="0016084B" w:rsidP="00081F23">
            <w:pPr>
              <w:ind w:firstLine="0"/>
              <w:rPr>
                <w:color w:val="000000"/>
                <w:sz w:val="20"/>
              </w:rPr>
            </w:pPr>
            <w:r w:rsidRPr="00007A00">
              <w:rPr>
                <w:color w:val="000000"/>
                <w:sz w:val="20"/>
              </w:rPr>
              <w:t>-0,16**</w:t>
            </w:r>
          </w:p>
        </w:tc>
        <w:tc>
          <w:tcPr>
            <w:tcW w:w="1135" w:type="dxa"/>
            <w:tcBorders>
              <w:top w:val="nil"/>
              <w:left w:val="nil"/>
              <w:bottom w:val="nil"/>
              <w:right w:val="nil"/>
            </w:tcBorders>
            <w:shd w:val="clear" w:color="auto" w:fill="auto"/>
            <w:noWrap/>
            <w:vAlign w:val="bottom"/>
            <w:hideMark/>
          </w:tcPr>
          <w:p w14:paraId="366154BC" w14:textId="77777777" w:rsidR="0016084B" w:rsidRPr="00007A00" w:rsidRDefault="0016084B" w:rsidP="00081F23">
            <w:pPr>
              <w:ind w:firstLine="0"/>
              <w:rPr>
                <w:color w:val="000000"/>
                <w:sz w:val="20"/>
              </w:rPr>
            </w:pPr>
            <w:r w:rsidRPr="00007A00">
              <w:rPr>
                <w:color w:val="000000"/>
                <w:sz w:val="20"/>
              </w:rPr>
              <w:t>0,026</w:t>
            </w:r>
          </w:p>
        </w:tc>
      </w:tr>
      <w:tr w:rsidR="0016084B" w:rsidRPr="00007A00" w14:paraId="77862576" w14:textId="77777777" w:rsidTr="00F54895">
        <w:trPr>
          <w:trHeight w:val="300"/>
        </w:trPr>
        <w:tc>
          <w:tcPr>
            <w:tcW w:w="2268" w:type="dxa"/>
            <w:tcBorders>
              <w:top w:val="nil"/>
              <w:left w:val="nil"/>
              <w:bottom w:val="nil"/>
              <w:right w:val="nil"/>
            </w:tcBorders>
            <w:shd w:val="clear" w:color="auto" w:fill="auto"/>
            <w:noWrap/>
            <w:vAlign w:val="bottom"/>
            <w:hideMark/>
          </w:tcPr>
          <w:p w14:paraId="452A61FB" w14:textId="77777777" w:rsidR="0016084B" w:rsidRPr="00007A00" w:rsidRDefault="0016084B" w:rsidP="00081F23">
            <w:pPr>
              <w:ind w:firstLine="0"/>
              <w:rPr>
                <w:color w:val="000000"/>
                <w:sz w:val="20"/>
              </w:rPr>
            </w:pPr>
            <w:r w:rsidRPr="00007A00">
              <w:rPr>
                <w:color w:val="000000"/>
                <w:sz w:val="20"/>
              </w:rPr>
              <w:t>Ensino superior</w:t>
            </w:r>
          </w:p>
        </w:tc>
        <w:tc>
          <w:tcPr>
            <w:tcW w:w="860" w:type="dxa"/>
            <w:tcBorders>
              <w:top w:val="nil"/>
              <w:left w:val="nil"/>
              <w:bottom w:val="nil"/>
              <w:right w:val="nil"/>
            </w:tcBorders>
            <w:shd w:val="clear" w:color="auto" w:fill="auto"/>
            <w:noWrap/>
            <w:vAlign w:val="bottom"/>
            <w:hideMark/>
          </w:tcPr>
          <w:p w14:paraId="05FDA198" w14:textId="77777777" w:rsidR="0016084B" w:rsidRPr="00007A00" w:rsidRDefault="0016084B" w:rsidP="00081F23">
            <w:pPr>
              <w:ind w:firstLine="0"/>
              <w:rPr>
                <w:color w:val="000000"/>
                <w:sz w:val="20"/>
              </w:rPr>
            </w:pPr>
            <w:r w:rsidRPr="00007A00">
              <w:rPr>
                <w:color w:val="000000"/>
                <w:sz w:val="20"/>
              </w:rPr>
              <w:t>0,017</w:t>
            </w:r>
          </w:p>
        </w:tc>
        <w:tc>
          <w:tcPr>
            <w:tcW w:w="1125" w:type="dxa"/>
            <w:tcBorders>
              <w:top w:val="nil"/>
              <w:left w:val="nil"/>
              <w:bottom w:val="nil"/>
              <w:right w:val="single" w:sz="4" w:space="0" w:color="auto"/>
            </w:tcBorders>
            <w:shd w:val="clear" w:color="auto" w:fill="auto"/>
            <w:noWrap/>
            <w:vAlign w:val="bottom"/>
            <w:hideMark/>
          </w:tcPr>
          <w:p w14:paraId="6E2CFBAA" w14:textId="77777777" w:rsidR="0016084B" w:rsidRPr="00007A00" w:rsidRDefault="0016084B" w:rsidP="00081F23">
            <w:pPr>
              <w:ind w:firstLine="0"/>
              <w:rPr>
                <w:color w:val="000000"/>
                <w:sz w:val="20"/>
              </w:rPr>
            </w:pPr>
            <w:r w:rsidRPr="00007A00">
              <w:rPr>
                <w:color w:val="000000"/>
                <w:sz w:val="20"/>
              </w:rPr>
              <w:t>0,016</w:t>
            </w:r>
          </w:p>
        </w:tc>
        <w:tc>
          <w:tcPr>
            <w:tcW w:w="2126" w:type="dxa"/>
            <w:tcBorders>
              <w:top w:val="nil"/>
              <w:left w:val="single" w:sz="4" w:space="0" w:color="auto"/>
              <w:bottom w:val="nil"/>
              <w:right w:val="nil"/>
            </w:tcBorders>
            <w:shd w:val="clear" w:color="auto" w:fill="auto"/>
            <w:noWrap/>
            <w:vAlign w:val="bottom"/>
            <w:hideMark/>
          </w:tcPr>
          <w:p w14:paraId="4EBF927B" w14:textId="77777777" w:rsidR="0016084B" w:rsidRPr="00007A00" w:rsidRDefault="0016084B" w:rsidP="00081F23">
            <w:pPr>
              <w:ind w:firstLine="0"/>
              <w:rPr>
                <w:color w:val="000000"/>
                <w:sz w:val="20"/>
              </w:rPr>
            </w:pPr>
            <w:r w:rsidRPr="00007A00">
              <w:rPr>
                <w:color w:val="000000"/>
                <w:sz w:val="20"/>
              </w:rPr>
              <w:t>PIB 150,000</w:t>
            </w:r>
          </w:p>
        </w:tc>
        <w:tc>
          <w:tcPr>
            <w:tcW w:w="1275" w:type="dxa"/>
            <w:tcBorders>
              <w:top w:val="nil"/>
              <w:left w:val="nil"/>
              <w:bottom w:val="nil"/>
              <w:right w:val="nil"/>
            </w:tcBorders>
            <w:shd w:val="clear" w:color="auto" w:fill="auto"/>
            <w:noWrap/>
            <w:vAlign w:val="bottom"/>
            <w:hideMark/>
          </w:tcPr>
          <w:p w14:paraId="26635DEA" w14:textId="77777777" w:rsidR="0016084B" w:rsidRPr="00007A00" w:rsidRDefault="0016084B" w:rsidP="00081F23">
            <w:pPr>
              <w:ind w:firstLine="0"/>
              <w:rPr>
                <w:color w:val="000000"/>
                <w:sz w:val="20"/>
              </w:rPr>
            </w:pPr>
            <w:r w:rsidRPr="00007A00">
              <w:rPr>
                <w:color w:val="000000"/>
                <w:sz w:val="20"/>
              </w:rPr>
              <w:t>-0,971**</w:t>
            </w:r>
          </w:p>
        </w:tc>
        <w:tc>
          <w:tcPr>
            <w:tcW w:w="1135" w:type="dxa"/>
            <w:tcBorders>
              <w:top w:val="nil"/>
              <w:left w:val="nil"/>
              <w:bottom w:val="nil"/>
              <w:right w:val="nil"/>
            </w:tcBorders>
            <w:shd w:val="clear" w:color="auto" w:fill="auto"/>
            <w:noWrap/>
            <w:vAlign w:val="bottom"/>
            <w:hideMark/>
          </w:tcPr>
          <w:p w14:paraId="4D169CB2" w14:textId="77777777" w:rsidR="0016084B" w:rsidRPr="00007A00" w:rsidRDefault="0016084B" w:rsidP="00081F23">
            <w:pPr>
              <w:ind w:firstLine="0"/>
              <w:rPr>
                <w:color w:val="000000"/>
                <w:sz w:val="20"/>
              </w:rPr>
            </w:pPr>
            <w:r w:rsidRPr="00007A00">
              <w:rPr>
                <w:color w:val="000000"/>
                <w:sz w:val="20"/>
              </w:rPr>
              <w:t>0,178</w:t>
            </w:r>
          </w:p>
        </w:tc>
      </w:tr>
      <w:tr w:rsidR="0016084B" w:rsidRPr="00007A00" w14:paraId="535D22E6" w14:textId="77777777" w:rsidTr="00F54895">
        <w:trPr>
          <w:trHeight w:val="300"/>
        </w:trPr>
        <w:tc>
          <w:tcPr>
            <w:tcW w:w="2268" w:type="dxa"/>
            <w:tcBorders>
              <w:top w:val="nil"/>
              <w:left w:val="nil"/>
              <w:bottom w:val="nil"/>
              <w:right w:val="nil"/>
            </w:tcBorders>
            <w:shd w:val="clear" w:color="auto" w:fill="auto"/>
            <w:noWrap/>
            <w:vAlign w:val="bottom"/>
            <w:hideMark/>
          </w:tcPr>
          <w:p w14:paraId="70582709" w14:textId="77777777" w:rsidR="0016084B" w:rsidRPr="00007A00" w:rsidRDefault="0016084B" w:rsidP="00081F23">
            <w:pPr>
              <w:ind w:firstLine="0"/>
              <w:rPr>
                <w:color w:val="000000"/>
                <w:sz w:val="20"/>
              </w:rPr>
            </w:pPr>
            <w:r w:rsidRPr="00007A00">
              <w:rPr>
                <w:color w:val="000000"/>
                <w:sz w:val="20"/>
              </w:rPr>
              <w:t>Sexo</w:t>
            </w:r>
          </w:p>
        </w:tc>
        <w:tc>
          <w:tcPr>
            <w:tcW w:w="860" w:type="dxa"/>
            <w:tcBorders>
              <w:top w:val="nil"/>
              <w:left w:val="nil"/>
              <w:bottom w:val="nil"/>
              <w:right w:val="nil"/>
            </w:tcBorders>
            <w:shd w:val="clear" w:color="auto" w:fill="auto"/>
            <w:noWrap/>
            <w:vAlign w:val="bottom"/>
            <w:hideMark/>
          </w:tcPr>
          <w:p w14:paraId="00DE7830" w14:textId="77777777" w:rsidR="0016084B" w:rsidRPr="00007A00" w:rsidRDefault="0016084B" w:rsidP="00081F23">
            <w:pPr>
              <w:ind w:firstLine="0"/>
              <w:rPr>
                <w:color w:val="000000"/>
                <w:sz w:val="20"/>
              </w:rPr>
            </w:pPr>
            <w:r w:rsidRPr="00007A00">
              <w:rPr>
                <w:color w:val="000000"/>
                <w:sz w:val="20"/>
              </w:rPr>
              <w:t>0,006</w:t>
            </w:r>
          </w:p>
        </w:tc>
        <w:tc>
          <w:tcPr>
            <w:tcW w:w="1125" w:type="dxa"/>
            <w:tcBorders>
              <w:top w:val="nil"/>
              <w:left w:val="nil"/>
              <w:bottom w:val="nil"/>
              <w:right w:val="single" w:sz="4" w:space="0" w:color="auto"/>
            </w:tcBorders>
            <w:shd w:val="clear" w:color="auto" w:fill="auto"/>
            <w:noWrap/>
            <w:vAlign w:val="bottom"/>
            <w:hideMark/>
          </w:tcPr>
          <w:p w14:paraId="71B57CE9" w14:textId="77777777" w:rsidR="0016084B" w:rsidRPr="00007A00" w:rsidRDefault="0016084B" w:rsidP="00081F23">
            <w:pPr>
              <w:ind w:firstLine="0"/>
              <w:rPr>
                <w:color w:val="000000"/>
                <w:sz w:val="20"/>
              </w:rPr>
            </w:pPr>
            <w:r w:rsidRPr="00007A00">
              <w:rPr>
                <w:color w:val="000000"/>
                <w:sz w:val="20"/>
              </w:rPr>
              <w:t>0,025</w:t>
            </w:r>
          </w:p>
        </w:tc>
        <w:tc>
          <w:tcPr>
            <w:tcW w:w="2126" w:type="dxa"/>
            <w:tcBorders>
              <w:top w:val="nil"/>
              <w:left w:val="single" w:sz="4" w:space="0" w:color="auto"/>
              <w:bottom w:val="nil"/>
              <w:right w:val="nil"/>
            </w:tcBorders>
            <w:shd w:val="clear" w:color="auto" w:fill="auto"/>
            <w:noWrap/>
            <w:vAlign w:val="bottom"/>
            <w:hideMark/>
          </w:tcPr>
          <w:p w14:paraId="5A85EEAE" w14:textId="77777777" w:rsidR="0016084B" w:rsidRPr="00007A00" w:rsidRDefault="0016084B" w:rsidP="00081F23">
            <w:pPr>
              <w:ind w:firstLine="0"/>
              <w:rPr>
                <w:color w:val="000000"/>
                <w:sz w:val="20"/>
              </w:rPr>
            </w:pPr>
            <w:r w:rsidRPr="00007A00">
              <w:rPr>
                <w:color w:val="000000"/>
                <w:sz w:val="20"/>
              </w:rPr>
              <w:t>PIBpc</w:t>
            </w:r>
          </w:p>
        </w:tc>
        <w:tc>
          <w:tcPr>
            <w:tcW w:w="1275" w:type="dxa"/>
            <w:tcBorders>
              <w:top w:val="nil"/>
              <w:left w:val="nil"/>
              <w:bottom w:val="nil"/>
              <w:right w:val="nil"/>
            </w:tcBorders>
            <w:shd w:val="clear" w:color="auto" w:fill="auto"/>
            <w:noWrap/>
            <w:vAlign w:val="bottom"/>
            <w:hideMark/>
          </w:tcPr>
          <w:p w14:paraId="5F226E23" w14:textId="77777777" w:rsidR="0016084B" w:rsidRPr="00007A00" w:rsidRDefault="0016084B" w:rsidP="00081F23">
            <w:pPr>
              <w:ind w:firstLine="0"/>
              <w:rPr>
                <w:color w:val="000000"/>
                <w:sz w:val="20"/>
              </w:rPr>
            </w:pPr>
            <w:r w:rsidRPr="00007A00">
              <w:rPr>
                <w:color w:val="000000"/>
                <w:sz w:val="20"/>
              </w:rPr>
              <w:t>-0,100**</w:t>
            </w:r>
          </w:p>
        </w:tc>
        <w:tc>
          <w:tcPr>
            <w:tcW w:w="1135" w:type="dxa"/>
            <w:tcBorders>
              <w:top w:val="nil"/>
              <w:left w:val="nil"/>
              <w:bottom w:val="nil"/>
              <w:right w:val="nil"/>
            </w:tcBorders>
            <w:shd w:val="clear" w:color="auto" w:fill="auto"/>
            <w:noWrap/>
            <w:vAlign w:val="bottom"/>
            <w:hideMark/>
          </w:tcPr>
          <w:p w14:paraId="46E82841" w14:textId="77777777" w:rsidR="0016084B" w:rsidRPr="00007A00" w:rsidRDefault="0016084B" w:rsidP="00081F23">
            <w:pPr>
              <w:ind w:firstLine="0"/>
              <w:rPr>
                <w:color w:val="000000"/>
                <w:sz w:val="20"/>
              </w:rPr>
            </w:pPr>
            <w:r w:rsidRPr="00007A00">
              <w:rPr>
                <w:color w:val="000000"/>
                <w:sz w:val="20"/>
              </w:rPr>
              <w:t>0,039</w:t>
            </w:r>
          </w:p>
        </w:tc>
      </w:tr>
      <w:tr w:rsidR="0016084B" w:rsidRPr="00007A00" w14:paraId="3819A063" w14:textId="77777777" w:rsidTr="00F54895">
        <w:trPr>
          <w:trHeight w:val="300"/>
        </w:trPr>
        <w:tc>
          <w:tcPr>
            <w:tcW w:w="2268" w:type="dxa"/>
            <w:tcBorders>
              <w:top w:val="nil"/>
              <w:left w:val="nil"/>
              <w:bottom w:val="nil"/>
              <w:right w:val="nil"/>
            </w:tcBorders>
            <w:shd w:val="clear" w:color="auto" w:fill="auto"/>
            <w:noWrap/>
            <w:vAlign w:val="bottom"/>
            <w:hideMark/>
          </w:tcPr>
          <w:p w14:paraId="3710B0DD" w14:textId="77777777" w:rsidR="0016084B" w:rsidRPr="00007A00" w:rsidRDefault="0016084B" w:rsidP="00081F23">
            <w:pPr>
              <w:ind w:firstLine="0"/>
              <w:rPr>
                <w:color w:val="000000"/>
                <w:sz w:val="20"/>
              </w:rPr>
            </w:pPr>
            <w:r w:rsidRPr="00007A00">
              <w:rPr>
                <w:color w:val="000000"/>
                <w:sz w:val="20"/>
              </w:rPr>
              <w:t>Idade</w:t>
            </w:r>
          </w:p>
        </w:tc>
        <w:tc>
          <w:tcPr>
            <w:tcW w:w="860" w:type="dxa"/>
            <w:tcBorders>
              <w:top w:val="nil"/>
              <w:left w:val="nil"/>
              <w:bottom w:val="nil"/>
              <w:right w:val="nil"/>
            </w:tcBorders>
            <w:shd w:val="clear" w:color="auto" w:fill="auto"/>
            <w:noWrap/>
            <w:vAlign w:val="bottom"/>
            <w:hideMark/>
          </w:tcPr>
          <w:p w14:paraId="165DE9ED" w14:textId="77777777" w:rsidR="0016084B" w:rsidRPr="00007A00" w:rsidRDefault="0016084B" w:rsidP="00081F23">
            <w:pPr>
              <w:ind w:firstLine="0"/>
              <w:rPr>
                <w:color w:val="000000"/>
                <w:sz w:val="20"/>
              </w:rPr>
            </w:pPr>
            <w:r w:rsidRPr="00007A00">
              <w:rPr>
                <w:color w:val="000000"/>
                <w:sz w:val="20"/>
              </w:rPr>
              <w:t>0,002**</w:t>
            </w:r>
          </w:p>
        </w:tc>
        <w:tc>
          <w:tcPr>
            <w:tcW w:w="1125" w:type="dxa"/>
            <w:tcBorders>
              <w:top w:val="nil"/>
              <w:left w:val="nil"/>
              <w:bottom w:val="nil"/>
              <w:right w:val="single" w:sz="4" w:space="0" w:color="auto"/>
            </w:tcBorders>
            <w:shd w:val="clear" w:color="auto" w:fill="auto"/>
            <w:noWrap/>
            <w:vAlign w:val="bottom"/>
            <w:hideMark/>
          </w:tcPr>
          <w:p w14:paraId="2BE3E232" w14:textId="77777777" w:rsidR="0016084B" w:rsidRPr="00007A00" w:rsidRDefault="0016084B" w:rsidP="00081F23">
            <w:pPr>
              <w:ind w:firstLine="0"/>
              <w:rPr>
                <w:color w:val="000000"/>
                <w:sz w:val="20"/>
              </w:rPr>
            </w:pPr>
            <w:r w:rsidRPr="00007A00">
              <w:rPr>
                <w:color w:val="000000"/>
                <w:sz w:val="20"/>
              </w:rPr>
              <w:t>0,001</w:t>
            </w:r>
          </w:p>
        </w:tc>
        <w:tc>
          <w:tcPr>
            <w:tcW w:w="2126" w:type="dxa"/>
            <w:tcBorders>
              <w:top w:val="nil"/>
              <w:left w:val="single" w:sz="4" w:space="0" w:color="auto"/>
              <w:bottom w:val="nil"/>
              <w:right w:val="nil"/>
            </w:tcBorders>
            <w:shd w:val="clear" w:color="auto" w:fill="auto"/>
            <w:noWrap/>
            <w:vAlign w:val="bottom"/>
            <w:hideMark/>
          </w:tcPr>
          <w:p w14:paraId="60695B60" w14:textId="77777777" w:rsidR="0016084B" w:rsidRPr="00007A00" w:rsidRDefault="0016084B" w:rsidP="00081F23">
            <w:pPr>
              <w:ind w:firstLine="0"/>
              <w:rPr>
                <w:color w:val="000000"/>
                <w:sz w:val="20"/>
              </w:rPr>
            </w:pPr>
            <w:r w:rsidRPr="00007A00">
              <w:rPr>
                <w:color w:val="000000"/>
                <w:sz w:val="20"/>
              </w:rPr>
              <w:t>D15</w:t>
            </w:r>
          </w:p>
        </w:tc>
        <w:tc>
          <w:tcPr>
            <w:tcW w:w="1275" w:type="dxa"/>
            <w:tcBorders>
              <w:top w:val="nil"/>
              <w:left w:val="nil"/>
              <w:bottom w:val="nil"/>
              <w:right w:val="nil"/>
            </w:tcBorders>
            <w:shd w:val="clear" w:color="auto" w:fill="auto"/>
            <w:noWrap/>
            <w:vAlign w:val="bottom"/>
            <w:hideMark/>
          </w:tcPr>
          <w:p w14:paraId="44E34917" w14:textId="77777777" w:rsidR="0016084B" w:rsidRPr="00007A00" w:rsidRDefault="0016084B" w:rsidP="00081F23">
            <w:pPr>
              <w:ind w:firstLine="0"/>
              <w:rPr>
                <w:color w:val="000000"/>
                <w:sz w:val="20"/>
              </w:rPr>
            </w:pPr>
            <w:r w:rsidRPr="00007A00">
              <w:rPr>
                <w:color w:val="000000"/>
                <w:sz w:val="20"/>
              </w:rPr>
              <w:t>0,057**</w:t>
            </w:r>
          </w:p>
        </w:tc>
        <w:tc>
          <w:tcPr>
            <w:tcW w:w="1135" w:type="dxa"/>
            <w:tcBorders>
              <w:top w:val="nil"/>
              <w:left w:val="nil"/>
              <w:bottom w:val="nil"/>
              <w:right w:val="nil"/>
            </w:tcBorders>
            <w:shd w:val="clear" w:color="auto" w:fill="auto"/>
            <w:noWrap/>
            <w:vAlign w:val="bottom"/>
            <w:hideMark/>
          </w:tcPr>
          <w:p w14:paraId="5E77E1AD" w14:textId="77777777" w:rsidR="0016084B" w:rsidRPr="00007A00" w:rsidRDefault="0016084B" w:rsidP="00081F23">
            <w:pPr>
              <w:ind w:firstLine="0"/>
              <w:rPr>
                <w:color w:val="000000"/>
                <w:sz w:val="20"/>
              </w:rPr>
            </w:pPr>
            <w:r w:rsidRPr="00007A00">
              <w:rPr>
                <w:color w:val="000000"/>
                <w:sz w:val="20"/>
              </w:rPr>
              <w:t>0,013</w:t>
            </w:r>
          </w:p>
        </w:tc>
      </w:tr>
      <w:tr w:rsidR="0016084B" w:rsidRPr="00007A00" w14:paraId="281F0065" w14:textId="77777777" w:rsidTr="00F54895">
        <w:trPr>
          <w:trHeight w:val="300"/>
        </w:trPr>
        <w:tc>
          <w:tcPr>
            <w:tcW w:w="2268" w:type="dxa"/>
            <w:tcBorders>
              <w:top w:val="nil"/>
              <w:left w:val="nil"/>
              <w:bottom w:val="single" w:sz="4" w:space="0" w:color="auto"/>
              <w:right w:val="nil"/>
            </w:tcBorders>
            <w:shd w:val="clear" w:color="auto" w:fill="auto"/>
            <w:noWrap/>
            <w:vAlign w:val="bottom"/>
          </w:tcPr>
          <w:p w14:paraId="4A2AB714" w14:textId="77777777" w:rsidR="0016084B" w:rsidRPr="00007A00" w:rsidRDefault="0016084B" w:rsidP="00081F23">
            <w:pPr>
              <w:ind w:firstLine="0"/>
              <w:rPr>
                <w:color w:val="000000"/>
                <w:sz w:val="20"/>
              </w:rPr>
            </w:pPr>
            <m:oMathPara>
              <m:oMathParaPr>
                <m:jc m:val="left"/>
              </m:oMathParaPr>
              <m:oMath>
                <m:r>
                  <w:rPr>
                    <w:rFonts w:ascii="Cambria Math" w:hAnsi="Cambria Math"/>
                    <w:color w:val="000000"/>
                    <w:sz w:val="20"/>
                  </w:rPr>
                  <m:t>α</m:t>
                </m:r>
              </m:oMath>
            </m:oMathPara>
          </w:p>
        </w:tc>
        <w:tc>
          <w:tcPr>
            <w:tcW w:w="860" w:type="dxa"/>
            <w:tcBorders>
              <w:top w:val="nil"/>
              <w:left w:val="nil"/>
              <w:bottom w:val="single" w:sz="4" w:space="0" w:color="auto"/>
              <w:right w:val="nil"/>
            </w:tcBorders>
            <w:shd w:val="clear" w:color="auto" w:fill="auto"/>
            <w:noWrap/>
            <w:vAlign w:val="bottom"/>
          </w:tcPr>
          <w:p w14:paraId="63BE4E2F" w14:textId="77777777" w:rsidR="0016084B" w:rsidRPr="00007A00" w:rsidRDefault="0016084B" w:rsidP="00081F23">
            <w:pPr>
              <w:ind w:firstLine="0"/>
              <w:rPr>
                <w:color w:val="000000"/>
                <w:sz w:val="20"/>
              </w:rPr>
            </w:pPr>
            <w:r w:rsidRPr="00007A00">
              <w:rPr>
                <w:color w:val="000000"/>
                <w:sz w:val="20"/>
              </w:rPr>
              <w:t>1,072**</w:t>
            </w:r>
          </w:p>
        </w:tc>
        <w:tc>
          <w:tcPr>
            <w:tcW w:w="1125" w:type="dxa"/>
            <w:tcBorders>
              <w:top w:val="nil"/>
              <w:left w:val="nil"/>
              <w:bottom w:val="single" w:sz="4" w:space="0" w:color="auto"/>
              <w:right w:val="single" w:sz="4" w:space="0" w:color="auto"/>
            </w:tcBorders>
            <w:shd w:val="clear" w:color="auto" w:fill="auto"/>
            <w:noWrap/>
            <w:vAlign w:val="bottom"/>
          </w:tcPr>
          <w:p w14:paraId="16CA4BB3" w14:textId="77777777" w:rsidR="0016084B" w:rsidRPr="00007A00" w:rsidRDefault="0016084B" w:rsidP="00081F23">
            <w:pPr>
              <w:ind w:firstLine="0"/>
              <w:rPr>
                <w:color w:val="000000"/>
                <w:sz w:val="20"/>
              </w:rPr>
            </w:pPr>
            <w:r w:rsidRPr="00007A00">
              <w:rPr>
                <w:color w:val="000000"/>
                <w:sz w:val="20"/>
              </w:rPr>
              <w:t>0,298</w:t>
            </w:r>
          </w:p>
        </w:tc>
        <w:tc>
          <w:tcPr>
            <w:tcW w:w="2126" w:type="dxa"/>
            <w:tcBorders>
              <w:top w:val="nil"/>
              <w:left w:val="single" w:sz="4" w:space="0" w:color="auto"/>
              <w:bottom w:val="single" w:sz="4" w:space="0" w:color="auto"/>
              <w:right w:val="nil"/>
            </w:tcBorders>
            <w:shd w:val="clear" w:color="auto" w:fill="auto"/>
            <w:noWrap/>
            <w:vAlign w:val="bottom"/>
            <w:hideMark/>
          </w:tcPr>
          <w:p w14:paraId="69C6D7B5" w14:textId="77777777" w:rsidR="0016084B" w:rsidRPr="00007A00" w:rsidRDefault="0016084B" w:rsidP="00081F23">
            <w:pPr>
              <w:ind w:firstLine="0"/>
              <w:rPr>
                <w:color w:val="000000"/>
                <w:sz w:val="20"/>
              </w:rPr>
            </w:pPr>
            <w:r w:rsidRPr="00007A00">
              <w:rPr>
                <w:color w:val="000000"/>
                <w:sz w:val="20"/>
              </w:rPr>
              <w:t>Funcionários</w:t>
            </w:r>
          </w:p>
        </w:tc>
        <w:tc>
          <w:tcPr>
            <w:tcW w:w="1275" w:type="dxa"/>
            <w:tcBorders>
              <w:top w:val="nil"/>
              <w:left w:val="nil"/>
              <w:bottom w:val="single" w:sz="4" w:space="0" w:color="auto"/>
              <w:right w:val="nil"/>
            </w:tcBorders>
            <w:shd w:val="clear" w:color="auto" w:fill="auto"/>
            <w:noWrap/>
            <w:vAlign w:val="bottom"/>
            <w:hideMark/>
          </w:tcPr>
          <w:p w14:paraId="0C4E381D" w14:textId="77777777" w:rsidR="0016084B" w:rsidRPr="00007A00" w:rsidRDefault="0016084B" w:rsidP="00081F23">
            <w:pPr>
              <w:ind w:firstLine="0"/>
              <w:rPr>
                <w:color w:val="000000"/>
                <w:sz w:val="20"/>
              </w:rPr>
            </w:pPr>
            <w:r w:rsidRPr="00007A00">
              <w:rPr>
                <w:color w:val="000000"/>
                <w:sz w:val="20"/>
              </w:rPr>
              <w:t>0,12**</w:t>
            </w:r>
          </w:p>
        </w:tc>
        <w:tc>
          <w:tcPr>
            <w:tcW w:w="1135" w:type="dxa"/>
            <w:tcBorders>
              <w:top w:val="nil"/>
              <w:left w:val="nil"/>
              <w:bottom w:val="single" w:sz="4" w:space="0" w:color="auto"/>
              <w:right w:val="nil"/>
            </w:tcBorders>
            <w:shd w:val="clear" w:color="auto" w:fill="auto"/>
            <w:noWrap/>
            <w:vAlign w:val="bottom"/>
            <w:hideMark/>
          </w:tcPr>
          <w:p w14:paraId="2FCB5F97" w14:textId="77777777" w:rsidR="0016084B" w:rsidRPr="00007A00" w:rsidRDefault="0016084B" w:rsidP="00081F23">
            <w:pPr>
              <w:ind w:firstLine="0"/>
              <w:rPr>
                <w:color w:val="000000"/>
                <w:sz w:val="20"/>
              </w:rPr>
            </w:pPr>
            <w:r w:rsidRPr="00007A00">
              <w:rPr>
                <w:color w:val="000000"/>
                <w:sz w:val="20"/>
              </w:rPr>
              <w:t>0,028</w:t>
            </w:r>
          </w:p>
        </w:tc>
      </w:tr>
      <w:tr w:rsidR="0016084B" w:rsidRPr="00007A00" w14:paraId="1DF93C3E" w14:textId="77777777" w:rsidTr="00F54895">
        <w:trPr>
          <w:trHeight w:val="300"/>
        </w:trPr>
        <w:tc>
          <w:tcPr>
            <w:tcW w:w="2268" w:type="dxa"/>
            <w:tcBorders>
              <w:top w:val="single" w:sz="4" w:space="0" w:color="auto"/>
              <w:left w:val="nil"/>
              <w:bottom w:val="nil"/>
              <w:right w:val="nil"/>
            </w:tcBorders>
            <w:shd w:val="clear" w:color="auto" w:fill="auto"/>
            <w:noWrap/>
            <w:vAlign w:val="bottom"/>
          </w:tcPr>
          <w:p w14:paraId="485EE2AE" w14:textId="77777777" w:rsidR="0016084B" w:rsidRPr="00007A00" w:rsidRDefault="0016084B" w:rsidP="00081F23">
            <w:pPr>
              <w:ind w:firstLine="0"/>
              <w:rPr>
                <w:color w:val="000000"/>
                <w:sz w:val="20"/>
              </w:rPr>
            </w:pPr>
            <w:r w:rsidRPr="00007A00">
              <w:rPr>
                <w:color w:val="000000"/>
                <w:sz w:val="20"/>
              </w:rPr>
              <w:t>R</w:t>
            </w:r>
            <w:r w:rsidRPr="00007A00">
              <w:rPr>
                <w:color w:val="000000"/>
                <w:sz w:val="20"/>
                <w:vertAlign w:val="superscript"/>
              </w:rPr>
              <w:t>2</w:t>
            </w:r>
            <w:r w:rsidRPr="00007A00">
              <w:rPr>
                <w:color w:val="000000"/>
                <w:sz w:val="20"/>
              </w:rPr>
              <w:t xml:space="preserve"> within</w:t>
            </w:r>
          </w:p>
        </w:tc>
        <w:tc>
          <w:tcPr>
            <w:tcW w:w="860" w:type="dxa"/>
            <w:tcBorders>
              <w:top w:val="single" w:sz="4" w:space="0" w:color="auto"/>
              <w:left w:val="nil"/>
              <w:bottom w:val="nil"/>
              <w:right w:val="nil"/>
            </w:tcBorders>
            <w:shd w:val="clear" w:color="auto" w:fill="auto"/>
            <w:noWrap/>
            <w:vAlign w:val="bottom"/>
          </w:tcPr>
          <w:p w14:paraId="7B2B0BB1" w14:textId="77777777" w:rsidR="0016084B" w:rsidRPr="00007A00" w:rsidRDefault="0016084B" w:rsidP="00081F23">
            <w:pPr>
              <w:ind w:firstLine="0"/>
              <w:rPr>
                <w:color w:val="000000"/>
                <w:sz w:val="20"/>
              </w:rPr>
            </w:pPr>
            <w:r w:rsidRPr="00007A00">
              <w:rPr>
                <w:color w:val="000000"/>
                <w:sz w:val="20"/>
              </w:rPr>
              <w:t>0,733</w:t>
            </w:r>
          </w:p>
        </w:tc>
        <w:tc>
          <w:tcPr>
            <w:tcW w:w="1125" w:type="dxa"/>
            <w:tcBorders>
              <w:top w:val="single" w:sz="4" w:space="0" w:color="auto"/>
              <w:left w:val="nil"/>
              <w:bottom w:val="nil"/>
              <w:right w:val="single" w:sz="4" w:space="0" w:color="auto"/>
            </w:tcBorders>
            <w:shd w:val="clear" w:color="auto" w:fill="auto"/>
            <w:noWrap/>
            <w:vAlign w:val="bottom"/>
          </w:tcPr>
          <w:p w14:paraId="3D6C8760" w14:textId="77777777" w:rsidR="0016084B" w:rsidRPr="00007A00" w:rsidRDefault="0016084B" w:rsidP="00081F23">
            <w:pPr>
              <w:ind w:firstLine="0"/>
              <w:rPr>
                <w:color w:val="000000"/>
                <w:sz w:val="20"/>
              </w:rPr>
            </w:pPr>
          </w:p>
        </w:tc>
        <w:tc>
          <w:tcPr>
            <w:tcW w:w="2126" w:type="dxa"/>
            <w:tcBorders>
              <w:top w:val="single" w:sz="4" w:space="0" w:color="auto"/>
              <w:left w:val="single" w:sz="4" w:space="0" w:color="auto"/>
              <w:bottom w:val="nil"/>
              <w:right w:val="nil"/>
            </w:tcBorders>
            <w:shd w:val="clear" w:color="auto" w:fill="auto"/>
            <w:noWrap/>
            <w:hideMark/>
          </w:tcPr>
          <w:p w14:paraId="0792544E" w14:textId="77777777" w:rsidR="0016084B" w:rsidRPr="00007A00" w:rsidRDefault="0016084B" w:rsidP="00081F23">
            <w:pPr>
              <w:ind w:firstLine="0"/>
              <w:rPr>
                <w:color w:val="000000"/>
                <w:sz w:val="20"/>
              </w:rPr>
            </w:pPr>
            <w:r w:rsidRPr="00007A00">
              <w:rPr>
                <w:color w:val="000000"/>
                <w:sz w:val="20"/>
              </w:rPr>
              <w:t>-</w:t>
            </w:r>
          </w:p>
        </w:tc>
        <w:tc>
          <w:tcPr>
            <w:tcW w:w="1275" w:type="dxa"/>
            <w:tcBorders>
              <w:top w:val="single" w:sz="4" w:space="0" w:color="auto"/>
              <w:left w:val="nil"/>
              <w:bottom w:val="nil"/>
              <w:right w:val="nil"/>
            </w:tcBorders>
            <w:shd w:val="clear" w:color="auto" w:fill="auto"/>
            <w:noWrap/>
            <w:hideMark/>
          </w:tcPr>
          <w:p w14:paraId="13B8F36E" w14:textId="77777777" w:rsidR="0016084B" w:rsidRPr="00007A00" w:rsidRDefault="0016084B" w:rsidP="00081F23">
            <w:pPr>
              <w:ind w:firstLine="0"/>
              <w:rPr>
                <w:sz w:val="20"/>
              </w:rPr>
            </w:pPr>
            <w:r w:rsidRPr="00007A00">
              <w:rPr>
                <w:color w:val="000000"/>
                <w:sz w:val="20"/>
              </w:rPr>
              <w:t>-</w:t>
            </w:r>
          </w:p>
        </w:tc>
        <w:tc>
          <w:tcPr>
            <w:tcW w:w="1135" w:type="dxa"/>
            <w:tcBorders>
              <w:top w:val="single" w:sz="4" w:space="0" w:color="auto"/>
              <w:left w:val="nil"/>
              <w:bottom w:val="nil"/>
              <w:right w:val="nil"/>
            </w:tcBorders>
            <w:shd w:val="clear" w:color="auto" w:fill="auto"/>
            <w:noWrap/>
            <w:hideMark/>
          </w:tcPr>
          <w:p w14:paraId="395F7431" w14:textId="77777777" w:rsidR="0016084B" w:rsidRPr="00007A00" w:rsidRDefault="0016084B" w:rsidP="00081F23">
            <w:pPr>
              <w:ind w:firstLine="0"/>
              <w:rPr>
                <w:sz w:val="20"/>
              </w:rPr>
            </w:pPr>
            <w:r w:rsidRPr="00007A00">
              <w:rPr>
                <w:color w:val="000000"/>
                <w:sz w:val="20"/>
              </w:rPr>
              <w:t>-</w:t>
            </w:r>
          </w:p>
        </w:tc>
      </w:tr>
      <w:tr w:rsidR="0016084B" w:rsidRPr="00007A00" w14:paraId="7E5181A9" w14:textId="77777777" w:rsidTr="00F54895">
        <w:trPr>
          <w:trHeight w:val="300"/>
        </w:trPr>
        <w:tc>
          <w:tcPr>
            <w:tcW w:w="2268" w:type="dxa"/>
            <w:tcBorders>
              <w:top w:val="nil"/>
              <w:left w:val="nil"/>
              <w:bottom w:val="nil"/>
              <w:right w:val="nil"/>
            </w:tcBorders>
            <w:shd w:val="clear" w:color="auto" w:fill="auto"/>
            <w:noWrap/>
            <w:vAlign w:val="bottom"/>
          </w:tcPr>
          <w:p w14:paraId="7D88D217" w14:textId="77777777" w:rsidR="0016084B" w:rsidRPr="00007A00" w:rsidRDefault="0016084B" w:rsidP="00081F23">
            <w:pPr>
              <w:ind w:firstLine="0"/>
              <w:rPr>
                <w:color w:val="000000"/>
                <w:sz w:val="20"/>
              </w:rPr>
            </w:pPr>
            <w:r w:rsidRPr="00007A00">
              <w:rPr>
                <w:color w:val="000000"/>
                <w:sz w:val="20"/>
              </w:rPr>
              <w:t>R</w:t>
            </w:r>
            <w:r w:rsidRPr="00007A00">
              <w:rPr>
                <w:color w:val="000000"/>
                <w:sz w:val="20"/>
                <w:vertAlign w:val="superscript"/>
              </w:rPr>
              <w:t xml:space="preserve">2 </w:t>
            </w:r>
            <w:r w:rsidRPr="00007A00">
              <w:rPr>
                <w:color w:val="000000"/>
                <w:sz w:val="20"/>
              </w:rPr>
              <w:t>between</w:t>
            </w:r>
          </w:p>
        </w:tc>
        <w:tc>
          <w:tcPr>
            <w:tcW w:w="860" w:type="dxa"/>
            <w:tcBorders>
              <w:top w:val="nil"/>
              <w:left w:val="nil"/>
              <w:bottom w:val="nil"/>
              <w:right w:val="nil"/>
            </w:tcBorders>
            <w:shd w:val="clear" w:color="auto" w:fill="auto"/>
            <w:noWrap/>
            <w:vAlign w:val="bottom"/>
          </w:tcPr>
          <w:p w14:paraId="04F0A5B5" w14:textId="77777777" w:rsidR="0016084B" w:rsidRPr="00007A00" w:rsidRDefault="0016084B" w:rsidP="00081F23">
            <w:pPr>
              <w:ind w:firstLine="0"/>
              <w:rPr>
                <w:color w:val="000000"/>
                <w:sz w:val="20"/>
              </w:rPr>
            </w:pPr>
            <w:r w:rsidRPr="00007A00">
              <w:rPr>
                <w:color w:val="000000"/>
                <w:sz w:val="20"/>
              </w:rPr>
              <w:t>0,196</w:t>
            </w:r>
          </w:p>
        </w:tc>
        <w:tc>
          <w:tcPr>
            <w:tcW w:w="1125" w:type="dxa"/>
            <w:tcBorders>
              <w:top w:val="nil"/>
              <w:left w:val="nil"/>
              <w:bottom w:val="nil"/>
              <w:right w:val="single" w:sz="4" w:space="0" w:color="auto"/>
            </w:tcBorders>
            <w:shd w:val="clear" w:color="auto" w:fill="auto"/>
            <w:noWrap/>
            <w:vAlign w:val="bottom"/>
          </w:tcPr>
          <w:p w14:paraId="1F11D338" w14:textId="77777777" w:rsidR="0016084B" w:rsidRPr="00007A00" w:rsidRDefault="0016084B" w:rsidP="00081F23">
            <w:pPr>
              <w:ind w:firstLine="0"/>
              <w:rPr>
                <w:color w:val="000000"/>
                <w:sz w:val="20"/>
              </w:rPr>
            </w:pPr>
          </w:p>
        </w:tc>
        <w:tc>
          <w:tcPr>
            <w:tcW w:w="2126" w:type="dxa"/>
            <w:tcBorders>
              <w:top w:val="nil"/>
              <w:left w:val="single" w:sz="4" w:space="0" w:color="auto"/>
              <w:bottom w:val="nil"/>
              <w:right w:val="nil"/>
            </w:tcBorders>
            <w:shd w:val="clear" w:color="auto" w:fill="auto"/>
            <w:noWrap/>
            <w:hideMark/>
          </w:tcPr>
          <w:p w14:paraId="09E0C33E" w14:textId="77777777" w:rsidR="0016084B" w:rsidRPr="00007A00" w:rsidRDefault="0016084B" w:rsidP="00081F23">
            <w:pPr>
              <w:ind w:firstLine="0"/>
              <w:rPr>
                <w:sz w:val="20"/>
              </w:rPr>
            </w:pPr>
            <w:r w:rsidRPr="00007A00">
              <w:rPr>
                <w:color w:val="000000"/>
                <w:sz w:val="20"/>
              </w:rPr>
              <w:t>-</w:t>
            </w:r>
          </w:p>
        </w:tc>
        <w:tc>
          <w:tcPr>
            <w:tcW w:w="1275" w:type="dxa"/>
            <w:tcBorders>
              <w:top w:val="nil"/>
              <w:left w:val="nil"/>
              <w:bottom w:val="nil"/>
              <w:right w:val="nil"/>
            </w:tcBorders>
            <w:shd w:val="clear" w:color="auto" w:fill="auto"/>
            <w:noWrap/>
            <w:hideMark/>
          </w:tcPr>
          <w:p w14:paraId="0EAEE856" w14:textId="77777777" w:rsidR="0016084B" w:rsidRPr="00007A00" w:rsidRDefault="0016084B" w:rsidP="00081F23">
            <w:pPr>
              <w:ind w:firstLine="0"/>
              <w:rPr>
                <w:sz w:val="20"/>
              </w:rPr>
            </w:pPr>
            <w:r w:rsidRPr="00007A00">
              <w:rPr>
                <w:color w:val="000000"/>
                <w:sz w:val="20"/>
              </w:rPr>
              <w:t>-</w:t>
            </w:r>
          </w:p>
        </w:tc>
        <w:tc>
          <w:tcPr>
            <w:tcW w:w="1135" w:type="dxa"/>
            <w:tcBorders>
              <w:top w:val="nil"/>
              <w:left w:val="nil"/>
              <w:bottom w:val="nil"/>
              <w:right w:val="nil"/>
            </w:tcBorders>
            <w:shd w:val="clear" w:color="auto" w:fill="auto"/>
            <w:noWrap/>
            <w:hideMark/>
          </w:tcPr>
          <w:p w14:paraId="6713D14E" w14:textId="77777777" w:rsidR="0016084B" w:rsidRPr="00007A00" w:rsidRDefault="0016084B" w:rsidP="00081F23">
            <w:pPr>
              <w:ind w:firstLine="0"/>
              <w:rPr>
                <w:sz w:val="20"/>
              </w:rPr>
            </w:pPr>
            <w:r w:rsidRPr="00007A00">
              <w:rPr>
                <w:color w:val="000000"/>
                <w:sz w:val="20"/>
              </w:rPr>
              <w:t>-</w:t>
            </w:r>
          </w:p>
        </w:tc>
      </w:tr>
      <w:tr w:rsidR="0016084B" w:rsidRPr="00007A00" w14:paraId="4344EE25" w14:textId="77777777" w:rsidTr="00F54895">
        <w:trPr>
          <w:trHeight w:val="300"/>
        </w:trPr>
        <w:tc>
          <w:tcPr>
            <w:tcW w:w="2268" w:type="dxa"/>
            <w:tcBorders>
              <w:top w:val="nil"/>
              <w:left w:val="nil"/>
              <w:bottom w:val="nil"/>
              <w:right w:val="nil"/>
            </w:tcBorders>
            <w:shd w:val="clear" w:color="auto" w:fill="auto"/>
            <w:noWrap/>
            <w:vAlign w:val="bottom"/>
          </w:tcPr>
          <w:p w14:paraId="17E838EB" w14:textId="77777777" w:rsidR="0016084B" w:rsidRPr="00007A00" w:rsidRDefault="0016084B" w:rsidP="00081F23">
            <w:pPr>
              <w:ind w:firstLine="0"/>
              <w:rPr>
                <w:color w:val="000000"/>
                <w:sz w:val="20"/>
              </w:rPr>
            </w:pPr>
            <w:r w:rsidRPr="00007A00">
              <w:rPr>
                <w:color w:val="000000"/>
                <w:sz w:val="20"/>
              </w:rPr>
              <w:t>R</w:t>
            </w:r>
            <w:r w:rsidRPr="00007A00">
              <w:rPr>
                <w:color w:val="000000"/>
                <w:sz w:val="20"/>
                <w:vertAlign w:val="superscript"/>
              </w:rPr>
              <w:t>2</w:t>
            </w:r>
          </w:p>
        </w:tc>
        <w:tc>
          <w:tcPr>
            <w:tcW w:w="860" w:type="dxa"/>
            <w:tcBorders>
              <w:top w:val="nil"/>
              <w:left w:val="nil"/>
              <w:bottom w:val="nil"/>
              <w:right w:val="nil"/>
            </w:tcBorders>
            <w:shd w:val="clear" w:color="auto" w:fill="auto"/>
            <w:noWrap/>
            <w:vAlign w:val="bottom"/>
          </w:tcPr>
          <w:p w14:paraId="42DC410C" w14:textId="77777777" w:rsidR="0016084B" w:rsidRPr="00007A00" w:rsidRDefault="0016084B" w:rsidP="00081F23">
            <w:pPr>
              <w:ind w:firstLine="0"/>
              <w:rPr>
                <w:color w:val="000000"/>
                <w:sz w:val="20"/>
              </w:rPr>
            </w:pPr>
            <w:r w:rsidRPr="00007A00">
              <w:rPr>
                <w:color w:val="000000"/>
                <w:sz w:val="20"/>
              </w:rPr>
              <w:t>0,515</w:t>
            </w:r>
          </w:p>
        </w:tc>
        <w:tc>
          <w:tcPr>
            <w:tcW w:w="1125" w:type="dxa"/>
            <w:tcBorders>
              <w:top w:val="nil"/>
              <w:left w:val="nil"/>
              <w:bottom w:val="nil"/>
              <w:right w:val="single" w:sz="4" w:space="0" w:color="auto"/>
            </w:tcBorders>
            <w:shd w:val="clear" w:color="auto" w:fill="auto"/>
            <w:noWrap/>
            <w:vAlign w:val="bottom"/>
          </w:tcPr>
          <w:p w14:paraId="16B8539C" w14:textId="77777777" w:rsidR="0016084B" w:rsidRPr="00007A00" w:rsidRDefault="0016084B" w:rsidP="00081F23">
            <w:pPr>
              <w:ind w:firstLine="0"/>
              <w:rPr>
                <w:color w:val="000000"/>
                <w:sz w:val="20"/>
              </w:rPr>
            </w:pPr>
          </w:p>
        </w:tc>
        <w:tc>
          <w:tcPr>
            <w:tcW w:w="2126" w:type="dxa"/>
            <w:tcBorders>
              <w:top w:val="nil"/>
              <w:left w:val="single" w:sz="4" w:space="0" w:color="auto"/>
              <w:bottom w:val="nil"/>
              <w:right w:val="nil"/>
            </w:tcBorders>
            <w:shd w:val="clear" w:color="auto" w:fill="auto"/>
            <w:noWrap/>
            <w:hideMark/>
          </w:tcPr>
          <w:p w14:paraId="386C50E1" w14:textId="77777777" w:rsidR="0016084B" w:rsidRPr="00007A00" w:rsidRDefault="0016084B" w:rsidP="00081F23">
            <w:pPr>
              <w:ind w:firstLine="0"/>
              <w:rPr>
                <w:sz w:val="20"/>
              </w:rPr>
            </w:pPr>
            <w:r w:rsidRPr="00007A00">
              <w:rPr>
                <w:color w:val="000000"/>
                <w:sz w:val="20"/>
              </w:rPr>
              <w:t>-</w:t>
            </w:r>
          </w:p>
        </w:tc>
        <w:tc>
          <w:tcPr>
            <w:tcW w:w="1275" w:type="dxa"/>
            <w:tcBorders>
              <w:top w:val="nil"/>
              <w:left w:val="nil"/>
              <w:bottom w:val="nil"/>
              <w:right w:val="nil"/>
            </w:tcBorders>
            <w:shd w:val="clear" w:color="auto" w:fill="auto"/>
            <w:noWrap/>
            <w:hideMark/>
          </w:tcPr>
          <w:p w14:paraId="2E678CF9" w14:textId="77777777" w:rsidR="0016084B" w:rsidRPr="00007A00" w:rsidRDefault="0016084B" w:rsidP="00081F23">
            <w:pPr>
              <w:ind w:firstLine="0"/>
              <w:rPr>
                <w:sz w:val="20"/>
              </w:rPr>
            </w:pPr>
            <w:r w:rsidRPr="00007A00">
              <w:rPr>
                <w:color w:val="000000"/>
                <w:sz w:val="20"/>
              </w:rPr>
              <w:t>-</w:t>
            </w:r>
          </w:p>
        </w:tc>
        <w:tc>
          <w:tcPr>
            <w:tcW w:w="1135" w:type="dxa"/>
            <w:tcBorders>
              <w:top w:val="nil"/>
              <w:left w:val="nil"/>
              <w:bottom w:val="nil"/>
              <w:right w:val="nil"/>
            </w:tcBorders>
            <w:shd w:val="clear" w:color="auto" w:fill="auto"/>
            <w:noWrap/>
            <w:hideMark/>
          </w:tcPr>
          <w:p w14:paraId="55980000" w14:textId="77777777" w:rsidR="0016084B" w:rsidRPr="00007A00" w:rsidRDefault="0016084B" w:rsidP="00081F23">
            <w:pPr>
              <w:ind w:firstLine="0"/>
              <w:rPr>
                <w:sz w:val="20"/>
              </w:rPr>
            </w:pPr>
            <w:r w:rsidRPr="00007A00">
              <w:rPr>
                <w:color w:val="000000"/>
                <w:sz w:val="20"/>
              </w:rPr>
              <w:t>-</w:t>
            </w:r>
          </w:p>
        </w:tc>
      </w:tr>
      <w:tr w:rsidR="0016084B" w:rsidRPr="00007A00" w14:paraId="7133C37B" w14:textId="77777777" w:rsidTr="00F54895">
        <w:trPr>
          <w:trHeight w:val="300"/>
        </w:trPr>
        <w:tc>
          <w:tcPr>
            <w:tcW w:w="2268" w:type="dxa"/>
            <w:tcBorders>
              <w:top w:val="nil"/>
              <w:left w:val="nil"/>
              <w:right w:val="nil"/>
            </w:tcBorders>
            <w:shd w:val="clear" w:color="auto" w:fill="auto"/>
            <w:noWrap/>
            <w:vAlign w:val="bottom"/>
          </w:tcPr>
          <w:p w14:paraId="4670DBBB" w14:textId="77777777" w:rsidR="0016084B" w:rsidRPr="00007A00" w:rsidRDefault="0016084B" w:rsidP="00081F23">
            <w:pPr>
              <w:ind w:firstLine="0"/>
              <w:rPr>
                <w:color w:val="000000"/>
                <w:sz w:val="20"/>
              </w:rPr>
            </w:pPr>
            <w:r w:rsidRPr="00007A00">
              <w:rPr>
                <w:color w:val="000000"/>
                <w:sz w:val="20"/>
              </w:rPr>
              <w:t>Wald</w:t>
            </w:r>
          </w:p>
        </w:tc>
        <w:tc>
          <w:tcPr>
            <w:tcW w:w="860" w:type="dxa"/>
            <w:tcBorders>
              <w:top w:val="nil"/>
              <w:left w:val="nil"/>
              <w:right w:val="nil"/>
            </w:tcBorders>
            <w:shd w:val="clear" w:color="auto" w:fill="auto"/>
            <w:noWrap/>
            <w:vAlign w:val="bottom"/>
          </w:tcPr>
          <w:p w14:paraId="72AA6A0D" w14:textId="77777777" w:rsidR="0016084B" w:rsidRPr="00007A00" w:rsidRDefault="0016084B" w:rsidP="00081F23">
            <w:pPr>
              <w:ind w:firstLine="0"/>
              <w:rPr>
                <w:color w:val="000000"/>
                <w:sz w:val="20"/>
              </w:rPr>
            </w:pPr>
            <w:r w:rsidRPr="00007A00">
              <w:rPr>
                <w:color w:val="000000"/>
                <w:sz w:val="20"/>
              </w:rPr>
              <w:t>7446,16</w:t>
            </w:r>
          </w:p>
        </w:tc>
        <w:tc>
          <w:tcPr>
            <w:tcW w:w="1125" w:type="dxa"/>
            <w:tcBorders>
              <w:top w:val="nil"/>
              <w:left w:val="nil"/>
              <w:right w:val="single" w:sz="4" w:space="0" w:color="auto"/>
            </w:tcBorders>
            <w:shd w:val="clear" w:color="auto" w:fill="auto"/>
            <w:noWrap/>
            <w:vAlign w:val="bottom"/>
          </w:tcPr>
          <w:p w14:paraId="0EB35BC1" w14:textId="77777777" w:rsidR="0016084B" w:rsidRPr="00007A00" w:rsidRDefault="0016084B" w:rsidP="00081F23">
            <w:pPr>
              <w:ind w:firstLine="0"/>
              <w:rPr>
                <w:color w:val="000000"/>
                <w:sz w:val="20"/>
              </w:rPr>
            </w:pPr>
          </w:p>
        </w:tc>
        <w:tc>
          <w:tcPr>
            <w:tcW w:w="2126" w:type="dxa"/>
            <w:tcBorders>
              <w:top w:val="nil"/>
              <w:left w:val="single" w:sz="4" w:space="0" w:color="auto"/>
              <w:right w:val="nil"/>
            </w:tcBorders>
            <w:shd w:val="clear" w:color="auto" w:fill="auto"/>
            <w:noWrap/>
            <w:hideMark/>
          </w:tcPr>
          <w:p w14:paraId="11D3A54D" w14:textId="77777777" w:rsidR="0016084B" w:rsidRPr="00007A00" w:rsidRDefault="0016084B" w:rsidP="00081F23">
            <w:pPr>
              <w:ind w:firstLine="0"/>
              <w:rPr>
                <w:sz w:val="20"/>
              </w:rPr>
            </w:pPr>
            <w:r w:rsidRPr="00007A00">
              <w:rPr>
                <w:color w:val="000000"/>
                <w:sz w:val="20"/>
              </w:rPr>
              <w:t>-</w:t>
            </w:r>
          </w:p>
        </w:tc>
        <w:tc>
          <w:tcPr>
            <w:tcW w:w="1275" w:type="dxa"/>
            <w:tcBorders>
              <w:top w:val="nil"/>
              <w:left w:val="nil"/>
              <w:right w:val="nil"/>
            </w:tcBorders>
            <w:shd w:val="clear" w:color="auto" w:fill="auto"/>
            <w:noWrap/>
            <w:hideMark/>
          </w:tcPr>
          <w:p w14:paraId="7F79388F" w14:textId="77777777" w:rsidR="0016084B" w:rsidRPr="00007A00" w:rsidRDefault="0016084B" w:rsidP="00081F23">
            <w:pPr>
              <w:ind w:firstLine="0"/>
              <w:rPr>
                <w:sz w:val="20"/>
              </w:rPr>
            </w:pPr>
            <w:r w:rsidRPr="00007A00">
              <w:rPr>
                <w:color w:val="000000"/>
                <w:sz w:val="20"/>
              </w:rPr>
              <w:t>-</w:t>
            </w:r>
          </w:p>
        </w:tc>
        <w:tc>
          <w:tcPr>
            <w:tcW w:w="1135" w:type="dxa"/>
            <w:tcBorders>
              <w:top w:val="nil"/>
              <w:left w:val="nil"/>
              <w:right w:val="nil"/>
            </w:tcBorders>
            <w:shd w:val="clear" w:color="auto" w:fill="auto"/>
            <w:noWrap/>
            <w:hideMark/>
          </w:tcPr>
          <w:p w14:paraId="687BD1FD" w14:textId="77777777" w:rsidR="0016084B" w:rsidRPr="00007A00" w:rsidRDefault="0016084B" w:rsidP="00081F23">
            <w:pPr>
              <w:ind w:firstLine="0"/>
              <w:rPr>
                <w:sz w:val="20"/>
              </w:rPr>
            </w:pPr>
            <w:r w:rsidRPr="00007A00">
              <w:rPr>
                <w:color w:val="000000"/>
                <w:sz w:val="20"/>
              </w:rPr>
              <w:t>-</w:t>
            </w:r>
          </w:p>
        </w:tc>
      </w:tr>
      <w:tr w:rsidR="0016084B" w:rsidRPr="00007A00" w14:paraId="0407CBF0" w14:textId="77777777" w:rsidTr="00F54895">
        <w:trPr>
          <w:trHeight w:val="300"/>
        </w:trPr>
        <w:tc>
          <w:tcPr>
            <w:tcW w:w="2268" w:type="dxa"/>
            <w:tcBorders>
              <w:top w:val="nil"/>
              <w:left w:val="nil"/>
              <w:bottom w:val="single" w:sz="4" w:space="0" w:color="auto"/>
              <w:right w:val="nil"/>
            </w:tcBorders>
            <w:shd w:val="clear" w:color="auto" w:fill="auto"/>
            <w:noWrap/>
            <w:vAlign w:val="bottom"/>
          </w:tcPr>
          <w:p w14:paraId="69DF2717" w14:textId="77777777" w:rsidR="0016084B" w:rsidRPr="00007A00" w:rsidRDefault="0016084B" w:rsidP="00081F23">
            <w:pPr>
              <w:ind w:firstLine="0"/>
              <w:rPr>
                <w:color w:val="000000"/>
                <w:sz w:val="20"/>
              </w:rPr>
            </w:pPr>
            <w:r w:rsidRPr="00007A00">
              <w:rPr>
                <w:color w:val="000000"/>
                <w:sz w:val="20"/>
              </w:rPr>
              <w:t>Hausman</w:t>
            </w:r>
          </w:p>
        </w:tc>
        <w:tc>
          <w:tcPr>
            <w:tcW w:w="860" w:type="dxa"/>
            <w:tcBorders>
              <w:top w:val="nil"/>
              <w:left w:val="nil"/>
              <w:bottom w:val="single" w:sz="4" w:space="0" w:color="auto"/>
              <w:right w:val="nil"/>
            </w:tcBorders>
            <w:shd w:val="clear" w:color="auto" w:fill="auto"/>
            <w:noWrap/>
            <w:vAlign w:val="bottom"/>
          </w:tcPr>
          <w:p w14:paraId="30EB7C4A" w14:textId="77777777" w:rsidR="0016084B" w:rsidRPr="00007A00" w:rsidRDefault="0016084B" w:rsidP="00081F23">
            <w:pPr>
              <w:ind w:firstLine="0"/>
              <w:rPr>
                <w:color w:val="000000"/>
                <w:sz w:val="20"/>
              </w:rPr>
            </w:pPr>
            <w:r w:rsidRPr="00007A00">
              <w:rPr>
                <w:color w:val="000000"/>
                <w:sz w:val="20"/>
              </w:rPr>
              <w:t>935,06</w:t>
            </w:r>
          </w:p>
        </w:tc>
        <w:tc>
          <w:tcPr>
            <w:tcW w:w="1125" w:type="dxa"/>
            <w:tcBorders>
              <w:top w:val="nil"/>
              <w:left w:val="nil"/>
              <w:bottom w:val="single" w:sz="4" w:space="0" w:color="auto"/>
              <w:right w:val="single" w:sz="4" w:space="0" w:color="auto"/>
            </w:tcBorders>
            <w:shd w:val="clear" w:color="auto" w:fill="auto"/>
            <w:noWrap/>
            <w:vAlign w:val="bottom"/>
          </w:tcPr>
          <w:p w14:paraId="550C020A" w14:textId="77777777" w:rsidR="0016084B" w:rsidRPr="00007A00" w:rsidRDefault="0016084B" w:rsidP="00081F23">
            <w:pPr>
              <w:ind w:firstLine="0"/>
              <w:rPr>
                <w:color w:val="000000"/>
                <w:sz w:val="20"/>
              </w:rPr>
            </w:pPr>
          </w:p>
        </w:tc>
        <w:tc>
          <w:tcPr>
            <w:tcW w:w="2126" w:type="dxa"/>
            <w:tcBorders>
              <w:top w:val="nil"/>
              <w:left w:val="single" w:sz="4" w:space="0" w:color="auto"/>
              <w:bottom w:val="single" w:sz="4" w:space="0" w:color="auto"/>
              <w:right w:val="nil"/>
            </w:tcBorders>
            <w:shd w:val="clear" w:color="auto" w:fill="auto"/>
            <w:noWrap/>
            <w:hideMark/>
          </w:tcPr>
          <w:p w14:paraId="48B72DB2" w14:textId="77777777" w:rsidR="0016084B" w:rsidRPr="00007A00" w:rsidRDefault="0016084B" w:rsidP="00081F23">
            <w:pPr>
              <w:ind w:firstLine="0"/>
              <w:rPr>
                <w:sz w:val="20"/>
              </w:rPr>
            </w:pPr>
            <w:r w:rsidRPr="00007A00">
              <w:rPr>
                <w:color w:val="000000"/>
                <w:sz w:val="20"/>
              </w:rPr>
              <w:t>-</w:t>
            </w:r>
          </w:p>
        </w:tc>
        <w:tc>
          <w:tcPr>
            <w:tcW w:w="1275" w:type="dxa"/>
            <w:tcBorders>
              <w:top w:val="nil"/>
              <w:left w:val="nil"/>
              <w:bottom w:val="single" w:sz="4" w:space="0" w:color="auto"/>
              <w:right w:val="nil"/>
            </w:tcBorders>
            <w:shd w:val="clear" w:color="auto" w:fill="auto"/>
            <w:noWrap/>
            <w:hideMark/>
          </w:tcPr>
          <w:p w14:paraId="3660ED5E" w14:textId="77777777" w:rsidR="0016084B" w:rsidRPr="00007A00" w:rsidRDefault="0016084B" w:rsidP="00081F23">
            <w:pPr>
              <w:ind w:firstLine="0"/>
              <w:rPr>
                <w:sz w:val="20"/>
              </w:rPr>
            </w:pPr>
            <w:r w:rsidRPr="00007A00">
              <w:rPr>
                <w:color w:val="000000"/>
                <w:sz w:val="20"/>
              </w:rPr>
              <w:t>-</w:t>
            </w:r>
          </w:p>
        </w:tc>
        <w:tc>
          <w:tcPr>
            <w:tcW w:w="1135" w:type="dxa"/>
            <w:tcBorders>
              <w:top w:val="nil"/>
              <w:left w:val="nil"/>
              <w:bottom w:val="single" w:sz="4" w:space="0" w:color="auto"/>
              <w:right w:val="nil"/>
            </w:tcBorders>
            <w:shd w:val="clear" w:color="auto" w:fill="auto"/>
            <w:noWrap/>
            <w:hideMark/>
          </w:tcPr>
          <w:p w14:paraId="3F7EF19C" w14:textId="77777777" w:rsidR="0016084B" w:rsidRPr="00007A00" w:rsidRDefault="0016084B" w:rsidP="00081F23">
            <w:pPr>
              <w:ind w:firstLine="0"/>
              <w:rPr>
                <w:sz w:val="20"/>
              </w:rPr>
            </w:pPr>
            <w:r w:rsidRPr="00007A00">
              <w:rPr>
                <w:color w:val="000000"/>
                <w:sz w:val="20"/>
              </w:rPr>
              <w:t>-</w:t>
            </w:r>
          </w:p>
        </w:tc>
      </w:tr>
    </w:tbl>
    <w:p w14:paraId="3A2756A2" w14:textId="77777777" w:rsidR="0016084B" w:rsidRPr="00007A00" w:rsidRDefault="0016084B" w:rsidP="00081F23">
      <w:pPr>
        <w:ind w:firstLine="0"/>
        <w:rPr>
          <w:sz w:val="20"/>
        </w:rPr>
      </w:pPr>
      <w:r w:rsidRPr="00007A00">
        <w:rPr>
          <w:sz w:val="20"/>
        </w:rPr>
        <w:t>Fonte: Elaboração própria</w:t>
      </w:r>
    </w:p>
    <w:p w14:paraId="12335148" w14:textId="77777777" w:rsidR="0016084B" w:rsidRPr="00007A00" w:rsidRDefault="0016084B" w:rsidP="0016084B"/>
    <w:p w14:paraId="55C1F51F" w14:textId="77777777" w:rsidR="0016084B" w:rsidRPr="00007A00" w:rsidRDefault="0016084B" w:rsidP="0016084B">
      <w:r w:rsidRPr="00007A00">
        <w:t>O modelo estimado indica que os municípios das regiões Sul e Sudeste apresentam as maiores taxas de convergência. Como os municípios destas regiões são conhecidos por apresentarem maior IGP, estes resultados apontam que eles tendem a convergir para a situação de baixo IGP observado para os municípios das demais regiões. Em outros termos, não são os municípios com piores indicadores de gasto com pessoal que estão buscando copiar as boas práticas e se aproximar dos municípios mais bem posicionados, mas o contrário. Portanto, os municípios com melhores práticas de gasto com pessoal estão copiando as práticas clientelistas e retrógadas adotadas pelos municípios com piores práticas. Este é um forte sinal de que a LRF não está conseguindo estimular os municípios a melhorarem melhores práticas de gestão.</w:t>
      </w:r>
    </w:p>
    <w:p w14:paraId="0CE5886C" w14:textId="77777777" w:rsidR="0016084B" w:rsidRPr="00007A00" w:rsidRDefault="0016084B" w:rsidP="0016084B">
      <w:r w:rsidRPr="00007A00">
        <w:t xml:space="preserve">A contratação de funcionários comissionados e o percentual de estatutários com ensino superior também resultam em maior convergência. Além da presença de uma renda mais elevada e uma estrutura produtiva mais sofisticada. Esses resultados corroboram o argumento de que a contratação de funcionários com fins clientelista e eleitoreiros; a presença de planos de progressão de carreira com base na qualificação e a maior arrecadação ajudam a explicar o </w:t>
      </w:r>
      <w:r w:rsidRPr="00007A00">
        <w:lastRenderedPageBreak/>
        <w:t>aumento no IGP.</w:t>
      </w:r>
    </w:p>
    <w:p w14:paraId="16A5CD95" w14:textId="77777777" w:rsidR="00D611F8" w:rsidRPr="00007A00" w:rsidRDefault="00D611F8" w:rsidP="0016084B">
      <w:pPr>
        <w:rPr>
          <w:color w:val="000000"/>
        </w:rPr>
      </w:pPr>
    </w:p>
    <w:p w14:paraId="4B873D27" w14:textId="7EF0D6A0" w:rsidR="0016084B" w:rsidRPr="00007A00" w:rsidRDefault="0016084B" w:rsidP="00081F23">
      <w:pPr>
        <w:ind w:firstLine="0"/>
        <w:rPr>
          <w:b/>
        </w:rPr>
      </w:pPr>
      <w:r w:rsidRPr="00007A00">
        <w:rPr>
          <w:b/>
        </w:rPr>
        <w:t>5 Considerações Finais</w:t>
      </w:r>
    </w:p>
    <w:p w14:paraId="1E41D29E" w14:textId="60835F6C" w:rsidR="0016084B" w:rsidRPr="00007A00" w:rsidRDefault="0016084B" w:rsidP="0016084B">
      <w:r w:rsidRPr="00007A00">
        <w:t xml:space="preserve">A Lei de Responsabilidade Fiscal (LRF) foi concebida com o objetivo de estabelecer diretrizes, limites e metas que deveriam garantir a saúde fiscal dos municípios brasileiros. Contudo, diversos autores defendem que os limites estabelecidos para o gasto com pessoal foram elevados, estimulando o aumento nas despesas totais com pessoal (DTP). Diante deste argumento, este artigo verificou o comportamento dos gastos com pessoal no período recente. Para tanto, utilizou-se de análise descritiva, modelo em painel e testes de convergência para identificar os fatores que influenciam no comportamento da DTP. </w:t>
      </w:r>
    </w:p>
    <w:p w14:paraId="5E39BBE2" w14:textId="77777777" w:rsidR="0016084B" w:rsidRPr="00007A00" w:rsidRDefault="0016084B" w:rsidP="0016084B">
      <w:r w:rsidRPr="00007A00">
        <w:t xml:space="preserve">A análise descritiva dos dados evidenciou a existência de uma tendência de maior comprometimento do orçamento dos municípios com gastos com pessoal, em detrimento dos investimentos. A ocorrência da crise econômica tornou evidente a alocação das receitas em rubricas que apresentam maior rigidez, o que levou a uma grave crise fiscal nos municípios, sendo este resultado corroborado pelo modelo estimado. </w:t>
      </w:r>
    </w:p>
    <w:p w14:paraId="67E9A7B0" w14:textId="77777777" w:rsidR="0016084B" w:rsidRPr="00007A00" w:rsidRDefault="0016084B" w:rsidP="0016084B">
      <w:r w:rsidRPr="00007A00">
        <w:t>Ademais, as estatísticas descritivas também mostraram que os municípios menores foram os que observaram maior crescimento no número de funcionários públicos. Essa variável apresentou crescimento superior à população para todas as classes de municípios, com destaque para a maior contratação de funcionários comissionados, o que corrobora o argumento de que aumentou a contratação de funcionários públicos no período.</w:t>
      </w:r>
    </w:p>
    <w:p w14:paraId="09D2FBEF" w14:textId="77777777" w:rsidR="0016084B" w:rsidRPr="00007A00" w:rsidRDefault="0016084B" w:rsidP="0016084B">
      <w:r w:rsidRPr="00007A00">
        <w:t>Os resultados encontrados para o modelo estimado mostraram que o perfil do gestor municipal não exerce influência elevada sobre as DTP. Assim, não há evidências de que a orientação política esteja correlacionada com os gastos com pessoal. Apenas o sexo (masculino) e a experiência do gestor (segundo mandato) resultaram em menor comprometimento do orçamento público com DTP.</w:t>
      </w:r>
    </w:p>
    <w:p w14:paraId="7E17B000" w14:textId="77777777" w:rsidR="0016084B" w:rsidRPr="00007A00" w:rsidRDefault="0016084B" w:rsidP="0016084B">
      <w:r w:rsidRPr="00007A00">
        <w:t xml:space="preserve">Por outro lado, a capacidade dos municípios em desenvolver burocracias estatais qualificadas resultou em maior comprometimento do orçamento com DTP. Este resultado indicou que os municípios lograram êxito em construir um corpo burocrático mais qualificado, o que impactou as DTP. Porém, acende um sinal de alerta, podendo indicar incentivo exagerado à qualificação dos servidores, o que, na ausência de evidências sobre os ganhos oriundos, pode resultar em uma oneração excessiva da folha salarial, sem necessariamente gerar ganhos para o município. </w:t>
      </w:r>
    </w:p>
    <w:p w14:paraId="6DC7E855" w14:textId="77777777" w:rsidR="0016084B" w:rsidRPr="00007A00" w:rsidRDefault="0016084B" w:rsidP="0016084B">
      <w:r w:rsidRPr="00007A00">
        <w:t xml:space="preserve">As variáveis econômicas relacionadas à ocorrência da crise econômica, estrutura produtiva, população, e centralidade espacial do município foram as que apresentaram maior </w:t>
      </w:r>
      <w:r w:rsidRPr="00007A00">
        <w:lastRenderedPageBreak/>
        <w:t>grau de significância. Os municípios centrais (urbanos e intermediários adjacentes), com níveis intermediários de renda per capita e menos populosos apresentaram maior comprometimento do seu orçamento com DTP. Por outro lado, os municípios mais populosos e mais estruturados em termos produtivos comprometem menor proporção do seu orçamento com DTP. Uma explicação factível se refere à capacidade de arrecadação, conforme demonstrado pelas estatísticas descritivas, os municípios maiores apresentam uma menor dependência das transferências das demais esferas da federação. A maior capacidade de arrecadação implica no comprometimento de uma menor proporção do orçamento com despesas de pessoal.</w:t>
      </w:r>
    </w:p>
    <w:p w14:paraId="2928FA4B" w14:textId="77777777" w:rsidR="0016084B" w:rsidRPr="00007A00" w:rsidRDefault="0016084B" w:rsidP="0016084B">
      <w:r w:rsidRPr="00007A00">
        <w:t>Por fim, os testes de convergência indicaram, em sua maioria, que os gastos dos municípios estão convergindo para o teto da LRF. Em suma, a contratação de funcionários com fins clientelista e eleitoreiros, a presença de planos de progressão de carreira com base na qualificação e a maior arrecadação ajudam a explicar o aumento no IGP.</w:t>
      </w:r>
    </w:p>
    <w:p w14:paraId="2416DB00" w14:textId="77777777" w:rsidR="0016084B" w:rsidRPr="00007A00" w:rsidRDefault="0016084B" w:rsidP="0016084B"/>
    <w:p w14:paraId="155774FB" w14:textId="77777777" w:rsidR="00081F23" w:rsidRDefault="00081F23" w:rsidP="0016084B">
      <w:pPr>
        <w:spacing w:line="360" w:lineRule="auto"/>
        <w:rPr>
          <w:b/>
        </w:rPr>
      </w:pPr>
    </w:p>
    <w:p w14:paraId="1BDC5AFB" w14:textId="4B22E928" w:rsidR="0016084B" w:rsidRPr="00007A00" w:rsidRDefault="0016084B" w:rsidP="00081F23">
      <w:pPr>
        <w:spacing w:line="360" w:lineRule="auto"/>
        <w:ind w:firstLine="0"/>
        <w:rPr>
          <w:b/>
        </w:rPr>
      </w:pPr>
      <w:r w:rsidRPr="00007A00">
        <w:rPr>
          <w:b/>
        </w:rPr>
        <w:t>Referências</w:t>
      </w:r>
    </w:p>
    <w:p w14:paraId="6F9B09B3" w14:textId="4CDBAA65" w:rsidR="0016084B" w:rsidRPr="00007A00" w:rsidRDefault="0016084B" w:rsidP="00081F23">
      <w:pPr>
        <w:ind w:firstLine="0"/>
      </w:pPr>
      <w:r w:rsidRPr="00007A00">
        <w:rPr>
          <w:color w:val="222222"/>
          <w:shd w:val="clear" w:color="auto" w:fill="FFFFFF"/>
        </w:rPr>
        <w:t xml:space="preserve">ARANHA, M. T. </w:t>
      </w:r>
      <w:r w:rsidR="003041AE">
        <w:rPr>
          <w:color w:val="222222"/>
          <w:shd w:val="clear" w:color="auto" w:fill="FFFFFF"/>
        </w:rPr>
        <w:t>(</w:t>
      </w:r>
      <w:r w:rsidR="003041AE" w:rsidRPr="00007A00">
        <w:rPr>
          <w:color w:val="222222"/>
          <w:shd w:val="clear" w:color="auto" w:fill="FFFFFF"/>
        </w:rPr>
        <w:t>2018</w:t>
      </w:r>
      <w:r w:rsidR="003041AE">
        <w:rPr>
          <w:color w:val="222222"/>
          <w:shd w:val="clear" w:color="auto" w:fill="FFFFFF"/>
        </w:rPr>
        <w:t xml:space="preserve">). </w:t>
      </w:r>
      <w:r w:rsidRPr="003041AE">
        <w:rPr>
          <w:bCs/>
          <w:i/>
          <w:iCs/>
          <w:color w:val="222222"/>
          <w:shd w:val="clear" w:color="auto" w:fill="FFFFFF"/>
        </w:rPr>
        <w:t>A responsabilização do administrador público municipal no controle da despesa com pessoal.</w:t>
      </w:r>
      <w:r w:rsidRPr="00007A00">
        <w:rPr>
          <w:color w:val="222222"/>
          <w:shd w:val="clear" w:color="auto" w:fill="FFFFFF"/>
        </w:rPr>
        <w:t> </w:t>
      </w:r>
      <w:r w:rsidRPr="00007A00">
        <w:rPr>
          <w:bCs/>
          <w:color w:val="222222"/>
          <w:shd w:val="clear" w:color="auto" w:fill="FFFFFF"/>
        </w:rPr>
        <w:t>Anais do VIII Simpósio Internacional de Análise Crítica do Direito</w:t>
      </w:r>
      <w:r w:rsidRPr="00007A00">
        <w:rPr>
          <w:color w:val="222222"/>
          <w:shd w:val="clear" w:color="auto" w:fill="FFFFFF"/>
        </w:rPr>
        <w:t>.</w:t>
      </w:r>
    </w:p>
    <w:p w14:paraId="29D012E9" w14:textId="2224B58B" w:rsidR="0016084B" w:rsidRPr="00007A00" w:rsidRDefault="0016084B" w:rsidP="00081F23">
      <w:pPr>
        <w:ind w:firstLine="0"/>
      </w:pPr>
      <w:r w:rsidRPr="00007A00">
        <w:t xml:space="preserve">ASAZU, C. Y. </w:t>
      </w:r>
      <w:r w:rsidR="003041AE">
        <w:t>(</w:t>
      </w:r>
      <w:r w:rsidR="003041AE" w:rsidRPr="00007A00">
        <w:t>2003</w:t>
      </w:r>
      <w:r w:rsidR="003041AE" w:rsidRPr="003041AE">
        <w:rPr>
          <w:i/>
          <w:iCs/>
        </w:rPr>
        <w:t xml:space="preserve">). </w:t>
      </w:r>
      <w:r w:rsidRPr="003041AE">
        <w:rPr>
          <w:i/>
          <w:iCs/>
        </w:rPr>
        <w:t>Os caminhos da lei de responsabilidade fiscal (LRF): instituições, ideias e incrementalismo.</w:t>
      </w:r>
      <w:r w:rsidRPr="00007A00">
        <w:t xml:space="preserve"> (Tese de doutorado) - FGV. </w:t>
      </w:r>
    </w:p>
    <w:p w14:paraId="2E724A4A" w14:textId="75554898" w:rsidR="0016084B" w:rsidRPr="00007A00" w:rsidRDefault="0016084B" w:rsidP="00081F23">
      <w:pPr>
        <w:ind w:firstLine="0"/>
        <w:rPr>
          <w:color w:val="222222"/>
          <w:shd w:val="clear" w:color="auto" w:fill="FFFFFF"/>
          <w:lang w:val="en-US"/>
        </w:rPr>
      </w:pPr>
      <w:r w:rsidRPr="00007A00">
        <w:rPr>
          <w:color w:val="222222"/>
          <w:shd w:val="clear" w:color="auto" w:fill="FFFFFF"/>
        </w:rPr>
        <w:t xml:space="preserve">BARRO, R. J.; SALA-I-MARTIN, X. </w:t>
      </w:r>
      <w:r w:rsidR="003041AE">
        <w:rPr>
          <w:color w:val="222222"/>
          <w:shd w:val="clear" w:color="auto" w:fill="FFFFFF"/>
        </w:rPr>
        <w:t>(</w:t>
      </w:r>
      <w:r w:rsidR="003041AE" w:rsidRPr="003041AE">
        <w:rPr>
          <w:color w:val="222222"/>
          <w:shd w:val="clear" w:color="auto" w:fill="FFFFFF"/>
        </w:rPr>
        <w:t>1992)</w:t>
      </w:r>
      <w:r w:rsidR="003041AE">
        <w:rPr>
          <w:color w:val="222222"/>
          <w:shd w:val="clear" w:color="auto" w:fill="FFFFFF"/>
        </w:rPr>
        <w:t>.</w:t>
      </w:r>
      <w:r w:rsidR="003041AE" w:rsidRPr="003041AE">
        <w:rPr>
          <w:color w:val="222222"/>
          <w:shd w:val="clear" w:color="auto" w:fill="FFFFFF"/>
        </w:rPr>
        <w:t xml:space="preserve"> </w:t>
      </w:r>
      <w:r w:rsidRPr="003041AE">
        <w:rPr>
          <w:bCs/>
          <w:i/>
          <w:iCs/>
          <w:color w:val="222222"/>
          <w:shd w:val="clear" w:color="auto" w:fill="FFFFFF"/>
        </w:rPr>
        <w:t>Convergence.</w:t>
      </w:r>
      <w:r w:rsidRPr="00007A00">
        <w:rPr>
          <w:color w:val="222222"/>
          <w:shd w:val="clear" w:color="auto" w:fill="FFFFFF"/>
        </w:rPr>
        <w:t> </w:t>
      </w:r>
      <w:r w:rsidRPr="00007A00">
        <w:rPr>
          <w:bCs/>
          <w:color w:val="222222"/>
          <w:shd w:val="clear" w:color="auto" w:fill="FFFFFF"/>
          <w:lang w:val="en-US"/>
        </w:rPr>
        <w:t>Journal of political Economy</w:t>
      </w:r>
      <w:r w:rsidRPr="00007A00">
        <w:rPr>
          <w:color w:val="222222"/>
          <w:shd w:val="clear" w:color="auto" w:fill="FFFFFF"/>
          <w:lang w:val="en-US"/>
        </w:rPr>
        <w:t>, v. 100, n. 2, p. 223-251.</w:t>
      </w:r>
    </w:p>
    <w:p w14:paraId="7198C3F5" w14:textId="63CEEAC6" w:rsidR="0016084B" w:rsidRPr="00007A00" w:rsidRDefault="0016084B" w:rsidP="00081F23">
      <w:pPr>
        <w:ind w:firstLine="0"/>
      </w:pPr>
      <w:r w:rsidRPr="00007A00">
        <w:rPr>
          <w:color w:val="222222"/>
          <w:shd w:val="clear" w:color="auto" w:fill="FFFFFF"/>
        </w:rPr>
        <w:t xml:space="preserve">BARROS, G. F.; GOMES, L. S. </w:t>
      </w:r>
      <w:r w:rsidR="003041AE">
        <w:rPr>
          <w:color w:val="222222"/>
          <w:shd w:val="clear" w:color="auto" w:fill="FFFFFF"/>
        </w:rPr>
        <w:t>(</w:t>
      </w:r>
      <w:r w:rsidR="003041AE" w:rsidRPr="00007A00">
        <w:rPr>
          <w:color w:val="222222"/>
          <w:shd w:val="clear" w:color="auto" w:fill="FFFFFF"/>
        </w:rPr>
        <w:t>2018</w:t>
      </w:r>
      <w:r w:rsidR="003041AE">
        <w:rPr>
          <w:color w:val="222222"/>
          <w:shd w:val="clear" w:color="auto" w:fill="FFFFFF"/>
        </w:rPr>
        <w:t xml:space="preserve">). </w:t>
      </w:r>
      <w:r w:rsidRPr="003041AE">
        <w:rPr>
          <w:bCs/>
          <w:i/>
          <w:iCs/>
          <w:color w:val="222222"/>
          <w:shd w:val="clear" w:color="auto" w:fill="FFFFFF"/>
        </w:rPr>
        <w:t>Os impactos da lei de responsabilidade fiscal nos municípios do Vale do Mucuri: um estudo aplicado a dados em painel.</w:t>
      </w:r>
      <w:r w:rsidRPr="00007A00">
        <w:rPr>
          <w:color w:val="222222"/>
          <w:shd w:val="clear" w:color="auto" w:fill="FFFFFF"/>
        </w:rPr>
        <w:t> </w:t>
      </w:r>
      <w:r w:rsidRPr="00007A00">
        <w:rPr>
          <w:bCs/>
          <w:color w:val="222222"/>
          <w:shd w:val="clear" w:color="auto" w:fill="FFFFFF"/>
        </w:rPr>
        <w:t>Revista da Faculdade de Administração e Economia</w:t>
      </w:r>
      <w:r w:rsidRPr="00007A00">
        <w:rPr>
          <w:color w:val="222222"/>
          <w:shd w:val="clear" w:color="auto" w:fill="FFFFFF"/>
        </w:rPr>
        <w:t>, v. 9, n. 2, p. 150-165.</w:t>
      </w:r>
    </w:p>
    <w:p w14:paraId="0CA28E5C" w14:textId="14119C01" w:rsidR="0016084B" w:rsidRPr="00007A00" w:rsidRDefault="0016084B" w:rsidP="00081F23">
      <w:pPr>
        <w:autoSpaceDE w:val="0"/>
        <w:autoSpaceDN w:val="0"/>
        <w:adjustRightInd w:val="0"/>
        <w:ind w:firstLine="0"/>
        <w:rPr>
          <w:rFonts w:eastAsiaTheme="minorHAnsi"/>
          <w:lang w:val="en-US"/>
        </w:rPr>
      </w:pPr>
      <w:r w:rsidRPr="00007A00">
        <w:rPr>
          <w:rFonts w:eastAsiaTheme="minorHAnsi"/>
          <w:lang w:val="en-US"/>
        </w:rPr>
        <w:t xml:space="preserve">BAUMOL, W. J. </w:t>
      </w:r>
      <w:r w:rsidR="003041AE">
        <w:rPr>
          <w:rFonts w:eastAsiaTheme="minorHAnsi"/>
          <w:lang w:val="en-US"/>
        </w:rPr>
        <w:t>(</w:t>
      </w:r>
      <w:r w:rsidR="003041AE" w:rsidRPr="00007A00">
        <w:rPr>
          <w:rFonts w:eastAsiaTheme="minorHAnsi"/>
          <w:lang w:val="en-US"/>
        </w:rPr>
        <w:t>1986</w:t>
      </w:r>
      <w:r w:rsidR="003041AE">
        <w:rPr>
          <w:rFonts w:eastAsiaTheme="minorHAnsi"/>
          <w:lang w:val="en-US"/>
        </w:rPr>
        <w:t xml:space="preserve">). </w:t>
      </w:r>
      <w:r w:rsidRPr="003041AE">
        <w:rPr>
          <w:rFonts w:eastAsiaTheme="minorHAnsi"/>
          <w:bCs/>
          <w:i/>
          <w:iCs/>
          <w:lang w:val="en-US"/>
        </w:rPr>
        <w:t>Productivity growth, convergency, and welfare: What the long-run show.</w:t>
      </w:r>
      <w:r w:rsidRPr="00007A00">
        <w:rPr>
          <w:rFonts w:eastAsiaTheme="minorHAnsi"/>
          <w:lang w:val="en-US"/>
        </w:rPr>
        <w:t xml:space="preserve"> </w:t>
      </w:r>
      <w:r w:rsidRPr="00007A00">
        <w:rPr>
          <w:rFonts w:eastAsiaTheme="minorHAnsi"/>
          <w:bCs/>
          <w:lang w:val="en-US"/>
        </w:rPr>
        <w:t>American Economic Review</w:t>
      </w:r>
      <w:r w:rsidRPr="00007A00">
        <w:rPr>
          <w:rFonts w:eastAsiaTheme="minorHAnsi"/>
          <w:lang w:val="en-US"/>
        </w:rPr>
        <w:t>, v. 76, n. 5, p. 1072-85.</w:t>
      </w:r>
    </w:p>
    <w:p w14:paraId="533C18BE" w14:textId="029A7F53" w:rsidR="0016084B" w:rsidRPr="00007A00" w:rsidRDefault="0016084B" w:rsidP="00081F23">
      <w:pPr>
        <w:ind w:firstLine="0"/>
        <w:rPr>
          <w:rFonts w:eastAsiaTheme="minorHAnsi"/>
          <w:lang w:val="en-US"/>
        </w:rPr>
      </w:pPr>
      <w:r w:rsidRPr="003041AE">
        <w:rPr>
          <w:color w:val="222222"/>
          <w:shd w:val="clear" w:color="auto" w:fill="FFFFFF"/>
        </w:rPr>
        <w:t xml:space="preserve">BERNARD, A. B.; DURLAUF, S. N. </w:t>
      </w:r>
      <w:r w:rsidR="003041AE" w:rsidRPr="003041AE">
        <w:rPr>
          <w:color w:val="222222"/>
          <w:shd w:val="clear" w:color="auto" w:fill="FFFFFF"/>
        </w:rPr>
        <w:t xml:space="preserve">(1995). </w:t>
      </w:r>
      <w:r w:rsidRPr="003041AE">
        <w:rPr>
          <w:bCs/>
          <w:i/>
          <w:iCs/>
          <w:color w:val="222222"/>
          <w:shd w:val="clear" w:color="auto" w:fill="FFFFFF"/>
          <w:lang w:val="en-US"/>
        </w:rPr>
        <w:t>Convergence in international output.</w:t>
      </w:r>
      <w:r w:rsidRPr="00007A00">
        <w:rPr>
          <w:color w:val="222222"/>
          <w:shd w:val="clear" w:color="auto" w:fill="FFFFFF"/>
          <w:lang w:val="en-US"/>
        </w:rPr>
        <w:t> </w:t>
      </w:r>
      <w:r w:rsidRPr="00007A00">
        <w:rPr>
          <w:bCs/>
          <w:color w:val="222222"/>
          <w:shd w:val="clear" w:color="auto" w:fill="FFFFFF"/>
          <w:lang w:val="en-US"/>
        </w:rPr>
        <w:t>Journal of applied econometrics</w:t>
      </w:r>
      <w:r w:rsidRPr="00007A00">
        <w:rPr>
          <w:color w:val="222222"/>
          <w:shd w:val="clear" w:color="auto" w:fill="FFFFFF"/>
          <w:lang w:val="en-US"/>
        </w:rPr>
        <w:t>, v. 10, n. 2, p. 97-108.</w:t>
      </w:r>
    </w:p>
    <w:p w14:paraId="438E0924" w14:textId="7C134606" w:rsidR="0016084B" w:rsidRPr="00007A00" w:rsidRDefault="0016084B" w:rsidP="00081F23">
      <w:pPr>
        <w:ind w:firstLine="0"/>
        <w:rPr>
          <w:bCs/>
          <w:color w:val="222222"/>
          <w:shd w:val="clear" w:color="auto" w:fill="FFFFFF"/>
        </w:rPr>
      </w:pPr>
      <w:r w:rsidRPr="00007A00">
        <w:rPr>
          <w:bCs/>
          <w:color w:val="222222"/>
          <w:shd w:val="clear" w:color="auto" w:fill="FFFFFF"/>
          <w:lang w:val="en-US"/>
        </w:rPr>
        <w:t>BRASIL.</w:t>
      </w:r>
      <w:r w:rsidR="003041AE">
        <w:rPr>
          <w:bCs/>
          <w:color w:val="222222"/>
          <w:shd w:val="clear" w:color="auto" w:fill="FFFFFF"/>
          <w:lang w:val="en-US"/>
        </w:rPr>
        <w:t xml:space="preserve"> (</w:t>
      </w:r>
      <w:r w:rsidR="003041AE" w:rsidRPr="00007A00">
        <w:rPr>
          <w:color w:val="222222"/>
          <w:shd w:val="clear" w:color="auto" w:fill="FFFFFF"/>
        </w:rPr>
        <w:t>2018</w:t>
      </w:r>
      <w:r w:rsidR="003041AE">
        <w:rPr>
          <w:color w:val="222222"/>
          <w:shd w:val="clear" w:color="auto" w:fill="FFFFFF"/>
        </w:rPr>
        <w:t>).</w:t>
      </w:r>
      <w:r w:rsidRPr="00007A00">
        <w:rPr>
          <w:bCs/>
          <w:color w:val="222222"/>
          <w:shd w:val="clear" w:color="auto" w:fill="FFFFFF"/>
          <w:lang w:val="en-US"/>
        </w:rPr>
        <w:t xml:space="preserve"> </w:t>
      </w:r>
      <w:r w:rsidRPr="003041AE">
        <w:rPr>
          <w:i/>
          <w:iCs/>
          <w:color w:val="222222"/>
          <w:shd w:val="clear" w:color="auto" w:fill="FFFFFF"/>
          <w:lang w:val="en-US"/>
        </w:rPr>
        <w:t>Lei Complementar 1.649</w:t>
      </w:r>
      <w:r w:rsidRPr="00007A00">
        <w:rPr>
          <w:bCs/>
          <w:color w:val="222222"/>
          <w:shd w:val="clear" w:color="auto" w:fill="FFFFFF"/>
        </w:rPr>
        <w:t>.</w:t>
      </w:r>
    </w:p>
    <w:p w14:paraId="3B0174EF" w14:textId="0A726133" w:rsidR="0016084B" w:rsidRPr="00007A00" w:rsidRDefault="0016084B" w:rsidP="00081F23">
      <w:pPr>
        <w:ind w:firstLine="0"/>
        <w:rPr>
          <w:bCs/>
          <w:color w:val="222222"/>
          <w:shd w:val="clear" w:color="auto" w:fill="FFFFFF"/>
        </w:rPr>
      </w:pPr>
      <w:r w:rsidRPr="00007A00">
        <w:rPr>
          <w:bCs/>
          <w:color w:val="222222"/>
          <w:shd w:val="clear" w:color="auto" w:fill="FFFFFF"/>
        </w:rPr>
        <w:t>BRASIL.  </w:t>
      </w:r>
      <w:r w:rsidR="003041AE">
        <w:rPr>
          <w:bCs/>
          <w:color w:val="222222"/>
          <w:shd w:val="clear" w:color="auto" w:fill="FFFFFF"/>
        </w:rPr>
        <w:t>(</w:t>
      </w:r>
      <w:r w:rsidR="003041AE" w:rsidRPr="00007A00">
        <w:rPr>
          <w:color w:val="222222"/>
          <w:shd w:val="clear" w:color="auto" w:fill="FFFFFF"/>
        </w:rPr>
        <w:t>2016</w:t>
      </w:r>
      <w:r w:rsidR="003041AE">
        <w:rPr>
          <w:color w:val="222222"/>
          <w:shd w:val="clear" w:color="auto" w:fill="FFFFFF"/>
        </w:rPr>
        <w:t xml:space="preserve">). </w:t>
      </w:r>
      <w:r w:rsidRPr="003041AE">
        <w:rPr>
          <w:i/>
          <w:iCs/>
          <w:color w:val="222222"/>
          <w:shd w:val="clear" w:color="auto" w:fill="FFFFFF"/>
        </w:rPr>
        <w:t>Lei Complementar 156</w:t>
      </w:r>
      <w:r w:rsidRPr="00007A00">
        <w:rPr>
          <w:bCs/>
          <w:color w:val="222222"/>
          <w:shd w:val="clear" w:color="auto" w:fill="FFFFFF"/>
        </w:rPr>
        <w:t>.</w:t>
      </w:r>
    </w:p>
    <w:p w14:paraId="41EFB9E9" w14:textId="6107A63C" w:rsidR="0016084B" w:rsidRPr="00007A00" w:rsidRDefault="0016084B" w:rsidP="00081F23">
      <w:pPr>
        <w:ind w:firstLine="0"/>
      </w:pPr>
      <w:r w:rsidRPr="00007A00">
        <w:t>BRASIL.</w:t>
      </w:r>
      <w:r w:rsidR="003041AE">
        <w:t xml:space="preserve"> (</w:t>
      </w:r>
      <w:r w:rsidR="003041AE" w:rsidRPr="00007A00">
        <w:t>2000</w:t>
      </w:r>
      <w:r w:rsidR="003041AE">
        <w:t>).</w:t>
      </w:r>
      <w:r w:rsidRPr="00007A00">
        <w:t xml:space="preserve"> </w:t>
      </w:r>
      <w:r w:rsidRPr="003041AE">
        <w:rPr>
          <w:i/>
          <w:iCs/>
        </w:rPr>
        <w:t>Lei Complementar nº. 101, de 4 maio 2000.</w:t>
      </w:r>
      <w:r w:rsidRPr="00007A00">
        <w:t xml:space="preserve"> Diário Oficial da República Federativa do Brasil, Brasília, 05 maio de 2000.</w:t>
      </w:r>
    </w:p>
    <w:p w14:paraId="24BBE541" w14:textId="7D813B49" w:rsidR="0016084B" w:rsidRPr="003041AE" w:rsidRDefault="0016084B" w:rsidP="00081F23">
      <w:pPr>
        <w:ind w:firstLine="0"/>
        <w:rPr>
          <w:color w:val="222222"/>
          <w:shd w:val="clear" w:color="auto" w:fill="FFFFFF"/>
          <w:lang w:val="en-US"/>
        </w:rPr>
      </w:pPr>
      <w:r w:rsidRPr="00007A00">
        <w:rPr>
          <w:color w:val="222222"/>
          <w:shd w:val="clear" w:color="auto" w:fill="FFFFFF"/>
          <w:lang w:val="en-US"/>
        </w:rPr>
        <w:t xml:space="preserve">CAMARERO, M. et al. </w:t>
      </w:r>
      <w:r w:rsidR="003041AE">
        <w:rPr>
          <w:color w:val="222222"/>
          <w:shd w:val="clear" w:color="auto" w:fill="FFFFFF"/>
          <w:lang w:val="en-US"/>
        </w:rPr>
        <w:t>(</w:t>
      </w:r>
      <w:r w:rsidR="003041AE" w:rsidRPr="003041AE">
        <w:rPr>
          <w:color w:val="222222"/>
          <w:shd w:val="clear" w:color="auto" w:fill="FFFFFF"/>
          <w:lang w:val="en-US"/>
        </w:rPr>
        <w:t>2013)</w:t>
      </w:r>
      <w:r w:rsidR="003041AE">
        <w:rPr>
          <w:color w:val="222222"/>
          <w:shd w:val="clear" w:color="auto" w:fill="FFFFFF"/>
          <w:lang w:val="en-US"/>
        </w:rPr>
        <w:t>.</w:t>
      </w:r>
      <w:r w:rsidR="003041AE" w:rsidRPr="003041AE">
        <w:rPr>
          <w:color w:val="222222"/>
          <w:shd w:val="clear" w:color="auto" w:fill="FFFFFF"/>
          <w:lang w:val="en-US"/>
        </w:rPr>
        <w:t xml:space="preserve"> </w:t>
      </w:r>
      <w:r w:rsidRPr="003041AE">
        <w:rPr>
          <w:bCs/>
          <w:i/>
          <w:iCs/>
          <w:color w:val="222222"/>
          <w:shd w:val="clear" w:color="auto" w:fill="FFFFFF"/>
          <w:lang w:val="en-US"/>
        </w:rPr>
        <w:t>Eco-efficiency and convergence in OECD countries.</w:t>
      </w:r>
      <w:r w:rsidRPr="00007A00">
        <w:rPr>
          <w:color w:val="222222"/>
          <w:shd w:val="clear" w:color="auto" w:fill="FFFFFF"/>
          <w:lang w:val="en-US"/>
        </w:rPr>
        <w:t> </w:t>
      </w:r>
      <w:r w:rsidRPr="003041AE">
        <w:rPr>
          <w:bCs/>
          <w:color w:val="222222"/>
          <w:shd w:val="clear" w:color="auto" w:fill="FFFFFF"/>
          <w:lang w:val="en-US"/>
        </w:rPr>
        <w:t>Environmental and Resource Economics</w:t>
      </w:r>
      <w:r w:rsidRPr="003041AE">
        <w:rPr>
          <w:color w:val="222222"/>
          <w:shd w:val="clear" w:color="auto" w:fill="FFFFFF"/>
          <w:lang w:val="en-US"/>
        </w:rPr>
        <w:t>, v. 55, n. 1, p. 87-106.</w:t>
      </w:r>
    </w:p>
    <w:p w14:paraId="5756BEA3" w14:textId="61CC6A83" w:rsidR="0016084B" w:rsidRPr="00007A00" w:rsidRDefault="0016084B" w:rsidP="00081F23">
      <w:pPr>
        <w:ind w:firstLine="0"/>
        <w:rPr>
          <w:color w:val="222222"/>
          <w:shd w:val="clear" w:color="auto" w:fill="FFFFFF"/>
        </w:rPr>
      </w:pPr>
      <w:r w:rsidRPr="00007A00">
        <w:rPr>
          <w:color w:val="222222"/>
          <w:shd w:val="clear" w:color="auto" w:fill="FFFFFF"/>
        </w:rPr>
        <w:t xml:space="preserve">DA SILVA DUTRA, M. P.; PAGNUSSAT, A. </w:t>
      </w:r>
      <w:r w:rsidR="003041AE">
        <w:rPr>
          <w:color w:val="222222"/>
          <w:shd w:val="clear" w:color="auto" w:fill="FFFFFF"/>
        </w:rPr>
        <w:t>(</w:t>
      </w:r>
      <w:r w:rsidR="003041AE" w:rsidRPr="00007A00">
        <w:rPr>
          <w:color w:val="222222"/>
          <w:shd w:val="clear" w:color="auto" w:fill="FFFFFF"/>
        </w:rPr>
        <w:t>2018</w:t>
      </w:r>
      <w:r w:rsidR="003041AE">
        <w:rPr>
          <w:color w:val="222222"/>
          <w:shd w:val="clear" w:color="auto" w:fill="FFFFFF"/>
        </w:rPr>
        <w:t xml:space="preserve">). </w:t>
      </w:r>
      <w:r w:rsidRPr="003041AE">
        <w:rPr>
          <w:bCs/>
          <w:i/>
          <w:iCs/>
          <w:color w:val="222222"/>
          <w:shd w:val="clear" w:color="auto" w:fill="FFFFFF"/>
        </w:rPr>
        <w:t>Lei de Responsabilidade Fiscal e o impacto das despesas com pessoal: Análise dos dados da Prefeitura Municipal de Juína-MT</w:t>
      </w:r>
      <w:r w:rsidRPr="00007A00">
        <w:rPr>
          <w:color w:val="222222"/>
          <w:shd w:val="clear" w:color="auto" w:fill="FFFFFF"/>
        </w:rPr>
        <w:t>. </w:t>
      </w:r>
      <w:r w:rsidRPr="00007A00">
        <w:rPr>
          <w:bCs/>
          <w:color w:val="222222"/>
          <w:shd w:val="clear" w:color="auto" w:fill="FFFFFF"/>
        </w:rPr>
        <w:t>Revista Científica da Ajes</w:t>
      </w:r>
      <w:r w:rsidRPr="00007A00">
        <w:rPr>
          <w:color w:val="222222"/>
          <w:shd w:val="clear" w:color="auto" w:fill="FFFFFF"/>
        </w:rPr>
        <w:t xml:space="preserve">, v. 7, n. 14. </w:t>
      </w:r>
    </w:p>
    <w:p w14:paraId="35DC4CC1" w14:textId="7A1EFB54" w:rsidR="0016084B" w:rsidRPr="003041AE" w:rsidRDefault="0016084B" w:rsidP="00081F23">
      <w:pPr>
        <w:ind w:firstLine="0"/>
      </w:pPr>
      <w:r w:rsidRPr="00007A00">
        <w:t xml:space="preserve">DO COUTO, T. E.; GOULARTE, J. L. L. </w:t>
      </w:r>
      <w:r w:rsidR="003041AE">
        <w:t>(</w:t>
      </w:r>
      <w:r w:rsidR="003041AE" w:rsidRPr="003041AE">
        <w:t>2019</w:t>
      </w:r>
      <w:r w:rsidR="003041AE">
        <w:t xml:space="preserve">). </w:t>
      </w:r>
      <w:r w:rsidRPr="003041AE">
        <w:rPr>
          <w:bCs/>
          <w:i/>
          <w:iCs/>
        </w:rPr>
        <w:t>O Impacto da Lei de Responsabilidade Fiscal sobre a Gestão da Despesa com Pessoal: um estudo de caso no Município de Vale Verde, RS.</w:t>
      </w:r>
      <w:r w:rsidRPr="00007A00">
        <w:t> </w:t>
      </w:r>
      <w:r w:rsidRPr="003041AE">
        <w:t>RAGC, v. 7, n. 27.</w:t>
      </w:r>
    </w:p>
    <w:p w14:paraId="5F796446" w14:textId="119CBA42" w:rsidR="0016084B" w:rsidRPr="003041AE" w:rsidRDefault="0016084B" w:rsidP="00081F23">
      <w:pPr>
        <w:ind w:firstLine="0"/>
        <w:rPr>
          <w:lang w:val="en-US"/>
        </w:rPr>
      </w:pPr>
      <w:r w:rsidRPr="00007A00">
        <w:rPr>
          <w:lang w:val="en-US"/>
        </w:rPr>
        <w:t xml:space="preserve">DU, Kerui. </w:t>
      </w:r>
      <w:r w:rsidR="003041AE">
        <w:rPr>
          <w:lang w:val="en-US"/>
        </w:rPr>
        <w:t>(</w:t>
      </w:r>
      <w:r w:rsidR="003041AE" w:rsidRPr="003041AE">
        <w:rPr>
          <w:lang w:val="en-US"/>
        </w:rPr>
        <w:t>2017</w:t>
      </w:r>
      <w:r w:rsidR="003041AE">
        <w:rPr>
          <w:lang w:val="en-US"/>
        </w:rPr>
        <w:t xml:space="preserve">). </w:t>
      </w:r>
      <w:r w:rsidRPr="003041AE">
        <w:rPr>
          <w:bCs/>
          <w:i/>
          <w:iCs/>
          <w:lang w:val="en-US"/>
        </w:rPr>
        <w:t>Econometric convergence test and club clustering using Stata.</w:t>
      </w:r>
      <w:r w:rsidRPr="00007A00">
        <w:rPr>
          <w:lang w:val="en-US"/>
        </w:rPr>
        <w:t xml:space="preserve"> </w:t>
      </w:r>
      <w:r w:rsidRPr="003041AE">
        <w:rPr>
          <w:bCs/>
          <w:lang w:val="en-US"/>
        </w:rPr>
        <w:t>The Stata Journal</w:t>
      </w:r>
      <w:r w:rsidRPr="003041AE">
        <w:rPr>
          <w:lang w:val="en-US"/>
        </w:rPr>
        <w:t>, v. 17, n. 4, p. 882-900.</w:t>
      </w:r>
    </w:p>
    <w:p w14:paraId="4F08BB4E" w14:textId="44A22974" w:rsidR="0016084B" w:rsidRPr="00007A00" w:rsidRDefault="0016084B" w:rsidP="00081F23">
      <w:pPr>
        <w:ind w:firstLine="0"/>
      </w:pPr>
      <w:r w:rsidRPr="00007A00">
        <w:t xml:space="preserve">FIRJAN. </w:t>
      </w:r>
      <w:r w:rsidR="003041AE">
        <w:t>(</w:t>
      </w:r>
      <w:r w:rsidR="003041AE" w:rsidRPr="00007A00">
        <w:t>2017</w:t>
      </w:r>
      <w:r w:rsidR="003041AE">
        <w:t xml:space="preserve">). </w:t>
      </w:r>
      <w:r w:rsidRPr="003041AE">
        <w:rPr>
          <w:i/>
          <w:iCs/>
        </w:rPr>
        <w:t>Índice FIRJAN de gestão fiscal: Ano-Base 2016.</w:t>
      </w:r>
      <w:r w:rsidRPr="00007A00">
        <w:rPr>
          <w:bCs/>
        </w:rPr>
        <w:t xml:space="preserve"> FIRJAN</w:t>
      </w:r>
      <w:r w:rsidRPr="00007A00">
        <w:t>.</w:t>
      </w:r>
    </w:p>
    <w:p w14:paraId="1D066C11" w14:textId="1C1D18D1" w:rsidR="0016084B" w:rsidRPr="00007A00" w:rsidRDefault="0016084B" w:rsidP="00081F23">
      <w:pPr>
        <w:ind w:firstLine="0"/>
      </w:pPr>
      <w:r w:rsidRPr="00007A00">
        <w:t xml:space="preserve">GIAMBIAGI, F.; ALÉM, A. C. </w:t>
      </w:r>
      <w:r w:rsidR="003041AE">
        <w:t>(</w:t>
      </w:r>
      <w:r w:rsidR="003041AE" w:rsidRPr="00007A00">
        <w:t>2008</w:t>
      </w:r>
      <w:r w:rsidR="003041AE">
        <w:t xml:space="preserve">). </w:t>
      </w:r>
      <w:r w:rsidRPr="003041AE">
        <w:rPr>
          <w:i/>
          <w:iCs/>
        </w:rPr>
        <w:t>Finanças públicas: teoria e prática no Brasil.</w:t>
      </w:r>
      <w:r w:rsidRPr="00007A00">
        <w:t xml:space="preserve"> 3. ed. </w:t>
      </w:r>
      <w:r w:rsidRPr="00007A00">
        <w:lastRenderedPageBreak/>
        <w:t>Elsevier.</w:t>
      </w:r>
    </w:p>
    <w:p w14:paraId="1A6C7BA7" w14:textId="234DBCF4" w:rsidR="0016084B" w:rsidRPr="00007A00" w:rsidRDefault="0016084B" w:rsidP="00081F23">
      <w:pPr>
        <w:ind w:firstLine="0"/>
      </w:pPr>
      <w:r w:rsidRPr="00007A00">
        <w:t xml:space="preserve">GIUBERTI, A. C. </w:t>
      </w:r>
      <w:r w:rsidR="003041AE">
        <w:t>(</w:t>
      </w:r>
      <w:r w:rsidR="003041AE" w:rsidRPr="00007A00">
        <w:t>2005</w:t>
      </w:r>
      <w:r w:rsidR="003041AE">
        <w:t xml:space="preserve">). </w:t>
      </w:r>
      <w:r w:rsidRPr="003041AE">
        <w:rPr>
          <w:bCs/>
          <w:i/>
          <w:iCs/>
        </w:rPr>
        <w:t>Efeitos da Lei de Responsabilidade Fiscal sobre os gastos dos municípios brasileiros.</w:t>
      </w:r>
      <w:r w:rsidRPr="00007A00">
        <w:t xml:space="preserve"> (Dissertação de Mestrado) – USP.</w:t>
      </w:r>
    </w:p>
    <w:p w14:paraId="4ED08757" w14:textId="7856AADD" w:rsidR="0016084B" w:rsidRPr="00007A00" w:rsidRDefault="0016084B" w:rsidP="00081F23">
      <w:pPr>
        <w:ind w:firstLine="0"/>
      </w:pPr>
      <w:r w:rsidRPr="00007A00">
        <w:t xml:space="preserve">GOMES, R. M. </w:t>
      </w:r>
      <w:r w:rsidR="003041AE">
        <w:t>(</w:t>
      </w:r>
      <w:r w:rsidR="003041AE" w:rsidRPr="00007A00">
        <w:t>2012</w:t>
      </w:r>
      <w:r w:rsidR="003041AE">
        <w:t xml:space="preserve">). </w:t>
      </w:r>
      <w:r w:rsidRPr="003041AE">
        <w:rPr>
          <w:i/>
          <w:iCs/>
        </w:rPr>
        <w:t>Investimentos e gastos com pessoal: a lei de responsabilidade fiscal (LRF) e a efetividade dos serviços de saúde dos municípios brasileiros.</w:t>
      </w:r>
      <w:r w:rsidRPr="00007A00">
        <w:t xml:space="preserve"> (Dissertação de mestrado) – UNB.</w:t>
      </w:r>
    </w:p>
    <w:p w14:paraId="30E4EDFF" w14:textId="2FE5D267" w:rsidR="0016084B" w:rsidRPr="003041AE" w:rsidRDefault="0016084B" w:rsidP="00081F23">
      <w:pPr>
        <w:ind w:firstLine="0"/>
      </w:pPr>
      <w:r w:rsidRPr="00007A00">
        <w:rPr>
          <w:color w:val="222222"/>
          <w:shd w:val="clear" w:color="auto" w:fill="FFFFFF"/>
        </w:rPr>
        <w:t xml:space="preserve">HOFSTAETTER, D.; SÖTHE, V. </w:t>
      </w:r>
      <w:r w:rsidR="003041AE">
        <w:rPr>
          <w:color w:val="222222"/>
          <w:shd w:val="clear" w:color="auto" w:fill="FFFFFF"/>
        </w:rPr>
        <w:t>(</w:t>
      </w:r>
      <w:r w:rsidR="003041AE" w:rsidRPr="003041AE">
        <w:rPr>
          <w:color w:val="222222"/>
          <w:shd w:val="clear" w:color="auto" w:fill="FFFFFF"/>
        </w:rPr>
        <w:t>2018</w:t>
      </w:r>
      <w:r w:rsidR="003041AE">
        <w:rPr>
          <w:color w:val="222222"/>
          <w:shd w:val="clear" w:color="auto" w:fill="FFFFFF"/>
        </w:rPr>
        <w:t xml:space="preserve">). </w:t>
      </w:r>
      <w:r w:rsidRPr="003041AE">
        <w:rPr>
          <w:bCs/>
          <w:i/>
          <w:iCs/>
          <w:color w:val="222222"/>
          <w:shd w:val="clear" w:color="auto" w:fill="FFFFFF"/>
        </w:rPr>
        <w:t>Análise da efetividade da execução orçamentária: estudo de caso do município de Mondaí–SC</w:t>
      </w:r>
      <w:r w:rsidRPr="00007A00">
        <w:rPr>
          <w:color w:val="222222"/>
          <w:shd w:val="clear" w:color="auto" w:fill="FFFFFF"/>
        </w:rPr>
        <w:t>. </w:t>
      </w:r>
      <w:r w:rsidRPr="003041AE">
        <w:rPr>
          <w:bCs/>
          <w:color w:val="222222"/>
          <w:shd w:val="clear" w:color="auto" w:fill="FFFFFF"/>
        </w:rPr>
        <w:t>Revista Conexão</w:t>
      </w:r>
      <w:r w:rsidRPr="003041AE">
        <w:rPr>
          <w:color w:val="222222"/>
          <w:shd w:val="clear" w:color="auto" w:fill="FFFFFF"/>
        </w:rPr>
        <w:t>, n. 6, p. 40-62.</w:t>
      </w:r>
    </w:p>
    <w:p w14:paraId="598B1DDC" w14:textId="1EC58579" w:rsidR="0016084B" w:rsidRPr="003041AE" w:rsidRDefault="0016084B" w:rsidP="00081F23">
      <w:pPr>
        <w:ind w:firstLine="0"/>
        <w:rPr>
          <w:color w:val="222222"/>
          <w:shd w:val="clear" w:color="auto" w:fill="FFFFFF"/>
          <w:lang w:val="en-US"/>
        </w:rPr>
      </w:pPr>
      <w:r w:rsidRPr="00007A00">
        <w:rPr>
          <w:color w:val="222222"/>
          <w:shd w:val="clear" w:color="auto" w:fill="FFFFFF"/>
          <w:lang w:val="en-US"/>
        </w:rPr>
        <w:t xml:space="preserve">LEE, K.; PESARAN, M. H.; SMITH, R. </w:t>
      </w:r>
      <w:r w:rsidR="003041AE">
        <w:rPr>
          <w:color w:val="222222"/>
          <w:shd w:val="clear" w:color="auto" w:fill="FFFFFF"/>
          <w:lang w:val="en-US"/>
        </w:rPr>
        <w:t>(</w:t>
      </w:r>
      <w:r w:rsidR="003041AE" w:rsidRPr="003041AE">
        <w:rPr>
          <w:color w:val="222222"/>
          <w:shd w:val="clear" w:color="auto" w:fill="FFFFFF"/>
          <w:lang w:val="en-US"/>
        </w:rPr>
        <w:t>1997</w:t>
      </w:r>
      <w:r w:rsidR="003041AE">
        <w:rPr>
          <w:color w:val="222222"/>
          <w:shd w:val="clear" w:color="auto" w:fill="FFFFFF"/>
          <w:lang w:val="en-US"/>
        </w:rPr>
        <w:t xml:space="preserve">). </w:t>
      </w:r>
      <w:r w:rsidRPr="003041AE">
        <w:rPr>
          <w:bCs/>
          <w:i/>
          <w:iCs/>
          <w:color w:val="222222"/>
          <w:shd w:val="clear" w:color="auto" w:fill="FFFFFF"/>
          <w:lang w:val="en-US"/>
        </w:rPr>
        <w:t>Growth and convergence in a multi country empirical stochastic Solow model.</w:t>
      </w:r>
      <w:r w:rsidRPr="00007A00">
        <w:rPr>
          <w:color w:val="222222"/>
          <w:shd w:val="clear" w:color="auto" w:fill="FFFFFF"/>
          <w:lang w:val="en-US"/>
        </w:rPr>
        <w:t> </w:t>
      </w:r>
      <w:r w:rsidRPr="003041AE">
        <w:rPr>
          <w:bCs/>
          <w:color w:val="222222"/>
          <w:shd w:val="clear" w:color="auto" w:fill="FFFFFF"/>
          <w:lang w:val="en-US"/>
        </w:rPr>
        <w:t>Journal of applied Econometrics</w:t>
      </w:r>
      <w:r w:rsidRPr="003041AE">
        <w:rPr>
          <w:color w:val="222222"/>
          <w:shd w:val="clear" w:color="auto" w:fill="FFFFFF"/>
          <w:lang w:val="en-US"/>
        </w:rPr>
        <w:t>, v. 12, n. 4, p. 357-392.</w:t>
      </w:r>
    </w:p>
    <w:p w14:paraId="4905730A" w14:textId="1A9E3472" w:rsidR="0016084B" w:rsidRPr="003041AE" w:rsidRDefault="0016084B" w:rsidP="00081F23">
      <w:pPr>
        <w:ind w:firstLine="0"/>
      </w:pPr>
      <w:r w:rsidRPr="00007A00">
        <w:rPr>
          <w:color w:val="222222"/>
          <w:shd w:val="clear" w:color="auto" w:fill="FFFFFF"/>
        </w:rPr>
        <w:t xml:space="preserve">LODI, G. </w:t>
      </w:r>
      <w:r w:rsidR="003041AE">
        <w:rPr>
          <w:color w:val="222222"/>
          <w:shd w:val="clear" w:color="auto" w:fill="FFFFFF"/>
        </w:rPr>
        <w:t>(</w:t>
      </w:r>
      <w:r w:rsidR="003041AE" w:rsidRPr="003041AE">
        <w:rPr>
          <w:color w:val="222222"/>
          <w:shd w:val="clear" w:color="auto" w:fill="FFFFFF"/>
        </w:rPr>
        <w:t>2018</w:t>
      </w:r>
      <w:r w:rsidR="003041AE">
        <w:rPr>
          <w:color w:val="222222"/>
          <w:shd w:val="clear" w:color="auto" w:fill="FFFFFF"/>
        </w:rPr>
        <w:t xml:space="preserve">). </w:t>
      </w:r>
      <w:r w:rsidRPr="003041AE">
        <w:rPr>
          <w:i/>
          <w:iCs/>
          <w:color w:val="222222"/>
          <w:shd w:val="clear" w:color="auto" w:fill="FFFFFF"/>
        </w:rPr>
        <w:t>Análise do impacto da Lei de Responsabilidade Fiscal (Lei Complementar nº 101, de 04/05/2000) no desempenho das finanças públicas dos municípios do Estado de Mato Grosso.</w:t>
      </w:r>
      <w:r w:rsidRPr="00007A00">
        <w:rPr>
          <w:color w:val="222222"/>
          <w:shd w:val="clear" w:color="auto" w:fill="FFFFFF"/>
        </w:rPr>
        <w:t xml:space="preserve"> </w:t>
      </w:r>
      <w:r w:rsidRPr="003041AE">
        <w:rPr>
          <w:color w:val="222222"/>
          <w:shd w:val="clear" w:color="auto" w:fill="FFFFFF"/>
        </w:rPr>
        <w:t>(Dissertação de mestrado) – UFRGS.</w:t>
      </w:r>
    </w:p>
    <w:p w14:paraId="711B129C" w14:textId="424EC9D0" w:rsidR="0016084B" w:rsidRPr="003041AE" w:rsidRDefault="0016084B" w:rsidP="00081F23">
      <w:pPr>
        <w:ind w:firstLine="0"/>
        <w:rPr>
          <w:color w:val="222222"/>
          <w:shd w:val="clear" w:color="auto" w:fill="FFFFFF"/>
          <w:lang w:val="en-US"/>
        </w:rPr>
      </w:pPr>
      <w:r w:rsidRPr="003041AE">
        <w:rPr>
          <w:color w:val="222222"/>
          <w:shd w:val="clear" w:color="auto" w:fill="FFFFFF"/>
        </w:rPr>
        <w:t xml:space="preserve">LUGINBUHL, R.; KOOPMAN, S. J. </w:t>
      </w:r>
      <w:r w:rsidR="003041AE" w:rsidRPr="003041AE">
        <w:rPr>
          <w:color w:val="222222"/>
          <w:shd w:val="clear" w:color="auto" w:fill="FFFFFF"/>
        </w:rPr>
        <w:t xml:space="preserve">(2004). </w:t>
      </w:r>
      <w:r w:rsidRPr="003041AE">
        <w:rPr>
          <w:bCs/>
          <w:i/>
          <w:iCs/>
          <w:color w:val="222222"/>
          <w:shd w:val="clear" w:color="auto" w:fill="FFFFFF"/>
          <w:lang w:val="en-US"/>
        </w:rPr>
        <w:t>Convergence in European GDP series: a multivariate common converging trend–cycle decomposition.</w:t>
      </w:r>
      <w:r w:rsidRPr="00007A00">
        <w:rPr>
          <w:color w:val="222222"/>
          <w:shd w:val="clear" w:color="auto" w:fill="FFFFFF"/>
          <w:lang w:val="en-US"/>
        </w:rPr>
        <w:t> </w:t>
      </w:r>
      <w:r w:rsidRPr="003041AE">
        <w:rPr>
          <w:bCs/>
          <w:color w:val="222222"/>
          <w:shd w:val="clear" w:color="auto" w:fill="FFFFFF"/>
          <w:lang w:val="en-US"/>
        </w:rPr>
        <w:t>Journal of Applied Econometrics</w:t>
      </w:r>
      <w:r w:rsidRPr="003041AE">
        <w:rPr>
          <w:color w:val="222222"/>
          <w:shd w:val="clear" w:color="auto" w:fill="FFFFFF"/>
          <w:lang w:val="en-US"/>
        </w:rPr>
        <w:t>, v. 19, n. 5, p. 611-636.</w:t>
      </w:r>
    </w:p>
    <w:p w14:paraId="36A5CB8E" w14:textId="63A10694" w:rsidR="0016084B" w:rsidRPr="00007A00" w:rsidRDefault="0016084B" w:rsidP="00081F23">
      <w:pPr>
        <w:ind w:firstLine="0"/>
      </w:pPr>
      <w:r w:rsidRPr="00007A00">
        <w:t xml:space="preserve">MACEDO, J. J.; CORBARI, E. C. </w:t>
      </w:r>
      <w:r w:rsidR="003041AE">
        <w:t>(</w:t>
      </w:r>
      <w:r w:rsidR="003041AE" w:rsidRPr="00007A00">
        <w:t>2009</w:t>
      </w:r>
      <w:r w:rsidR="003041AE">
        <w:t xml:space="preserve">). </w:t>
      </w:r>
      <w:r w:rsidRPr="003041AE">
        <w:rPr>
          <w:bCs/>
          <w:i/>
          <w:iCs/>
        </w:rPr>
        <w:t>Efeitos da lei de responsabilidade fiscal no endividamento dos municípios brasileiros: uma análise de dados em painéis.</w:t>
      </w:r>
      <w:r w:rsidRPr="00007A00">
        <w:t xml:space="preserve"> </w:t>
      </w:r>
      <w:r w:rsidRPr="00007A00">
        <w:rPr>
          <w:bCs/>
        </w:rPr>
        <w:t>Revista Contabilidade &amp; Finanças</w:t>
      </w:r>
      <w:r w:rsidRPr="00007A00">
        <w:t>, v. 20, n. 51, p. 44-60.</w:t>
      </w:r>
    </w:p>
    <w:p w14:paraId="117EDB2F" w14:textId="338649B0" w:rsidR="0016084B" w:rsidRPr="00007A00" w:rsidRDefault="0016084B" w:rsidP="00081F23">
      <w:pPr>
        <w:ind w:firstLine="0"/>
      </w:pPr>
      <w:r w:rsidRPr="00007A00">
        <w:t xml:space="preserve">MENEZES, R. T. </w:t>
      </w:r>
      <w:r w:rsidR="003041AE">
        <w:t>(</w:t>
      </w:r>
      <w:r w:rsidR="003041AE" w:rsidRPr="00007A00">
        <w:t>2006</w:t>
      </w:r>
      <w:r w:rsidR="003041AE">
        <w:t xml:space="preserve">). </w:t>
      </w:r>
      <w:r w:rsidRPr="003041AE">
        <w:rPr>
          <w:i/>
          <w:iCs/>
        </w:rPr>
        <w:t>Efeitos da Lei de Responsabilidade Fiscal sobre as categorias e funções de despesas dos municípios brasileiros (1998-2004).</w:t>
      </w:r>
      <w:r w:rsidRPr="00007A00">
        <w:t xml:space="preserve"> (Dissertação de Mestrado) – USP.</w:t>
      </w:r>
    </w:p>
    <w:p w14:paraId="4AAB5052" w14:textId="41C5AA52" w:rsidR="0016084B" w:rsidRPr="003041AE" w:rsidRDefault="0016084B" w:rsidP="00081F23">
      <w:pPr>
        <w:ind w:firstLine="0"/>
        <w:rPr>
          <w:color w:val="222222"/>
          <w:shd w:val="clear" w:color="auto" w:fill="FFFFFF"/>
          <w:lang w:val="en-US"/>
        </w:rPr>
      </w:pPr>
      <w:r w:rsidRPr="003041AE">
        <w:rPr>
          <w:color w:val="222222"/>
          <w:shd w:val="clear" w:color="auto" w:fill="FFFFFF"/>
          <w:lang w:val="en-US"/>
        </w:rPr>
        <w:t>MONTAÑÉS, A.; OLMOS, L.</w:t>
      </w:r>
      <w:r w:rsidR="003041AE" w:rsidRPr="003041AE">
        <w:rPr>
          <w:color w:val="222222"/>
          <w:shd w:val="clear" w:color="auto" w:fill="FFFFFF"/>
          <w:lang w:val="en-US"/>
        </w:rPr>
        <w:t xml:space="preserve"> (2013)</w:t>
      </w:r>
      <w:r w:rsidR="003041AE">
        <w:rPr>
          <w:color w:val="222222"/>
          <w:shd w:val="clear" w:color="auto" w:fill="FFFFFF"/>
          <w:lang w:val="en-US"/>
        </w:rPr>
        <w:t>.</w:t>
      </w:r>
      <w:r w:rsidRPr="003041AE">
        <w:rPr>
          <w:color w:val="222222"/>
          <w:shd w:val="clear" w:color="auto" w:fill="FFFFFF"/>
          <w:lang w:val="en-US"/>
        </w:rPr>
        <w:t xml:space="preserve"> </w:t>
      </w:r>
      <w:r w:rsidRPr="003041AE">
        <w:rPr>
          <w:bCs/>
          <w:i/>
          <w:iCs/>
          <w:color w:val="222222"/>
          <w:shd w:val="clear" w:color="auto" w:fill="FFFFFF"/>
          <w:lang w:val="en-US"/>
        </w:rPr>
        <w:t>Convergence in US house prices.</w:t>
      </w:r>
      <w:r w:rsidRPr="003041AE">
        <w:rPr>
          <w:color w:val="222222"/>
          <w:shd w:val="clear" w:color="auto" w:fill="FFFFFF"/>
          <w:lang w:val="en-US"/>
        </w:rPr>
        <w:t> </w:t>
      </w:r>
      <w:r w:rsidRPr="003041AE">
        <w:rPr>
          <w:bCs/>
          <w:color w:val="222222"/>
          <w:shd w:val="clear" w:color="auto" w:fill="FFFFFF"/>
          <w:lang w:val="en-US"/>
        </w:rPr>
        <w:t>Economics Letters</w:t>
      </w:r>
      <w:r w:rsidRPr="003041AE">
        <w:rPr>
          <w:color w:val="222222"/>
          <w:shd w:val="clear" w:color="auto" w:fill="FFFFFF"/>
          <w:lang w:val="en-US"/>
        </w:rPr>
        <w:t>, v. 121, n. 2, p. 152-155.</w:t>
      </w:r>
    </w:p>
    <w:p w14:paraId="2935471C" w14:textId="5723ED45" w:rsidR="0016084B" w:rsidRPr="00007A00" w:rsidRDefault="0016084B" w:rsidP="00081F23">
      <w:pPr>
        <w:ind w:firstLine="0"/>
      </w:pPr>
      <w:r w:rsidRPr="00007A00">
        <w:t xml:space="preserve">MORAIS, L. M.  et al. </w:t>
      </w:r>
      <w:r w:rsidR="003041AE">
        <w:t>(</w:t>
      </w:r>
      <w:r w:rsidR="003041AE" w:rsidRPr="00007A00">
        <w:t>2013</w:t>
      </w:r>
      <w:r w:rsidR="003041AE">
        <w:t xml:space="preserve">). </w:t>
      </w:r>
      <w:r w:rsidRPr="003041AE">
        <w:rPr>
          <w:i/>
          <w:iCs/>
        </w:rPr>
        <w:t>Dinâmica de despesas públicas em Santa Catarina frente à implementação de regras fiscais brasileiras: evidências do período 1995-2010 segundo critérios da organização para a cooperação e desenvolvimento econômico.</w:t>
      </w:r>
      <w:r w:rsidRPr="00007A00">
        <w:t xml:space="preserve"> (D</w:t>
      </w:r>
      <w:r w:rsidRPr="00007A00">
        <w:rPr>
          <w:color w:val="222222"/>
          <w:shd w:val="clear" w:color="auto" w:fill="FFFFFF"/>
        </w:rPr>
        <w:t>issertação de Mestrado) – UFSC</w:t>
      </w:r>
      <w:r w:rsidRPr="00007A00">
        <w:t>.</w:t>
      </w:r>
    </w:p>
    <w:p w14:paraId="7BF5D788" w14:textId="185255F9" w:rsidR="0016084B" w:rsidRPr="00007A00" w:rsidRDefault="0016084B" w:rsidP="00081F23">
      <w:pPr>
        <w:ind w:firstLine="0"/>
      </w:pPr>
      <w:r w:rsidRPr="003041AE">
        <w:rPr>
          <w:lang w:val="en-US"/>
        </w:rPr>
        <w:t>OECD.</w:t>
      </w:r>
      <w:r w:rsidR="003041AE" w:rsidRPr="003041AE">
        <w:rPr>
          <w:lang w:val="en-US"/>
        </w:rPr>
        <w:t xml:space="preserve"> </w:t>
      </w:r>
      <w:r w:rsidR="003041AE" w:rsidRPr="003041AE">
        <w:rPr>
          <w:i/>
          <w:iCs/>
          <w:lang w:val="en-US"/>
        </w:rPr>
        <w:t>(</w:t>
      </w:r>
      <w:r w:rsidR="003041AE" w:rsidRPr="003041AE">
        <w:rPr>
          <w:i/>
          <w:iCs/>
        </w:rPr>
        <w:t>2018).</w:t>
      </w:r>
      <w:r w:rsidRPr="003041AE">
        <w:rPr>
          <w:i/>
          <w:iCs/>
          <w:lang w:val="en-US"/>
        </w:rPr>
        <w:t xml:space="preserve"> OECD Economic Surveys: Brazil 2018.</w:t>
      </w:r>
      <w:r w:rsidRPr="003041AE">
        <w:rPr>
          <w:lang w:val="en-US"/>
        </w:rPr>
        <w:t xml:space="preserve"> </w:t>
      </w:r>
      <w:r w:rsidRPr="00007A00">
        <w:t>OECD Publishing, Disponível em &lt;http://dx.doi.org/10.1787/eco_surveys-bra-2018-en&gt;. Acesso em 15 de maio de 2019.</w:t>
      </w:r>
    </w:p>
    <w:p w14:paraId="215A7EDC" w14:textId="29B8E622" w:rsidR="0016084B" w:rsidRPr="00007A00" w:rsidRDefault="0016084B" w:rsidP="00081F23">
      <w:pPr>
        <w:ind w:firstLine="0"/>
      </w:pPr>
      <w:r w:rsidRPr="00007A00">
        <w:t>OLIVEIRA, F. P. S. et al.</w:t>
      </w:r>
      <w:r w:rsidR="003041AE">
        <w:t xml:space="preserve"> (</w:t>
      </w:r>
      <w:r w:rsidR="003041AE" w:rsidRPr="00007A00">
        <w:t>2013</w:t>
      </w:r>
      <w:r w:rsidR="003041AE">
        <w:t>).</w:t>
      </w:r>
      <w:r w:rsidRPr="00007A00">
        <w:t xml:space="preserve"> </w:t>
      </w:r>
      <w:r w:rsidRPr="003041AE">
        <w:rPr>
          <w:bCs/>
          <w:i/>
          <w:iCs/>
        </w:rPr>
        <w:t>Análise em painel do comportamento das despesas totais com pessoal dos municípios da Região Metropolitana de Natal.</w:t>
      </w:r>
      <w:r w:rsidRPr="00007A00">
        <w:t xml:space="preserve"> </w:t>
      </w:r>
      <w:r w:rsidRPr="00007A00">
        <w:rPr>
          <w:bCs/>
        </w:rPr>
        <w:t>Revista UNIABEU</w:t>
      </w:r>
      <w:r w:rsidRPr="00007A00">
        <w:t>, v. 6, número 12, janeiro- abril, p. 128-150.</w:t>
      </w:r>
    </w:p>
    <w:p w14:paraId="27C17A8A" w14:textId="3561746E" w:rsidR="0016084B" w:rsidRPr="00007A00" w:rsidRDefault="0016084B" w:rsidP="00081F23">
      <w:pPr>
        <w:ind w:firstLine="0"/>
        <w:rPr>
          <w:color w:val="222222"/>
          <w:shd w:val="clear" w:color="auto" w:fill="FFFFFF"/>
          <w:lang w:val="en-US"/>
        </w:rPr>
      </w:pPr>
      <w:r w:rsidRPr="003041AE">
        <w:rPr>
          <w:color w:val="222222"/>
          <w:shd w:val="clear" w:color="auto" w:fill="FFFFFF"/>
          <w:lang w:val="en-US"/>
        </w:rPr>
        <w:t xml:space="preserve">PANOPOULOU, E.; PANTELIDIS, T. </w:t>
      </w:r>
      <w:r w:rsidR="003041AE" w:rsidRPr="003041AE">
        <w:rPr>
          <w:color w:val="222222"/>
          <w:shd w:val="clear" w:color="auto" w:fill="FFFFFF"/>
          <w:lang w:val="en-US"/>
        </w:rPr>
        <w:t>(</w:t>
      </w:r>
      <w:r w:rsidR="003041AE" w:rsidRPr="00007A00">
        <w:rPr>
          <w:color w:val="222222"/>
          <w:shd w:val="clear" w:color="auto" w:fill="FFFFFF"/>
          <w:lang w:val="en-US"/>
        </w:rPr>
        <w:t>2009</w:t>
      </w:r>
      <w:r w:rsidR="003041AE">
        <w:rPr>
          <w:color w:val="222222"/>
          <w:shd w:val="clear" w:color="auto" w:fill="FFFFFF"/>
          <w:lang w:val="en-US"/>
        </w:rPr>
        <w:t xml:space="preserve">). </w:t>
      </w:r>
      <w:r w:rsidRPr="003041AE">
        <w:rPr>
          <w:bCs/>
          <w:i/>
          <w:iCs/>
          <w:color w:val="222222"/>
          <w:shd w:val="clear" w:color="auto" w:fill="FFFFFF"/>
          <w:lang w:val="en-US"/>
        </w:rPr>
        <w:t>Club convergence in carbon dioxide emissions.</w:t>
      </w:r>
      <w:r w:rsidRPr="003041AE">
        <w:rPr>
          <w:color w:val="222222"/>
          <w:shd w:val="clear" w:color="auto" w:fill="FFFFFF"/>
          <w:lang w:val="en-US"/>
        </w:rPr>
        <w:t> </w:t>
      </w:r>
      <w:r w:rsidRPr="00007A00">
        <w:rPr>
          <w:bCs/>
          <w:color w:val="222222"/>
          <w:shd w:val="clear" w:color="auto" w:fill="FFFFFF"/>
          <w:lang w:val="en-US"/>
        </w:rPr>
        <w:t>Environmental and Resource Economics</w:t>
      </w:r>
      <w:r w:rsidRPr="00007A00">
        <w:rPr>
          <w:color w:val="222222"/>
          <w:shd w:val="clear" w:color="auto" w:fill="FFFFFF"/>
          <w:lang w:val="en-US"/>
        </w:rPr>
        <w:t>, v. 44, n. 1, p. 47-70.</w:t>
      </w:r>
    </w:p>
    <w:p w14:paraId="4486D7F3" w14:textId="76BC5DC6" w:rsidR="0016084B" w:rsidRPr="00007A00" w:rsidRDefault="0016084B" w:rsidP="00081F23">
      <w:pPr>
        <w:ind w:firstLine="0"/>
        <w:rPr>
          <w:color w:val="222222"/>
          <w:shd w:val="clear" w:color="auto" w:fill="FFFFFF"/>
          <w:lang w:val="en-US"/>
        </w:rPr>
      </w:pPr>
      <w:r w:rsidRPr="00007A00">
        <w:rPr>
          <w:color w:val="222222"/>
          <w:shd w:val="clear" w:color="auto" w:fill="FFFFFF"/>
          <w:lang w:val="en-US"/>
        </w:rPr>
        <w:t xml:space="preserve">PHILLIPS, P.; SUL, D. </w:t>
      </w:r>
      <w:r w:rsidR="003041AE">
        <w:rPr>
          <w:color w:val="222222"/>
          <w:shd w:val="clear" w:color="auto" w:fill="FFFFFF"/>
          <w:lang w:val="en-US"/>
        </w:rPr>
        <w:t>(</w:t>
      </w:r>
      <w:r w:rsidR="003041AE" w:rsidRPr="00007A00">
        <w:rPr>
          <w:color w:val="222222"/>
          <w:shd w:val="clear" w:color="auto" w:fill="FFFFFF"/>
          <w:lang w:val="en-US"/>
        </w:rPr>
        <w:t>2009</w:t>
      </w:r>
      <w:r w:rsidR="003041AE">
        <w:rPr>
          <w:color w:val="222222"/>
          <w:shd w:val="clear" w:color="auto" w:fill="FFFFFF"/>
          <w:lang w:val="en-US"/>
        </w:rPr>
        <w:t xml:space="preserve">). </w:t>
      </w:r>
      <w:r w:rsidRPr="003041AE">
        <w:rPr>
          <w:bCs/>
          <w:i/>
          <w:iCs/>
          <w:color w:val="222222"/>
          <w:shd w:val="clear" w:color="auto" w:fill="FFFFFF"/>
          <w:lang w:val="en-US"/>
        </w:rPr>
        <w:t>Economic transition and growth.</w:t>
      </w:r>
      <w:r w:rsidRPr="00007A00">
        <w:rPr>
          <w:color w:val="222222"/>
          <w:shd w:val="clear" w:color="auto" w:fill="FFFFFF"/>
          <w:lang w:val="en-US"/>
        </w:rPr>
        <w:t> </w:t>
      </w:r>
      <w:r w:rsidRPr="00007A00">
        <w:rPr>
          <w:bCs/>
          <w:color w:val="222222"/>
          <w:shd w:val="clear" w:color="auto" w:fill="FFFFFF"/>
          <w:lang w:val="en-US"/>
        </w:rPr>
        <w:t>Journal of Applied Econometrics</w:t>
      </w:r>
      <w:r w:rsidRPr="00007A00">
        <w:rPr>
          <w:color w:val="222222"/>
          <w:shd w:val="clear" w:color="auto" w:fill="FFFFFF"/>
          <w:lang w:val="en-US"/>
        </w:rPr>
        <w:t>, v. 24, n. 7, p. 1153-1185.</w:t>
      </w:r>
    </w:p>
    <w:p w14:paraId="04175AA0" w14:textId="33666F83" w:rsidR="0016084B" w:rsidRPr="00007A00" w:rsidRDefault="0016084B" w:rsidP="00081F23">
      <w:pPr>
        <w:ind w:firstLine="0"/>
        <w:rPr>
          <w:color w:val="222222"/>
          <w:shd w:val="clear" w:color="auto" w:fill="FFFFFF"/>
          <w:lang w:val="en-US"/>
        </w:rPr>
      </w:pPr>
      <w:r w:rsidRPr="003041AE">
        <w:rPr>
          <w:color w:val="222222"/>
          <w:shd w:val="clear" w:color="auto" w:fill="FFFFFF"/>
        </w:rPr>
        <w:t xml:space="preserve">REGIS, P. J.; CUESTAS, J. C.; CHEN, Y. </w:t>
      </w:r>
      <w:r w:rsidR="003041AE" w:rsidRPr="003041AE">
        <w:rPr>
          <w:color w:val="222222"/>
          <w:shd w:val="clear" w:color="auto" w:fill="FFFFFF"/>
        </w:rPr>
        <w:t xml:space="preserve">(2015). </w:t>
      </w:r>
      <w:r w:rsidRPr="003041AE">
        <w:rPr>
          <w:bCs/>
          <w:i/>
          <w:iCs/>
          <w:color w:val="222222"/>
          <w:shd w:val="clear" w:color="auto" w:fill="FFFFFF"/>
          <w:lang w:val="en-US"/>
        </w:rPr>
        <w:t>Corporate tax in Europe: Towards convergence?</w:t>
      </w:r>
      <w:r w:rsidRPr="00007A00">
        <w:rPr>
          <w:color w:val="222222"/>
          <w:shd w:val="clear" w:color="auto" w:fill="FFFFFF"/>
          <w:lang w:val="en-US"/>
        </w:rPr>
        <w:t> </w:t>
      </w:r>
      <w:r w:rsidRPr="00007A00">
        <w:rPr>
          <w:bCs/>
          <w:color w:val="222222"/>
          <w:shd w:val="clear" w:color="auto" w:fill="FFFFFF"/>
          <w:lang w:val="en-US"/>
        </w:rPr>
        <w:t>Economics Letters</w:t>
      </w:r>
      <w:r w:rsidRPr="00007A00">
        <w:rPr>
          <w:color w:val="222222"/>
          <w:shd w:val="clear" w:color="auto" w:fill="FFFFFF"/>
          <w:lang w:val="en-US"/>
        </w:rPr>
        <w:t>, v. 134, p. 9-12.</w:t>
      </w:r>
    </w:p>
    <w:p w14:paraId="0EFC5B55" w14:textId="7BD0D4B8" w:rsidR="0016084B" w:rsidRPr="003041AE" w:rsidRDefault="0016084B" w:rsidP="00081F23">
      <w:pPr>
        <w:ind w:firstLine="0"/>
        <w:rPr>
          <w:lang w:val="en-US"/>
        </w:rPr>
      </w:pPr>
      <w:r w:rsidRPr="00007A00">
        <w:rPr>
          <w:lang w:val="en-US"/>
        </w:rPr>
        <w:t xml:space="preserve">REY, J. S.; MONTOURI, B. D. </w:t>
      </w:r>
      <w:r w:rsidR="003041AE">
        <w:rPr>
          <w:lang w:val="en-US"/>
        </w:rPr>
        <w:t>(</w:t>
      </w:r>
      <w:r w:rsidR="003041AE" w:rsidRPr="003041AE">
        <w:rPr>
          <w:lang w:val="en-US"/>
        </w:rPr>
        <w:t>1999</w:t>
      </w:r>
      <w:r w:rsidR="003041AE">
        <w:rPr>
          <w:lang w:val="en-US"/>
        </w:rPr>
        <w:t xml:space="preserve">). </w:t>
      </w:r>
      <w:r w:rsidRPr="00A92D9C">
        <w:rPr>
          <w:bCs/>
          <w:i/>
          <w:iCs/>
          <w:lang w:val="en-US"/>
        </w:rPr>
        <w:t>US Regional income convergence: a spatial sconometric perspective.</w:t>
      </w:r>
      <w:r w:rsidRPr="00007A00">
        <w:rPr>
          <w:lang w:val="en-US"/>
        </w:rPr>
        <w:t xml:space="preserve"> </w:t>
      </w:r>
      <w:r w:rsidRPr="003041AE">
        <w:rPr>
          <w:bCs/>
          <w:lang w:val="en-US"/>
        </w:rPr>
        <w:t>Regional Studies</w:t>
      </w:r>
      <w:r w:rsidRPr="003041AE">
        <w:rPr>
          <w:lang w:val="en-US"/>
        </w:rPr>
        <w:t>, vol. 33, n. 2, p. 143-156.</w:t>
      </w:r>
    </w:p>
    <w:p w14:paraId="02488FFE" w14:textId="01E44EAC" w:rsidR="0016084B" w:rsidRPr="00007A00" w:rsidRDefault="0016084B" w:rsidP="00081F23">
      <w:pPr>
        <w:ind w:firstLine="0"/>
      </w:pPr>
      <w:r w:rsidRPr="00007A00">
        <w:rPr>
          <w:color w:val="222222"/>
          <w:shd w:val="clear" w:color="auto" w:fill="FFFFFF"/>
        </w:rPr>
        <w:t xml:space="preserve">RODRIGUES, C. A. S. et al. </w:t>
      </w:r>
      <w:r w:rsidR="003041AE">
        <w:rPr>
          <w:color w:val="222222"/>
          <w:shd w:val="clear" w:color="auto" w:fill="FFFFFF"/>
        </w:rPr>
        <w:t>(</w:t>
      </w:r>
      <w:r w:rsidR="003041AE" w:rsidRPr="00007A00">
        <w:rPr>
          <w:color w:val="222222"/>
          <w:shd w:val="clear" w:color="auto" w:fill="FFFFFF"/>
        </w:rPr>
        <w:t>2019</w:t>
      </w:r>
      <w:r w:rsidR="003041AE">
        <w:rPr>
          <w:color w:val="222222"/>
          <w:shd w:val="clear" w:color="auto" w:fill="FFFFFF"/>
        </w:rPr>
        <w:t>)</w:t>
      </w:r>
      <w:r w:rsidR="00A92D9C">
        <w:rPr>
          <w:color w:val="222222"/>
          <w:shd w:val="clear" w:color="auto" w:fill="FFFFFF"/>
        </w:rPr>
        <w:t>.</w:t>
      </w:r>
      <w:r w:rsidR="003041AE">
        <w:rPr>
          <w:color w:val="222222"/>
          <w:shd w:val="clear" w:color="auto" w:fill="FFFFFF"/>
        </w:rPr>
        <w:t xml:space="preserve"> </w:t>
      </w:r>
      <w:r w:rsidRPr="00A92D9C">
        <w:rPr>
          <w:bCs/>
          <w:i/>
          <w:iCs/>
          <w:color w:val="222222"/>
          <w:shd w:val="clear" w:color="auto" w:fill="FFFFFF"/>
        </w:rPr>
        <w:t>Lei de responsabilidade fiscal: uma análise do controle dos gastos com pessoal na prefeitura municipal de conceição do Castelo–ES no período de 2008 a 2016.</w:t>
      </w:r>
      <w:r w:rsidRPr="00007A00">
        <w:rPr>
          <w:color w:val="222222"/>
          <w:shd w:val="clear" w:color="auto" w:fill="FFFFFF"/>
        </w:rPr>
        <w:t> </w:t>
      </w:r>
      <w:r w:rsidRPr="00007A00">
        <w:rPr>
          <w:bCs/>
          <w:color w:val="222222"/>
          <w:shd w:val="clear" w:color="auto" w:fill="FFFFFF"/>
        </w:rPr>
        <w:t>Revista Opara</w:t>
      </w:r>
      <w:r w:rsidRPr="00007A00">
        <w:rPr>
          <w:color w:val="222222"/>
          <w:shd w:val="clear" w:color="auto" w:fill="FFFFFF"/>
        </w:rPr>
        <w:t>, v. 9, n. 1, p. 02-15.</w:t>
      </w:r>
    </w:p>
    <w:p w14:paraId="183F373B" w14:textId="2EAAC612" w:rsidR="00D611F8" w:rsidRDefault="0016084B" w:rsidP="00081F23">
      <w:pPr>
        <w:ind w:firstLine="0"/>
      </w:pPr>
      <w:r w:rsidRPr="00007A00">
        <w:t xml:space="preserve">VELLOSO, R. </w:t>
      </w:r>
      <w:r w:rsidR="003041AE">
        <w:t>(</w:t>
      </w:r>
      <w:r w:rsidR="003041AE" w:rsidRPr="00007A00">
        <w:t>2006</w:t>
      </w:r>
      <w:r w:rsidR="003041AE">
        <w:t>)</w:t>
      </w:r>
      <w:r w:rsidR="00A92D9C">
        <w:t>.</w:t>
      </w:r>
      <w:r w:rsidR="003041AE">
        <w:t xml:space="preserve"> </w:t>
      </w:r>
      <w:r w:rsidRPr="00A92D9C">
        <w:rPr>
          <w:i/>
          <w:iCs/>
        </w:rPr>
        <w:t>Ajuste do gasto da união e retomada do crescimento econômico.</w:t>
      </w:r>
      <w:r w:rsidRPr="00007A00">
        <w:rPr>
          <w:b/>
          <w:bCs/>
        </w:rPr>
        <w:t xml:space="preserve"> </w:t>
      </w:r>
      <w:r w:rsidRPr="00007A00">
        <w:t xml:space="preserve">São Paulo: Etco. </w:t>
      </w:r>
    </w:p>
    <w:p w14:paraId="1D457466" w14:textId="22C5C5BA" w:rsidR="00D611F8" w:rsidRPr="00007A00" w:rsidRDefault="00D611F8" w:rsidP="00081F23">
      <w:pPr>
        <w:ind w:firstLine="0"/>
        <w:sectPr w:rsidR="00D611F8" w:rsidRPr="00007A00" w:rsidSect="00F54895">
          <w:headerReference w:type="default" r:id="rId14"/>
          <w:footerReference w:type="default" r:id="rId15"/>
          <w:headerReference w:type="first" r:id="rId16"/>
          <w:pgSz w:w="11907" w:h="16840" w:code="9"/>
          <w:pgMar w:top="1701" w:right="1134" w:bottom="1134" w:left="1701" w:header="709" w:footer="709" w:gutter="0"/>
          <w:cols w:space="708"/>
          <w:titlePg/>
          <w:docGrid w:linePitch="360"/>
        </w:sectPr>
      </w:pPr>
    </w:p>
    <w:p w14:paraId="0C8F2135" w14:textId="77777777" w:rsidR="0016084B" w:rsidRPr="00D611F8" w:rsidRDefault="0016084B" w:rsidP="00081F23">
      <w:pPr>
        <w:ind w:firstLine="0"/>
        <w:rPr>
          <w:sz w:val="20"/>
          <w:szCs w:val="16"/>
        </w:rPr>
      </w:pPr>
      <w:r w:rsidRPr="00D611F8">
        <w:rPr>
          <w:sz w:val="20"/>
          <w:szCs w:val="16"/>
        </w:rPr>
        <w:lastRenderedPageBreak/>
        <w:t>Anexo 1 - Resultados encontrados para os testes de convergência condicional</w:t>
      </w:r>
    </w:p>
    <w:tbl>
      <w:tblPr>
        <w:tblW w:w="13366" w:type="dxa"/>
        <w:tblCellMar>
          <w:left w:w="70" w:type="dxa"/>
          <w:right w:w="70" w:type="dxa"/>
        </w:tblCellMar>
        <w:tblLook w:val="04A0" w:firstRow="1" w:lastRow="0" w:firstColumn="1" w:lastColumn="0" w:noHBand="0" w:noVBand="1"/>
      </w:tblPr>
      <w:tblGrid>
        <w:gridCol w:w="3800"/>
        <w:gridCol w:w="960"/>
        <w:gridCol w:w="960"/>
        <w:gridCol w:w="2040"/>
        <w:gridCol w:w="960"/>
        <w:gridCol w:w="960"/>
        <w:gridCol w:w="960"/>
        <w:gridCol w:w="1126"/>
        <w:gridCol w:w="1600"/>
      </w:tblGrid>
      <w:tr w:rsidR="0016084B" w:rsidRPr="00D611F8" w14:paraId="48C6DBAC" w14:textId="77777777" w:rsidTr="00F54895">
        <w:trPr>
          <w:trHeight w:val="20"/>
        </w:trPr>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69F9B1E9" w14:textId="77777777" w:rsidR="0016084B" w:rsidRPr="00D611F8" w:rsidRDefault="0016084B" w:rsidP="00081F23">
            <w:pPr>
              <w:ind w:firstLine="0"/>
              <w:rPr>
                <w:color w:val="000000"/>
                <w:sz w:val="18"/>
                <w:szCs w:val="18"/>
              </w:rPr>
            </w:pPr>
            <w:r w:rsidRPr="00D611F8">
              <w:rPr>
                <w:color w:val="000000"/>
                <w:sz w:val="18"/>
                <w:szCs w:val="18"/>
              </w:rPr>
              <w:t>Variável</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2B2B38AC" w14:textId="77777777" w:rsidR="0016084B" w:rsidRPr="00D611F8" w:rsidRDefault="0016084B" w:rsidP="00081F23">
            <w:pPr>
              <w:ind w:firstLine="0"/>
              <w:jc w:val="right"/>
              <w:rPr>
                <w:color w:val="000000"/>
                <w:sz w:val="18"/>
                <w:szCs w:val="18"/>
              </w:rPr>
            </w:pPr>
            <w:r w:rsidRPr="00D611F8">
              <w:rPr>
                <w:color w:val="000000"/>
                <w:sz w:val="18"/>
                <w:szCs w:val="18"/>
              </w:rPr>
              <w:t>2011</w:t>
            </w:r>
          </w:p>
        </w:tc>
        <w:tc>
          <w:tcPr>
            <w:tcW w:w="960" w:type="dxa"/>
            <w:tcBorders>
              <w:top w:val="single" w:sz="4" w:space="0" w:color="auto"/>
              <w:left w:val="nil"/>
              <w:bottom w:val="single" w:sz="4" w:space="0" w:color="auto"/>
              <w:right w:val="nil"/>
            </w:tcBorders>
            <w:shd w:val="clear" w:color="auto" w:fill="auto"/>
            <w:noWrap/>
            <w:vAlign w:val="bottom"/>
            <w:hideMark/>
          </w:tcPr>
          <w:p w14:paraId="3429F015" w14:textId="77777777" w:rsidR="0016084B" w:rsidRPr="00D611F8" w:rsidRDefault="0016084B" w:rsidP="00081F23">
            <w:pPr>
              <w:ind w:firstLine="0"/>
              <w:jc w:val="right"/>
              <w:rPr>
                <w:color w:val="000000"/>
                <w:sz w:val="18"/>
                <w:szCs w:val="18"/>
              </w:rPr>
            </w:pPr>
            <w:r w:rsidRPr="00D611F8">
              <w:rPr>
                <w:color w:val="000000"/>
                <w:sz w:val="18"/>
                <w:szCs w:val="18"/>
              </w:rPr>
              <w:t>2012</w:t>
            </w:r>
          </w:p>
        </w:tc>
        <w:tc>
          <w:tcPr>
            <w:tcW w:w="2040" w:type="dxa"/>
            <w:tcBorders>
              <w:top w:val="single" w:sz="4" w:space="0" w:color="auto"/>
              <w:left w:val="nil"/>
              <w:bottom w:val="single" w:sz="4" w:space="0" w:color="auto"/>
              <w:right w:val="nil"/>
            </w:tcBorders>
            <w:shd w:val="clear" w:color="auto" w:fill="auto"/>
            <w:noWrap/>
            <w:vAlign w:val="bottom"/>
            <w:hideMark/>
          </w:tcPr>
          <w:p w14:paraId="47EC280D" w14:textId="77777777" w:rsidR="0016084B" w:rsidRPr="00D611F8" w:rsidRDefault="0016084B" w:rsidP="00081F23">
            <w:pPr>
              <w:ind w:firstLine="0"/>
              <w:jc w:val="right"/>
              <w:rPr>
                <w:color w:val="000000"/>
                <w:sz w:val="18"/>
                <w:szCs w:val="18"/>
              </w:rPr>
            </w:pPr>
            <w:r w:rsidRPr="00D611F8">
              <w:rPr>
                <w:color w:val="000000"/>
                <w:sz w:val="18"/>
                <w:szCs w:val="18"/>
              </w:rPr>
              <w:t>2013</w:t>
            </w:r>
          </w:p>
        </w:tc>
        <w:tc>
          <w:tcPr>
            <w:tcW w:w="960" w:type="dxa"/>
            <w:tcBorders>
              <w:top w:val="single" w:sz="4" w:space="0" w:color="auto"/>
              <w:left w:val="nil"/>
              <w:bottom w:val="single" w:sz="4" w:space="0" w:color="auto"/>
              <w:right w:val="nil"/>
            </w:tcBorders>
            <w:shd w:val="clear" w:color="auto" w:fill="auto"/>
            <w:noWrap/>
            <w:vAlign w:val="bottom"/>
            <w:hideMark/>
          </w:tcPr>
          <w:p w14:paraId="49C94D12" w14:textId="77777777" w:rsidR="0016084B" w:rsidRPr="00D611F8" w:rsidRDefault="0016084B" w:rsidP="00081F23">
            <w:pPr>
              <w:ind w:firstLine="0"/>
              <w:jc w:val="right"/>
              <w:rPr>
                <w:color w:val="000000"/>
                <w:sz w:val="18"/>
                <w:szCs w:val="18"/>
              </w:rPr>
            </w:pPr>
            <w:r w:rsidRPr="00D611F8">
              <w:rPr>
                <w:color w:val="000000"/>
                <w:sz w:val="18"/>
                <w:szCs w:val="18"/>
              </w:rPr>
              <w:t>2014</w:t>
            </w:r>
          </w:p>
        </w:tc>
        <w:tc>
          <w:tcPr>
            <w:tcW w:w="960" w:type="dxa"/>
            <w:tcBorders>
              <w:top w:val="single" w:sz="4" w:space="0" w:color="auto"/>
              <w:left w:val="nil"/>
              <w:bottom w:val="single" w:sz="4" w:space="0" w:color="auto"/>
              <w:right w:val="nil"/>
            </w:tcBorders>
            <w:shd w:val="clear" w:color="auto" w:fill="auto"/>
            <w:noWrap/>
            <w:vAlign w:val="bottom"/>
            <w:hideMark/>
          </w:tcPr>
          <w:p w14:paraId="4A9E76EB" w14:textId="77777777" w:rsidR="0016084B" w:rsidRPr="00D611F8" w:rsidRDefault="0016084B" w:rsidP="00081F23">
            <w:pPr>
              <w:ind w:firstLine="0"/>
              <w:jc w:val="right"/>
              <w:rPr>
                <w:color w:val="000000"/>
                <w:sz w:val="18"/>
                <w:szCs w:val="18"/>
              </w:rPr>
            </w:pPr>
            <w:r w:rsidRPr="00D611F8">
              <w:rPr>
                <w:color w:val="000000"/>
                <w:sz w:val="18"/>
                <w:szCs w:val="18"/>
              </w:rPr>
              <w:t>2015</w:t>
            </w:r>
          </w:p>
        </w:tc>
        <w:tc>
          <w:tcPr>
            <w:tcW w:w="960" w:type="dxa"/>
            <w:tcBorders>
              <w:top w:val="single" w:sz="4" w:space="0" w:color="auto"/>
              <w:left w:val="nil"/>
              <w:bottom w:val="single" w:sz="4" w:space="0" w:color="auto"/>
              <w:right w:val="nil"/>
            </w:tcBorders>
            <w:shd w:val="clear" w:color="auto" w:fill="auto"/>
            <w:noWrap/>
            <w:vAlign w:val="bottom"/>
            <w:hideMark/>
          </w:tcPr>
          <w:p w14:paraId="3C44E4DF" w14:textId="77777777" w:rsidR="0016084B" w:rsidRPr="00D611F8" w:rsidRDefault="0016084B" w:rsidP="00081F23">
            <w:pPr>
              <w:ind w:firstLine="0"/>
              <w:jc w:val="right"/>
              <w:rPr>
                <w:color w:val="000000"/>
                <w:sz w:val="18"/>
                <w:szCs w:val="18"/>
              </w:rPr>
            </w:pPr>
            <w:r w:rsidRPr="00D611F8">
              <w:rPr>
                <w:color w:val="000000"/>
                <w:sz w:val="18"/>
                <w:szCs w:val="18"/>
              </w:rPr>
              <w:t>2016</w:t>
            </w:r>
          </w:p>
        </w:tc>
        <w:tc>
          <w:tcPr>
            <w:tcW w:w="1126" w:type="dxa"/>
            <w:tcBorders>
              <w:top w:val="single" w:sz="4" w:space="0" w:color="auto"/>
              <w:left w:val="nil"/>
              <w:bottom w:val="single" w:sz="4" w:space="0" w:color="auto"/>
              <w:right w:val="nil"/>
            </w:tcBorders>
            <w:shd w:val="clear" w:color="auto" w:fill="auto"/>
            <w:noWrap/>
            <w:vAlign w:val="bottom"/>
            <w:hideMark/>
          </w:tcPr>
          <w:p w14:paraId="3A0D0E23" w14:textId="77777777" w:rsidR="0016084B" w:rsidRPr="00D611F8" w:rsidRDefault="0016084B" w:rsidP="00081F23">
            <w:pPr>
              <w:ind w:firstLine="0"/>
              <w:rPr>
                <w:color w:val="000000"/>
                <w:sz w:val="18"/>
                <w:szCs w:val="18"/>
              </w:rPr>
            </w:pPr>
            <w:r w:rsidRPr="00D611F8">
              <w:rPr>
                <w:color w:val="000000"/>
                <w:sz w:val="18"/>
                <w:szCs w:val="18"/>
              </w:rPr>
              <w:t>2010-2014</w:t>
            </w:r>
          </w:p>
        </w:tc>
        <w:tc>
          <w:tcPr>
            <w:tcW w:w="1600" w:type="dxa"/>
            <w:tcBorders>
              <w:top w:val="single" w:sz="4" w:space="0" w:color="auto"/>
              <w:left w:val="nil"/>
              <w:bottom w:val="single" w:sz="4" w:space="0" w:color="auto"/>
              <w:right w:val="nil"/>
            </w:tcBorders>
            <w:shd w:val="clear" w:color="auto" w:fill="auto"/>
            <w:noWrap/>
            <w:vAlign w:val="bottom"/>
            <w:hideMark/>
          </w:tcPr>
          <w:p w14:paraId="21E4275D" w14:textId="77777777" w:rsidR="0016084B" w:rsidRPr="00D611F8" w:rsidRDefault="0016084B" w:rsidP="00081F23">
            <w:pPr>
              <w:ind w:firstLine="0"/>
              <w:rPr>
                <w:color w:val="000000"/>
                <w:sz w:val="18"/>
                <w:szCs w:val="18"/>
              </w:rPr>
            </w:pPr>
            <w:r w:rsidRPr="00D611F8">
              <w:rPr>
                <w:color w:val="000000"/>
                <w:sz w:val="18"/>
                <w:szCs w:val="18"/>
              </w:rPr>
              <w:t>2010-2016</w:t>
            </w:r>
          </w:p>
        </w:tc>
      </w:tr>
      <w:tr w:rsidR="0016084B" w:rsidRPr="00D611F8" w14:paraId="1FED234F" w14:textId="77777777" w:rsidTr="00F54895">
        <w:trPr>
          <w:trHeight w:val="20"/>
        </w:trPr>
        <w:tc>
          <w:tcPr>
            <w:tcW w:w="3800" w:type="dxa"/>
            <w:tcBorders>
              <w:top w:val="single" w:sz="4" w:space="0" w:color="auto"/>
              <w:left w:val="nil"/>
              <w:bottom w:val="nil"/>
              <w:right w:val="single" w:sz="4" w:space="0" w:color="auto"/>
            </w:tcBorders>
            <w:shd w:val="clear" w:color="auto" w:fill="auto"/>
            <w:noWrap/>
            <w:vAlign w:val="bottom"/>
            <w:hideMark/>
          </w:tcPr>
          <w:p w14:paraId="0FE63ADE" w14:textId="22CF2003" w:rsidR="0016084B" w:rsidRPr="00132C08" w:rsidRDefault="00132C08" w:rsidP="00081F23">
            <w:pPr>
              <w:ind w:firstLine="0"/>
              <w:rPr>
                <w:color w:val="000000"/>
                <w:sz w:val="18"/>
                <w:szCs w:val="18"/>
              </w:rPr>
            </w:pPr>
            <m:oMathPara>
              <m:oMathParaPr>
                <m:jc m:val="left"/>
              </m:oMathParaPr>
              <m:oMath>
                <m:r>
                  <w:rPr>
                    <w:rFonts w:ascii="Cambria Math" w:hAnsi="Cambria Math"/>
                    <w:color w:val="000000"/>
                    <w:sz w:val="18"/>
                    <w:szCs w:val="18"/>
                  </w:rPr>
                  <m:t>β</m:t>
                </m:r>
              </m:oMath>
            </m:oMathPara>
          </w:p>
        </w:tc>
        <w:tc>
          <w:tcPr>
            <w:tcW w:w="960" w:type="dxa"/>
            <w:tcBorders>
              <w:top w:val="single" w:sz="4" w:space="0" w:color="auto"/>
              <w:left w:val="single" w:sz="4" w:space="0" w:color="auto"/>
              <w:bottom w:val="nil"/>
              <w:right w:val="nil"/>
            </w:tcBorders>
            <w:shd w:val="clear" w:color="auto" w:fill="auto"/>
            <w:noWrap/>
            <w:vAlign w:val="bottom"/>
            <w:hideMark/>
          </w:tcPr>
          <w:p w14:paraId="0E6D00E9" w14:textId="77777777" w:rsidR="0016084B" w:rsidRPr="00D611F8" w:rsidRDefault="0016084B" w:rsidP="00081F23">
            <w:pPr>
              <w:ind w:firstLine="0"/>
              <w:rPr>
                <w:color w:val="000000"/>
                <w:sz w:val="18"/>
                <w:szCs w:val="18"/>
              </w:rPr>
            </w:pPr>
            <w:r w:rsidRPr="00D611F8">
              <w:rPr>
                <w:color w:val="000000"/>
                <w:sz w:val="18"/>
                <w:szCs w:val="18"/>
              </w:rPr>
              <w:t>-0.955**</w:t>
            </w:r>
          </w:p>
        </w:tc>
        <w:tc>
          <w:tcPr>
            <w:tcW w:w="960" w:type="dxa"/>
            <w:tcBorders>
              <w:top w:val="single" w:sz="4" w:space="0" w:color="auto"/>
              <w:left w:val="nil"/>
              <w:bottom w:val="nil"/>
              <w:right w:val="nil"/>
            </w:tcBorders>
            <w:shd w:val="clear" w:color="auto" w:fill="auto"/>
            <w:noWrap/>
            <w:vAlign w:val="bottom"/>
            <w:hideMark/>
          </w:tcPr>
          <w:p w14:paraId="06C8AF35" w14:textId="77777777" w:rsidR="0016084B" w:rsidRPr="00D611F8" w:rsidRDefault="0016084B" w:rsidP="00081F23">
            <w:pPr>
              <w:ind w:firstLine="0"/>
              <w:rPr>
                <w:color w:val="000000"/>
                <w:sz w:val="18"/>
                <w:szCs w:val="18"/>
              </w:rPr>
            </w:pPr>
            <w:r w:rsidRPr="00D611F8">
              <w:rPr>
                <w:color w:val="000000"/>
                <w:sz w:val="18"/>
                <w:szCs w:val="18"/>
              </w:rPr>
              <w:t>-0.886**</w:t>
            </w:r>
          </w:p>
        </w:tc>
        <w:tc>
          <w:tcPr>
            <w:tcW w:w="2040" w:type="dxa"/>
            <w:tcBorders>
              <w:top w:val="single" w:sz="4" w:space="0" w:color="auto"/>
              <w:left w:val="nil"/>
              <w:bottom w:val="nil"/>
              <w:right w:val="nil"/>
            </w:tcBorders>
            <w:shd w:val="clear" w:color="auto" w:fill="auto"/>
            <w:noWrap/>
            <w:vAlign w:val="bottom"/>
            <w:hideMark/>
          </w:tcPr>
          <w:p w14:paraId="5BF63F72" w14:textId="77777777" w:rsidR="0016084B" w:rsidRPr="00D611F8" w:rsidRDefault="0016084B" w:rsidP="00081F23">
            <w:pPr>
              <w:ind w:firstLine="0"/>
              <w:rPr>
                <w:color w:val="000000"/>
                <w:sz w:val="18"/>
                <w:szCs w:val="18"/>
              </w:rPr>
            </w:pPr>
            <w:r w:rsidRPr="00D611F8">
              <w:rPr>
                <w:color w:val="000000"/>
                <w:sz w:val="18"/>
                <w:szCs w:val="18"/>
              </w:rPr>
              <w:t>-0.997**</w:t>
            </w:r>
          </w:p>
        </w:tc>
        <w:tc>
          <w:tcPr>
            <w:tcW w:w="960" w:type="dxa"/>
            <w:tcBorders>
              <w:top w:val="single" w:sz="4" w:space="0" w:color="auto"/>
              <w:left w:val="nil"/>
              <w:bottom w:val="nil"/>
              <w:right w:val="nil"/>
            </w:tcBorders>
            <w:shd w:val="clear" w:color="auto" w:fill="auto"/>
            <w:noWrap/>
            <w:vAlign w:val="bottom"/>
            <w:hideMark/>
          </w:tcPr>
          <w:p w14:paraId="10ECE54A" w14:textId="77777777" w:rsidR="0016084B" w:rsidRPr="00D611F8" w:rsidRDefault="0016084B" w:rsidP="00081F23">
            <w:pPr>
              <w:ind w:firstLine="0"/>
              <w:rPr>
                <w:color w:val="000000"/>
                <w:sz w:val="18"/>
                <w:szCs w:val="18"/>
              </w:rPr>
            </w:pPr>
            <w:r w:rsidRPr="00D611F8">
              <w:rPr>
                <w:color w:val="000000"/>
                <w:sz w:val="18"/>
                <w:szCs w:val="18"/>
              </w:rPr>
              <w:t>-0.726**</w:t>
            </w:r>
          </w:p>
        </w:tc>
        <w:tc>
          <w:tcPr>
            <w:tcW w:w="960" w:type="dxa"/>
            <w:tcBorders>
              <w:top w:val="single" w:sz="4" w:space="0" w:color="auto"/>
              <w:left w:val="nil"/>
              <w:bottom w:val="nil"/>
              <w:right w:val="nil"/>
            </w:tcBorders>
            <w:shd w:val="clear" w:color="auto" w:fill="auto"/>
            <w:noWrap/>
            <w:vAlign w:val="bottom"/>
            <w:hideMark/>
          </w:tcPr>
          <w:p w14:paraId="6B24F86F" w14:textId="77777777" w:rsidR="0016084B" w:rsidRPr="00D611F8" w:rsidRDefault="0016084B" w:rsidP="00081F23">
            <w:pPr>
              <w:ind w:firstLine="0"/>
              <w:rPr>
                <w:color w:val="000000"/>
                <w:sz w:val="18"/>
                <w:szCs w:val="18"/>
              </w:rPr>
            </w:pPr>
            <w:r w:rsidRPr="00D611F8">
              <w:rPr>
                <w:color w:val="000000"/>
                <w:sz w:val="18"/>
                <w:szCs w:val="18"/>
              </w:rPr>
              <w:t>-0.672**</w:t>
            </w:r>
          </w:p>
        </w:tc>
        <w:tc>
          <w:tcPr>
            <w:tcW w:w="960" w:type="dxa"/>
            <w:tcBorders>
              <w:top w:val="single" w:sz="4" w:space="0" w:color="auto"/>
              <w:left w:val="nil"/>
              <w:bottom w:val="nil"/>
              <w:right w:val="nil"/>
            </w:tcBorders>
            <w:shd w:val="clear" w:color="auto" w:fill="auto"/>
            <w:noWrap/>
            <w:vAlign w:val="bottom"/>
            <w:hideMark/>
          </w:tcPr>
          <w:p w14:paraId="045BAF24" w14:textId="77777777" w:rsidR="0016084B" w:rsidRPr="00D611F8" w:rsidRDefault="0016084B" w:rsidP="00081F23">
            <w:pPr>
              <w:ind w:firstLine="0"/>
              <w:rPr>
                <w:color w:val="000000"/>
                <w:sz w:val="18"/>
                <w:szCs w:val="18"/>
              </w:rPr>
            </w:pPr>
            <w:r w:rsidRPr="00D611F8">
              <w:rPr>
                <w:color w:val="000000"/>
                <w:sz w:val="18"/>
                <w:szCs w:val="18"/>
              </w:rPr>
              <w:t>-0.855**</w:t>
            </w:r>
          </w:p>
        </w:tc>
        <w:tc>
          <w:tcPr>
            <w:tcW w:w="1126" w:type="dxa"/>
            <w:tcBorders>
              <w:top w:val="single" w:sz="4" w:space="0" w:color="auto"/>
              <w:left w:val="nil"/>
              <w:bottom w:val="nil"/>
              <w:right w:val="nil"/>
            </w:tcBorders>
            <w:shd w:val="clear" w:color="auto" w:fill="auto"/>
            <w:noWrap/>
            <w:vAlign w:val="bottom"/>
            <w:hideMark/>
          </w:tcPr>
          <w:p w14:paraId="4C5AB272" w14:textId="77777777" w:rsidR="0016084B" w:rsidRPr="00D611F8" w:rsidRDefault="0016084B" w:rsidP="00081F23">
            <w:pPr>
              <w:ind w:firstLine="0"/>
              <w:rPr>
                <w:color w:val="000000"/>
                <w:sz w:val="18"/>
                <w:szCs w:val="18"/>
              </w:rPr>
            </w:pPr>
            <w:r w:rsidRPr="00D611F8">
              <w:rPr>
                <w:color w:val="000000"/>
                <w:sz w:val="18"/>
                <w:szCs w:val="18"/>
              </w:rPr>
              <w:t>-0.729**</w:t>
            </w:r>
          </w:p>
        </w:tc>
        <w:tc>
          <w:tcPr>
            <w:tcW w:w="1600" w:type="dxa"/>
            <w:tcBorders>
              <w:top w:val="single" w:sz="4" w:space="0" w:color="auto"/>
              <w:left w:val="nil"/>
              <w:bottom w:val="nil"/>
              <w:right w:val="nil"/>
            </w:tcBorders>
            <w:shd w:val="clear" w:color="auto" w:fill="auto"/>
            <w:noWrap/>
            <w:vAlign w:val="bottom"/>
            <w:hideMark/>
          </w:tcPr>
          <w:p w14:paraId="4E7CAC5C" w14:textId="77777777" w:rsidR="0016084B" w:rsidRPr="00D611F8" w:rsidRDefault="0016084B" w:rsidP="00081F23">
            <w:pPr>
              <w:ind w:firstLine="0"/>
              <w:rPr>
                <w:color w:val="000000"/>
                <w:sz w:val="18"/>
                <w:szCs w:val="18"/>
              </w:rPr>
            </w:pPr>
            <w:r w:rsidRPr="00D611F8">
              <w:rPr>
                <w:color w:val="000000"/>
                <w:sz w:val="18"/>
                <w:szCs w:val="18"/>
              </w:rPr>
              <w:t>-0.817**</w:t>
            </w:r>
          </w:p>
        </w:tc>
      </w:tr>
      <w:tr w:rsidR="0016084B" w:rsidRPr="00D611F8" w14:paraId="432E7CA6"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7705807" w14:textId="1B83BCBB" w:rsidR="0016084B" w:rsidRPr="00D611F8" w:rsidRDefault="00132C08" w:rsidP="00081F23">
            <w:pPr>
              <w:ind w:firstLine="0"/>
              <w:rPr>
                <w:color w:val="000000"/>
                <w:sz w:val="18"/>
                <w:szCs w:val="18"/>
              </w:rPr>
            </w:pPr>
            <w:r>
              <w:rPr>
                <w:color w:val="000000"/>
                <w:sz w:val="18"/>
                <w:szCs w:val="18"/>
              </w:rPr>
              <w:t>PIB</w:t>
            </w:r>
            <w:r w:rsidR="0016084B" w:rsidRPr="00D611F8">
              <w:rPr>
                <w:color w:val="000000"/>
                <w:sz w:val="18"/>
                <w:szCs w:val="18"/>
              </w:rPr>
              <w:t>pc</w:t>
            </w:r>
          </w:p>
        </w:tc>
        <w:tc>
          <w:tcPr>
            <w:tcW w:w="960" w:type="dxa"/>
            <w:tcBorders>
              <w:top w:val="nil"/>
              <w:left w:val="single" w:sz="4" w:space="0" w:color="auto"/>
              <w:bottom w:val="nil"/>
              <w:right w:val="nil"/>
            </w:tcBorders>
            <w:shd w:val="clear" w:color="auto" w:fill="auto"/>
            <w:noWrap/>
            <w:vAlign w:val="bottom"/>
            <w:hideMark/>
          </w:tcPr>
          <w:p w14:paraId="5BEDE593" w14:textId="77777777" w:rsidR="0016084B" w:rsidRPr="00D611F8" w:rsidRDefault="0016084B" w:rsidP="00081F23">
            <w:pPr>
              <w:ind w:firstLine="0"/>
              <w:rPr>
                <w:color w:val="000000"/>
                <w:sz w:val="18"/>
                <w:szCs w:val="18"/>
              </w:rPr>
            </w:pPr>
            <w:r w:rsidRPr="00D611F8">
              <w:rPr>
                <w:color w:val="000000"/>
                <w:sz w:val="18"/>
                <w:szCs w:val="18"/>
              </w:rPr>
              <w:t>-0.228**</w:t>
            </w:r>
          </w:p>
        </w:tc>
        <w:tc>
          <w:tcPr>
            <w:tcW w:w="960" w:type="dxa"/>
            <w:tcBorders>
              <w:top w:val="nil"/>
              <w:left w:val="nil"/>
              <w:bottom w:val="nil"/>
              <w:right w:val="nil"/>
            </w:tcBorders>
            <w:shd w:val="clear" w:color="auto" w:fill="auto"/>
            <w:noWrap/>
            <w:vAlign w:val="bottom"/>
            <w:hideMark/>
          </w:tcPr>
          <w:p w14:paraId="508D1ADC" w14:textId="77777777" w:rsidR="0016084B" w:rsidRPr="00D611F8" w:rsidRDefault="0016084B" w:rsidP="00081F23">
            <w:pPr>
              <w:ind w:firstLine="0"/>
              <w:rPr>
                <w:color w:val="000000"/>
                <w:sz w:val="18"/>
                <w:szCs w:val="18"/>
              </w:rPr>
            </w:pPr>
            <w:r w:rsidRPr="00D611F8">
              <w:rPr>
                <w:color w:val="000000"/>
                <w:sz w:val="18"/>
                <w:szCs w:val="18"/>
              </w:rPr>
              <w:t>-0.23**</w:t>
            </w:r>
          </w:p>
        </w:tc>
        <w:tc>
          <w:tcPr>
            <w:tcW w:w="2040" w:type="dxa"/>
            <w:tcBorders>
              <w:top w:val="nil"/>
              <w:left w:val="nil"/>
              <w:bottom w:val="nil"/>
              <w:right w:val="nil"/>
            </w:tcBorders>
            <w:shd w:val="clear" w:color="auto" w:fill="auto"/>
            <w:noWrap/>
            <w:vAlign w:val="bottom"/>
            <w:hideMark/>
          </w:tcPr>
          <w:p w14:paraId="504C3752" w14:textId="77777777" w:rsidR="0016084B" w:rsidRPr="00D611F8" w:rsidRDefault="0016084B" w:rsidP="00081F23">
            <w:pPr>
              <w:ind w:firstLine="0"/>
              <w:rPr>
                <w:color w:val="000000"/>
                <w:sz w:val="18"/>
                <w:szCs w:val="18"/>
              </w:rPr>
            </w:pPr>
            <w:r w:rsidRPr="00D611F8">
              <w:rPr>
                <w:color w:val="000000"/>
                <w:sz w:val="18"/>
                <w:szCs w:val="18"/>
              </w:rPr>
              <w:t>-0.235**</w:t>
            </w:r>
          </w:p>
        </w:tc>
        <w:tc>
          <w:tcPr>
            <w:tcW w:w="960" w:type="dxa"/>
            <w:tcBorders>
              <w:top w:val="nil"/>
              <w:left w:val="nil"/>
              <w:bottom w:val="nil"/>
              <w:right w:val="nil"/>
            </w:tcBorders>
            <w:shd w:val="clear" w:color="auto" w:fill="auto"/>
            <w:noWrap/>
            <w:vAlign w:val="bottom"/>
            <w:hideMark/>
          </w:tcPr>
          <w:p w14:paraId="16F336FC" w14:textId="77777777" w:rsidR="0016084B" w:rsidRPr="00D611F8" w:rsidRDefault="0016084B" w:rsidP="00081F23">
            <w:pPr>
              <w:ind w:firstLine="0"/>
              <w:rPr>
                <w:color w:val="000000"/>
                <w:sz w:val="18"/>
                <w:szCs w:val="18"/>
              </w:rPr>
            </w:pPr>
            <w:r w:rsidRPr="00D611F8">
              <w:rPr>
                <w:color w:val="000000"/>
                <w:sz w:val="18"/>
                <w:szCs w:val="18"/>
              </w:rPr>
              <w:t>-0.2**</w:t>
            </w:r>
          </w:p>
        </w:tc>
        <w:tc>
          <w:tcPr>
            <w:tcW w:w="960" w:type="dxa"/>
            <w:tcBorders>
              <w:top w:val="nil"/>
              <w:left w:val="nil"/>
              <w:bottom w:val="nil"/>
              <w:right w:val="nil"/>
            </w:tcBorders>
            <w:shd w:val="clear" w:color="auto" w:fill="auto"/>
            <w:noWrap/>
            <w:vAlign w:val="bottom"/>
            <w:hideMark/>
          </w:tcPr>
          <w:p w14:paraId="0B910E22" w14:textId="77777777" w:rsidR="0016084B" w:rsidRPr="00D611F8" w:rsidRDefault="0016084B" w:rsidP="00081F23">
            <w:pPr>
              <w:ind w:firstLine="0"/>
              <w:rPr>
                <w:color w:val="000000"/>
                <w:sz w:val="18"/>
                <w:szCs w:val="18"/>
              </w:rPr>
            </w:pPr>
            <w:r w:rsidRPr="00D611F8">
              <w:rPr>
                <w:color w:val="000000"/>
                <w:sz w:val="18"/>
                <w:szCs w:val="18"/>
              </w:rPr>
              <w:t>-0.089**</w:t>
            </w:r>
          </w:p>
        </w:tc>
        <w:tc>
          <w:tcPr>
            <w:tcW w:w="960" w:type="dxa"/>
            <w:tcBorders>
              <w:top w:val="nil"/>
              <w:left w:val="nil"/>
              <w:bottom w:val="nil"/>
              <w:right w:val="nil"/>
            </w:tcBorders>
            <w:shd w:val="clear" w:color="auto" w:fill="auto"/>
            <w:noWrap/>
            <w:vAlign w:val="bottom"/>
            <w:hideMark/>
          </w:tcPr>
          <w:p w14:paraId="56D7E4C0"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336F6EA5" w14:textId="77777777" w:rsidR="0016084B" w:rsidRPr="00D611F8" w:rsidRDefault="0016084B" w:rsidP="00081F23">
            <w:pPr>
              <w:ind w:firstLine="0"/>
              <w:rPr>
                <w:color w:val="000000"/>
                <w:sz w:val="18"/>
                <w:szCs w:val="18"/>
              </w:rPr>
            </w:pPr>
            <w:r w:rsidRPr="00D611F8">
              <w:rPr>
                <w:color w:val="000000"/>
                <w:sz w:val="18"/>
                <w:szCs w:val="18"/>
              </w:rPr>
              <w:t>-0.099**</w:t>
            </w:r>
          </w:p>
        </w:tc>
        <w:tc>
          <w:tcPr>
            <w:tcW w:w="1600" w:type="dxa"/>
            <w:tcBorders>
              <w:top w:val="nil"/>
              <w:left w:val="nil"/>
              <w:bottom w:val="nil"/>
              <w:right w:val="nil"/>
            </w:tcBorders>
            <w:shd w:val="clear" w:color="auto" w:fill="auto"/>
            <w:noWrap/>
            <w:vAlign w:val="bottom"/>
            <w:hideMark/>
          </w:tcPr>
          <w:p w14:paraId="54F48210"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4613C2C3"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970C82A" w14:textId="52DD1CE6" w:rsidR="0016084B" w:rsidRPr="00D611F8" w:rsidRDefault="00132C08" w:rsidP="00081F23">
            <w:pPr>
              <w:ind w:firstLine="0"/>
              <w:rPr>
                <w:color w:val="000000"/>
                <w:sz w:val="18"/>
                <w:szCs w:val="18"/>
              </w:rPr>
            </w:pPr>
            <w:r w:rsidRPr="00D611F8">
              <w:rPr>
                <w:color w:val="000000"/>
                <w:sz w:val="18"/>
                <w:szCs w:val="18"/>
              </w:rPr>
              <w:t>N</w:t>
            </w:r>
            <w:r w:rsidR="0016084B" w:rsidRPr="00D611F8">
              <w:rPr>
                <w:color w:val="000000"/>
                <w:sz w:val="18"/>
                <w:szCs w:val="18"/>
              </w:rPr>
              <w:t>ordeste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26BBE7A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1B19BFA"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65B977CC"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735ACD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1359FB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13DB609"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377D165E" w14:textId="77777777" w:rsidR="0016084B" w:rsidRPr="00D611F8" w:rsidRDefault="0016084B" w:rsidP="00081F23">
            <w:pPr>
              <w:ind w:firstLine="0"/>
              <w:rPr>
                <w:color w:val="000000"/>
                <w:sz w:val="18"/>
                <w:szCs w:val="18"/>
              </w:rPr>
            </w:pPr>
            <w:r w:rsidRPr="00D611F8">
              <w:rPr>
                <w:color w:val="000000"/>
                <w:sz w:val="18"/>
                <w:szCs w:val="18"/>
              </w:rPr>
              <w:t>-0.116**</w:t>
            </w:r>
          </w:p>
        </w:tc>
        <w:tc>
          <w:tcPr>
            <w:tcW w:w="1600" w:type="dxa"/>
            <w:tcBorders>
              <w:top w:val="nil"/>
              <w:left w:val="nil"/>
              <w:bottom w:val="nil"/>
              <w:right w:val="nil"/>
            </w:tcBorders>
            <w:shd w:val="clear" w:color="auto" w:fill="auto"/>
            <w:noWrap/>
            <w:vAlign w:val="bottom"/>
            <w:hideMark/>
          </w:tcPr>
          <w:p w14:paraId="54CFE1BC"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69063A0D"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7F238808" w14:textId="7717A707" w:rsidR="0016084B" w:rsidRPr="00D611F8" w:rsidRDefault="00132C08" w:rsidP="00081F23">
            <w:pPr>
              <w:ind w:firstLine="0"/>
              <w:rPr>
                <w:color w:val="000000"/>
                <w:sz w:val="18"/>
                <w:szCs w:val="18"/>
              </w:rPr>
            </w:pPr>
            <w:r w:rsidRPr="00D611F8">
              <w:rPr>
                <w:color w:val="000000"/>
                <w:sz w:val="18"/>
                <w:szCs w:val="18"/>
              </w:rPr>
              <w:t>S</w:t>
            </w:r>
            <w:r w:rsidR="0016084B" w:rsidRPr="00D611F8">
              <w:rPr>
                <w:color w:val="000000"/>
                <w:sz w:val="18"/>
                <w:szCs w:val="18"/>
              </w:rPr>
              <w:t>ul</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112688E7"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E5ED246"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66B57E6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BC001E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014C5E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7F89BA9"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47788886" w14:textId="77777777" w:rsidR="0016084B" w:rsidRPr="00D611F8" w:rsidRDefault="0016084B" w:rsidP="00081F23">
            <w:pPr>
              <w:ind w:firstLine="0"/>
              <w:rPr>
                <w:color w:val="000000"/>
                <w:sz w:val="18"/>
                <w:szCs w:val="18"/>
              </w:rPr>
            </w:pPr>
            <w:r w:rsidRPr="00D611F8">
              <w:rPr>
                <w:color w:val="000000"/>
                <w:sz w:val="18"/>
                <w:szCs w:val="18"/>
              </w:rPr>
              <w:t>-0.213**</w:t>
            </w:r>
          </w:p>
        </w:tc>
        <w:tc>
          <w:tcPr>
            <w:tcW w:w="1600" w:type="dxa"/>
            <w:tcBorders>
              <w:top w:val="nil"/>
              <w:left w:val="nil"/>
              <w:bottom w:val="nil"/>
              <w:right w:val="nil"/>
            </w:tcBorders>
            <w:shd w:val="clear" w:color="auto" w:fill="auto"/>
            <w:noWrap/>
            <w:vAlign w:val="bottom"/>
            <w:hideMark/>
          </w:tcPr>
          <w:p w14:paraId="761A4642"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364D8543"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2EEDEA1A" w14:textId="48F587C1" w:rsidR="0016084B" w:rsidRPr="00D611F8" w:rsidRDefault="00132C08" w:rsidP="00081F23">
            <w:pPr>
              <w:ind w:firstLine="0"/>
              <w:rPr>
                <w:color w:val="000000"/>
                <w:sz w:val="18"/>
                <w:szCs w:val="18"/>
              </w:rPr>
            </w:pPr>
            <w:r w:rsidRPr="00D611F8">
              <w:rPr>
                <w:color w:val="000000"/>
                <w:sz w:val="18"/>
                <w:szCs w:val="18"/>
              </w:rPr>
              <w:t>N</w:t>
            </w:r>
            <w:r w:rsidR="0016084B" w:rsidRPr="00D611F8">
              <w:rPr>
                <w:color w:val="000000"/>
                <w:sz w:val="18"/>
                <w:szCs w:val="18"/>
              </w:rPr>
              <w:t>orte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783AB811" w14:textId="77777777" w:rsidR="0016084B" w:rsidRPr="00D611F8" w:rsidRDefault="0016084B" w:rsidP="00081F23">
            <w:pPr>
              <w:ind w:firstLine="0"/>
              <w:rPr>
                <w:color w:val="000000"/>
                <w:sz w:val="18"/>
                <w:szCs w:val="18"/>
              </w:rPr>
            </w:pPr>
            <w:r w:rsidRPr="00D611F8">
              <w:rPr>
                <w:color w:val="000000"/>
                <w:sz w:val="18"/>
                <w:szCs w:val="18"/>
              </w:rPr>
              <w:t>0.332**</w:t>
            </w:r>
          </w:p>
        </w:tc>
        <w:tc>
          <w:tcPr>
            <w:tcW w:w="960" w:type="dxa"/>
            <w:tcBorders>
              <w:top w:val="nil"/>
              <w:left w:val="nil"/>
              <w:bottom w:val="nil"/>
              <w:right w:val="nil"/>
            </w:tcBorders>
            <w:shd w:val="clear" w:color="auto" w:fill="auto"/>
            <w:noWrap/>
            <w:vAlign w:val="bottom"/>
            <w:hideMark/>
          </w:tcPr>
          <w:p w14:paraId="7FB44F18" w14:textId="77777777" w:rsidR="0016084B" w:rsidRPr="00D611F8" w:rsidRDefault="0016084B" w:rsidP="00081F23">
            <w:pPr>
              <w:ind w:firstLine="0"/>
              <w:rPr>
                <w:color w:val="000000"/>
                <w:sz w:val="18"/>
                <w:szCs w:val="18"/>
              </w:rPr>
            </w:pPr>
            <w:r w:rsidRPr="00D611F8">
              <w:rPr>
                <w:color w:val="000000"/>
                <w:sz w:val="18"/>
                <w:szCs w:val="18"/>
              </w:rPr>
              <w:t>0.281**</w:t>
            </w:r>
          </w:p>
        </w:tc>
        <w:tc>
          <w:tcPr>
            <w:tcW w:w="2040" w:type="dxa"/>
            <w:tcBorders>
              <w:top w:val="nil"/>
              <w:left w:val="nil"/>
              <w:bottom w:val="nil"/>
              <w:right w:val="nil"/>
            </w:tcBorders>
            <w:shd w:val="clear" w:color="auto" w:fill="auto"/>
            <w:noWrap/>
            <w:vAlign w:val="bottom"/>
            <w:hideMark/>
          </w:tcPr>
          <w:p w14:paraId="434B53B7" w14:textId="77777777" w:rsidR="0016084B" w:rsidRPr="00D611F8" w:rsidRDefault="0016084B" w:rsidP="00081F23">
            <w:pPr>
              <w:ind w:firstLine="0"/>
              <w:rPr>
                <w:color w:val="000000"/>
                <w:sz w:val="18"/>
                <w:szCs w:val="18"/>
              </w:rPr>
            </w:pPr>
            <w:r w:rsidRPr="00D611F8">
              <w:rPr>
                <w:color w:val="000000"/>
                <w:sz w:val="18"/>
                <w:szCs w:val="18"/>
              </w:rPr>
              <w:t>0.272**</w:t>
            </w:r>
          </w:p>
        </w:tc>
        <w:tc>
          <w:tcPr>
            <w:tcW w:w="960" w:type="dxa"/>
            <w:tcBorders>
              <w:top w:val="nil"/>
              <w:left w:val="nil"/>
              <w:bottom w:val="nil"/>
              <w:right w:val="nil"/>
            </w:tcBorders>
            <w:shd w:val="clear" w:color="auto" w:fill="auto"/>
            <w:noWrap/>
            <w:vAlign w:val="bottom"/>
            <w:hideMark/>
          </w:tcPr>
          <w:p w14:paraId="3BD76108"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0B249AB"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2C11630"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247D0CF3" w14:textId="77777777" w:rsidR="0016084B" w:rsidRPr="00D611F8" w:rsidRDefault="0016084B" w:rsidP="00081F23">
            <w:pPr>
              <w:ind w:firstLine="0"/>
              <w:rPr>
                <w:color w:val="000000"/>
                <w:sz w:val="18"/>
                <w:szCs w:val="18"/>
              </w:rPr>
            </w:pPr>
            <w:r w:rsidRPr="00D611F8">
              <w:rPr>
                <w:color w:val="000000"/>
                <w:sz w:val="18"/>
                <w:szCs w:val="18"/>
              </w:rPr>
              <w:t>-0.02</w:t>
            </w:r>
          </w:p>
        </w:tc>
        <w:tc>
          <w:tcPr>
            <w:tcW w:w="1600" w:type="dxa"/>
            <w:tcBorders>
              <w:top w:val="nil"/>
              <w:left w:val="nil"/>
              <w:bottom w:val="nil"/>
              <w:right w:val="nil"/>
            </w:tcBorders>
            <w:shd w:val="clear" w:color="auto" w:fill="auto"/>
            <w:noWrap/>
            <w:vAlign w:val="bottom"/>
            <w:hideMark/>
          </w:tcPr>
          <w:p w14:paraId="6C669420" w14:textId="77777777" w:rsidR="0016084B" w:rsidRPr="00D611F8" w:rsidRDefault="0016084B" w:rsidP="00081F23">
            <w:pPr>
              <w:ind w:firstLine="0"/>
              <w:rPr>
                <w:color w:val="000000"/>
                <w:sz w:val="18"/>
                <w:szCs w:val="18"/>
              </w:rPr>
            </w:pPr>
            <w:r w:rsidRPr="00D611F8">
              <w:rPr>
                <w:color w:val="000000"/>
                <w:sz w:val="18"/>
                <w:szCs w:val="18"/>
              </w:rPr>
              <w:t>0.049</w:t>
            </w:r>
          </w:p>
        </w:tc>
      </w:tr>
      <w:tr w:rsidR="0016084B" w:rsidRPr="00D611F8" w14:paraId="5F5DD807"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56FE3C12" w14:textId="0C58E34F" w:rsidR="0016084B" w:rsidRPr="00D611F8" w:rsidRDefault="00132C08" w:rsidP="00081F23">
            <w:pPr>
              <w:ind w:firstLine="0"/>
              <w:rPr>
                <w:color w:val="000000"/>
                <w:sz w:val="18"/>
                <w:szCs w:val="18"/>
              </w:rPr>
            </w:pPr>
            <w:r w:rsidRPr="00D611F8">
              <w:rPr>
                <w:color w:val="000000"/>
                <w:sz w:val="18"/>
                <w:szCs w:val="18"/>
              </w:rPr>
              <w:t>S</w:t>
            </w:r>
            <w:r w:rsidR="0016084B" w:rsidRPr="00D611F8">
              <w:rPr>
                <w:color w:val="000000"/>
                <w:sz w:val="18"/>
                <w:szCs w:val="18"/>
              </w:rPr>
              <w:t>udeste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72536B7B"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54F51F0"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4F07083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BD38112"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C0B6DD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D82F827"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6476B879" w14:textId="77777777" w:rsidR="0016084B" w:rsidRPr="00D611F8" w:rsidRDefault="0016084B" w:rsidP="00081F23">
            <w:pPr>
              <w:ind w:firstLine="0"/>
              <w:rPr>
                <w:color w:val="000000"/>
                <w:sz w:val="18"/>
                <w:szCs w:val="18"/>
              </w:rPr>
            </w:pPr>
            <w:r w:rsidRPr="00D611F8">
              <w:rPr>
                <w:color w:val="000000"/>
                <w:sz w:val="18"/>
                <w:szCs w:val="18"/>
              </w:rPr>
              <w:t>-0.121**</w:t>
            </w:r>
          </w:p>
        </w:tc>
        <w:tc>
          <w:tcPr>
            <w:tcW w:w="1600" w:type="dxa"/>
            <w:tcBorders>
              <w:top w:val="nil"/>
              <w:left w:val="nil"/>
              <w:bottom w:val="nil"/>
              <w:right w:val="nil"/>
            </w:tcBorders>
            <w:shd w:val="clear" w:color="auto" w:fill="auto"/>
            <w:noWrap/>
            <w:vAlign w:val="bottom"/>
            <w:hideMark/>
          </w:tcPr>
          <w:p w14:paraId="398FDEA9"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2963730B"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2E356E31" w14:textId="6B101D44" w:rsidR="0016084B" w:rsidRPr="00D611F8" w:rsidRDefault="00132C08" w:rsidP="00081F23">
            <w:pPr>
              <w:ind w:firstLine="0"/>
              <w:rPr>
                <w:color w:val="000000"/>
                <w:sz w:val="18"/>
                <w:szCs w:val="18"/>
              </w:rPr>
            </w:pPr>
            <w:r w:rsidRPr="00D611F8">
              <w:rPr>
                <w:color w:val="000000"/>
                <w:sz w:val="18"/>
                <w:szCs w:val="18"/>
              </w:rPr>
              <w:t>R</w:t>
            </w:r>
            <w:r w:rsidR="0016084B" w:rsidRPr="00D611F8">
              <w:rPr>
                <w:color w:val="000000"/>
                <w:sz w:val="18"/>
                <w:szCs w:val="18"/>
              </w:rPr>
              <w:t>ural</w:t>
            </w:r>
            <w:r>
              <w:rPr>
                <w:color w:val="000000"/>
                <w:sz w:val="18"/>
                <w:szCs w:val="18"/>
              </w:rPr>
              <w:t xml:space="preserve"> </w:t>
            </w:r>
            <w:r w:rsidR="0016084B" w:rsidRPr="00D611F8">
              <w:rPr>
                <w:color w:val="000000"/>
                <w:sz w:val="18"/>
                <w:szCs w:val="18"/>
              </w:rPr>
              <w:t>remoto</w:t>
            </w:r>
          </w:p>
        </w:tc>
        <w:tc>
          <w:tcPr>
            <w:tcW w:w="960" w:type="dxa"/>
            <w:tcBorders>
              <w:top w:val="nil"/>
              <w:left w:val="single" w:sz="4" w:space="0" w:color="auto"/>
              <w:bottom w:val="nil"/>
              <w:right w:val="nil"/>
            </w:tcBorders>
            <w:shd w:val="clear" w:color="auto" w:fill="auto"/>
            <w:noWrap/>
            <w:vAlign w:val="bottom"/>
            <w:hideMark/>
          </w:tcPr>
          <w:p w14:paraId="52D12BFC" w14:textId="77777777" w:rsidR="0016084B" w:rsidRPr="00D611F8" w:rsidRDefault="0016084B" w:rsidP="00081F23">
            <w:pPr>
              <w:ind w:firstLine="0"/>
              <w:rPr>
                <w:color w:val="000000"/>
                <w:sz w:val="18"/>
                <w:szCs w:val="18"/>
              </w:rPr>
            </w:pPr>
            <w:r w:rsidRPr="00D611F8">
              <w:rPr>
                <w:color w:val="000000"/>
                <w:sz w:val="18"/>
                <w:szCs w:val="18"/>
              </w:rPr>
              <w:t>-0.366*</w:t>
            </w:r>
          </w:p>
        </w:tc>
        <w:tc>
          <w:tcPr>
            <w:tcW w:w="960" w:type="dxa"/>
            <w:tcBorders>
              <w:top w:val="nil"/>
              <w:left w:val="nil"/>
              <w:bottom w:val="nil"/>
              <w:right w:val="nil"/>
            </w:tcBorders>
            <w:shd w:val="clear" w:color="auto" w:fill="auto"/>
            <w:noWrap/>
            <w:vAlign w:val="bottom"/>
            <w:hideMark/>
          </w:tcPr>
          <w:p w14:paraId="3D9148C0" w14:textId="77777777" w:rsidR="0016084B" w:rsidRPr="00D611F8" w:rsidRDefault="0016084B" w:rsidP="00081F23">
            <w:pPr>
              <w:ind w:firstLine="0"/>
              <w:rPr>
                <w:color w:val="000000"/>
                <w:sz w:val="18"/>
                <w:szCs w:val="18"/>
              </w:rPr>
            </w:pPr>
            <w:r w:rsidRPr="00D611F8">
              <w:rPr>
                <w:color w:val="000000"/>
                <w:sz w:val="18"/>
                <w:szCs w:val="18"/>
              </w:rPr>
              <w:t>-0.455*</w:t>
            </w:r>
          </w:p>
        </w:tc>
        <w:tc>
          <w:tcPr>
            <w:tcW w:w="2040" w:type="dxa"/>
            <w:tcBorders>
              <w:top w:val="nil"/>
              <w:left w:val="nil"/>
              <w:bottom w:val="nil"/>
              <w:right w:val="nil"/>
            </w:tcBorders>
            <w:shd w:val="clear" w:color="auto" w:fill="auto"/>
            <w:noWrap/>
            <w:vAlign w:val="bottom"/>
            <w:hideMark/>
          </w:tcPr>
          <w:p w14:paraId="09A0BE4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6B14D9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AF972FE"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EBD407C"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5D5F9017"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3627A14A"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7BA79626"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7413AB2" w14:textId="4111C649" w:rsidR="0016084B" w:rsidRPr="00D611F8" w:rsidRDefault="00132C08" w:rsidP="00081F23">
            <w:pPr>
              <w:ind w:firstLine="0"/>
              <w:rPr>
                <w:color w:val="000000"/>
                <w:sz w:val="18"/>
                <w:szCs w:val="18"/>
              </w:rPr>
            </w:pPr>
            <w:r w:rsidRPr="00D611F8">
              <w:rPr>
                <w:color w:val="000000"/>
                <w:sz w:val="18"/>
                <w:szCs w:val="18"/>
              </w:rPr>
              <w:t>R</w:t>
            </w:r>
            <w:r w:rsidR="0016084B" w:rsidRPr="00D611F8">
              <w:rPr>
                <w:color w:val="000000"/>
                <w:sz w:val="18"/>
                <w:szCs w:val="18"/>
              </w:rPr>
              <w:t>ural</w:t>
            </w:r>
            <w:r>
              <w:rPr>
                <w:color w:val="000000"/>
                <w:sz w:val="18"/>
                <w:szCs w:val="18"/>
              </w:rPr>
              <w:t xml:space="preserve"> </w:t>
            </w:r>
            <w:r w:rsidR="0016084B" w:rsidRPr="00D611F8">
              <w:rPr>
                <w:color w:val="000000"/>
                <w:sz w:val="18"/>
                <w:szCs w:val="18"/>
              </w:rPr>
              <w:t>adjacente</w:t>
            </w:r>
          </w:p>
        </w:tc>
        <w:tc>
          <w:tcPr>
            <w:tcW w:w="960" w:type="dxa"/>
            <w:tcBorders>
              <w:top w:val="nil"/>
              <w:left w:val="single" w:sz="4" w:space="0" w:color="auto"/>
              <w:bottom w:val="nil"/>
              <w:right w:val="nil"/>
            </w:tcBorders>
            <w:shd w:val="clear" w:color="auto" w:fill="auto"/>
            <w:noWrap/>
            <w:vAlign w:val="bottom"/>
            <w:hideMark/>
          </w:tcPr>
          <w:p w14:paraId="4C75A65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87C269C"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2DE20CE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416F3A1" w14:textId="77777777" w:rsidR="0016084B" w:rsidRPr="00D611F8" w:rsidRDefault="0016084B" w:rsidP="00081F23">
            <w:pPr>
              <w:ind w:firstLine="0"/>
              <w:rPr>
                <w:color w:val="000000"/>
                <w:sz w:val="18"/>
                <w:szCs w:val="18"/>
              </w:rPr>
            </w:pPr>
            <w:r w:rsidRPr="00D611F8">
              <w:rPr>
                <w:color w:val="000000"/>
                <w:sz w:val="18"/>
                <w:szCs w:val="18"/>
              </w:rPr>
              <w:t>-0.136*</w:t>
            </w:r>
          </w:p>
        </w:tc>
        <w:tc>
          <w:tcPr>
            <w:tcW w:w="960" w:type="dxa"/>
            <w:tcBorders>
              <w:top w:val="nil"/>
              <w:left w:val="nil"/>
              <w:bottom w:val="nil"/>
              <w:right w:val="nil"/>
            </w:tcBorders>
            <w:shd w:val="clear" w:color="auto" w:fill="auto"/>
            <w:noWrap/>
            <w:vAlign w:val="bottom"/>
            <w:hideMark/>
          </w:tcPr>
          <w:p w14:paraId="0F8D5A48" w14:textId="77777777" w:rsidR="0016084B" w:rsidRPr="00D611F8" w:rsidRDefault="0016084B" w:rsidP="00081F23">
            <w:pPr>
              <w:ind w:firstLine="0"/>
              <w:rPr>
                <w:color w:val="000000"/>
                <w:sz w:val="18"/>
                <w:szCs w:val="18"/>
              </w:rPr>
            </w:pPr>
            <w:r w:rsidRPr="00D611F8">
              <w:rPr>
                <w:color w:val="000000"/>
                <w:sz w:val="18"/>
                <w:szCs w:val="18"/>
              </w:rPr>
              <w:t>-0.286**</w:t>
            </w:r>
          </w:p>
        </w:tc>
        <w:tc>
          <w:tcPr>
            <w:tcW w:w="960" w:type="dxa"/>
            <w:tcBorders>
              <w:top w:val="nil"/>
              <w:left w:val="nil"/>
              <w:bottom w:val="nil"/>
              <w:right w:val="nil"/>
            </w:tcBorders>
            <w:shd w:val="clear" w:color="auto" w:fill="auto"/>
            <w:noWrap/>
            <w:vAlign w:val="bottom"/>
            <w:hideMark/>
          </w:tcPr>
          <w:p w14:paraId="3CCD3A1F"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283B996B"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117975C4"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1B68296C"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738279D" w14:textId="2B472B2B" w:rsidR="0016084B" w:rsidRPr="00D611F8" w:rsidRDefault="00132C08" w:rsidP="00081F23">
            <w:pPr>
              <w:ind w:firstLine="0"/>
              <w:rPr>
                <w:color w:val="000000"/>
                <w:sz w:val="18"/>
                <w:szCs w:val="18"/>
              </w:rPr>
            </w:pPr>
            <w:r w:rsidRPr="00D611F8">
              <w:rPr>
                <w:color w:val="000000"/>
                <w:sz w:val="18"/>
                <w:szCs w:val="18"/>
              </w:rPr>
              <w:t>U</w:t>
            </w:r>
            <w:r w:rsidR="0016084B" w:rsidRPr="00D611F8">
              <w:rPr>
                <w:color w:val="000000"/>
                <w:sz w:val="18"/>
                <w:szCs w:val="18"/>
              </w:rPr>
              <w:t>rbano</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70549CF5"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916448F"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66510EF8" w14:textId="77777777" w:rsidR="0016084B" w:rsidRPr="00D611F8" w:rsidRDefault="0016084B" w:rsidP="00081F23">
            <w:pPr>
              <w:ind w:firstLine="0"/>
              <w:rPr>
                <w:color w:val="000000"/>
                <w:sz w:val="18"/>
                <w:szCs w:val="18"/>
              </w:rPr>
            </w:pPr>
            <w:r w:rsidRPr="00D611F8">
              <w:rPr>
                <w:color w:val="000000"/>
                <w:sz w:val="18"/>
                <w:szCs w:val="18"/>
              </w:rPr>
              <w:t>0.113*</w:t>
            </w:r>
          </w:p>
        </w:tc>
        <w:tc>
          <w:tcPr>
            <w:tcW w:w="960" w:type="dxa"/>
            <w:tcBorders>
              <w:top w:val="nil"/>
              <w:left w:val="nil"/>
              <w:bottom w:val="nil"/>
              <w:right w:val="nil"/>
            </w:tcBorders>
            <w:shd w:val="clear" w:color="auto" w:fill="auto"/>
            <w:noWrap/>
            <w:vAlign w:val="bottom"/>
            <w:hideMark/>
          </w:tcPr>
          <w:p w14:paraId="4EB82506"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971245C"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48C9458"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3023D347"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696D266E"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43BC5B9E"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0609D773" w14:textId="227467C2" w:rsidR="0016084B" w:rsidRPr="00D611F8" w:rsidRDefault="00132C08" w:rsidP="00081F23">
            <w:pPr>
              <w:ind w:firstLine="0"/>
              <w:rPr>
                <w:color w:val="000000"/>
                <w:sz w:val="18"/>
                <w:szCs w:val="18"/>
              </w:rPr>
            </w:pPr>
            <w:r>
              <w:rPr>
                <w:color w:val="000000"/>
                <w:sz w:val="18"/>
                <w:szCs w:val="18"/>
              </w:rPr>
              <w:t>A</w:t>
            </w:r>
            <w:r w:rsidR="0016084B" w:rsidRPr="00D611F8">
              <w:rPr>
                <w:color w:val="000000"/>
                <w:sz w:val="18"/>
                <w:szCs w:val="18"/>
              </w:rPr>
              <w:t>gro</w:t>
            </w:r>
            <w:r>
              <w:rPr>
                <w:color w:val="000000"/>
                <w:sz w:val="18"/>
                <w:szCs w:val="18"/>
              </w:rPr>
              <w:t>pecuária</w:t>
            </w:r>
          </w:p>
        </w:tc>
        <w:tc>
          <w:tcPr>
            <w:tcW w:w="960" w:type="dxa"/>
            <w:tcBorders>
              <w:top w:val="nil"/>
              <w:left w:val="single" w:sz="4" w:space="0" w:color="auto"/>
              <w:bottom w:val="nil"/>
              <w:right w:val="nil"/>
            </w:tcBorders>
            <w:shd w:val="clear" w:color="auto" w:fill="auto"/>
            <w:noWrap/>
            <w:vAlign w:val="bottom"/>
            <w:hideMark/>
          </w:tcPr>
          <w:p w14:paraId="429B07A1"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08095D0" w14:textId="77777777" w:rsidR="0016084B" w:rsidRPr="00D611F8" w:rsidRDefault="0016084B" w:rsidP="00081F23">
            <w:pPr>
              <w:ind w:firstLine="0"/>
              <w:rPr>
                <w:color w:val="000000"/>
                <w:sz w:val="18"/>
                <w:szCs w:val="18"/>
              </w:rPr>
            </w:pPr>
            <w:r w:rsidRPr="00D611F8">
              <w:rPr>
                <w:color w:val="000000"/>
                <w:sz w:val="18"/>
                <w:szCs w:val="18"/>
              </w:rPr>
              <w:t>0.526**</w:t>
            </w:r>
          </w:p>
        </w:tc>
        <w:tc>
          <w:tcPr>
            <w:tcW w:w="2040" w:type="dxa"/>
            <w:tcBorders>
              <w:top w:val="nil"/>
              <w:left w:val="nil"/>
              <w:bottom w:val="nil"/>
              <w:right w:val="nil"/>
            </w:tcBorders>
            <w:shd w:val="clear" w:color="auto" w:fill="auto"/>
            <w:noWrap/>
            <w:vAlign w:val="bottom"/>
            <w:hideMark/>
          </w:tcPr>
          <w:p w14:paraId="70001CBC"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F5B3FC6"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AAA62EC" w14:textId="77777777" w:rsidR="0016084B" w:rsidRPr="00D611F8" w:rsidRDefault="0016084B" w:rsidP="00081F23">
            <w:pPr>
              <w:ind w:firstLine="0"/>
              <w:rPr>
                <w:color w:val="000000"/>
                <w:sz w:val="18"/>
                <w:szCs w:val="18"/>
              </w:rPr>
            </w:pPr>
            <w:r w:rsidRPr="00D611F8">
              <w:rPr>
                <w:color w:val="000000"/>
                <w:sz w:val="18"/>
                <w:szCs w:val="18"/>
              </w:rPr>
              <w:t>-0.31</w:t>
            </w:r>
          </w:p>
        </w:tc>
        <w:tc>
          <w:tcPr>
            <w:tcW w:w="960" w:type="dxa"/>
            <w:tcBorders>
              <w:top w:val="nil"/>
              <w:left w:val="nil"/>
              <w:bottom w:val="nil"/>
              <w:right w:val="nil"/>
            </w:tcBorders>
            <w:shd w:val="clear" w:color="auto" w:fill="auto"/>
            <w:noWrap/>
            <w:vAlign w:val="bottom"/>
            <w:hideMark/>
          </w:tcPr>
          <w:p w14:paraId="75A1E953"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5F80FD14"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7279BFB4"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5D25A10D"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2C13A6B9" w14:textId="67CFC9FD" w:rsidR="0016084B" w:rsidRPr="00D611F8" w:rsidRDefault="00132C08" w:rsidP="00081F23">
            <w:pPr>
              <w:ind w:firstLine="0"/>
              <w:rPr>
                <w:color w:val="000000"/>
                <w:sz w:val="18"/>
                <w:szCs w:val="18"/>
              </w:rPr>
            </w:pPr>
            <w:r>
              <w:rPr>
                <w:color w:val="000000"/>
                <w:sz w:val="18"/>
                <w:szCs w:val="18"/>
              </w:rPr>
              <w:t>Serviços</w:t>
            </w:r>
          </w:p>
        </w:tc>
        <w:tc>
          <w:tcPr>
            <w:tcW w:w="960" w:type="dxa"/>
            <w:tcBorders>
              <w:top w:val="nil"/>
              <w:left w:val="single" w:sz="4" w:space="0" w:color="auto"/>
              <w:bottom w:val="nil"/>
              <w:right w:val="nil"/>
            </w:tcBorders>
            <w:shd w:val="clear" w:color="auto" w:fill="auto"/>
            <w:noWrap/>
            <w:vAlign w:val="bottom"/>
            <w:hideMark/>
          </w:tcPr>
          <w:p w14:paraId="08EFD762" w14:textId="77777777" w:rsidR="0016084B" w:rsidRPr="00D611F8" w:rsidRDefault="0016084B" w:rsidP="00081F23">
            <w:pPr>
              <w:ind w:firstLine="0"/>
              <w:rPr>
                <w:color w:val="000000"/>
                <w:sz w:val="18"/>
                <w:szCs w:val="18"/>
              </w:rPr>
            </w:pPr>
            <w:r w:rsidRPr="00D611F8">
              <w:rPr>
                <w:color w:val="000000"/>
                <w:sz w:val="18"/>
                <w:szCs w:val="18"/>
              </w:rPr>
              <w:t>-0.306*</w:t>
            </w:r>
          </w:p>
        </w:tc>
        <w:tc>
          <w:tcPr>
            <w:tcW w:w="960" w:type="dxa"/>
            <w:tcBorders>
              <w:top w:val="nil"/>
              <w:left w:val="nil"/>
              <w:bottom w:val="nil"/>
              <w:right w:val="nil"/>
            </w:tcBorders>
            <w:shd w:val="clear" w:color="auto" w:fill="auto"/>
            <w:noWrap/>
            <w:vAlign w:val="bottom"/>
            <w:hideMark/>
          </w:tcPr>
          <w:p w14:paraId="74268BB6"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05CABF67"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E1D96AD" w14:textId="77777777" w:rsidR="0016084B" w:rsidRPr="00D611F8" w:rsidRDefault="0016084B" w:rsidP="00081F23">
            <w:pPr>
              <w:ind w:firstLine="0"/>
              <w:rPr>
                <w:color w:val="000000"/>
                <w:sz w:val="18"/>
                <w:szCs w:val="18"/>
              </w:rPr>
            </w:pPr>
            <w:r w:rsidRPr="00D611F8">
              <w:rPr>
                <w:color w:val="000000"/>
                <w:sz w:val="18"/>
                <w:szCs w:val="18"/>
              </w:rPr>
              <w:t>-0.198</w:t>
            </w:r>
          </w:p>
        </w:tc>
        <w:tc>
          <w:tcPr>
            <w:tcW w:w="960" w:type="dxa"/>
            <w:tcBorders>
              <w:top w:val="nil"/>
              <w:left w:val="nil"/>
              <w:bottom w:val="nil"/>
              <w:right w:val="nil"/>
            </w:tcBorders>
            <w:shd w:val="clear" w:color="auto" w:fill="auto"/>
            <w:noWrap/>
            <w:vAlign w:val="bottom"/>
            <w:hideMark/>
          </w:tcPr>
          <w:p w14:paraId="602A56E5" w14:textId="77777777" w:rsidR="0016084B" w:rsidRPr="00D611F8" w:rsidRDefault="0016084B" w:rsidP="00081F23">
            <w:pPr>
              <w:ind w:firstLine="0"/>
              <w:rPr>
                <w:color w:val="000000"/>
                <w:sz w:val="18"/>
                <w:szCs w:val="18"/>
              </w:rPr>
            </w:pPr>
            <w:r w:rsidRPr="00D611F8">
              <w:rPr>
                <w:color w:val="000000"/>
                <w:sz w:val="18"/>
                <w:szCs w:val="18"/>
              </w:rPr>
              <w:t>-0.538**</w:t>
            </w:r>
          </w:p>
        </w:tc>
        <w:tc>
          <w:tcPr>
            <w:tcW w:w="960" w:type="dxa"/>
            <w:tcBorders>
              <w:top w:val="nil"/>
              <w:left w:val="nil"/>
              <w:bottom w:val="nil"/>
              <w:right w:val="nil"/>
            </w:tcBorders>
            <w:shd w:val="clear" w:color="auto" w:fill="auto"/>
            <w:noWrap/>
            <w:vAlign w:val="bottom"/>
            <w:hideMark/>
          </w:tcPr>
          <w:p w14:paraId="5354662F" w14:textId="77777777" w:rsidR="0016084B" w:rsidRPr="00D611F8" w:rsidRDefault="0016084B" w:rsidP="00081F23">
            <w:pPr>
              <w:ind w:firstLine="0"/>
              <w:rPr>
                <w:color w:val="000000"/>
                <w:sz w:val="18"/>
                <w:szCs w:val="18"/>
              </w:rPr>
            </w:pPr>
            <w:r w:rsidRPr="00D611F8">
              <w:rPr>
                <w:color w:val="000000"/>
                <w:sz w:val="18"/>
                <w:szCs w:val="18"/>
              </w:rPr>
              <w:t>-0.535**</w:t>
            </w:r>
          </w:p>
        </w:tc>
        <w:tc>
          <w:tcPr>
            <w:tcW w:w="1126" w:type="dxa"/>
            <w:tcBorders>
              <w:top w:val="nil"/>
              <w:left w:val="nil"/>
              <w:bottom w:val="nil"/>
              <w:right w:val="nil"/>
            </w:tcBorders>
            <w:shd w:val="clear" w:color="auto" w:fill="auto"/>
            <w:noWrap/>
            <w:vAlign w:val="bottom"/>
            <w:hideMark/>
          </w:tcPr>
          <w:p w14:paraId="67E0EE7E"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3B2A344F" w14:textId="77777777" w:rsidR="0016084B" w:rsidRPr="00D611F8" w:rsidRDefault="0016084B" w:rsidP="00081F23">
            <w:pPr>
              <w:ind w:firstLine="0"/>
              <w:rPr>
                <w:color w:val="000000"/>
                <w:sz w:val="18"/>
                <w:szCs w:val="18"/>
              </w:rPr>
            </w:pPr>
            <w:r w:rsidRPr="00D611F8">
              <w:rPr>
                <w:color w:val="000000"/>
                <w:sz w:val="18"/>
                <w:szCs w:val="18"/>
              </w:rPr>
              <w:t>-0.424**</w:t>
            </w:r>
          </w:p>
        </w:tc>
      </w:tr>
      <w:tr w:rsidR="0016084B" w:rsidRPr="00D611F8" w14:paraId="27810548"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07A04E36" w14:textId="3FB6F1BF" w:rsidR="0016084B" w:rsidRPr="00D611F8" w:rsidRDefault="00132C08" w:rsidP="00081F23">
            <w:pPr>
              <w:ind w:firstLine="0"/>
              <w:rPr>
                <w:color w:val="000000"/>
                <w:sz w:val="18"/>
                <w:szCs w:val="18"/>
              </w:rPr>
            </w:pPr>
            <w:r>
              <w:rPr>
                <w:color w:val="000000"/>
                <w:sz w:val="18"/>
                <w:szCs w:val="18"/>
              </w:rPr>
              <w:t xml:space="preserve">Indústria </w:t>
            </w:r>
          </w:p>
        </w:tc>
        <w:tc>
          <w:tcPr>
            <w:tcW w:w="960" w:type="dxa"/>
            <w:tcBorders>
              <w:top w:val="nil"/>
              <w:left w:val="single" w:sz="4" w:space="0" w:color="auto"/>
              <w:bottom w:val="nil"/>
              <w:right w:val="nil"/>
            </w:tcBorders>
            <w:shd w:val="clear" w:color="auto" w:fill="auto"/>
            <w:noWrap/>
            <w:vAlign w:val="bottom"/>
            <w:hideMark/>
          </w:tcPr>
          <w:p w14:paraId="2BE522F8"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07B4429"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63F297FB"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CBD762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B6A0384"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D15C0E2" w14:textId="77777777" w:rsidR="0016084B" w:rsidRPr="00D611F8" w:rsidRDefault="0016084B" w:rsidP="00081F23">
            <w:pPr>
              <w:ind w:firstLine="0"/>
              <w:rPr>
                <w:color w:val="000000"/>
                <w:sz w:val="18"/>
                <w:szCs w:val="18"/>
              </w:rPr>
            </w:pPr>
            <w:r w:rsidRPr="00D611F8">
              <w:rPr>
                <w:color w:val="000000"/>
                <w:sz w:val="18"/>
                <w:szCs w:val="18"/>
              </w:rPr>
              <w:t>-0.343**</w:t>
            </w:r>
          </w:p>
        </w:tc>
        <w:tc>
          <w:tcPr>
            <w:tcW w:w="1126" w:type="dxa"/>
            <w:tcBorders>
              <w:top w:val="nil"/>
              <w:left w:val="nil"/>
              <w:bottom w:val="nil"/>
              <w:right w:val="nil"/>
            </w:tcBorders>
            <w:shd w:val="clear" w:color="auto" w:fill="auto"/>
            <w:noWrap/>
            <w:vAlign w:val="bottom"/>
            <w:hideMark/>
          </w:tcPr>
          <w:p w14:paraId="76958773"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617A2F9A" w14:textId="77777777" w:rsidR="0016084B" w:rsidRPr="00D611F8" w:rsidRDefault="0016084B" w:rsidP="00081F23">
            <w:pPr>
              <w:ind w:firstLine="0"/>
              <w:rPr>
                <w:color w:val="000000"/>
                <w:sz w:val="18"/>
                <w:szCs w:val="18"/>
              </w:rPr>
            </w:pPr>
            <w:r w:rsidRPr="00D611F8">
              <w:rPr>
                <w:color w:val="000000"/>
                <w:sz w:val="18"/>
                <w:szCs w:val="18"/>
              </w:rPr>
              <w:t>-0.133*</w:t>
            </w:r>
          </w:p>
        </w:tc>
      </w:tr>
      <w:tr w:rsidR="0016084B" w:rsidRPr="00D611F8" w14:paraId="5AAC44CC"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1BB468EF" w14:textId="3DE240FE" w:rsidR="0016084B" w:rsidRPr="00D611F8" w:rsidRDefault="00132C08" w:rsidP="00081F23">
            <w:pPr>
              <w:ind w:firstLine="0"/>
              <w:rPr>
                <w:color w:val="000000"/>
                <w:sz w:val="18"/>
                <w:szCs w:val="18"/>
              </w:rPr>
            </w:pPr>
            <w:r w:rsidRPr="00D611F8">
              <w:rPr>
                <w:color w:val="000000"/>
                <w:sz w:val="18"/>
                <w:szCs w:val="18"/>
              </w:rPr>
              <w:t>P</w:t>
            </w:r>
            <w:r>
              <w:rPr>
                <w:color w:val="000000"/>
                <w:sz w:val="18"/>
                <w:szCs w:val="18"/>
              </w:rPr>
              <w:t>IB 8.000</w:t>
            </w:r>
          </w:p>
        </w:tc>
        <w:tc>
          <w:tcPr>
            <w:tcW w:w="960" w:type="dxa"/>
            <w:tcBorders>
              <w:top w:val="nil"/>
              <w:left w:val="single" w:sz="4" w:space="0" w:color="auto"/>
              <w:bottom w:val="nil"/>
              <w:right w:val="nil"/>
            </w:tcBorders>
            <w:shd w:val="clear" w:color="auto" w:fill="auto"/>
            <w:noWrap/>
            <w:vAlign w:val="bottom"/>
            <w:hideMark/>
          </w:tcPr>
          <w:p w14:paraId="732A6121" w14:textId="77777777" w:rsidR="0016084B" w:rsidRPr="00D611F8" w:rsidRDefault="0016084B" w:rsidP="00081F23">
            <w:pPr>
              <w:ind w:firstLine="0"/>
              <w:rPr>
                <w:color w:val="000000"/>
                <w:sz w:val="18"/>
                <w:szCs w:val="18"/>
              </w:rPr>
            </w:pPr>
            <w:r w:rsidRPr="00D611F8">
              <w:rPr>
                <w:color w:val="000000"/>
                <w:sz w:val="18"/>
                <w:szCs w:val="18"/>
              </w:rPr>
              <w:t>-0.157</w:t>
            </w:r>
          </w:p>
        </w:tc>
        <w:tc>
          <w:tcPr>
            <w:tcW w:w="960" w:type="dxa"/>
            <w:tcBorders>
              <w:top w:val="nil"/>
              <w:left w:val="nil"/>
              <w:bottom w:val="nil"/>
              <w:right w:val="nil"/>
            </w:tcBorders>
            <w:shd w:val="clear" w:color="auto" w:fill="auto"/>
            <w:noWrap/>
            <w:vAlign w:val="bottom"/>
            <w:hideMark/>
          </w:tcPr>
          <w:p w14:paraId="3BDD13B1"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2B494BF0" w14:textId="77777777" w:rsidR="0016084B" w:rsidRPr="00D611F8" w:rsidRDefault="0016084B" w:rsidP="00081F23">
            <w:pPr>
              <w:ind w:firstLine="0"/>
              <w:rPr>
                <w:color w:val="000000"/>
                <w:sz w:val="18"/>
                <w:szCs w:val="18"/>
              </w:rPr>
            </w:pPr>
            <w:r w:rsidRPr="00D611F8">
              <w:rPr>
                <w:color w:val="000000"/>
                <w:sz w:val="18"/>
                <w:szCs w:val="18"/>
              </w:rPr>
              <w:t>-0.344**</w:t>
            </w:r>
          </w:p>
        </w:tc>
        <w:tc>
          <w:tcPr>
            <w:tcW w:w="960" w:type="dxa"/>
            <w:tcBorders>
              <w:top w:val="nil"/>
              <w:left w:val="nil"/>
              <w:bottom w:val="nil"/>
              <w:right w:val="nil"/>
            </w:tcBorders>
            <w:shd w:val="clear" w:color="auto" w:fill="auto"/>
            <w:noWrap/>
            <w:vAlign w:val="bottom"/>
            <w:hideMark/>
          </w:tcPr>
          <w:p w14:paraId="35F2F979"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5597524"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3EFCC49"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717CB6B4"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5879FB58"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48746476"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1DD81A2E" w14:textId="5C3BC679" w:rsidR="0016084B" w:rsidRPr="00D611F8" w:rsidRDefault="00132C08" w:rsidP="00081F23">
            <w:pPr>
              <w:ind w:firstLine="0"/>
              <w:rPr>
                <w:color w:val="000000"/>
                <w:sz w:val="18"/>
                <w:szCs w:val="18"/>
              </w:rPr>
            </w:pPr>
            <w:r w:rsidRPr="00D611F8">
              <w:rPr>
                <w:color w:val="000000"/>
                <w:sz w:val="18"/>
                <w:szCs w:val="18"/>
              </w:rPr>
              <w:t>P</w:t>
            </w:r>
            <w:r>
              <w:rPr>
                <w:color w:val="000000"/>
                <w:sz w:val="18"/>
                <w:szCs w:val="18"/>
              </w:rPr>
              <w:t>IB 150.000</w:t>
            </w:r>
          </w:p>
        </w:tc>
        <w:tc>
          <w:tcPr>
            <w:tcW w:w="960" w:type="dxa"/>
            <w:tcBorders>
              <w:top w:val="nil"/>
              <w:left w:val="single" w:sz="4" w:space="0" w:color="auto"/>
              <w:bottom w:val="nil"/>
              <w:right w:val="nil"/>
            </w:tcBorders>
            <w:shd w:val="clear" w:color="auto" w:fill="auto"/>
            <w:noWrap/>
            <w:vAlign w:val="bottom"/>
            <w:hideMark/>
          </w:tcPr>
          <w:p w14:paraId="067128E9"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E3B3016" w14:textId="77777777" w:rsidR="0016084B" w:rsidRPr="00D611F8" w:rsidRDefault="0016084B" w:rsidP="00081F23">
            <w:pPr>
              <w:ind w:firstLine="0"/>
              <w:rPr>
                <w:color w:val="000000"/>
                <w:sz w:val="18"/>
                <w:szCs w:val="18"/>
              </w:rPr>
            </w:pPr>
            <w:r w:rsidRPr="00D611F8">
              <w:rPr>
                <w:color w:val="000000"/>
                <w:sz w:val="18"/>
                <w:szCs w:val="18"/>
              </w:rPr>
              <w:t>-1.063**</w:t>
            </w:r>
          </w:p>
        </w:tc>
        <w:tc>
          <w:tcPr>
            <w:tcW w:w="2040" w:type="dxa"/>
            <w:tcBorders>
              <w:top w:val="nil"/>
              <w:left w:val="nil"/>
              <w:bottom w:val="nil"/>
              <w:right w:val="nil"/>
            </w:tcBorders>
            <w:shd w:val="clear" w:color="auto" w:fill="auto"/>
            <w:noWrap/>
            <w:vAlign w:val="bottom"/>
            <w:hideMark/>
          </w:tcPr>
          <w:p w14:paraId="7FB093BB" w14:textId="77777777" w:rsidR="0016084B" w:rsidRPr="00D611F8" w:rsidRDefault="0016084B" w:rsidP="00081F23">
            <w:pPr>
              <w:ind w:firstLine="0"/>
              <w:rPr>
                <w:color w:val="000000"/>
                <w:sz w:val="18"/>
                <w:szCs w:val="18"/>
              </w:rPr>
            </w:pPr>
            <w:r w:rsidRPr="00D611F8">
              <w:rPr>
                <w:color w:val="000000"/>
                <w:sz w:val="18"/>
                <w:szCs w:val="18"/>
              </w:rPr>
              <w:t>-1.76**</w:t>
            </w:r>
          </w:p>
        </w:tc>
        <w:tc>
          <w:tcPr>
            <w:tcW w:w="960" w:type="dxa"/>
            <w:tcBorders>
              <w:top w:val="nil"/>
              <w:left w:val="nil"/>
              <w:bottom w:val="nil"/>
              <w:right w:val="nil"/>
            </w:tcBorders>
            <w:shd w:val="clear" w:color="auto" w:fill="auto"/>
            <w:noWrap/>
            <w:vAlign w:val="bottom"/>
            <w:hideMark/>
          </w:tcPr>
          <w:p w14:paraId="342061AC"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94FDD52"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7EA8AD2" w14:textId="77777777" w:rsidR="0016084B" w:rsidRPr="00D611F8" w:rsidRDefault="0016084B" w:rsidP="00081F23">
            <w:pPr>
              <w:ind w:firstLine="0"/>
              <w:rPr>
                <w:color w:val="000000"/>
                <w:sz w:val="18"/>
                <w:szCs w:val="18"/>
              </w:rPr>
            </w:pPr>
            <w:r w:rsidRPr="00D611F8">
              <w:rPr>
                <w:color w:val="000000"/>
                <w:sz w:val="18"/>
                <w:szCs w:val="18"/>
              </w:rPr>
              <w:t>-0.732**</w:t>
            </w:r>
          </w:p>
        </w:tc>
        <w:tc>
          <w:tcPr>
            <w:tcW w:w="1126" w:type="dxa"/>
            <w:tcBorders>
              <w:top w:val="nil"/>
              <w:left w:val="nil"/>
              <w:bottom w:val="nil"/>
              <w:right w:val="nil"/>
            </w:tcBorders>
            <w:shd w:val="clear" w:color="auto" w:fill="auto"/>
            <w:noWrap/>
            <w:vAlign w:val="bottom"/>
            <w:hideMark/>
          </w:tcPr>
          <w:p w14:paraId="2BDC9A0B"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490E6639"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77CD7BD7"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343ECED8" w14:textId="7B96D8FF" w:rsidR="0016084B" w:rsidRPr="00D611F8" w:rsidRDefault="00132C08" w:rsidP="00081F23">
            <w:pPr>
              <w:ind w:firstLine="0"/>
              <w:rPr>
                <w:color w:val="000000"/>
                <w:sz w:val="18"/>
                <w:szCs w:val="18"/>
              </w:rPr>
            </w:pPr>
            <w:r w:rsidRPr="00D611F8">
              <w:rPr>
                <w:color w:val="000000"/>
                <w:sz w:val="18"/>
                <w:szCs w:val="18"/>
              </w:rPr>
              <w:t>P</w:t>
            </w:r>
            <w:r w:rsidR="0016084B" w:rsidRPr="00D611F8">
              <w:rPr>
                <w:color w:val="000000"/>
                <w:sz w:val="18"/>
                <w:szCs w:val="18"/>
              </w:rPr>
              <w:t>op</w:t>
            </w:r>
            <w:r>
              <w:rPr>
                <w:color w:val="000000"/>
                <w:sz w:val="18"/>
                <w:szCs w:val="18"/>
              </w:rPr>
              <w:t xml:space="preserve">ulação </w:t>
            </w:r>
          </w:p>
        </w:tc>
        <w:tc>
          <w:tcPr>
            <w:tcW w:w="960" w:type="dxa"/>
            <w:tcBorders>
              <w:top w:val="nil"/>
              <w:left w:val="single" w:sz="4" w:space="0" w:color="auto"/>
              <w:bottom w:val="nil"/>
              <w:right w:val="nil"/>
            </w:tcBorders>
            <w:shd w:val="clear" w:color="auto" w:fill="auto"/>
            <w:noWrap/>
            <w:vAlign w:val="bottom"/>
            <w:hideMark/>
          </w:tcPr>
          <w:p w14:paraId="68921559"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749F237"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7ADDFD9F" w14:textId="77777777" w:rsidR="0016084B" w:rsidRPr="00D611F8" w:rsidRDefault="0016084B" w:rsidP="00081F23">
            <w:pPr>
              <w:ind w:firstLine="0"/>
              <w:rPr>
                <w:color w:val="000000"/>
                <w:sz w:val="18"/>
                <w:szCs w:val="18"/>
              </w:rPr>
            </w:pPr>
            <w:r w:rsidRPr="00D611F8">
              <w:rPr>
                <w:color w:val="000000"/>
                <w:sz w:val="18"/>
                <w:szCs w:val="18"/>
              </w:rPr>
              <w:t>-0.22**</w:t>
            </w:r>
          </w:p>
        </w:tc>
        <w:tc>
          <w:tcPr>
            <w:tcW w:w="960" w:type="dxa"/>
            <w:tcBorders>
              <w:top w:val="nil"/>
              <w:left w:val="nil"/>
              <w:bottom w:val="nil"/>
              <w:right w:val="nil"/>
            </w:tcBorders>
            <w:shd w:val="clear" w:color="auto" w:fill="auto"/>
            <w:noWrap/>
            <w:vAlign w:val="bottom"/>
            <w:hideMark/>
          </w:tcPr>
          <w:p w14:paraId="3157AE34" w14:textId="77777777" w:rsidR="0016084B" w:rsidRPr="00D611F8" w:rsidRDefault="0016084B" w:rsidP="00081F23">
            <w:pPr>
              <w:ind w:firstLine="0"/>
              <w:rPr>
                <w:color w:val="000000"/>
                <w:sz w:val="18"/>
                <w:szCs w:val="18"/>
              </w:rPr>
            </w:pPr>
            <w:r w:rsidRPr="00D611F8">
              <w:rPr>
                <w:color w:val="000000"/>
                <w:sz w:val="18"/>
                <w:szCs w:val="18"/>
              </w:rPr>
              <w:t>-0.125**</w:t>
            </w:r>
          </w:p>
        </w:tc>
        <w:tc>
          <w:tcPr>
            <w:tcW w:w="960" w:type="dxa"/>
            <w:tcBorders>
              <w:top w:val="nil"/>
              <w:left w:val="nil"/>
              <w:bottom w:val="nil"/>
              <w:right w:val="nil"/>
            </w:tcBorders>
            <w:shd w:val="clear" w:color="auto" w:fill="auto"/>
            <w:noWrap/>
            <w:vAlign w:val="bottom"/>
            <w:hideMark/>
          </w:tcPr>
          <w:p w14:paraId="0BC2DB08" w14:textId="77777777" w:rsidR="0016084B" w:rsidRPr="00D611F8" w:rsidRDefault="0016084B" w:rsidP="00081F23">
            <w:pPr>
              <w:ind w:firstLine="0"/>
              <w:rPr>
                <w:color w:val="000000"/>
                <w:sz w:val="18"/>
                <w:szCs w:val="18"/>
              </w:rPr>
            </w:pPr>
            <w:r w:rsidRPr="00D611F8">
              <w:rPr>
                <w:color w:val="000000"/>
                <w:sz w:val="18"/>
                <w:szCs w:val="18"/>
              </w:rPr>
              <w:t>-0.162**</w:t>
            </w:r>
          </w:p>
        </w:tc>
        <w:tc>
          <w:tcPr>
            <w:tcW w:w="960" w:type="dxa"/>
            <w:tcBorders>
              <w:top w:val="nil"/>
              <w:left w:val="nil"/>
              <w:bottom w:val="nil"/>
              <w:right w:val="nil"/>
            </w:tcBorders>
            <w:shd w:val="clear" w:color="auto" w:fill="auto"/>
            <w:noWrap/>
            <w:vAlign w:val="bottom"/>
            <w:hideMark/>
          </w:tcPr>
          <w:p w14:paraId="4D598916" w14:textId="77777777" w:rsidR="0016084B" w:rsidRPr="00D611F8" w:rsidRDefault="0016084B" w:rsidP="00081F23">
            <w:pPr>
              <w:ind w:firstLine="0"/>
              <w:rPr>
                <w:color w:val="000000"/>
                <w:sz w:val="18"/>
                <w:szCs w:val="18"/>
              </w:rPr>
            </w:pPr>
            <w:r w:rsidRPr="00D611F8">
              <w:rPr>
                <w:color w:val="000000"/>
                <w:sz w:val="18"/>
                <w:szCs w:val="18"/>
              </w:rPr>
              <w:t>-0.081</w:t>
            </w:r>
          </w:p>
        </w:tc>
        <w:tc>
          <w:tcPr>
            <w:tcW w:w="1126" w:type="dxa"/>
            <w:tcBorders>
              <w:top w:val="nil"/>
              <w:left w:val="nil"/>
              <w:bottom w:val="nil"/>
              <w:right w:val="nil"/>
            </w:tcBorders>
            <w:shd w:val="clear" w:color="auto" w:fill="auto"/>
            <w:noWrap/>
            <w:vAlign w:val="bottom"/>
            <w:hideMark/>
          </w:tcPr>
          <w:p w14:paraId="7EED0042"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652FDA10"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2B57C4AC"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2114D3C1" w14:textId="5CBFA1BE" w:rsidR="0016084B" w:rsidRPr="00D611F8" w:rsidRDefault="00132C08" w:rsidP="00081F23">
            <w:pPr>
              <w:ind w:firstLine="0"/>
              <w:rPr>
                <w:color w:val="000000"/>
                <w:sz w:val="18"/>
                <w:szCs w:val="18"/>
              </w:rPr>
            </w:pPr>
            <w:r>
              <w:rPr>
                <w:color w:val="000000"/>
                <w:sz w:val="18"/>
                <w:szCs w:val="18"/>
              </w:rPr>
              <w:t>E</w:t>
            </w:r>
            <w:r w:rsidR="0016084B" w:rsidRPr="00D611F8">
              <w:rPr>
                <w:color w:val="000000"/>
                <w:sz w:val="18"/>
                <w:szCs w:val="18"/>
              </w:rPr>
              <w:t>statut</w:t>
            </w:r>
            <w:r>
              <w:rPr>
                <w:color w:val="000000"/>
                <w:sz w:val="18"/>
                <w:szCs w:val="18"/>
              </w:rPr>
              <w:t>á</w:t>
            </w:r>
            <w:r w:rsidR="0016084B" w:rsidRPr="00D611F8">
              <w:rPr>
                <w:color w:val="000000"/>
                <w:sz w:val="18"/>
                <w:szCs w:val="18"/>
              </w:rPr>
              <w:t>rios</w:t>
            </w:r>
          </w:p>
        </w:tc>
        <w:tc>
          <w:tcPr>
            <w:tcW w:w="960" w:type="dxa"/>
            <w:tcBorders>
              <w:top w:val="nil"/>
              <w:left w:val="single" w:sz="4" w:space="0" w:color="auto"/>
              <w:bottom w:val="nil"/>
              <w:right w:val="nil"/>
            </w:tcBorders>
            <w:shd w:val="clear" w:color="auto" w:fill="auto"/>
            <w:noWrap/>
            <w:vAlign w:val="bottom"/>
            <w:hideMark/>
          </w:tcPr>
          <w:p w14:paraId="370C5547"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F30472D" w14:textId="77777777" w:rsidR="0016084B" w:rsidRPr="00D611F8" w:rsidRDefault="0016084B" w:rsidP="00081F23">
            <w:pPr>
              <w:ind w:firstLine="0"/>
              <w:rPr>
                <w:color w:val="000000"/>
                <w:sz w:val="18"/>
                <w:szCs w:val="18"/>
              </w:rPr>
            </w:pPr>
            <w:r w:rsidRPr="00D611F8">
              <w:rPr>
                <w:color w:val="000000"/>
                <w:sz w:val="18"/>
                <w:szCs w:val="18"/>
              </w:rPr>
              <w:t>-0.178*</w:t>
            </w:r>
          </w:p>
        </w:tc>
        <w:tc>
          <w:tcPr>
            <w:tcW w:w="2040" w:type="dxa"/>
            <w:tcBorders>
              <w:top w:val="nil"/>
              <w:left w:val="nil"/>
              <w:bottom w:val="nil"/>
              <w:right w:val="nil"/>
            </w:tcBorders>
            <w:shd w:val="clear" w:color="auto" w:fill="auto"/>
            <w:noWrap/>
            <w:vAlign w:val="bottom"/>
            <w:hideMark/>
          </w:tcPr>
          <w:p w14:paraId="2A278701"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972FC5E"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B48752B"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5C3D65B"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45030B78"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20DBCD18" w14:textId="77777777" w:rsidR="0016084B" w:rsidRPr="00D611F8" w:rsidRDefault="0016084B" w:rsidP="00081F23">
            <w:pPr>
              <w:ind w:firstLine="0"/>
              <w:rPr>
                <w:color w:val="000000"/>
                <w:sz w:val="18"/>
                <w:szCs w:val="18"/>
              </w:rPr>
            </w:pPr>
            <w:r w:rsidRPr="00D611F8">
              <w:rPr>
                <w:color w:val="000000"/>
                <w:sz w:val="18"/>
                <w:szCs w:val="18"/>
              </w:rPr>
              <w:t>-0.298**</w:t>
            </w:r>
          </w:p>
        </w:tc>
      </w:tr>
      <w:tr w:rsidR="0016084B" w:rsidRPr="00D611F8" w14:paraId="351A334D"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120C1BD" w14:textId="569D0D4D" w:rsidR="0016084B" w:rsidRPr="00D611F8" w:rsidRDefault="00132C08" w:rsidP="00081F23">
            <w:pPr>
              <w:ind w:firstLine="0"/>
              <w:rPr>
                <w:color w:val="000000"/>
                <w:sz w:val="18"/>
                <w:szCs w:val="18"/>
              </w:rPr>
            </w:pPr>
            <w:r>
              <w:rPr>
                <w:color w:val="000000"/>
                <w:sz w:val="18"/>
                <w:szCs w:val="18"/>
              </w:rPr>
              <w:t>C</w:t>
            </w:r>
            <w:r w:rsidR="0016084B" w:rsidRPr="00D611F8">
              <w:rPr>
                <w:color w:val="000000"/>
                <w:sz w:val="18"/>
                <w:szCs w:val="18"/>
              </w:rPr>
              <w:t>omissionados</w:t>
            </w:r>
          </w:p>
        </w:tc>
        <w:tc>
          <w:tcPr>
            <w:tcW w:w="960" w:type="dxa"/>
            <w:tcBorders>
              <w:top w:val="nil"/>
              <w:left w:val="single" w:sz="4" w:space="0" w:color="auto"/>
              <w:bottom w:val="nil"/>
              <w:right w:val="nil"/>
            </w:tcBorders>
            <w:shd w:val="clear" w:color="auto" w:fill="auto"/>
            <w:noWrap/>
            <w:vAlign w:val="bottom"/>
            <w:hideMark/>
          </w:tcPr>
          <w:p w14:paraId="40B565E6"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A12F429"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142D86F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19E67F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506A90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B900E0D"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3077B049"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7AB2B6C2"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62823AAA"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492EF082" w14:textId="145F2EC5" w:rsidR="0016084B" w:rsidRPr="00D611F8" w:rsidRDefault="00132C08" w:rsidP="00081F23">
            <w:pPr>
              <w:ind w:firstLine="0"/>
              <w:rPr>
                <w:color w:val="000000"/>
                <w:sz w:val="18"/>
                <w:szCs w:val="18"/>
              </w:rPr>
            </w:pPr>
            <w:r>
              <w:rPr>
                <w:color w:val="000000"/>
                <w:sz w:val="18"/>
                <w:szCs w:val="18"/>
              </w:rPr>
              <w:t>C</w:t>
            </w:r>
            <w:r w:rsidR="0016084B" w:rsidRPr="00D611F8">
              <w:rPr>
                <w:color w:val="000000"/>
                <w:sz w:val="18"/>
                <w:szCs w:val="18"/>
              </w:rPr>
              <w:t>eletistas</w:t>
            </w:r>
          </w:p>
        </w:tc>
        <w:tc>
          <w:tcPr>
            <w:tcW w:w="960" w:type="dxa"/>
            <w:tcBorders>
              <w:top w:val="nil"/>
              <w:left w:val="single" w:sz="4" w:space="0" w:color="auto"/>
              <w:bottom w:val="nil"/>
              <w:right w:val="nil"/>
            </w:tcBorders>
            <w:shd w:val="clear" w:color="auto" w:fill="auto"/>
            <w:noWrap/>
            <w:vAlign w:val="bottom"/>
            <w:hideMark/>
          </w:tcPr>
          <w:p w14:paraId="28CD7568"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D1DE9E0"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2FA2211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9DBA28D" w14:textId="77777777" w:rsidR="0016084B" w:rsidRPr="00D611F8" w:rsidRDefault="0016084B" w:rsidP="00081F23">
            <w:pPr>
              <w:ind w:firstLine="0"/>
              <w:rPr>
                <w:color w:val="000000"/>
                <w:sz w:val="18"/>
                <w:szCs w:val="18"/>
              </w:rPr>
            </w:pPr>
            <w:r w:rsidRPr="00D611F8">
              <w:rPr>
                <w:color w:val="000000"/>
                <w:sz w:val="18"/>
                <w:szCs w:val="18"/>
              </w:rPr>
              <w:t>-0.269</w:t>
            </w:r>
          </w:p>
        </w:tc>
        <w:tc>
          <w:tcPr>
            <w:tcW w:w="960" w:type="dxa"/>
            <w:tcBorders>
              <w:top w:val="nil"/>
              <w:left w:val="nil"/>
              <w:bottom w:val="nil"/>
              <w:right w:val="nil"/>
            </w:tcBorders>
            <w:shd w:val="clear" w:color="auto" w:fill="auto"/>
            <w:noWrap/>
            <w:vAlign w:val="bottom"/>
            <w:hideMark/>
          </w:tcPr>
          <w:p w14:paraId="79F7F474" w14:textId="77777777" w:rsidR="0016084B" w:rsidRPr="00D611F8" w:rsidRDefault="0016084B" w:rsidP="00081F23">
            <w:pPr>
              <w:ind w:firstLine="0"/>
              <w:rPr>
                <w:color w:val="000000"/>
                <w:sz w:val="18"/>
                <w:szCs w:val="18"/>
              </w:rPr>
            </w:pPr>
            <w:r w:rsidRPr="00D611F8">
              <w:rPr>
                <w:color w:val="000000"/>
                <w:sz w:val="18"/>
                <w:szCs w:val="18"/>
              </w:rPr>
              <w:t>-0.128*</w:t>
            </w:r>
          </w:p>
        </w:tc>
        <w:tc>
          <w:tcPr>
            <w:tcW w:w="960" w:type="dxa"/>
            <w:tcBorders>
              <w:top w:val="nil"/>
              <w:left w:val="nil"/>
              <w:bottom w:val="nil"/>
              <w:right w:val="nil"/>
            </w:tcBorders>
            <w:shd w:val="clear" w:color="auto" w:fill="auto"/>
            <w:noWrap/>
            <w:vAlign w:val="bottom"/>
            <w:hideMark/>
          </w:tcPr>
          <w:p w14:paraId="386A0273" w14:textId="77777777" w:rsidR="0016084B" w:rsidRPr="00D611F8" w:rsidRDefault="0016084B" w:rsidP="00081F23">
            <w:pPr>
              <w:ind w:firstLine="0"/>
              <w:rPr>
                <w:color w:val="000000"/>
                <w:sz w:val="18"/>
                <w:szCs w:val="18"/>
              </w:rPr>
            </w:pPr>
            <w:r w:rsidRPr="00D611F8">
              <w:rPr>
                <w:color w:val="000000"/>
                <w:sz w:val="18"/>
                <w:szCs w:val="18"/>
              </w:rPr>
              <w:t>-0.107*</w:t>
            </w:r>
          </w:p>
        </w:tc>
        <w:tc>
          <w:tcPr>
            <w:tcW w:w="1126" w:type="dxa"/>
            <w:tcBorders>
              <w:top w:val="nil"/>
              <w:left w:val="nil"/>
              <w:bottom w:val="nil"/>
              <w:right w:val="nil"/>
            </w:tcBorders>
            <w:shd w:val="clear" w:color="auto" w:fill="auto"/>
            <w:noWrap/>
            <w:vAlign w:val="bottom"/>
            <w:hideMark/>
          </w:tcPr>
          <w:p w14:paraId="55ECB670"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751FDD85"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3E7AB942"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391175A2" w14:textId="0E5531CF" w:rsidR="0016084B" w:rsidRPr="00D611F8" w:rsidRDefault="00132C08" w:rsidP="00081F23">
            <w:pPr>
              <w:ind w:firstLine="0"/>
              <w:rPr>
                <w:color w:val="000000"/>
                <w:sz w:val="18"/>
                <w:szCs w:val="18"/>
              </w:rPr>
            </w:pPr>
            <w:r>
              <w:rPr>
                <w:color w:val="000000"/>
                <w:sz w:val="18"/>
                <w:szCs w:val="18"/>
              </w:rPr>
              <w:t>F</w:t>
            </w:r>
            <w:r w:rsidRPr="00D611F8">
              <w:rPr>
                <w:color w:val="000000"/>
                <w:sz w:val="18"/>
                <w:szCs w:val="18"/>
              </w:rPr>
              <w:t>uncionários</w:t>
            </w:r>
            <w:r>
              <w:rPr>
                <w:color w:val="000000"/>
                <w:sz w:val="18"/>
                <w:szCs w:val="18"/>
              </w:rPr>
              <w:t xml:space="preserve"> com ensino superior</w:t>
            </w:r>
          </w:p>
        </w:tc>
        <w:tc>
          <w:tcPr>
            <w:tcW w:w="960" w:type="dxa"/>
            <w:tcBorders>
              <w:top w:val="nil"/>
              <w:left w:val="single" w:sz="4" w:space="0" w:color="auto"/>
              <w:bottom w:val="nil"/>
              <w:right w:val="nil"/>
            </w:tcBorders>
            <w:shd w:val="clear" w:color="auto" w:fill="auto"/>
            <w:noWrap/>
            <w:vAlign w:val="bottom"/>
            <w:hideMark/>
          </w:tcPr>
          <w:p w14:paraId="6DDA949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582CB9A"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35C9CB0E"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97FB885" w14:textId="77777777" w:rsidR="0016084B" w:rsidRPr="00D611F8" w:rsidRDefault="0016084B" w:rsidP="00081F23">
            <w:pPr>
              <w:ind w:firstLine="0"/>
              <w:rPr>
                <w:color w:val="000000"/>
                <w:sz w:val="18"/>
                <w:szCs w:val="18"/>
              </w:rPr>
            </w:pPr>
            <w:r w:rsidRPr="00D611F8">
              <w:rPr>
                <w:color w:val="000000"/>
                <w:sz w:val="18"/>
                <w:szCs w:val="18"/>
              </w:rPr>
              <w:t>0.103</w:t>
            </w:r>
          </w:p>
        </w:tc>
        <w:tc>
          <w:tcPr>
            <w:tcW w:w="960" w:type="dxa"/>
            <w:tcBorders>
              <w:top w:val="nil"/>
              <w:left w:val="nil"/>
              <w:bottom w:val="nil"/>
              <w:right w:val="nil"/>
            </w:tcBorders>
            <w:shd w:val="clear" w:color="auto" w:fill="auto"/>
            <w:noWrap/>
            <w:vAlign w:val="bottom"/>
            <w:hideMark/>
          </w:tcPr>
          <w:p w14:paraId="53D69763" w14:textId="77777777" w:rsidR="0016084B" w:rsidRPr="00D611F8" w:rsidRDefault="0016084B" w:rsidP="00081F23">
            <w:pPr>
              <w:ind w:firstLine="0"/>
              <w:rPr>
                <w:color w:val="000000"/>
                <w:sz w:val="18"/>
                <w:szCs w:val="18"/>
              </w:rPr>
            </w:pPr>
            <w:r w:rsidRPr="00D611F8">
              <w:rPr>
                <w:color w:val="000000"/>
                <w:sz w:val="18"/>
                <w:szCs w:val="18"/>
              </w:rPr>
              <w:t>-0.481**</w:t>
            </w:r>
          </w:p>
        </w:tc>
        <w:tc>
          <w:tcPr>
            <w:tcW w:w="960" w:type="dxa"/>
            <w:tcBorders>
              <w:top w:val="nil"/>
              <w:left w:val="nil"/>
              <w:bottom w:val="nil"/>
              <w:right w:val="nil"/>
            </w:tcBorders>
            <w:shd w:val="clear" w:color="auto" w:fill="auto"/>
            <w:noWrap/>
            <w:vAlign w:val="bottom"/>
            <w:hideMark/>
          </w:tcPr>
          <w:p w14:paraId="6A7A9F55" w14:textId="77777777" w:rsidR="0016084B" w:rsidRPr="00D611F8" w:rsidRDefault="0016084B" w:rsidP="00081F23">
            <w:pPr>
              <w:ind w:firstLine="0"/>
              <w:rPr>
                <w:color w:val="000000"/>
                <w:sz w:val="18"/>
                <w:szCs w:val="18"/>
              </w:rPr>
            </w:pPr>
            <w:r w:rsidRPr="00D611F8">
              <w:rPr>
                <w:color w:val="000000"/>
                <w:sz w:val="18"/>
                <w:szCs w:val="18"/>
              </w:rPr>
              <w:t>-0.357**</w:t>
            </w:r>
          </w:p>
        </w:tc>
        <w:tc>
          <w:tcPr>
            <w:tcW w:w="1126" w:type="dxa"/>
            <w:tcBorders>
              <w:top w:val="nil"/>
              <w:left w:val="nil"/>
              <w:bottom w:val="nil"/>
              <w:right w:val="nil"/>
            </w:tcBorders>
            <w:shd w:val="clear" w:color="auto" w:fill="auto"/>
            <w:noWrap/>
            <w:vAlign w:val="bottom"/>
            <w:hideMark/>
          </w:tcPr>
          <w:p w14:paraId="7D3F6F12"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0594F4A9"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5C0714B8"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0521E5DB" w14:textId="5BFC02CB" w:rsidR="0016084B" w:rsidRPr="00D611F8" w:rsidRDefault="00132C08" w:rsidP="00081F23">
            <w:pPr>
              <w:ind w:firstLine="0"/>
              <w:rPr>
                <w:color w:val="000000"/>
                <w:sz w:val="18"/>
                <w:szCs w:val="18"/>
              </w:rPr>
            </w:pPr>
            <w:r>
              <w:rPr>
                <w:color w:val="000000"/>
                <w:sz w:val="18"/>
                <w:szCs w:val="18"/>
              </w:rPr>
              <w:t>Log funcionários</w:t>
            </w:r>
          </w:p>
        </w:tc>
        <w:tc>
          <w:tcPr>
            <w:tcW w:w="960" w:type="dxa"/>
            <w:tcBorders>
              <w:top w:val="nil"/>
              <w:left w:val="single" w:sz="4" w:space="0" w:color="auto"/>
              <w:bottom w:val="nil"/>
              <w:right w:val="nil"/>
            </w:tcBorders>
            <w:shd w:val="clear" w:color="auto" w:fill="auto"/>
            <w:noWrap/>
            <w:vAlign w:val="bottom"/>
            <w:hideMark/>
          </w:tcPr>
          <w:p w14:paraId="007BC3F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719F0E3"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293B0E9B" w14:textId="77777777" w:rsidR="0016084B" w:rsidRPr="00D611F8" w:rsidRDefault="0016084B" w:rsidP="00081F23">
            <w:pPr>
              <w:ind w:firstLine="0"/>
              <w:rPr>
                <w:color w:val="000000"/>
                <w:sz w:val="18"/>
                <w:szCs w:val="18"/>
              </w:rPr>
            </w:pPr>
            <w:r w:rsidRPr="00D611F8">
              <w:rPr>
                <w:color w:val="000000"/>
                <w:sz w:val="18"/>
                <w:szCs w:val="18"/>
              </w:rPr>
              <w:t>0.171**</w:t>
            </w:r>
          </w:p>
        </w:tc>
        <w:tc>
          <w:tcPr>
            <w:tcW w:w="960" w:type="dxa"/>
            <w:tcBorders>
              <w:top w:val="nil"/>
              <w:left w:val="nil"/>
              <w:bottom w:val="nil"/>
              <w:right w:val="nil"/>
            </w:tcBorders>
            <w:shd w:val="clear" w:color="auto" w:fill="auto"/>
            <w:noWrap/>
            <w:vAlign w:val="bottom"/>
            <w:hideMark/>
          </w:tcPr>
          <w:p w14:paraId="59AC22FE" w14:textId="77777777" w:rsidR="0016084B" w:rsidRPr="00D611F8" w:rsidRDefault="0016084B" w:rsidP="00081F23">
            <w:pPr>
              <w:ind w:firstLine="0"/>
              <w:rPr>
                <w:color w:val="000000"/>
                <w:sz w:val="18"/>
                <w:szCs w:val="18"/>
              </w:rPr>
            </w:pPr>
            <w:r w:rsidRPr="00D611F8">
              <w:rPr>
                <w:color w:val="000000"/>
                <w:sz w:val="18"/>
                <w:szCs w:val="18"/>
              </w:rPr>
              <w:t>0.208**</w:t>
            </w:r>
          </w:p>
        </w:tc>
        <w:tc>
          <w:tcPr>
            <w:tcW w:w="960" w:type="dxa"/>
            <w:tcBorders>
              <w:top w:val="nil"/>
              <w:left w:val="nil"/>
              <w:bottom w:val="nil"/>
              <w:right w:val="nil"/>
            </w:tcBorders>
            <w:shd w:val="clear" w:color="auto" w:fill="auto"/>
            <w:noWrap/>
            <w:vAlign w:val="bottom"/>
            <w:hideMark/>
          </w:tcPr>
          <w:p w14:paraId="3BC741D4" w14:textId="77777777" w:rsidR="0016084B" w:rsidRPr="00D611F8" w:rsidRDefault="0016084B" w:rsidP="00081F23">
            <w:pPr>
              <w:ind w:firstLine="0"/>
              <w:rPr>
                <w:color w:val="000000"/>
                <w:sz w:val="18"/>
                <w:szCs w:val="18"/>
              </w:rPr>
            </w:pPr>
            <w:r w:rsidRPr="00D611F8">
              <w:rPr>
                <w:color w:val="000000"/>
                <w:sz w:val="18"/>
                <w:szCs w:val="18"/>
              </w:rPr>
              <w:t>0.22**</w:t>
            </w:r>
          </w:p>
        </w:tc>
        <w:tc>
          <w:tcPr>
            <w:tcW w:w="960" w:type="dxa"/>
            <w:tcBorders>
              <w:top w:val="nil"/>
              <w:left w:val="nil"/>
              <w:bottom w:val="nil"/>
              <w:right w:val="nil"/>
            </w:tcBorders>
            <w:shd w:val="clear" w:color="auto" w:fill="auto"/>
            <w:noWrap/>
            <w:vAlign w:val="bottom"/>
            <w:hideMark/>
          </w:tcPr>
          <w:p w14:paraId="66353230" w14:textId="77777777" w:rsidR="0016084B" w:rsidRPr="00D611F8" w:rsidRDefault="0016084B" w:rsidP="00081F23">
            <w:pPr>
              <w:ind w:firstLine="0"/>
              <w:rPr>
                <w:color w:val="000000"/>
                <w:sz w:val="18"/>
                <w:szCs w:val="18"/>
              </w:rPr>
            </w:pPr>
            <w:r w:rsidRPr="00D611F8">
              <w:rPr>
                <w:color w:val="000000"/>
                <w:sz w:val="18"/>
                <w:szCs w:val="18"/>
              </w:rPr>
              <w:t>0.169**</w:t>
            </w:r>
          </w:p>
        </w:tc>
        <w:tc>
          <w:tcPr>
            <w:tcW w:w="1126" w:type="dxa"/>
            <w:tcBorders>
              <w:top w:val="nil"/>
              <w:left w:val="nil"/>
              <w:bottom w:val="nil"/>
              <w:right w:val="nil"/>
            </w:tcBorders>
            <w:shd w:val="clear" w:color="auto" w:fill="auto"/>
            <w:noWrap/>
            <w:vAlign w:val="bottom"/>
            <w:hideMark/>
          </w:tcPr>
          <w:p w14:paraId="21D342EA"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40BADEEE" w14:textId="77777777" w:rsidR="0016084B" w:rsidRPr="00D611F8" w:rsidRDefault="0016084B" w:rsidP="00081F23">
            <w:pPr>
              <w:ind w:firstLine="0"/>
              <w:rPr>
                <w:color w:val="000000"/>
                <w:sz w:val="18"/>
                <w:szCs w:val="18"/>
              </w:rPr>
            </w:pPr>
            <w:r w:rsidRPr="00D611F8">
              <w:rPr>
                <w:color w:val="000000"/>
                <w:sz w:val="18"/>
                <w:szCs w:val="18"/>
              </w:rPr>
              <w:t>0.045**</w:t>
            </w:r>
          </w:p>
        </w:tc>
      </w:tr>
      <w:tr w:rsidR="0016084B" w:rsidRPr="00D611F8" w14:paraId="4014DCA2"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16B2C2E5" w14:textId="771B3ACC" w:rsidR="0016084B" w:rsidRPr="00D611F8" w:rsidRDefault="00132C08" w:rsidP="00081F23">
            <w:pPr>
              <w:ind w:firstLine="0"/>
              <w:rPr>
                <w:color w:val="000000"/>
                <w:sz w:val="18"/>
                <w:szCs w:val="18"/>
              </w:rPr>
            </w:pPr>
            <w:r>
              <w:rPr>
                <w:color w:val="000000"/>
                <w:sz w:val="18"/>
                <w:szCs w:val="18"/>
              </w:rPr>
              <w:t>Ensino superior</w:t>
            </w:r>
          </w:p>
        </w:tc>
        <w:tc>
          <w:tcPr>
            <w:tcW w:w="960" w:type="dxa"/>
            <w:tcBorders>
              <w:top w:val="nil"/>
              <w:left w:val="single" w:sz="4" w:space="0" w:color="auto"/>
              <w:bottom w:val="nil"/>
              <w:right w:val="nil"/>
            </w:tcBorders>
            <w:shd w:val="clear" w:color="auto" w:fill="auto"/>
            <w:noWrap/>
            <w:vAlign w:val="bottom"/>
            <w:hideMark/>
          </w:tcPr>
          <w:p w14:paraId="62EB7BD1"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EF9FCB4"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5760884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D59655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9906D27"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4B848C3"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7CCC2146" w14:textId="77777777" w:rsidR="0016084B" w:rsidRPr="00D611F8" w:rsidRDefault="0016084B" w:rsidP="00081F23">
            <w:pPr>
              <w:ind w:firstLine="0"/>
              <w:rPr>
                <w:color w:val="000000"/>
                <w:sz w:val="18"/>
                <w:szCs w:val="18"/>
              </w:rPr>
            </w:pPr>
            <w:r w:rsidRPr="00D611F8">
              <w:rPr>
                <w:color w:val="000000"/>
                <w:sz w:val="18"/>
                <w:szCs w:val="18"/>
              </w:rPr>
              <w:t>-0.055**</w:t>
            </w:r>
          </w:p>
        </w:tc>
        <w:tc>
          <w:tcPr>
            <w:tcW w:w="1600" w:type="dxa"/>
            <w:tcBorders>
              <w:top w:val="nil"/>
              <w:left w:val="nil"/>
              <w:bottom w:val="nil"/>
              <w:right w:val="nil"/>
            </w:tcBorders>
            <w:shd w:val="clear" w:color="auto" w:fill="auto"/>
            <w:noWrap/>
            <w:vAlign w:val="bottom"/>
            <w:hideMark/>
          </w:tcPr>
          <w:p w14:paraId="3E2582BA"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3EE651FB"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7B60FC21" w14:textId="40E4388F" w:rsidR="0016084B" w:rsidRPr="00D611F8" w:rsidRDefault="00132C08" w:rsidP="00081F23">
            <w:pPr>
              <w:ind w:firstLine="0"/>
              <w:rPr>
                <w:color w:val="000000"/>
                <w:sz w:val="18"/>
                <w:szCs w:val="18"/>
              </w:rPr>
            </w:pPr>
            <w:r>
              <w:rPr>
                <w:color w:val="000000"/>
                <w:sz w:val="18"/>
                <w:szCs w:val="18"/>
              </w:rPr>
              <w:t>Segundo mandato</w:t>
            </w:r>
          </w:p>
        </w:tc>
        <w:tc>
          <w:tcPr>
            <w:tcW w:w="960" w:type="dxa"/>
            <w:tcBorders>
              <w:top w:val="nil"/>
              <w:left w:val="single" w:sz="4" w:space="0" w:color="auto"/>
              <w:bottom w:val="nil"/>
              <w:right w:val="nil"/>
            </w:tcBorders>
            <w:shd w:val="clear" w:color="auto" w:fill="auto"/>
            <w:noWrap/>
            <w:vAlign w:val="bottom"/>
            <w:hideMark/>
          </w:tcPr>
          <w:p w14:paraId="52B5708E"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5ABC716"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7A01661D" w14:textId="77777777" w:rsidR="0016084B" w:rsidRPr="00D611F8" w:rsidRDefault="0016084B" w:rsidP="00081F23">
            <w:pPr>
              <w:ind w:firstLine="0"/>
              <w:rPr>
                <w:color w:val="000000"/>
                <w:sz w:val="18"/>
                <w:szCs w:val="18"/>
              </w:rPr>
            </w:pPr>
            <w:r w:rsidRPr="00D611F8">
              <w:rPr>
                <w:color w:val="000000"/>
                <w:sz w:val="18"/>
                <w:szCs w:val="18"/>
              </w:rPr>
              <w:t>0.097**</w:t>
            </w:r>
          </w:p>
        </w:tc>
        <w:tc>
          <w:tcPr>
            <w:tcW w:w="960" w:type="dxa"/>
            <w:tcBorders>
              <w:top w:val="nil"/>
              <w:left w:val="nil"/>
              <w:bottom w:val="nil"/>
              <w:right w:val="nil"/>
            </w:tcBorders>
            <w:shd w:val="clear" w:color="auto" w:fill="auto"/>
            <w:noWrap/>
            <w:vAlign w:val="bottom"/>
            <w:hideMark/>
          </w:tcPr>
          <w:p w14:paraId="22B75F8C" w14:textId="77777777" w:rsidR="0016084B" w:rsidRPr="00D611F8" w:rsidRDefault="0016084B" w:rsidP="00081F23">
            <w:pPr>
              <w:ind w:firstLine="0"/>
              <w:rPr>
                <w:color w:val="000000"/>
                <w:sz w:val="18"/>
                <w:szCs w:val="18"/>
              </w:rPr>
            </w:pPr>
            <w:r w:rsidRPr="00D611F8">
              <w:rPr>
                <w:color w:val="000000"/>
                <w:sz w:val="18"/>
                <w:szCs w:val="18"/>
              </w:rPr>
              <w:t>-0.056</w:t>
            </w:r>
          </w:p>
        </w:tc>
        <w:tc>
          <w:tcPr>
            <w:tcW w:w="960" w:type="dxa"/>
            <w:tcBorders>
              <w:top w:val="nil"/>
              <w:left w:val="nil"/>
              <w:bottom w:val="nil"/>
              <w:right w:val="nil"/>
            </w:tcBorders>
            <w:shd w:val="clear" w:color="auto" w:fill="auto"/>
            <w:noWrap/>
            <w:vAlign w:val="bottom"/>
            <w:hideMark/>
          </w:tcPr>
          <w:p w14:paraId="6FD93ED2" w14:textId="77777777" w:rsidR="0016084B" w:rsidRPr="00D611F8" w:rsidRDefault="0016084B" w:rsidP="00081F23">
            <w:pPr>
              <w:ind w:firstLine="0"/>
              <w:rPr>
                <w:color w:val="000000"/>
                <w:sz w:val="18"/>
                <w:szCs w:val="18"/>
              </w:rPr>
            </w:pPr>
            <w:r w:rsidRPr="00D611F8">
              <w:rPr>
                <w:color w:val="000000"/>
                <w:sz w:val="18"/>
                <w:szCs w:val="18"/>
              </w:rPr>
              <w:t>-0.05</w:t>
            </w:r>
          </w:p>
        </w:tc>
        <w:tc>
          <w:tcPr>
            <w:tcW w:w="960" w:type="dxa"/>
            <w:tcBorders>
              <w:top w:val="nil"/>
              <w:left w:val="nil"/>
              <w:bottom w:val="nil"/>
              <w:right w:val="nil"/>
            </w:tcBorders>
            <w:shd w:val="clear" w:color="auto" w:fill="auto"/>
            <w:noWrap/>
            <w:vAlign w:val="bottom"/>
            <w:hideMark/>
          </w:tcPr>
          <w:p w14:paraId="7C4BEAA2"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07753BDF" w14:textId="77777777" w:rsidR="0016084B" w:rsidRPr="00D611F8" w:rsidRDefault="0016084B" w:rsidP="00081F23">
            <w:pPr>
              <w:ind w:firstLine="0"/>
              <w:rPr>
                <w:color w:val="000000"/>
                <w:sz w:val="18"/>
                <w:szCs w:val="18"/>
              </w:rPr>
            </w:pPr>
            <w:r w:rsidRPr="00D611F8">
              <w:rPr>
                <w:color w:val="000000"/>
                <w:sz w:val="18"/>
                <w:szCs w:val="18"/>
              </w:rPr>
              <w:t>0.04*</w:t>
            </w:r>
          </w:p>
        </w:tc>
        <w:tc>
          <w:tcPr>
            <w:tcW w:w="1600" w:type="dxa"/>
            <w:tcBorders>
              <w:top w:val="nil"/>
              <w:left w:val="nil"/>
              <w:bottom w:val="nil"/>
              <w:right w:val="nil"/>
            </w:tcBorders>
            <w:shd w:val="clear" w:color="auto" w:fill="auto"/>
            <w:noWrap/>
            <w:vAlign w:val="bottom"/>
            <w:hideMark/>
          </w:tcPr>
          <w:p w14:paraId="37868698"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6F833B77"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24E3DF14" w14:textId="33E3A27D" w:rsidR="0016084B" w:rsidRPr="00D611F8" w:rsidRDefault="00132C08" w:rsidP="00081F23">
            <w:pPr>
              <w:ind w:firstLine="0"/>
              <w:rPr>
                <w:color w:val="000000"/>
                <w:sz w:val="18"/>
                <w:szCs w:val="18"/>
              </w:rPr>
            </w:pPr>
            <w:r>
              <w:rPr>
                <w:color w:val="000000"/>
                <w:sz w:val="18"/>
                <w:szCs w:val="18"/>
              </w:rPr>
              <w:t>Pós-graduação</w:t>
            </w:r>
          </w:p>
        </w:tc>
        <w:tc>
          <w:tcPr>
            <w:tcW w:w="960" w:type="dxa"/>
            <w:tcBorders>
              <w:top w:val="nil"/>
              <w:left w:val="single" w:sz="4" w:space="0" w:color="auto"/>
              <w:bottom w:val="nil"/>
              <w:right w:val="nil"/>
            </w:tcBorders>
            <w:shd w:val="clear" w:color="auto" w:fill="auto"/>
            <w:noWrap/>
            <w:vAlign w:val="bottom"/>
            <w:hideMark/>
          </w:tcPr>
          <w:p w14:paraId="54F1D46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C6DB6CD"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780AB255"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4D685B3E" w14:textId="77777777" w:rsidR="0016084B" w:rsidRPr="00D611F8" w:rsidRDefault="0016084B" w:rsidP="00081F23">
            <w:pPr>
              <w:ind w:firstLine="0"/>
              <w:rPr>
                <w:color w:val="000000"/>
                <w:sz w:val="18"/>
                <w:szCs w:val="18"/>
              </w:rPr>
            </w:pPr>
            <w:r w:rsidRPr="00D611F8">
              <w:rPr>
                <w:color w:val="000000"/>
                <w:sz w:val="18"/>
                <w:szCs w:val="18"/>
              </w:rPr>
              <w:t>-0.063</w:t>
            </w:r>
          </w:p>
        </w:tc>
        <w:tc>
          <w:tcPr>
            <w:tcW w:w="960" w:type="dxa"/>
            <w:tcBorders>
              <w:top w:val="nil"/>
              <w:left w:val="nil"/>
              <w:bottom w:val="nil"/>
              <w:right w:val="nil"/>
            </w:tcBorders>
            <w:shd w:val="clear" w:color="auto" w:fill="auto"/>
            <w:noWrap/>
            <w:vAlign w:val="bottom"/>
            <w:hideMark/>
          </w:tcPr>
          <w:p w14:paraId="378136C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3208281" w14:textId="77777777" w:rsidR="0016084B" w:rsidRPr="00D611F8" w:rsidRDefault="0016084B" w:rsidP="00081F23">
            <w:pPr>
              <w:ind w:firstLine="0"/>
              <w:rPr>
                <w:color w:val="000000"/>
                <w:sz w:val="18"/>
                <w:szCs w:val="18"/>
              </w:rPr>
            </w:pPr>
            <w:r w:rsidRPr="00D611F8">
              <w:rPr>
                <w:color w:val="000000"/>
                <w:sz w:val="18"/>
                <w:szCs w:val="18"/>
              </w:rPr>
              <w:t>-0.06*</w:t>
            </w:r>
          </w:p>
        </w:tc>
        <w:tc>
          <w:tcPr>
            <w:tcW w:w="1126" w:type="dxa"/>
            <w:tcBorders>
              <w:top w:val="nil"/>
              <w:left w:val="nil"/>
              <w:bottom w:val="nil"/>
              <w:right w:val="nil"/>
            </w:tcBorders>
            <w:shd w:val="clear" w:color="auto" w:fill="auto"/>
            <w:noWrap/>
            <w:vAlign w:val="bottom"/>
            <w:hideMark/>
          </w:tcPr>
          <w:p w14:paraId="413B90DD"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25314DD2"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03D6A9E4"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188D3DB1" w14:textId="3E78674F" w:rsidR="0016084B" w:rsidRPr="00D611F8" w:rsidRDefault="00132C08" w:rsidP="00081F23">
            <w:pPr>
              <w:ind w:firstLine="0"/>
              <w:rPr>
                <w:color w:val="000000"/>
                <w:sz w:val="18"/>
                <w:szCs w:val="18"/>
              </w:rPr>
            </w:pPr>
            <w:r w:rsidRPr="00D611F8">
              <w:rPr>
                <w:color w:val="000000"/>
                <w:sz w:val="18"/>
                <w:szCs w:val="18"/>
              </w:rPr>
              <w:t>S</w:t>
            </w:r>
            <w:r w:rsidR="0016084B" w:rsidRPr="00D611F8">
              <w:rPr>
                <w:color w:val="000000"/>
                <w:sz w:val="18"/>
                <w:szCs w:val="18"/>
              </w:rPr>
              <w:t>exo</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7D8473B5"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D57E0BC"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0F55816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E526F4F" w14:textId="77777777" w:rsidR="0016084B" w:rsidRPr="00D611F8" w:rsidRDefault="0016084B" w:rsidP="00081F23">
            <w:pPr>
              <w:ind w:firstLine="0"/>
              <w:rPr>
                <w:color w:val="000000"/>
                <w:sz w:val="18"/>
                <w:szCs w:val="18"/>
              </w:rPr>
            </w:pPr>
            <w:r w:rsidRPr="00D611F8">
              <w:rPr>
                <w:color w:val="000000"/>
                <w:sz w:val="18"/>
                <w:szCs w:val="18"/>
              </w:rPr>
              <w:t>-0.112**</w:t>
            </w:r>
          </w:p>
        </w:tc>
        <w:tc>
          <w:tcPr>
            <w:tcW w:w="960" w:type="dxa"/>
            <w:tcBorders>
              <w:top w:val="nil"/>
              <w:left w:val="nil"/>
              <w:bottom w:val="nil"/>
              <w:right w:val="nil"/>
            </w:tcBorders>
            <w:shd w:val="clear" w:color="auto" w:fill="auto"/>
            <w:noWrap/>
            <w:vAlign w:val="bottom"/>
            <w:hideMark/>
          </w:tcPr>
          <w:p w14:paraId="1B85258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DFE9C17"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0BB70097"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069E595B"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1E710AE5"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5D403B49" w14:textId="4A00FF1D" w:rsidR="0016084B" w:rsidRPr="00D611F8" w:rsidRDefault="00132C08" w:rsidP="00081F23">
            <w:pPr>
              <w:ind w:firstLine="0"/>
              <w:rPr>
                <w:color w:val="000000"/>
                <w:sz w:val="18"/>
                <w:szCs w:val="18"/>
              </w:rPr>
            </w:pPr>
            <w:r w:rsidRPr="00D611F8">
              <w:rPr>
                <w:color w:val="000000"/>
                <w:sz w:val="18"/>
                <w:szCs w:val="18"/>
              </w:rPr>
              <w:t>I</w:t>
            </w:r>
            <w:r w:rsidR="0016084B" w:rsidRPr="00D611F8">
              <w:rPr>
                <w:color w:val="000000"/>
                <w:sz w:val="18"/>
                <w:szCs w:val="18"/>
              </w:rPr>
              <w:t>dade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042F46D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4BDB8D1" w14:textId="77777777" w:rsidR="0016084B" w:rsidRPr="00D611F8" w:rsidRDefault="0016084B" w:rsidP="00081F23">
            <w:pPr>
              <w:ind w:firstLine="0"/>
              <w:rPr>
                <w:color w:val="000000"/>
                <w:sz w:val="18"/>
                <w:szCs w:val="18"/>
              </w:rPr>
            </w:pPr>
            <w:r w:rsidRPr="00D611F8">
              <w:rPr>
                <w:color w:val="000000"/>
                <w:sz w:val="18"/>
                <w:szCs w:val="18"/>
              </w:rPr>
              <w:t>0.004</w:t>
            </w:r>
          </w:p>
        </w:tc>
        <w:tc>
          <w:tcPr>
            <w:tcW w:w="2040" w:type="dxa"/>
            <w:tcBorders>
              <w:top w:val="nil"/>
              <w:left w:val="nil"/>
              <w:bottom w:val="nil"/>
              <w:right w:val="nil"/>
            </w:tcBorders>
            <w:shd w:val="clear" w:color="auto" w:fill="auto"/>
            <w:noWrap/>
            <w:vAlign w:val="bottom"/>
            <w:hideMark/>
          </w:tcPr>
          <w:p w14:paraId="1D67F66E"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8659EE5"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D8D953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BA2AA56"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1A6D7E09"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7588DC1C" w14:textId="77777777" w:rsidR="0016084B" w:rsidRPr="00D611F8" w:rsidRDefault="0016084B" w:rsidP="00081F23">
            <w:pPr>
              <w:ind w:firstLine="0"/>
              <w:rPr>
                <w:color w:val="000000"/>
                <w:sz w:val="18"/>
                <w:szCs w:val="18"/>
              </w:rPr>
            </w:pPr>
            <w:r w:rsidRPr="00D611F8">
              <w:rPr>
                <w:color w:val="000000"/>
                <w:sz w:val="18"/>
                <w:szCs w:val="18"/>
              </w:rPr>
              <w:t>-0.002</w:t>
            </w:r>
          </w:p>
        </w:tc>
      </w:tr>
      <w:tr w:rsidR="0016084B" w:rsidRPr="00D611F8" w14:paraId="631D86E5"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71BBBC3E" w14:textId="3BF054A8" w:rsidR="0016084B" w:rsidRPr="00D611F8" w:rsidRDefault="00132C08" w:rsidP="00081F23">
            <w:pPr>
              <w:ind w:firstLine="0"/>
              <w:rPr>
                <w:color w:val="000000"/>
                <w:sz w:val="18"/>
                <w:szCs w:val="18"/>
              </w:rPr>
            </w:pPr>
            <w:r w:rsidRPr="00D611F8">
              <w:rPr>
                <w:color w:val="000000"/>
                <w:sz w:val="18"/>
                <w:szCs w:val="18"/>
              </w:rPr>
              <w:t>D</w:t>
            </w:r>
            <w:r w:rsidR="0016084B" w:rsidRPr="00D611F8">
              <w:rPr>
                <w:color w:val="000000"/>
                <w:sz w:val="18"/>
                <w:szCs w:val="18"/>
              </w:rPr>
              <w:t>ireita</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4A319A8C"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C02C8CB"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41DE0F14"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EF54B8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235E7A84" w14:textId="77777777" w:rsidR="0016084B" w:rsidRPr="00D611F8" w:rsidRDefault="0016084B" w:rsidP="00081F23">
            <w:pPr>
              <w:ind w:firstLine="0"/>
              <w:rPr>
                <w:color w:val="000000"/>
                <w:sz w:val="18"/>
                <w:szCs w:val="18"/>
              </w:rPr>
            </w:pPr>
            <w:r w:rsidRPr="00D611F8">
              <w:rPr>
                <w:color w:val="000000"/>
                <w:sz w:val="18"/>
                <w:szCs w:val="18"/>
              </w:rPr>
              <w:t>-0.05</w:t>
            </w:r>
          </w:p>
        </w:tc>
        <w:tc>
          <w:tcPr>
            <w:tcW w:w="960" w:type="dxa"/>
            <w:tcBorders>
              <w:top w:val="nil"/>
              <w:left w:val="nil"/>
              <w:bottom w:val="nil"/>
              <w:right w:val="nil"/>
            </w:tcBorders>
            <w:shd w:val="clear" w:color="auto" w:fill="auto"/>
            <w:noWrap/>
            <w:vAlign w:val="bottom"/>
            <w:hideMark/>
          </w:tcPr>
          <w:p w14:paraId="7A8EEE18"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58510E3F" w14:textId="77777777" w:rsidR="0016084B" w:rsidRPr="00D611F8" w:rsidRDefault="0016084B" w:rsidP="00081F23">
            <w:pPr>
              <w:ind w:firstLine="0"/>
              <w:rPr>
                <w:color w:val="000000"/>
                <w:sz w:val="18"/>
                <w:szCs w:val="18"/>
              </w:rPr>
            </w:pPr>
            <w:r w:rsidRPr="00D611F8">
              <w:rPr>
                <w:color w:val="000000"/>
                <w:sz w:val="18"/>
                <w:szCs w:val="18"/>
              </w:rPr>
              <w:t>-0.003</w:t>
            </w:r>
          </w:p>
        </w:tc>
        <w:tc>
          <w:tcPr>
            <w:tcW w:w="1600" w:type="dxa"/>
            <w:tcBorders>
              <w:top w:val="nil"/>
              <w:left w:val="nil"/>
              <w:bottom w:val="nil"/>
              <w:right w:val="nil"/>
            </w:tcBorders>
            <w:shd w:val="clear" w:color="auto" w:fill="auto"/>
            <w:noWrap/>
            <w:vAlign w:val="bottom"/>
            <w:hideMark/>
          </w:tcPr>
          <w:p w14:paraId="389C66B9"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65C865B0"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7ECCE82A" w14:textId="0F95F8F4" w:rsidR="0016084B" w:rsidRPr="00D611F8" w:rsidRDefault="00132C08" w:rsidP="00081F23">
            <w:pPr>
              <w:ind w:firstLine="0"/>
              <w:rPr>
                <w:color w:val="000000"/>
                <w:sz w:val="18"/>
                <w:szCs w:val="18"/>
              </w:rPr>
            </w:pPr>
            <w:r w:rsidRPr="00D611F8">
              <w:rPr>
                <w:color w:val="000000"/>
                <w:sz w:val="18"/>
                <w:szCs w:val="18"/>
              </w:rPr>
              <w:t>C</w:t>
            </w:r>
            <w:r w:rsidR="0016084B" w:rsidRPr="00D611F8">
              <w:rPr>
                <w:color w:val="000000"/>
                <w:sz w:val="18"/>
                <w:szCs w:val="18"/>
              </w:rPr>
              <w:t>entro</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15F37F75"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96D6A12"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358B01B7"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0CDA6C4"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C838C83"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DB2593A"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7E15E587" w14:textId="77777777" w:rsidR="0016084B" w:rsidRPr="00D611F8" w:rsidRDefault="0016084B" w:rsidP="00081F23">
            <w:pPr>
              <w:ind w:firstLine="0"/>
              <w:rPr>
                <w:color w:val="000000"/>
                <w:sz w:val="18"/>
                <w:szCs w:val="18"/>
              </w:rPr>
            </w:pPr>
            <w:r w:rsidRPr="00D611F8">
              <w:rPr>
                <w:color w:val="000000"/>
                <w:sz w:val="18"/>
                <w:szCs w:val="18"/>
              </w:rPr>
              <w:t>0.048</w:t>
            </w:r>
          </w:p>
        </w:tc>
        <w:tc>
          <w:tcPr>
            <w:tcW w:w="1600" w:type="dxa"/>
            <w:tcBorders>
              <w:top w:val="nil"/>
              <w:left w:val="nil"/>
              <w:bottom w:val="nil"/>
              <w:right w:val="nil"/>
            </w:tcBorders>
            <w:shd w:val="clear" w:color="auto" w:fill="auto"/>
            <w:noWrap/>
            <w:vAlign w:val="bottom"/>
            <w:hideMark/>
          </w:tcPr>
          <w:p w14:paraId="2913559E"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248030AB"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53F2023A" w14:textId="07DEA950" w:rsidR="0016084B" w:rsidRPr="00D611F8" w:rsidRDefault="00132C08" w:rsidP="00081F23">
            <w:pPr>
              <w:ind w:firstLine="0"/>
              <w:rPr>
                <w:color w:val="000000"/>
                <w:sz w:val="18"/>
                <w:szCs w:val="18"/>
              </w:rPr>
            </w:pPr>
            <w:r w:rsidRPr="00D611F8">
              <w:rPr>
                <w:color w:val="000000"/>
                <w:sz w:val="18"/>
                <w:szCs w:val="18"/>
              </w:rPr>
              <w:t>N</w:t>
            </w:r>
            <w:r w:rsidR="0016084B" w:rsidRPr="00D611F8">
              <w:rPr>
                <w:color w:val="000000"/>
                <w:sz w:val="18"/>
                <w:szCs w:val="18"/>
              </w:rPr>
              <w:t>ordeste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064C5D7D"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3AAB45E6"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57A558F4" w14:textId="77777777" w:rsidR="0016084B" w:rsidRPr="00D611F8" w:rsidRDefault="0016084B" w:rsidP="00081F23">
            <w:pPr>
              <w:ind w:firstLine="0"/>
              <w:rPr>
                <w:color w:val="000000"/>
                <w:sz w:val="18"/>
                <w:szCs w:val="18"/>
              </w:rPr>
            </w:pPr>
            <w:r w:rsidRPr="00D611F8">
              <w:rPr>
                <w:color w:val="000000"/>
                <w:sz w:val="18"/>
                <w:szCs w:val="18"/>
              </w:rPr>
              <w:t>0.178*</w:t>
            </w:r>
          </w:p>
        </w:tc>
        <w:tc>
          <w:tcPr>
            <w:tcW w:w="960" w:type="dxa"/>
            <w:tcBorders>
              <w:top w:val="nil"/>
              <w:left w:val="nil"/>
              <w:bottom w:val="nil"/>
              <w:right w:val="nil"/>
            </w:tcBorders>
            <w:shd w:val="clear" w:color="auto" w:fill="auto"/>
            <w:noWrap/>
            <w:vAlign w:val="bottom"/>
            <w:hideMark/>
          </w:tcPr>
          <w:p w14:paraId="7D525EA8"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5C0640F3" w14:textId="77777777" w:rsidR="0016084B" w:rsidRPr="00D611F8" w:rsidRDefault="0016084B" w:rsidP="00081F23">
            <w:pPr>
              <w:ind w:firstLine="0"/>
              <w:rPr>
                <w:color w:val="000000"/>
                <w:sz w:val="18"/>
                <w:szCs w:val="18"/>
              </w:rPr>
            </w:pPr>
            <w:r w:rsidRPr="00D611F8">
              <w:rPr>
                <w:color w:val="000000"/>
                <w:sz w:val="18"/>
                <w:szCs w:val="18"/>
              </w:rPr>
              <w:t>0.043</w:t>
            </w:r>
          </w:p>
        </w:tc>
        <w:tc>
          <w:tcPr>
            <w:tcW w:w="960" w:type="dxa"/>
            <w:tcBorders>
              <w:top w:val="nil"/>
              <w:left w:val="nil"/>
              <w:bottom w:val="nil"/>
              <w:right w:val="nil"/>
            </w:tcBorders>
            <w:shd w:val="clear" w:color="auto" w:fill="auto"/>
            <w:noWrap/>
            <w:vAlign w:val="bottom"/>
            <w:hideMark/>
          </w:tcPr>
          <w:p w14:paraId="76F69619"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6CE92588"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4751B456"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6A4C4AF9"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64D7D966" w14:textId="4976A18D" w:rsidR="0016084B" w:rsidRPr="00D611F8" w:rsidRDefault="00132C08" w:rsidP="00081F23">
            <w:pPr>
              <w:ind w:firstLine="0"/>
              <w:rPr>
                <w:color w:val="000000"/>
                <w:sz w:val="18"/>
                <w:szCs w:val="18"/>
              </w:rPr>
            </w:pPr>
            <w:r w:rsidRPr="00D611F8">
              <w:rPr>
                <w:color w:val="000000"/>
                <w:sz w:val="18"/>
                <w:szCs w:val="18"/>
              </w:rPr>
              <w:t>S</w:t>
            </w:r>
            <w:r w:rsidR="0016084B" w:rsidRPr="00D611F8">
              <w:rPr>
                <w:color w:val="000000"/>
                <w:sz w:val="18"/>
                <w:szCs w:val="18"/>
              </w:rPr>
              <w:t>udeste</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47BC109F"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14D67330"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020DC099"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64A25DFC" w14:textId="77777777" w:rsidR="0016084B" w:rsidRPr="00D611F8" w:rsidRDefault="0016084B" w:rsidP="00081F23">
            <w:pPr>
              <w:ind w:firstLine="0"/>
              <w:rPr>
                <w:color w:val="000000"/>
                <w:sz w:val="18"/>
                <w:szCs w:val="18"/>
              </w:rPr>
            </w:pPr>
            <w:r w:rsidRPr="00D611F8">
              <w:rPr>
                <w:color w:val="000000"/>
                <w:sz w:val="18"/>
                <w:szCs w:val="18"/>
              </w:rPr>
              <w:t>-0.131**</w:t>
            </w:r>
          </w:p>
        </w:tc>
        <w:tc>
          <w:tcPr>
            <w:tcW w:w="960" w:type="dxa"/>
            <w:tcBorders>
              <w:top w:val="nil"/>
              <w:left w:val="nil"/>
              <w:bottom w:val="nil"/>
              <w:right w:val="nil"/>
            </w:tcBorders>
            <w:shd w:val="clear" w:color="auto" w:fill="auto"/>
            <w:noWrap/>
            <w:vAlign w:val="bottom"/>
            <w:hideMark/>
          </w:tcPr>
          <w:p w14:paraId="43FC736D" w14:textId="77777777" w:rsidR="0016084B" w:rsidRPr="00D611F8" w:rsidRDefault="0016084B" w:rsidP="00081F23">
            <w:pPr>
              <w:ind w:firstLine="0"/>
              <w:rPr>
                <w:color w:val="000000"/>
                <w:sz w:val="18"/>
                <w:szCs w:val="18"/>
              </w:rPr>
            </w:pPr>
            <w:r w:rsidRPr="00D611F8">
              <w:rPr>
                <w:color w:val="000000"/>
                <w:sz w:val="18"/>
                <w:szCs w:val="18"/>
              </w:rPr>
              <w:t>-0.129**</w:t>
            </w:r>
          </w:p>
        </w:tc>
        <w:tc>
          <w:tcPr>
            <w:tcW w:w="960" w:type="dxa"/>
            <w:tcBorders>
              <w:top w:val="nil"/>
              <w:left w:val="nil"/>
              <w:bottom w:val="nil"/>
              <w:right w:val="nil"/>
            </w:tcBorders>
            <w:shd w:val="clear" w:color="auto" w:fill="auto"/>
            <w:noWrap/>
            <w:vAlign w:val="bottom"/>
            <w:hideMark/>
          </w:tcPr>
          <w:p w14:paraId="46E4F623"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bottom w:val="nil"/>
              <w:right w:val="nil"/>
            </w:tcBorders>
            <w:shd w:val="clear" w:color="auto" w:fill="auto"/>
            <w:noWrap/>
            <w:vAlign w:val="bottom"/>
            <w:hideMark/>
          </w:tcPr>
          <w:p w14:paraId="58C378E0"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5E01133F"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11E3B618" w14:textId="77777777" w:rsidTr="00F54895">
        <w:trPr>
          <w:trHeight w:val="20"/>
        </w:trPr>
        <w:tc>
          <w:tcPr>
            <w:tcW w:w="3800" w:type="dxa"/>
            <w:tcBorders>
              <w:top w:val="nil"/>
              <w:left w:val="nil"/>
              <w:bottom w:val="nil"/>
              <w:right w:val="single" w:sz="4" w:space="0" w:color="auto"/>
            </w:tcBorders>
            <w:shd w:val="clear" w:color="auto" w:fill="auto"/>
            <w:noWrap/>
            <w:vAlign w:val="bottom"/>
            <w:hideMark/>
          </w:tcPr>
          <w:p w14:paraId="0BE532AA" w14:textId="24F3BB08" w:rsidR="0016084B" w:rsidRPr="00D611F8" w:rsidRDefault="00132C08" w:rsidP="00081F23">
            <w:pPr>
              <w:ind w:firstLine="0"/>
              <w:rPr>
                <w:color w:val="000000"/>
                <w:sz w:val="18"/>
                <w:szCs w:val="18"/>
              </w:rPr>
            </w:pPr>
            <w:r w:rsidRPr="00D611F8">
              <w:rPr>
                <w:color w:val="000000"/>
                <w:sz w:val="18"/>
                <w:szCs w:val="18"/>
              </w:rPr>
              <w:t>S</w:t>
            </w:r>
            <w:r w:rsidR="0016084B" w:rsidRPr="00D611F8">
              <w:rPr>
                <w:color w:val="000000"/>
                <w:sz w:val="18"/>
                <w:szCs w:val="18"/>
              </w:rPr>
              <w:t>ul</w:t>
            </w:r>
            <w:r>
              <w:rPr>
                <w:color w:val="000000"/>
                <w:sz w:val="18"/>
                <w:szCs w:val="18"/>
              </w:rPr>
              <w:t xml:space="preserve"> </w:t>
            </w:r>
          </w:p>
        </w:tc>
        <w:tc>
          <w:tcPr>
            <w:tcW w:w="960" w:type="dxa"/>
            <w:tcBorders>
              <w:top w:val="nil"/>
              <w:left w:val="single" w:sz="4" w:space="0" w:color="auto"/>
              <w:bottom w:val="nil"/>
              <w:right w:val="nil"/>
            </w:tcBorders>
            <w:shd w:val="clear" w:color="auto" w:fill="auto"/>
            <w:noWrap/>
            <w:vAlign w:val="bottom"/>
            <w:hideMark/>
          </w:tcPr>
          <w:p w14:paraId="72D54F1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C471890"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bottom w:val="nil"/>
              <w:right w:val="nil"/>
            </w:tcBorders>
            <w:shd w:val="clear" w:color="auto" w:fill="auto"/>
            <w:noWrap/>
            <w:vAlign w:val="bottom"/>
            <w:hideMark/>
          </w:tcPr>
          <w:p w14:paraId="4E8640FA"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0F77899F" w14:textId="77777777" w:rsidR="0016084B" w:rsidRPr="00D611F8" w:rsidRDefault="0016084B" w:rsidP="00081F23">
            <w:pPr>
              <w:ind w:firstLine="0"/>
              <w:rPr>
                <w:color w:val="000000"/>
                <w:sz w:val="18"/>
                <w:szCs w:val="18"/>
              </w:rPr>
            </w:pPr>
            <w:r w:rsidRPr="00D611F8">
              <w:rPr>
                <w:color w:val="000000"/>
                <w:sz w:val="18"/>
                <w:szCs w:val="18"/>
              </w:rPr>
              <w:t>-0.081</w:t>
            </w:r>
          </w:p>
        </w:tc>
        <w:tc>
          <w:tcPr>
            <w:tcW w:w="960" w:type="dxa"/>
            <w:tcBorders>
              <w:top w:val="nil"/>
              <w:left w:val="nil"/>
              <w:bottom w:val="nil"/>
              <w:right w:val="nil"/>
            </w:tcBorders>
            <w:shd w:val="clear" w:color="auto" w:fill="auto"/>
            <w:noWrap/>
            <w:vAlign w:val="bottom"/>
            <w:hideMark/>
          </w:tcPr>
          <w:p w14:paraId="77E74138"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bottom w:val="nil"/>
              <w:right w:val="nil"/>
            </w:tcBorders>
            <w:shd w:val="clear" w:color="auto" w:fill="auto"/>
            <w:noWrap/>
            <w:vAlign w:val="bottom"/>
            <w:hideMark/>
          </w:tcPr>
          <w:p w14:paraId="7DBE04D7" w14:textId="77777777" w:rsidR="0016084B" w:rsidRPr="00D611F8" w:rsidRDefault="0016084B" w:rsidP="00081F23">
            <w:pPr>
              <w:ind w:firstLine="0"/>
              <w:rPr>
                <w:color w:val="000000"/>
                <w:sz w:val="18"/>
                <w:szCs w:val="18"/>
              </w:rPr>
            </w:pPr>
            <w:r w:rsidRPr="00D611F8">
              <w:rPr>
                <w:color w:val="000000"/>
                <w:sz w:val="18"/>
                <w:szCs w:val="18"/>
              </w:rPr>
              <w:t>0.06*</w:t>
            </w:r>
          </w:p>
        </w:tc>
        <w:tc>
          <w:tcPr>
            <w:tcW w:w="1126" w:type="dxa"/>
            <w:tcBorders>
              <w:top w:val="nil"/>
              <w:left w:val="nil"/>
              <w:bottom w:val="nil"/>
              <w:right w:val="nil"/>
            </w:tcBorders>
            <w:shd w:val="clear" w:color="auto" w:fill="auto"/>
            <w:noWrap/>
            <w:vAlign w:val="bottom"/>
            <w:hideMark/>
          </w:tcPr>
          <w:p w14:paraId="7DCCA3EA"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nil"/>
              <w:right w:val="nil"/>
            </w:tcBorders>
            <w:shd w:val="clear" w:color="auto" w:fill="auto"/>
            <w:noWrap/>
            <w:vAlign w:val="bottom"/>
            <w:hideMark/>
          </w:tcPr>
          <w:p w14:paraId="2EB932EF"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470D080F" w14:textId="77777777" w:rsidTr="00F54895">
        <w:trPr>
          <w:trHeight w:val="20"/>
        </w:trPr>
        <w:tc>
          <w:tcPr>
            <w:tcW w:w="3800" w:type="dxa"/>
            <w:tcBorders>
              <w:top w:val="nil"/>
              <w:left w:val="nil"/>
              <w:right w:val="single" w:sz="4" w:space="0" w:color="auto"/>
            </w:tcBorders>
            <w:shd w:val="clear" w:color="auto" w:fill="auto"/>
            <w:noWrap/>
            <w:vAlign w:val="bottom"/>
            <w:hideMark/>
          </w:tcPr>
          <w:p w14:paraId="67CD8431" w14:textId="53A44535" w:rsidR="0016084B" w:rsidRPr="00D611F8" w:rsidRDefault="00132C08" w:rsidP="00081F23">
            <w:pPr>
              <w:ind w:firstLine="0"/>
              <w:rPr>
                <w:color w:val="000000"/>
                <w:sz w:val="18"/>
                <w:szCs w:val="18"/>
              </w:rPr>
            </w:pPr>
            <w:r>
              <w:rPr>
                <w:color w:val="000000"/>
                <w:sz w:val="18"/>
                <w:szCs w:val="18"/>
              </w:rPr>
              <w:t>D20</w:t>
            </w:r>
            <w:r w:rsidR="0016084B" w:rsidRPr="00D611F8">
              <w:rPr>
                <w:color w:val="000000"/>
                <w:sz w:val="18"/>
                <w:szCs w:val="18"/>
              </w:rPr>
              <w:t>15</w:t>
            </w:r>
          </w:p>
        </w:tc>
        <w:tc>
          <w:tcPr>
            <w:tcW w:w="960" w:type="dxa"/>
            <w:tcBorders>
              <w:top w:val="nil"/>
              <w:left w:val="single" w:sz="4" w:space="0" w:color="auto"/>
              <w:right w:val="nil"/>
            </w:tcBorders>
            <w:shd w:val="clear" w:color="auto" w:fill="auto"/>
            <w:noWrap/>
            <w:vAlign w:val="bottom"/>
            <w:hideMark/>
          </w:tcPr>
          <w:p w14:paraId="525544F6"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right w:val="nil"/>
            </w:tcBorders>
            <w:shd w:val="clear" w:color="auto" w:fill="auto"/>
            <w:noWrap/>
            <w:vAlign w:val="bottom"/>
            <w:hideMark/>
          </w:tcPr>
          <w:p w14:paraId="2C436031" w14:textId="77777777" w:rsidR="0016084B" w:rsidRPr="00D611F8" w:rsidRDefault="0016084B" w:rsidP="00081F23">
            <w:pPr>
              <w:ind w:firstLine="0"/>
              <w:rPr>
                <w:color w:val="000000"/>
                <w:sz w:val="18"/>
                <w:szCs w:val="18"/>
              </w:rPr>
            </w:pPr>
            <w:r w:rsidRPr="00D611F8">
              <w:rPr>
                <w:color w:val="000000"/>
                <w:sz w:val="18"/>
                <w:szCs w:val="18"/>
              </w:rPr>
              <w:t>-</w:t>
            </w:r>
          </w:p>
        </w:tc>
        <w:tc>
          <w:tcPr>
            <w:tcW w:w="2040" w:type="dxa"/>
            <w:tcBorders>
              <w:top w:val="nil"/>
              <w:left w:val="nil"/>
              <w:right w:val="nil"/>
            </w:tcBorders>
            <w:shd w:val="clear" w:color="auto" w:fill="auto"/>
            <w:noWrap/>
            <w:vAlign w:val="bottom"/>
            <w:hideMark/>
          </w:tcPr>
          <w:p w14:paraId="2FCE14F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right w:val="nil"/>
            </w:tcBorders>
            <w:shd w:val="clear" w:color="auto" w:fill="auto"/>
            <w:noWrap/>
            <w:vAlign w:val="bottom"/>
            <w:hideMark/>
          </w:tcPr>
          <w:p w14:paraId="10060C90"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right w:val="nil"/>
            </w:tcBorders>
            <w:shd w:val="clear" w:color="auto" w:fill="auto"/>
            <w:noWrap/>
            <w:vAlign w:val="bottom"/>
            <w:hideMark/>
          </w:tcPr>
          <w:p w14:paraId="531CADD4" w14:textId="77777777" w:rsidR="0016084B" w:rsidRPr="00D611F8" w:rsidRDefault="0016084B" w:rsidP="00081F23">
            <w:pPr>
              <w:ind w:firstLine="0"/>
              <w:rPr>
                <w:color w:val="000000"/>
                <w:sz w:val="18"/>
                <w:szCs w:val="18"/>
              </w:rPr>
            </w:pPr>
            <w:r w:rsidRPr="00D611F8">
              <w:rPr>
                <w:color w:val="000000"/>
                <w:sz w:val="18"/>
                <w:szCs w:val="18"/>
              </w:rPr>
              <w:t>-</w:t>
            </w:r>
          </w:p>
        </w:tc>
        <w:tc>
          <w:tcPr>
            <w:tcW w:w="960" w:type="dxa"/>
            <w:tcBorders>
              <w:top w:val="nil"/>
              <w:left w:val="nil"/>
              <w:right w:val="nil"/>
            </w:tcBorders>
            <w:shd w:val="clear" w:color="auto" w:fill="auto"/>
            <w:noWrap/>
            <w:vAlign w:val="bottom"/>
            <w:hideMark/>
          </w:tcPr>
          <w:p w14:paraId="0E457CBA" w14:textId="77777777" w:rsidR="0016084B" w:rsidRPr="00D611F8" w:rsidRDefault="0016084B" w:rsidP="00081F23">
            <w:pPr>
              <w:ind w:firstLine="0"/>
              <w:rPr>
                <w:color w:val="000000"/>
                <w:sz w:val="18"/>
                <w:szCs w:val="18"/>
              </w:rPr>
            </w:pPr>
            <w:r w:rsidRPr="00D611F8">
              <w:rPr>
                <w:color w:val="000000"/>
                <w:sz w:val="18"/>
                <w:szCs w:val="18"/>
              </w:rPr>
              <w:t>-</w:t>
            </w:r>
          </w:p>
        </w:tc>
        <w:tc>
          <w:tcPr>
            <w:tcW w:w="1126" w:type="dxa"/>
            <w:tcBorders>
              <w:top w:val="nil"/>
              <w:left w:val="nil"/>
              <w:right w:val="nil"/>
            </w:tcBorders>
            <w:shd w:val="clear" w:color="auto" w:fill="auto"/>
            <w:noWrap/>
            <w:vAlign w:val="bottom"/>
            <w:hideMark/>
          </w:tcPr>
          <w:p w14:paraId="1ACEB5D4"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right w:val="nil"/>
            </w:tcBorders>
            <w:shd w:val="clear" w:color="auto" w:fill="auto"/>
            <w:noWrap/>
            <w:vAlign w:val="bottom"/>
            <w:hideMark/>
          </w:tcPr>
          <w:p w14:paraId="072239B8"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324E5084" w14:textId="77777777" w:rsidTr="00F54895">
        <w:trPr>
          <w:trHeight w:val="20"/>
        </w:trPr>
        <w:tc>
          <w:tcPr>
            <w:tcW w:w="3800" w:type="dxa"/>
            <w:tcBorders>
              <w:top w:val="nil"/>
              <w:left w:val="nil"/>
              <w:bottom w:val="single" w:sz="4" w:space="0" w:color="auto"/>
              <w:right w:val="single" w:sz="4" w:space="0" w:color="auto"/>
            </w:tcBorders>
            <w:shd w:val="clear" w:color="auto" w:fill="auto"/>
            <w:noWrap/>
            <w:vAlign w:val="bottom"/>
            <w:hideMark/>
          </w:tcPr>
          <w:p w14:paraId="59FAF479" w14:textId="78CDD883" w:rsidR="0016084B" w:rsidRPr="00132C08" w:rsidRDefault="00132C08" w:rsidP="00081F23">
            <w:pPr>
              <w:ind w:firstLine="0"/>
              <w:rPr>
                <w:color w:val="000000"/>
                <w:sz w:val="18"/>
                <w:szCs w:val="18"/>
              </w:rPr>
            </w:pPr>
            <m:oMathPara>
              <m:oMathParaPr>
                <m:jc m:val="left"/>
              </m:oMathParaPr>
              <m:oMath>
                <m:r>
                  <w:rPr>
                    <w:rFonts w:ascii="Cambria Math" w:hAnsi="Cambria Math"/>
                    <w:color w:val="000000"/>
                    <w:sz w:val="18"/>
                    <w:szCs w:val="18"/>
                  </w:rPr>
                  <m:t>α</m:t>
                </m:r>
              </m:oMath>
            </m:oMathPara>
          </w:p>
        </w:tc>
        <w:tc>
          <w:tcPr>
            <w:tcW w:w="960" w:type="dxa"/>
            <w:tcBorders>
              <w:top w:val="nil"/>
              <w:left w:val="single" w:sz="4" w:space="0" w:color="auto"/>
              <w:bottom w:val="single" w:sz="4" w:space="0" w:color="auto"/>
              <w:right w:val="nil"/>
            </w:tcBorders>
            <w:shd w:val="clear" w:color="auto" w:fill="auto"/>
            <w:noWrap/>
            <w:vAlign w:val="bottom"/>
            <w:hideMark/>
          </w:tcPr>
          <w:p w14:paraId="0B81BBAC" w14:textId="77777777" w:rsidR="0016084B" w:rsidRPr="00D611F8" w:rsidRDefault="0016084B" w:rsidP="00081F23">
            <w:pPr>
              <w:ind w:firstLine="0"/>
              <w:rPr>
                <w:color w:val="000000"/>
                <w:sz w:val="18"/>
                <w:szCs w:val="18"/>
              </w:rPr>
            </w:pPr>
            <w:r w:rsidRPr="00D611F8">
              <w:rPr>
                <w:color w:val="000000"/>
                <w:sz w:val="18"/>
                <w:szCs w:val="18"/>
              </w:rPr>
              <w:t>1.227**</w:t>
            </w:r>
          </w:p>
        </w:tc>
        <w:tc>
          <w:tcPr>
            <w:tcW w:w="960" w:type="dxa"/>
            <w:tcBorders>
              <w:top w:val="nil"/>
              <w:left w:val="nil"/>
              <w:bottom w:val="single" w:sz="4" w:space="0" w:color="auto"/>
              <w:right w:val="nil"/>
            </w:tcBorders>
            <w:shd w:val="clear" w:color="auto" w:fill="auto"/>
            <w:noWrap/>
            <w:vAlign w:val="bottom"/>
            <w:hideMark/>
          </w:tcPr>
          <w:p w14:paraId="0B0976AD" w14:textId="77777777" w:rsidR="0016084B" w:rsidRPr="00D611F8" w:rsidRDefault="0016084B" w:rsidP="00081F23">
            <w:pPr>
              <w:ind w:firstLine="0"/>
              <w:rPr>
                <w:color w:val="000000"/>
                <w:sz w:val="18"/>
                <w:szCs w:val="18"/>
              </w:rPr>
            </w:pPr>
            <w:r w:rsidRPr="00D611F8">
              <w:rPr>
                <w:color w:val="000000"/>
                <w:sz w:val="18"/>
                <w:szCs w:val="18"/>
              </w:rPr>
              <w:t>1.105**</w:t>
            </w:r>
          </w:p>
        </w:tc>
        <w:tc>
          <w:tcPr>
            <w:tcW w:w="2040" w:type="dxa"/>
            <w:tcBorders>
              <w:top w:val="nil"/>
              <w:left w:val="nil"/>
              <w:bottom w:val="single" w:sz="4" w:space="0" w:color="auto"/>
              <w:right w:val="nil"/>
            </w:tcBorders>
            <w:shd w:val="clear" w:color="auto" w:fill="auto"/>
            <w:noWrap/>
            <w:vAlign w:val="bottom"/>
            <w:hideMark/>
          </w:tcPr>
          <w:p w14:paraId="051A7F60" w14:textId="77777777" w:rsidR="0016084B" w:rsidRPr="00D611F8" w:rsidRDefault="0016084B" w:rsidP="00081F23">
            <w:pPr>
              <w:ind w:firstLine="0"/>
              <w:rPr>
                <w:color w:val="000000"/>
                <w:sz w:val="18"/>
                <w:szCs w:val="18"/>
              </w:rPr>
            </w:pPr>
            <w:r w:rsidRPr="00D611F8">
              <w:rPr>
                <w:color w:val="000000"/>
                <w:sz w:val="18"/>
                <w:szCs w:val="18"/>
              </w:rPr>
              <w:t>2.289**</w:t>
            </w:r>
          </w:p>
        </w:tc>
        <w:tc>
          <w:tcPr>
            <w:tcW w:w="960" w:type="dxa"/>
            <w:tcBorders>
              <w:top w:val="nil"/>
              <w:left w:val="nil"/>
              <w:bottom w:val="single" w:sz="4" w:space="0" w:color="auto"/>
              <w:right w:val="nil"/>
            </w:tcBorders>
            <w:shd w:val="clear" w:color="auto" w:fill="auto"/>
            <w:noWrap/>
            <w:vAlign w:val="bottom"/>
            <w:hideMark/>
          </w:tcPr>
          <w:p w14:paraId="64954603" w14:textId="77777777" w:rsidR="0016084B" w:rsidRPr="00D611F8" w:rsidRDefault="0016084B" w:rsidP="00081F23">
            <w:pPr>
              <w:ind w:firstLine="0"/>
              <w:rPr>
                <w:color w:val="000000"/>
                <w:sz w:val="18"/>
                <w:szCs w:val="18"/>
              </w:rPr>
            </w:pPr>
            <w:r w:rsidRPr="00D611F8">
              <w:rPr>
                <w:color w:val="000000"/>
                <w:sz w:val="18"/>
                <w:szCs w:val="18"/>
              </w:rPr>
              <w:t>1.465*</w:t>
            </w:r>
          </w:p>
        </w:tc>
        <w:tc>
          <w:tcPr>
            <w:tcW w:w="960" w:type="dxa"/>
            <w:tcBorders>
              <w:top w:val="nil"/>
              <w:left w:val="nil"/>
              <w:bottom w:val="single" w:sz="4" w:space="0" w:color="auto"/>
              <w:right w:val="nil"/>
            </w:tcBorders>
            <w:shd w:val="clear" w:color="auto" w:fill="auto"/>
            <w:noWrap/>
            <w:vAlign w:val="bottom"/>
            <w:hideMark/>
          </w:tcPr>
          <w:p w14:paraId="4DABCD83" w14:textId="77777777" w:rsidR="0016084B" w:rsidRPr="00D611F8" w:rsidRDefault="0016084B" w:rsidP="00081F23">
            <w:pPr>
              <w:ind w:firstLine="0"/>
              <w:rPr>
                <w:color w:val="000000"/>
                <w:sz w:val="18"/>
                <w:szCs w:val="18"/>
              </w:rPr>
            </w:pPr>
            <w:r w:rsidRPr="00D611F8">
              <w:rPr>
                <w:color w:val="000000"/>
                <w:sz w:val="18"/>
                <w:szCs w:val="18"/>
              </w:rPr>
              <w:t>1.111*</w:t>
            </w:r>
          </w:p>
        </w:tc>
        <w:tc>
          <w:tcPr>
            <w:tcW w:w="960" w:type="dxa"/>
            <w:tcBorders>
              <w:top w:val="nil"/>
              <w:left w:val="nil"/>
              <w:bottom w:val="single" w:sz="4" w:space="0" w:color="auto"/>
              <w:right w:val="nil"/>
            </w:tcBorders>
            <w:shd w:val="clear" w:color="auto" w:fill="auto"/>
            <w:noWrap/>
            <w:vAlign w:val="bottom"/>
            <w:hideMark/>
          </w:tcPr>
          <w:p w14:paraId="52F7EE0F" w14:textId="77777777" w:rsidR="0016084B" w:rsidRPr="00D611F8" w:rsidRDefault="0016084B" w:rsidP="00081F23">
            <w:pPr>
              <w:ind w:firstLine="0"/>
              <w:rPr>
                <w:color w:val="000000"/>
                <w:sz w:val="18"/>
                <w:szCs w:val="18"/>
              </w:rPr>
            </w:pPr>
            <w:r w:rsidRPr="00D611F8">
              <w:rPr>
                <w:color w:val="000000"/>
                <w:sz w:val="18"/>
                <w:szCs w:val="18"/>
              </w:rPr>
              <w:t>-0.624**</w:t>
            </w:r>
          </w:p>
        </w:tc>
        <w:tc>
          <w:tcPr>
            <w:tcW w:w="1126" w:type="dxa"/>
            <w:tcBorders>
              <w:top w:val="nil"/>
              <w:left w:val="nil"/>
              <w:bottom w:val="single" w:sz="4" w:space="0" w:color="auto"/>
              <w:right w:val="nil"/>
            </w:tcBorders>
            <w:shd w:val="clear" w:color="auto" w:fill="auto"/>
            <w:noWrap/>
            <w:vAlign w:val="bottom"/>
            <w:hideMark/>
          </w:tcPr>
          <w:p w14:paraId="0C749CA1" w14:textId="77777777" w:rsidR="0016084B" w:rsidRPr="00D611F8" w:rsidRDefault="0016084B" w:rsidP="00081F23">
            <w:pPr>
              <w:ind w:firstLine="0"/>
              <w:rPr>
                <w:color w:val="000000"/>
                <w:sz w:val="18"/>
                <w:szCs w:val="18"/>
              </w:rPr>
            </w:pPr>
            <w:r w:rsidRPr="00D611F8">
              <w:rPr>
                <w:color w:val="000000"/>
                <w:sz w:val="18"/>
                <w:szCs w:val="18"/>
              </w:rPr>
              <w:t>0.376*</w:t>
            </w:r>
          </w:p>
        </w:tc>
        <w:tc>
          <w:tcPr>
            <w:tcW w:w="1600" w:type="dxa"/>
            <w:tcBorders>
              <w:top w:val="nil"/>
              <w:left w:val="nil"/>
              <w:bottom w:val="single" w:sz="4" w:space="0" w:color="auto"/>
              <w:right w:val="nil"/>
            </w:tcBorders>
            <w:shd w:val="clear" w:color="auto" w:fill="auto"/>
            <w:noWrap/>
            <w:vAlign w:val="bottom"/>
            <w:hideMark/>
          </w:tcPr>
          <w:p w14:paraId="70A98488" w14:textId="77777777" w:rsidR="0016084B" w:rsidRPr="00D611F8" w:rsidRDefault="0016084B" w:rsidP="00081F23">
            <w:pPr>
              <w:ind w:firstLine="0"/>
              <w:rPr>
                <w:color w:val="000000"/>
                <w:sz w:val="18"/>
                <w:szCs w:val="18"/>
              </w:rPr>
            </w:pPr>
            <w:r w:rsidRPr="00D611F8">
              <w:rPr>
                <w:color w:val="000000"/>
                <w:sz w:val="18"/>
                <w:szCs w:val="18"/>
              </w:rPr>
              <w:t>-0.697**</w:t>
            </w:r>
          </w:p>
        </w:tc>
      </w:tr>
      <w:tr w:rsidR="0016084B" w:rsidRPr="00D611F8" w14:paraId="44ACBE6B" w14:textId="77777777" w:rsidTr="00F54895">
        <w:trPr>
          <w:trHeight w:val="20"/>
        </w:trPr>
        <w:tc>
          <w:tcPr>
            <w:tcW w:w="3800" w:type="dxa"/>
            <w:tcBorders>
              <w:top w:val="single" w:sz="4" w:space="0" w:color="auto"/>
              <w:left w:val="nil"/>
              <w:bottom w:val="nil"/>
              <w:right w:val="single" w:sz="4" w:space="0" w:color="auto"/>
            </w:tcBorders>
            <w:shd w:val="clear" w:color="auto" w:fill="auto"/>
            <w:noWrap/>
            <w:vAlign w:val="bottom"/>
            <w:hideMark/>
          </w:tcPr>
          <w:p w14:paraId="01739C38" w14:textId="6260D0D2" w:rsidR="0016084B" w:rsidRPr="00D611F8" w:rsidRDefault="00132C08" w:rsidP="00081F23">
            <w:pPr>
              <w:ind w:firstLine="0"/>
              <w:rPr>
                <w:color w:val="000000"/>
                <w:sz w:val="18"/>
                <w:szCs w:val="18"/>
              </w:rPr>
            </w:pPr>
            <w:r>
              <w:rPr>
                <w:color w:val="000000"/>
                <w:sz w:val="18"/>
                <w:szCs w:val="18"/>
              </w:rPr>
              <w:t>R</w:t>
            </w:r>
            <w:r w:rsidR="0016084B" w:rsidRPr="00D611F8">
              <w:rPr>
                <w:color w:val="000000"/>
                <w:sz w:val="18"/>
                <w:szCs w:val="18"/>
              </w:rPr>
              <w:t>2</w:t>
            </w:r>
          </w:p>
        </w:tc>
        <w:tc>
          <w:tcPr>
            <w:tcW w:w="960" w:type="dxa"/>
            <w:tcBorders>
              <w:top w:val="single" w:sz="4" w:space="0" w:color="auto"/>
              <w:left w:val="single" w:sz="4" w:space="0" w:color="auto"/>
              <w:bottom w:val="nil"/>
              <w:right w:val="nil"/>
            </w:tcBorders>
            <w:shd w:val="clear" w:color="auto" w:fill="auto"/>
            <w:noWrap/>
            <w:vAlign w:val="bottom"/>
            <w:hideMark/>
          </w:tcPr>
          <w:p w14:paraId="4B3CAFAA" w14:textId="77777777" w:rsidR="0016084B" w:rsidRPr="00D611F8" w:rsidRDefault="0016084B" w:rsidP="00081F23">
            <w:pPr>
              <w:ind w:firstLine="0"/>
              <w:rPr>
                <w:color w:val="000000"/>
                <w:sz w:val="18"/>
                <w:szCs w:val="18"/>
              </w:rPr>
            </w:pPr>
            <w:r w:rsidRPr="00D611F8">
              <w:rPr>
                <w:color w:val="000000"/>
                <w:sz w:val="18"/>
                <w:szCs w:val="18"/>
              </w:rPr>
              <w:t>0.5009</w:t>
            </w:r>
          </w:p>
        </w:tc>
        <w:tc>
          <w:tcPr>
            <w:tcW w:w="960" w:type="dxa"/>
            <w:tcBorders>
              <w:top w:val="single" w:sz="4" w:space="0" w:color="auto"/>
              <w:left w:val="nil"/>
              <w:bottom w:val="nil"/>
              <w:right w:val="nil"/>
            </w:tcBorders>
            <w:shd w:val="clear" w:color="auto" w:fill="auto"/>
            <w:noWrap/>
            <w:vAlign w:val="bottom"/>
            <w:hideMark/>
          </w:tcPr>
          <w:p w14:paraId="722BE3BF" w14:textId="77777777" w:rsidR="0016084B" w:rsidRPr="00D611F8" w:rsidRDefault="0016084B" w:rsidP="00081F23">
            <w:pPr>
              <w:ind w:firstLine="0"/>
              <w:jc w:val="right"/>
              <w:rPr>
                <w:color w:val="000000"/>
                <w:sz w:val="18"/>
                <w:szCs w:val="18"/>
              </w:rPr>
            </w:pPr>
            <w:r w:rsidRPr="00D611F8">
              <w:rPr>
                <w:color w:val="000000"/>
                <w:sz w:val="18"/>
                <w:szCs w:val="18"/>
              </w:rPr>
              <w:t>0.3966</w:t>
            </w:r>
          </w:p>
        </w:tc>
        <w:tc>
          <w:tcPr>
            <w:tcW w:w="2040" w:type="dxa"/>
            <w:tcBorders>
              <w:top w:val="single" w:sz="4" w:space="0" w:color="auto"/>
              <w:left w:val="nil"/>
              <w:bottom w:val="nil"/>
              <w:right w:val="nil"/>
            </w:tcBorders>
            <w:shd w:val="clear" w:color="auto" w:fill="auto"/>
            <w:noWrap/>
            <w:vAlign w:val="bottom"/>
            <w:hideMark/>
          </w:tcPr>
          <w:p w14:paraId="18CD1DA3" w14:textId="77777777" w:rsidR="0016084B" w:rsidRPr="00D611F8" w:rsidRDefault="0016084B" w:rsidP="00081F23">
            <w:pPr>
              <w:ind w:firstLine="0"/>
              <w:jc w:val="right"/>
              <w:rPr>
                <w:color w:val="000000"/>
                <w:sz w:val="18"/>
                <w:szCs w:val="18"/>
              </w:rPr>
            </w:pPr>
            <w:r w:rsidRPr="00D611F8">
              <w:rPr>
                <w:color w:val="000000"/>
                <w:sz w:val="18"/>
                <w:szCs w:val="18"/>
              </w:rPr>
              <w:t>0.6387</w:t>
            </w:r>
          </w:p>
        </w:tc>
        <w:tc>
          <w:tcPr>
            <w:tcW w:w="960" w:type="dxa"/>
            <w:tcBorders>
              <w:top w:val="single" w:sz="4" w:space="0" w:color="auto"/>
              <w:left w:val="nil"/>
              <w:bottom w:val="nil"/>
              <w:right w:val="nil"/>
            </w:tcBorders>
            <w:shd w:val="clear" w:color="auto" w:fill="auto"/>
            <w:noWrap/>
            <w:vAlign w:val="bottom"/>
            <w:hideMark/>
          </w:tcPr>
          <w:p w14:paraId="0FF6A473" w14:textId="77777777" w:rsidR="0016084B" w:rsidRPr="00D611F8" w:rsidRDefault="0016084B" w:rsidP="00081F23">
            <w:pPr>
              <w:ind w:firstLine="0"/>
              <w:jc w:val="right"/>
              <w:rPr>
                <w:color w:val="000000"/>
                <w:sz w:val="18"/>
                <w:szCs w:val="18"/>
              </w:rPr>
            </w:pPr>
            <w:r w:rsidRPr="00D611F8">
              <w:rPr>
                <w:color w:val="000000"/>
                <w:sz w:val="18"/>
                <w:szCs w:val="18"/>
              </w:rPr>
              <w:t>0.6054</w:t>
            </w:r>
          </w:p>
        </w:tc>
        <w:tc>
          <w:tcPr>
            <w:tcW w:w="960" w:type="dxa"/>
            <w:tcBorders>
              <w:top w:val="single" w:sz="4" w:space="0" w:color="auto"/>
              <w:left w:val="nil"/>
              <w:bottom w:val="nil"/>
              <w:right w:val="nil"/>
            </w:tcBorders>
            <w:shd w:val="clear" w:color="auto" w:fill="auto"/>
            <w:noWrap/>
            <w:vAlign w:val="bottom"/>
            <w:hideMark/>
          </w:tcPr>
          <w:p w14:paraId="040F8608" w14:textId="77777777" w:rsidR="0016084B" w:rsidRPr="00D611F8" w:rsidRDefault="0016084B" w:rsidP="00081F23">
            <w:pPr>
              <w:ind w:firstLine="0"/>
              <w:jc w:val="right"/>
              <w:rPr>
                <w:color w:val="000000"/>
                <w:sz w:val="18"/>
                <w:szCs w:val="18"/>
              </w:rPr>
            </w:pPr>
            <w:r w:rsidRPr="00D611F8">
              <w:rPr>
                <w:color w:val="000000"/>
                <w:sz w:val="18"/>
                <w:szCs w:val="18"/>
              </w:rPr>
              <w:t>0.4487</w:t>
            </w:r>
          </w:p>
        </w:tc>
        <w:tc>
          <w:tcPr>
            <w:tcW w:w="960" w:type="dxa"/>
            <w:tcBorders>
              <w:top w:val="single" w:sz="4" w:space="0" w:color="auto"/>
              <w:left w:val="nil"/>
              <w:bottom w:val="nil"/>
              <w:right w:val="nil"/>
            </w:tcBorders>
            <w:shd w:val="clear" w:color="auto" w:fill="auto"/>
            <w:noWrap/>
            <w:vAlign w:val="bottom"/>
            <w:hideMark/>
          </w:tcPr>
          <w:p w14:paraId="62958180" w14:textId="77777777" w:rsidR="0016084B" w:rsidRPr="00D611F8" w:rsidRDefault="0016084B" w:rsidP="00081F23">
            <w:pPr>
              <w:ind w:firstLine="0"/>
              <w:jc w:val="right"/>
              <w:rPr>
                <w:color w:val="000000"/>
                <w:sz w:val="18"/>
                <w:szCs w:val="18"/>
              </w:rPr>
            </w:pPr>
            <w:r w:rsidRPr="00D611F8">
              <w:rPr>
                <w:color w:val="000000"/>
                <w:sz w:val="18"/>
                <w:szCs w:val="18"/>
              </w:rPr>
              <w:t>0.7379</w:t>
            </w:r>
          </w:p>
        </w:tc>
        <w:tc>
          <w:tcPr>
            <w:tcW w:w="1126" w:type="dxa"/>
            <w:tcBorders>
              <w:top w:val="single" w:sz="4" w:space="0" w:color="auto"/>
              <w:left w:val="nil"/>
              <w:bottom w:val="nil"/>
              <w:right w:val="nil"/>
            </w:tcBorders>
            <w:shd w:val="clear" w:color="auto" w:fill="auto"/>
            <w:noWrap/>
            <w:vAlign w:val="bottom"/>
            <w:hideMark/>
          </w:tcPr>
          <w:p w14:paraId="1C95E5DE"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single" w:sz="4" w:space="0" w:color="auto"/>
              <w:left w:val="nil"/>
              <w:bottom w:val="nil"/>
              <w:right w:val="nil"/>
            </w:tcBorders>
            <w:shd w:val="clear" w:color="auto" w:fill="auto"/>
            <w:noWrap/>
            <w:vAlign w:val="bottom"/>
            <w:hideMark/>
          </w:tcPr>
          <w:p w14:paraId="3DA02B5F"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7D67ECA5" w14:textId="77777777" w:rsidTr="00F54895">
        <w:trPr>
          <w:trHeight w:val="20"/>
        </w:trPr>
        <w:tc>
          <w:tcPr>
            <w:tcW w:w="3800" w:type="dxa"/>
            <w:tcBorders>
              <w:top w:val="nil"/>
              <w:left w:val="nil"/>
              <w:right w:val="single" w:sz="4" w:space="0" w:color="auto"/>
            </w:tcBorders>
            <w:shd w:val="clear" w:color="auto" w:fill="auto"/>
            <w:noWrap/>
            <w:vAlign w:val="bottom"/>
            <w:hideMark/>
          </w:tcPr>
          <w:p w14:paraId="3211DFB8" w14:textId="36665C32" w:rsidR="0016084B" w:rsidRPr="00D611F8" w:rsidRDefault="00132C08" w:rsidP="00081F23">
            <w:pPr>
              <w:ind w:firstLine="0"/>
              <w:rPr>
                <w:color w:val="000000"/>
                <w:sz w:val="18"/>
                <w:szCs w:val="18"/>
              </w:rPr>
            </w:pPr>
            <w:r>
              <w:rPr>
                <w:color w:val="000000"/>
                <w:sz w:val="18"/>
                <w:szCs w:val="18"/>
              </w:rPr>
              <w:t>Teste F</w:t>
            </w:r>
          </w:p>
        </w:tc>
        <w:tc>
          <w:tcPr>
            <w:tcW w:w="960" w:type="dxa"/>
            <w:tcBorders>
              <w:top w:val="nil"/>
              <w:left w:val="single" w:sz="4" w:space="0" w:color="auto"/>
              <w:right w:val="nil"/>
            </w:tcBorders>
            <w:shd w:val="clear" w:color="auto" w:fill="auto"/>
            <w:noWrap/>
            <w:vAlign w:val="bottom"/>
            <w:hideMark/>
          </w:tcPr>
          <w:p w14:paraId="72C06F4E" w14:textId="77777777" w:rsidR="0016084B" w:rsidRPr="00D611F8" w:rsidRDefault="0016084B" w:rsidP="00081F23">
            <w:pPr>
              <w:ind w:firstLine="0"/>
              <w:rPr>
                <w:color w:val="000000"/>
                <w:sz w:val="18"/>
                <w:szCs w:val="18"/>
              </w:rPr>
            </w:pPr>
            <w:r w:rsidRPr="00D611F8">
              <w:rPr>
                <w:color w:val="000000"/>
                <w:sz w:val="18"/>
                <w:szCs w:val="18"/>
              </w:rPr>
              <w:t>54.53</w:t>
            </w:r>
          </w:p>
        </w:tc>
        <w:tc>
          <w:tcPr>
            <w:tcW w:w="960" w:type="dxa"/>
            <w:tcBorders>
              <w:top w:val="nil"/>
              <w:left w:val="nil"/>
              <w:right w:val="nil"/>
            </w:tcBorders>
            <w:shd w:val="clear" w:color="auto" w:fill="auto"/>
            <w:noWrap/>
            <w:vAlign w:val="bottom"/>
            <w:hideMark/>
          </w:tcPr>
          <w:p w14:paraId="5B7AFEE4" w14:textId="77777777" w:rsidR="0016084B" w:rsidRPr="00D611F8" w:rsidRDefault="0016084B" w:rsidP="00081F23">
            <w:pPr>
              <w:ind w:firstLine="0"/>
              <w:jc w:val="right"/>
              <w:rPr>
                <w:color w:val="000000"/>
                <w:sz w:val="18"/>
                <w:szCs w:val="18"/>
              </w:rPr>
            </w:pPr>
            <w:r w:rsidRPr="00D611F8">
              <w:rPr>
                <w:color w:val="000000"/>
                <w:sz w:val="18"/>
                <w:szCs w:val="18"/>
              </w:rPr>
              <w:t>26.78</w:t>
            </w:r>
          </w:p>
        </w:tc>
        <w:tc>
          <w:tcPr>
            <w:tcW w:w="2040" w:type="dxa"/>
            <w:tcBorders>
              <w:top w:val="nil"/>
              <w:left w:val="nil"/>
              <w:right w:val="nil"/>
            </w:tcBorders>
            <w:shd w:val="clear" w:color="auto" w:fill="auto"/>
            <w:noWrap/>
            <w:vAlign w:val="bottom"/>
            <w:hideMark/>
          </w:tcPr>
          <w:p w14:paraId="18915EE7" w14:textId="77777777" w:rsidR="0016084B" w:rsidRPr="00D611F8" w:rsidRDefault="0016084B" w:rsidP="00081F23">
            <w:pPr>
              <w:ind w:firstLine="0"/>
              <w:jc w:val="right"/>
              <w:rPr>
                <w:color w:val="000000"/>
                <w:sz w:val="18"/>
                <w:szCs w:val="18"/>
              </w:rPr>
            </w:pPr>
            <w:r w:rsidRPr="00D611F8">
              <w:rPr>
                <w:color w:val="000000"/>
                <w:sz w:val="18"/>
                <w:szCs w:val="18"/>
              </w:rPr>
              <w:t>57.27</w:t>
            </w:r>
          </w:p>
        </w:tc>
        <w:tc>
          <w:tcPr>
            <w:tcW w:w="960" w:type="dxa"/>
            <w:tcBorders>
              <w:top w:val="nil"/>
              <w:left w:val="nil"/>
              <w:right w:val="nil"/>
            </w:tcBorders>
            <w:shd w:val="clear" w:color="auto" w:fill="auto"/>
            <w:noWrap/>
            <w:vAlign w:val="bottom"/>
            <w:hideMark/>
          </w:tcPr>
          <w:p w14:paraId="1BF270E1" w14:textId="77777777" w:rsidR="0016084B" w:rsidRPr="00D611F8" w:rsidRDefault="0016084B" w:rsidP="00081F23">
            <w:pPr>
              <w:ind w:firstLine="0"/>
              <w:jc w:val="right"/>
              <w:rPr>
                <w:color w:val="000000"/>
                <w:sz w:val="18"/>
                <w:szCs w:val="18"/>
              </w:rPr>
            </w:pPr>
            <w:r w:rsidRPr="00D611F8">
              <w:rPr>
                <w:color w:val="000000"/>
                <w:sz w:val="18"/>
                <w:szCs w:val="18"/>
              </w:rPr>
              <w:t>36.83</w:t>
            </w:r>
          </w:p>
        </w:tc>
        <w:tc>
          <w:tcPr>
            <w:tcW w:w="960" w:type="dxa"/>
            <w:tcBorders>
              <w:top w:val="nil"/>
              <w:left w:val="nil"/>
              <w:right w:val="nil"/>
            </w:tcBorders>
            <w:shd w:val="clear" w:color="auto" w:fill="auto"/>
            <w:noWrap/>
            <w:vAlign w:val="bottom"/>
            <w:hideMark/>
          </w:tcPr>
          <w:p w14:paraId="3EE11A9D" w14:textId="77777777" w:rsidR="0016084B" w:rsidRPr="00D611F8" w:rsidRDefault="0016084B" w:rsidP="00081F23">
            <w:pPr>
              <w:ind w:firstLine="0"/>
              <w:jc w:val="right"/>
              <w:rPr>
                <w:color w:val="000000"/>
                <w:sz w:val="18"/>
                <w:szCs w:val="18"/>
              </w:rPr>
            </w:pPr>
            <w:r w:rsidRPr="00D611F8">
              <w:rPr>
                <w:color w:val="000000"/>
                <w:sz w:val="18"/>
                <w:szCs w:val="18"/>
              </w:rPr>
              <w:t>19.54</w:t>
            </w:r>
          </w:p>
        </w:tc>
        <w:tc>
          <w:tcPr>
            <w:tcW w:w="960" w:type="dxa"/>
            <w:tcBorders>
              <w:top w:val="nil"/>
              <w:left w:val="nil"/>
              <w:right w:val="nil"/>
            </w:tcBorders>
            <w:shd w:val="clear" w:color="auto" w:fill="auto"/>
            <w:noWrap/>
            <w:vAlign w:val="bottom"/>
            <w:hideMark/>
          </w:tcPr>
          <w:p w14:paraId="5CC6DFAF" w14:textId="77777777" w:rsidR="0016084B" w:rsidRPr="00D611F8" w:rsidRDefault="0016084B" w:rsidP="00081F23">
            <w:pPr>
              <w:ind w:firstLine="0"/>
              <w:jc w:val="right"/>
              <w:rPr>
                <w:color w:val="000000"/>
                <w:sz w:val="18"/>
                <w:szCs w:val="18"/>
              </w:rPr>
            </w:pPr>
            <w:r w:rsidRPr="00D611F8">
              <w:rPr>
                <w:color w:val="000000"/>
                <w:sz w:val="18"/>
                <w:szCs w:val="18"/>
              </w:rPr>
              <w:t>88.13</w:t>
            </w:r>
          </w:p>
        </w:tc>
        <w:tc>
          <w:tcPr>
            <w:tcW w:w="1126" w:type="dxa"/>
            <w:tcBorders>
              <w:top w:val="nil"/>
              <w:left w:val="nil"/>
              <w:right w:val="nil"/>
            </w:tcBorders>
            <w:shd w:val="clear" w:color="auto" w:fill="auto"/>
            <w:noWrap/>
            <w:vAlign w:val="bottom"/>
            <w:hideMark/>
          </w:tcPr>
          <w:p w14:paraId="548036EE"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right w:val="nil"/>
            </w:tcBorders>
            <w:shd w:val="clear" w:color="auto" w:fill="auto"/>
            <w:noWrap/>
            <w:vAlign w:val="bottom"/>
            <w:hideMark/>
          </w:tcPr>
          <w:p w14:paraId="55C83A0D" w14:textId="77777777" w:rsidR="0016084B" w:rsidRPr="00D611F8" w:rsidRDefault="0016084B" w:rsidP="00081F23">
            <w:pPr>
              <w:ind w:firstLine="0"/>
              <w:rPr>
                <w:color w:val="000000"/>
                <w:sz w:val="18"/>
                <w:szCs w:val="18"/>
              </w:rPr>
            </w:pPr>
            <w:r w:rsidRPr="00D611F8">
              <w:rPr>
                <w:color w:val="000000"/>
                <w:sz w:val="18"/>
                <w:szCs w:val="18"/>
              </w:rPr>
              <w:t>-</w:t>
            </w:r>
          </w:p>
        </w:tc>
      </w:tr>
      <w:tr w:rsidR="0016084B" w:rsidRPr="00D611F8" w14:paraId="746F6CA5" w14:textId="77777777" w:rsidTr="00F54895">
        <w:trPr>
          <w:trHeight w:val="20"/>
        </w:trPr>
        <w:tc>
          <w:tcPr>
            <w:tcW w:w="3800" w:type="dxa"/>
            <w:tcBorders>
              <w:top w:val="nil"/>
              <w:left w:val="nil"/>
              <w:bottom w:val="single" w:sz="4" w:space="0" w:color="auto"/>
              <w:right w:val="single" w:sz="4" w:space="0" w:color="auto"/>
            </w:tcBorders>
            <w:shd w:val="clear" w:color="auto" w:fill="auto"/>
            <w:noWrap/>
            <w:vAlign w:val="bottom"/>
            <w:hideMark/>
          </w:tcPr>
          <w:p w14:paraId="16EE73AD" w14:textId="77777777" w:rsidR="0016084B" w:rsidRPr="00D611F8" w:rsidRDefault="0016084B" w:rsidP="00081F23">
            <w:pPr>
              <w:ind w:firstLine="0"/>
              <w:rPr>
                <w:color w:val="000000"/>
                <w:sz w:val="18"/>
                <w:szCs w:val="18"/>
              </w:rPr>
            </w:pPr>
            <w:r w:rsidRPr="00D611F8">
              <w:rPr>
                <w:color w:val="000000"/>
                <w:sz w:val="18"/>
                <w:szCs w:val="18"/>
              </w:rPr>
              <w:t>Breusch pagam</w:t>
            </w:r>
          </w:p>
        </w:tc>
        <w:tc>
          <w:tcPr>
            <w:tcW w:w="960" w:type="dxa"/>
            <w:tcBorders>
              <w:top w:val="nil"/>
              <w:left w:val="single" w:sz="4" w:space="0" w:color="auto"/>
              <w:bottom w:val="single" w:sz="4" w:space="0" w:color="auto"/>
              <w:right w:val="nil"/>
            </w:tcBorders>
            <w:shd w:val="clear" w:color="auto" w:fill="auto"/>
            <w:noWrap/>
            <w:vAlign w:val="bottom"/>
            <w:hideMark/>
          </w:tcPr>
          <w:p w14:paraId="54D85F88" w14:textId="77777777" w:rsidR="0016084B" w:rsidRPr="00D611F8" w:rsidRDefault="0016084B" w:rsidP="00081F23">
            <w:pPr>
              <w:ind w:firstLine="0"/>
              <w:rPr>
                <w:color w:val="000000"/>
                <w:sz w:val="18"/>
                <w:szCs w:val="18"/>
              </w:rPr>
            </w:pPr>
            <w:r w:rsidRPr="00D611F8">
              <w:rPr>
                <w:color w:val="000000"/>
                <w:sz w:val="18"/>
                <w:szCs w:val="18"/>
              </w:rPr>
              <w:t>36.22</w:t>
            </w:r>
          </w:p>
        </w:tc>
        <w:tc>
          <w:tcPr>
            <w:tcW w:w="960" w:type="dxa"/>
            <w:tcBorders>
              <w:top w:val="nil"/>
              <w:left w:val="nil"/>
              <w:bottom w:val="single" w:sz="4" w:space="0" w:color="auto"/>
              <w:right w:val="nil"/>
            </w:tcBorders>
            <w:shd w:val="clear" w:color="auto" w:fill="auto"/>
            <w:noWrap/>
            <w:vAlign w:val="bottom"/>
            <w:hideMark/>
          </w:tcPr>
          <w:p w14:paraId="0BD5BA47" w14:textId="77777777" w:rsidR="0016084B" w:rsidRPr="00D611F8" w:rsidRDefault="0016084B" w:rsidP="00081F23">
            <w:pPr>
              <w:ind w:firstLine="0"/>
              <w:jc w:val="right"/>
              <w:rPr>
                <w:color w:val="000000"/>
                <w:sz w:val="18"/>
                <w:szCs w:val="18"/>
              </w:rPr>
            </w:pPr>
            <w:r w:rsidRPr="00D611F8">
              <w:rPr>
                <w:color w:val="000000"/>
                <w:sz w:val="18"/>
                <w:szCs w:val="18"/>
              </w:rPr>
              <w:t>0.356</w:t>
            </w:r>
          </w:p>
        </w:tc>
        <w:tc>
          <w:tcPr>
            <w:tcW w:w="2040" w:type="dxa"/>
            <w:tcBorders>
              <w:top w:val="nil"/>
              <w:left w:val="nil"/>
              <w:bottom w:val="single" w:sz="4" w:space="0" w:color="auto"/>
              <w:right w:val="nil"/>
            </w:tcBorders>
            <w:shd w:val="clear" w:color="auto" w:fill="auto"/>
            <w:noWrap/>
            <w:vAlign w:val="bottom"/>
            <w:hideMark/>
          </w:tcPr>
          <w:p w14:paraId="2157EF6A" w14:textId="77777777" w:rsidR="0016084B" w:rsidRPr="00D611F8" w:rsidRDefault="0016084B" w:rsidP="00081F23">
            <w:pPr>
              <w:ind w:firstLine="0"/>
              <w:jc w:val="right"/>
              <w:rPr>
                <w:color w:val="000000"/>
                <w:sz w:val="18"/>
                <w:szCs w:val="18"/>
              </w:rPr>
            </w:pPr>
            <w:r w:rsidRPr="00D611F8">
              <w:rPr>
                <w:color w:val="000000"/>
                <w:sz w:val="18"/>
                <w:szCs w:val="18"/>
              </w:rPr>
              <w:t>0.5381</w:t>
            </w:r>
          </w:p>
        </w:tc>
        <w:tc>
          <w:tcPr>
            <w:tcW w:w="960" w:type="dxa"/>
            <w:tcBorders>
              <w:top w:val="nil"/>
              <w:left w:val="nil"/>
              <w:bottom w:val="single" w:sz="4" w:space="0" w:color="auto"/>
              <w:right w:val="nil"/>
            </w:tcBorders>
            <w:shd w:val="clear" w:color="auto" w:fill="auto"/>
            <w:noWrap/>
            <w:vAlign w:val="bottom"/>
            <w:hideMark/>
          </w:tcPr>
          <w:p w14:paraId="45888322" w14:textId="77777777" w:rsidR="0016084B" w:rsidRPr="00D611F8" w:rsidRDefault="0016084B" w:rsidP="00081F23">
            <w:pPr>
              <w:ind w:firstLine="0"/>
              <w:jc w:val="right"/>
              <w:rPr>
                <w:color w:val="000000"/>
                <w:sz w:val="18"/>
                <w:szCs w:val="18"/>
              </w:rPr>
            </w:pPr>
            <w:r w:rsidRPr="00D611F8">
              <w:rPr>
                <w:color w:val="000000"/>
                <w:sz w:val="18"/>
                <w:szCs w:val="18"/>
              </w:rPr>
              <w:t>9.57</w:t>
            </w:r>
          </w:p>
        </w:tc>
        <w:tc>
          <w:tcPr>
            <w:tcW w:w="960" w:type="dxa"/>
            <w:tcBorders>
              <w:top w:val="nil"/>
              <w:left w:val="nil"/>
              <w:bottom w:val="single" w:sz="4" w:space="0" w:color="auto"/>
              <w:right w:val="nil"/>
            </w:tcBorders>
            <w:shd w:val="clear" w:color="auto" w:fill="auto"/>
            <w:noWrap/>
            <w:vAlign w:val="bottom"/>
            <w:hideMark/>
          </w:tcPr>
          <w:p w14:paraId="211B9016" w14:textId="77777777" w:rsidR="0016084B" w:rsidRPr="00D611F8" w:rsidRDefault="0016084B" w:rsidP="00081F23">
            <w:pPr>
              <w:ind w:firstLine="0"/>
              <w:jc w:val="right"/>
              <w:rPr>
                <w:color w:val="000000"/>
                <w:sz w:val="18"/>
                <w:szCs w:val="18"/>
              </w:rPr>
            </w:pPr>
            <w:r w:rsidRPr="00D611F8">
              <w:rPr>
                <w:color w:val="000000"/>
                <w:sz w:val="18"/>
                <w:szCs w:val="18"/>
              </w:rPr>
              <w:t>303.31</w:t>
            </w:r>
          </w:p>
        </w:tc>
        <w:tc>
          <w:tcPr>
            <w:tcW w:w="960" w:type="dxa"/>
            <w:tcBorders>
              <w:top w:val="nil"/>
              <w:left w:val="nil"/>
              <w:bottom w:val="single" w:sz="4" w:space="0" w:color="auto"/>
              <w:right w:val="nil"/>
            </w:tcBorders>
            <w:shd w:val="clear" w:color="auto" w:fill="auto"/>
            <w:noWrap/>
            <w:vAlign w:val="bottom"/>
            <w:hideMark/>
          </w:tcPr>
          <w:p w14:paraId="39736293" w14:textId="77777777" w:rsidR="0016084B" w:rsidRPr="00D611F8" w:rsidRDefault="0016084B" w:rsidP="00081F23">
            <w:pPr>
              <w:ind w:firstLine="0"/>
              <w:jc w:val="right"/>
              <w:rPr>
                <w:color w:val="000000"/>
                <w:sz w:val="18"/>
                <w:szCs w:val="18"/>
              </w:rPr>
            </w:pPr>
            <w:r w:rsidRPr="00D611F8">
              <w:rPr>
                <w:color w:val="000000"/>
                <w:sz w:val="18"/>
                <w:szCs w:val="18"/>
              </w:rPr>
              <w:t>124.71</w:t>
            </w:r>
          </w:p>
        </w:tc>
        <w:tc>
          <w:tcPr>
            <w:tcW w:w="1126" w:type="dxa"/>
            <w:tcBorders>
              <w:top w:val="nil"/>
              <w:left w:val="nil"/>
              <w:bottom w:val="single" w:sz="4" w:space="0" w:color="auto"/>
              <w:right w:val="nil"/>
            </w:tcBorders>
            <w:shd w:val="clear" w:color="auto" w:fill="auto"/>
            <w:noWrap/>
            <w:vAlign w:val="bottom"/>
            <w:hideMark/>
          </w:tcPr>
          <w:p w14:paraId="1A997F4A" w14:textId="77777777" w:rsidR="0016084B" w:rsidRPr="00D611F8" w:rsidRDefault="0016084B" w:rsidP="00081F23">
            <w:pPr>
              <w:ind w:firstLine="0"/>
              <w:rPr>
                <w:color w:val="000000"/>
                <w:sz w:val="18"/>
                <w:szCs w:val="18"/>
              </w:rPr>
            </w:pPr>
            <w:r w:rsidRPr="00D611F8">
              <w:rPr>
                <w:color w:val="000000"/>
                <w:sz w:val="18"/>
                <w:szCs w:val="18"/>
              </w:rPr>
              <w:t>-</w:t>
            </w:r>
          </w:p>
        </w:tc>
        <w:tc>
          <w:tcPr>
            <w:tcW w:w="1600" w:type="dxa"/>
            <w:tcBorders>
              <w:top w:val="nil"/>
              <w:left w:val="nil"/>
              <w:bottom w:val="single" w:sz="4" w:space="0" w:color="auto"/>
              <w:right w:val="nil"/>
            </w:tcBorders>
            <w:shd w:val="clear" w:color="auto" w:fill="auto"/>
            <w:noWrap/>
            <w:vAlign w:val="bottom"/>
            <w:hideMark/>
          </w:tcPr>
          <w:p w14:paraId="0DB50437" w14:textId="77777777" w:rsidR="0016084B" w:rsidRPr="00D611F8" w:rsidRDefault="0016084B" w:rsidP="00081F23">
            <w:pPr>
              <w:ind w:firstLine="0"/>
              <w:rPr>
                <w:color w:val="000000"/>
                <w:sz w:val="18"/>
                <w:szCs w:val="18"/>
              </w:rPr>
            </w:pPr>
            <w:r w:rsidRPr="00D611F8">
              <w:rPr>
                <w:color w:val="000000"/>
                <w:sz w:val="18"/>
                <w:szCs w:val="18"/>
              </w:rPr>
              <w:t>-</w:t>
            </w:r>
          </w:p>
        </w:tc>
      </w:tr>
    </w:tbl>
    <w:p w14:paraId="7CA39560" w14:textId="679DE6B1" w:rsidR="0016084B" w:rsidRDefault="0016084B" w:rsidP="00132C08">
      <w:pPr>
        <w:spacing w:after="240"/>
        <w:ind w:firstLine="0"/>
        <w:rPr>
          <w:b/>
          <w:bCs/>
          <w:color w:val="003D4C"/>
          <w:szCs w:val="24"/>
        </w:rPr>
      </w:pPr>
      <w:r w:rsidRPr="00007A00">
        <w:rPr>
          <w:sz w:val="20"/>
        </w:rPr>
        <w:t>Fonte: Elaboração própria</w:t>
      </w:r>
    </w:p>
    <w:sectPr w:rsidR="0016084B" w:rsidSect="00D611F8">
      <w:headerReference w:type="default" r:id="rId17"/>
      <w:footerReference w:type="default" r:id="rId18"/>
      <w:pgSz w:w="15840" w:h="12240" w:orient="landscape" w:code="119"/>
      <w:pgMar w:top="1701" w:right="1701" w:bottom="1134" w:left="1134"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468C2" w14:textId="77777777" w:rsidR="000F7635" w:rsidRDefault="000F7635" w:rsidP="005840EF">
      <w:r>
        <w:separator/>
      </w:r>
    </w:p>
  </w:endnote>
  <w:endnote w:type="continuationSeparator" w:id="0">
    <w:p w14:paraId="251A4774" w14:textId="77777777" w:rsidR="000F7635" w:rsidRDefault="000F7635"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G Omega">
    <w:altName w:val="CG Omeg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527730"/>
      <w:docPartObj>
        <w:docPartGallery w:val="Page Numbers (Bottom of Page)"/>
        <w:docPartUnique/>
      </w:docPartObj>
    </w:sdtPr>
    <w:sdtEndPr/>
    <w:sdtContent>
      <w:p w14:paraId="6892629F" w14:textId="77777777" w:rsidR="00F54895" w:rsidRDefault="00F54895">
        <w:pPr>
          <w:pStyle w:val="Rodap"/>
          <w:jc w:val="right"/>
        </w:pPr>
        <w:r>
          <w:fldChar w:fldCharType="begin"/>
        </w:r>
        <w:r>
          <w:instrText xml:space="preserve"> PAGE   \* MERGEFORMAT </w:instrText>
        </w:r>
        <w:r>
          <w:fldChar w:fldCharType="separate"/>
        </w:r>
        <w:r>
          <w:rPr>
            <w:noProof/>
          </w:rPr>
          <w:t>21</w:t>
        </w:r>
        <w:r>
          <w:rPr>
            <w:noProof/>
          </w:rPr>
          <w:fldChar w:fldCharType="end"/>
        </w:r>
      </w:p>
    </w:sdtContent>
  </w:sdt>
  <w:p w14:paraId="52DE4D12" w14:textId="77777777" w:rsidR="00F54895" w:rsidRDefault="00F5489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17726" w14:textId="77777777" w:rsidR="00F54895" w:rsidRPr="00F05FBB" w:rsidRDefault="00F54895"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w:t>
    </w:r>
    <w:r w:rsidRPr="00F05FBB">
      <w:rPr>
        <w:sz w:val="20"/>
      </w:rPr>
      <w:fldChar w:fldCharType="end"/>
    </w:r>
  </w:p>
  <w:p w14:paraId="1DA4A6F4" w14:textId="77777777" w:rsidR="00F54895" w:rsidRPr="00862FD2" w:rsidRDefault="00F54895" w:rsidP="004E0B39">
    <w:pPr>
      <w:pStyle w:val="Rodap"/>
      <w:ind w:firstLine="0"/>
      <w:jc w:val="center"/>
    </w:pPr>
    <w:r>
      <w:rPr>
        <w:noProof/>
        <w:lang w:val="pt-BR" w:eastAsia="pt-BR"/>
      </w:rPr>
      <w:drawing>
        <wp:inline distT="0" distB="0" distL="0" distR="0" wp14:anchorId="18F95A35" wp14:editId="310666EA">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15B9" w14:textId="77777777" w:rsidR="000F7635" w:rsidRDefault="000F7635" w:rsidP="005840EF">
      <w:r>
        <w:separator/>
      </w:r>
    </w:p>
  </w:footnote>
  <w:footnote w:type="continuationSeparator" w:id="0">
    <w:p w14:paraId="6BF9A535" w14:textId="77777777" w:rsidR="000F7635" w:rsidRDefault="000F7635"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A397F" w14:textId="79C99C9E" w:rsidR="00F54895" w:rsidRDefault="00081F23" w:rsidP="00F54895">
    <w:pPr>
      <w:pStyle w:val="Cabealho"/>
      <w:jc w:val="center"/>
    </w:pPr>
    <w:r>
      <w:rPr>
        <w:noProof/>
      </w:rPr>
      <w:drawing>
        <wp:inline distT="0" distB="0" distL="0" distR="0" wp14:anchorId="468A618B" wp14:editId="35444A05">
          <wp:extent cx="5760720" cy="1424203"/>
          <wp:effectExtent l="0" t="0" r="0" b="5080"/>
          <wp:docPr id="17" name="Imagem 17"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2420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6ABF" w14:textId="6033C899" w:rsidR="00F54895" w:rsidRDefault="00081F23">
    <w:pPr>
      <w:pStyle w:val="Cabealho"/>
    </w:pPr>
    <w:r>
      <w:rPr>
        <w:noProof/>
      </w:rPr>
      <w:drawing>
        <wp:inline distT="0" distB="0" distL="0" distR="0" wp14:anchorId="3DA3708C" wp14:editId="24A3EC1C">
          <wp:extent cx="5760720" cy="1423670"/>
          <wp:effectExtent l="0" t="0" r="0" b="5080"/>
          <wp:docPr id="18" name="Imagem 18"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4236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D3A5F" w14:textId="77777777" w:rsidR="00F54895" w:rsidRPr="004E0B39" w:rsidRDefault="00F54895" w:rsidP="004E0B39">
    <w:pPr>
      <w:pStyle w:val="Cabealho"/>
      <w:ind w:firstLine="0"/>
      <w:jc w:val="center"/>
    </w:pPr>
    <w:r>
      <w:rPr>
        <w:noProof/>
      </w:rPr>
      <w:drawing>
        <wp:inline distT="0" distB="0" distL="0" distR="0" wp14:anchorId="287C7F0E" wp14:editId="4B230165">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408"/>
    <w:multiLevelType w:val="multilevel"/>
    <w:tmpl w:val="02AAA95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E5D42"/>
    <w:multiLevelType w:val="hybridMultilevel"/>
    <w:tmpl w:val="F7F86D4E"/>
    <w:lvl w:ilvl="0" w:tplc="0416000D">
      <w:start w:val="1"/>
      <w:numFmt w:val="bullet"/>
      <w:lvlText w:val=""/>
      <w:lvlJc w:val="left"/>
      <w:pPr>
        <w:tabs>
          <w:tab w:val="num" w:pos="720"/>
        </w:tabs>
        <w:ind w:left="720" w:hanging="360"/>
      </w:pPr>
      <w:rPr>
        <w:rFonts w:ascii="Wingdings" w:hAnsi="Wingding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384F5E87"/>
    <w:multiLevelType w:val="hybridMultilevel"/>
    <w:tmpl w:val="389ABF60"/>
    <w:lvl w:ilvl="0" w:tplc="A0A4225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55FC2"/>
    <w:multiLevelType w:val="hybridMultilevel"/>
    <w:tmpl w:val="747409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B2F672A"/>
    <w:multiLevelType w:val="hybridMultilevel"/>
    <w:tmpl w:val="02AAA950"/>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B76F90"/>
    <w:multiLevelType w:val="hybridMultilevel"/>
    <w:tmpl w:val="543A9DD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9"/>
  </w:num>
  <w:num w:numId="4">
    <w:abstractNumId w:val="15"/>
  </w:num>
  <w:num w:numId="5">
    <w:abstractNumId w:val="6"/>
  </w:num>
  <w:num w:numId="6">
    <w:abstractNumId w:val="2"/>
  </w:num>
  <w:num w:numId="7">
    <w:abstractNumId w:val="1"/>
  </w:num>
  <w:num w:numId="8">
    <w:abstractNumId w:val="3"/>
  </w:num>
  <w:num w:numId="9">
    <w:abstractNumId w:val="3"/>
  </w:num>
  <w:num w:numId="10">
    <w:abstractNumId w:val="13"/>
  </w:num>
  <w:num w:numId="11">
    <w:abstractNumId w:val="14"/>
  </w:num>
  <w:num w:numId="12">
    <w:abstractNumId w:val="4"/>
  </w:num>
  <w:num w:numId="13">
    <w:abstractNumId w:val="16"/>
  </w:num>
  <w:num w:numId="14">
    <w:abstractNumId w:val="12"/>
  </w:num>
  <w:num w:numId="15">
    <w:abstractNumId w:val="0"/>
  </w:num>
  <w:num w:numId="16">
    <w:abstractNumId w:val="5"/>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7A00"/>
    <w:rsid w:val="000103E0"/>
    <w:rsid w:val="00021054"/>
    <w:rsid w:val="0006261D"/>
    <w:rsid w:val="000720BF"/>
    <w:rsid w:val="00081F23"/>
    <w:rsid w:val="000D7722"/>
    <w:rsid w:val="000F0530"/>
    <w:rsid w:val="000F7635"/>
    <w:rsid w:val="00132C08"/>
    <w:rsid w:val="001457BE"/>
    <w:rsid w:val="0016084B"/>
    <w:rsid w:val="00160E08"/>
    <w:rsid w:val="001E2E6C"/>
    <w:rsid w:val="0020354A"/>
    <w:rsid w:val="002056D7"/>
    <w:rsid w:val="002136AE"/>
    <w:rsid w:val="00244401"/>
    <w:rsid w:val="00244C0A"/>
    <w:rsid w:val="002566DC"/>
    <w:rsid w:val="00263CEF"/>
    <w:rsid w:val="002826C0"/>
    <w:rsid w:val="002B167A"/>
    <w:rsid w:val="002B78FC"/>
    <w:rsid w:val="002C7235"/>
    <w:rsid w:val="00303C6F"/>
    <w:rsid w:val="003041AE"/>
    <w:rsid w:val="00371DFF"/>
    <w:rsid w:val="003923C3"/>
    <w:rsid w:val="00395244"/>
    <w:rsid w:val="003A3639"/>
    <w:rsid w:val="00406C08"/>
    <w:rsid w:val="00423365"/>
    <w:rsid w:val="004251EF"/>
    <w:rsid w:val="00472EE1"/>
    <w:rsid w:val="0048579A"/>
    <w:rsid w:val="0049262F"/>
    <w:rsid w:val="004E0B39"/>
    <w:rsid w:val="005119C7"/>
    <w:rsid w:val="00523BAB"/>
    <w:rsid w:val="005264B1"/>
    <w:rsid w:val="00531A76"/>
    <w:rsid w:val="00542B50"/>
    <w:rsid w:val="0055088A"/>
    <w:rsid w:val="005840EF"/>
    <w:rsid w:val="005D0785"/>
    <w:rsid w:val="005D711E"/>
    <w:rsid w:val="00606F36"/>
    <w:rsid w:val="0063432D"/>
    <w:rsid w:val="006750E6"/>
    <w:rsid w:val="00683BE5"/>
    <w:rsid w:val="006C284A"/>
    <w:rsid w:val="006D02CA"/>
    <w:rsid w:val="006D340F"/>
    <w:rsid w:val="00710D8D"/>
    <w:rsid w:val="00714245"/>
    <w:rsid w:val="007610C6"/>
    <w:rsid w:val="007C0C2C"/>
    <w:rsid w:val="007F1447"/>
    <w:rsid w:val="00862FD2"/>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652B"/>
    <w:rsid w:val="009D68AF"/>
    <w:rsid w:val="00A01395"/>
    <w:rsid w:val="00A16D53"/>
    <w:rsid w:val="00A80641"/>
    <w:rsid w:val="00A92D9C"/>
    <w:rsid w:val="00AB5527"/>
    <w:rsid w:val="00AC61AF"/>
    <w:rsid w:val="00AC7E25"/>
    <w:rsid w:val="00B0085E"/>
    <w:rsid w:val="00B12485"/>
    <w:rsid w:val="00B169EE"/>
    <w:rsid w:val="00B25FFE"/>
    <w:rsid w:val="00B801AB"/>
    <w:rsid w:val="00B97C44"/>
    <w:rsid w:val="00BC4277"/>
    <w:rsid w:val="00C01F1F"/>
    <w:rsid w:val="00C22A7A"/>
    <w:rsid w:val="00C271A6"/>
    <w:rsid w:val="00C671EC"/>
    <w:rsid w:val="00C84F71"/>
    <w:rsid w:val="00C906CE"/>
    <w:rsid w:val="00CF0D35"/>
    <w:rsid w:val="00D2342D"/>
    <w:rsid w:val="00D611F8"/>
    <w:rsid w:val="00D86B5F"/>
    <w:rsid w:val="00D94E67"/>
    <w:rsid w:val="00DA5E5B"/>
    <w:rsid w:val="00DC7281"/>
    <w:rsid w:val="00DE1E14"/>
    <w:rsid w:val="00DE631D"/>
    <w:rsid w:val="00DE75F7"/>
    <w:rsid w:val="00E1786F"/>
    <w:rsid w:val="00E24E18"/>
    <w:rsid w:val="00E553FB"/>
    <w:rsid w:val="00E914E3"/>
    <w:rsid w:val="00E94A5E"/>
    <w:rsid w:val="00EC6EDB"/>
    <w:rsid w:val="00ED6578"/>
    <w:rsid w:val="00EF213A"/>
    <w:rsid w:val="00F05FBB"/>
    <w:rsid w:val="00F50126"/>
    <w:rsid w:val="00F54895"/>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9C50D14"/>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unhideWhenUsed/>
    <w:rsid w:val="005840EF"/>
  </w:style>
  <w:style w:type="character" w:customStyle="1" w:styleId="TextodenotaderodapChar">
    <w:name w:val="Texto de nota de rodapé Char"/>
    <w:basedOn w:val="Fontepargpadro"/>
    <w:link w:val="Textodenotaderodap"/>
    <w:uiPriority w:val="99"/>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unhideWhenUsed/>
    <w:rsid w:val="005D711E"/>
    <w:rPr>
      <w:rFonts w:ascii="Tahoma" w:hAnsi="Tahoma"/>
      <w:sz w:val="16"/>
      <w:szCs w:val="16"/>
      <w:lang w:val="x-none" w:eastAsia="x-none"/>
    </w:rPr>
  </w:style>
  <w:style w:type="character" w:customStyle="1" w:styleId="TextodebaloChar">
    <w:name w:val="Texto de balão Char"/>
    <w:link w:val="Textodebalo"/>
    <w:uiPriority w:val="99"/>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nfase">
    <w:name w:val="Emphasis"/>
    <w:basedOn w:val="Fontepargpadro"/>
    <w:uiPriority w:val="20"/>
    <w:qFormat/>
    <w:rsid w:val="0016084B"/>
    <w:rPr>
      <w:i/>
      <w:iCs/>
    </w:rPr>
  </w:style>
  <w:style w:type="character" w:styleId="Nmerodepgina">
    <w:name w:val="page number"/>
    <w:basedOn w:val="Fontepargpadro"/>
    <w:rsid w:val="0016084B"/>
  </w:style>
  <w:style w:type="paragraph" w:customStyle="1" w:styleId="Default">
    <w:name w:val="Default"/>
    <w:rsid w:val="0016084B"/>
    <w:pPr>
      <w:autoSpaceDE w:val="0"/>
      <w:autoSpaceDN w:val="0"/>
      <w:adjustRightInd w:val="0"/>
    </w:pPr>
    <w:rPr>
      <w:rFonts w:ascii="Verdana" w:hAnsi="Verdana" w:cs="Verdana"/>
      <w:color w:val="000000"/>
      <w:sz w:val="24"/>
      <w:szCs w:val="24"/>
    </w:rPr>
  </w:style>
  <w:style w:type="character" w:customStyle="1" w:styleId="A3">
    <w:name w:val="A3"/>
    <w:uiPriority w:val="99"/>
    <w:rsid w:val="0016084B"/>
    <w:rPr>
      <w:rFonts w:cs="CG Omega"/>
      <w:color w:val="000000"/>
      <w:sz w:val="22"/>
      <w:szCs w:val="22"/>
    </w:rPr>
  </w:style>
  <w:style w:type="paragraph" w:styleId="PargrafodaLista">
    <w:name w:val="List Paragraph"/>
    <w:basedOn w:val="Normal"/>
    <w:uiPriority w:val="34"/>
    <w:qFormat/>
    <w:rsid w:val="0016084B"/>
    <w:pPr>
      <w:widowControl/>
      <w:suppressLineNumbers w:val="0"/>
      <w:suppressAutoHyphens w:val="0"/>
      <w:spacing w:after="160" w:line="259" w:lineRule="auto"/>
      <w:ind w:left="720" w:firstLine="0"/>
      <w:contextualSpacing/>
      <w:jc w:val="left"/>
    </w:pPr>
    <w:rPr>
      <w:rFonts w:asciiTheme="minorHAnsi" w:eastAsiaTheme="minorEastAsia" w:hAnsiTheme="minorHAnsi"/>
      <w:sz w:val="22"/>
      <w:szCs w:val="22"/>
      <w:lang w:eastAsia="en-US"/>
    </w:rPr>
  </w:style>
  <w:style w:type="paragraph" w:customStyle="1" w:styleId="msonormal0">
    <w:name w:val="msonormal"/>
    <w:basedOn w:val="Normal"/>
    <w:rsid w:val="0016084B"/>
    <w:pPr>
      <w:widowControl/>
      <w:suppressLineNumbers w:val="0"/>
      <w:suppressAutoHyphens w:val="0"/>
      <w:spacing w:before="100" w:beforeAutospacing="1" w:after="100" w:afterAutospacing="1"/>
      <w:ind w:firstLine="0"/>
      <w:jc w:val="left"/>
    </w:pPr>
    <w:rPr>
      <w:szCs w:val="24"/>
    </w:rPr>
  </w:style>
  <w:style w:type="character" w:styleId="TextodoEspaoReservado">
    <w:name w:val="Placeholder Text"/>
    <w:basedOn w:val="Fontepargpadro"/>
    <w:uiPriority w:val="99"/>
    <w:semiHidden/>
    <w:rsid w:val="00132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ilson\Dropbox\UDESC\Artigo%20gasto%20com%20pessoal\firj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ilson\Dropbox\UDESC\Disciplinas\2019-1\Finan&#231;as%20p&#250;blicas\Transfer&#234;ncias%20renda%20per%20capi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ilson\Dropbox\UDESC\Disciplinas\2019-1\Finan&#231;as%20p&#250;blicas\Transfer&#234;ncias%20renda%20per%20capi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ilson\Dropbox\UDESC\Disciplinas\2019-1\Finan&#231;as%20p&#250;blicas\Transfer&#234;ncias%20renda%20per%20capi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ilson\Dropbox\UDESC\Artigo%20gasto%20com%20pessoal\firj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ifgf!$O$8</c:f>
              <c:strCache>
                <c:ptCount val="1"/>
                <c:pt idx="0">
                  <c:v>Percentual</c:v>
                </c:pt>
              </c:strCache>
            </c:strRef>
          </c:tx>
          <c:spPr>
            <a:solidFill>
              <a:schemeClr val="bg1">
                <a:lumMod val="50000"/>
              </a:schemeClr>
            </a:solidFill>
            <a:ln>
              <a:solidFill>
                <a:sysClr val="windowText" lastClr="000000"/>
              </a:solidFill>
            </a:ln>
            <a:effectLst>
              <a:outerShdw blurRad="50800" dist="38100" dir="8100000" algn="tr" rotWithShape="0">
                <a:prstClr val="black">
                  <a:alpha val="40000"/>
                </a:prstClr>
              </a:outerShdw>
            </a:effectLst>
          </c:spPr>
          <c:invertIfNegative val="0"/>
          <c:cat>
            <c:numRef>
              <c:f>ifgf!$R$7:$Z$7</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ifgf!$R$8:$Z$8</c:f>
              <c:numCache>
                <c:formatCode>0%</c:formatCode>
                <c:ptCount val="9"/>
                <c:pt idx="0">
                  <c:v>0.66438609467455623</c:v>
                </c:pt>
                <c:pt idx="1">
                  <c:v>0.8101775581182501</c:v>
                </c:pt>
                <c:pt idx="2">
                  <c:v>0.70671313279530446</c:v>
                </c:pt>
                <c:pt idx="3">
                  <c:v>0.72310570626753978</c:v>
                </c:pt>
                <c:pt idx="4">
                  <c:v>0.72528331379445099</c:v>
                </c:pt>
                <c:pt idx="5">
                  <c:v>0.842456608811749</c:v>
                </c:pt>
                <c:pt idx="6">
                  <c:v>0.80421455938697317</c:v>
                </c:pt>
                <c:pt idx="7">
                  <c:v>0.87777135145556195</c:v>
                </c:pt>
                <c:pt idx="8">
                  <c:v>0.859375</c:v>
                </c:pt>
              </c:numCache>
            </c:numRef>
          </c:val>
          <c:extLst>
            <c:ext xmlns:c16="http://schemas.microsoft.com/office/drawing/2014/chart" uri="{C3380CC4-5D6E-409C-BE32-E72D297353CC}">
              <c16:uniqueId val="{00000000-E84A-4A4B-A9DE-1DA9BA3A9597}"/>
            </c:ext>
          </c:extLst>
        </c:ser>
        <c:dLbls>
          <c:showLegendKey val="0"/>
          <c:showVal val="0"/>
          <c:showCatName val="0"/>
          <c:showSerName val="0"/>
          <c:showPercent val="0"/>
          <c:showBubbleSize val="0"/>
        </c:dLbls>
        <c:gapWidth val="219"/>
        <c:overlap val="-27"/>
        <c:axId val="105123200"/>
        <c:axId val="105124992"/>
      </c:barChart>
      <c:lineChart>
        <c:grouping val="standard"/>
        <c:varyColors val="0"/>
        <c:ser>
          <c:idx val="1"/>
          <c:order val="1"/>
          <c:tx>
            <c:strRef>
              <c:f>ifgf!$O$9</c:f>
              <c:strCache>
                <c:ptCount val="1"/>
                <c:pt idx="0">
                  <c:v>Média</c:v>
                </c:pt>
              </c:strCache>
            </c:strRef>
          </c:tx>
          <c:spPr>
            <a:ln w="28575" cap="rnd">
              <a:solidFill>
                <a:sysClr val="windowText" lastClr="000000"/>
              </a:solidFill>
              <a:round/>
            </a:ln>
            <a:effectLst>
              <a:outerShdw blurRad="50800" dist="38100" dir="5400000" algn="t" rotWithShape="0">
                <a:prstClr val="black">
                  <a:alpha val="40000"/>
                </a:prstClr>
              </a:outerShdw>
            </a:effectLst>
          </c:spPr>
          <c:marker>
            <c:symbol val="none"/>
          </c:marker>
          <c:cat>
            <c:numRef>
              <c:f>ifgf!$R$7:$Z$7</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ifgf!$R$9:$Z$9</c:f>
              <c:numCache>
                <c:formatCode>0.00</c:formatCode>
                <c:ptCount val="9"/>
                <c:pt idx="0">
                  <c:v>0.53414723599201197</c:v>
                </c:pt>
                <c:pt idx="1">
                  <c:v>0.46990595754367381</c:v>
                </c:pt>
                <c:pt idx="2">
                  <c:v>0.51041824876803399</c:v>
                </c:pt>
                <c:pt idx="3">
                  <c:v>0.50972056911706365</c:v>
                </c:pt>
                <c:pt idx="4">
                  <c:v>0.5079431506348181</c:v>
                </c:pt>
                <c:pt idx="5">
                  <c:v>0.45446906682344929</c:v>
                </c:pt>
                <c:pt idx="6">
                  <c:v>0.47924137905583292</c:v>
                </c:pt>
                <c:pt idx="7">
                  <c:v>0.43882794983617085</c:v>
                </c:pt>
                <c:pt idx="8">
                  <c:v>0.46554469498292228</c:v>
                </c:pt>
              </c:numCache>
            </c:numRef>
          </c:val>
          <c:smooth val="0"/>
          <c:extLst>
            <c:ext xmlns:c16="http://schemas.microsoft.com/office/drawing/2014/chart" uri="{C3380CC4-5D6E-409C-BE32-E72D297353CC}">
              <c16:uniqueId val="{00000001-E84A-4A4B-A9DE-1DA9BA3A9597}"/>
            </c:ext>
          </c:extLst>
        </c:ser>
        <c:dLbls>
          <c:showLegendKey val="0"/>
          <c:showVal val="0"/>
          <c:showCatName val="0"/>
          <c:showSerName val="0"/>
          <c:showPercent val="0"/>
          <c:showBubbleSize val="0"/>
        </c:dLbls>
        <c:marker val="1"/>
        <c:smooth val="0"/>
        <c:axId val="105123200"/>
        <c:axId val="105124992"/>
      </c:lineChart>
      <c:catAx>
        <c:axId val="10512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124992"/>
        <c:crosses val="autoZero"/>
        <c:auto val="1"/>
        <c:lblAlgn val="ctr"/>
        <c:lblOffset val="100"/>
        <c:noMultiLvlLbl val="0"/>
      </c:catAx>
      <c:valAx>
        <c:axId val="105124992"/>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12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Planilha1!$N$1</c:f>
              <c:strCache>
                <c:ptCount val="1"/>
                <c:pt idx="0">
                  <c:v>percentual</c:v>
                </c:pt>
              </c:strCache>
            </c:strRef>
          </c:tx>
          <c:spPr>
            <a:solidFill>
              <a:schemeClr val="bg1">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Planilha1!$M$10:$M$15</c:f>
              <c:strCache>
                <c:ptCount val="6"/>
                <c:pt idx="0">
                  <c:v>Até 10</c:v>
                </c:pt>
                <c:pt idx="1">
                  <c:v>Entre 10 e 20</c:v>
                </c:pt>
                <c:pt idx="2">
                  <c:v>Entre 20 e 50</c:v>
                </c:pt>
                <c:pt idx="3">
                  <c:v>Entre 50 e 100</c:v>
                </c:pt>
                <c:pt idx="4">
                  <c:v>Entre 100 e 500</c:v>
                </c:pt>
                <c:pt idx="5">
                  <c:v>Mais de 500</c:v>
                </c:pt>
              </c:strCache>
            </c:strRef>
          </c:cat>
          <c:val>
            <c:numRef>
              <c:f>Planilha1!$N$10:$N$15</c:f>
              <c:numCache>
                <c:formatCode>0%</c:formatCode>
                <c:ptCount val="6"/>
                <c:pt idx="0">
                  <c:v>0.90881100955343397</c:v>
                </c:pt>
                <c:pt idx="1">
                  <c:v>0.88741858245198202</c:v>
                </c:pt>
                <c:pt idx="2">
                  <c:v>0.8462377915860646</c:v>
                </c:pt>
                <c:pt idx="3">
                  <c:v>0.7804349344196625</c:v>
                </c:pt>
                <c:pt idx="4">
                  <c:v>0.69158593859868689</c:v>
                </c:pt>
                <c:pt idx="5">
                  <c:v>0.56178460790605644</c:v>
                </c:pt>
              </c:numCache>
            </c:numRef>
          </c:val>
          <c:extLst>
            <c:ext xmlns:c16="http://schemas.microsoft.com/office/drawing/2014/chart" uri="{C3380CC4-5D6E-409C-BE32-E72D297353CC}">
              <c16:uniqueId val="{00000000-7C2C-489D-905B-D5B0927C8EEB}"/>
            </c:ext>
          </c:extLst>
        </c:ser>
        <c:dLbls>
          <c:showLegendKey val="0"/>
          <c:showVal val="0"/>
          <c:showCatName val="0"/>
          <c:showSerName val="0"/>
          <c:showPercent val="0"/>
          <c:showBubbleSize val="0"/>
        </c:dLbls>
        <c:gapWidth val="219"/>
        <c:overlap val="-27"/>
        <c:axId val="105154048"/>
        <c:axId val="105155584"/>
      </c:barChart>
      <c:catAx>
        <c:axId val="10515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105155584"/>
        <c:crosses val="autoZero"/>
        <c:auto val="1"/>
        <c:lblAlgn val="ctr"/>
        <c:lblOffset val="100"/>
        <c:noMultiLvlLbl val="0"/>
      </c:catAx>
      <c:valAx>
        <c:axId val="105155584"/>
        <c:scaling>
          <c:orientation val="minMax"/>
        </c:scaling>
        <c:delete val="1"/>
        <c:axPos val="l"/>
        <c:numFmt formatCode="0%" sourceLinked="1"/>
        <c:majorTickMark val="none"/>
        <c:minorTickMark val="none"/>
        <c:tickLblPos val="nextTo"/>
        <c:crossAx val="10515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Planilha1!$N$1</c:f>
              <c:strCache>
                <c:ptCount val="1"/>
                <c:pt idx="0">
                  <c:v>percentual</c:v>
                </c:pt>
              </c:strCache>
            </c:strRef>
          </c:tx>
          <c:spPr>
            <a:solidFill>
              <a:schemeClr val="bg1">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Planilha1!$M$2:$M$7</c:f>
              <c:strCache>
                <c:ptCount val="6"/>
                <c:pt idx="0">
                  <c:v>Até 5</c:v>
                </c:pt>
                <c:pt idx="1">
                  <c:v>Entre 5 e 10</c:v>
                </c:pt>
                <c:pt idx="2">
                  <c:v>Entre 10 e 20</c:v>
                </c:pt>
                <c:pt idx="3">
                  <c:v>Entre 20 e 30</c:v>
                </c:pt>
                <c:pt idx="4">
                  <c:v>Entre 30 e 50</c:v>
                </c:pt>
                <c:pt idx="5">
                  <c:v>Mais de 50</c:v>
                </c:pt>
              </c:strCache>
            </c:strRef>
          </c:cat>
          <c:val>
            <c:numRef>
              <c:f>Planilha1!$N$2:$N$7</c:f>
              <c:numCache>
                <c:formatCode>0%</c:formatCode>
                <c:ptCount val="6"/>
                <c:pt idx="0">
                  <c:v>0.95121864039551152</c:v>
                </c:pt>
                <c:pt idx="1">
                  <c:v>0.92783394582792034</c:v>
                </c:pt>
                <c:pt idx="2">
                  <c:v>0.86043670986390552</c:v>
                </c:pt>
                <c:pt idx="3">
                  <c:v>0.80817509994888848</c:v>
                </c:pt>
                <c:pt idx="4">
                  <c:v>0.78088968244012658</c:v>
                </c:pt>
                <c:pt idx="5">
                  <c:v>0.77219565452048999</c:v>
                </c:pt>
              </c:numCache>
            </c:numRef>
          </c:val>
          <c:extLst>
            <c:ext xmlns:c16="http://schemas.microsoft.com/office/drawing/2014/chart" uri="{C3380CC4-5D6E-409C-BE32-E72D297353CC}">
              <c16:uniqueId val="{00000000-9562-4276-9831-718FE9B9FE68}"/>
            </c:ext>
          </c:extLst>
        </c:ser>
        <c:dLbls>
          <c:showLegendKey val="0"/>
          <c:showVal val="0"/>
          <c:showCatName val="0"/>
          <c:showSerName val="0"/>
          <c:showPercent val="0"/>
          <c:showBubbleSize val="0"/>
        </c:dLbls>
        <c:gapWidth val="219"/>
        <c:overlap val="-27"/>
        <c:axId val="105171968"/>
        <c:axId val="105394944"/>
      </c:barChart>
      <c:catAx>
        <c:axId val="10517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105394944"/>
        <c:crosses val="autoZero"/>
        <c:auto val="1"/>
        <c:lblAlgn val="ctr"/>
        <c:lblOffset val="100"/>
        <c:noMultiLvlLbl val="0"/>
      </c:catAx>
      <c:valAx>
        <c:axId val="105394944"/>
        <c:scaling>
          <c:orientation val="minMax"/>
        </c:scaling>
        <c:delete val="1"/>
        <c:axPos val="l"/>
        <c:numFmt formatCode="0%" sourceLinked="1"/>
        <c:majorTickMark val="none"/>
        <c:minorTickMark val="none"/>
        <c:tickLblPos val="nextTo"/>
        <c:crossAx val="10517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5949256342957"/>
          <c:y val="5.0925925925925923E-2"/>
          <c:w val="0.67204593175853011"/>
          <c:h val="0.73577136191309422"/>
        </c:manualLayout>
      </c:layout>
      <c:barChart>
        <c:barDir val="col"/>
        <c:grouping val="clustered"/>
        <c:varyColors val="0"/>
        <c:ser>
          <c:idx val="0"/>
          <c:order val="0"/>
          <c:tx>
            <c:strRef>
              <c:f>Planilha3!$H$4905</c:f>
              <c:strCache>
                <c:ptCount val="1"/>
                <c:pt idx="0">
                  <c:v>Transferências</c:v>
                </c:pt>
              </c:strCache>
            </c:strRef>
          </c:tx>
          <c:spPr>
            <a:solidFill>
              <a:schemeClr val="bg1">
                <a:lumMod val="75000"/>
              </a:schemeClr>
            </a:solidFill>
            <a:ln>
              <a:solidFill>
                <a:sysClr val="windowText" lastClr="000000"/>
              </a:solidFill>
            </a:ln>
            <a:effectLst/>
          </c:spPr>
          <c:invertIfNegative val="0"/>
          <c:cat>
            <c:numRef>
              <c:f>Planilha3!$G$4906:$G$4909</c:f>
              <c:numCache>
                <c:formatCode>General</c:formatCode>
                <c:ptCount val="4"/>
                <c:pt idx="0">
                  <c:v>2013</c:v>
                </c:pt>
                <c:pt idx="1">
                  <c:v>2014</c:v>
                </c:pt>
                <c:pt idx="2">
                  <c:v>2015</c:v>
                </c:pt>
                <c:pt idx="3">
                  <c:v>2016</c:v>
                </c:pt>
              </c:numCache>
            </c:numRef>
          </c:cat>
          <c:val>
            <c:numRef>
              <c:f>Planilha3!$H$4906:$H$4909</c:f>
              <c:numCache>
                <c:formatCode>0.00</c:formatCode>
                <c:ptCount val="4"/>
                <c:pt idx="0">
                  <c:v>285.2562041570194</c:v>
                </c:pt>
                <c:pt idx="1">
                  <c:v>289.06741049933316</c:v>
                </c:pt>
                <c:pt idx="2">
                  <c:v>272.59375746510062</c:v>
                </c:pt>
                <c:pt idx="3">
                  <c:v>278.02434504607271</c:v>
                </c:pt>
              </c:numCache>
            </c:numRef>
          </c:val>
          <c:extLst>
            <c:ext xmlns:c16="http://schemas.microsoft.com/office/drawing/2014/chart" uri="{C3380CC4-5D6E-409C-BE32-E72D297353CC}">
              <c16:uniqueId val="{00000000-B74E-4124-99E1-BC1E20270F86}"/>
            </c:ext>
          </c:extLst>
        </c:ser>
        <c:dLbls>
          <c:showLegendKey val="0"/>
          <c:showVal val="0"/>
          <c:showCatName val="0"/>
          <c:showSerName val="0"/>
          <c:showPercent val="0"/>
          <c:showBubbleSize val="0"/>
        </c:dLbls>
        <c:gapWidth val="219"/>
        <c:overlap val="-27"/>
        <c:axId val="105441920"/>
        <c:axId val="105583360"/>
      </c:barChart>
      <c:lineChart>
        <c:grouping val="standard"/>
        <c:varyColors val="0"/>
        <c:ser>
          <c:idx val="1"/>
          <c:order val="1"/>
          <c:tx>
            <c:strRef>
              <c:f>Planilha3!$I$4905</c:f>
              <c:strCache>
                <c:ptCount val="1"/>
                <c:pt idx="0">
                  <c:v>PIB</c:v>
                </c:pt>
              </c:strCache>
            </c:strRef>
          </c:tx>
          <c:spPr>
            <a:ln w="28575" cap="rnd">
              <a:noFill/>
              <a:round/>
            </a:ln>
            <a:effectLst/>
          </c:spPr>
          <c:marker>
            <c:symbol val="diamond"/>
            <c:size val="8"/>
            <c:spPr>
              <a:solidFill>
                <a:schemeClr val="tx1"/>
              </a:solidFill>
              <a:ln w="9525">
                <a:solidFill>
                  <a:schemeClr val="tx1"/>
                </a:solidFill>
              </a:ln>
              <a:effectLst/>
            </c:spPr>
          </c:marker>
          <c:cat>
            <c:numRef>
              <c:f>Planilha3!$G$4906:$G$4909</c:f>
              <c:numCache>
                <c:formatCode>General</c:formatCode>
                <c:ptCount val="4"/>
                <c:pt idx="0">
                  <c:v>2013</c:v>
                </c:pt>
                <c:pt idx="1">
                  <c:v>2014</c:v>
                </c:pt>
                <c:pt idx="2">
                  <c:v>2015</c:v>
                </c:pt>
                <c:pt idx="3">
                  <c:v>2016</c:v>
                </c:pt>
              </c:numCache>
            </c:numRef>
          </c:cat>
          <c:val>
            <c:numRef>
              <c:f>Planilha3!$I$4906:$I$4909</c:f>
              <c:numCache>
                <c:formatCode>0.00%</c:formatCode>
                <c:ptCount val="4"/>
                <c:pt idx="0">
                  <c:v>2.8799999999999999E-2</c:v>
                </c:pt>
                <c:pt idx="1">
                  <c:v>4.5999999999999999E-3</c:v>
                </c:pt>
                <c:pt idx="2">
                  <c:v>-3.15E-2</c:v>
                </c:pt>
                <c:pt idx="3">
                  <c:v>-2.9300000000000003E-2</c:v>
                </c:pt>
              </c:numCache>
            </c:numRef>
          </c:val>
          <c:smooth val="0"/>
          <c:extLst>
            <c:ext xmlns:c16="http://schemas.microsoft.com/office/drawing/2014/chart" uri="{C3380CC4-5D6E-409C-BE32-E72D297353CC}">
              <c16:uniqueId val="{00000001-B74E-4124-99E1-BC1E20270F86}"/>
            </c:ext>
          </c:extLst>
        </c:ser>
        <c:dLbls>
          <c:showLegendKey val="0"/>
          <c:showVal val="0"/>
          <c:showCatName val="0"/>
          <c:showSerName val="0"/>
          <c:showPercent val="0"/>
          <c:showBubbleSize val="0"/>
        </c:dLbls>
        <c:marker val="1"/>
        <c:smooth val="0"/>
        <c:axId val="105587456"/>
        <c:axId val="105585280"/>
      </c:lineChart>
      <c:catAx>
        <c:axId val="10544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583360"/>
        <c:crosses val="autoZero"/>
        <c:auto val="1"/>
        <c:lblAlgn val="ctr"/>
        <c:lblOffset val="100"/>
        <c:noMultiLvlLbl val="0"/>
      </c:catAx>
      <c:valAx>
        <c:axId val="10558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Transferências (em bilhões R$)</a:t>
                </a:r>
              </a:p>
            </c:rich>
          </c:tx>
          <c:layout>
            <c:manualLayout>
              <c:xMode val="edge"/>
              <c:yMode val="edge"/>
              <c:x val="1.8874890638670167E-2"/>
              <c:y val="0.2677004957713619"/>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441920"/>
        <c:crosses val="autoZero"/>
        <c:crossBetween val="between"/>
      </c:valAx>
      <c:valAx>
        <c:axId val="105585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PIB (taxa de crescimento )</a:t>
                </a:r>
              </a:p>
            </c:rich>
          </c:tx>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587456"/>
        <c:crosses val="max"/>
        <c:crossBetween val="between"/>
      </c:valAx>
      <c:catAx>
        <c:axId val="105587456"/>
        <c:scaling>
          <c:orientation val="minMax"/>
        </c:scaling>
        <c:delete val="1"/>
        <c:axPos val="b"/>
        <c:numFmt formatCode="General" sourceLinked="1"/>
        <c:majorTickMark val="out"/>
        <c:minorTickMark val="none"/>
        <c:tickLblPos val="nextTo"/>
        <c:crossAx val="105585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pessoal!$L$6</c:f>
              <c:strCache>
                <c:ptCount val="1"/>
                <c:pt idx="0">
                  <c:v>Percentual</c:v>
                </c:pt>
              </c:strCache>
            </c:strRef>
          </c:tx>
          <c:spPr>
            <a:solidFill>
              <a:schemeClr val="accent3">
                <a:shade val="76000"/>
              </a:schemeClr>
            </a:solidFill>
            <a:ln>
              <a:noFill/>
            </a:ln>
            <a:effectLst/>
          </c:spPr>
          <c:invertIfNegative val="0"/>
          <c:cat>
            <c:numRef>
              <c:f>pessoal!$M$1:$S$1</c:f>
              <c:numCache>
                <c:formatCode>General</c:formatCode>
                <c:ptCount val="7"/>
                <c:pt idx="0">
                  <c:v>2010</c:v>
                </c:pt>
                <c:pt idx="1">
                  <c:v>2011</c:v>
                </c:pt>
                <c:pt idx="2">
                  <c:v>2012</c:v>
                </c:pt>
                <c:pt idx="3">
                  <c:v>2013</c:v>
                </c:pt>
                <c:pt idx="4">
                  <c:v>2014</c:v>
                </c:pt>
                <c:pt idx="5">
                  <c:v>2015</c:v>
                </c:pt>
                <c:pt idx="6">
                  <c:v>2016</c:v>
                </c:pt>
              </c:numCache>
            </c:numRef>
          </c:cat>
          <c:val>
            <c:numRef>
              <c:f>pessoal!$M$6:$S$6</c:f>
              <c:numCache>
                <c:formatCode>0%</c:formatCode>
                <c:ptCount val="7"/>
                <c:pt idx="0">
                  <c:v>0.51358344113842169</c:v>
                </c:pt>
                <c:pt idx="1">
                  <c:v>0.40985147584132353</c:v>
                </c:pt>
                <c:pt idx="2">
                  <c:v>0.55824955647545826</c:v>
                </c:pt>
                <c:pt idx="3">
                  <c:v>0.67766840378305349</c:v>
                </c:pt>
                <c:pt idx="4">
                  <c:v>0.60665892373209451</c:v>
                </c:pt>
                <c:pt idx="5">
                  <c:v>0.74628034455755676</c:v>
                </c:pt>
                <c:pt idx="6">
                  <c:v>0.67737676056338025</c:v>
                </c:pt>
              </c:numCache>
            </c:numRef>
          </c:val>
          <c:extLst>
            <c:ext xmlns:c16="http://schemas.microsoft.com/office/drawing/2014/chart" uri="{C3380CC4-5D6E-409C-BE32-E72D297353CC}">
              <c16:uniqueId val="{00000000-0FF2-4018-91E8-FE756A726D15}"/>
            </c:ext>
          </c:extLst>
        </c:ser>
        <c:dLbls>
          <c:showLegendKey val="0"/>
          <c:showVal val="0"/>
          <c:showCatName val="0"/>
          <c:showSerName val="0"/>
          <c:showPercent val="0"/>
          <c:showBubbleSize val="0"/>
        </c:dLbls>
        <c:gapWidth val="360"/>
        <c:overlap val="-27"/>
        <c:axId val="105622144"/>
        <c:axId val="105628032"/>
      </c:barChart>
      <c:lineChart>
        <c:grouping val="standard"/>
        <c:varyColors val="0"/>
        <c:ser>
          <c:idx val="1"/>
          <c:order val="1"/>
          <c:tx>
            <c:strRef>
              <c:f>pessoal!$L$7</c:f>
              <c:strCache>
                <c:ptCount val="1"/>
                <c:pt idx="0">
                  <c:v>Média IFGF Gasto com pessoal</c:v>
                </c:pt>
              </c:strCache>
            </c:strRef>
          </c:tx>
          <c:spPr>
            <a:ln w="15875" cap="rnd">
              <a:solidFill>
                <a:schemeClr val="tx1"/>
              </a:solidFill>
              <a:round/>
            </a:ln>
            <a:effectLst/>
          </c:spPr>
          <c:marker>
            <c:symbol val="none"/>
          </c:marker>
          <c:cat>
            <c:numRef>
              <c:f>pessoal!$M$1:$S$1</c:f>
              <c:numCache>
                <c:formatCode>General</c:formatCode>
                <c:ptCount val="7"/>
                <c:pt idx="0">
                  <c:v>2010</c:v>
                </c:pt>
                <c:pt idx="1">
                  <c:v>2011</c:v>
                </c:pt>
                <c:pt idx="2">
                  <c:v>2012</c:v>
                </c:pt>
                <c:pt idx="3">
                  <c:v>2013</c:v>
                </c:pt>
                <c:pt idx="4">
                  <c:v>2014</c:v>
                </c:pt>
                <c:pt idx="5">
                  <c:v>2015</c:v>
                </c:pt>
                <c:pt idx="6">
                  <c:v>2016</c:v>
                </c:pt>
              </c:numCache>
            </c:numRef>
          </c:cat>
          <c:val>
            <c:numRef>
              <c:f>pessoal!$M$7:$S$7</c:f>
              <c:numCache>
                <c:formatCode>#.##00000_ ;\-#.##00000\ </c:formatCode>
                <c:ptCount val="7"/>
                <c:pt idx="0">
                  <c:v>0.5740312843720341</c:v>
                </c:pt>
                <c:pt idx="1">
                  <c:v>0.61709715317983416</c:v>
                </c:pt>
                <c:pt idx="2">
                  <c:v>0.55559156613771921</c:v>
                </c:pt>
                <c:pt idx="3">
                  <c:v>0.49237699994599898</c:v>
                </c:pt>
                <c:pt idx="4">
                  <c:v>0.52004525224132403</c:v>
                </c:pt>
                <c:pt idx="5">
                  <c:v>0.46126712572010431</c:v>
                </c:pt>
                <c:pt idx="6">
                  <c:v>0.50729477012175461</c:v>
                </c:pt>
              </c:numCache>
            </c:numRef>
          </c:val>
          <c:smooth val="0"/>
          <c:extLst>
            <c:ext xmlns:c16="http://schemas.microsoft.com/office/drawing/2014/chart" uri="{C3380CC4-5D6E-409C-BE32-E72D297353CC}">
              <c16:uniqueId val="{00000001-0FF2-4018-91E8-FE756A726D15}"/>
            </c:ext>
          </c:extLst>
        </c:ser>
        <c:dLbls>
          <c:showLegendKey val="0"/>
          <c:showVal val="0"/>
          <c:showCatName val="0"/>
          <c:showSerName val="0"/>
          <c:showPercent val="0"/>
          <c:showBubbleSize val="0"/>
        </c:dLbls>
        <c:marker val="1"/>
        <c:smooth val="0"/>
        <c:axId val="105622144"/>
        <c:axId val="105628032"/>
      </c:lineChart>
      <c:catAx>
        <c:axId val="10562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628032"/>
        <c:crosses val="autoZero"/>
        <c:auto val="1"/>
        <c:lblAlgn val="ctr"/>
        <c:lblOffset val="100"/>
        <c:noMultiLvlLbl val="0"/>
      </c:catAx>
      <c:valAx>
        <c:axId val="10562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10562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1492601404791"/>
          <c:y val="2.181500872600349E-2"/>
          <c:w val="0.83643079673471532"/>
          <c:h val="0.61999049687754548"/>
        </c:manualLayout>
      </c:layout>
      <c:lineChart>
        <c:grouping val="standard"/>
        <c:varyColors val="0"/>
        <c:ser>
          <c:idx val="0"/>
          <c:order val="0"/>
          <c:tx>
            <c:strRef>
              <c:f>Planilha1!$S$5573</c:f>
              <c:strCache>
                <c:ptCount val="1"/>
                <c:pt idx="0">
                  <c:v> Receita Própria</c:v>
                </c:pt>
              </c:strCache>
            </c:strRef>
          </c:tx>
          <c:spPr>
            <a:ln w="12700" cap="rnd">
              <a:solidFill>
                <a:schemeClr val="bg2">
                  <a:lumMod val="50000"/>
                </a:schemeClr>
              </a:solidFill>
              <a:round/>
            </a:ln>
            <a:effectLst>
              <a:outerShdw blurRad="50800" dist="38100" dir="8100000" algn="tr" rotWithShape="0">
                <a:prstClr val="black">
                  <a:alpha val="40000"/>
                </a:prstClr>
              </a:outerShdw>
            </a:effectLst>
          </c:spPr>
          <c:marker>
            <c:symbol val="diamond"/>
            <c:size val="6"/>
            <c:spPr>
              <a:solidFill>
                <a:schemeClr val="bg2">
                  <a:lumMod val="50000"/>
                  <a:alpha val="92000"/>
                </a:schemeClr>
              </a:solidFill>
              <a:ln w="9525">
                <a:solidFill>
                  <a:schemeClr val="bg2">
                    <a:lumMod val="50000"/>
                  </a:schemeClr>
                </a:solidFill>
              </a:ln>
              <a:effectLst>
                <a:outerShdw blurRad="50800" dist="38100" dir="8100000" algn="tr" rotWithShape="0">
                  <a:prstClr val="black">
                    <a:alpha val="40000"/>
                  </a:prstClr>
                </a:outerShdw>
              </a:effectLst>
            </c:spPr>
          </c:marker>
          <c:cat>
            <c:numRef>
              <c:f>Planilha1!$R$5588:$R$5598</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Planilha1!$S$5588:$S$5598</c:f>
              <c:numCache>
                <c:formatCode>#,##0.000_ ;\-#,##0.000\ </c:formatCode>
                <c:ptCount val="11"/>
                <c:pt idx="0">
                  <c:v>100</c:v>
                </c:pt>
                <c:pt idx="1">
                  <c:v>105.22992698239206</c:v>
                </c:pt>
                <c:pt idx="2">
                  <c:v>100.25944186556819</c:v>
                </c:pt>
                <c:pt idx="3">
                  <c:v>101.50986801071349</c:v>
                </c:pt>
                <c:pt idx="4">
                  <c:v>106.03518494730311</c:v>
                </c:pt>
                <c:pt idx="5">
                  <c:v>104.31631563166779</c:v>
                </c:pt>
                <c:pt idx="6">
                  <c:v>107.55642296693122</c:v>
                </c:pt>
                <c:pt idx="7">
                  <c:v>106.73815095865339</c:v>
                </c:pt>
                <c:pt idx="8">
                  <c:v>106.35820112729213</c:v>
                </c:pt>
                <c:pt idx="9">
                  <c:v>111.62455084181933</c:v>
                </c:pt>
                <c:pt idx="10">
                  <c:v>112.74262122476888</c:v>
                </c:pt>
              </c:numCache>
            </c:numRef>
          </c:val>
          <c:smooth val="1"/>
          <c:extLst>
            <c:ext xmlns:c16="http://schemas.microsoft.com/office/drawing/2014/chart" uri="{C3380CC4-5D6E-409C-BE32-E72D297353CC}">
              <c16:uniqueId val="{00000000-C31E-49E6-8A81-8674A98C982F}"/>
            </c:ext>
          </c:extLst>
        </c:ser>
        <c:ser>
          <c:idx val="1"/>
          <c:order val="1"/>
          <c:tx>
            <c:strRef>
              <c:f>Planilha1!$T$5573</c:f>
              <c:strCache>
                <c:ptCount val="1"/>
                <c:pt idx="0">
                  <c:v>Gastos com Pessoal</c:v>
                </c:pt>
              </c:strCache>
            </c:strRef>
          </c:tx>
          <c:spPr>
            <a:ln w="12700" cap="rnd">
              <a:solidFill>
                <a:schemeClr val="bg1">
                  <a:lumMod val="50000"/>
                </a:schemeClr>
              </a:solidFill>
              <a:round/>
            </a:ln>
            <a:effectLst>
              <a:outerShdw blurRad="50800" dist="38100" dir="8100000" algn="tr" rotWithShape="0">
                <a:prstClr val="black">
                  <a:alpha val="40000"/>
                </a:prstClr>
              </a:outerShdw>
            </a:effectLst>
          </c:spPr>
          <c:marker>
            <c:symbol val="circle"/>
            <c:size val="6"/>
            <c:spPr>
              <a:solidFill>
                <a:schemeClr val="bg1">
                  <a:lumMod val="50000"/>
                </a:schemeClr>
              </a:solidFill>
              <a:ln w="9525">
                <a:solidFill>
                  <a:schemeClr val="bg1">
                    <a:lumMod val="50000"/>
                  </a:schemeClr>
                </a:solidFill>
              </a:ln>
              <a:effectLst>
                <a:outerShdw blurRad="50800" dist="38100" dir="8100000" algn="tr" rotWithShape="0">
                  <a:prstClr val="black">
                    <a:alpha val="40000"/>
                  </a:prstClr>
                </a:outerShdw>
              </a:effectLst>
            </c:spPr>
          </c:marker>
          <c:cat>
            <c:numRef>
              <c:f>Planilha1!$R$5588:$R$5598</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Planilha1!$T$5588:$T$5598</c:f>
              <c:numCache>
                <c:formatCode>#,##0.000_ ;\-#,##0.000\ </c:formatCode>
                <c:ptCount val="11"/>
                <c:pt idx="0">
                  <c:v>100</c:v>
                </c:pt>
                <c:pt idx="1">
                  <c:v>98.232033887126406</c:v>
                </c:pt>
                <c:pt idx="2">
                  <c:v>102.41106236436065</c:v>
                </c:pt>
                <c:pt idx="3">
                  <c:v>84.105980851757025</c:v>
                </c:pt>
                <c:pt idx="4">
                  <c:v>84.632275128997293</c:v>
                </c:pt>
                <c:pt idx="5">
                  <c:v>90.981689449853079</c:v>
                </c:pt>
                <c:pt idx="6">
                  <c:v>81.913616147518681</c:v>
                </c:pt>
                <c:pt idx="7">
                  <c:v>72.593579585486111</c:v>
                </c:pt>
                <c:pt idx="8">
                  <c:v>76.672847047638641</c:v>
                </c:pt>
                <c:pt idx="9">
                  <c:v>68.006896757572477</c:v>
                </c:pt>
                <c:pt idx="10">
                  <c:v>74.792980322341165</c:v>
                </c:pt>
              </c:numCache>
            </c:numRef>
          </c:val>
          <c:smooth val="1"/>
          <c:extLst>
            <c:ext xmlns:c16="http://schemas.microsoft.com/office/drawing/2014/chart" uri="{C3380CC4-5D6E-409C-BE32-E72D297353CC}">
              <c16:uniqueId val="{00000001-C31E-49E6-8A81-8674A98C982F}"/>
            </c:ext>
          </c:extLst>
        </c:ser>
        <c:ser>
          <c:idx val="2"/>
          <c:order val="2"/>
          <c:tx>
            <c:strRef>
              <c:f>Planilha1!$U$5573</c:f>
              <c:strCache>
                <c:ptCount val="1"/>
                <c:pt idx="0">
                  <c:v>Investimentos</c:v>
                </c:pt>
              </c:strCache>
            </c:strRef>
          </c:tx>
          <c:spPr>
            <a:ln w="12700" cap="rnd">
              <a:solidFill>
                <a:schemeClr val="accent3"/>
              </a:solidFill>
              <a:round/>
            </a:ln>
            <a:effectLst>
              <a:outerShdw blurRad="50800" dist="38100" dir="8100000" algn="tr" rotWithShape="0">
                <a:prstClr val="black">
                  <a:alpha val="40000"/>
                </a:prstClr>
              </a:outerShdw>
            </a:effectLst>
          </c:spPr>
          <c:marker>
            <c:symbol val="none"/>
          </c:marker>
          <c:cat>
            <c:numRef>
              <c:f>Planilha1!$R$5588:$R$5598</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Planilha1!$U$5588:$U$5598</c:f>
              <c:numCache>
                <c:formatCode>#,##0.000_ ;\-#,##0.000\ </c:formatCode>
                <c:ptCount val="11"/>
                <c:pt idx="0">
                  <c:v>100</c:v>
                </c:pt>
                <c:pt idx="1">
                  <c:v>90.821695191999666</c:v>
                </c:pt>
                <c:pt idx="2">
                  <c:v>110.23221874255404</c:v>
                </c:pt>
                <c:pt idx="3">
                  <c:v>81.784977365396685</c:v>
                </c:pt>
                <c:pt idx="4">
                  <c:v>108.78345032050176</c:v>
                </c:pt>
                <c:pt idx="5">
                  <c:v>99.070323293407867</c:v>
                </c:pt>
                <c:pt idx="6">
                  <c:v>112.51203093331164</c:v>
                </c:pt>
                <c:pt idx="7">
                  <c:v>77.425144277035557</c:v>
                </c:pt>
                <c:pt idx="8">
                  <c:v>98.946453221152382</c:v>
                </c:pt>
                <c:pt idx="9">
                  <c:v>75.957039236211401</c:v>
                </c:pt>
                <c:pt idx="10">
                  <c:v>70.788902589245538</c:v>
                </c:pt>
              </c:numCache>
            </c:numRef>
          </c:val>
          <c:smooth val="1"/>
          <c:extLst>
            <c:ext xmlns:c16="http://schemas.microsoft.com/office/drawing/2014/chart" uri="{C3380CC4-5D6E-409C-BE32-E72D297353CC}">
              <c16:uniqueId val="{00000002-C31E-49E6-8A81-8674A98C982F}"/>
            </c:ext>
          </c:extLst>
        </c:ser>
        <c:ser>
          <c:idx val="3"/>
          <c:order val="3"/>
          <c:tx>
            <c:strRef>
              <c:f>Planilha1!$V$5573</c:f>
              <c:strCache>
                <c:ptCount val="1"/>
                <c:pt idx="0">
                  <c:v> Liquidez</c:v>
                </c:pt>
              </c:strCache>
            </c:strRef>
          </c:tx>
          <c:spPr>
            <a:ln w="12700" cap="rnd">
              <a:solidFill>
                <a:schemeClr val="tx1"/>
              </a:solidFill>
              <a:round/>
            </a:ln>
            <a:effectLst>
              <a:outerShdw blurRad="50800" dist="38100" dir="8100000" algn="tr" rotWithShape="0">
                <a:prstClr val="black">
                  <a:alpha val="40000"/>
                </a:prstClr>
              </a:outerShdw>
            </a:effectLst>
          </c:spPr>
          <c:marker>
            <c:symbol val="square"/>
            <c:size val="6"/>
            <c:spPr>
              <a:solidFill>
                <a:schemeClr val="tx1"/>
              </a:solidFill>
              <a:ln w="9525">
                <a:solidFill>
                  <a:schemeClr val="tx1"/>
                </a:solidFill>
              </a:ln>
              <a:effectLst>
                <a:outerShdw blurRad="50800" dist="38100" dir="8100000" algn="tr" rotWithShape="0">
                  <a:prstClr val="black">
                    <a:alpha val="40000"/>
                  </a:prstClr>
                </a:outerShdw>
              </a:effectLst>
            </c:spPr>
          </c:marker>
          <c:cat>
            <c:numRef>
              <c:f>Planilha1!$R$5588:$R$5598</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Planilha1!$V$5588:$V$5598</c:f>
              <c:numCache>
                <c:formatCode>#,##0.000_ ;\-#,##0.000\ </c:formatCode>
                <c:ptCount val="11"/>
                <c:pt idx="0">
                  <c:v>100</c:v>
                </c:pt>
                <c:pt idx="1">
                  <c:v>111.93898514769747</c:v>
                </c:pt>
                <c:pt idx="2">
                  <c:v>122.6076470472844</c:v>
                </c:pt>
                <c:pt idx="3">
                  <c:v>120.88885139587589</c:v>
                </c:pt>
                <c:pt idx="4">
                  <c:v>123.60399426654523</c:v>
                </c:pt>
                <c:pt idx="5">
                  <c:v>127.5383773860197</c:v>
                </c:pt>
                <c:pt idx="6">
                  <c:v>120.91744228196318</c:v>
                </c:pt>
                <c:pt idx="7">
                  <c:v>122.50361489071928</c:v>
                </c:pt>
                <c:pt idx="8">
                  <c:v>111.90270181667033</c:v>
                </c:pt>
                <c:pt idx="9">
                  <c:v>111.61133264827028</c:v>
                </c:pt>
                <c:pt idx="10">
                  <c:v>137.05719137147327</c:v>
                </c:pt>
              </c:numCache>
            </c:numRef>
          </c:val>
          <c:smooth val="1"/>
          <c:extLst>
            <c:ext xmlns:c16="http://schemas.microsoft.com/office/drawing/2014/chart" uri="{C3380CC4-5D6E-409C-BE32-E72D297353CC}">
              <c16:uniqueId val="{00000003-C31E-49E6-8A81-8674A98C982F}"/>
            </c:ext>
          </c:extLst>
        </c:ser>
        <c:ser>
          <c:idx val="4"/>
          <c:order val="4"/>
          <c:tx>
            <c:strRef>
              <c:f>Planilha1!$W$5573</c:f>
              <c:strCache>
                <c:ptCount val="1"/>
                <c:pt idx="0">
                  <c:v>Custo da Dívida</c:v>
                </c:pt>
              </c:strCache>
            </c:strRef>
          </c:tx>
          <c:spPr>
            <a:ln w="12700" cap="rnd">
              <a:solidFill>
                <a:schemeClr val="tx1">
                  <a:lumMod val="65000"/>
                  <a:lumOff val="35000"/>
                </a:schemeClr>
              </a:solidFill>
              <a:round/>
            </a:ln>
            <a:effectLst>
              <a:outerShdw blurRad="50800" dist="38100" dir="8100000" algn="tr" rotWithShape="0">
                <a:prstClr val="black">
                  <a:alpha val="40000"/>
                </a:prstClr>
              </a:outerShdw>
            </a:effectLst>
          </c:spPr>
          <c:marker>
            <c:symbol val="triangle"/>
            <c:size val="6"/>
            <c:spPr>
              <a:solidFill>
                <a:schemeClr val="tx1">
                  <a:lumMod val="65000"/>
                  <a:lumOff val="35000"/>
                  <a:alpha val="85000"/>
                </a:schemeClr>
              </a:solidFill>
              <a:ln w="9525">
                <a:solidFill>
                  <a:schemeClr val="tx1">
                    <a:lumMod val="65000"/>
                    <a:lumOff val="35000"/>
                  </a:schemeClr>
                </a:solidFill>
              </a:ln>
              <a:effectLst>
                <a:outerShdw blurRad="50800" dist="38100" dir="8100000" algn="tr" rotWithShape="0">
                  <a:prstClr val="black">
                    <a:alpha val="40000"/>
                  </a:prstClr>
                </a:outerShdw>
              </a:effectLst>
            </c:spPr>
          </c:marker>
          <c:cat>
            <c:numRef>
              <c:f>Planilha1!$R$5588:$R$5598</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Planilha1!$W$5588:$W$5598</c:f>
              <c:numCache>
                <c:formatCode>#,##0.000_ ;\-#,##0.000\ </c:formatCode>
                <c:ptCount val="11"/>
                <c:pt idx="0">
                  <c:v>100</c:v>
                </c:pt>
                <c:pt idx="1">
                  <c:v>99.173955811754595</c:v>
                </c:pt>
                <c:pt idx="2">
                  <c:v>97.969146616393488</c:v>
                </c:pt>
                <c:pt idx="3">
                  <c:v>98.348902192868721</c:v>
                </c:pt>
                <c:pt idx="4">
                  <c:v>99.720888587364115</c:v>
                </c:pt>
                <c:pt idx="5">
                  <c:v>98.671436461097812</c:v>
                </c:pt>
                <c:pt idx="6">
                  <c:v>98.026888776785441</c:v>
                </c:pt>
                <c:pt idx="7">
                  <c:v>102.70440811655226</c:v>
                </c:pt>
                <c:pt idx="8">
                  <c:v>104.20044642718753</c:v>
                </c:pt>
                <c:pt idx="9">
                  <c:v>103.29949585136598</c:v>
                </c:pt>
                <c:pt idx="10">
                  <c:v>102.70364521729711</c:v>
                </c:pt>
              </c:numCache>
            </c:numRef>
          </c:val>
          <c:smooth val="1"/>
          <c:extLst>
            <c:ext xmlns:c16="http://schemas.microsoft.com/office/drawing/2014/chart" uri="{C3380CC4-5D6E-409C-BE32-E72D297353CC}">
              <c16:uniqueId val="{00000004-C31E-49E6-8A81-8674A98C982F}"/>
            </c:ext>
          </c:extLst>
        </c:ser>
        <c:dLbls>
          <c:showLegendKey val="0"/>
          <c:showVal val="0"/>
          <c:showCatName val="0"/>
          <c:showSerName val="0"/>
          <c:showPercent val="0"/>
          <c:showBubbleSize val="0"/>
        </c:dLbls>
        <c:marker val="1"/>
        <c:smooth val="0"/>
        <c:axId val="105813120"/>
        <c:axId val="105815040"/>
      </c:lineChart>
      <c:catAx>
        <c:axId val="1058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05815040"/>
        <c:crosses val="autoZero"/>
        <c:auto val="1"/>
        <c:lblAlgn val="ctr"/>
        <c:lblOffset val="100"/>
        <c:noMultiLvlLbl val="0"/>
      </c:catAx>
      <c:valAx>
        <c:axId val="105815040"/>
        <c:scaling>
          <c:orientation val="minMax"/>
          <c:min val="50"/>
        </c:scaling>
        <c:delete val="0"/>
        <c:axPos val="l"/>
        <c:numFmt formatCode="#,##0.000_ ;\-#,##0.000\ "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105813120"/>
        <c:crosses val="autoZero"/>
        <c:crossBetween val="between"/>
      </c:valAx>
      <c:spPr>
        <a:noFill/>
        <a:ln>
          <a:noFill/>
        </a:ln>
        <a:effectLst/>
      </c:spPr>
    </c:plotArea>
    <c:legend>
      <c:legendPos val="b"/>
      <c:layout>
        <c:manualLayout>
          <c:xMode val="edge"/>
          <c:yMode val="edge"/>
          <c:x val="2.4866256780214459E-2"/>
          <c:y val="0.83123352612513546"/>
          <c:w val="0.96331905469694601"/>
          <c:h val="0.1638255133160120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0AFCF-8E62-4076-AF87-E9D19865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7009</Words>
  <Characters>37852</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Adilson Giovanini</cp:lastModifiedBy>
  <cp:revision>3</cp:revision>
  <cp:lastPrinted>2016-08-30T16:57:00Z</cp:lastPrinted>
  <dcterms:created xsi:type="dcterms:W3CDTF">2019-07-01T02:03:00Z</dcterms:created>
  <dcterms:modified xsi:type="dcterms:W3CDTF">2019-07-01T02:03:00Z</dcterms:modified>
</cp:coreProperties>
</file>