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E95" w:rsidRDefault="00096E95" w:rsidP="00AB778D">
      <w:pPr>
        <w:jc w:val="center"/>
        <w:rPr>
          <w:b/>
          <w:color w:val="222222"/>
          <w:szCs w:val="24"/>
          <w:shd w:val="clear" w:color="auto" w:fill="FFFFFF"/>
        </w:rPr>
      </w:pPr>
    </w:p>
    <w:p w:rsidR="00AB778D" w:rsidRDefault="00AB778D" w:rsidP="00AB778D">
      <w:pPr>
        <w:jc w:val="center"/>
        <w:rPr>
          <w:b/>
          <w:color w:val="222222"/>
          <w:szCs w:val="24"/>
          <w:shd w:val="clear" w:color="auto" w:fill="FFFFFF"/>
        </w:rPr>
      </w:pPr>
      <w:bookmarkStart w:id="0" w:name="_GoBack"/>
      <w:bookmarkEnd w:id="0"/>
      <w:r>
        <w:rPr>
          <w:b/>
          <w:color w:val="222222"/>
          <w:szCs w:val="24"/>
          <w:shd w:val="clear" w:color="auto" w:fill="FFFFFF"/>
        </w:rPr>
        <w:t>Empresas Familiares x Não Familiares: Impacto da Aquisição Corporativa no Desempenho d</w:t>
      </w:r>
      <w:r w:rsidRPr="00B154AB">
        <w:rPr>
          <w:b/>
          <w:color w:val="222222"/>
          <w:szCs w:val="24"/>
          <w:shd w:val="clear" w:color="auto" w:fill="FFFFFF"/>
        </w:rPr>
        <w:t>a</w:t>
      </w:r>
      <w:r w:rsidR="007F357A">
        <w:rPr>
          <w:b/>
          <w:color w:val="222222"/>
          <w:szCs w:val="24"/>
          <w:shd w:val="clear" w:color="auto" w:fill="FFFFFF"/>
        </w:rPr>
        <w:t>s</w:t>
      </w:r>
      <w:r w:rsidRPr="00B154AB">
        <w:rPr>
          <w:b/>
          <w:color w:val="222222"/>
          <w:szCs w:val="24"/>
          <w:shd w:val="clear" w:color="auto" w:fill="FFFFFF"/>
        </w:rPr>
        <w:t xml:space="preserve"> Empresa</w:t>
      </w:r>
      <w:r w:rsidR="007F357A">
        <w:rPr>
          <w:b/>
          <w:color w:val="222222"/>
          <w:szCs w:val="24"/>
          <w:shd w:val="clear" w:color="auto" w:fill="FFFFFF"/>
        </w:rPr>
        <w:t>s Brasileiras listadas na B</w:t>
      </w:r>
      <w:r w:rsidR="007F357A" w:rsidRPr="007F357A">
        <w:rPr>
          <w:b/>
          <w:color w:val="222222"/>
          <w:szCs w:val="24"/>
          <w:shd w:val="clear" w:color="auto" w:fill="FFFFFF"/>
          <w:vertAlign w:val="superscript"/>
        </w:rPr>
        <w:t>3</w:t>
      </w:r>
    </w:p>
    <w:p w:rsidR="00C271A6" w:rsidRDefault="00C271A6" w:rsidP="00C271A6">
      <w:pPr>
        <w:jc w:val="center"/>
        <w:rPr>
          <w:color w:val="999999"/>
        </w:rPr>
      </w:pPr>
    </w:p>
    <w:p w:rsidR="00096E95" w:rsidRDefault="00096E95" w:rsidP="00C271A6">
      <w:pPr>
        <w:jc w:val="center"/>
        <w:rPr>
          <w:color w:val="999999"/>
        </w:rPr>
      </w:pPr>
    </w:p>
    <w:p w:rsidR="00096E95" w:rsidRDefault="00096E95" w:rsidP="00096E95">
      <w:pPr>
        <w:jc w:val="right"/>
        <w:rPr>
          <w:b/>
          <w:szCs w:val="24"/>
        </w:rPr>
      </w:pPr>
      <w:r>
        <w:rPr>
          <w:b/>
          <w:szCs w:val="24"/>
        </w:rPr>
        <w:t>Rafael Manoel de Oliveira</w:t>
      </w:r>
    </w:p>
    <w:p w:rsidR="00096E95" w:rsidRDefault="00096E95" w:rsidP="00096E95">
      <w:pPr>
        <w:jc w:val="right"/>
        <w:rPr>
          <w:b/>
          <w:i/>
          <w:szCs w:val="24"/>
        </w:rPr>
      </w:pPr>
      <w:r>
        <w:rPr>
          <w:b/>
          <w:szCs w:val="24"/>
        </w:rPr>
        <w:t>Universidade Federal de Goiás (UFG)</w:t>
      </w:r>
    </w:p>
    <w:p w:rsidR="00096E95" w:rsidRDefault="00096E95" w:rsidP="00096E95">
      <w:pPr>
        <w:jc w:val="right"/>
        <w:rPr>
          <w:b/>
          <w:szCs w:val="24"/>
        </w:rPr>
      </w:pPr>
      <w:proofErr w:type="gramStart"/>
      <w:r>
        <w:rPr>
          <w:b/>
          <w:i/>
          <w:szCs w:val="24"/>
        </w:rPr>
        <w:t>E-mail:</w:t>
      </w:r>
      <w:proofErr w:type="gramEnd"/>
      <w:r>
        <w:rPr>
          <w:b/>
          <w:i/>
          <w:szCs w:val="24"/>
        </w:rPr>
        <w:t>mdeoliveira.rafael@gmail.com</w:t>
      </w:r>
    </w:p>
    <w:p w:rsidR="00096E95" w:rsidRDefault="00096E95" w:rsidP="00096E95">
      <w:pPr>
        <w:jc w:val="right"/>
        <w:rPr>
          <w:b/>
          <w:szCs w:val="24"/>
        </w:rPr>
      </w:pPr>
    </w:p>
    <w:p w:rsidR="00096E95" w:rsidRDefault="00096E95" w:rsidP="00096E95">
      <w:pPr>
        <w:jc w:val="right"/>
        <w:rPr>
          <w:b/>
          <w:szCs w:val="24"/>
        </w:rPr>
      </w:pPr>
      <w:r>
        <w:rPr>
          <w:b/>
          <w:szCs w:val="24"/>
        </w:rPr>
        <w:t>Daiana Paula Pimenta</w:t>
      </w:r>
    </w:p>
    <w:p w:rsidR="00096E95" w:rsidRDefault="00096E95" w:rsidP="00096E95">
      <w:pPr>
        <w:jc w:val="right"/>
        <w:rPr>
          <w:b/>
          <w:i/>
          <w:szCs w:val="24"/>
        </w:rPr>
      </w:pPr>
      <w:r>
        <w:rPr>
          <w:b/>
          <w:szCs w:val="24"/>
        </w:rPr>
        <w:t>Universidade Federal de Goiás (UFG)</w:t>
      </w:r>
    </w:p>
    <w:p w:rsidR="00096E95" w:rsidRDefault="00096E95" w:rsidP="00096E95">
      <w:pPr>
        <w:jc w:val="right"/>
        <w:rPr>
          <w:b/>
          <w:i/>
          <w:szCs w:val="24"/>
        </w:rPr>
      </w:pPr>
      <w:proofErr w:type="gramStart"/>
      <w:r>
        <w:rPr>
          <w:b/>
          <w:i/>
          <w:szCs w:val="24"/>
        </w:rPr>
        <w:t>E-mail:</w:t>
      </w:r>
      <w:proofErr w:type="gramEnd"/>
      <w:r>
        <w:rPr>
          <w:b/>
          <w:i/>
          <w:szCs w:val="24"/>
        </w:rPr>
        <w:t>daiana-pimenta@hotmail.com</w:t>
      </w:r>
    </w:p>
    <w:p w:rsidR="00096E95" w:rsidRDefault="00096E95" w:rsidP="00096E95">
      <w:pPr>
        <w:jc w:val="right"/>
        <w:rPr>
          <w:b/>
          <w:i/>
          <w:szCs w:val="24"/>
        </w:rPr>
      </w:pPr>
    </w:p>
    <w:p w:rsidR="00096E95" w:rsidRDefault="00096E95" w:rsidP="00096E95">
      <w:pPr>
        <w:jc w:val="right"/>
        <w:rPr>
          <w:b/>
          <w:szCs w:val="24"/>
        </w:rPr>
      </w:pPr>
      <w:r>
        <w:rPr>
          <w:b/>
          <w:szCs w:val="24"/>
        </w:rPr>
        <w:t>Marília Paranaíba Ferreira</w:t>
      </w:r>
    </w:p>
    <w:p w:rsidR="00096E95" w:rsidRDefault="00096E95" w:rsidP="00096E95">
      <w:pPr>
        <w:jc w:val="right"/>
        <w:rPr>
          <w:b/>
          <w:i/>
          <w:szCs w:val="24"/>
        </w:rPr>
      </w:pPr>
      <w:r>
        <w:rPr>
          <w:b/>
          <w:szCs w:val="24"/>
        </w:rPr>
        <w:t>Universidade Federal de Santa Catarina (UFSC)</w:t>
      </w:r>
    </w:p>
    <w:p w:rsidR="00096E95" w:rsidRDefault="00096E95" w:rsidP="00096E95">
      <w:pPr>
        <w:jc w:val="right"/>
        <w:rPr>
          <w:b/>
          <w:i/>
          <w:szCs w:val="24"/>
        </w:rPr>
      </w:pPr>
      <w:proofErr w:type="gramStart"/>
      <w:r>
        <w:rPr>
          <w:b/>
          <w:i/>
          <w:szCs w:val="24"/>
        </w:rPr>
        <w:t>E-mail:</w:t>
      </w:r>
      <w:proofErr w:type="gramEnd"/>
      <w:r>
        <w:rPr>
          <w:b/>
          <w:i/>
          <w:szCs w:val="24"/>
        </w:rPr>
        <w:t>mariliaferreira82@hotmail.com</w:t>
      </w:r>
    </w:p>
    <w:p w:rsidR="00096E95" w:rsidRDefault="00096E95" w:rsidP="00096E95">
      <w:pPr>
        <w:jc w:val="right"/>
        <w:rPr>
          <w:b/>
          <w:i/>
          <w:szCs w:val="24"/>
        </w:rPr>
      </w:pPr>
    </w:p>
    <w:p w:rsidR="00096E95" w:rsidRDefault="00096E95" w:rsidP="00096E95">
      <w:pPr>
        <w:jc w:val="right"/>
        <w:rPr>
          <w:b/>
          <w:szCs w:val="24"/>
        </w:rPr>
      </w:pPr>
      <w:r>
        <w:rPr>
          <w:b/>
          <w:szCs w:val="24"/>
        </w:rPr>
        <w:t xml:space="preserve">Alex </w:t>
      </w:r>
      <w:proofErr w:type="spellStart"/>
      <w:r>
        <w:rPr>
          <w:b/>
          <w:szCs w:val="24"/>
        </w:rPr>
        <w:t>Mussoi</w:t>
      </w:r>
      <w:proofErr w:type="spellEnd"/>
      <w:r>
        <w:rPr>
          <w:b/>
          <w:szCs w:val="24"/>
        </w:rPr>
        <w:t xml:space="preserve"> Ribeiro</w:t>
      </w:r>
    </w:p>
    <w:p w:rsidR="00096E95" w:rsidRDefault="00096E95" w:rsidP="00096E95">
      <w:pPr>
        <w:jc w:val="right"/>
        <w:rPr>
          <w:b/>
          <w:i/>
          <w:szCs w:val="24"/>
        </w:rPr>
      </w:pPr>
      <w:r>
        <w:rPr>
          <w:b/>
          <w:szCs w:val="24"/>
        </w:rPr>
        <w:t>Universidade Federal de Santa Catarina (UFSC)</w:t>
      </w:r>
    </w:p>
    <w:p w:rsidR="00096E95" w:rsidRDefault="00096E95" w:rsidP="00096E95">
      <w:pPr>
        <w:jc w:val="right"/>
        <w:rPr>
          <w:b/>
          <w:szCs w:val="24"/>
        </w:rPr>
      </w:pPr>
      <w:r>
        <w:rPr>
          <w:b/>
          <w:i/>
          <w:szCs w:val="24"/>
        </w:rPr>
        <w:t>E-mail: alex.mussoi@ufsc.br</w:t>
      </w:r>
    </w:p>
    <w:p w:rsidR="005E44A5" w:rsidRDefault="005E44A5" w:rsidP="008A1488">
      <w:pPr>
        <w:jc w:val="right"/>
        <w:rPr>
          <w:b/>
          <w:szCs w:val="24"/>
        </w:rPr>
      </w:pPr>
    </w:p>
    <w:p w:rsidR="00C271A6" w:rsidRDefault="0007665D" w:rsidP="00AB778D">
      <w:pPr>
        <w:ind w:firstLine="0"/>
        <w:rPr>
          <w:b/>
          <w:szCs w:val="24"/>
        </w:rPr>
      </w:pPr>
      <w:r>
        <w:rPr>
          <w:b/>
          <w:szCs w:val="24"/>
        </w:rPr>
        <w:t>Resumo</w:t>
      </w:r>
    </w:p>
    <w:p w:rsidR="00AB778D" w:rsidRDefault="00AB778D" w:rsidP="00AB778D">
      <w:pPr>
        <w:ind w:firstLine="0"/>
        <w:rPr>
          <w:szCs w:val="24"/>
        </w:rPr>
      </w:pPr>
      <w:r>
        <w:rPr>
          <w:szCs w:val="24"/>
        </w:rPr>
        <w:t>Este estudo objetiva verificar se as aquisições realizadas por empresas familiares geram melhor desempenho do que aquelas realizadas por empresas não familiares listadas na B</w:t>
      </w:r>
      <w:r>
        <w:rPr>
          <w:szCs w:val="24"/>
          <w:vertAlign w:val="superscript"/>
        </w:rPr>
        <w:t>3</w:t>
      </w:r>
      <w:r>
        <w:rPr>
          <w:szCs w:val="24"/>
        </w:rPr>
        <w:t xml:space="preserve"> no período entre 2009 e 2016. As informações necessárias foram coletadas na base de dados da </w:t>
      </w:r>
      <w:r w:rsidR="00EA4ED1" w:rsidRPr="00EA4ED1">
        <w:rPr>
          <w:i/>
        </w:rPr>
        <w:t xml:space="preserve">Thomson Reuters </w:t>
      </w:r>
      <w:proofErr w:type="spellStart"/>
      <w:r w:rsidR="00EA4ED1" w:rsidRPr="00EA4ED1">
        <w:rPr>
          <w:i/>
        </w:rPr>
        <w:t>Eikon</w:t>
      </w:r>
      <w:proofErr w:type="spellEnd"/>
      <w:r>
        <w:rPr>
          <w:szCs w:val="24"/>
        </w:rPr>
        <w:t xml:space="preserve"> e </w:t>
      </w:r>
      <w:r w:rsidR="0085394D">
        <w:rPr>
          <w:szCs w:val="24"/>
        </w:rPr>
        <w:t>no site da B</w:t>
      </w:r>
      <w:r w:rsidR="0085394D">
        <w:rPr>
          <w:szCs w:val="24"/>
          <w:vertAlign w:val="subscript"/>
        </w:rPr>
        <w:t>3</w:t>
      </w:r>
      <w:r w:rsidR="0085394D">
        <w:rPr>
          <w:szCs w:val="24"/>
        </w:rPr>
        <w:t xml:space="preserve">, especificamente </w:t>
      </w:r>
      <w:r>
        <w:rPr>
          <w:szCs w:val="24"/>
        </w:rPr>
        <w:t>nos Formulários de Referência das empresas</w:t>
      </w:r>
      <w:r w:rsidR="0085394D">
        <w:rPr>
          <w:szCs w:val="24"/>
        </w:rPr>
        <w:t>,</w:t>
      </w:r>
      <w:r>
        <w:rPr>
          <w:szCs w:val="24"/>
        </w:rPr>
        <w:t xml:space="preserve"> e a classificação das empresas em familiares ou não familiares foi feita por meio das abordagens de componente de envolvimento e essencial. Regressões múltiplas com dados empilhados foram estimadas para a amostra de 244 aquisições (86 empresas). Os resultados indicaram que </w:t>
      </w:r>
      <w:r>
        <w:t>as empresas brasileiras familiares tendem a ter desempenho superior com eventos de aquisições corporativas em relação às</w:t>
      </w:r>
      <w:r w:rsidR="0085394D">
        <w:t xml:space="preserve"> empresas brasileiras</w:t>
      </w:r>
      <w:r>
        <w:t xml:space="preserve"> não familiares</w:t>
      </w:r>
      <w:r>
        <w:rPr>
          <w:szCs w:val="24"/>
        </w:rPr>
        <w:t xml:space="preserve">. </w:t>
      </w:r>
      <w:r w:rsidR="003D5553">
        <w:rPr>
          <w:szCs w:val="24"/>
        </w:rPr>
        <w:t>Os achados</w:t>
      </w:r>
      <w:r>
        <w:rPr>
          <w:szCs w:val="24"/>
        </w:rPr>
        <w:t xml:space="preserve"> são consistentes com a Teoria da Agência, que diz que o distanciamento entre a propriedade e o controle gera conflitos de agência e oferece maiores oportunidades de expropriação dos acionistas por parte dos gestores. </w:t>
      </w:r>
      <w:r w:rsidR="001D6C47">
        <w:rPr>
          <w:szCs w:val="24"/>
        </w:rPr>
        <w:t>Ademais</w:t>
      </w:r>
      <w:r w:rsidR="003D5553">
        <w:rPr>
          <w:szCs w:val="24"/>
        </w:rPr>
        <w:t xml:space="preserve">, as evidências empíricas </w:t>
      </w:r>
      <w:r w:rsidR="003D5553" w:rsidRPr="001D6C47">
        <w:rPr>
          <w:szCs w:val="24"/>
        </w:rPr>
        <w:t>permitem reflexões</w:t>
      </w:r>
      <w:r w:rsidR="001D6C47">
        <w:rPr>
          <w:szCs w:val="24"/>
        </w:rPr>
        <w:t>,</w:t>
      </w:r>
      <w:r w:rsidR="003D5553" w:rsidRPr="001D6C47">
        <w:rPr>
          <w:szCs w:val="24"/>
        </w:rPr>
        <w:t xml:space="preserve"> tanto aos acionistas quanto aos executivos</w:t>
      </w:r>
      <w:r w:rsidR="001D6C47">
        <w:rPr>
          <w:szCs w:val="24"/>
        </w:rPr>
        <w:t>,</w:t>
      </w:r>
      <w:r w:rsidR="003D5553" w:rsidRPr="001D6C47">
        <w:rPr>
          <w:szCs w:val="24"/>
        </w:rPr>
        <w:t xml:space="preserve"> sobre o melhor uso da estratégia de aquisição corporativa, além de instigar novas abordagens de controle e monitoramento por parte dos acionistas sobre a tomada de decisão</w:t>
      </w:r>
      <w:r w:rsidR="001D6C47">
        <w:rPr>
          <w:szCs w:val="24"/>
        </w:rPr>
        <w:t xml:space="preserve"> dos gestores.</w:t>
      </w:r>
    </w:p>
    <w:p w:rsidR="007B5262" w:rsidRDefault="007B5262" w:rsidP="00AB778D">
      <w:pPr>
        <w:ind w:firstLine="0"/>
        <w:rPr>
          <w:b/>
          <w:szCs w:val="24"/>
        </w:rPr>
      </w:pPr>
    </w:p>
    <w:p w:rsidR="00C271A6" w:rsidRDefault="00C271A6" w:rsidP="00AB778D">
      <w:pPr>
        <w:ind w:firstLine="0"/>
        <w:rPr>
          <w:szCs w:val="24"/>
        </w:rPr>
      </w:pPr>
      <w:r>
        <w:rPr>
          <w:b/>
          <w:szCs w:val="24"/>
        </w:rPr>
        <w:t xml:space="preserve">Palavras-chave: </w:t>
      </w:r>
      <w:r w:rsidR="00AB778D" w:rsidRPr="00091E51">
        <w:rPr>
          <w:rFonts w:eastAsiaTheme="minorEastAsia"/>
          <w:szCs w:val="24"/>
        </w:rPr>
        <w:t xml:space="preserve">Aquisições </w:t>
      </w:r>
      <w:r w:rsidR="00AB778D">
        <w:rPr>
          <w:rFonts w:eastAsiaTheme="minorEastAsia"/>
          <w:szCs w:val="24"/>
        </w:rPr>
        <w:t>c</w:t>
      </w:r>
      <w:r w:rsidR="00AB778D" w:rsidRPr="00091E51">
        <w:rPr>
          <w:rFonts w:eastAsiaTheme="minorEastAsia"/>
          <w:szCs w:val="24"/>
        </w:rPr>
        <w:t>orporativas;</w:t>
      </w:r>
      <w:r w:rsidR="00AB778D">
        <w:rPr>
          <w:rFonts w:eastAsiaTheme="minorEastAsia"/>
          <w:szCs w:val="24"/>
        </w:rPr>
        <w:t xml:space="preserve"> </w:t>
      </w:r>
      <w:r w:rsidR="00AB778D" w:rsidRPr="00091E51">
        <w:rPr>
          <w:rFonts w:eastAsiaTheme="minorEastAsia"/>
          <w:szCs w:val="24"/>
        </w:rPr>
        <w:t xml:space="preserve">Fusões e </w:t>
      </w:r>
      <w:r w:rsidR="00AB778D">
        <w:rPr>
          <w:rFonts w:eastAsiaTheme="minorEastAsia"/>
          <w:szCs w:val="24"/>
        </w:rPr>
        <w:t>a</w:t>
      </w:r>
      <w:r w:rsidR="00AB778D" w:rsidRPr="00091E51">
        <w:rPr>
          <w:rFonts w:eastAsiaTheme="minorEastAsia"/>
          <w:szCs w:val="24"/>
        </w:rPr>
        <w:t xml:space="preserve">quisições; </w:t>
      </w:r>
      <w:r w:rsidR="00AB778D">
        <w:rPr>
          <w:rFonts w:eastAsiaTheme="minorEastAsia"/>
          <w:szCs w:val="24"/>
        </w:rPr>
        <w:t xml:space="preserve">Desempenho; </w:t>
      </w:r>
      <w:r w:rsidR="00AB778D" w:rsidRPr="00091E51">
        <w:rPr>
          <w:rFonts w:eastAsiaTheme="minorEastAsia"/>
          <w:szCs w:val="24"/>
        </w:rPr>
        <w:t xml:space="preserve">Empresas </w:t>
      </w:r>
      <w:r w:rsidR="00AB778D">
        <w:rPr>
          <w:rFonts w:eastAsiaTheme="minorEastAsia"/>
          <w:szCs w:val="24"/>
        </w:rPr>
        <w:t>familiares; Teoria da Agência</w:t>
      </w:r>
      <w:r>
        <w:rPr>
          <w:szCs w:val="24"/>
        </w:rPr>
        <w:t>.</w:t>
      </w:r>
    </w:p>
    <w:p w:rsidR="00C271A6" w:rsidRDefault="00C271A6" w:rsidP="00C271A6">
      <w:pPr>
        <w:rPr>
          <w:szCs w:val="24"/>
        </w:rPr>
      </w:pPr>
    </w:p>
    <w:p w:rsidR="00C271A6" w:rsidRDefault="00C271A6" w:rsidP="00AB778D">
      <w:pPr>
        <w:ind w:firstLine="0"/>
        <w:rPr>
          <w:szCs w:val="24"/>
        </w:rPr>
      </w:pPr>
      <w:r>
        <w:rPr>
          <w:b/>
          <w:szCs w:val="24"/>
        </w:rPr>
        <w:t xml:space="preserve">Linha Temática: </w:t>
      </w:r>
      <w:r w:rsidR="00811659" w:rsidRPr="008A2A2C">
        <w:rPr>
          <w:szCs w:val="24"/>
        </w:rPr>
        <w:t>Finanças</w:t>
      </w:r>
      <w:r w:rsidR="008A2A2C" w:rsidRPr="008A2A2C">
        <w:rPr>
          <w:szCs w:val="24"/>
        </w:rPr>
        <w:t xml:space="preserve"> e Mercado de Capitais</w:t>
      </w:r>
    </w:p>
    <w:p w:rsidR="0007665D" w:rsidRDefault="0007665D" w:rsidP="00827A91">
      <w:pPr>
        <w:pStyle w:val="PargrafodaLista"/>
        <w:numPr>
          <w:ilvl w:val="0"/>
          <w:numId w:val="13"/>
        </w:numPr>
        <w:tabs>
          <w:tab w:val="left" w:pos="709"/>
        </w:tabs>
        <w:spacing w:after="0" w:line="24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INTRODUÇÃ</w:t>
      </w:r>
      <w:r w:rsidRPr="00A53F1B">
        <w:rPr>
          <w:rFonts w:ascii="Times New Roman" w:hAnsi="Times New Roman" w:cs="Times New Roman"/>
          <w:b/>
          <w:sz w:val="24"/>
          <w:szCs w:val="24"/>
        </w:rPr>
        <w:t>O</w:t>
      </w:r>
    </w:p>
    <w:p w:rsidR="0007665D" w:rsidRPr="00E614B2" w:rsidRDefault="0007665D" w:rsidP="0007665D">
      <w:pPr>
        <w:tabs>
          <w:tab w:val="left" w:pos="426"/>
        </w:tabs>
        <w:rPr>
          <w:b/>
          <w:sz w:val="20"/>
        </w:rPr>
      </w:pPr>
    </w:p>
    <w:p w:rsidR="0007665D" w:rsidRDefault="0007665D" w:rsidP="0007665D">
      <w:pPr>
        <w:rPr>
          <w:szCs w:val="24"/>
        </w:rPr>
      </w:pPr>
      <w:r w:rsidRPr="00091E51">
        <w:rPr>
          <w:szCs w:val="24"/>
        </w:rPr>
        <w:t xml:space="preserve">As aquisições </w:t>
      </w:r>
      <w:r>
        <w:rPr>
          <w:szCs w:val="24"/>
        </w:rPr>
        <w:t xml:space="preserve">corporativas </w:t>
      </w:r>
      <w:r w:rsidRPr="00091E51">
        <w:rPr>
          <w:szCs w:val="24"/>
        </w:rPr>
        <w:t xml:space="preserve">são uma importante estratégia </w:t>
      </w:r>
      <w:proofErr w:type="gramStart"/>
      <w:r>
        <w:rPr>
          <w:szCs w:val="24"/>
        </w:rPr>
        <w:t>empresarial</w:t>
      </w:r>
      <w:r w:rsidRPr="00091E51">
        <w:rPr>
          <w:rStyle w:val="Refdecomentrio"/>
          <w:szCs w:val="24"/>
        </w:rPr>
        <w:t>,</w:t>
      </w:r>
      <w:r w:rsidRPr="00091E51">
        <w:rPr>
          <w:szCs w:val="24"/>
        </w:rPr>
        <w:t xml:space="preserve"> muitas vezes utilizada</w:t>
      </w:r>
      <w:r>
        <w:rPr>
          <w:szCs w:val="24"/>
        </w:rPr>
        <w:t>s</w:t>
      </w:r>
      <w:proofErr w:type="gramEnd"/>
      <w:r w:rsidRPr="00091E51">
        <w:rPr>
          <w:szCs w:val="24"/>
        </w:rPr>
        <w:t xml:space="preserve"> como mecanismo externo de alinhamento entre os interesses dos administradores e dos </w:t>
      </w:r>
      <w:proofErr w:type="spellStart"/>
      <w:r w:rsidRPr="00091E51">
        <w:rPr>
          <w:i/>
          <w:szCs w:val="24"/>
        </w:rPr>
        <w:t>shareholders</w:t>
      </w:r>
      <w:proofErr w:type="spellEnd"/>
      <w:r w:rsidRPr="00091E51">
        <w:rPr>
          <w:i/>
          <w:szCs w:val="24"/>
        </w:rPr>
        <w:t xml:space="preserve"> </w:t>
      </w:r>
      <w:r w:rsidRPr="00091E51">
        <w:rPr>
          <w:szCs w:val="24"/>
        </w:rPr>
        <w:t>(</w:t>
      </w:r>
      <w:proofErr w:type="spellStart"/>
      <w:r w:rsidRPr="005979EB">
        <w:rPr>
          <w:szCs w:val="24"/>
        </w:rPr>
        <w:t>Allayannis</w:t>
      </w:r>
      <w:proofErr w:type="spellEnd"/>
      <w:r w:rsidRPr="005979EB">
        <w:rPr>
          <w:szCs w:val="24"/>
        </w:rPr>
        <w:t xml:space="preserve">, </w:t>
      </w:r>
      <w:proofErr w:type="spellStart"/>
      <w:r w:rsidRPr="005979EB">
        <w:rPr>
          <w:szCs w:val="24"/>
        </w:rPr>
        <w:t>Lel</w:t>
      </w:r>
      <w:proofErr w:type="spellEnd"/>
      <w:r w:rsidRPr="005979EB">
        <w:rPr>
          <w:szCs w:val="24"/>
        </w:rPr>
        <w:t xml:space="preserve"> &amp; Miller,</w:t>
      </w:r>
      <w:r w:rsidR="000A60E9">
        <w:rPr>
          <w:szCs w:val="24"/>
        </w:rPr>
        <w:t xml:space="preserve"> 2012</w:t>
      </w:r>
      <w:r w:rsidRPr="00091E51">
        <w:rPr>
          <w:szCs w:val="24"/>
        </w:rPr>
        <w:t xml:space="preserve">). </w:t>
      </w:r>
      <w:r>
        <w:rPr>
          <w:szCs w:val="24"/>
        </w:rPr>
        <w:t>Todavia, diversos</w:t>
      </w:r>
      <w:r w:rsidRPr="00091E51">
        <w:rPr>
          <w:szCs w:val="24"/>
        </w:rPr>
        <w:t xml:space="preserve"> pesquisadores que se dedicaram a investigar o desempenho das </w:t>
      </w:r>
      <w:r w:rsidR="007B5262">
        <w:rPr>
          <w:szCs w:val="24"/>
        </w:rPr>
        <w:t xml:space="preserve">empresas que realizaram </w:t>
      </w:r>
      <w:r w:rsidRPr="00091E51">
        <w:rPr>
          <w:szCs w:val="24"/>
        </w:rPr>
        <w:t xml:space="preserve">aquisições sob a ótica das empresas licitantes </w:t>
      </w:r>
      <w:r>
        <w:rPr>
          <w:szCs w:val="24"/>
        </w:rPr>
        <w:t>relataram</w:t>
      </w:r>
      <w:r w:rsidRPr="00091E51">
        <w:rPr>
          <w:szCs w:val="24"/>
        </w:rPr>
        <w:t xml:space="preserve"> que os retornos para estas empresas</w:t>
      </w:r>
      <w:r>
        <w:rPr>
          <w:szCs w:val="24"/>
        </w:rPr>
        <w:t xml:space="preserve"> e seus acionistas</w:t>
      </w:r>
      <w:r w:rsidRPr="00091E51">
        <w:rPr>
          <w:szCs w:val="24"/>
        </w:rPr>
        <w:t xml:space="preserve">, tanto no curto quanto no longo prazo, em média, são nulos ou negativos e altamente voláteis (King, Dalton, Daily &amp; Complô, 2004; </w:t>
      </w:r>
      <w:proofErr w:type="spellStart"/>
      <w:r w:rsidRPr="00091E51">
        <w:rPr>
          <w:szCs w:val="24"/>
        </w:rPr>
        <w:t>Moeller</w:t>
      </w:r>
      <w:proofErr w:type="spellEnd"/>
      <w:r w:rsidRPr="00091E51">
        <w:rPr>
          <w:szCs w:val="24"/>
        </w:rPr>
        <w:t xml:space="preserve">, </w:t>
      </w:r>
      <w:proofErr w:type="spellStart"/>
      <w:r w:rsidRPr="00091E51">
        <w:rPr>
          <w:szCs w:val="24"/>
        </w:rPr>
        <w:t>Schlingemann</w:t>
      </w:r>
      <w:proofErr w:type="spellEnd"/>
      <w:r w:rsidRPr="00091E51">
        <w:rPr>
          <w:szCs w:val="24"/>
        </w:rPr>
        <w:t xml:space="preserve"> &amp; </w:t>
      </w:r>
      <w:proofErr w:type="spellStart"/>
      <w:r w:rsidRPr="00091E51">
        <w:rPr>
          <w:szCs w:val="24"/>
        </w:rPr>
        <w:t>Stulz</w:t>
      </w:r>
      <w:proofErr w:type="spellEnd"/>
      <w:r w:rsidRPr="00091E51">
        <w:rPr>
          <w:szCs w:val="24"/>
        </w:rPr>
        <w:t>, 20</w:t>
      </w:r>
      <w:r>
        <w:rPr>
          <w:szCs w:val="24"/>
        </w:rPr>
        <w:t>05</w:t>
      </w:r>
      <w:r w:rsidRPr="00091E51">
        <w:rPr>
          <w:szCs w:val="24"/>
        </w:rPr>
        <w:t xml:space="preserve">). </w:t>
      </w:r>
    </w:p>
    <w:p w:rsidR="00490CFC" w:rsidRDefault="00620D60" w:rsidP="00490CFC">
      <w:pPr>
        <w:rPr>
          <w:szCs w:val="24"/>
        </w:rPr>
      </w:pPr>
      <w:r>
        <w:rPr>
          <w:szCs w:val="24"/>
        </w:rPr>
        <w:t>A</w:t>
      </w:r>
      <w:r w:rsidR="00920E35">
        <w:rPr>
          <w:szCs w:val="24"/>
        </w:rPr>
        <w:t xml:space="preserve"> grande maioria dos a</w:t>
      </w:r>
      <w:r w:rsidR="0007665D">
        <w:rPr>
          <w:szCs w:val="24"/>
        </w:rPr>
        <w:t xml:space="preserve">rtigos que </w:t>
      </w:r>
      <w:r w:rsidR="00920E35">
        <w:rPr>
          <w:szCs w:val="24"/>
        </w:rPr>
        <w:t>examinam</w:t>
      </w:r>
      <w:r w:rsidR="0007665D">
        <w:rPr>
          <w:szCs w:val="24"/>
        </w:rPr>
        <w:t xml:space="preserve"> a temática de aquisições corporativas não diferencia </w:t>
      </w:r>
      <w:r w:rsidR="00F1049A">
        <w:rPr>
          <w:szCs w:val="24"/>
        </w:rPr>
        <w:t xml:space="preserve">a estrutura </w:t>
      </w:r>
      <w:r w:rsidR="003B2BD2">
        <w:rPr>
          <w:szCs w:val="24"/>
        </w:rPr>
        <w:t xml:space="preserve">controle e </w:t>
      </w:r>
      <w:r w:rsidR="0007665D">
        <w:rPr>
          <w:szCs w:val="24"/>
        </w:rPr>
        <w:t>propriedade</w:t>
      </w:r>
      <w:r w:rsidR="00126287">
        <w:rPr>
          <w:szCs w:val="24"/>
        </w:rPr>
        <w:t xml:space="preserve"> entre empresas, tratando-</w:t>
      </w:r>
      <w:r w:rsidR="00F1049A">
        <w:rPr>
          <w:szCs w:val="24"/>
        </w:rPr>
        <w:t>a</w:t>
      </w:r>
      <w:r w:rsidR="0007665D">
        <w:rPr>
          <w:szCs w:val="24"/>
        </w:rPr>
        <w:t xml:space="preserve">s como iguais, apesar de existir </w:t>
      </w:r>
      <w:r w:rsidR="0007665D" w:rsidRPr="00091E51">
        <w:rPr>
          <w:szCs w:val="24"/>
        </w:rPr>
        <w:t xml:space="preserve">uma literatura </w:t>
      </w:r>
      <w:r w:rsidR="0007665D">
        <w:rPr>
          <w:szCs w:val="24"/>
        </w:rPr>
        <w:t>que</w:t>
      </w:r>
      <w:r w:rsidR="0007665D" w:rsidRPr="00091E51">
        <w:rPr>
          <w:szCs w:val="24"/>
        </w:rPr>
        <w:t xml:space="preserve"> destaca as diferenças nas decisões corporativas entre empresas familiares e não familiares</w:t>
      </w:r>
      <w:r w:rsidR="0007665D">
        <w:rPr>
          <w:szCs w:val="24"/>
        </w:rPr>
        <w:t xml:space="preserve"> (</w:t>
      </w:r>
      <w:proofErr w:type="spellStart"/>
      <w:r w:rsidR="0007665D">
        <w:rPr>
          <w:szCs w:val="24"/>
        </w:rPr>
        <w:t>Bennedsen</w:t>
      </w:r>
      <w:proofErr w:type="spellEnd"/>
      <w:r w:rsidR="0007665D">
        <w:rPr>
          <w:szCs w:val="24"/>
        </w:rPr>
        <w:t xml:space="preserve">, Pérez-González &amp; </w:t>
      </w:r>
      <w:proofErr w:type="spellStart"/>
      <w:r w:rsidR="0007665D">
        <w:rPr>
          <w:szCs w:val="24"/>
        </w:rPr>
        <w:t>Wolfenzon</w:t>
      </w:r>
      <w:proofErr w:type="spellEnd"/>
      <w:r w:rsidR="0007665D">
        <w:rPr>
          <w:szCs w:val="24"/>
        </w:rPr>
        <w:t xml:space="preserve">, </w:t>
      </w:r>
      <w:r w:rsidR="0007665D" w:rsidRPr="00091E51">
        <w:rPr>
          <w:szCs w:val="24"/>
        </w:rPr>
        <w:t xml:space="preserve">2010). As principais </w:t>
      </w:r>
      <w:r w:rsidR="00F1049A">
        <w:rPr>
          <w:szCs w:val="24"/>
        </w:rPr>
        <w:t>divergências</w:t>
      </w:r>
      <w:r w:rsidR="0007665D" w:rsidRPr="00091E51">
        <w:rPr>
          <w:szCs w:val="24"/>
        </w:rPr>
        <w:t xml:space="preserve"> decorre</w:t>
      </w:r>
      <w:r w:rsidR="00611969">
        <w:rPr>
          <w:szCs w:val="24"/>
        </w:rPr>
        <w:t xml:space="preserve">m </w:t>
      </w:r>
      <w:r w:rsidR="0007665D" w:rsidRPr="00091E51">
        <w:rPr>
          <w:szCs w:val="24"/>
        </w:rPr>
        <w:t xml:space="preserve">de problemas de </w:t>
      </w:r>
      <w:r w:rsidR="0007665D">
        <w:rPr>
          <w:szCs w:val="24"/>
        </w:rPr>
        <w:t>agência</w:t>
      </w:r>
      <w:r w:rsidR="00490CFC">
        <w:rPr>
          <w:szCs w:val="24"/>
        </w:rPr>
        <w:t xml:space="preserve"> (</w:t>
      </w:r>
      <w:proofErr w:type="spellStart"/>
      <w:r w:rsidR="00490CFC" w:rsidRPr="00204862">
        <w:rPr>
          <w:szCs w:val="24"/>
        </w:rPr>
        <w:t>Cesari</w:t>
      </w:r>
      <w:proofErr w:type="spellEnd"/>
      <w:r w:rsidR="00490CFC">
        <w:rPr>
          <w:szCs w:val="24"/>
        </w:rPr>
        <w:t xml:space="preserve">, </w:t>
      </w:r>
      <w:proofErr w:type="spellStart"/>
      <w:r w:rsidR="00490CFC">
        <w:rPr>
          <w:szCs w:val="24"/>
        </w:rPr>
        <w:t>Gonenc</w:t>
      </w:r>
      <w:proofErr w:type="spellEnd"/>
      <w:r w:rsidR="00490CFC">
        <w:rPr>
          <w:szCs w:val="24"/>
        </w:rPr>
        <w:t xml:space="preserve"> &amp;</w:t>
      </w:r>
      <w:r w:rsidR="00490CFC" w:rsidRPr="00204862">
        <w:rPr>
          <w:szCs w:val="24"/>
        </w:rPr>
        <w:t xml:space="preserve"> </w:t>
      </w:r>
      <w:proofErr w:type="spellStart"/>
      <w:r w:rsidR="00490CFC" w:rsidRPr="00204862">
        <w:rPr>
          <w:szCs w:val="24"/>
        </w:rPr>
        <w:t>Ozkan</w:t>
      </w:r>
      <w:proofErr w:type="spellEnd"/>
      <w:r w:rsidR="00490CFC">
        <w:rPr>
          <w:szCs w:val="24"/>
        </w:rPr>
        <w:t>, 2016)</w:t>
      </w:r>
      <w:r w:rsidR="0007665D">
        <w:rPr>
          <w:szCs w:val="24"/>
        </w:rPr>
        <w:t>. De</w:t>
      </w:r>
      <w:r w:rsidR="0007665D" w:rsidRPr="00091E51">
        <w:rPr>
          <w:szCs w:val="24"/>
        </w:rPr>
        <w:t xml:space="preserve"> um lado</w:t>
      </w:r>
      <w:r w:rsidR="0007665D">
        <w:rPr>
          <w:szCs w:val="24"/>
        </w:rPr>
        <w:t>,</w:t>
      </w:r>
      <w:r w:rsidR="0007665D" w:rsidRPr="00091E51">
        <w:rPr>
          <w:szCs w:val="24"/>
        </w:rPr>
        <w:t xml:space="preserve"> há empresas com co</w:t>
      </w:r>
      <w:r w:rsidR="003B2BD2">
        <w:rPr>
          <w:szCs w:val="24"/>
        </w:rPr>
        <w:t>ncentração de ações por parte da</w:t>
      </w:r>
      <w:r w:rsidR="0007665D" w:rsidRPr="00091E51">
        <w:rPr>
          <w:szCs w:val="24"/>
        </w:rPr>
        <w:t xml:space="preserve"> família,</w:t>
      </w:r>
      <w:r w:rsidR="0007665D">
        <w:rPr>
          <w:szCs w:val="24"/>
        </w:rPr>
        <w:t xml:space="preserve"> as quais participam da gestão (</w:t>
      </w:r>
      <w:proofErr w:type="spellStart"/>
      <w:r w:rsidR="0007665D" w:rsidRPr="00091E51">
        <w:rPr>
          <w:szCs w:val="24"/>
        </w:rPr>
        <w:t>Chua</w:t>
      </w:r>
      <w:proofErr w:type="spellEnd"/>
      <w:r w:rsidR="0007665D">
        <w:rPr>
          <w:szCs w:val="24"/>
        </w:rPr>
        <w:t xml:space="preserve">, </w:t>
      </w:r>
      <w:proofErr w:type="spellStart"/>
      <w:r w:rsidR="0007665D" w:rsidRPr="00562E9C">
        <w:rPr>
          <w:szCs w:val="24"/>
          <w:shd w:val="clear" w:color="auto" w:fill="FFFFFF"/>
        </w:rPr>
        <w:t>Chrisman</w:t>
      </w:r>
      <w:proofErr w:type="spellEnd"/>
      <w:r w:rsidR="0007665D" w:rsidRPr="0040366E">
        <w:rPr>
          <w:szCs w:val="24"/>
          <w:shd w:val="clear" w:color="auto" w:fill="FFFFFF"/>
        </w:rPr>
        <w:t xml:space="preserve"> &amp; </w:t>
      </w:r>
      <w:proofErr w:type="spellStart"/>
      <w:r w:rsidR="0007665D" w:rsidRPr="0040366E">
        <w:rPr>
          <w:szCs w:val="24"/>
          <w:shd w:val="clear" w:color="auto" w:fill="FFFFFF"/>
        </w:rPr>
        <w:t>Sharma</w:t>
      </w:r>
      <w:proofErr w:type="spellEnd"/>
      <w:r w:rsidR="0007665D" w:rsidRPr="00091E51">
        <w:rPr>
          <w:szCs w:val="24"/>
        </w:rPr>
        <w:t>, 1999)</w:t>
      </w:r>
      <w:r w:rsidR="0007665D">
        <w:rPr>
          <w:szCs w:val="24"/>
        </w:rPr>
        <w:t>,</w:t>
      </w:r>
      <w:r w:rsidR="0007665D" w:rsidRPr="00091E51">
        <w:rPr>
          <w:szCs w:val="24"/>
        </w:rPr>
        <w:t xml:space="preserve"> o que mitiga problemas de conflitos de agência</w:t>
      </w:r>
      <w:r w:rsidR="0007665D">
        <w:rPr>
          <w:szCs w:val="24"/>
        </w:rPr>
        <w:t>;</w:t>
      </w:r>
      <w:r w:rsidR="0007665D" w:rsidRPr="00091E51">
        <w:rPr>
          <w:szCs w:val="24"/>
        </w:rPr>
        <w:t xml:space="preserve"> e</w:t>
      </w:r>
      <w:r w:rsidR="0007665D">
        <w:rPr>
          <w:szCs w:val="24"/>
        </w:rPr>
        <w:t>,</w:t>
      </w:r>
      <w:r w:rsidR="0007665D" w:rsidRPr="00091E51">
        <w:rPr>
          <w:szCs w:val="24"/>
        </w:rPr>
        <w:t xml:space="preserve"> de outro, empresas com problemas decorrentes da separação </w:t>
      </w:r>
      <w:r w:rsidR="003B2BD2">
        <w:rPr>
          <w:szCs w:val="24"/>
        </w:rPr>
        <w:t>entre</w:t>
      </w:r>
      <w:r w:rsidR="0007665D" w:rsidRPr="00091E51">
        <w:rPr>
          <w:szCs w:val="24"/>
        </w:rPr>
        <w:t xml:space="preserve"> controle</w:t>
      </w:r>
      <w:r w:rsidR="003B2BD2">
        <w:rPr>
          <w:szCs w:val="24"/>
        </w:rPr>
        <w:t xml:space="preserve"> e </w:t>
      </w:r>
      <w:r w:rsidR="003B2BD2" w:rsidRPr="00091E51">
        <w:rPr>
          <w:szCs w:val="24"/>
        </w:rPr>
        <w:t>propriedade</w:t>
      </w:r>
      <w:r w:rsidR="0007665D" w:rsidRPr="00091E51">
        <w:rPr>
          <w:szCs w:val="24"/>
        </w:rPr>
        <w:t>.</w:t>
      </w:r>
      <w:r w:rsidR="0007665D">
        <w:rPr>
          <w:szCs w:val="24"/>
        </w:rPr>
        <w:t xml:space="preserve"> </w:t>
      </w:r>
    </w:p>
    <w:p w:rsidR="0093119A" w:rsidRDefault="00EB5A46" w:rsidP="0093119A">
      <w:pPr>
        <w:rPr>
          <w:szCs w:val="24"/>
        </w:rPr>
      </w:pPr>
      <w:r>
        <w:rPr>
          <w:szCs w:val="24"/>
        </w:rPr>
        <w:t>E</w:t>
      </w:r>
      <w:r w:rsidR="00490CFC" w:rsidRPr="00091E51">
        <w:rPr>
          <w:szCs w:val="24"/>
        </w:rPr>
        <w:t>xecutivos de empresas familiares</w:t>
      </w:r>
      <w:r w:rsidR="005E0CE4">
        <w:rPr>
          <w:szCs w:val="24"/>
        </w:rPr>
        <w:t>,</w:t>
      </w:r>
      <w:r w:rsidR="00490CFC" w:rsidRPr="00091E51">
        <w:rPr>
          <w:szCs w:val="24"/>
        </w:rPr>
        <w:t xml:space="preserve"> normalmente</w:t>
      </w:r>
      <w:r w:rsidR="005E0CE4">
        <w:rPr>
          <w:szCs w:val="24"/>
        </w:rPr>
        <w:t>,</w:t>
      </w:r>
      <w:r w:rsidR="00490CFC" w:rsidRPr="00091E51">
        <w:rPr>
          <w:szCs w:val="24"/>
        </w:rPr>
        <w:t xml:space="preserve"> não utilizam as aquisições como forma para promover seus interesses individuais</w:t>
      </w:r>
      <w:r>
        <w:rPr>
          <w:szCs w:val="24"/>
        </w:rPr>
        <w:t xml:space="preserve"> (</w:t>
      </w:r>
      <w:proofErr w:type="spellStart"/>
      <w:r>
        <w:rPr>
          <w:szCs w:val="24"/>
        </w:rPr>
        <w:t>Cesari</w:t>
      </w:r>
      <w:proofErr w:type="spellEnd"/>
      <w:r>
        <w:rPr>
          <w:szCs w:val="24"/>
        </w:rPr>
        <w:t xml:space="preserve">, </w:t>
      </w:r>
      <w:proofErr w:type="spellStart"/>
      <w:r>
        <w:rPr>
          <w:szCs w:val="24"/>
        </w:rPr>
        <w:t>Gonenc</w:t>
      </w:r>
      <w:proofErr w:type="spellEnd"/>
      <w:r>
        <w:rPr>
          <w:szCs w:val="24"/>
        </w:rPr>
        <w:t xml:space="preserve"> &amp;</w:t>
      </w:r>
      <w:r w:rsidRPr="00204862">
        <w:rPr>
          <w:szCs w:val="24"/>
        </w:rPr>
        <w:t xml:space="preserve"> </w:t>
      </w:r>
      <w:proofErr w:type="spellStart"/>
      <w:r w:rsidRPr="00204862">
        <w:rPr>
          <w:szCs w:val="24"/>
        </w:rPr>
        <w:t>Ozkan</w:t>
      </w:r>
      <w:proofErr w:type="spellEnd"/>
      <w:r>
        <w:rPr>
          <w:szCs w:val="24"/>
        </w:rPr>
        <w:t>, 2016)</w:t>
      </w:r>
      <w:r w:rsidR="00490CFC" w:rsidRPr="00091E51">
        <w:rPr>
          <w:szCs w:val="24"/>
        </w:rPr>
        <w:t xml:space="preserve">. </w:t>
      </w:r>
      <w:r w:rsidR="00490CFC">
        <w:rPr>
          <w:szCs w:val="24"/>
        </w:rPr>
        <w:t>E</w:t>
      </w:r>
      <w:r w:rsidR="00490CFC" w:rsidRPr="00091E51">
        <w:rPr>
          <w:szCs w:val="24"/>
        </w:rPr>
        <w:t xml:space="preserve">ntende-se que os acionistas controladores das empresas familiares têm o objetivo de transferir </w:t>
      </w:r>
      <w:r w:rsidR="005E0CE4">
        <w:rPr>
          <w:szCs w:val="24"/>
        </w:rPr>
        <w:t>o negócio</w:t>
      </w:r>
      <w:r w:rsidR="00490CFC" w:rsidRPr="00091E51">
        <w:rPr>
          <w:szCs w:val="24"/>
        </w:rPr>
        <w:t xml:space="preserve"> para gerações futuras, </w:t>
      </w:r>
      <w:r w:rsidR="005E0CE4">
        <w:rPr>
          <w:szCs w:val="24"/>
        </w:rPr>
        <w:t xml:space="preserve">o que sugere </w:t>
      </w:r>
      <w:r w:rsidR="00490CFC" w:rsidRPr="00091E51">
        <w:rPr>
          <w:szCs w:val="24"/>
        </w:rPr>
        <w:t>que eles tenham benefícios não</w:t>
      </w:r>
      <w:r w:rsidR="00490CFC">
        <w:rPr>
          <w:szCs w:val="24"/>
        </w:rPr>
        <w:t xml:space="preserve"> </w:t>
      </w:r>
      <w:r w:rsidR="00490CFC" w:rsidRPr="00091E51">
        <w:rPr>
          <w:szCs w:val="24"/>
        </w:rPr>
        <w:t xml:space="preserve">pecuniários da </w:t>
      </w:r>
      <w:proofErr w:type="gramStart"/>
      <w:r w:rsidR="00490CFC" w:rsidRPr="005E0CE4">
        <w:rPr>
          <w:i/>
          <w:szCs w:val="24"/>
        </w:rPr>
        <w:t>performance</w:t>
      </w:r>
      <w:proofErr w:type="gramEnd"/>
      <w:r w:rsidR="00490CFC" w:rsidRPr="00091E51">
        <w:rPr>
          <w:szCs w:val="24"/>
        </w:rPr>
        <w:t xml:space="preserve"> de suas empresas</w:t>
      </w:r>
      <w:r w:rsidR="00490CFC">
        <w:rPr>
          <w:szCs w:val="24"/>
        </w:rPr>
        <w:t>. Assim, m</w:t>
      </w:r>
      <w:r w:rsidR="00490CFC" w:rsidRPr="00091E51">
        <w:rPr>
          <w:szCs w:val="24"/>
        </w:rPr>
        <w:t>esmo que os familiares não participem diretamente da gestão, eles monitoram fortemente os executivos.</w:t>
      </w:r>
    </w:p>
    <w:p w:rsidR="004B6BA6" w:rsidRDefault="0093119A" w:rsidP="004B6BA6">
      <w:pPr>
        <w:rPr>
          <w:szCs w:val="24"/>
        </w:rPr>
      </w:pPr>
      <w:r w:rsidRPr="00041020">
        <w:rPr>
          <w:szCs w:val="24"/>
        </w:rPr>
        <w:t xml:space="preserve">Dessa forma, é </w:t>
      </w:r>
      <w:r w:rsidR="00EB5A46">
        <w:rPr>
          <w:szCs w:val="24"/>
        </w:rPr>
        <w:t>provável</w:t>
      </w:r>
      <w:r w:rsidRPr="00041020">
        <w:rPr>
          <w:szCs w:val="24"/>
        </w:rPr>
        <w:t xml:space="preserve"> que haja diferenças </w:t>
      </w:r>
      <w:r w:rsidR="005F56F5">
        <w:rPr>
          <w:szCs w:val="24"/>
        </w:rPr>
        <w:t>consideráveis</w:t>
      </w:r>
      <w:r w:rsidRPr="00041020">
        <w:rPr>
          <w:szCs w:val="24"/>
        </w:rPr>
        <w:t xml:space="preserve"> no desempenho obtido com as aquisições quando estas são realizadas por empresas familiares e não familiares, pois é possível que as diferentes relações de agência existentes entre esses dois tipos de estrutura de propriedade e controle impactem significativamente esses aspectos.</w:t>
      </w:r>
      <w:r w:rsidR="001A73C5">
        <w:rPr>
          <w:szCs w:val="24"/>
        </w:rPr>
        <w:t xml:space="preserve"> P</w:t>
      </w:r>
      <w:r w:rsidR="00CF3EF0">
        <w:rPr>
          <w:szCs w:val="24"/>
        </w:rPr>
        <w:t xml:space="preserve">or ser </w:t>
      </w:r>
      <w:r w:rsidR="00CF3EF0" w:rsidRPr="00041020">
        <w:rPr>
          <w:szCs w:val="24"/>
        </w:rPr>
        <w:t xml:space="preserve">apenas uma intuição que </w:t>
      </w:r>
      <w:r w:rsidR="001A73C5">
        <w:rPr>
          <w:szCs w:val="24"/>
        </w:rPr>
        <w:t>demanda investigação</w:t>
      </w:r>
      <w:r w:rsidR="00CF3EF0">
        <w:rPr>
          <w:szCs w:val="24"/>
        </w:rPr>
        <w:t>,</w:t>
      </w:r>
      <w:r w:rsidR="00CF3EF0" w:rsidRPr="0044678D">
        <w:rPr>
          <w:szCs w:val="24"/>
        </w:rPr>
        <w:t xml:space="preserve"> este estudo </w:t>
      </w:r>
      <w:r w:rsidR="00CF3EF0">
        <w:rPr>
          <w:szCs w:val="24"/>
        </w:rPr>
        <w:t>busca responder:</w:t>
      </w:r>
      <w:r w:rsidR="00CF3EF0" w:rsidRPr="0044678D">
        <w:t xml:space="preserve"> </w:t>
      </w:r>
      <w:r w:rsidR="00563E3C" w:rsidRPr="004B6BA6">
        <w:rPr>
          <w:szCs w:val="24"/>
        </w:rPr>
        <w:t>A</w:t>
      </w:r>
      <w:r w:rsidR="00CF3EF0" w:rsidRPr="004B6BA6">
        <w:rPr>
          <w:szCs w:val="24"/>
        </w:rPr>
        <w:t>s aquisições realizadas por empresas brasileiras familiares geram melhor desempenho do que aquelas realizadas por empresas brasileiras não familiares?</w:t>
      </w:r>
      <w:r w:rsidR="00CF3EF0" w:rsidRPr="0044678D">
        <w:rPr>
          <w:szCs w:val="24"/>
        </w:rPr>
        <w:t xml:space="preserve"> </w:t>
      </w:r>
      <w:r w:rsidR="00E7308A">
        <w:rPr>
          <w:szCs w:val="24"/>
        </w:rPr>
        <w:t xml:space="preserve">Logo, este estudo objetiva </w:t>
      </w:r>
      <w:r w:rsidR="00E7308A" w:rsidRPr="00041020">
        <w:rPr>
          <w:szCs w:val="24"/>
        </w:rPr>
        <w:t>verificar se as aquisições realizadas por empresas familiares geram melhor desempenho do que aquelas realizadas por empresas não familiares</w:t>
      </w:r>
      <w:r w:rsidR="00406CA9">
        <w:rPr>
          <w:szCs w:val="24"/>
        </w:rPr>
        <w:t>, sob a ótica da Teoria da Agência, no período de 2009 a 2016.</w:t>
      </w:r>
    </w:p>
    <w:p w:rsidR="007E1071" w:rsidRDefault="004B6BA6" w:rsidP="007E1071">
      <w:pPr>
        <w:rPr>
          <w:szCs w:val="24"/>
        </w:rPr>
      </w:pPr>
      <w:r>
        <w:rPr>
          <w:szCs w:val="24"/>
        </w:rPr>
        <w:t>A</w:t>
      </w:r>
      <w:r w:rsidRPr="00091E51">
        <w:rPr>
          <w:szCs w:val="24"/>
        </w:rPr>
        <w:t xml:space="preserve">s aquisições </w:t>
      </w:r>
      <w:r>
        <w:rPr>
          <w:szCs w:val="24"/>
        </w:rPr>
        <w:t xml:space="preserve">corporativas </w:t>
      </w:r>
      <w:r w:rsidRPr="00091E51">
        <w:rPr>
          <w:szCs w:val="24"/>
        </w:rPr>
        <w:t>são</w:t>
      </w:r>
      <w:r>
        <w:rPr>
          <w:szCs w:val="24"/>
        </w:rPr>
        <w:t>,</w:t>
      </w:r>
      <w:r w:rsidRPr="00091E51">
        <w:rPr>
          <w:szCs w:val="24"/>
        </w:rPr>
        <w:t xml:space="preserve"> possivelmente</w:t>
      </w:r>
      <w:r>
        <w:rPr>
          <w:szCs w:val="24"/>
        </w:rPr>
        <w:t>,</w:t>
      </w:r>
      <w:r w:rsidRPr="00091E51">
        <w:rPr>
          <w:szCs w:val="24"/>
        </w:rPr>
        <w:t xml:space="preserve"> as decisões mais importantes que os executivos realizam e com um maior potencial de alteração da riqueza dos acionistas (</w:t>
      </w:r>
      <w:proofErr w:type="spellStart"/>
      <w:r w:rsidRPr="00091E51">
        <w:rPr>
          <w:szCs w:val="24"/>
        </w:rPr>
        <w:t>Moeller</w:t>
      </w:r>
      <w:proofErr w:type="spellEnd"/>
      <w:r w:rsidRPr="00091E51">
        <w:rPr>
          <w:szCs w:val="24"/>
        </w:rPr>
        <w:t xml:space="preserve">, </w:t>
      </w:r>
      <w:proofErr w:type="spellStart"/>
      <w:r w:rsidRPr="00091E51">
        <w:rPr>
          <w:szCs w:val="24"/>
        </w:rPr>
        <w:t>Schlingemann</w:t>
      </w:r>
      <w:proofErr w:type="spellEnd"/>
      <w:r w:rsidRPr="00091E51">
        <w:rPr>
          <w:szCs w:val="24"/>
        </w:rPr>
        <w:t xml:space="preserve"> &amp; </w:t>
      </w:r>
      <w:proofErr w:type="spellStart"/>
      <w:r w:rsidRPr="00091E51">
        <w:rPr>
          <w:szCs w:val="24"/>
        </w:rPr>
        <w:t>Stulz</w:t>
      </w:r>
      <w:proofErr w:type="spellEnd"/>
      <w:r w:rsidRPr="00091E51">
        <w:rPr>
          <w:szCs w:val="24"/>
        </w:rPr>
        <w:t>, 20</w:t>
      </w:r>
      <w:r>
        <w:rPr>
          <w:szCs w:val="24"/>
        </w:rPr>
        <w:t>05</w:t>
      </w:r>
      <w:r w:rsidRPr="00091E51">
        <w:rPr>
          <w:szCs w:val="24"/>
        </w:rPr>
        <w:t>)</w:t>
      </w:r>
      <w:r>
        <w:rPr>
          <w:szCs w:val="24"/>
        </w:rPr>
        <w:t>. Porém</w:t>
      </w:r>
      <w:r w:rsidR="00A27635">
        <w:rPr>
          <w:szCs w:val="24"/>
        </w:rPr>
        <w:t>,</w:t>
      </w:r>
      <w:r>
        <w:rPr>
          <w:szCs w:val="24"/>
        </w:rPr>
        <w:t xml:space="preserve"> </w:t>
      </w:r>
      <w:r w:rsidR="00A27635">
        <w:rPr>
          <w:szCs w:val="24"/>
        </w:rPr>
        <w:t xml:space="preserve">é </w:t>
      </w:r>
      <w:r>
        <w:rPr>
          <w:szCs w:val="24"/>
        </w:rPr>
        <w:t xml:space="preserve">evidente a falta de consenso sobre </w:t>
      </w:r>
      <w:r w:rsidR="00A27635">
        <w:rPr>
          <w:szCs w:val="24"/>
        </w:rPr>
        <w:t xml:space="preserve">os motivos que </w:t>
      </w:r>
      <w:r>
        <w:rPr>
          <w:szCs w:val="24"/>
        </w:rPr>
        <w:t>leva</w:t>
      </w:r>
      <w:r w:rsidR="00A27635">
        <w:rPr>
          <w:szCs w:val="24"/>
        </w:rPr>
        <w:t>m</w:t>
      </w:r>
      <w:r>
        <w:rPr>
          <w:szCs w:val="24"/>
        </w:rPr>
        <w:t xml:space="preserve"> os executivos a envolverem as empresas em tais operações, e </w:t>
      </w:r>
      <w:r w:rsidR="007E1071">
        <w:rPr>
          <w:szCs w:val="24"/>
        </w:rPr>
        <w:t xml:space="preserve">sobre </w:t>
      </w:r>
      <w:r w:rsidR="00A27635">
        <w:rPr>
          <w:szCs w:val="24"/>
        </w:rPr>
        <w:t>s</w:t>
      </w:r>
      <w:r>
        <w:rPr>
          <w:szCs w:val="24"/>
        </w:rPr>
        <w:t xml:space="preserve">e </w:t>
      </w:r>
      <w:r w:rsidR="00A27635">
        <w:rPr>
          <w:szCs w:val="24"/>
        </w:rPr>
        <w:t>essa estratégia realmente cria</w:t>
      </w:r>
      <w:r>
        <w:rPr>
          <w:szCs w:val="24"/>
        </w:rPr>
        <w:t xml:space="preserve"> valor aos acionistas.</w:t>
      </w:r>
    </w:p>
    <w:p w:rsidR="003B35F0" w:rsidRDefault="001A73C5" w:rsidP="003B35F0">
      <w:pPr>
        <w:rPr>
          <w:szCs w:val="24"/>
        </w:rPr>
      </w:pPr>
      <w:r>
        <w:rPr>
          <w:szCs w:val="24"/>
        </w:rPr>
        <w:t>Essa falta de consenso</w:t>
      </w:r>
      <w:r w:rsidR="007E1071">
        <w:rPr>
          <w:szCs w:val="24"/>
        </w:rPr>
        <w:t xml:space="preserve"> pode estar enviesada ao tratamento de empresas familiares e não familiares como iguais, já que é reconhecido que as diferentes naturezas entre empresas causam diferentes visões sobre tomadas de decisões. As empresas familiares se caracterizam pelo envolvimento da família no controle e na gestão, e esse envolvimento influencia os valores, bem como outros objetivos financeiros e não financeiros (Silva, 2015).</w:t>
      </w:r>
    </w:p>
    <w:p w:rsidR="009B4F48" w:rsidRDefault="00374825" w:rsidP="009B4F48">
      <w:pPr>
        <w:rPr>
          <w:szCs w:val="24"/>
        </w:rPr>
      </w:pPr>
      <w:r>
        <w:rPr>
          <w:szCs w:val="24"/>
        </w:rPr>
        <w:lastRenderedPageBreak/>
        <w:t>A</w:t>
      </w:r>
      <w:r w:rsidR="003B35F0" w:rsidRPr="009B52A7">
        <w:rPr>
          <w:szCs w:val="24"/>
        </w:rPr>
        <w:t xml:space="preserve">credita-se que a </w:t>
      </w:r>
      <w:r w:rsidR="003B35F0">
        <w:rPr>
          <w:szCs w:val="24"/>
        </w:rPr>
        <w:t xml:space="preserve">presente </w:t>
      </w:r>
      <w:r w:rsidR="003B35F0" w:rsidRPr="009B52A7">
        <w:rPr>
          <w:szCs w:val="24"/>
        </w:rPr>
        <w:t xml:space="preserve">pesquisa </w:t>
      </w:r>
      <w:r w:rsidR="003B35F0">
        <w:rPr>
          <w:szCs w:val="24"/>
        </w:rPr>
        <w:t xml:space="preserve">contribui </w:t>
      </w:r>
      <w:r w:rsidR="00460FC2">
        <w:rPr>
          <w:szCs w:val="24"/>
        </w:rPr>
        <w:t xml:space="preserve">com a academia por </w:t>
      </w:r>
      <w:r w:rsidR="003B35F0">
        <w:rPr>
          <w:szCs w:val="24"/>
        </w:rPr>
        <w:t xml:space="preserve">ajudar a </w:t>
      </w:r>
      <w:r w:rsidR="003B35F0" w:rsidRPr="009B52A7">
        <w:rPr>
          <w:szCs w:val="24"/>
        </w:rPr>
        <w:t xml:space="preserve">elucidar as divergências da literatura sobre </w:t>
      </w:r>
      <w:r w:rsidR="003B35F0">
        <w:rPr>
          <w:szCs w:val="24"/>
        </w:rPr>
        <w:t xml:space="preserve">o </w:t>
      </w:r>
      <w:r w:rsidR="003B35F0" w:rsidRPr="009B52A7">
        <w:rPr>
          <w:szCs w:val="24"/>
        </w:rPr>
        <w:t>desempenho econômico pós</w:t>
      </w:r>
      <w:r w:rsidR="003B35F0">
        <w:rPr>
          <w:szCs w:val="24"/>
        </w:rPr>
        <w:t>-</w:t>
      </w:r>
      <w:r w:rsidR="003B35F0" w:rsidRPr="009B52A7">
        <w:rPr>
          <w:szCs w:val="24"/>
        </w:rPr>
        <w:t>atividades de aquisição</w:t>
      </w:r>
      <w:r w:rsidR="003B35F0">
        <w:rPr>
          <w:szCs w:val="24"/>
        </w:rPr>
        <w:t xml:space="preserve">, adicionando uma nova variável ao contexto (tipo de controle). Além disso, </w:t>
      </w:r>
      <w:r w:rsidR="00323793">
        <w:rPr>
          <w:szCs w:val="24"/>
        </w:rPr>
        <w:t>este</w:t>
      </w:r>
      <w:r w:rsidR="003B35F0">
        <w:rPr>
          <w:szCs w:val="24"/>
        </w:rPr>
        <w:t xml:space="preserve"> trabalho </w:t>
      </w:r>
      <w:r>
        <w:rPr>
          <w:szCs w:val="24"/>
        </w:rPr>
        <w:t>c</w:t>
      </w:r>
      <w:r w:rsidR="00323793">
        <w:rPr>
          <w:szCs w:val="24"/>
        </w:rPr>
        <w:t xml:space="preserve">ontribui com </w:t>
      </w:r>
      <w:r w:rsidR="003B35F0">
        <w:rPr>
          <w:szCs w:val="24"/>
        </w:rPr>
        <w:t xml:space="preserve">a literatura que investiga as diferenças </w:t>
      </w:r>
      <w:r w:rsidR="00323793">
        <w:rPr>
          <w:szCs w:val="24"/>
        </w:rPr>
        <w:t>entre</w:t>
      </w:r>
      <w:r w:rsidR="003B35F0">
        <w:rPr>
          <w:szCs w:val="24"/>
        </w:rPr>
        <w:t xml:space="preserve"> empresas familiares e não familiares, </w:t>
      </w:r>
      <w:r w:rsidR="00323793">
        <w:rPr>
          <w:szCs w:val="24"/>
        </w:rPr>
        <w:t>a qual</w:t>
      </w:r>
      <w:r w:rsidR="003B35F0">
        <w:rPr>
          <w:szCs w:val="24"/>
        </w:rPr>
        <w:t xml:space="preserve"> ainda</w:t>
      </w:r>
      <w:r w:rsidR="00323793">
        <w:rPr>
          <w:szCs w:val="24"/>
        </w:rPr>
        <w:t xml:space="preserve"> é</w:t>
      </w:r>
      <w:r w:rsidR="003B35F0">
        <w:rPr>
          <w:szCs w:val="24"/>
        </w:rPr>
        <w:t xml:space="preserve"> recente, principalmente no cenário nacional.</w:t>
      </w:r>
      <w:bookmarkStart w:id="1" w:name="_Toc494245541"/>
    </w:p>
    <w:p w:rsidR="009B4F48" w:rsidRDefault="009B4F48" w:rsidP="009B4F48">
      <w:pPr>
        <w:rPr>
          <w:szCs w:val="24"/>
        </w:rPr>
      </w:pPr>
      <w:r>
        <w:rPr>
          <w:szCs w:val="24"/>
        </w:rPr>
        <w:t xml:space="preserve">Sob </w:t>
      </w:r>
      <w:r w:rsidRPr="009B52A7">
        <w:rPr>
          <w:szCs w:val="24"/>
        </w:rPr>
        <w:t xml:space="preserve">a perspectiva prática, o estudo pode gerar reflexões tanto </w:t>
      </w:r>
      <w:r>
        <w:rPr>
          <w:szCs w:val="24"/>
        </w:rPr>
        <w:t>aos</w:t>
      </w:r>
      <w:r w:rsidRPr="009B52A7">
        <w:rPr>
          <w:szCs w:val="24"/>
        </w:rPr>
        <w:t xml:space="preserve"> acionistas quanto </w:t>
      </w:r>
      <w:r>
        <w:rPr>
          <w:szCs w:val="24"/>
        </w:rPr>
        <w:t>aos</w:t>
      </w:r>
      <w:r w:rsidRPr="009B52A7">
        <w:rPr>
          <w:szCs w:val="24"/>
        </w:rPr>
        <w:t xml:space="preserve"> executivos sobre o</w:t>
      </w:r>
      <w:r>
        <w:rPr>
          <w:szCs w:val="24"/>
        </w:rPr>
        <w:t xml:space="preserve"> melhor</w:t>
      </w:r>
      <w:r w:rsidRPr="009B52A7">
        <w:rPr>
          <w:szCs w:val="24"/>
        </w:rPr>
        <w:t xml:space="preserve"> uso da estratégia de </w:t>
      </w:r>
      <w:r>
        <w:rPr>
          <w:szCs w:val="24"/>
        </w:rPr>
        <w:t>aquisição corporativa,</w:t>
      </w:r>
      <w:r w:rsidRPr="009B52A7">
        <w:rPr>
          <w:szCs w:val="24"/>
        </w:rPr>
        <w:t xml:space="preserve"> </w:t>
      </w:r>
      <w:r>
        <w:rPr>
          <w:szCs w:val="24"/>
        </w:rPr>
        <w:t>a</w:t>
      </w:r>
      <w:r w:rsidRPr="009B52A7">
        <w:rPr>
          <w:szCs w:val="24"/>
        </w:rPr>
        <w:t xml:space="preserve">lém de instigar novas abordagens de controle e monitoramento por parte dos </w:t>
      </w:r>
      <w:r>
        <w:rPr>
          <w:szCs w:val="24"/>
        </w:rPr>
        <w:t>acionistas</w:t>
      </w:r>
      <w:r w:rsidRPr="009B52A7">
        <w:rPr>
          <w:szCs w:val="24"/>
        </w:rPr>
        <w:t xml:space="preserve"> sobre </w:t>
      </w:r>
      <w:r>
        <w:rPr>
          <w:szCs w:val="24"/>
        </w:rPr>
        <w:t>a tomada de decisão e</w:t>
      </w:r>
      <w:r w:rsidRPr="009B52A7">
        <w:rPr>
          <w:szCs w:val="24"/>
        </w:rPr>
        <w:t xml:space="preserve"> </w:t>
      </w:r>
      <w:r>
        <w:rPr>
          <w:szCs w:val="24"/>
        </w:rPr>
        <w:t>de</w:t>
      </w:r>
      <w:r w:rsidRPr="009B52A7">
        <w:rPr>
          <w:szCs w:val="24"/>
        </w:rPr>
        <w:t xml:space="preserve"> contratos de remuneração dos executivos</w:t>
      </w:r>
      <w:r>
        <w:rPr>
          <w:szCs w:val="24"/>
        </w:rPr>
        <w:t>, para que a estratégia não seja utilizada de forma a beneficiar apenas os gestores.</w:t>
      </w:r>
    </w:p>
    <w:p w:rsidR="00374825" w:rsidRDefault="00E671C8" w:rsidP="00374825">
      <w:pPr>
        <w:rPr>
          <w:szCs w:val="24"/>
        </w:rPr>
      </w:pPr>
      <w:r>
        <w:rPr>
          <w:szCs w:val="24"/>
        </w:rPr>
        <w:t>Ademais, s</w:t>
      </w:r>
      <w:r w:rsidR="00374825">
        <w:rPr>
          <w:szCs w:val="24"/>
        </w:rPr>
        <w:t xml:space="preserve">ob </w:t>
      </w:r>
      <w:r w:rsidR="009B4F48">
        <w:rPr>
          <w:szCs w:val="24"/>
        </w:rPr>
        <w:t>o âmbito</w:t>
      </w:r>
      <w:r w:rsidR="00374825" w:rsidRPr="006627EE">
        <w:rPr>
          <w:szCs w:val="24"/>
        </w:rPr>
        <w:t xml:space="preserve"> social, a contribuição do trabalho pode ser evidenciada pelo volume de dinheiro envolvido em operações de aquisição</w:t>
      </w:r>
      <w:r w:rsidR="00374825">
        <w:rPr>
          <w:szCs w:val="24"/>
        </w:rPr>
        <w:t>. S</w:t>
      </w:r>
      <w:r w:rsidR="00374825" w:rsidRPr="006627EE">
        <w:rPr>
          <w:szCs w:val="24"/>
        </w:rPr>
        <w:t xml:space="preserve">egundo </w:t>
      </w:r>
      <w:proofErr w:type="spellStart"/>
      <w:r w:rsidR="00374825" w:rsidRPr="006627EE">
        <w:rPr>
          <w:szCs w:val="24"/>
        </w:rPr>
        <w:t>Worek</w:t>
      </w:r>
      <w:proofErr w:type="spellEnd"/>
      <w:r w:rsidR="00374825">
        <w:rPr>
          <w:szCs w:val="24"/>
        </w:rPr>
        <w:t xml:space="preserve"> </w:t>
      </w:r>
      <w:r w:rsidR="00374825" w:rsidRPr="006627EE">
        <w:rPr>
          <w:szCs w:val="24"/>
        </w:rPr>
        <w:t xml:space="preserve">(2017), em 2016, tais operações movimentaram 3,4 trilhões de dólares. Essa </w:t>
      </w:r>
      <w:r w:rsidR="00374825">
        <w:rPr>
          <w:szCs w:val="24"/>
        </w:rPr>
        <w:t>quantia</w:t>
      </w:r>
      <w:r w:rsidR="00374825" w:rsidRPr="006627EE">
        <w:rPr>
          <w:szCs w:val="24"/>
        </w:rPr>
        <w:t xml:space="preserve"> faz com que as atividades de aquisição não sejam importantes apenas para as empresas envolvidas, mas também </w:t>
      </w:r>
      <w:r w:rsidR="00374825">
        <w:rPr>
          <w:szCs w:val="24"/>
        </w:rPr>
        <w:t>para a sociedade</w:t>
      </w:r>
      <w:r w:rsidR="00374825" w:rsidRPr="006627EE">
        <w:rPr>
          <w:szCs w:val="24"/>
        </w:rPr>
        <w:t xml:space="preserve"> </w:t>
      </w:r>
      <w:r w:rsidR="00374825">
        <w:rPr>
          <w:szCs w:val="24"/>
        </w:rPr>
        <w:t>da qual ela é parte e para</w:t>
      </w:r>
      <w:r w:rsidR="00374825" w:rsidRPr="006627EE">
        <w:rPr>
          <w:szCs w:val="24"/>
        </w:rPr>
        <w:t xml:space="preserve"> o</w:t>
      </w:r>
      <w:r w:rsidR="00374825">
        <w:rPr>
          <w:szCs w:val="24"/>
        </w:rPr>
        <w:t xml:space="preserve"> governo</w:t>
      </w:r>
      <w:r w:rsidR="00374825" w:rsidRPr="006627EE">
        <w:rPr>
          <w:szCs w:val="24"/>
        </w:rPr>
        <w:t>.</w:t>
      </w:r>
      <w:bookmarkEnd w:id="1"/>
      <w:r w:rsidR="00374825">
        <w:rPr>
          <w:szCs w:val="24"/>
        </w:rPr>
        <w:t xml:space="preserve"> </w:t>
      </w:r>
    </w:p>
    <w:p w:rsidR="00827A91" w:rsidRPr="00E614B2" w:rsidRDefault="00827A91" w:rsidP="00374825">
      <w:pPr>
        <w:rPr>
          <w:sz w:val="20"/>
        </w:rPr>
      </w:pPr>
    </w:p>
    <w:p w:rsidR="00827A91" w:rsidRPr="001208B3" w:rsidRDefault="00827A91" w:rsidP="001208B3">
      <w:pPr>
        <w:pStyle w:val="PargrafodaLista"/>
        <w:numPr>
          <w:ilvl w:val="0"/>
          <w:numId w:val="13"/>
        </w:numPr>
        <w:tabs>
          <w:tab w:val="left" w:pos="709"/>
        </w:tabs>
        <w:spacing w:after="0" w:line="240" w:lineRule="auto"/>
        <w:ind w:left="0" w:firstLine="0"/>
        <w:rPr>
          <w:rFonts w:ascii="Times New Roman" w:hAnsi="Times New Roman" w:cs="Times New Roman"/>
          <w:b/>
          <w:sz w:val="24"/>
          <w:szCs w:val="24"/>
        </w:rPr>
      </w:pPr>
      <w:r w:rsidRPr="001208B3">
        <w:rPr>
          <w:rFonts w:ascii="Times New Roman" w:hAnsi="Times New Roman" w:cs="Times New Roman"/>
          <w:b/>
          <w:sz w:val="24"/>
          <w:szCs w:val="24"/>
        </w:rPr>
        <w:t>REFERENCIAL TEÓRICO E HIPÓTESE DE PESQUISA</w:t>
      </w:r>
    </w:p>
    <w:p w:rsidR="001208B3" w:rsidRPr="001208B3" w:rsidRDefault="001208B3" w:rsidP="001208B3">
      <w:pPr>
        <w:pStyle w:val="PargrafodaLista"/>
        <w:numPr>
          <w:ilvl w:val="1"/>
          <w:numId w:val="13"/>
        </w:numPr>
        <w:tabs>
          <w:tab w:val="left" w:pos="709"/>
        </w:tabs>
        <w:spacing w:after="0" w:line="240" w:lineRule="auto"/>
        <w:ind w:left="0" w:firstLine="0"/>
        <w:rPr>
          <w:rFonts w:ascii="Times New Roman" w:hAnsi="Times New Roman" w:cs="Times New Roman"/>
          <w:b/>
          <w:sz w:val="24"/>
          <w:szCs w:val="24"/>
        </w:rPr>
      </w:pPr>
      <w:r w:rsidRPr="001208B3">
        <w:rPr>
          <w:rFonts w:ascii="Times New Roman" w:hAnsi="Times New Roman" w:cs="Times New Roman"/>
          <w:b/>
          <w:sz w:val="24"/>
          <w:szCs w:val="24"/>
        </w:rPr>
        <w:t>Aquisições Corporativas</w:t>
      </w:r>
    </w:p>
    <w:p w:rsidR="001208B3" w:rsidRPr="00E614B2" w:rsidRDefault="001208B3" w:rsidP="001208B3">
      <w:pPr>
        <w:tabs>
          <w:tab w:val="left" w:pos="709"/>
        </w:tabs>
        <w:rPr>
          <w:b/>
          <w:sz w:val="20"/>
        </w:rPr>
      </w:pPr>
    </w:p>
    <w:p w:rsidR="001208B3" w:rsidRDefault="001208B3" w:rsidP="00041541">
      <w:pPr>
        <w:rPr>
          <w:szCs w:val="24"/>
        </w:rPr>
      </w:pPr>
      <w:r w:rsidRPr="00091E51">
        <w:rPr>
          <w:szCs w:val="24"/>
        </w:rPr>
        <w:t xml:space="preserve">A </w:t>
      </w:r>
      <w:r>
        <w:rPr>
          <w:szCs w:val="24"/>
        </w:rPr>
        <w:t>palavra</w:t>
      </w:r>
      <w:r w:rsidRPr="00091E51">
        <w:rPr>
          <w:szCs w:val="24"/>
        </w:rPr>
        <w:t xml:space="preserve"> “aquisição” é utilizada para caracterizar um processo de compra de controle acionário de uma empresa por outra, na qual as duas empresas continuam ou não com a identidade jurídica</w:t>
      </w:r>
      <w:r w:rsidRPr="003B2154">
        <w:rPr>
          <w:szCs w:val="24"/>
        </w:rPr>
        <w:t xml:space="preserve"> (</w:t>
      </w:r>
      <w:proofErr w:type="spellStart"/>
      <w:r>
        <w:rPr>
          <w:szCs w:val="24"/>
        </w:rPr>
        <w:t>Tanure</w:t>
      </w:r>
      <w:proofErr w:type="spellEnd"/>
      <w:r>
        <w:rPr>
          <w:szCs w:val="24"/>
        </w:rPr>
        <w:t xml:space="preserve"> &amp; </w:t>
      </w:r>
      <w:proofErr w:type="spellStart"/>
      <w:r>
        <w:rPr>
          <w:szCs w:val="24"/>
        </w:rPr>
        <w:t>Cançado</w:t>
      </w:r>
      <w:proofErr w:type="spellEnd"/>
      <w:r>
        <w:rPr>
          <w:szCs w:val="24"/>
        </w:rPr>
        <w:t>, 2005</w:t>
      </w:r>
      <w:r w:rsidRPr="003B2154">
        <w:rPr>
          <w:szCs w:val="24"/>
        </w:rPr>
        <w:t>)</w:t>
      </w:r>
      <w:r>
        <w:rPr>
          <w:szCs w:val="24"/>
        </w:rPr>
        <w:t>, e é associada comumente a</w:t>
      </w:r>
      <w:r w:rsidRPr="00091E51">
        <w:rPr>
          <w:szCs w:val="24"/>
        </w:rPr>
        <w:t xml:space="preserve"> “fusão”</w:t>
      </w:r>
      <w:r>
        <w:rPr>
          <w:szCs w:val="24"/>
        </w:rPr>
        <w:t xml:space="preserve"> </w:t>
      </w:r>
      <w:r w:rsidRPr="00091E51">
        <w:rPr>
          <w:szCs w:val="24"/>
        </w:rPr>
        <w:t>em trabalhos que investigam combinações estratégicas</w:t>
      </w:r>
      <w:r w:rsidR="001A73C5">
        <w:rPr>
          <w:szCs w:val="24"/>
        </w:rPr>
        <w:t>. E</w:t>
      </w:r>
      <w:r w:rsidRPr="00091E51">
        <w:rPr>
          <w:szCs w:val="24"/>
        </w:rPr>
        <w:t>mbora</w:t>
      </w:r>
      <w:r>
        <w:rPr>
          <w:szCs w:val="24"/>
        </w:rPr>
        <w:t xml:space="preserve"> se</w:t>
      </w:r>
      <w:r w:rsidRPr="00091E51">
        <w:rPr>
          <w:szCs w:val="24"/>
        </w:rPr>
        <w:t xml:space="preserve"> reconheça</w:t>
      </w:r>
      <w:r>
        <w:rPr>
          <w:szCs w:val="24"/>
        </w:rPr>
        <w:t>m</w:t>
      </w:r>
      <w:r w:rsidRPr="00091E51">
        <w:rPr>
          <w:szCs w:val="24"/>
        </w:rPr>
        <w:t xml:space="preserve"> as diferenças nos processos de </w:t>
      </w:r>
      <w:r>
        <w:rPr>
          <w:szCs w:val="24"/>
        </w:rPr>
        <w:t>“f</w:t>
      </w:r>
      <w:r w:rsidRPr="00091E51">
        <w:rPr>
          <w:szCs w:val="24"/>
        </w:rPr>
        <w:t xml:space="preserve">usões e </w:t>
      </w:r>
      <w:r>
        <w:rPr>
          <w:szCs w:val="24"/>
        </w:rPr>
        <w:t>a</w:t>
      </w:r>
      <w:r w:rsidRPr="00091E51">
        <w:rPr>
          <w:szCs w:val="24"/>
        </w:rPr>
        <w:t>quisições</w:t>
      </w:r>
      <w:r>
        <w:rPr>
          <w:szCs w:val="24"/>
        </w:rPr>
        <w:t>”;</w:t>
      </w:r>
      <w:r w:rsidRPr="00091E51">
        <w:rPr>
          <w:szCs w:val="24"/>
        </w:rPr>
        <w:t xml:space="preserve"> para a área de </w:t>
      </w:r>
      <w:r>
        <w:rPr>
          <w:szCs w:val="24"/>
        </w:rPr>
        <w:t>F</w:t>
      </w:r>
      <w:r w:rsidRPr="00091E51">
        <w:rPr>
          <w:szCs w:val="24"/>
        </w:rPr>
        <w:t>inanças</w:t>
      </w:r>
      <w:r>
        <w:rPr>
          <w:szCs w:val="24"/>
        </w:rPr>
        <w:t>,</w:t>
      </w:r>
      <w:r w:rsidRPr="00091E51">
        <w:rPr>
          <w:szCs w:val="24"/>
        </w:rPr>
        <w:t xml:space="preserve"> essa diferença não é tratada com o mesmo rigor que no âmbito legal. Então, neste trabalho, </w:t>
      </w:r>
      <w:r>
        <w:rPr>
          <w:szCs w:val="24"/>
        </w:rPr>
        <w:t>tendo-se</w:t>
      </w:r>
      <w:r w:rsidRPr="00091E51">
        <w:rPr>
          <w:szCs w:val="24"/>
        </w:rPr>
        <w:t xml:space="preserve"> como respaldo a literatura (Díaz &amp; </w:t>
      </w:r>
      <w:proofErr w:type="spellStart"/>
      <w:r w:rsidRPr="00091E51">
        <w:rPr>
          <w:szCs w:val="24"/>
        </w:rPr>
        <w:t>Azofra</w:t>
      </w:r>
      <w:proofErr w:type="spellEnd"/>
      <w:r w:rsidRPr="00091E51">
        <w:rPr>
          <w:szCs w:val="24"/>
        </w:rPr>
        <w:t xml:space="preserve">, 2009; </w:t>
      </w:r>
      <w:proofErr w:type="spellStart"/>
      <w:r w:rsidRPr="00091E51">
        <w:rPr>
          <w:szCs w:val="24"/>
        </w:rPr>
        <w:t>Pasiouras</w:t>
      </w:r>
      <w:proofErr w:type="spellEnd"/>
      <w:r w:rsidR="00041541">
        <w:rPr>
          <w:szCs w:val="24"/>
        </w:rPr>
        <w:t xml:space="preserve">, </w:t>
      </w:r>
      <w:proofErr w:type="spellStart"/>
      <w:r w:rsidR="00041541">
        <w:rPr>
          <w:szCs w:val="24"/>
        </w:rPr>
        <w:t>Tanna</w:t>
      </w:r>
      <w:proofErr w:type="spellEnd"/>
      <w:r>
        <w:rPr>
          <w:szCs w:val="24"/>
        </w:rPr>
        <w:t xml:space="preserve"> &amp; </w:t>
      </w:r>
      <w:proofErr w:type="spellStart"/>
      <w:r>
        <w:rPr>
          <w:szCs w:val="24"/>
        </w:rPr>
        <w:t>Gaganis</w:t>
      </w:r>
      <w:proofErr w:type="spellEnd"/>
      <w:r>
        <w:rPr>
          <w:szCs w:val="24"/>
        </w:rPr>
        <w:t>,</w:t>
      </w:r>
      <w:r w:rsidRPr="00091E51">
        <w:rPr>
          <w:szCs w:val="24"/>
        </w:rPr>
        <w:t xml:space="preserve"> 2011)</w:t>
      </w:r>
      <w:r>
        <w:rPr>
          <w:szCs w:val="24"/>
        </w:rPr>
        <w:t>,</w:t>
      </w:r>
      <w:r w:rsidRPr="00091E51">
        <w:rPr>
          <w:szCs w:val="24"/>
        </w:rPr>
        <w:t xml:space="preserve"> a expressão “aquisição” é utilizada para se referir </w:t>
      </w:r>
      <w:r>
        <w:rPr>
          <w:szCs w:val="24"/>
        </w:rPr>
        <w:t>a</w:t>
      </w:r>
      <w:r w:rsidRPr="00091E51">
        <w:rPr>
          <w:szCs w:val="24"/>
        </w:rPr>
        <w:t xml:space="preserve"> </w:t>
      </w:r>
      <w:proofErr w:type="gramStart"/>
      <w:r w:rsidRPr="00091E51">
        <w:rPr>
          <w:szCs w:val="24"/>
        </w:rPr>
        <w:t>ambas</w:t>
      </w:r>
      <w:proofErr w:type="gramEnd"/>
      <w:r w:rsidRPr="00091E51">
        <w:rPr>
          <w:szCs w:val="24"/>
        </w:rPr>
        <w:t xml:space="preserve"> combinações estratégicas.</w:t>
      </w:r>
    </w:p>
    <w:p w:rsidR="004351B3" w:rsidRDefault="00041541" w:rsidP="00041541">
      <w:pPr>
        <w:rPr>
          <w:szCs w:val="24"/>
        </w:rPr>
      </w:pPr>
      <w:r w:rsidRPr="00041541">
        <w:rPr>
          <w:szCs w:val="24"/>
        </w:rPr>
        <w:t>As aquisições são, em geral, investimentos de risco em comparação a outros tipos de entrada no mercado, tais como exportação, licenciamento e alianças estratégicas, pois requerem um maior investimento financeiro e unem duas (ou mais) organizações a aspectos culturais distintos (</w:t>
      </w:r>
      <w:proofErr w:type="spellStart"/>
      <w:r w:rsidRPr="00041541">
        <w:rPr>
          <w:szCs w:val="24"/>
        </w:rPr>
        <w:t>Geppert</w:t>
      </w:r>
      <w:proofErr w:type="spellEnd"/>
      <w:r w:rsidRPr="00041541">
        <w:rPr>
          <w:szCs w:val="24"/>
        </w:rPr>
        <w:t xml:space="preserve">, </w:t>
      </w:r>
      <w:proofErr w:type="spellStart"/>
      <w:r w:rsidRPr="00041541">
        <w:rPr>
          <w:szCs w:val="24"/>
        </w:rPr>
        <w:t>Dörrenbächer</w:t>
      </w:r>
      <w:proofErr w:type="spellEnd"/>
      <w:r w:rsidRPr="00041541">
        <w:rPr>
          <w:szCs w:val="24"/>
        </w:rPr>
        <w:t xml:space="preserve">, </w:t>
      </w:r>
      <w:proofErr w:type="spellStart"/>
      <w:r w:rsidRPr="00041541">
        <w:rPr>
          <w:szCs w:val="24"/>
        </w:rPr>
        <w:t>Gammelgaard</w:t>
      </w:r>
      <w:proofErr w:type="spellEnd"/>
      <w:r w:rsidRPr="00041541">
        <w:rPr>
          <w:szCs w:val="24"/>
        </w:rPr>
        <w:t xml:space="preserve"> &amp; </w:t>
      </w:r>
      <w:proofErr w:type="spellStart"/>
      <w:r w:rsidRPr="00041541">
        <w:rPr>
          <w:szCs w:val="24"/>
        </w:rPr>
        <w:t>Taplin</w:t>
      </w:r>
      <w:proofErr w:type="spellEnd"/>
      <w:r w:rsidRPr="00041541">
        <w:rPr>
          <w:i/>
          <w:szCs w:val="24"/>
        </w:rPr>
        <w:t>.</w:t>
      </w:r>
      <w:r w:rsidRPr="00041541">
        <w:rPr>
          <w:szCs w:val="24"/>
        </w:rPr>
        <w:t xml:space="preserve"> 2012). </w:t>
      </w:r>
    </w:p>
    <w:p w:rsidR="00041541" w:rsidRPr="00041541" w:rsidRDefault="00041541" w:rsidP="00041541">
      <w:pPr>
        <w:rPr>
          <w:szCs w:val="24"/>
        </w:rPr>
      </w:pPr>
      <w:r w:rsidRPr="00041541">
        <w:rPr>
          <w:szCs w:val="24"/>
        </w:rPr>
        <w:t>As principais correntes de pesquisa em aquisições estão interessadas em estudar suas motivações e os resultados subsequentes à operação (</w:t>
      </w:r>
      <w:proofErr w:type="spellStart"/>
      <w:r w:rsidRPr="00041541">
        <w:rPr>
          <w:szCs w:val="24"/>
        </w:rPr>
        <w:t>Haleblian</w:t>
      </w:r>
      <w:proofErr w:type="spellEnd"/>
      <w:r w:rsidRPr="00041541">
        <w:rPr>
          <w:szCs w:val="24"/>
        </w:rPr>
        <w:t xml:space="preserve">, </w:t>
      </w:r>
      <w:proofErr w:type="spellStart"/>
      <w:r w:rsidRPr="00041541">
        <w:rPr>
          <w:szCs w:val="24"/>
        </w:rPr>
        <w:t>Devers</w:t>
      </w:r>
      <w:proofErr w:type="spellEnd"/>
      <w:r w:rsidRPr="00041541">
        <w:rPr>
          <w:szCs w:val="24"/>
        </w:rPr>
        <w:t xml:space="preserve">, </w:t>
      </w:r>
      <w:proofErr w:type="spellStart"/>
      <w:r w:rsidRPr="00041541">
        <w:rPr>
          <w:szCs w:val="24"/>
        </w:rPr>
        <w:t>McNamara</w:t>
      </w:r>
      <w:proofErr w:type="spellEnd"/>
      <w:r w:rsidRPr="00041541">
        <w:rPr>
          <w:szCs w:val="24"/>
        </w:rPr>
        <w:t>, Carpenter &amp; Davison, 2009). A primeira corrente tenta descrever quais seriam os antecedentes que originaram a aquisição corporativa, dividindo-se ainda entre razões internas, associada</w:t>
      </w:r>
      <w:r w:rsidR="0023470A">
        <w:rPr>
          <w:szCs w:val="24"/>
        </w:rPr>
        <w:t>s</w:t>
      </w:r>
      <w:r w:rsidRPr="00041541">
        <w:rPr>
          <w:szCs w:val="24"/>
        </w:rPr>
        <w:t xml:space="preserve"> a variáveis específicas da firma, e externas, </w:t>
      </w:r>
      <w:r w:rsidR="0023470A">
        <w:rPr>
          <w:szCs w:val="24"/>
        </w:rPr>
        <w:t>r</w:t>
      </w:r>
      <w:r w:rsidRPr="00041541">
        <w:rPr>
          <w:szCs w:val="24"/>
        </w:rPr>
        <w:t>elacionada</w:t>
      </w:r>
      <w:r w:rsidR="0023470A">
        <w:rPr>
          <w:szCs w:val="24"/>
        </w:rPr>
        <w:t>s</w:t>
      </w:r>
      <w:r w:rsidRPr="00041541">
        <w:rPr>
          <w:szCs w:val="24"/>
        </w:rPr>
        <w:t xml:space="preserve"> a características do mercado em que a empresa atua. Já a segunda corrente analisa quais são as implicações geradas pelo processo de aquisições.</w:t>
      </w:r>
    </w:p>
    <w:p w:rsidR="00041541" w:rsidRPr="00041541" w:rsidRDefault="00041541" w:rsidP="00041541">
      <w:pPr>
        <w:rPr>
          <w:szCs w:val="24"/>
        </w:rPr>
      </w:pPr>
      <w:r w:rsidRPr="00041541">
        <w:rPr>
          <w:szCs w:val="24"/>
        </w:rPr>
        <w:t xml:space="preserve"> As justificativas teóricas contempladas pela literatura como motivadoras para empresas se envolverem em processos de aquisições são várias. Para </w:t>
      </w:r>
      <w:proofErr w:type="spellStart"/>
      <w:r w:rsidRPr="00041541">
        <w:rPr>
          <w:szCs w:val="24"/>
        </w:rPr>
        <w:t>Mateev</w:t>
      </w:r>
      <w:proofErr w:type="spellEnd"/>
      <w:r w:rsidRPr="00041541">
        <w:rPr>
          <w:szCs w:val="24"/>
        </w:rPr>
        <w:t xml:space="preserve"> (2017), por meio de processos de aquisição, empresas podem alcançar economias de escala, ter acesso a novas regiões geográficas e novas tecnologias. </w:t>
      </w:r>
      <w:proofErr w:type="spellStart"/>
      <w:r w:rsidRPr="00041541">
        <w:rPr>
          <w:szCs w:val="24"/>
        </w:rPr>
        <w:t>Haleblian</w:t>
      </w:r>
      <w:proofErr w:type="spellEnd"/>
      <w:r w:rsidRPr="00041541">
        <w:rPr>
          <w:szCs w:val="24"/>
        </w:rPr>
        <w:t xml:space="preserve"> </w:t>
      </w:r>
      <w:proofErr w:type="gramStart"/>
      <w:r w:rsidRPr="0085165E">
        <w:rPr>
          <w:szCs w:val="24"/>
        </w:rPr>
        <w:t>et</w:t>
      </w:r>
      <w:proofErr w:type="gramEnd"/>
      <w:r w:rsidRPr="0085165E">
        <w:rPr>
          <w:szCs w:val="24"/>
        </w:rPr>
        <w:t xml:space="preserve"> al.</w:t>
      </w:r>
      <w:r w:rsidRPr="00041541">
        <w:rPr>
          <w:szCs w:val="24"/>
        </w:rPr>
        <w:t xml:space="preserve"> (2009), por meio de uma revisão das pesquisas sobre o tema, citam as seguintes motivações: criação de valor, fatores ambientais, características </w:t>
      </w:r>
      <w:r w:rsidRPr="00041541">
        <w:rPr>
          <w:szCs w:val="24"/>
        </w:rPr>
        <w:lastRenderedPageBreak/>
        <w:t xml:space="preserve">das firmas e interesses gerenciais. </w:t>
      </w:r>
    </w:p>
    <w:p w:rsidR="00B8496D" w:rsidRDefault="00041541" w:rsidP="00C90573">
      <w:pPr>
        <w:rPr>
          <w:szCs w:val="24"/>
        </w:rPr>
      </w:pPr>
      <w:r w:rsidRPr="00041541">
        <w:rPr>
          <w:szCs w:val="24"/>
        </w:rPr>
        <w:t>A criação de valor fundamenta-se na expectativa de que a empresa adquirente se torne significativamente mais eficiente e consiga reduzir seus custos, aumentando os retornos dos acionistas (</w:t>
      </w:r>
      <w:proofErr w:type="spellStart"/>
      <w:r w:rsidRPr="00041541">
        <w:rPr>
          <w:szCs w:val="24"/>
        </w:rPr>
        <w:t>Bliss</w:t>
      </w:r>
      <w:proofErr w:type="spellEnd"/>
      <w:r w:rsidRPr="00041541">
        <w:rPr>
          <w:szCs w:val="24"/>
        </w:rPr>
        <w:t xml:space="preserve"> &amp; </w:t>
      </w:r>
      <w:proofErr w:type="spellStart"/>
      <w:r w:rsidRPr="00041541">
        <w:rPr>
          <w:szCs w:val="24"/>
        </w:rPr>
        <w:t>Rosen</w:t>
      </w:r>
      <w:proofErr w:type="spellEnd"/>
      <w:r w:rsidRPr="00041541">
        <w:rPr>
          <w:szCs w:val="24"/>
        </w:rPr>
        <w:t xml:space="preserve">, 2001). </w:t>
      </w:r>
      <w:r w:rsidR="006047A8" w:rsidRPr="00041541">
        <w:rPr>
          <w:szCs w:val="24"/>
        </w:rPr>
        <w:t>Já os fatores ambientais referem-se a motivações do ambiente que incentivam as empresas a passarem por processos de aquisições, como, por exemplo, crises financeiras</w:t>
      </w:r>
      <w:r w:rsidRPr="00041541">
        <w:rPr>
          <w:szCs w:val="24"/>
        </w:rPr>
        <w:t>. Por sua vez, a motivação por características da firma pode ser ilustrada por trabalhos que estudam probabilidades de empresas se envolverem em aquisições, conforme experiências anteriores em tais eventos (</w:t>
      </w:r>
      <w:proofErr w:type="spellStart"/>
      <w:r w:rsidRPr="00041541">
        <w:rPr>
          <w:szCs w:val="24"/>
        </w:rPr>
        <w:t>Haleblian</w:t>
      </w:r>
      <w:proofErr w:type="spellEnd"/>
      <w:r w:rsidRPr="00041541">
        <w:rPr>
          <w:szCs w:val="24"/>
        </w:rPr>
        <w:t xml:space="preserve">, Kim &amp; </w:t>
      </w:r>
      <w:proofErr w:type="spellStart"/>
      <w:r w:rsidRPr="00041541">
        <w:rPr>
          <w:szCs w:val="24"/>
        </w:rPr>
        <w:t>Rajagopalan</w:t>
      </w:r>
      <w:proofErr w:type="spellEnd"/>
      <w:r w:rsidRPr="00041541">
        <w:rPr>
          <w:szCs w:val="24"/>
        </w:rPr>
        <w:t xml:space="preserve">, 2006). </w:t>
      </w:r>
    </w:p>
    <w:p w:rsidR="00041541" w:rsidRPr="00041541" w:rsidRDefault="00041541" w:rsidP="00C90573">
      <w:pPr>
        <w:rPr>
          <w:szCs w:val="24"/>
        </w:rPr>
      </w:pPr>
      <w:r w:rsidRPr="00041541">
        <w:rPr>
          <w:szCs w:val="24"/>
        </w:rPr>
        <w:t>Por fim, os motivos gerenciais referem-se aos processos de aquisições que ocorrem visando ao aumento do bem-estar dos executivos das empresas, mesmo que as operações gerem impacto negativo no valor de mercado das ações (</w:t>
      </w:r>
      <w:proofErr w:type="spellStart"/>
      <w:r w:rsidRPr="00041541">
        <w:rPr>
          <w:szCs w:val="24"/>
        </w:rPr>
        <w:t>Haleblian</w:t>
      </w:r>
      <w:proofErr w:type="spellEnd"/>
      <w:r w:rsidRPr="00041541">
        <w:rPr>
          <w:szCs w:val="24"/>
        </w:rPr>
        <w:t xml:space="preserve"> </w:t>
      </w:r>
      <w:proofErr w:type="gramStart"/>
      <w:r w:rsidRPr="0085165E">
        <w:rPr>
          <w:szCs w:val="24"/>
        </w:rPr>
        <w:t>et</w:t>
      </w:r>
      <w:proofErr w:type="gramEnd"/>
      <w:r w:rsidRPr="0085165E">
        <w:rPr>
          <w:szCs w:val="24"/>
        </w:rPr>
        <w:t xml:space="preserve"> al.</w:t>
      </w:r>
      <w:r w:rsidR="002F7121">
        <w:rPr>
          <w:szCs w:val="24"/>
        </w:rPr>
        <w:t>,</w:t>
      </w:r>
      <w:r w:rsidRPr="00041541">
        <w:rPr>
          <w:szCs w:val="24"/>
        </w:rPr>
        <w:t xml:space="preserve"> 2009). Esses motivos evidenciam conflitos de interesses entre executivos e acionistas que são, comumente, tratados à luz da Teoria da Agência (Jensen &amp; </w:t>
      </w:r>
      <w:proofErr w:type="spellStart"/>
      <w:r w:rsidRPr="00041541">
        <w:rPr>
          <w:szCs w:val="24"/>
        </w:rPr>
        <w:t>Meckling</w:t>
      </w:r>
      <w:proofErr w:type="spellEnd"/>
      <w:r w:rsidRPr="00041541">
        <w:rPr>
          <w:szCs w:val="24"/>
        </w:rPr>
        <w:t xml:space="preserve">, 1976) e das relações entre propriedade e controle das empresas.  </w:t>
      </w:r>
    </w:p>
    <w:p w:rsidR="001208B3" w:rsidRPr="00E614B2" w:rsidRDefault="001208B3" w:rsidP="00C90573">
      <w:pPr>
        <w:tabs>
          <w:tab w:val="left" w:pos="709"/>
        </w:tabs>
        <w:rPr>
          <w:b/>
          <w:sz w:val="20"/>
        </w:rPr>
      </w:pPr>
    </w:p>
    <w:p w:rsidR="001208B3" w:rsidRPr="00041541" w:rsidRDefault="00547B6E" w:rsidP="00427B16">
      <w:pPr>
        <w:pStyle w:val="PargrafodaLista"/>
        <w:numPr>
          <w:ilvl w:val="1"/>
          <w:numId w:val="13"/>
        </w:numPr>
        <w:tabs>
          <w:tab w:val="left" w:pos="709"/>
        </w:tabs>
        <w:spacing w:after="0" w:line="240" w:lineRule="auto"/>
        <w:ind w:left="0" w:firstLine="0"/>
        <w:rPr>
          <w:rFonts w:ascii="Times New Roman" w:hAnsi="Times New Roman" w:cs="Times New Roman"/>
          <w:b/>
          <w:sz w:val="24"/>
          <w:szCs w:val="24"/>
        </w:rPr>
      </w:pPr>
      <w:r>
        <w:rPr>
          <w:rFonts w:ascii="Times New Roman" w:hAnsi="Times New Roman" w:cs="Times New Roman"/>
          <w:b/>
          <w:sz w:val="24"/>
          <w:szCs w:val="24"/>
        </w:rPr>
        <w:t>Teoria da Agência e Estrutura de Controle</w:t>
      </w:r>
    </w:p>
    <w:p w:rsidR="00C90573" w:rsidRPr="00E614B2" w:rsidRDefault="00C90573" w:rsidP="00C90573">
      <w:pPr>
        <w:tabs>
          <w:tab w:val="left" w:pos="709"/>
        </w:tabs>
        <w:rPr>
          <w:b/>
          <w:sz w:val="20"/>
        </w:rPr>
      </w:pPr>
    </w:p>
    <w:p w:rsidR="00C90573" w:rsidRPr="00091E51" w:rsidRDefault="00C90573" w:rsidP="00C90573">
      <w:pPr>
        <w:rPr>
          <w:szCs w:val="24"/>
        </w:rPr>
      </w:pPr>
      <w:r w:rsidRPr="00091E51">
        <w:rPr>
          <w:szCs w:val="24"/>
        </w:rPr>
        <w:t xml:space="preserve">A evolução das sociedades capitalistas culminou na segregação entre os proprietários das companhias e seus gestores, gerando as relações de agência (Jensen &amp; </w:t>
      </w:r>
      <w:proofErr w:type="spellStart"/>
      <w:r w:rsidRPr="00091E51">
        <w:rPr>
          <w:szCs w:val="24"/>
        </w:rPr>
        <w:t>Meckeling</w:t>
      </w:r>
      <w:proofErr w:type="spellEnd"/>
      <w:r w:rsidRPr="00091E51">
        <w:rPr>
          <w:szCs w:val="24"/>
        </w:rPr>
        <w:t>, 1976).</w:t>
      </w:r>
      <w:r>
        <w:rPr>
          <w:szCs w:val="24"/>
        </w:rPr>
        <w:t xml:space="preserve"> Essas relações</w:t>
      </w:r>
      <w:r w:rsidRPr="00091E51">
        <w:rPr>
          <w:szCs w:val="24"/>
        </w:rPr>
        <w:t xml:space="preserve"> ocorrem quando os acionistas (principais) delegam a autoridade de tomada de decisão para os gestores (agentes)</w:t>
      </w:r>
      <w:r>
        <w:rPr>
          <w:szCs w:val="24"/>
        </w:rPr>
        <w:t xml:space="preserve"> (</w:t>
      </w:r>
      <w:r w:rsidRPr="00091E51">
        <w:rPr>
          <w:szCs w:val="24"/>
        </w:rPr>
        <w:t xml:space="preserve">Jensen </w:t>
      </w:r>
      <w:r>
        <w:rPr>
          <w:szCs w:val="24"/>
        </w:rPr>
        <w:t>&amp;</w:t>
      </w:r>
      <w:r w:rsidRPr="00091E51">
        <w:rPr>
          <w:szCs w:val="24"/>
        </w:rPr>
        <w:t xml:space="preserve"> </w:t>
      </w:r>
      <w:proofErr w:type="spellStart"/>
      <w:r w:rsidRPr="00091E51">
        <w:rPr>
          <w:szCs w:val="24"/>
        </w:rPr>
        <w:t>Meckeling</w:t>
      </w:r>
      <w:proofErr w:type="spellEnd"/>
      <w:r>
        <w:rPr>
          <w:szCs w:val="24"/>
        </w:rPr>
        <w:t>,</w:t>
      </w:r>
      <w:r w:rsidRPr="00091E51">
        <w:rPr>
          <w:szCs w:val="24"/>
        </w:rPr>
        <w:t xml:space="preserve"> 1976). Porém, </w:t>
      </w:r>
      <w:r>
        <w:rPr>
          <w:szCs w:val="24"/>
        </w:rPr>
        <w:t>ao considerar</w:t>
      </w:r>
      <w:r w:rsidRPr="00091E51">
        <w:rPr>
          <w:szCs w:val="24"/>
        </w:rPr>
        <w:t xml:space="preserve"> a maximização d</w:t>
      </w:r>
      <w:r>
        <w:rPr>
          <w:szCs w:val="24"/>
        </w:rPr>
        <w:t>a</w:t>
      </w:r>
      <w:r w:rsidRPr="00091E51">
        <w:rPr>
          <w:szCs w:val="24"/>
        </w:rPr>
        <w:t xml:space="preserve"> utilidade das partes, acredita-se que</w:t>
      </w:r>
      <w:r>
        <w:rPr>
          <w:szCs w:val="24"/>
        </w:rPr>
        <w:t>,</w:t>
      </w:r>
      <w:r w:rsidRPr="00091E51">
        <w:rPr>
          <w:szCs w:val="24"/>
        </w:rPr>
        <w:t xml:space="preserve"> nem sempre</w:t>
      </w:r>
      <w:r>
        <w:rPr>
          <w:szCs w:val="24"/>
        </w:rPr>
        <w:t>,</w:t>
      </w:r>
      <w:r w:rsidRPr="00091E51">
        <w:rPr>
          <w:szCs w:val="24"/>
        </w:rPr>
        <w:t xml:space="preserve"> os agentes </w:t>
      </w:r>
      <w:r>
        <w:rPr>
          <w:szCs w:val="24"/>
        </w:rPr>
        <w:t>agem</w:t>
      </w:r>
      <w:r w:rsidRPr="00091E51">
        <w:rPr>
          <w:szCs w:val="24"/>
        </w:rPr>
        <w:t xml:space="preserve"> visando o melhor para o principal, </w:t>
      </w:r>
      <w:r>
        <w:rPr>
          <w:szCs w:val="24"/>
        </w:rPr>
        <w:t xml:space="preserve">o que </w:t>
      </w:r>
      <w:r w:rsidRPr="00091E51">
        <w:rPr>
          <w:szCs w:val="24"/>
        </w:rPr>
        <w:t>caracteriza os conflitos de agência. Para</w:t>
      </w:r>
      <w:r>
        <w:rPr>
          <w:szCs w:val="24"/>
        </w:rPr>
        <w:t xml:space="preserve"> </w:t>
      </w:r>
      <w:r w:rsidRPr="00091E51">
        <w:rPr>
          <w:szCs w:val="24"/>
        </w:rPr>
        <w:t>alinhar</w:t>
      </w:r>
      <w:r>
        <w:rPr>
          <w:szCs w:val="24"/>
        </w:rPr>
        <w:t xml:space="preserve"> </w:t>
      </w:r>
      <w:r w:rsidRPr="00091E51">
        <w:rPr>
          <w:szCs w:val="24"/>
        </w:rPr>
        <w:t xml:space="preserve">os interesses, o principal pode estabelecer incentivos aos agentes ou prover de mecanismos de monitoramento para limitar decisões não desejáveis por </w:t>
      </w:r>
      <w:r>
        <w:rPr>
          <w:szCs w:val="24"/>
        </w:rPr>
        <w:t xml:space="preserve">sua </w:t>
      </w:r>
      <w:r w:rsidRPr="00091E51">
        <w:rPr>
          <w:szCs w:val="24"/>
        </w:rPr>
        <w:t xml:space="preserve">parte (Jensen &amp; </w:t>
      </w:r>
      <w:proofErr w:type="spellStart"/>
      <w:r w:rsidRPr="00091E51">
        <w:rPr>
          <w:szCs w:val="24"/>
        </w:rPr>
        <w:t>Meckeling</w:t>
      </w:r>
      <w:proofErr w:type="spellEnd"/>
      <w:r w:rsidRPr="00091E51">
        <w:rPr>
          <w:szCs w:val="24"/>
        </w:rPr>
        <w:t>, 1976)</w:t>
      </w:r>
      <w:r>
        <w:rPr>
          <w:szCs w:val="24"/>
        </w:rPr>
        <w:t>.</w:t>
      </w:r>
    </w:p>
    <w:p w:rsidR="00C90573" w:rsidRPr="00091E51" w:rsidRDefault="00C90573" w:rsidP="00C90573">
      <w:pPr>
        <w:rPr>
          <w:szCs w:val="24"/>
        </w:rPr>
      </w:pPr>
      <w:r w:rsidRPr="00091E51">
        <w:rPr>
          <w:szCs w:val="24"/>
        </w:rPr>
        <w:t>Outro aspecto considerado pela Teoria da Agência, consequente da distanciação da pro</w:t>
      </w:r>
      <w:r w:rsidR="004F49A4">
        <w:rPr>
          <w:szCs w:val="24"/>
        </w:rPr>
        <w:t xml:space="preserve">priedade e controle, é </w:t>
      </w:r>
      <w:r w:rsidRPr="00091E51">
        <w:rPr>
          <w:szCs w:val="24"/>
        </w:rPr>
        <w:t>a diferença informacional existente entre os agentes</w:t>
      </w:r>
      <w:r w:rsidR="004F49A4">
        <w:rPr>
          <w:szCs w:val="24"/>
        </w:rPr>
        <w:t xml:space="preserve"> (</w:t>
      </w:r>
      <w:r w:rsidR="004F49A4" w:rsidRPr="00091E51">
        <w:rPr>
          <w:szCs w:val="24"/>
        </w:rPr>
        <w:t xml:space="preserve">Machado </w:t>
      </w:r>
      <w:r w:rsidR="004F49A4">
        <w:rPr>
          <w:szCs w:val="24"/>
        </w:rPr>
        <w:t xml:space="preserve">&amp; </w:t>
      </w:r>
      <w:proofErr w:type="spellStart"/>
      <w:r w:rsidR="004F49A4">
        <w:rPr>
          <w:szCs w:val="24"/>
        </w:rPr>
        <w:t>Famá</w:t>
      </w:r>
      <w:proofErr w:type="spellEnd"/>
      <w:r w:rsidR="004F49A4">
        <w:rPr>
          <w:szCs w:val="24"/>
        </w:rPr>
        <w:t>, 2011)</w:t>
      </w:r>
      <w:r w:rsidRPr="00091E51">
        <w:rPr>
          <w:szCs w:val="24"/>
        </w:rPr>
        <w:t xml:space="preserve">. </w:t>
      </w:r>
      <w:r>
        <w:rPr>
          <w:szCs w:val="24"/>
        </w:rPr>
        <w:t>O</w:t>
      </w:r>
      <w:r w:rsidRPr="00091E51">
        <w:rPr>
          <w:szCs w:val="24"/>
        </w:rPr>
        <w:t xml:space="preserve">s administradores têm, </w:t>
      </w:r>
      <w:r>
        <w:rPr>
          <w:szCs w:val="24"/>
        </w:rPr>
        <w:t>geralmente</w:t>
      </w:r>
      <w:r w:rsidRPr="00091E51">
        <w:rPr>
          <w:szCs w:val="24"/>
        </w:rPr>
        <w:t>, maiores e melhores informações</w:t>
      </w:r>
      <w:r>
        <w:rPr>
          <w:szCs w:val="24"/>
        </w:rPr>
        <w:t xml:space="preserve"> do</w:t>
      </w:r>
      <w:r w:rsidRPr="00091E51">
        <w:rPr>
          <w:szCs w:val="24"/>
        </w:rPr>
        <w:t xml:space="preserve"> que os investidores externos. Os acionistas </w:t>
      </w:r>
      <w:r>
        <w:rPr>
          <w:szCs w:val="24"/>
        </w:rPr>
        <w:t xml:space="preserve">possuem </w:t>
      </w:r>
      <w:r w:rsidRPr="00091E51">
        <w:rPr>
          <w:szCs w:val="24"/>
        </w:rPr>
        <w:t>desvantagens informacionais comparativamente aos executivos das empresas, e estes, a seus subordinados</w:t>
      </w:r>
      <w:r>
        <w:rPr>
          <w:szCs w:val="24"/>
        </w:rPr>
        <w:t xml:space="preserve"> (</w:t>
      </w:r>
      <w:r w:rsidRPr="00091E51">
        <w:rPr>
          <w:szCs w:val="24"/>
        </w:rPr>
        <w:t xml:space="preserve">Machado </w:t>
      </w:r>
      <w:r>
        <w:rPr>
          <w:szCs w:val="24"/>
        </w:rPr>
        <w:t>&amp;</w:t>
      </w:r>
      <w:r w:rsidRPr="00091E51">
        <w:rPr>
          <w:szCs w:val="24"/>
        </w:rPr>
        <w:t xml:space="preserve"> </w:t>
      </w:r>
      <w:proofErr w:type="spellStart"/>
      <w:r w:rsidRPr="00091E51">
        <w:rPr>
          <w:szCs w:val="24"/>
        </w:rPr>
        <w:t>Famá</w:t>
      </w:r>
      <w:proofErr w:type="spellEnd"/>
      <w:r>
        <w:rPr>
          <w:szCs w:val="24"/>
        </w:rPr>
        <w:t xml:space="preserve">, </w:t>
      </w:r>
      <w:r w:rsidRPr="00091E51">
        <w:rPr>
          <w:szCs w:val="24"/>
        </w:rPr>
        <w:t>2011).</w:t>
      </w:r>
    </w:p>
    <w:p w:rsidR="00C90573" w:rsidRPr="00091E51" w:rsidRDefault="00C90573" w:rsidP="00C90573">
      <w:pPr>
        <w:rPr>
          <w:szCs w:val="24"/>
        </w:rPr>
      </w:pPr>
      <w:r>
        <w:rPr>
          <w:szCs w:val="24"/>
        </w:rPr>
        <w:t>Tanto os problemas de assimetria informacional como</w:t>
      </w:r>
      <w:r w:rsidR="001C4CEE">
        <w:rPr>
          <w:szCs w:val="24"/>
        </w:rPr>
        <w:t xml:space="preserve"> os de conflito de agência têm</w:t>
      </w:r>
      <w:r>
        <w:rPr>
          <w:szCs w:val="24"/>
        </w:rPr>
        <w:t xml:space="preserve"> a</w:t>
      </w:r>
      <w:r w:rsidRPr="00091E51">
        <w:rPr>
          <w:szCs w:val="24"/>
        </w:rPr>
        <w:t xml:space="preserve"> premissa básica de distanciamento entre propriedade e controle</w:t>
      </w:r>
      <w:r>
        <w:rPr>
          <w:szCs w:val="24"/>
        </w:rPr>
        <w:t>.</w:t>
      </w:r>
      <w:r w:rsidRPr="00091E51">
        <w:rPr>
          <w:szCs w:val="24"/>
        </w:rPr>
        <w:t xml:space="preserve"> </w:t>
      </w:r>
      <w:r>
        <w:rPr>
          <w:szCs w:val="24"/>
        </w:rPr>
        <w:t>Há empresas, entretanto, em que esse distanciamento é</w:t>
      </w:r>
      <w:r w:rsidRPr="00091E51">
        <w:rPr>
          <w:szCs w:val="24"/>
        </w:rPr>
        <w:t xml:space="preserve"> vist</w:t>
      </w:r>
      <w:r>
        <w:rPr>
          <w:szCs w:val="24"/>
        </w:rPr>
        <w:t>o</w:t>
      </w:r>
      <w:r w:rsidRPr="00091E51">
        <w:rPr>
          <w:szCs w:val="24"/>
        </w:rPr>
        <w:t xml:space="preserve"> </w:t>
      </w:r>
      <w:r>
        <w:rPr>
          <w:szCs w:val="24"/>
        </w:rPr>
        <w:t>com</w:t>
      </w:r>
      <w:r w:rsidRPr="000815F5">
        <w:rPr>
          <w:szCs w:val="24"/>
        </w:rPr>
        <w:t xml:space="preserve"> menor intensidade, conhecidas como familiares</w:t>
      </w:r>
      <w:r w:rsidRPr="00220BEA">
        <w:rPr>
          <w:szCs w:val="24"/>
        </w:rPr>
        <w:t xml:space="preserve"> (</w:t>
      </w:r>
      <w:proofErr w:type="spellStart"/>
      <w:r w:rsidRPr="00871AA0">
        <w:rPr>
          <w:szCs w:val="24"/>
        </w:rPr>
        <w:t>Bouzgarrou</w:t>
      </w:r>
      <w:proofErr w:type="spellEnd"/>
      <w:r w:rsidRPr="006627EE">
        <w:rPr>
          <w:szCs w:val="24"/>
        </w:rPr>
        <w:t xml:space="preserve"> &amp;</w:t>
      </w:r>
      <w:r w:rsidRPr="00871AA0">
        <w:rPr>
          <w:szCs w:val="24"/>
        </w:rPr>
        <w:t xml:space="preserve"> </w:t>
      </w:r>
      <w:proofErr w:type="spellStart"/>
      <w:r w:rsidRPr="00871AA0">
        <w:rPr>
          <w:szCs w:val="24"/>
        </w:rPr>
        <w:t>Navatte</w:t>
      </w:r>
      <w:proofErr w:type="spellEnd"/>
      <w:r w:rsidRPr="00871AA0">
        <w:rPr>
          <w:szCs w:val="24"/>
        </w:rPr>
        <w:t>, 2013</w:t>
      </w:r>
      <w:r w:rsidRPr="000815F5">
        <w:rPr>
          <w:szCs w:val="24"/>
        </w:rPr>
        <w:t>).</w:t>
      </w:r>
      <w:r w:rsidR="004F49A4">
        <w:rPr>
          <w:szCs w:val="24"/>
        </w:rPr>
        <w:t xml:space="preserve"> </w:t>
      </w:r>
      <w:r w:rsidRPr="00220BEA">
        <w:rPr>
          <w:szCs w:val="24"/>
        </w:rPr>
        <w:t>Embora</w:t>
      </w:r>
      <w:r w:rsidRPr="00871AA0">
        <w:rPr>
          <w:szCs w:val="24"/>
        </w:rPr>
        <w:t xml:space="preserve"> não exista um conceito específico sobre o que é uma empresa familiar, sabe-se que é quando um grupo familiar apresenta uma alta representatividade na estrutura de propriedade das empresas e um alto envolvimento no controle e na gestão </w:t>
      </w:r>
      <w:r>
        <w:rPr>
          <w:szCs w:val="24"/>
        </w:rPr>
        <w:t>organizacional</w:t>
      </w:r>
      <w:r w:rsidRPr="00871AA0">
        <w:rPr>
          <w:szCs w:val="24"/>
        </w:rPr>
        <w:t xml:space="preserve"> (</w:t>
      </w:r>
      <w:proofErr w:type="spellStart"/>
      <w:r w:rsidRPr="00871AA0">
        <w:rPr>
          <w:szCs w:val="24"/>
        </w:rPr>
        <w:t>Berrone</w:t>
      </w:r>
      <w:proofErr w:type="spellEnd"/>
      <w:r>
        <w:rPr>
          <w:szCs w:val="24"/>
        </w:rPr>
        <w:t>,</w:t>
      </w:r>
      <w:r w:rsidRPr="00871AA0">
        <w:rPr>
          <w:szCs w:val="24"/>
        </w:rPr>
        <w:t xml:space="preserve"> Cruz</w:t>
      </w:r>
      <w:r>
        <w:rPr>
          <w:szCs w:val="24"/>
        </w:rPr>
        <w:t xml:space="preserve"> &amp;</w:t>
      </w:r>
      <w:r w:rsidRPr="00871AA0">
        <w:rPr>
          <w:szCs w:val="24"/>
        </w:rPr>
        <w:t xml:space="preserve"> Gomez-</w:t>
      </w:r>
      <w:proofErr w:type="spellStart"/>
      <w:r w:rsidRPr="00871AA0">
        <w:rPr>
          <w:szCs w:val="24"/>
        </w:rPr>
        <w:t>Mejia</w:t>
      </w:r>
      <w:proofErr w:type="spellEnd"/>
      <w:r w:rsidRPr="00871AA0">
        <w:rPr>
          <w:szCs w:val="24"/>
        </w:rPr>
        <w:t xml:space="preserve">, 2012; </w:t>
      </w:r>
      <w:proofErr w:type="spellStart"/>
      <w:r w:rsidR="004F49A4" w:rsidRPr="00091E51">
        <w:rPr>
          <w:szCs w:val="24"/>
        </w:rPr>
        <w:t>Chua</w:t>
      </w:r>
      <w:proofErr w:type="spellEnd"/>
      <w:r w:rsidR="004F49A4">
        <w:rPr>
          <w:szCs w:val="24"/>
        </w:rPr>
        <w:t xml:space="preserve">, </w:t>
      </w:r>
      <w:proofErr w:type="spellStart"/>
      <w:r w:rsidR="004F49A4" w:rsidRPr="00562E9C">
        <w:rPr>
          <w:szCs w:val="24"/>
          <w:shd w:val="clear" w:color="auto" w:fill="FFFFFF"/>
        </w:rPr>
        <w:t>Chrisman</w:t>
      </w:r>
      <w:proofErr w:type="spellEnd"/>
      <w:r w:rsidR="004F49A4" w:rsidRPr="0040366E">
        <w:rPr>
          <w:szCs w:val="24"/>
          <w:shd w:val="clear" w:color="auto" w:fill="FFFFFF"/>
        </w:rPr>
        <w:t xml:space="preserve">, &amp; </w:t>
      </w:r>
      <w:proofErr w:type="spellStart"/>
      <w:r w:rsidR="004F49A4" w:rsidRPr="0040366E">
        <w:rPr>
          <w:szCs w:val="24"/>
          <w:shd w:val="clear" w:color="auto" w:fill="FFFFFF"/>
        </w:rPr>
        <w:t>Sharma</w:t>
      </w:r>
      <w:proofErr w:type="spellEnd"/>
      <w:r w:rsidRPr="00871AA0">
        <w:rPr>
          <w:szCs w:val="24"/>
        </w:rPr>
        <w:t xml:space="preserve">, 1999). Com isso, as empresas familiares têm um maior alinhamento entre </w:t>
      </w:r>
      <w:r>
        <w:rPr>
          <w:szCs w:val="24"/>
        </w:rPr>
        <w:t xml:space="preserve">o </w:t>
      </w:r>
      <w:r w:rsidRPr="00871AA0">
        <w:rPr>
          <w:szCs w:val="24"/>
        </w:rPr>
        <w:t xml:space="preserve">principal e </w:t>
      </w:r>
      <w:r>
        <w:rPr>
          <w:szCs w:val="24"/>
        </w:rPr>
        <w:t xml:space="preserve">o </w:t>
      </w:r>
      <w:r w:rsidRPr="00871AA0">
        <w:rPr>
          <w:szCs w:val="24"/>
        </w:rPr>
        <w:t>agente,</w:t>
      </w:r>
      <w:r w:rsidR="006C0F83">
        <w:rPr>
          <w:szCs w:val="24"/>
        </w:rPr>
        <w:t xml:space="preserve"> e,</w:t>
      </w:r>
      <w:r w:rsidRPr="00871AA0">
        <w:rPr>
          <w:szCs w:val="24"/>
        </w:rPr>
        <w:t xml:space="preserve"> portanto</w:t>
      </w:r>
      <w:r w:rsidR="006C0F83">
        <w:rPr>
          <w:szCs w:val="24"/>
        </w:rPr>
        <w:t>,</w:t>
      </w:r>
      <w:r w:rsidRPr="00871AA0">
        <w:rPr>
          <w:szCs w:val="24"/>
        </w:rPr>
        <w:t xml:space="preserve"> menores conflitos de interesse (Chen</w:t>
      </w:r>
      <w:r>
        <w:rPr>
          <w:szCs w:val="24"/>
        </w:rPr>
        <w:t xml:space="preserve">, Chen, </w:t>
      </w:r>
      <w:proofErr w:type="spellStart"/>
      <w:r>
        <w:rPr>
          <w:szCs w:val="24"/>
        </w:rPr>
        <w:t>Cheng</w:t>
      </w:r>
      <w:proofErr w:type="spellEnd"/>
      <w:r w:rsidRPr="00B035A4">
        <w:rPr>
          <w:szCs w:val="24"/>
        </w:rPr>
        <w:t xml:space="preserve"> &amp; </w:t>
      </w:r>
      <w:proofErr w:type="spellStart"/>
      <w:r w:rsidRPr="00A573DC">
        <w:rPr>
          <w:szCs w:val="24"/>
        </w:rPr>
        <w:t>Shevlin</w:t>
      </w:r>
      <w:proofErr w:type="spellEnd"/>
      <w:r w:rsidRPr="00B035A4">
        <w:rPr>
          <w:szCs w:val="24"/>
        </w:rPr>
        <w:t>,</w:t>
      </w:r>
      <w:r w:rsidRPr="00A573DC">
        <w:rPr>
          <w:szCs w:val="24"/>
        </w:rPr>
        <w:t xml:space="preserve"> </w:t>
      </w:r>
      <w:r w:rsidRPr="00B035A4">
        <w:rPr>
          <w:szCs w:val="24"/>
        </w:rPr>
        <w:t>2010</w:t>
      </w:r>
      <w:r w:rsidRPr="00871AA0">
        <w:rPr>
          <w:szCs w:val="24"/>
        </w:rPr>
        <w:t xml:space="preserve">; </w:t>
      </w:r>
      <w:proofErr w:type="spellStart"/>
      <w:r w:rsidRPr="006627EE">
        <w:rPr>
          <w:szCs w:val="24"/>
        </w:rPr>
        <w:t>Bouzgarrou</w:t>
      </w:r>
      <w:proofErr w:type="spellEnd"/>
      <w:r w:rsidRPr="006627EE">
        <w:rPr>
          <w:szCs w:val="24"/>
        </w:rPr>
        <w:t xml:space="preserve"> &amp; </w:t>
      </w:r>
      <w:proofErr w:type="spellStart"/>
      <w:r w:rsidRPr="006627EE">
        <w:rPr>
          <w:szCs w:val="24"/>
        </w:rPr>
        <w:t>Navatte</w:t>
      </w:r>
      <w:proofErr w:type="spellEnd"/>
      <w:r w:rsidRPr="006627EE">
        <w:rPr>
          <w:szCs w:val="24"/>
        </w:rPr>
        <w:t>, 2013</w:t>
      </w:r>
      <w:r w:rsidRPr="00871AA0">
        <w:rPr>
          <w:szCs w:val="24"/>
        </w:rPr>
        <w:t>).</w:t>
      </w:r>
      <w:r w:rsidRPr="00091E51">
        <w:rPr>
          <w:szCs w:val="24"/>
        </w:rPr>
        <w:t xml:space="preserve"> </w:t>
      </w:r>
    </w:p>
    <w:p w:rsidR="00F572FB" w:rsidRDefault="00C90573" w:rsidP="00C90573">
      <w:pPr>
        <w:rPr>
          <w:szCs w:val="24"/>
        </w:rPr>
      </w:pPr>
      <w:r w:rsidRPr="00091E51">
        <w:rPr>
          <w:szCs w:val="24"/>
        </w:rPr>
        <w:t>Ali, Chen</w:t>
      </w:r>
      <w:r>
        <w:rPr>
          <w:szCs w:val="24"/>
        </w:rPr>
        <w:t xml:space="preserve"> e </w:t>
      </w:r>
      <w:proofErr w:type="spellStart"/>
      <w:r w:rsidRPr="00091E51">
        <w:rPr>
          <w:szCs w:val="24"/>
        </w:rPr>
        <w:t>Radhakrishnan</w:t>
      </w:r>
      <w:proofErr w:type="spellEnd"/>
      <w:r w:rsidRPr="00091E51">
        <w:rPr>
          <w:szCs w:val="24"/>
        </w:rPr>
        <w:t xml:space="preserve"> (2007) utilizam três razões para elucidar a maior probabilidade de administradores</w:t>
      </w:r>
      <w:r>
        <w:rPr>
          <w:szCs w:val="24"/>
        </w:rPr>
        <w:t xml:space="preserve"> </w:t>
      </w:r>
      <w:r w:rsidRPr="00091E51">
        <w:rPr>
          <w:szCs w:val="24"/>
        </w:rPr>
        <w:t xml:space="preserve">agirem conforme os melhores interesses dos acionistas em empresas familiares. Primeiro, por terem um grande capital empregado na empresa, os acionistas </w:t>
      </w:r>
      <w:r w:rsidRPr="00091E51">
        <w:rPr>
          <w:szCs w:val="24"/>
        </w:rPr>
        <w:lastRenderedPageBreak/>
        <w:t xml:space="preserve">têm fortes motivos para monitorar os gestores. Segundo, pelo bom conhecimento da família das atividades de suas empresas, já que ela </w:t>
      </w:r>
      <w:r>
        <w:rPr>
          <w:szCs w:val="24"/>
        </w:rPr>
        <w:t>é</w:t>
      </w:r>
      <w:r w:rsidRPr="00091E51">
        <w:rPr>
          <w:szCs w:val="24"/>
        </w:rPr>
        <w:t>, normalmente, a fundadora da empresa</w:t>
      </w:r>
      <w:r>
        <w:rPr>
          <w:szCs w:val="24"/>
        </w:rPr>
        <w:t xml:space="preserve"> e conhece o negócio</w:t>
      </w:r>
      <w:r w:rsidRPr="00091E51">
        <w:rPr>
          <w:szCs w:val="24"/>
        </w:rPr>
        <w:t xml:space="preserve">. Em terceiro lugar, os acionistas familiares tendem a ter horizontes de investimento mais longos em comparação </w:t>
      </w:r>
      <w:r>
        <w:rPr>
          <w:szCs w:val="24"/>
        </w:rPr>
        <w:t>aos</w:t>
      </w:r>
      <w:r w:rsidRPr="00091E51">
        <w:rPr>
          <w:szCs w:val="24"/>
        </w:rPr>
        <w:t xml:space="preserve"> outros acionistas</w:t>
      </w:r>
      <w:r>
        <w:rPr>
          <w:szCs w:val="24"/>
        </w:rPr>
        <w:t>, já que há a ideia de sucessão da empresa para as próximas gerações.</w:t>
      </w:r>
      <w:r w:rsidRPr="00091E51">
        <w:rPr>
          <w:szCs w:val="24"/>
        </w:rPr>
        <w:t xml:space="preserve"> </w:t>
      </w:r>
    </w:p>
    <w:p w:rsidR="00C90573" w:rsidRPr="00592CF6" w:rsidRDefault="00C90573" w:rsidP="00C90573">
      <w:pPr>
        <w:rPr>
          <w:szCs w:val="24"/>
        </w:rPr>
      </w:pPr>
      <w:r w:rsidRPr="00663785">
        <w:rPr>
          <w:szCs w:val="24"/>
        </w:rPr>
        <w:t xml:space="preserve">Assim, dadas </w:t>
      </w:r>
      <w:r w:rsidR="000C7FD7" w:rsidRPr="00663785">
        <w:rPr>
          <w:szCs w:val="24"/>
        </w:rPr>
        <w:t>às</w:t>
      </w:r>
      <w:r w:rsidRPr="00663785">
        <w:rPr>
          <w:szCs w:val="24"/>
        </w:rPr>
        <w:t xml:space="preserve"> características específicas das empresas familiares, </w:t>
      </w:r>
      <w:r w:rsidRPr="00592CF6">
        <w:rPr>
          <w:szCs w:val="24"/>
        </w:rPr>
        <w:t>acredita-se que as decisões de investimentos, incluin</w:t>
      </w:r>
      <w:r w:rsidR="001B5439">
        <w:rPr>
          <w:szCs w:val="24"/>
        </w:rPr>
        <w:t>do aquisições corporativas, dife</w:t>
      </w:r>
      <w:r w:rsidR="001B5439" w:rsidRPr="00592CF6">
        <w:rPr>
          <w:szCs w:val="24"/>
        </w:rPr>
        <w:t>rem</w:t>
      </w:r>
      <w:r w:rsidRPr="00592CF6">
        <w:rPr>
          <w:szCs w:val="24"/>
        </w:rPr>
        <w:t xml:space="preserve"> das empresas não familiares, principalmente pela mitigação das motivações gerenciais. Já que, os laços familiares dentro das empresas podem criar uma cultura de compromisso, altruísmo e lealdade que favorece os executivos a tomarem decisões com foco nos interesses da empresa, e não </w:t>
      </w:r>
      <w:r>
        <w:rPr>
          <w:szCs w:val="24"/>
        </w:rPr>
        <w:t>em</w:t>
      </w:r>
      <w:r w:rsidRPr="00592CF6">
        <w:rPr>
          <w:szCs w:val="24"/>
        </w:rPr>
        <w:t xml:space="preserve"> seus </w:t>
      </w:r>
      <w:r w:rsidR="001B5439">
        <w:rPr>
          <w:szCs w:val="24"/>
        </w:rPr>
        <w:t xml:space="preserve">interesses </w:t>
      </w:r>
      <w:r w:rsidRPr="00592CF6">
        <w:rPr>
          <w:szCs w:val="24"/>
        </w:rPr>
        <w:t xml:space="preserve">(Chen &amp; </w:t>
      </w:r>
      <w:proofErr w:type="spellStart"/>
      <w:r w:rsidRPr="00592CF6">
        <w:rPr>
          <w:szCs w:val="24"/>
        </w:rPr>
        <w:t>Hsu</w:t>
      </w:r>
      <w:proofErr w:type="spellEnd"/>
      <w:r w:rsidRPr="00592CF6">
        <w:rPr>
          <w:szCs w:val="24"/>
        </w:rPr>
        <w:t xml:space="preserve">, 2009). </w:t>
      </w:r>
    </w:p>
    <w:p w:rsidR="00C90573" w:rsidRDefault="001B5439" w:rsidP="001B5439">
      <w:pPr>
        <w:rPr>
          <w:szCs w:val="24"/>
        </w:rPr>
      </w:pPr>
      <w:r>
        <w:rPr>
          <w:szCs w:val="24"/>
        </w:rPr>
        <w:t>N</w:t>
      </w:r>
      <w:r w:rsidR="00C90573" w:rsidRPr="00592CF6">
        <w:rPr>
          <w:szCs w:val="24"/>
        </w:rPr>
        <w:t>o cenário internacional</w:t>
      </w:r>
      <w:r>
        <w:rPr>
          <w:szCs w:val="24"/>
        </w:rPr>
        <w:t>, pesquisas</w:t>
      </w:r>
      <w:r w:rsidR="00C90573" w:rsidRPr="00592CF6">
        <w:rPr>
          <w:szCs w:val="24"/>
        </w:rPr>
        <w:t xml:space="preserve"> se dedicaram a investigar as diferenças entre empresas familiares e não familiares relacionadas à atividade de aquisições corporativas. Os trabalhos se concentram nos </w:t>
      </w:r>
      <w:r>
        <w:rPr>
          <w:szCs w:val="24"/>
        </w:rPr>
        <w:t>assuntos de propensão, processo</w:t>
      </w:r>
      <w:r w:rsidR="00C90573" w:rsidRPr="00592CF6">
        <w:rPr>
          <w:szCs w:val="24"/>
        </w:rPr>
        <w:t xml:space="preserve"> e desempenho de aquisições.</w:t>
      </w:r>
      <w:r>
        <w:rPr>
          <w:szCs w:val="24"/>
        </w:rPr>
        <w:t xml:space="preserve"> </w:t>
      </w:r>
      <w:r w:rsidR="00C90573" w:rsidRPr="00592CF6">
        <w:rPr>
          <w:szCs w:val="24"/>
        </w:rPr>
        <w:t>Os trabalhos que analisam a propensão examinam a probabilidade ou os fatores que influenciam a probabilidade de as empresas se envolverem em aquisições. A grande maioria dos estudos dest</w:t>
      </w:r>
      <w:r>
        <w:rPr>
          <w:szCs w:val="24"/>
        </w:rPr>
        <w:t>a categoria encontrou</w:t>
      </w:r>
      <w:r w:rsidR="00C90573" w:rsidRPr="00592CF6">
        <w:rPr>
          <w:szCs w:val="24"/>
        </w:rPr>
        <w:t xml:space="preserve"> que empresas familiares tendem a se envolver </w:t>
      </w:r>
      <w:r w:rsidR="00C90573">
        <w:rPr>
          <w:szCs w:val="24"/>
        </w:rPr>
        <w:t>n</w:t>
      </w:r>
      <w:r w:rsidR="00C90573" w:rsidRPr="00592CF6">
        <w:rPr>
          <w:szCs w:val="24"/>
        </w:rPr>
        <w:t xml:space="preserve">um menor número de aquisições quando comparadas </w:t>
      </w:r>
      <w:r w:rsidR="00C90573">
        <w:rPr>
          <w:szCs w:val="24"/>
        </w:rPr>
        <w:t>às</w:t>
      </w:r>
      <w:r w:rsidR="00C90573" w:rsidRPr="00592CF6">
        <w:rPr>
          <w:szCs w:val="24"/>
        </w:rPr>
        <w:t xml:space="preserve"> não familiares (</w:t>
      </w:r>
      <w:proofErr w:type="spellStart"/>
      <w:r w:rsidR="00C90573" w:rsidRPr="00592CF6">
        <w:rPr>
          <w:szCs w:val="24"/>
        </w:rPr>
        <w:t>Bauguess</w:t>
      </w:r>
      <w:proofErr w:type="spellEnd"/>
      <w:r w:rsidR="00C90573">
        <w:rPr>
          <w:szCs w:val="24"/>
        </w:rPr>
        <w:t xml:space="preserve"> &amp;</w:t>
      </w:r>
      <w:r w:rsidR="00C90573" w:rsidRPr="00592CF6">
        <w:rPr>
          <w:szCs w:val="24"/>
        </w:rPr>
        <w:t xml:space="preserve"> </w:t>
      </w:r>
      <w:proofErr w:type="spellStart"/>
      <w:r w:rsidR="00C90573" w:rsidRPr="00592CF6">
        <w:rPr>
          <w:szCs w:val="24"/>
        </w:rPr>
        <w:t>Stegemoller</w:t>
      </w:r>
      <w:proofErr w:type="spellEnd"/>
      <w:r w:rsidR="00C90573" w:rsidRPr="00592CF6">
        <w:rPr>
          <w:szCs w:val="24"/>
        </w:rPr>
        <w:t>, 2008; Caprio</w:t>
      </w:r>
      <w:r w:rsidR="00C90573">
        <w:rPr>
          <w:szCs w:val="24"/>
        </w:rPr>
        <w:t xml:space="preserve">, </w:t>
      </w:r>
      <w:proofErr w:type="spellStart"/>
      <w:r w:rsidR="00C90573" w:rsidRPr="00F94ADD">
        <w:rPr>
          <w:szCs w:val="24"/>
          <w:shd w:val="clear" w:color="auto" w:fill="FFFFFF"/>
        </w:rPr>
        <w:t>Croci</w:t>
      </w:r>
      <w:proofErr w:type="spellEnd"/>
      <w:r w:rsidR="00C90573">
        <w:rPr>
          <w:szCs w:val="24"/>
          <w:shd w:val="clear" w:color="auto" w:fill="FFFFFF"/>
        </w:rPr>
        <w:t>, &amp;</w:t>
      </w:r>
      <w:r w:rsidR="00C90573" w:rsidRPr="00F94ADD">
        <w:rPr>
          <w:szCs w:val="24"/>
          <w:shd w:val="clear" w:color="auto" w:fill="FFFFFF"/>
        </w:rPr>
        <w:t xml:space="preserve"> Del </w:t>
      </w:r>
      <w:proofErr w:type="spellStart"/>
      <w:r w:rsidR="00C90573" w:rsidRPr="00F94ADD">
        <w:rPr>
          <w:szCs w:val="24"/>
          <w:shd w:val="clear" w:color="auto" w:fill="FFFFFF"/>
        </w:rPr>
        <w:t>Giudice</w:t>
      </w:r>
      <w:proofErr w:type="spellEnd"/>
      <w:r w:rsidR="00C90573" w:rsidRPr="00592CF6">
        <w:rPr>
          <w:szCs w:val="24"/>
        </w:rPr>
        <w:t xml:space="preserve">, 2011; </w:t>
      </w:r>
      <w:proofErr w:type="spellStart"/>
      <w:r w:rsidR="00C90573" w:rsidRPr="00592CF6">
        <w:rPr>
          <w:szCs w:val="24"/>
        </w:rPr>
        <w:t>Shim</w:t>
      </w:r>
      <w:proofErr w:type="spellEnd"/>
      <w:r w:rsidR="00C90573">
        <w:rPr>
          <w:szCs w:val="24"/>
        </w:rPr>
        <w:t xml:space="preserve"> &amp; </w:t>
      </w:r>
      <w:proofErr w:type="spellStart"/>
      <w:r w:rsidR="00C90573" w:rsidRPr="00592CF6">
        <w:rPr>
          <w:szCs w:val="24"/>
        </w:rPr>
        <w:t>Okamuro</w:t>
      </w:r>
      <w:proofErr w:type="spellEnd"/>
      <w:r w:rsidR="00C90573" w:rsidRPr="00592CF6">
        <w:rPr>
          <w:szCs w:val="24"/>
        </w:rPr>
        <w:t>, 2011).</w:t>
      </w:r>
    </w:p>
    <w:p w:rsidR="00C90573" w:rsidRPr="00592CF6" w:rsidRDefault="00C90573" w:rsidP="00C90573">
      <w:pPr>
        <w:autoSpaceDE w:val="0"/>
        <w:autoSpaceDN w:val="0"/>
        <w:adjustRightInd w:val="0"/>
        <w:rPr>
          <w:szCs w:val="24"/>
        </w:rPr>
      </w:pPr>
      <w:r w:rsidRPr="00592CF6">
        <w:rPr>
          <w:szCs w:val="24"/>
        </w:rPr>
        <w:t>Tais resultado</w:t>
      </w:r>
      <w:r>
        <w:rPr>
          <w:szCs w:val="24"/>
        </w:rPr>
        <w:t>s</w:t>
      </w:r>
      <w:r w:rsidRPr="00592CF6">
        <w:rPr>
          <w:szCs w:val="24"/>
        </w:rPr>
        <w:t xml:space="preserve"> estão relacionados à maior aversão de risco das empresas familiares, às preferências por crescimento interno e às preferências por outros objetivos, tal como</w:t>
      </w:r>
      <w:r>
        <w:rPr>
          <w:szCs w:val="24"/>
        </w:rPr>
        <w:t xml:space="preserve"> </w:t>
      </w:r>
      <w:r w:rsidRPr="00592CF6">
        <w:rPr>
          <w:szCs w:val="24"/>
        </w:rPr>
        <w:t xml:space="preserve">a manutenção da riqueza nas mãos da família. Utilizando estes mesmos argumentos, a literatura também demonstrou que as empresas familiares tendem a preferir aquisições domésticas às </w:t>
      </w:r>
      <w:proofErr w:type="spellStart"/>
      <w:r w:rsidRPr="00592CF6">
        <w:rPr>
          <w:szCs w:val="24"/>
        </w:rPr>
        <w:t>transfronteiriças</w:t>
      </w:r>
      <w:proofErr w:type="spellEnd"/>
      <w:r w:rsidRPr="00592CF6">
        <w:rPr>
          <w:szCs w:val="24"/>
        </w:rPr>
        <w:t xml:space="preserve"> (Chen</w:t>
      </w:r>
      <w:r>
        <w:rPr>
          <w:szCs w:val="24"/>
        </w:rPr>
        <w:t xml:space="preserve"> &amp; </w:t>
      </w:r>
      <w:proofErr w:type="spellStart"/>
      <w:r>
        <w:rPr>
          <w:szCs w:val="24"/>
        </w:rPr>
        <w:t>Hsu</w:t>
      </w:r>
      <w:proofErr w:type="spellEnd"/>
      <w:r>
        <w:rPr>
          <w:szCs w:val="24"/>
        </w:rPr>
        <w:t>,</w:t>
      </w:r>
      <w:r w:rsidRPr="00592CF6">
        <w:rPr>
          <w:szCs w:val="24"/>
        </w:rPr>
        <w:t xml:space="preserve"> 2009).</w:t>
      </w:r>
    </w:p>
    <w:p w:rsidR="00C90573" w:rsidRPr="00041020" w:rsidRDefault="00C90573" w:rsidP="004351B3">
      <w:pPr>
        <w:autoSpaceDE w:val="0"/>
        <w:autoSpaceDN w:val="0"/>
        <w:adjustRightInd w:val="0"/>
        <w:rPr>
          <w:szCs w:val="24"/>
        </w:rPr>
      </w:pPr>
      <w:r w:rsidRPr="00592CF6">
        <w:rPr>
          <w:szCs w:val="24"/>
        </w:rPr>
        <w:t>Os trabalhos que analisam o processo de aquisição focam em como a natureza e a diferença cultural entre es</w:t>
      </w:r>
      <w:r>
        <w:rPr>
          <w:szCs w:val="24"/>
        </w:rPr>
        <w:t>t</w:t>
      </w:r>
      <w:r w:rsidRPr="00592CF6">
        <w:rPr>
          <w:szCs w:val="24"/>
        </w:rPr>
        <w:t>es dois tipos de estrutura de propriedade (familiar e não familiar) influenciam as aquisições. De forma geral, os trabalhos são estudos de caso, e não há como generalizar seus resultados (</w:t>
      </w:r>
      <w:proofErr w:type="spellStart"/>
      <w:r w:rsidRPr="00592CF6">
        <w:rPr>
          <w:szCs w:val="24"/>
        </w:rPr>
        <w:t>Bjursell</w:t>
      </w:r>
      <w:proofErr w:type="spellEnd"/>
      <w:r w:rsidRPr="00592CF6">
        <w:rPr>
          <w:szCs w:val="24"/>
        </w:rPr>
        <w:t>, 2011</w:t>
      </w:r>
      <w:r>
        <w:rPr>
          <w:szCs w:val="24"/>
        </w:rPr>
        <w:t xml:space="preserve">; </w:t>
      </w:r>
      <w:proofErr w:type="spellStart"/>
      <w:r w:rsidRPr="00592CF6">
        <w:rPr>
          <w:szCs w:val="24"/>
        </w:rPr>
        <w:t>Mickelson</w:t>
      </w:r>
      <w:proofErr w:type="spellEnd"/>
      <w:r>
        <w:rPr>
          <w:szCs w:val="24"/>
        </w:rPr>
        <w:t xml:space="preserve"> &amp;</w:t>
      </w:r>
      <w:r w:rsidRPr="00592CF6">
        <w:rPr>
          <w:szCs w:val="24"/>
        </w:rPr>
        <w:t xml:space="preserve"> </w:t>
      </w:r>
      <w:proofErr w:type="spellStart"/>
      <w:r w:rsidRPr="00592CF6">
        <w:rPr>
          <w:szCs w:val="24"/>
        </w:rPr>
        <w:t>Worley</w:t>
      </w:r>
      <w:proofErr w:type="spellEnd"/>
      <w:r w:rsidRPr="00592CF6">
        <w:rPr>
          <w:szCs w:val="24"/>
        </w:rPr>
        <w:t xml:space="preserve">, 2003). </w:t>
      </w:r>
      <w:r w:rsidRPr="00041020">
        <w:rPr>
          <w:szCs w:val="24"/>
        </w:rPr>
        <w:t xml:space="preserve">Por fim, os trabalhos que analisam desempenho se concentram em comparar a criação de valor de empresas familiares e não familiares em aquisições. Em </w:t>
      </w:r>
      <w:r w:rsidR="004351B3">
        <w:rPr>
          <w:szCs w:val="24"/>
        </w:rPr>
        <w:t>regra</w:t>
      </w:r>
      <w:r w:rsidRPr="00041020">
        <w:rPr>
          <w:szCs w:val="24"/>
        </w:rPr>
        <w:t xml:space="preserve">, </w:t>
      </w:r>
      <w:r w:rsidR="006047A8">
        <w:rPr>
          <w:szCs w:val="24"/>
        </w:rPr>
        <w:t xml:space="preserve">como mostra a próxima secção, </w:t>
      </w:r>
      <w:r w:rsidRPr="00041020">
        <w:rPr>
          <w:szCs w:val="24"/>
        </w:rPr>
        <w:t xml:space="preserve">os trabalhos encontraram um melhor desempenho nas empresas familiares, devido ao melhor alinhamento de interesses por parte dos executivos. </w:t>
      </w:r>
    </w:p>
    <w:p w:rsidR="00C90573" w:rsidRPr="00E614B2" w:rsidRDefault="00C90573" w:rsidP="00FF27E0">
      <w:pPr>
        <w:tabs>
          <w:tab w:val="left" w:pos="709"/>
        </w:tabs>
        <w:rPr>
          <w:b/>
          <w:sz w:val="20"/>
        </w:rPr>
      </w:pPr>
    </w:p>
    <w:p w:rsidR="008E5873" w:rsidRPr="008E5873" w:rsidRDefault="008E5873" w:rsidP="00115A39">
      <w:pPr>
        <w:pStyle w:val="PargrafodaLista"/>
        <w:numPr>
          <w:ilvl w:val="2"/>
          <w:numId w:val="13"/>
        </w:numPr>
        <w:tabs>
          <w:tab w:val="left" w:pos="709"/>
        </w:tabs>
        <w:spacing w:after="0" w:line="240" w:lineRule="auto"/>
        <w:ind w:left="0" w:firstLine="0"/>
        <w:jc w:val="both"/>
        <w:rPr>
          <w:rFonts w:ascii="Times New Roman" w:hAnsi="Times New Roman" w:cs="Times New Roman"/>
          <w:b/>
          <w:sz w:val="24"/>
          <w:szCs w:val="24"/>
        </w:rPr>
      </w:pPr>
      <w:r w:rsidRPr="008E5873">
        <w:rPr>
          <w:rFonts w:ascii="Times New Roman" w:hAnsi="Times New Roman" w:cs="Times New Roman"/>
          <w:b/>
          <w:sz w:val="24"/>
          <w:szCs w:val="24"/>
        </w:rPr>
        <w:t>Desempenho das Aquisições Corporativas</w:t>
      </w:r>
    </w:p>
    <w:p w:rsidR="00374825" w:rsidRPr="00E614B2" w:rsidRDefault="00374825" w:rsidP="00FF27E0">
      <w:pPr>
        <w:rPr>
          <w:sz w:val="20"/>
        </w:rPr>
      </w:pPr>
    </w:p>
    <w:p w:rsidR="00957E8B" w:rsidRPr="00A266B3" w:rsidRDefault="00957E8B" w:rsidP="00A266B3">
      <w:pPr>
        <w:rPr>
          <w:szCs w:val="24"/>
        </w:rPr>
      </w:pPr>
      <w:r w:rsidRPr="00A266B3">
        <w:rPr>
          <w:szCs w:val="24"/>
        </w:rPr>
        <w:t xml:space="preserve">A discussão sobre o desempenho de atividades de aquisições é um tema ainda longe de </w:t>
      </w:r>
      <w:r w:rsidR="004351B3">
        <w:rPr>
          <w:szCs w:val="24"/>
        </w:rPr>
        <w:t>um</w:t>
      </w:r>
      <w:r w:rsidRPr="00A266B3">
        <w:rPr>
          <w:szCs w:val="24"/>
        </w:rPr>
        <w:t xml:space="preserve"> consenso. Uma das principais obras sobre o tema, de Jensen e </w:t>
      </w:r>
      <w:proofErr w:type="spellStart"/>
      <w:r w:rsidRPr="00A266B3">
        <w:rPr>
          <w:szCs w:val="24"/>
        </w:rPr>
        <w:t>Ruback</w:t>
      </w:r>
      <w:proofErr w:type="spellEnd"/>
      <w:r w:rsidRPr="00A266B3">
        <w:rPr>
          <w:szCs w:val="24"/>
        </w:rPr>
        <w:t xml:space="preserve"> (1983), constatou que </w:t>
      </w:r>
      <w:r w:rsidR="004351B3">
        <w:rPr>
          <w:szCs w:val="24"/>
        </w:rPr>
        <w:t xml:space="preserve">as </w:t>
      </w:r>
      <w:r w:rsidRPr="00A266B3">
        <w:rPr>
          <w:szCs w:val="24"/>
        </w:rPr>
        <w:t>aquisições criam valor econômico para os acionistas das empresas adquiridas, por meio da oportunidade de utilizarem recursos específicos que só poderiam ser obtidos por tais operações, porém não criam para os acionistas das empresas adquirentes. Há uma corrente na literatura que argumenta que muitas aquisições, além de não criarem, destroem valor para os acionistas das empresas adquirentes (</w:t>
      </w:r>
      <w:proofErr w:type="spellStart"/>
      <w:r w:rsidR="000316A1" w:rsidRPr="00A266B3">
        <w:rPr>
          <w:szCs w:val="24"/>
        </w:rPr>
        <w:t>Moeller</w:t>
      </w:r>
      <w:proofErr w:type="spellEnd"/>
      <w:r w:rsidR="000316A1" w:rsidRPr="00A266B3">
        <w:rPr>
          <w:szCs w:val="24"/>
        </w:rPr>
        <w:t xml:space="preserve">, </w:t>
      </w:r>
      <w:proofErr w:type="spellStart"/>
      <w:r w:rsidR="000316A1" w:rsidRPr="00A266B3">
        <w:rPr>
          <w:szCs w:val="24"/>
        </w:rPr>
        <w:t>Schlingemann</w:t>
      </w:r>
      <w:proofErr w:type="spellEnd"/>
      <w:r w:rsidRPr="00A266B3">
        <w:rPr>
          <w:szCs w:val="24"/>
        </w:rPr>
        <w:t xml:space="preserve"> &amp; </w:t>
      </w:r>
      <w:proofErr w:type="spellStart"/>
      <w:r w:rsidRPr="00A266B3">
        <w:rPr>
          <w:szCs w:val="24"/>
        </w:rPr>
        <w:t>Stulz</w:t>
      </w:r>
      <w:proofErr w:type="spellEnd"/>
      <w:r w:rsidRPr="00A266B3">
        <w:rPr>
          <w:szCs w:val="24"/>
        </w:rPr>
        <w:t>, 2004).</w:t>
      </w:r>
    </w:p>
    <w:p w:rsidR="00957E8B" w:rsidRPr="00A266B3" w:rsidRDefault="00957E8B" w:rsidP="00A266B3">
      <w:pPr>
        <w:rPr>
          <w:szCs w:val="24"/>
        </w:rPr>
      </w:pPr>
      <w:r w:rsidRPr="00A266B3">
        <w:rPr>
          <w:szCs w:val="24"/>
        </w:rPr>
        <w:lastRenderedPageBreak/>
        <w:t xml:space="preserve">Na literatura nacional, os resultados também são divergentes. Por exemplo, </w:t>
      </w:r>
      <w:proofErr w:type="spellStart"/>
      <w:r w:rsidRPr="00A266B3">
        <w:rPr>
          <w:szCs w:val="24"/>
        </w:rPr>
        <w:t>Camargos</w:t>
      </w:r>
      <w:proofErr w:type="spellEnd"/>
      <w:r w:rsidRPr="00A266B3">
        <w:rPr>
          <w:szCs w:val="24"/>
        </w:rPr>
        <w:t xml:space="preserve"> e Barbosa (2005), ut</w:t>
      </w:r>
      <w:r w:rsidR="000316A1" w:rsidRPr="00A266B3">
        <w:rPr>
          <w:szCs w:val="24"/>
        </w:rPr>
        <w:t>ilizando 55 eventos de aquisições</w:t>
      </w:r>
      <w:r w:rsidRPr="00A266B3">
        <w:rPr>
          <w:szCs w:val="24"/>
        </w:rPr>
        <w:t xml:space="preserve"> de empresas bras</w:t>
      </w:r>
      <w:r w:rsidR="004351B3">
        <w:rPr>
          <w:szCs w:val="24"/>
        </w:rPr>
        <w:t>ileiras acontecidas entre 1994-</w:t>
      </w:r>
      <w:r w:rsidRPr="00A266B3">
        <w:rPr>
          <w:szCs w:val="24"/>
        </w:rPr>
        <w:t xml:space="preserve">2002, não encontraram impactos significativos no preço das ações, ou seja, as aquisições não resultaram em ganhos reais para os acionistas. Resultados semelhantes são os </w:t>
      </w:r>
      <w:r w:rsidR="00F52888">
        <w:rPr>
          <w:szCs w:val="24"/>
        </w:rPr>
        <w:t>de</w:t>
      </w:r>
      <w:r w:rsidRPr="00A266B3">
        <w:rPr>
          <w:szCs w:val="24"/>
        </w:rPr>
        <w:t xml:space="preserve"> Brito</w:t>
      </w:r>
      <w:r w:rsidR="002F7121">
        <w:rPr>
          <w:szCs w:val="24"/>
        </w:rPr>
        <w:t xml:space="preserve">, </w:t>
      </w:r>
      <w:proofErr w:type="spellStart"/>
      <w:r w:rsidR="002F7121" w:rsidRPr="00041020">
        <w:rPr>
          <w:szCs w:val="24"/>
          <w:shd w:val="clear" w:color="auto" w:fill="FFFFFF"/>
          <w:lang w:val="en-US"/>
        </w:rPr>
        <w:t>Batistella</w:t>
      </w:r>
      <w:proofErr w:type="spellEnd"/>
      <w:r w:rsidRPr="00A266B3">
        <w:rPr>
          <w:szCs w:val="24"/>
        </w:rPr>
        <w:t xml:space="preserve"> e </w:t>
      </w:r>
      <w:proofErr w:type="spellStart"/>
      <w:r w:rsidRPr="00A266B3">
        <w:rPr>
          <w:szCs w:val="24"/>
        </w:rPr>
        <w:t>Famá</w:t>
      </w:r>
      <w:proofErr w:type="spellEnd"/>
      <w:r w:rsidRPr="00A266B3">
        <w:rPr>
          <w:szCs w:val="24"/>
        </w:rPr>
        <w:t xml:space="preserve"> (2005), que, utilizando 17 eventos de bancos brasileiros </w:t>
      </w:r>
      <w:r w:rsidR="004351B3">
        <w:rPr>
          <w:szCs w:val="24"/>
        </w:rPr>
        <w:t>entre</w:t>
      </w:r>
      <w:r w:rsidRPr="00A266B3">
        <w:rPr>
          <w:szCs w:val="24"/>
        </w:rPr>
        <w:t xml:space="preserve"> 1997</w:t>
      </w:r>
      <w:r w:rsidR="004351B3">
        <w:rPr>
          <w:szCs w:val="24"/>
        </w:rPr>
        <w:t>-</w:t>
      </w:r>
      <w:r w:rsidRPr="00A266B3">
        <w:rPr>
          <w:szCs w:val="24"/>
        </w:rPr>
        <w:t xml:space="preserve">2003, não encontraram evidências de criação de riqueza para os acionistas das empresas adquirentes.  </w:t>
      </w:r>
    </w:p>
    <w:p w:rsidR="00957E8B" w:rsidRPr="00A266B3" w:rsidRDefault="00957E8B" w:rsidP="00A266B3">
      <w:pPr>
        <w:rPr>
          <w:szCs w:val="24"/>
        </w:rPr>
      </w:pPr>
      <w:r w:rsidRPr="00A266B3">
        <w:rPr>
          <w:szCs w:val="24"/>
        </w:rPr>
        <w:t xml:space="preserve">Diferentemente, </w:t>
      </w:r>
      <w:proofErr w:type="spellStart"/>
      <w:r w:rsidRPr="00A266B3">
        <w:rPr>
          <w:szCs w:val="24"/>
        </w:rPr>
        <w:t>Camargos</w:t>
      </w:r>
      <w:proofErr w:type="spellEnd"/>
      <w:r w:rsidRPr="00A266B3">
        <w:rPr>
          <w:szCs w:val="24"/>
        </w:rPr>
        <w:t xml:space="preserve"> e Barbosa (2009), utilizando 72 atividades de aquisições de empresas bras</w:t>
      </w:r>
      <w:r w:rsidR="00F52888">
        <w:rPr>
          <w:szCs w:val="24"/>
        </w:rPr>
        <w:t>ileiras realizadas entre 1996-</w:t>
      </w:r>
      <w:r w:rsidRPr="00A266B3">
        <w:rPr>
          <w:szCs w:val="24"/>
        </w:rPr>
        <w:t>2004, encontraram existência de sinergias operacionais nas aquisições estudadas após a combinação. Adicionalmente, identificaram mudanças significativas e positivas na média de três variáveis utilizadas como sinalizadoras de criação de valor (</w:t>
      </w:r>
      <w:r w:rsidRPr="00F572FB">
        <w:rPr>
          <w:i/>
          <w:szCs w:val="24"/>
        </w:rPr>
        <w:t>Q</w:t>
      </w:r>
      <w:r w:rsidRPr="00A266B3">
        <w:rPr>
          <w:szCs w:val="24"/>
        </w:rPr>
        <w:t xml:space="preserve"> de </w:t>
      </w:r>
      <w:r w:rsidRPr="00F572FB">
        <w:rPr>
          <w:i/>
          <w:szCs w:val="24"/>
        </w:rPr>
        <w:t>Tobin</w:t>
      </w:r>
      <w:r w:rsidRPr="00A266B3">
        <w:rPr>
          <w:szCs w:val="24"/>
        </w:rPr>
        <w:t xml:space="preserve">, Valor Patrimonial e </w:t>
      </w:r>
      <w:proofErr w:type="spellStart"/>
      <w:r w:rsidRPr="00A266B3">
        <w:rPr>
          <w:i/>
          <w:szCs w:val="24"/>
        </w:rPr>
        <w:t>Firm</w:t>
      </w:r>
      <w:proofErr w:type="spellEnd"/>
      <w:r w:rsidRPr="00A266B3">
        <w:rPr>
          <w:i/>
          <w:szCs w:val="24"/>
        </w:rPr>
        <w:t xml:space="preserve"> </w:t>
      </w:r>
      <w:proofErr w:type="spellStart"/>
      <w:r w:rsidRPr="00A266B3">
        <w:rPr>
          <w:i/>
          <w:szCs w:val="24"/>
        </w:rPr>
        <w:t>Value</w:t>
      </w:r>
      <w:proofErr w:type="spellEnd"/>
      <w:r w:rsidRPr="00A266B3">
        <w:rPr>
          <w:szCs w:val="24"/>
        </w:rPr>
        <w:t xml:space="preserve">), o que permitiu concluir que os processos resultaram na criação de valor de mercado e riqueza dos acionistas. </w:t>
      </w:r>
    </w:p>
    <w:p w:rsidR="00957E8B" w:rsidRPr="00A266B3" w:rsidRDefault="00957E8B" w:rsidP="00A266B3">
      <w:pPr>
        <w:rPr>
          <w:szCs w:val="24"/>
        </w:rPr>
      </w:pPr>
      <w:r w:rsidRPr="00A266B3">
        <w:rPr>
          <w:szCs w:val="24"/>
        </w:rPr>
        <w:t xml:space="preserve">A métrica utilizada recorrentemente para medir o desempenho ou a criação de valor das </w:t>
      </w:r>
      <w:r w:rsidR="00F52888">
        <w:rPr>
          <w:szCs w:val="24"/>
        </w:rPr>
        <w:t xml:space="preserve">empresas que efetuaram </w:t>
      </w:r>
      <w:r w:rsidRPr="00A266B3">
        <w:rPr>
          <w:szCs w:val="24"/>
        </w:rPr>
        <w:t xml:space="preserve">aquisições </w:t>
      </w:r>
      <w:r w:rsidR="00F52888">
        <w:rPr>
          <w:szCs w:val="24"/>
        </w:rPr>
        <w:t>é</w:t>
      </w:r>
      <w:r w:rsidRPr="00A266B3">
        <w:rPr>
          <w:szCs w:val="24"/>
        </w:rPr>
        <w:t xml:space="preserve"> a reaç</w:t>
      </w:r>
      <w:r w:rsidR="00F52888">
        <w:rPr>
          <w:szCs w:val="24"/>
        </w:rPr>
        <w:t>ão</w:t>
      </w:r>
      <w:r w:rsidRPr="00A266B3">
        <w:rPr>
          <w:szCs w:val="24"/>
        </w:rPr>
        <w:t xml:space="preserve"> anorma</w:t>
      </w:r>
      <w:r w:rsidR="00F52888">
        <w:rPr>
          <w:szCs w:val="24"/>
        </w:rPr>
        <w:t>l</w:t>
      </w:r>
      <w:r w:rsidRPr="00A266B3">
        <w:rPr>
          <w:szCs w:val="24"/>
        </w:rPr>
        <w:t xml:space="preserve"> do mercado de ações sobre os anúncios da compra. Quando uma empresa anuncia novos investimentos em risco, como é o caso das aquisições, os investidores avaliam o impacto sobre os lucros futuros e a rentabilidade da empresa anunciante, e as subsequentes mudanças nos preços das ações representam as previsões dos investidores sobre suas expectativas, em relação ao valor presente líquido do fluxo de caixa esperado ajustado ao risco da empresa (Wong</w:t>
      </w:r>
      <w:r w:rsidR="00780AC1" w:rsidRPr="00A266B3">
        <w:rPr>
          <w:szCs w:val="24"/>
        </w:rPr>
        <w:t>, Chang &amp; Chen,</w:t>
      </w:r>
      <w:r w:rsidRPr="00A266B3">
        <w:rPr>
          <w:szCs w:val="24"/>
        </w:rPr>
        <w:t xml:space="preserve"> 2010).</w:t>
      </w:r>
    </w:p>
    <w:p w:rsidR="00957E8B" w:rsidRPr="00A266B3" w:rsidRDefault="00957E8B" w:rsidP="00A266B3">
      <w:pPr>
        <w:rPr>
          <w:szCs w:val="24"/>
        </w:rPr>
      </w:pPr>
      <w:r w:rsidRPr="00A266B3">
        <w:rPr>
          <w:szCs w:val="24"/>
        </w:rPr>
        <w:t>Pelo exposto, a literatura sobre o desempenho das aquisições é vasta. No entanto</w:t>
      </w:r>
      <w:r w:rsidR="006709F2" w:rsidRPr="00A266B3">
        <w:rPr>
          <w:szCs w:val="24"/>
        </w:rPr>
        <w:t>,</w:t>
      </w:r>
      <w:r w:rsidRPr="00A266B3">
        <w:rPr>
          <w:szCs w:val="24"/>
        </w:rPr>
        <w:t xml:space="preserve"> poucos trabalhos procuraram controlar os efeitos das diferentes estruturas de propriedade entre empresas (</w:t>
      </w:r>
      <w:proofErr w:type="spellStart"/>
      <w:r w:rsidRPr="00A266B3">
        <w:rPr>
          <w:szCs w:val="24"/>
        </w:rPr>
        <w:t>Yen</w:t>
      </w:r>
      <w:proofErr w:type="spellEnd"/>
      <w:r w:rsidRPr="00A266B3">
        <w:rPr>
          <w:szCs w:val="24"/>
        </w:rPr>
        <w:t xml:space="preserve"> &amp; André, 2007), tratando empresas familiares e não familiares como iguais. As descobertas empíricas recentes, embora ainda limitadas, sugerem que o comportamento destas operações em empresas familiares difere de empresas com outras estruturas de propriedade (Feito-Ruiz &amp; </w:t>
      </w:r>
      <w:proofErr w:type="spellStart"/>
      <w:r w:rsidRPr="00A266B3">
        <w:rPr>
          <w:szCs w:val="24"/>
        </w:rPr>
        <w:t>Menéndez-Requejo</w:t>
      </w:r>
      <w:proofErr w:type="spellEnd"/>
      <w:r w:rsidRPr="00A266B3">
        <w:rPr>
          <w:szCs w:val="24"/>
        </w:rPr>
        <w:t>, 2010). Os motivos que levam a essa disparidade incluem as diferenças nas estruturas de governança</w:t>
      </w:r>
      <w:r w:rsidR="00A0609B">
        <w:rPr>
          <w:szCs w:val="24"/>
        </w:rPr>
        <w:t xml:space="preserve"> e</w:t>
      </w:r>
      <w:r w:rsidRPr="00A266B3">
        <w:rPr>
          <w:szCs w:val="24"/>
        </w:rPr>
        <w:t xml:space="preserve"> nas preferências financeiras e sociais </w:t>
      </w:r>
      <w:r w:rsidR="00A0609B">
        <w:rPr>
          <w:szCs w:val="24"/>
        </w:rPr>
        <w:t>d</w:t>
      </w:r>
      <w:r w:rsidRPr="00A266B3">
        <w:rPr>
          <w:szCs w:val="24"/>
        </w:rPr>
        <w:t>as empresas (</w:t>
      </w:r>
      <w:proofErr w:type="spellStart"/>
      <w:r w:rsidRPr="00A266B3">
        <w:rPr>
          <w:szCs w:val="24"/>
        </w:rPr>
        <w:t>Worek</w:t>
      </w:r>
      <w:proofErr w:type="spellEnd"/>
      <w:r w:rsidRPr="00A266B3">
        <w:rPr>
          <w:szCs w:val="24"/>
        </w:rPr>
        <w:t>, 2017).</w:t>
      </w:r>
    </w:p>
    <w:p w:rsidR="00957E8B" w:rsidRPr="00A266B3" w:rsidRDefault="006709F2" w:rsidP="00A266B3">
      <w:pPr>
        <w:rPr>
          <w:szCs w:val="24"/>
        </w:rPr>
      </w:pPr>
      <w:r w:rsidRPr="00A266B3">
        <w:rPr>
          <w:szCs w:val="24"/>
        </w:rPr>
        <w:t xml:space="preserve">Ao </w:t>
      </w:r>
      <w:r w:rsidR="00A0609B">
        <w:rPr>
          <w:szCs w:val="24"/>
        </w:rPr>
        <w:t xml:space="preserve">se </w:t>
      </w:r>
      <w:r w:rsidRPr="00A266B3">
        <w:rPr>
          <w:szCs w:val="24"/>
        </w:rPr>
        <w:t>comparar</w:t>
      </w:r>
      <w:r w:rsidR="00957E8B" w:rsidRPr="00A266B3">
        <w:rPr>
          <w:szCs w:val="24"/>
        </w:rPr>
        <w:t xml:space="preserve"> empresas familiares com não familiares, aquelas tendem a adotar políticas mais conservadoras em relação a estas. </w:t>
      </w:r>
      <w:r w:rsidRPr="00A266B3">
        <w:rPr>
          <w:szCs w:val="24"/>
        </w:rPr>
        <w:t xml:space="preserve">Caprio, </w:t>
      </w:r>
      <w:proofErr w:type="spellStart"/>
      <w:r w:rsidRPr="00A266B3">
        <w:rPr>
          <w:szCs w:val="24"/>
          <w:shd w:val="clear" w:color="auto" w:fill="FFFFFF"/>
        </w:rPr>
        <w:t>Croci</w:t>
      </w:r>
      <w:proofErr w:type="spellEnd"/>
      <w:r w:rsidRPr="00A266B3">
        <w:rPr>
          <w:szCs w:val="24"/>
          <w:shd w:val="clear" w:color="auto" w:fill="FFFFFF"/>
        </w:rPr>
        <w:t xml:space="preserve"> e Del </w:t>
      </w:r>
      <w:proofErr w:type="spellStart"/>
      <w:r w:rsidRPr="00A266B3">
        <w:rPr>
          <w:szCs w:val="24"/>
          <w:shd w:val="clear" w:color="auto" w:fill="FFFFFF"/>
        </w:rPr>
        <w:t>Giudice</w:t>
      </w:r>
      <w:proofErr w:type="spellEnd"/>
      <w:r w:rsidRPr="00A266B3">
        <w:rPr>
          <w:szCs w:val="24"/>
        </w:rPr>
        <w:t xml:space="preserve"> </w:t>
      </w:r>
      <w:r w:rsidR="00957E8B" w:rsidRPr="00A266B3">
        <w:rPr>
          <w:szCs w:val="24"/>
        </w:rPr>
        <w:t xml:space="preserve">(2011) descobriram que as empresas familiares se engajam </w:t>
      </w:r>
      <w:r w:rsidR="00CB72D6" w:rsidRPr="00A266B3">
        <w:rPr>
          <w:szCs w:val="24"/>
        </w:rPr>
        <w:t>em uma</w:t>
      </w:r>
      <w:r w:rsidR="00957E8B" w:rsidRPr="00A266B3">
        <w:rPr>
          <w:szCs w:val="24"/>
        </w:rPr>
        <w:t xml:space="preserve"> menor quantidade de aquisições do que as empresas não familiares. </w:t>
      </w:r>
      <w:r w:rsidR="00E9592F">
        <w:rPr>
          <w:szCs w:val="24"/>
        </w:rPr>
        <w:t>Tal</w:t>
      </w:r>
      <w:r w:rsidR="00957E8B" w:rsidRPr="00A266B3">
        <w:rPr>
          <w:szCs w:val="24"/>
        </w:rPr>
        <w:t xml:space="preserve"> fato </w:t>
      </w:r>
      <w:r w:rsidR="00E9592F">
        <w:rPr>
          <w:szCs w:val="24"/>
        </w:rPr>
        <w:t>decorre do</w:t>
      </w:r>
      <w:r w:rsidR="00957E8B" w:rsidRPr="00A266B3">
        <w:rPr>
          <w:szCs w:val="24"/>
        </w:rPr>
        <w:t xml:space="preserve"> </w:t>
      </w:r>
      <w:r w:rsidR="00A0609B">
        <w:rPr>
          <w:szCs w:val="24"/>
        </w:rPr>
        <w:t>risco</w:t>
      </w:r>
      <w:r w:rsidR="00957E8B" w:rsidRPr="00A266B3">
        <w:rPr>
          <w:szCs w:val="24"/>
        </w:rPr>
        <w:t xml:space="preserve"> da família de perder o controle da empresa. Assim, só há engajam</w:t>
      </w:r>
      <w:r w:rsidR="00E9592F">
        <w:rPr>
          <w:szCs w:val="24"/>
        </w:rPr>
        <w:t>ento em operações de aquisições</w:t>
      </w:r>
      <w:r w:rsidR="00957E8B" w:rsidRPr="00A266B3">
        <w:rPr>
          <w:szCs w:val="24"/>
        </w:rPr>
        <w:t xml:space="preserve"> quando a expectativa de </w:t>
      </w:r>
      <w:r w:rsidR="00A0609B">
        <w:rPr>
          <w:szCs w:val="24"/>
        </w:rPr>
        <w:t>ganho</w:t>
      </w:r>
      <w:r w:rsidR="00957E8B" w:rsidRPr="00A266B3">
        <w:rPr>
          <w:szCs w:val="24"/>
        </w:rPr>
        <w:t xml:space="preserve"> é suficiente para compensar o risco de perda de controle (</w:t>
      </w:r>
      <w:proofErr w:type="spellStart"/>
      <w:r w:rsidR="00957E8B" w:rsidRPr="00A266B3">
        <w:rPr>
          <w:szCs w:val="24"/>
        </w:rPr>
        <w:t>Bouzgarrou</w:t>
      </w:r>
      <w:proofErr w:type="spellEnd"/>
      <w:r w:rsidR="00957E8B" w:rsidRPr="00A266B3">
        <w:rPr>
          <w:szCs w:val="24"/>
        </w:rPr>
        <w:t xml:space="preserve"> &amp; </w:t>
      </w:r>
      <w:proofErr w:type="spellStart"/>
      <w:r w:rsidR="00957E8B" w:rsidRPr="00A266B3">
        <w:rPr>
          <w:szCs w:val="24"/>
        </w:rPr>
        <w:t>Navatte</w:t>
      </w:r>
      <w:proofErr w:type="spellEnd"/>
      <w:r w:rsidR="00957E8B" w:rsidRPr="00A266B3">
        <w:rPr>
          <w:szCs w:val="24"/>
        </w:rPr>
        <w:t>, 2013).</w:t>
      </w:r>
    </w:p>
    <w:p w:rsidR="00AB5402" w:rsidRDefault="00957E8B" w:rsidP="00A266B3">
      <w:pPr>
        <w:rPr>
          <w:szCs w:val="24"/>
        </w:rPr>
      </w:pPr>
      <w:r w:rsidRPr="00A266B3">
        <w:rPr>
          <w:szCs w:val="24"/>
        </w:rPr>
        <w:t xml:space="preserve">Ben-Amar e André (2006), Feito-Ruiz e </w:t>
      </w:r>
      <w:proofErr w:type="spellStart"/>
      <w:r w:rsidR="00CB72D6" w:rsidRPr="00A266B3">
        <w:rPr>
          <w:szCs w:val="24"/>
        </w:rPr>
        <w:t>Menéndez-Requejo</w:t>
      </w:r>
      <w:proofErr w:type="spellEnd"/>
      <w:r w:rsidR="00CB72D6" w:rsidRPr="00A266B3">
        <w:rPr>
          <w:szCs w:val="24"/>
        </w:rPr>
        <w:t xml:space="preserve"> (2008) e</w:t>
      </w:r>
      <w:r w:rsidRPr="00A266B3">
        <w:rPr>
          <w:szCs w:val="24"/>
        </w:rPr>
        <w:t xml:space="preserve"> </w:t>
      </w:r>
      <w:proofErr w:type="spellStart"/>
      <w:r w:rsidRPr="00A266B3">
        <w:rPr>
          <w:szCs w:val="24"/>
        </w:rPr>
        <w:t>Bouzgarrou</w:t>
      </w:r>
      <w:proofErr w:type="spellEnd"/>
      <w:r w:rsidRPr="00A266B3">
        <w:rPr>
          <w:szCs w:val="24"/>
        </w:rPr>
        <w:t xml:space="preserve"> e </w:t>
      </w:r>
      <w:proofErr w:type="spellStart"/>
      <w:r w:rsidRPr="00A266B3">
        <w:rPr>
          <w:szCs w:val="24"/>
        </w:rPr>
        <w:t>Navatte</w:t>
      </w:r>
      <w:proofErr w:type="spellEnd"/>
      <w:r w:rsidRPr="00A266B3">
        <w:rPr>
          <w:szCs w:val="24"/>
        </w:rPr>
        <w:t xml:space="preserve"> (2013) descobriram que o impacto econômico das aquisições corporativas em empresas familiares supera os impactos em empresas não familiares, no Canadá, na Europa e na França, respectivamente, tanto em curto quanto em longo prazo. Resultados semelhantes</w:t>
      </w:r>
      <w:r w:rsidR="00CB72D6" w:rsidRPr="00A266B3">
        <w:rPr>
          <w:szCs w:val="24"/>
        </w:rPr>
        <w:t xml:space="preserve"> são</w:t>
      </w:r>
      <w:r w:rsidRPr="00A266B3">
        <w:rPr>
          <w:szCs w:val="24"/>
        </w:rPr>
        <w:t xml:space="preserve"> encontrados </w:t>
      </w:r>
      <w:r w:rsidR="00AB5402">
        <w:rPr>
          <w:szCs w:val="24"/>
        </w:rPr>
        <w:t>por</w:t>
      </w:r>
      <w:r w:rsidRPr="00A266B3">
        <w:rPr>
          <w:szCs w:val="24"/>
        </w:rPr>
        <w:t xml:space="preserve"> </w:t>
      </w:r>
      <w:proofErr w:type="spellStart"/>
      <w:r w:rsidR="00896BE2" w:rsidRPr="00A266B3">
        <w:rPr>
          <w:szCs w:val="24"/>
        </w:rPr>
        <w:t>Adhikari</w:t>
      </w:r>
      <w:proofErr w:type="spellEnd"/>
      <w:r w:rsidR="00896BE2" w:rsidRPr="00A266B3">
        <w:rPr>
          <w:szCs w:val="24"/>
        </w:rPr>
        <w:t xml:space="preserve"> e Sutton (2016)</w:t>
      </w:r>
      <w:r w:rsidR="00896BE2">
        <w:rPr>
          <w:szCs w:val="24"/>
        </w:rPr>
        <w:t xml:space="preserve"> e </w:t>
      </w:r>
      <w:r w:rsidR="00AB5402">
        <w:rPr>
          <w:szCs w:val="24"/>
        </w:rPr>
        <w:t>por</w:t>
      </w:r>
      <w:r w:rsidR="00896BE2">
        <w:rPr>
          <w:szCs w:val="24"/>
        </w:rPr>
        <w:t xml:space="preserve"> </w:t>
      </w:r>
      <w:proofErr w:type="spellStart"/>
      <w:r w:rsidRPr="00A266B3">
        <w:rPr>
          <w:szCs w:val="24"/>
        </w:rPr>
        <w:t>Cranickx</w:t>
      </w:r>
      <w:proofErr w:type="spellEnd"/>
      <w:r w:rsidRPr="00A266B3">
        <w:rPr>
          <w:szCs w:val="24"/>
        </w:rPr>
        <w:t xml:space="preserve"> e </w:t>
      </w:r>
      <w:proofErr w:type="spellStart"/>
      <w:r w:rsidRPr="00A266B3">
        <w:rPr>
          <w:szCs w:val="24"/>
        </w:rPr>
        <w:t>Huyghebaert</w:t>
      </w:r>
      <w:proofErr w:type="spellEnd"/>
      <w:r w:rsidRPr="00A266B3">
        <w:rPr>
          <w:szCs w:val="24"/>
        </w:rPr>
        <w:t xml:space="preserve"> (2015)</w:t>
      </w:r>
      <w:r w:rsidR="00AB5402">
        <w:rPr>
          <w:szCs w:val="24"/>
        </w:rPr>
        <w:t>.</w:t>
      </w:r>
    </w:p>
    <w:p w:rsidR="00AB5402" w:rsidRDefault="00957E8B" w:rsidP="00A266B3">
      <w:pPr>
        <w:rPr>
          <w:szCs w:val="24"/>
        </w:rPr>
      </w:pPr>
      <w:proofErr w:type="spellStart"/>
      <w:r w:rsidRPr="00A266B3">
        <w:rPr>
          <w:szCs w:val="24"/>
        </w:rPr>
        <w:t>Basu</w:t>
      </w:r>
      <w:proofErr w:type="spellEnd"/>
      <w:r w:rsidRPr="00A266B3">
        <w:rPr>
          <w:szCs w:val="24"/>
        </w:rPr>
        <w:t xml:space="preserve">, </w:t>
      </w:r>
      <w:proofErr w:type="spellStart"/>
      <w:r w:rsidR="00CB72D6" w:rsidRPr="00A266B3">
        <w:rPr>
          <w:szCs w:val="24"/>
          <w:shd w:val="clear" w:color="auto" w:fill="FFFFFF"/>
          <w:lang w:val="en-US"/>
        </w:rPr>
        <w:t>Dimitrova</w:t>
      </w:r>
      <w:proofErr w:type="spellEnd"/>
      <w:r w:rsidR="00CB72D6" w:rsidRPr="00A266B3">
        <w:rPr>
          <w:szCs w:val="24"/>
          <w:shd w:val="clear" w:color="auto" w:fill="FFFFFF"/>
          <w:lang w:val="en-US"/>
        </w:rPr>
        <w:t xml:space="preserve"> e </w:t>
      </w:r>
      <w:proofErr w:type="spellStart"/>
      <w:r w:rsidR="00CB72D6" w:rsidRPr="00A266B3">
        <w:rPr>
          <w:szCs w:val="24"/>
          <w:shd w:val="clear" w:color="auto" w:fill="FFFFFF"/>
          <w:lang w:val="en-US"/>
        </w:rPr>
        <w:t>Paeglis</w:t>
      </w:r>
      <w:proofErr w:type="spellEnd"/>
      <w:r w:rsidR="00CB72D6" w:rsidRPr="00A266B3">
        <w:rPr>
          <w:szCs w:val="24"/>
        </w:rPr>
        <w:t xml:space="preserve"> </w:t>
      </w:r>
      <w:r w:rsidRPr="00A266B3">
        <w:rPr>
          <w:szCs w:val="24"/>
        </w:rPr>
        <w:t xml:space="preserve">(2009) </w:t>
      </w:r>
      <w:r w:rsidR="00CB72D6" w:rsidRPr="00A266B3">
        <w:rPr>
          <w:szCs w:val="24"/>
        </w:rPr>
        <w:t>constataram,</w:t>
      </w:r>
      <w:r w:rsidRPr="00A266B3">
        <w:rPr>
          <w:szCs w:val="24"/>
        </w:rPr>
        <w:t xml:space="preserve"> com uma amostra de empresas </w:t>
      </w:r>
      <w:r w:rsidRPr="00A266B3">
        <w:rPr>
          <w:rFonts w:eastAsia="DejaVu Sans"/>
          <w:szCs w:val="24"/>
          <w:lang w:bidi="en-US"/>
        </w:rPr>
        <w:t>estadunidense</w:t>
      </w:r>
      <w:r w:rsidRPr="00A266B3">
        <w:rPr>
          <w:szCs w:val="24"/>
        </w:rPr>
        <w:t>, uma relação positiva entre a concentração de propriedade familiar e os retornos anormais das aquisições, ou seja, quanto maior a concentração de propriedade pela família, melhor os retornos anormais. As explicações teóricas fornecidas pelos autores para o melhor desempenho em aquisições das empresas familiares de todos estes trabalhos</w:t>
      </w:r>
      <w:r w:rsidR="00CB72D6" w:rsidRPr="00A266B3">
        <w:rPr>
          <w:szCs w:val="24"/>
        </w:rPr>
        <w:t xml:space="preserve"> giram</w:t>
      </w:r>
      <w:r w:rsidRPr="00A266B3">
        <w:rPr>
          <w:szCs w:val="24"/>
        </w:rPr>
        <w:t xml:space="preserve"> em torno dos </w:t>
      </w:r>
      <w:r w:rsidRPr="00A266B3">
        <w:rPr>
          <w:szCs w:val="24"/>
        </w:rPr>
        <w:lastRenderedPageBreak/>
        <w:t>melhores alinhamentos de interesse existen</w:t>
      </w:r>
      <w:r w:rsidR="00AB5402">
        <w:rPr>
          <w:szCs w:val="24"/>
        </w:rPr>
        <w:t>tes dentro destas organizações.</w:t>
      </w:r>
    </w:p>
    <w:p w:rsidR="00957E8B" w:rsidRPr="00A266B3" w:rsidRDefault="00957E8B" w:rsidP="00A266B3">
      <w:pPr>
        <w:rPr>
          <w:szCs w:val="24"/>
        </w:rPr>
      </w:pPr>
      <w:proofErr w:type="spellStart"/>
      <w:r w:rsidRPr="00A266B3">
        <w:rPr>
          <w:szCs w:val="24"/>
        </w:rPr>
        <w:t>Bauguess</w:t>
      </w:r>
      <w:proofErr w:type="spellEnd"/>
      <w:r w:rsidRPr="00A266B3">
        <w:rPr>
          <w:szCs w:val="24"/>
        </w:rPr>
        <w:t xml:space="preserve"> e </w:t>
      </w:r>
      <w:proofErr w:type="spellStart"/>
      <w:r w:rsidRPr="00A266B3">
        <w:rPr>
          <w:szCs w:val="24"/>
        </w:rPr>
        <w:t>Stegemoller</w:t>
      </w:r>
      <w:proofErr w:type="spellEnd"/>
      <w:r w:rsidRPr="00A266B3">
        <w:rPr>
          <w:szCs w:val="24"/>
        </w:rPr>
        <w:t xml:space="preserve"> (2008) e </w:t>
      </w:r>
      <w:proofErr w:type="spellStart"/>
      <w:r w:rsidRPr="00A266B3">
        <w:rPr>
          <w:szCs w:val="24"/>
        </w:rPr>
        <w:t>Shim</w:t>
      </w:r>
      <w:proofErr w:type="spellEnd"/>
      <w:r w:rsidRPr="00A266B3">
        <w:rPr>
          <w:szCs w:val="24"/>
        </w:rPr>
        <w:t xml:space="preserve"> e </w:t>
      </w:r>
      <w:proofErr w:type="spellStart"/>
      <w:r w:rsidRPr="00A266B3">
        <w:rPr>
          <w:szCs w:val="24"/>
        </w:rPr>
        <w:t>Okamuro</w:t>
      </w:r>
      <w:proofErr w:type="spellEnd"/>
      <w:r w:rsidRPr="00A266B3">
        <w:rPr>
          <w:szCs w:val="24"/>
        </w:rPr>
        <w:t xml:space="preserve"> (2010) encontra</w:t>
      </w:r>
      <w:r w:rsidR="00CB72D6" w:rsidRPr="00A266B3">
        <w:rPr>
          <w:szCs w:val="24"/>
        </w:rPr>
        <w:t>ra</w:t>
      </w:r>
      <w:r w:rsidRPr="00A266B3">
        <w:rPr>
          <w:szCs w:val="24"/>
        </w:rPr>
        <w:t xml:space="preserve">m uma relação negativa entre a propriedade familiar e a </w:t>
      </w:r>
      <w:proofErr w:type="gramStart"/>
      <w:r w:rsidRPr="00A266B3">
        <w:rPr>
          <w:i/>
          <w:szCs w:val="24"/>
        </w:rPr>
        <w:t>performance</w:t>
      </w:r>
      <w:proofErr w:type="gramEnd"/>
      <w:r w:rsidRPr="00A266B3">
        <w:rPr>
          <w:szCs w:val="24"/>
        </w:rPr>
        <w:t xml:space="preserve"> das adquirentes, respectivamente, nos Estados Unidos e no Japão.  </w:t>
      </w:r>
      <w:r w:rsidR="006709F2" w:rsidRPr="00A266B3">
        <w:rPr>
          <w:szCs w:val="24"/>
        </w:rPr>
        <w:t xml:space="preserve">Caprio, </w:t>
      </w:r>
      <w:proofErr w:type="spellStart"/>
      <w:r w:rsidR="006709F2" w:rsidRPr="00A266B3">
        <w:rPr>
          <w:szCs w:val="24"/>
          <w:shd w:val="clear" w:color="auto" w:fill="FFFFFF"/>
        </w:rPr>
        <w:t>Croci</w:t>
      </w:r>
      <w:proofErr w:type="spellEnd"/>
      <w:r w:rsidR="006709F2" w:rsidRPr="00A266B3">
        <w:rPr>
          <w:szCs w:val="24"/>
          <w:shd w:val="clear" w:color="auto" w:fill="FFFFFF"/>
        </w:rPr>
        <w:t xml:space="preserve"> e Del </w:t>
      </w:r>
      <w:proofErr w:type="spellStart"/>
      <w:r w:rsidR="006709F2" w:rsidRPr="00A266B3">
        <w:rPr>
          <w:szCs w:val="24"/>
          <w:shd w:val="clear" w:color="auto" w:fill="FFFFFF"/>
        </w:rPr>
        <w:t>Giudice</w:t>
      </w:r>
      <w:proofErr w:type="spellEnd"/>
      <w:r w:rsidR="006709F2" w:rsidRPr="00A266B3">
        <w:rPr>
          <w:szCs w:val="24"/>
        </w:rPr>
        <w:t xml:space="preserve"> </w:t>
      </w:r>
      <w:r w:rsidRPr="00A266B3">
        <w:rPr>
          <w:szCs w:val="24"/>
        </w:rPr>
        <w:t xml:space="preserve">(2011) estudaram empresas europeias continentais e não </w:t>
      </w:r>
      <w:r w:rsidR="00CB72D6" w:rsidRPr="00A266B3">
        <w:rPr>
          <w:szCs w:val="24"/>
        </w:rPr>
        <w:t>obtiveram</w:t>
      </w:r>
      <w:r w:rsidRPr="00A266B3">
        <w:rPr>
          <w:szCs w:val="24"/>
        </w:rPr>
        <w:t xml:space="preserve"> evidências de que empresas controladas por famílias destr</w:t>
      </w:r>
      <w:r w:rsidR="00CB72D6" w:rsidRPr="00A266B3">
        <w:rPr>
          <w:szCs w:val="24"/>
        </w:rPr>
        <w:t>oem a riqueza ao adquirir</w:t>
      </w:r>
      <w:r w:rsidRPr="00A266B3">
        <w:rPr>
          <w:szCs w:val="24"/>
        </w:rPr>
        <w:t xml:space="preserve"> outras empresas. </w:t>
      </w:r>
    </w:p>
    <w:p w:rsidR="00957E8B" w:rsidRPr="00A266B3" w:rsidRDefault="00957E8B" w:rsidP="00A266B3">
      <w:pPr>
        <w:rPr>
          <w:szCs w:val="24"/>
        </w:rPr>
      </w:pPr>
      <w:r w:rsidRPr="00A266B3">
        <w:rPr>
          <w:szCs w:val="24"/>
        </w:rPr>
        <w:t xml:space="preserve">Apesar </w:t>
      </w:r>
      <w:r w:rsidR="00CB72D6" w:rsidRPr="00A266B3">
        <w:rPr>
          <w:szCs w:val="24"/>
        </w:rPr>
        <w:t xml:space="preserve">da divergência entre </w:t>
      </w:r>
      <w:r w:rsidRPr="00A266B3">
        <w:rPr>
          <w:szCs w:val="24"/>
        </w:rPr>
        <w:t xml:space="preserve">alguns trabalhos empíricos, a literatura demonstrou, </w:t>
      </w:r>
      <w:r w:rsidR="00CB72D6" w:rsidRPr="00A266B3">
        <w:rPr>
          <w:szCs w:val="24"/>
        </w:rPr>
        <w:t>em linhas gerais</w:t>
      </w:r>
      <w:r w:rsidRPr="00A266B3">
        <w:rPr>
          <w:szCs w:val="24"/>
        </w:rPr>
        <w:t>, que os gestores das empresas familiares têm um maior alinhamento de interesses com os acionistas, e tendem a tomar decisões que melhor beneficiem estes. Em outras palavras, a congruência entre os aspectos teóricos e empíricos indicam que o desempenho de aquisições de empresas adquirentes é maior para as empresas familiares. Acredita-se que tal aspecto também seja válido para as empresas brasileiras. Assim, formula-se a hipótese</w:t>
      </w:r>
      <w:r w:rsidR="00CB72D6" w:rsidRPr="00A266B3">
        <w:rPr>
          <w:szCs w:val="24"/>
        </w:rPr>
        <w:t xml:space="preserve"> desta pesquisa</w:t>
      </w:r>
      <w:r w:rsidRPr="00A266B3">
        <w:rPr>
          <w:szCs w:val="24"/>
        </w:rPr>
        <w:t>:</w:t>
      </w:r>
    </w:p>
    <w:p w:rsidR="003927F9" w:rsidRDefault="00C075FA" w:rsidP="00A266B3">
      <w:pPr>
        <w:rPr>
          <w:i/>
          <w:szCs w:val="24"/>
        </w:rPr>
      </w:pPr>
      <w:r>
        <w:rPr>
          <w:i/>
          <w:szCs w:val="24"/>
        </w:rPr>
        <w:t>Hipótese</w:t>
      </w:r>
      <w:r w:rsidR="000C7FD7">
        <w:rPr>
          <w:i/>
          <w:szCs w:val="24"/>
        </w:rPr>
        <w:t xml:space="preserve"> </w:t>
      </w:r>
      <w:proofErr w:type="gramStart"/>
      <w:r w:rsidR="000C7FD7">
        <w:rPr>
          <w:i/>
          <w:szCs w:val="24"/>
        </w:rPr>
        <w:t>1</w:t>
      </w:r>
      <w:proofErr w:type="gramEnd"/>
      <w:r w:rsidR="00CB72D6" w:rsidRPr="00A266B3">
        <w:rPr>
          <w:i/>
          <w:szCs w:val="24"/>
        </w:rPr>
        <w:t>: O desempenho das empresas familiares que realizaram aquisições corporativas é superior ao das empresas não familiares</w:t>
      </w:r>
      <w:r w:rsidR="00BF7190" w:rsidRPr="00A266B3">
        <w:rPr>
          <w:i/>
          <w:szCs w:val="24"/>
        </w:rPr>
        <w:t xml:space="preserve"> que realizaram aquisições corporativas</w:t>
      </w:r>
      <w:r w:rsidR="00CB72D6" w:rsidRPr="00A266B3">
        <w:rPr>
          <w:i/>
          <w:szCs w:val="24"/>
        </w:rPr>
        <w:t>.</w:t>
      </w:r>
    </w:p>
    <w:p w:rsidR="003927F9" w:rsidRPr="00E614B2" w:rsidRDefault="003927F9" w:rsidP="00A266B3">
      <w:pPr>
        <w:rPr>
          <w:sz w:val="20"/>
        </w:rPr>
      </w:pPr>
    </w:p>
    <w:p w:rsidR="00CB72D6" w:rsidRPr="001E15B5" w:rsidRDefault="003927F9" w:rsidP="001E15B5">
      <w:pPr>
        <w:pStyle w:val="PargrafodaLista"/>
        <w:numPr>
          <w:ilvl w:val="0"/>
          <w:numId w:val="13"/>
        </w:numPr>
        <w:tabs>
          <w:tab w:val="left" w:pos="709"/>
        </w:tabs>
        <w:spacing w:after="0" w:line="240" w:lineRule="auto"/>
        <w:ind w:left="0" w:firstLine="0"/>
        <w:jc w:val="both"/>
        <w:rPr>
          <w:rFonts w:ascii="Times New Roman" w:hAnsi="Times New Roman" w:cs="Times New Roman"/>
          <w:b/>
          <w:sz w:val="24"/>
          <w:szCs w:val="24"/>
        </w:rPr>
      </w:pPr>
      <w:r w:rsidRPr="001E15B5">
        <w:rPr>
          <w:rFonts w:ascii="Times New Roman" w:hAnsi="Times New Roman" w:cs="Times New Roman"/>
          <w:b/>
          <w:sz w:val="24"/>
          <w:szCs w:val="24"/>
        </w:rPr>
        <w:t>METODOLOGIA</w:t>
      </w:r>
    </w:p>
    <w:p w:rsidR="001E15B5" w:rsidRPr="001E15B5" w:rsidRDefault="001E15B5" w:rsidP="001E15B5">
      <w:pPr>
        <w:pStyle w:val="PargrafodaLista"/>
        <w:numPr>
          <w:ilvl w:val="1"/>
          <w:numId w:val="13"/>
        </w:numPr>
        <w:tabs>
          <w:tab w:val="left" w:pos="709"/>
        </w:tabs>
        <w:spacing w:after="0" w:line="240" w:lineRule="auto"/>
        <w:ind w:left="0" w:firstLine="0"/>
        <w:rPr>
          <w:rFonts w:ascii="Times New Roman" w:hAnsi="Times New Roman" w:cs="Times New Roman"/>
          <w:b/>
          <w:sz w:val="24"/>
          <w:szCs w:val="24"/>
        </w:rPr>
      </w:pPr>
      <w:r w:rsidRPr="001E15B5">
        <w:rPr>
          <w:rFonts w:ascii="Times New Roman" w:hAnsi="Times New Roman" w:cs="Times New Roman"/>
          <w:b/>
          <w:sz w:val="24"/>
          <w:szCs w:val="24"/>
        </w:rPr>
        <w:t>Amostra e Coleta de Dados</w:t>
      </w:r>
    </w:p>
    <w:p w:rsidR="0060002B" w:rsidRPr="00E614B2" w:rsidRDefault="0060002B" w:rsidP="00EB63C2">
      <w:pPr>
        <w:tabs>
          <w:tab w:val="left" w:pos="709"/>
        </w:tabs>
        <w:rPr>
          <w:b/>
          <w:sz w:val="20"/>
        </w:rPr>
      </w:pPr>
    </w:p>
    <w:p w:rsidR="0060002B" w:rsidRDefault="0060002B" w:rsidP="00EB63C2">
      <w:pPr>
        <w:pStyle w:val="Textodenotadefim"/>
        <w:spacing w:after="0" w:line="240" w:lineRule="auto"/>
        <w:ind w:firstLine="708"/>
        <w:jc w:val="both"/>
        <w:rPr>
          <w:rFonts w:ascii="Times New Roman" w:hAnsi="Times New Roman"/>
          <w:sz w:val="24"/>
          <w:lang w:val="pt-BR"/>
        </w:rPr>
      </w:pPr>
      <w:r w:rsidRPr="007D3690">
        <w:rPr>
          <w:rFonts w:ascii="Times New Roman" w:hAnsi="Times New Roman"/>
          <w:sz w:val="24"/>
          <w:szCs w:val="24"/>
        </w:rPr>
        <w:t xml:space="preserve">A amostra é composta por empresas </w:t>
      </w:r>
      <w:r>
        <w:rPr>
          <w:rFonts w:ascii="Times New Roman" w:hAnsi="Times New Roman"/>
          <w:sz w:val="24"/>
          <w:szCs w:val="24"/>
          <w:lang w:val="pt-BR"/>
        </w:rPr>
        <w:t xml:space="preserve">não financeiras </w:t>
      </w:r>
      <w:r w:rsidRPr="007D3690">
        <w:rPr>
          <w:rFonts w:ascii="Times New Roman" w:hAnsi="Times New Roman"/>
          <w:sz w:val="24"/>
          <w:szCs w:val="24"/>
        </w:rPr>
        <w:t xml:space="preserve">de capital aberto, </w:t>
      </w:r>
      <w:r>
        <w:rPr>
          <w:rFonts w:ascii="Times New Roman" w:hAnsi="Times New Roman"/>
          <w:sz w:val="24"/>
          <w:szCs w:val="24"/>
          <w:lang w:val="pt-BR"/>
        </w:rPr>
        <w:t>negociadas</w:t>
      </w:r>
      <w:r w:rsidRPr="007D3690">
        <w:rPr>
          <w:rFonts w:ascii="Times New Roman" w:hAnsi="Times New Roman"/>
          <w:sz w:val="24"/>
          <w:szCs w:val="24"/>
        </w:rPr>
        <w:t xml:space="preserve"> na </w:t>
      </w:r>
      <w:r>
        <w:rPr>
          <w:rFonts w:ascii="Times New Roman" w:hAnsi="Times New Roman"/>
          <w:sz w:val="24"/>
          <w:szCs w:val="24"/>
          <w:lang w:val="pt-BR"/>
        </w:rPr>
        <w:t>B</w:t>
      </w:r>
      <w:r w:rsidRPr="0060002B">
        <w:rPr>
          <w:rFonts w:ascii="Times New Roman" w:hAnsi="Times New Roman"/>
          <w:sz w:val="24"/>
          <w:szCs w:val="24"/>
          <w:vertAlign w:val="superscript"/>
          <w:lang w:val="pt-BR"/>
        </w:rPr>
        <w:t>3</w:t>
      </w:r>
      <w:r>
        <w:rPr>
          <w:rFonts w:ascii="Times New Roman" w:hAnsi="Times New Roman"/>
          <w:sz w:val="24"/>
          <w:szCs w:val="24"/>
          <w:lang w:val="pt-BR"/>
        </w:rPr>
        <w:t xml:space="preserve"> e</w:t>
      </w:r>
      <w:r w:rsidRPr="007D3690">
        <w:rPr>
          <w:rFonts w:ascii="Times New Roman" w:hAnsi="Times New Roman"/>
          <w:sz w:val="24"/>
          <w:szCs w:val="24"/>
        </w:rPr>
        <w:t xml:space="preserve"> que participaram de atividades de aquisições como adquirentes no período de 2009 a 2016</w:t>
      </w:r>
      <w:r>
        <w:rPr>
          <w:rFonts w:ascii="Times New Roman" w:hAnsi="Times New Roman"/>
          <w:sz w:val="24"/>
          <w:szCs w:val="24"/>
          <w:lang w:val="pt-BR"/>
        </w:rPr>
        <w:t>.</w:t>
      </w:r>
      <w:r w:rsidR="00E87486">
        <w:rPr>
          <w:rFonts w:ascii="Times New Roman" w:hAnsi="Times New Roman"/>
          <w:sz w:val="24"/>
          <w:szCs w:val="24"/>
          <w:lang w:val="pt-BR"/>
        </w:rPr>
        <w:t xml:space="preserve"> </w:t>
      </w:r>
      <w:r>
        <w:rPr>
          <w:rFonts w:ascii="Times New Roman" w:hAnsi="Times New Roman"/>
          <w:sz w:val="24"/>
          <w:szCs w:val="24"/>
          <w:lang w:val="pt-BR"/>
        </w:rPr>
        <w:t xml:space="preserve">As </w:t>
      </w:r>
      <w:r w:rsidRPr="007D3690">
        <w:rPr>
          <w:rFonts w:ascii="Times New Roman" w:hAnsi="Times New Roman"/>
          <w:sz w:val="24"/>
          <w:szCs w:val="24"/>
        </w:rPr>
        <w:t>empresas com dados indisponíveis para a construção das variáveis de pesquisa</w:t>
      </w:r>
      <w:r>
        <w:rPr>
          <w:rFonts w:ascii="Times New Roman" w:hAnsi="Times New Roman"/>
          <w:sz w:val="24"/>
          <w:szCs w:val="24"/>
          <w:lang w:val="pt-BR"/>
        </w:rPr>
        <w:t xml:space="preserve"> foram excluídas e o ano inicial de análise é devido à</w:t>
      </w:r>
      <w:r>
        <w:rPr>
          <w:rFonts w:ascii="Times New Roman" w:hAnsi="Times New Roman"/>
          <w:sz w:val="24"/>
        </w:rPr>
        <w:t xml:space="preserve"> disponibilidade dos dados de classificação </w:t>
      </w:r>
      <w:r>
        <w:rPr>
          <w:rFonts w:ascii="Times New Roman" w:hAnsi="Times New Roman"/>
          <w:sz w:val="24"/>
          <w:lang w:val="pt-BR"/>
        </w:rPr>
        <w:t>das</w:t>
      </w:r>
      <w:r>
        <w:rPr>
          <w:rFonts w:ascii="Times New Roman" w:hAnsi="Times New Roman"/>
          <w:sz w:val="24"/>
        </w:rPr>
        <w:t xml:space="preserve"> empresas </w:t>
      </w:r>
      <w:r>
        <w:rPr>
          <w:rFonts w:ascii="Times New Roman" w:hAnsi="Times New Roman"/>
          <w:sz w:val="24"/>
          <w:lang w:val="pt-BR"/>
        </w:rPr>
        <w:t xml:space="preserve">em </w:t>
      </w:r>
      <w:r>
        <w:rPr>
          <w:rFonts w:ascii="Times New Roman" w:hAnsi="Times New Roman"/>
          <w:sz w:val="24"/>
        </w:rPr>
        <w:t xml:space="preserve">familiares e não familiares </w:t>
      </w:r>
      <w:r>
        <w:rPr>
          <w:rFonts w:ascii="Times New Roman" w:hAnsi="Times New Roman"/>
          <w:sz w:val="24"/>
          <w:lang w:val="pt-BR"/>
        </w:rPr>
        <w:t xml:space="preserve">que só é possível </w:t>
      </w:r>
      <w:r>
        <w:rPr>
          <w:rFonts w:ascii="Times New Roman" w:hAnsi="Times New Roman"/>
          <w:sz w:val="24"/>
        </w:rPr>
        <w:t xml:space="preserve">após 2009, ano em que foi introduzido o </w:t>
      </w:r>
      <w:r w:rsidR="00570853">
        <w:rPr>
          <w:rFonts w:ascii="Times New Roman" w:hAnsi="Times New Roman"/>
          <w:sz w:val="24"/>
          <w:lang w:val="pt-BR"/>
        </w:rPr>
        <w:t>Formulário</w:t>
      </w:r>
      <w:r w:rsidR="00570853">
        <w:rPr>
          <w:rFonts w:ascii="Times New Roman" w:hAnsi="Times New Roman"/>
          <w:sz w:val="24"/>
        </w:rPr>
        <w:t xml:space="preserve"> de </w:t>
      </w:r>
      <w:r w:rsidR="00570853">
        <w:rPr>
          <w:rFonts w:ascii="Times New Roman" w:hAnsi="Times New Roman"/>
          <w:sz w:val="24"/>
          <w:lang w:val="pt-BR"/>
        </w:rPr>
        <w:t>Referência</w:t>
      </w:r>
      <w:r w:rsidRPr="00ED77E4">
        <w:rPr>
          <w:rFonts w:ascii="Times New Roman" w:hAnsi="Times New Roman"/>
          <w:sz w:val="24"/>
        </w:rPr>
        <w:t>, conforme art</w:t>
      </w:r>
      <w:r>
        <w:rPr>
          <w:rFonts w:ascii="Times New Roman" w:hAnsi="Times New Roman"/>
          <w:sz w:val="24"/>
        </w:rPr>
        <w:t>igo</w:t>
      </w:r>
      <w:r w:rsidRPr="00ED77E4">
        <w:rPr>
          <w:rFonts w:ascii="Times New Roman" w:hAnsi="Times New Roman"/>
          <w:sz w:val="24"/>
        </w:rPr>
        <w:t xml:space="preserve"> 21 da Instrução Normativa </w:t>
      </w:r>
      <w:r>
        <w:rPr>
          <w:rFonts w:ascii="Times New Roman" w:hAnsi="Times New Roman"/>
          <w:sz w:val="24"/>
        </w:rPr>
        <w:t xml:space="preserve">nº </w:t>
      </w:r>
      <w:r w:rsidRPr="00ED77E4">
        <w:rPr>
          <w:rFonts w:ascii="Times New Roman" w:hAnsi="Times New Roman"/>
          <w:sz w:val="24"/>
        </w:rPr>
        <w:t>480/2009 (CVM, 2009).</w:t>
      </w:r>
    </w:p>
    <w:p w:rsidR="001B3AC7" w:rsidRDefault="00CD5AAF" w:rsidP="00684CA0">
      <w:pPr>
        <w:pStyle w:val="Textodenotadefim"/>
        <w:spacing w:after="0" w:line="240" w:lineRule="auto"/>
        <w:ind w:firstLine="709"/>
        <w:jc w:val="both"/>
        <w:rPr>
          <w:rFonts w:ascii="Times New Roman" w:hAnsi="Times New Roman"/>
          <w:sz w:val="24"/>
          <w:szCs w:val="24"/>
          <w:lang w:val="pt-BR"/>
        </w:rPr>
      </w:pPr>
      <w:r>
        <w:rPr>
          <w:rFonts w:ascii="Times New Roman" w:hAnsi="Times New Roman"/>
          <w:sz w:val="24"/>
          <w:lang w:val="pt-BR"/>
        </w:rPr>
        <w:t>No total</w:t>
      </w:r>
      <w:r>
        <w:rPr>
          <w:rFonts w:ascii="Times New Roman" w:hAnsi="Times New Roman"/>
          <w:sz w:val="24"/>
        </w:rPr>
        <w:t>, 159 empresas participaram de processos de aquisições como licitantes no período de 2009 a 2016</w:t>
      </w:r>
      <w:r>
        <w:rPr>
          <w:rFonts w:ascii="Times New Roman" w:hAnsi="Times New Roman"/>
          <w:sz w:val="24"/>
          <w:lang w:val="pt-BR"/>
        </w:rPr>
        <w:t xml:space="preserve">. Entretanto, após excluir as empresas do </w:t>
      </w:r>
      <w:r>
        <w:rPr>
          <w:rFonts w:ascii="Times New Roman" w:hAnsi="Times New Roman"/>
          <w:sz w:val="24"/>
        </w:rPr>
        <w:t xml:space="preserve">setor financeiro e </w:t>
      </w:r>
      <w:r>
        <w:rPr>
          <w:rFonts w:ascii="Times New Roman" w:hAnsi="Times New Roman"/>
          <w:sz w:val="24"/>
          <w:lang w:val="pt-BR"/>
        </w:rPr>
        <w:t xml:space="preserve">as empresas </w:t>
      </w:r>
      <w:r>
        <w:rPr>
          <w:rFonts w:ascii="Times New Roman" w:hAnsi="Times New Roman"/>
          <w:sz w:val="24"/>
        </w:rPr>
        <w:t>com ausência de dados para a construção das variáveis</w:t>
      </w:r>
      <w:r>
        <w:rPr>
          <w:rFonts w:ascii="Times New Roman" w:hAnsi="Times New Roman"/>
          <w:sz w:val="24"/>
          <w:lang w:val="pt-BR"/>
        </w:rPr>
        <w:t xml:space="preserve">, </w:t>
      </w:r>
      <w:r w:rsidR="00EF7D30">
        <w:rPr>
          <w:rFonts w:ascii="Times New Roman" w:hAnsi="Times New Roman"/>
          <w:sz w:val="24"/>
          <w:lang w:val="pt-BR"/>
        </w:rPr>
        <w:t xml:space="preserve">restaram 86 empresas, </w:t>
      </w:r>
      <w:r>
        <w:rPr>
          <w:rFonts w:ascii="Times New Roman" w:hAnsi="Times New Roman"/>
          <w:sz w:val="24"/>
        </w:rPr>
        <w:t>37</w:t>
      </w:r>
      <w:r w:rsidR="00EF7D30">
        <w:rPr>
          <w:rFonts w:ascii="Times New Roman" w:hAnsi="Times New Roman"/>
          <w:sz w:val="24"/>
        </w:rPr>
        <w:t xml:space="preserve"> familiares e 49 não familiares</w:t>
      </w:r>
      <w:r>
        <w:rPr>
          <w:rFonts w:ascii="Times New Roman" w:hAnsi="Times New Roman"/>
          <w:sz w:val="24"/>
        </w:rPr>
        <w:t xml:space="preserve">, </w:t>
      </w:r>
      <w:r w:rsidR="00EF7D30">
        <w:rPr>
          <w:rFonts w:ascii="Times New Roman" w:hAnsi="Times New Roman"/>
          <w:sz w:val="24"/>
          <w:lang w:val="pt-BR"/>
        </w:rPr>
        <w:t xml:space="preserve">as quais realizaram </w:t>
      </w:r>
      <w:r w:rsidR="00EF7D30">
        <w:rPr>
          <w:rFonts w:ascii="Times New Roman" w:hAnsi="Times New Roman"/>
          <w:sz w:val="24"/>
        </w:rPr>
        <w:t>244 aquisições</w:t>
      </w:r>
      <w:r>
        <w:rPr>
          <w:rFonts w:ascii="Times New Roman" w:hAnsi="Times New Roman"/>
          <w:sz w:val="24"/>
        </w:rPr>
        <w:t>.</w:t>
      </w:r>
      <w:r w:rsidR="001B3AC7">
        <w:rPr>
          <w:rFonts w:ascii="Times New Roman" w:hAnsi="Times New Roman"/>
          <w:sz w:val="24"/>
          <w:lang w:val="pt-BR"/>
        </w:rPr>
        <w:t xml:space="preserve"> </w:t>
      </w:r>
      <w:r w:rsidR="00044550" w:rsidRPr="001B3AC7">
        <w:rPr>
          <w:rFonts w:ascii="Times New Roman" w:hAnsi="Times New Roman"/>
          <w:sz w:val="24"/>
          <w:szCs w:val="24"/>
        </w:rPr>
        <w:t>Para identifica</w:t>
      </w:r>
      <w:r w:rsidR="00EA4ED1" w:rsidRPr="001B3AC7">
        <w:rPr>
          <w:rFonts w:ascii="Times New Roman" w:hAnsi="Times New Roman"/>
          <w:sz w:val="24"/>
          <w:szCs w:val="24"/>
        </w:rPr>
        <w:t>r</w:t>
      </w:r>
      <w:r w:rsidR="00044550" w:rsidRPr="001B3AC7">
        <w:rPr>
          <w:rFonts w:ascii="Times New Roman" w:hAnsi="Times New Roman"/>
          <w:sz w:val="24"/>
          <w:szCs w:val="24"/>
        </w:rPr>
        <w:t xml:space="preserve"> as aquisições corporativas e </w:t>
      </w:r>
      <w:r w:rsidR="00EA4ED1" w:rsidRPr="001B3AC7">
        <w:rPr>
          <w:rFonts w:ascii="Times New Roman" w:hAnsi="Times New Roman"/>
          <w:sz w:val="24"/>
          <w:szCs w:val="24"/>
        </w:rPr>
        <w:t xml:space="preserve">coletar as </w:t>
      </w:r>
      <w:r w:rsidR="00044550" w:rsidRPr="001B3AC7">
        <w:rPr>
          <w:rFonts w:ascii="Times New Roman" w:hAnsi="Times New Roman"/>
          <w:sz w:val="24"/>
          <w:szCs w:val="24"/>
        </w:rPr>
        <w:t>informações financeiras</w:t>
      </w:r>
      <w:r w:rsidR="00EA4ED1" w:rsidRPr="001B3AC7">
        <w:rPr>
          <w:rFonts w:ascii="Times New Roman" w:hAnsi="Times New Roman"/>
          <w:sz w:val="24"/>
          <w:szCs w:val="24"/>
        </w:rPr>
        <w:t xml:space="preserve"> necessárias</w:t>
      </w:r>
      <w:r w:rsidR="000C7FD7">
        <w:rPr>
          <w:rFonts w:ascii="Times New Roman" w:hAnsi="Times New Roman"/>
          <w:sz w:val="24"/>
          <w:szCs w:val="24"/>
          <w:lang w:val="pt-BR"/>
        </w:rPr>
        <w:t>,</w:t>
      </w:r>
      <w:r w:rsidR="00044550" w:rsidRPr="001B3AC7">
        <w:rPr>
          <w:rFonts w:ascii="Times New Roman" w:hAnsi="Times New Roman"/>
          <w:sz w:val="24"/>
          <w:szCs w:val="24"/>
        </w:rPr>
        <w:t xml:space="preserve"> utiliz</w:t>
      </w:r>
      <w:r w:rsidR="00EA4ED1" w:rsidRPr="001B3AC7">
        <w:rPr>
          <w:rFonts w:ascii="Times New Roman" w:hAnsi="Times New Roman"/>
          <w:sz w:val="24"/>
          <w:szCs w:val="24"/>
        </w:rPr>
        <w:t>ou-se</w:t>
      </w:r>
      <w:r w:rsidR="00044550" w:rsidRPr="001B3AC7">
        <w:rPr>
          <w:rFonts w:ascii="Times New Roman" w:hAnsi="Times New Roman"/>
          <w:sz w:val="24"/>
          <w:szCs w:val="24"/>
        </w:rPr>
        <w:t xml:space="preserve"> a base</w:t>
      </w:r>
      <w:r w:rsidR="00EA4ED1" w:rsidRPr="001B3AC7">
        <w:rPr>
          <w:rFonts w:ascii="Times New Roman" w:hAnsi="Times New Roman"/>
          <w:sz w:val="24"/>
          <w:szCs w:val="24"/>
        </w:rPr>
        <w:t xml:space="preserve"> de dados da</w:t>
      </w:r>
      <w:r w:rsidR="00044550" w:rsidRPr="001B3AC7">
        <w:rPr>
          <w:rFonts w:ascii="Times New Roman" w:hAnsi="Times New Roman"/>
          <w:sz w:val="24"/>
          <w:szCs w:val="24"/>
        </w:rPr>
        <w:t xml:space="preserve"> </w:t>
      </w:r>
      <w:r w:rsidR="00044550" w:rsidRPr="001B3AC7">
        <w:rPr>
          <w:rFonts w:ascii="Times New Roman" w:hAnsi="Times New Roman"/>
          <w:i/>
          <w:sz w:val="24"/>
          <w:szCs w:val="24"/>
        </w:rPr>
        <w:t xml:space="preserve">Thomson Reuters </w:t>
      </w:r>
      <w:proofErr w:type="spellStart"/>
      <w:r w:rsidR="00044550" w:rsidRPr="001B3AC7">
        <w:rPr>
          <w:rFonts w:ascii="Times New Roman" w:hAnsi="Times New Roman"/>
          <w:i/>
          <w:sz w:val="24"/>
          <w:szCs w:val="24"/>
        </w:rPr>
        <w:t>Eikon</w:t>
      </w:r>
      <w:proofErr w:type="spellEnd"/>
      <w:r w:rsidR="00044550" w:rsidRPr="001B3AC7">
        <w:rPr>
          <w:rFonts w:ascii="Times New Roman" w:hAnsi="Times New Roman"/>
          <w:sz w:val="24"/>
          <w:szCs w:val="24"/>
        </w:rPr>
        <w:t xml:space="preserve">. </w:t>
      </w:r>
      <w:r w:rsidR="001B3AC7" w:rsidRPr="001B3AC7">
        <w:rPr>
          <w:rFonts w:ascii="Times New Roman" w:hAnsi="Times New Roman"/>
          <w:sz w:val="24"/>
          <w:szCs w:val="24"/>
        </w:rPr>
        <w:t>Destaca-se que foram consideradas como adquirentes as empresas que compraram 50% ou mais de ações ordinárias de outra, o que caracteriza a compra do controle acionário da empresa (</w:t>
      </w:r>
      <w:proofErr w:type="spellStart"/>
      <w:r w:rsidR="001B3AC7" w:rsidRPr="001B3AC7">
        <w:rPr>
          <w:rFonts w:ascii="Times New Roman" w:hAnsi="Times New Roman"/>
          <w:sz w:val="24"/>
          <w:szCs w:val="24"/>
        </w:rPr>
        <w:t>Tanure</w:t>
      </w:r>
      <w:proofErr w:type="spellEnd"/>
      <w:r w:rsidR="001B3AC7" w:rsidRPr="001B3AC7">
        <w:rPr>
          <w:rFonts w:ascii="Times New Roman" w:hAnsi="Times New Roman"/>
          <w:sz w:val="24"/>
          <w:szCs w:val="24"/>
        </w:rPr>
        <w:t xml:space="preserve"> e </w:t>
      </w:r>
      <w:proofErr w:type="spellStart"/>
      <w:r w:rsidR="001B3AC7" w:rsidRPr="001B3AC7">
        <w:rPr>
          <w:rFonts w:ascii="Times New Roman" w:hAnsi="Times New Roman"/>
          <w:sz w:val="24"/>
          <w:szCs w:val="24"/>
        </w:rPr>
        <w:t>Cançado</w:t>
      </w:r>
      <w:proofErr w:type="spellEnd"/>
      <w:r w:rsidR="001B3AC7" w:rsidRPr="001B3AC7">
        <w:rPr>
          <w:rFonts w:ascii="Times New Roman" w:hAnsi="Times New Roman"/>
          <w:sz w:val="24"/>
          <w:szCs w:val="24"/>
        </w:rPr>
        <w:t>, 2005).</w:t>
      </w:r>
    </w:p>
    <w:p w:rsidR="00A70015" w:rsidRPr="00E614B2" w:rsidRDefault="00A70015" w:rsidP="00684CA0">
      <w:pPr>
        <w:pStyle w:val="Textodenotadefim"/>
        <w:spacing w:after="0" w:line="240" w:lineRule="auto"/>
        <w:ind w:firstLine="709"/>
        <w:jc w:val="both"/>
        <w:rPr>
          <w:rFonts w:ascii="Times New Roman" w:hAnsi="Times New Roman"/>
          <w:lang w:val="pt-BR"/>
        </w:rPr>
      </w:pPr>
    </w:p>
    <w:p w:rsidR="00A70015" w:rsidRPr="00A70015" w:rsidRDefault="00A70015" w:rsidP="00684CA0">
      <w:pPr>
        <w:pStyle w:val="Textodenotadefim"/>
        <w:numPr>
          <w:ilvl w:val="1"/>
          <w:numId w:val="13"/>
        </w:numPr>
        <w:spacing w:after="0" w:line="240" w:lineRule="auto"/>
        <w:ind w:left="0" w:firstLine="0"/>
        <w:jc w:val="both"/>
        <w:rPr>
          <w:rFonts w:ascii="Times New Roman" w:hAnsi="Times New Roman"/>
          <w:b/>
          <w:sz w:val="24"/>
          <w:szCs w:val="24"/>
          <w:lang w:val="pt-BR"/>
        </w:rPr>
      </w:pPr>
      <w:r w:rsidRPr="00A70015">
        <w:rPr>
          <w:rFonts w:ascii="Times New Roman" w:hAnsi="Times New Roman"/>
          <w:b/>
          <w:sz w:val="24"/>
          <w:szCs w:val="24"/>
          <w:lang w:val="pt-BR"/>
        </w:rPr>
        <w:t xml:space="preserve">Variáveis Dependente, Independente de Interesse e de </w:t>
      </w:r>
      <w:proofErr w:type="gramStart"/>
      <w:r w:rsidRPr="00A70015">
        <w:rPr>
          <w:rFonts w:ascii="Times New Roman" w:hAnsi="Times New Roman"/>
          <w:b/>
          <w:sz w:val="24"/>
          <w:szCs w:val="24"/>
          <w:lang w:val="pt-BR"/>
        </w:rPr>
        <w:t>Controle</w:t>
      </w:r>
      <w:proofErr w:type="gramEnd"/>
    </w:p>
    <w:p w:rsidR="001B3AC7" w:rsidRPr="00E614B2" w:rsidRDefault="001B3AC7" w:rsidP="00684CA0">
      <w:pPr>
        <w:ind w:firstLine="708"/>
        <w:rPr>
          <w:sz w:val="20"/>
        </w:rPr>
      </w:pPr>
    </w:p>
    <w:p w:rsidR="00684CA0" w:rsidRPr="004129E7" w:rsidRDefault="00684CA0" w:rsidP="00684CA0">
      <w:pPr>
        <w:rPr>
          <w:szCs w:val="24"/>
        </w:rPr>
      </w:pPr>
      <w:r w:rsidRPr="004129E7">
        <w:rPr>
          <w:szCs w:val="24"/>
        </w:rPr>
        <w:t>Ben-Amar e André (2006) argumentam que a reação do mercado em torno do anúncio do evento de aquisições é a melhor maneira de medir o desempenho de aquisições corporativas. Dessa maneira, para captar o desempenho econômico das empresas em relação ao evento de aquisição, optou-se por utilizar a metodologia de retornos anormais acumulados (CAR) pelo método de modelo de mercado, desenvolvido por Brown e Warner (</w:t>
      </w:r>
      <w:proofErr w:type="gramStart"/>
      <w:r w:rsidRPr="004129E7">
        <w:rPr>
          <w:szCs w:val="24"/>
        </w:rPr>
        <w:t>1980, 1985</w:t>
      </w:r>
      <w:proofErr w:type="gramEnd"/>
      <w:r w:rsidRPr="004129E7">
        <w:rPr>
          <w:szCs w:val="24"/>
        </w:rPr>
        <w:t xml:space="preserve">). Este método apresenta um desempenho ligeiramente superior em relação aos outros (modelo de retorno ajustado ao mercado e modelo de retorno ajustado à média) por levar em conta o risco específico </w:t>
      </w:r>
      <w:r w:rsidRPr="004129E7">
        <w:rPr>
          <w:szCs w:val="24"/>
        </w:rPr>
        <w:lastRenderedPageBreak/>
        <w:t xml:space="preserve">de cada empresa (Brown &amp; Warner, 1985). </w:t>
      </w:r>
    </w:p>
    <w:p w:rsidR="00684CA0" w:rsidRPr="0079784F" w:rsidRDefault="00684CA0" w:rsidP="00684CA0">
      <w:pPr>
        <w:rPr>
          <w:szCs w:val="24"/>
        </w:rPr>
      </w:pPr>
      <w:r w:rsidRPr="0079784F">
        <w:rPr>
          <w:szCs w:val="24"/>
        </w:rPr>
        <w:t>Para o cálculo do CAR, é neces</w:t>
      </w:r>
      <w:r w:rsidR="00970C6F" w:rsidRPr="0079784F">
        <w:rPr>
          <w:szCs w:val="24"/>
        </w:rPr>
        <w:t>sário auferir o retorno anormal</w:t>
      </w:r>
      <w:r w:rsidRPr="0079784F">
        <w:rPr>
          <w:szCs w:val="24"/>
        </w:rPr>
        <w:t xml:space="preserve"> (AR)</w:t>
      </w:r>
      <w:r w:rsidR="00970C6F" w:rsidRPr="0079784F">
        <w:rPr>
          <w:szCs w:val="24"/>
        </w:rPr>
        <w:t xml:space="preserve"> de cada anúncio de aquisição</w:t>
      </w:r>
      <w:r w:rsidRPr="0079784F">
        <w:rPr>
          <w:szCs w:val="24"/>
        </w:rPr>
        <w:t xml:space="preserve"> corporativa. </w:t>
      </w:r>
      <w:r w:rsidR="00970C6F" w:rsidRPr="0079784F">
        <w:rPr>
          <w:szCs w:val="24"/>
        </w:rPr>
        <w:t>Este</w:t>
      </w:r>
      <w:r w:rsidRPr="0079784F">
        <w:rPr>
          <w:szCs w:val="24"/>
        </w:rPr>
        <w:t xml:space="preserve"> retorno é calculado pela diferença entre o retorno da aç</w:t>
      </w:r>
      <w:r w:rsidR="00970C6F" w:rsidRPr="0079784F">
        <w:rPr>
          <w:szCs w:val="24"/>
        </w:rPr>
        <w:t>ão</w:t>
      </w:r>
      <w:r w:rsidRPr="0079784F">
        <w:rPr>
          <w:szCs w:val="24"/>
        </w:rPr>
        <w:t xml:space="preserve"> da empresa </w:t>
      </w:r>
      <w:r w:rsidRPr="0079784F">
        <w:rPr>
          <w:i/>
          <w:szCs w:val="24"/>
        </w:rPr>
        <w:t xml:space="preserve">i </w:t>
      </w:r>
      <w:r w:rsidRPr="0079784F">
        <w:rPr>
          <w:szCs w:val="24"/>
        </w:rPr>
        <w:t xml:space="preserve">no tempo </w:t>
      </w:r>
      <w:r w:rsidRPr="0079784F">
        <w:rPr>
          <w:i/>
          <w:szCs w:val="24"/>
        </w:rPr>
        <w:t>t</w:t>
      </w:r>
      <w:r w:rsidR="00AD0E26" w:rsidRPr="0079784F">
        <w:rPr>
          <w:rFonts w:eastAsia="Arial"/>
          <w:color w:val="000000" w:themeColor="text1"/>
          <w:kern w:val="24"/>
          <w:szCs w:val="24"/>
        </w:rPr>
        <w:t xml:space="preserve"> </w:t>
      </w:r>
      <w:r w:rsidR="0079784F" w:rsidRPr="0079784F">
        <w:rPr>
          <w:rFonts w:eastAsia="Arial"/>
          <w:color w:val="000000" w:themeColor="text1"/>
          <w:kern w:val="24"/>
          <w:szCs w:val="24"/>
        </w:rPr>
        <w:t xml:space="preserve">(r) </w:t>
      </w:r>
      <w:r w:rsidR="00092996" w:rsidRPr="0079784F">
        <w:rPr>
          <w:rFonts w:eastAsia="Arial"/>
          <w:color w:val="000000" w:themeColor="text1"/>
          <w:kern w:val="24"/>
          <w:szCs w:val="24"/>
        </w:rPr>
        <w:t>e</w:t>
      </w:r>
      <w:r w:rsidRPr="0079784F">
        <w:rPr>
          <w:szCs w:val="24"/>
        </w:rPr>
        <w:t xml:space="preserve"> o retorno esperado (normal) da empresa </w:t>
      </w:r>
      <w:r w:rsidRPr="0079784F">
        <w:rPr>
          <w:i/>
          <w:szCs w:val="24"/>
        </w:rPr>
        <w:t xml:space="preserve">i </w:t>
      </w:r>
      <w:r w:rsidRPr="0079784F">
        <w:rPr>
          <w:szCs w:val="24"/>
        </w:rPr>
        <w:t xml:space="preserve">no tempo </w:t>
      </w:r>
      <w:r w:rsidRPr="0079784F">
        <w:rPr>
          <w:i/>
          <w:szCs w:val="24"/>
        </w:rPr>
        <w:t>t</w:t>
      </w:r>
      <w:r w:rsidRPr="0079784F">
        <w:rPr>
          <w:szCs w:val="24"/>
        </w:rPr>
        <w:t>. Formula-se:</w:t>
      </w:r>
    </w:p>
    <w:p w:rsidR="00092996" w:rsidRPr="00BD12B6" w:rsidRDefault="00092996" w:rsidP="00684CA0">
      <w:pPr>
        <w:rPr>
          <w:sz w:val="20"/>
        </w:rPr>
      </w:pPr>
    </w:p>
    <w:p w:rsidR="00F26DE7" w:rsidRPr="0079784F" w:rsidRDefault="003879FD" w:rsidP="00F26DE7">
      <w:pPr>
        <w:ind w:firstLine="708"/>
        <w:jc w:val="center"/>
        <w:rPr>
          <w:rFonts w:eastAsiaTheme="minorEastAsia"/>
          <w:szCs w:val="24"/>
        </w:rPr>
      </w:pPr>
      <m:oMath>
        <m:sSub>
          <m:sSubPr>
            <m:ctrlPr>
              <w:rPr>
                <w:rFonts w:ascii="Cambria Math" w:eastAsiaTheme="minorEastAsia" w:hAnsi="Cambria Math"/>
                <w:i/>
                <w:szCs w:val="24"/>
              </w:rPr>
            </m:ctrlPr>
          </m:sSubPr>
          <m:e>
            <m:r>
              <w:rPr>
                <w:rFonts w:ascii="Cambria Math" w:hAnsi="Cambria Math"/>
                <w:szCs w:val="24"/>
              </w:rPr>
              <m:t>r</m:t>
            </m:r>
            <m:ctrlPr>
              <w:rPr>
                <w:rFonts w:ascii="Cambria Math" w:hAnsi="Cambria Math"/>
                <w:i/>
                <w:szCs w:val="24"/>
              </w:rPr>
            </m:ctrlPr>
          </m:e>
          <m:sub>
            <m:r>
              <w:rPr>
                <w:rFonts w:ascii="Cambria Math" w:eastAsiaTheme="minorEastAsia" w:hAnsi="Cambria Math"/>
                <w:szCs w:val="24"/>
              </w:rPr>
              <m:t>i,t</m:t>
            </m:r>
          </m:sub>
        </m:sSub>
        <m:r>
          <w:rPr>
            <w:rFonts w:ascii="Cambria Math" w:eastAsiaTheme="minorEastAsia" w:hAnsi="Cambria Math"/>
            <w:szCs w:val="24"/>
          </w:rPr>
          <m:t>=ln</m:t>
        </m:r>
        <m:d>
          <m:dPr>
            <m:ctrlPr>
              <w:rPr>
                <w:rFonts w:ascii="Cambria Math" w:eastAsiaTheme="minorEastAsia" w:hAnsi="Cambria Math"/>
                <w:szCs w:val="24"/>
              </w:rPr>
            </m:ctrlPr>
          </m:dPr>
          <m:e>
            <m:f>
              <m:fPr>
                <m:ctrlPr>
                  <w:rPr>
                    <w:rFonts w:ascii="Cambria Math" w:eastAsiaTheme="minorEastAsia" w:hAnsi="Cambria Math"/>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i,t</m:t>
                    </m:r>
                  </m:sub>
                </m:sSub>
              </m:num>
              <m:den>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i,t-1</m:t>
                    </m:r>
                  </m:sub>
                </m:sSub>
              </m:den>
            </m:f>
          </m:e>
        </m:d>
      </m:oMath>
      <w:r w:rsidR="00F26DE7" w:rsidRPr="0079784F">
        <w:rPr>
          <w:rFonts w:eastAsiaTheme="minorEastAsia"/>
          <w:szCs w:val="24"/>
        </w:rPr>
        <w:tab/>
      </w:r>
      <w:r w:rsidR="001C3FE5">
        <w:rPr>
          <w:rFonts w:eastAsiaTheme="minorEastAsia"/>
          <w:szCs w:val="24"/>
        </w:rPr>
        <w:tab/>
      </w:r>
      <w:r w:rsidR="001C3FE5">
        <w:rPr>
          <w:rFonts w:eastAsiaTheme="minorEastAsia"/>
          <w:szCs w:val="24"/>
        </w:rPr>
        <w:tab/>
      </w:r>
      <w:r w:rsidR="00F26DE7" w:rsidRPr="0079784F">
        <w:rPr>
          <w:rFonts w:eastAsiaTheme="minorEastAsia"/>
          <w:szCs w:val="24"/>
        </w:rPr>
        <w:t>(1)</w:t>
      </w:r>
    </w:p>
    <w:p w:rsidR="00F26DE7" w:rsidRPr="0079784F" w:rsidRDefault="00F26DE7" w:rsidP="00F26DE7">
      <w:pPr>
        <w:ind w:firstLine="0"/>
        <w:rPr>
          <w:rFonts w:eastAsiaTheme="minorEastAsia"/>
          <w:szCs w:val="24"/>
        </w:rPr>
      </w:pPr>
      <w:proofErr w:type="gramStart"/>
      <w:r w:rsidRPr="0079784F">
        <w:rPr>
          <w:rFonts w:eastAsiaTheme="minorEastAsia"/>
          <w:szCs w:val="24"/>
        </w:rPr>
        <w:t>onde</w:t>
      </w:r>
      <w:proofErr w:type="gramEnd"/>
      <w:r w:rsidRPr="0079784F">
        <w:rPr>
          <w:rFonts w:eastAsiaTheme="minorEastAsia"/>
          <w:szCs w:val="24"/>
        </w:rPr>
        <w:t>:</w:t>
      </w:r>
    </w:p>
    <w:p w:rsidR="00F26DE7" w:rsidRPr="0079784F" w:rsidRDefault="00F26DE7" w:rsidP="00F26DE7">
      <w:pPr>
        <w:ind w:firstLine="0"/>
        <w:rPr>
          <w:rFonts w:eastAsiaTheme="minorEastAsia"/>
          <w:szCs w:val="24"/>
        </w:rPr>
      </w:pPr>
      <w:r w:rsidRPr="0079784F">
        <w:rPr>
          <w:rFonts w:eastAsiaTheme="minorEastAsia"/>
          <w:szCs w:val="24"/>
        </w:rPr>
        <w:t>r = taxa de retorno</w:t>
      </w:r>
    </w:p>
    <w:p w:rsidR="00F26DE7" w:rsidRPr="0079784F" w:rsidRDefault="003879FD" w:rsidP="00F26DE7">
      <w:pPr>
        <w:ind w:firstLine="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t</m:t>
            </m:r>
          </m:sub>
        </m:sSub>
      </m:oMath>
      <w:r w:rsidR="00F26DE7" w:rsidRPr="0079784F">
        <w:rPr>
          <w:rFonts w:eastAsiaTheme="minorEastAsia"/>
          <w:i/>
          <w:szCs w:val="24"/>
        </w:rPr>
        <w:t xml:space="preserve"> = </w:t>
      </w:r>
      <w:r w:rsidR="00F26DE7" w:rsidRPr="0079784F">
        <w:rPr>
          <w:rFonts w:eastAsiaTheme="minorEastAsia"/>
          <w:szCs w:val="24"/>
        </w:rPr>
        <w:t xml:space="preserve">preço </w:t>
      </w:r>
      <w:r w:rsidR="00F846C5" w:rsidRPr="0079784F">
        <w:rPr>
          <w:rFonts w:eastAsiaTheme="minorEastAsia"/>
          <w:szCs w:val="24"/>
        </w:rPr>
        <w:t xml:space="preserve">logarítmico </w:t>
      </w:r>
      <w:r w:rsidR="00F26DE7" w:rsidRPr="0079784F">
        <w:rPr>
          <w:rFonts w:eastAsiaTheme="minorEastAsia"/>
          <w:szCs w:val="24"/>
        </w:rPr>
        <w:t>da ação</w:t>
      </w:r>
      <w:r w:rsidR="009B1203">
        <w:rPr>
          <w:rFonts w:eastAsiaTheme="minorEastAsia"/>
          <w:szCs w:val="24"/>
        </w:rPr>
        <w:t xml:space="preserve"> </w:t>
      </w:r>
      <w:r w:rsidR="009B1203" w:rsidRPr="0079784F">
        <w:rPr>
          <w:rFonts w:eastAsiaTheme="minorEastAsia"/>
          <w:szCs w:val="24"/>
        </w:rPr>
        <w:t xml:space="preserve">da empresa </w:t>
      </w:r>
      <w:r w:rsidR="009B1203" w:rsidRPr="0079784F">
        <w:rPr>
          <w:rFonts w:eastAsiaTheme="minorEastAsia"/>
          <w:i/>
          <w:szCs w:val="24"/>
        </w:rPr>
        <w:t>i</w:t>
      </w:r>
      <w:r w:rsidR="00F26DE7" w:rsidRPr="0079784F">
        <w:rPr>
          <w:rFonts w:eastAsiaTheme="minorEastAsia"/>
          <w:szCs w:val="24"/>
        </w:rPr>
        <w:t xml:space="preserve"> na data </w:t>
      </w:r>
      <w:r w:rsidR="00F26DE7" w:rsidRPr="0079784F">
        <w:rPr>
          <w:rFonts w:eastAsiaTheme="minorEastAsia"/>
          <w:i/>
          <w:szCs w:val="24"/>
        </w:rPr>
        <w:t>t</w:t>
      </w:r>
      <w:r w:rsidR="00F26DE7" w:rsidRPr="0079784F">
        <w:rPr>
          <w:rFonts w:eastAsiaTheme="minorEastAsia"/>
          <w:szCs w:val="24"/>
        </w:rPr>
        <w:t>;</w:t>
      </w:r>
    </w:p>
    <w:p w:rsidR="00092996" w:rsidRPr="0079784F" w:rsidRDefault="003879FD" w:rsidP="00092996">
      <w:pPr>
        <w:ind w:firstLine="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t-1</m:t>
            </m:r>
          </m:sub>
        </m:sSub>
      </m:oMath>
      <w:r w:rsidR="00F26DE7" w:rsidRPr="0079784F">
        <w:rPr>
          <w:rFonts w:eastAsiaTheme="minorEastAsia"/>
          <w:i/>
          <w:szCs w:val="24"/>
        </w:rPr>
        <w:t xml:space="preserve"> = </w:t>
      </w:r>
      <w:r w:rsidR="00092996" w:rsidRPr="0079784F">
        <w:rPr>
          <w:rFonts w:eastAsiaTheme="minorEastAsia"/>
          <w:szCs w:val="24"/>
        </w:rPr>
        <w:t xml:space="preserve">preço </w:t>
      </w:r>
      <w:r w:rsidR="00F846C5" w:rsidRPr="0079784F">
        <w:rPr>
          <w:rFonts w:eastAsiaTheme="minorEastAsia"/>
          <w:szCs w:val="24"/>
        </w:rPr>
        <w:t xml:space="preserve">logarítmico </w:t>
      </w:r>
      <w:r w:rsidR="00092996" w:rsidRPr="0079784F">
        <w:rPr>
          <w:rFonts w:eastAsiaTheme="minorEastAsia"/>
          <w:szCs w:val="24"/>
        </w:rPr>
        <w:t xml:space="preserve">da ação </w:t>
      </w:r>
      <w:r w:rsidR="009B1203" w:rsidRPr="0079784F">
        <w:rPr>
          <w:rFonts w:eastAsiaTheme="minorEastAsia"/>
          <w:szCs w:val="24"/>
        </w:rPr>
        <w:t xml:space="preserve">da empresa </w:t>
      </w:r>
      <w:r w:rsidR="009B1203" w:rsidRPr="0079784F">
        <w:rPr>
          <w:rFonts w:eastAsiaTheme="minorEastAsia"/>
          <w:i/>
          <w:szCs w:val="24"/>
        </w:rPr>
        <w:t xml:space="preserve">i </w:t>
      </w:r>
      <w:r w:rsidR="00092996" w:rsidRPr="0079784F">
        <w:rPr>
          <w:rFonts w:eastAsiaTheme="minorEastAsia"/>
          <w:szCs w:val="24"/>
        </w:rPr>
        <w:t xml:space="preserve">na data </w:t>
      </w:r>
      <w:r w:rsidR="00092996" w:rsidRPr="0079784F">
        <w:rPr>
          <w:rFonts w:eastAsiaTheme="minorEastAsia"/>
          <w:i/>
          <w:szCs w:val="24"/>
        </w:rPr>
        <w:t>t-1</w:t>
      </w:r>
      <w:r w:rsidR="00092996" w:rsidRPr="0079784F">
        <w:rPr>
          <w:rFonts w:eastAsiaTheme="minorEastAsia"/>
          <w:szCs w:val="24"/>
        </w:rPr>
        <w:t>;</w:t>
      </w:r>
    </w:p>
    <w:p w:rsidR="00684CA0" w:rsidRPr="00BD12B6" w:rsidRDefault="00684CA0" w:rsidP="00684CA0">
      <w:pPr>
        <w:rPr>
          <w:sz w:val="20"/>
        </w:rPr>
      </w:pPr>
    </w:p>
    <w:p w:rsidR="00684CA0" w:rsidRPr="0079784F" w:rsidRDefault="00684CA0" w:rsidP="00684CA0">
      <w:pPr>
        <w:ind w:firstLine="708"/>
        <w:jc w:val="center"/>
        <w:rPr>
          <w:rFonts w:eastAsiaTheme="minorEastAsia"/>
          <w:szCs w:val="24"/>
        </w:rPr>
      </w:pPr>
      <m:oMath>
        <m:r>
          <w:rPr>
            <w:rFonts w:ascii="Cambria Math" w:hAnsi="Cambria Math"/>
            <w:szCs w:val="24"/>
          </w:rPr>
          <m:t>A</m:t>
        </m:r>
        <m:sSub>
          <m:sSubPr>
            <m:ctrlPr>
              <w:rPr>
                <w:rFonts w:ascii="Cambria Math" w:eastAsiaTheme="minorEastAsia" w:hAnsi="Cambria Math"/>
                <w:i/>
                <w:szCs w:val="24"/>
              </w:rPr>
            </m:ctrlPr>
          </m:sSubPr>
          <m:e>
            <m:r>
              <w:rPr>
                <w:rFonts w:ascii="Cambria Math" w:hAnsi="Cambria Math"/>
                <w:szCs w:val="24"/>
              </w:rPr>
              <m:t>R</m:t>
            </m:r>
            <m:ctrlPr>
              <w:rPr>
                <w:rFonts w:ascii="Cambria Math" w:hAnsi="Cambria Math"/>
                <w:i/>
                <w:szCs w:val="24"/>
              </w:rPr>
            </m:ctrlPr>
          </m:e>
          <m:sub>
            <m:r>
              <w:rPr>
                <w:rFonts w:ascii="Cambria Math" w:eastAsiaTheme="minorEastAsia" w:hAnsi="Cambria Math"/>
                <w:szCs w:val="24"/>
              </w:rPr>
              <m:t>i,t</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r>
          <w:rPr>
            <w:rFonts w:ascii="Cambria Math" w:eastAsiaTheme="minorEastAsia" w:hAnsi="Cambria Math"/>
            <w:szCs w:val="24"/>
          </w:rPr>
          <m:t>-E</m:t>
        </m:r>
        <m:d>
          <m:dPr>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e>
        </m:d>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t</m:t>
            </m:r>
          </m:sub>
        </m:sSub>
        <m:r>
          <w:rPr>
            <w:rFonts w:ascii="Cambria Math" w:eastAsiaTheme="minorEastAsia" w:hAnsi="Cambria Math"/>
            <w:szCs w:val="24"/>
          </w:rPr>
          <m:t xml:space="preserve">) </m:t>
        </m:r>
      </m:oMath>
      <w:r w:rsidRPr="0079784F">
        <w:rPr>
          <w:rFonts w:eastAsiaTheme="minorEastAsia"/>
          <w:szCs w:val="24"/>
        </w:rPr>
        <w:tab/>
      </w:r>
      <w:r w:rsidR="001C3FE5">
        <w:rPr>
          <w:rFonts w:eastAsiaTheme="minorEastAsia"/>
          <w:szCs w:val="24"/>
        </w:rPr>
        <w:t xml:space="preserve">    </w:t>
      </w:r>
      <w:r w:rsidR="001C3FE5">
        <w:rPr>
          <w:rFonts w:eastAsiaTheme="minorEastAsia"/>
          <w:szCs w:val="24"/>
        </w:rPr>
        <w:tab/>
      </w:r>
      <w:r w:rsidRPr="0079784F">
        <w:rPr>
          <w:rFonts w:eastAsiaTheme="minorEastAsia"/>
          <w:szCs w:val="24"/>
        </w:rPr>
        <w:t>(</w:t>
      </w:r>
      <w:r w:rsidR="00F26DE7" w:rsidRPr="0079784F">
        <w:rPr>
          <w:rFonts w:eastAsiaTheme="minorEastAsia"/>
          <w:szCs w:val="24"/>
        </w:rPr>
        <w:t>2</w:t>
      </w:r>
      <w:r w:rsidRPr="0079784F">
        <w:rPr>
          <w:rFonts w:eastAsiaTheme="minorEastAsia"/>
          <w:szCs w:val="24"/>
        </w:rPr>
        <w:t>)</w:t>
      </w:r>
    </w:p>
    <w:p w:rsidR="00684CA0" w:rsidRPr="0079784F" w:rsidRDefault="00970C6F" w:rsidP="00970C6F">
      <w:pPr>
        <w:ind w:firstLine="0"/>
        <w:rPr>
          <w:rFonts w:eastAsiaTheme="minorEastAsia"/>
          <w:szCs w:val="24"/>
        </w:rPr>
      </w:pPr>
      <w:proofErr w:type="gramStart"/>
      <w:r w:rsidRPr="0079784F">
        <w:rPr>
          <w:rFonts w:eastAsiaTheme="minorEastAsia"/>
          <w:szCs w:val="24"/>
        </w:rPr>
        <w:t>onde</w:t>
      </w:r>
      <w:proofErr w:type="gramEnd"/>
      <w:r w:rsidR="00684CA0" w:rsidRPr="0079784F">
        <w:rPr>
          <w:rFonts w:eastAsiaTheme="minorEastAsia"/>
          <w:szCs w:val="24"/>
        </w:rPr>
        <w:t>:</w:t>
      </w:r>
    </w:p>
    <w:p w:rsidR="00684CA0" w:rsidRPr="0079784F" w:rsidRDefault="00684CA0" w:rsidP="00970C6F">
      <w:pPr>
        <w:ind w:firstLine="0"/>
        <w:rPr>
          <w:rFonts w:eastAsiaTheme="minorEastAsia"/>
          <w:szCs w:val="24"/>
        </w:rPr>
      </w:pPr>
      <m:oMath>
        <m:r>
          <w:rPr>
            <w:rFonts w:ascii="Cambria Math" w:hAnsi="Cambria Math"/>
            <w:szCs w:val="24"/>
          </w:rPr>
          <m:t>A</m:t>
        </m:r>
        <m:sSub>
          <m:sSubPr>
            <m:ctrlPr>
              <w:rPr>
                <w:rFonts w:ascii="Cambria Math" w:eastAsiaTheme="minorEastAsia" w:hAnsi="Cambria Math"/>
                <w:i/>
                <w:szCs w:val="24"/>
              </w:rPr>
            </m:ctrlPr>
          </m:sSubPr>
          <m:e>
            <m:r>
              <w:rPr>
                <w:rFonts w:ascii="Cambria Math" w:hAnsi="Cambria Math"/>
                <w:szCs w:val="24"/>
              </w:rPr>
              <m:t>R</m:t>
            </m:r>
            <m:ctrlPr>
              <w:rPr>
                <w:rFonts w:ascii="Cambria Math" w:hAnsi="Cambria Math"/>
                <w:i/>
                <w:szCs w:val="24"/>
              </w:rPr>
            </m:ctrlPr>
          </m:e>
          <m:sub>
            <m:r>
              <w:rPr>
                <w:rFonts w:ascii="Cambria Math" w:eastAsiaTheme="minorEastAsia" w:hAnsi="Cambria Math"/>
                <w:szCs w:val="24"/>
              </w:rPr>
              <m:t>i,t</m:t>
            </m:r>
          </m:sub>
        </m:sSub>
      </m:oMath>
      <w:r w:rsidRPr="0079784F">
        <w:rPr>
          <w:rFonts w:eastAsiaTheme="minorEastAsia"/>
          <w:szCs w:val="24"/>
        </w:rPr>
        <w:t xml:space="preserve"> = retorno anormal da empresa </w:t>
      </w:r>
      <w:r w:rsidRPr="0079784F">
        <w:rPr>
          <w:rFonts w:eastAsiaTheme="minorEastAsia"/>
          <w:i/>
          <w:szCs w:val="24"/>
        </w:rPr>
        <w:t xml:space="preserve">i </w:t>
      </w:r>
      <w:r w:rsidRPr="0079784F">
        <w:rPr>
          <w:rFonts w:eastAsiaTheme="minorEastAsia"/>
          <w:szCs w:val="24"/>
        </w:rPr>
        <w:t xml:space="preserve">no tempo </w:t>
      </w:r>
      <w:r w:rsidRPr="0079784F">
        <w:rPr>
          <w:rFonts w:eastAsiaTheme="minorEastAsia"/>
          <w:i/>
          <w:szCs w:val="24"/>
        </w:rPr>
        <w:t>t</w:t>
      </w:r>
      <w:r w:rsidRPr="0079784F">
        <w:rPr>
          <w:rFonts w:eastAsiaTheme="minorEastAsia"/>
          <w:szCs w:val="24"/>
        </w:rPr>
        <w:t>;</w:t>
      </w:r>
    </w:p>
    <w:p w:rsidR="00684CA0" w:rsidRPr="0079784F" w:rsidRDefault="003879FD" w:rsidP="00970C6F">
      <w:pPr>
        <w:ind w:firstLine="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oMath>
      <w:r w:rsidR="00684CA0" w:rsidRPr="0079784F">
        <w:rPr>
          <w:rFonts w:eastAsiaTheme="minorEastAsia"/>
          <w:i/>
          <w:szCs w:val="24"/>
        </w:rPr>
        <w:t xml:space="preserve"> = </w:t>
      </w:r>
      <w:r w:rsidR="00684CA0" w:rsidRPr="0079784F">
        <w:rPr>
          <w:rFonts w:eastAsiaTheme="minorEastAsia"/>
          <w:szCs w:val="24"/>
        </w:rPr>
        <w:t xml:space="preserve">retorno logarítmico observado da empresa </w:t>
      </w:r>
      <w:r w:rsidR="00684CA0" w:rsidRPr="0079784F">
        <w:rPr>
          <w:rFonts w:eastAsiaTheme="minorEastAsia"/>
          <w:i/>
          <w:szCs w:val="24"/>
        </w:rPr>
        <w:t xml:space="preserve">i </w:t>
      </w:r>
      <w:r w:rsidR="00684CA0" w:rsidRPr="0079784F">
        <w:rPr>
          <w:rFonts w:eastAsiaTheme="minorEastAsia"/>
          <w:szCs w:val="24"/>
        </w:rPr>
        <w:t xml:space="preserve">no tempo </w:t>
      </w:r>
      <w:r w:rsidR="00684CA0" w:rsidRPr="0079784F">
        <w:rPr>
          <w:rFonts w:eastAsiaTheme="minorEastAsia"/>
          <w:i/>
          <w:szCs w:val="24"/>
        </w:rPr>
        <w:t>t</w:t>
      </w:r>
      <w:r w:rsidR="00684CA0" w:rsidRPr="0079784F">
        <w:rPr>
          <w:rFonts w:eastAsiaTheme="minorEastAsia"/>
          <w:szCs w:val="24"/>
        </w:rPr>
        <w:t>;</w:t>
      </w:r>
    </w:p>
    <w:p w:rsidR="00684CA0" w:rsidRPr="0079784F" w:rsidRDefault="00684CA0" w:rsidP="00970C6F">
      <w:pPr>
        <w:ind w:firstLine="0"/>
        <w:rPr>
          <w:rFonts w:eastAsiaTheme="minorEastAsia"/>
          <w:szCs w:val="24"/>
        </w:rPr>
      </w:pPr>
      <m:oMath>
        <m:r>
          <w:rPr>
            <w:rFonts w:ascii="Cambria Math" w:eastAsiaTheme="minorEastAsia" w:hAnsi="Cambria Math"/>
            <w:szCs w:val="24"/>
          </w:rPr>
          <m:t>E</m:t>
        </m:r>
        <m:d>
          <m:dPr>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e>
        </m:d>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t</m:t>
            </m:r>
          </m:sub>
        </m:sSub>
        <m:r>
          <w:rPr>
            <w:rFonts w:ascii="Cambria Math" w:eastAsiaTheme="minorEastAsia" w:hAnsi="Cambria Math"/>
            <w:szCs w:val="24"/>
          </w:rPr>
          <m:t>)</m:t>
        </m:r>
      </m:oMath>
      <w:r w:rsidRPr="0079784F">
        <w:rPr>
          <w:rFonts w:eastAsiaTheme="minorEastAsia"/>
          <w:i/>
          <w:szCs w:val="24"/>
        </w:rPr>
        <w:t xml:space="preserve"> = </w:t>
      </w:r>
      <w:r w:rsidRPr="0079784F">
        <w:rPr>
          <w:rFonts w:eastAsiaTheme="minorEastAsia"/>
          <w:szCs w:val="24"/>
        </w:rPr>
        <w:t xml:space="preserve">retorno esperado </w:t>
      </w:r>
      <w:r w:rsidR="0079784F" w:rsidRPr="0079784F">
        <w:rPr>
          <w:rFonts w:eastAsiaTheme="minorEastAsia"/>
          <w:szCs w:val="24"/>
        </w:rPr>
        <w:t xml:space="preserve">normal </w:t>
      </w:r>
      <w:r w:rsidRPr="0079784F">
        <w:rPr>
          <w:rFonts w:eastAsiaTheme="minorEastAsia"/>
          <w:szCs w:val="24"/>
        </w:rPr>
        <w:t xml:space="preserve">da empresa </w:t>
      </w:r>
      <w:r w:rsidRPr="0079784F">
        <w:rPr>
          <w:rFonts w:eastAsiaTheme="minorEastAsia"/>
          <w:i/>
          <w:szCs w:val="24"/>
        </w:rPr>
        <w:t xml:space="preserve">i </w:t>
      </w:r>
      <w:r w:rsidRPr="0079784F">
        <w:rPr>
          <w:rFonts w:eastAsiaTheme="minorEastAsia"/>
          <w:szCs w:val="24"/>
        </w:rPr>
        <w:t xml:space="preserve">no tempo </w:t>
      </w:r>
      <w:r w:rsidRPr="0079784F">
        <w:rPr>
          <w:rFonts w:eastAsiaTheme="minorEastAsia"/>
          <w:i/>
          <w:szCs w:val="24"/>
        </w:rPr>
        <w:t>t</w:t>
      </w:r>
      <w:r w:rsidRPr="0079784F">
        <w:rPr>
          <w:rFonts w:eastAsiaTheme="minorEastAsia"/>
          <w:szCs w:val="24"/>
        </w:rPr>
        <w:t>.</w:t>
      </w:r>
    </w:p>
    <w:p w:rsidR="00970C6F" w:rsidRPr="00BD12B6" w:rsidRDefault="00970C6F" w:rsidP="00684CA0">
      <w:pPr>
        <w:ind w:firstLine="708"/>
        <w:rPr>
          <w:rFonts w:eastAsiaTheme="minorEastAsia"/>
          <w:sz w:val="20"/>
        </w:rPr>
      </w:pPr>
    </w:p>
    <w:p w:rsidR="004129E7" w:rsidRPr="00E614B2" w:rsidRDefault="00970C6F" w:rsidP="00684CA0">
      <w:pPr>
        <w:ind w:firstLine="708"/>
        <w:rPr>
          <w:sz w:val="20"/>
        </w:rPr>
      </w:pPr>
      <w:r w:rsidRPr="0079784F">
        <w:rPr>
          <w:rFonts w:eastAsiaTheme="minorEastAsia"/>
          <w:szCs w:val="24"/>
        </w:rPr>
        <w:t>O retorno normal esperado</w:t>
      </w:r>
      <w:r w:rsidR="00684CA0" w:rsidRPr="0079784F">
        <w:rPr>
          <w:rFonts w:eastAsiaTheme="minorEastAsia"/>
          <w:szCs w:val="24"/>
        </w:rPr>
        <w:t xml:space="preserve"> pelo método de modelo de mercado </w:t>
      </w:r>
      <w:r w:rsidRPr="0079784F">
        <w:rPr>
          <w:rFonts w:eastAsiaTheme="minorEastAsia"/>
          <w:szCs w:val="24"/>
        </w:rPr>
        <w:t>é calculado</w:t>
      </w:r>
      <w:r w:rsidR="00684CA0" w:rsidRPr="0079784F">
        <w:rPr>
          <w:rFonts w:eastAsiaTheme="minorEastAsia"/>
          <w:szCs w:val="24"/>
        </w:rPr>
        <w:t xml:space="preserve"> utilizando os parâmetros de uma relação linear entre o retorno da ação e o retorno de mercado </w:t>
      </w:r>
      <w:r w:rsidRPr="0079784F">
        <w:rPr>
          <w:rFonts w:eastAsiaTheme="minorEastAsia"/>
          <w:szCs w:val="24"/>
        </w:rPr>
        <w:t>em um</w:t>
      </w:r>
      <w:r w:rsidR="00684CA0" w:rsidRPr="0079784F">
        <w:rPr>
          <w:rFonts w:eastAsiaTheme="minorEastAsia"/>
          <w:szCs w:val="24"/>
        </w:rPr>
        <w:t xml:space="preserve"> determinado período</w:t>
      </w:r>
      <w:r w:rsidR="00684CA0" w:rsidRPr="0079784F">
        <w:rPr>
          <w:rFonts w:eastAsiaTheme="minorEastAsia"/>
          <w:i/>
          <w:szCs w:val="24"/>
        </w:rPr>
        <w:t>.</w:t>
      </w:r>
      <w:r w:rsidR="00684CA0" w:rsidRPr="0079784F">
        <w:rPr>
          <w:rFonts w:eastAsiaTheme="minorEastAsia"/>
          <w:szCs w:val="24"/>
        </w:rPr>
        <w:t xml:space="preserve"> </w:t>
      </w:r>
      <w:r w:rsidR="00684CA0" w:rsidRPr="0079784F">
        <w:rPr>
          <w:szCs w:val="24"/>
        </w:rPr>
        <w:t xml:space="preserve">Para isso, </w:t>
      </w:r>
      <w:r w:rsidRPr="0079784F">
        <w:rPr>
          <w:szCs w:val="24"/>
        </w:rPr>
        <w:t>é preciso</w:t>
      </w:r>
      <w:r w:rsidR="00684CA0" w:rsidRPr="0079784F">
        <w:rPr>
          <w:szCs w:val="24"/>
        </w:rPr>
        <w:t xml:space="preserve"> estabelecer uma janela de estimação di</w:t>
      </w:r>
      <w:r w:rsidR="00D11B85" w:rsidRPr="0079784F">
        <w:rPr>
          <w:szCs w:val="24"/>
        </w:rPr>
        <w:t>ária anterior ao evento entre o retorno</w:t>
      </w:r>
      <w:r w:rsidR="00684CA0" w:rsidRPr="0079784F">
        <w:rPr>
          <w:szCs w:val="24"/>
        </w:rPr>
        <w:t xml:space="preserve"> da</w:t>
      </w:r>
      <w:r w:rsidR="00D11B85" w:rsidRPr="0079784F">
        <w:rPr>
          <w:szCs w:val="24"/>
        </w:rPr>
        <w:t xml:space="preserve"> ação</w:t>
      </w:r>
      <w:r w:rsidR="00684CA0" w:rsidRPr="0079784F">
        <w:rPr>
          <w:szCs w:val="24"/>
        </w:rPr>
        <w:t xml:space="preserve"> da empresa e </w:t>
      </w:r>
      <w:r w:rsidR="00D11B85" w:rsidRPr="0079784F">
        <w:rPr>
          <w:szCs w:val="24"/>
        </w:rPr>
        <w:t>o r</w:t>
      </w:r>
      <w:r w:rsidR="00684CA0" w:rsidRPr="0079784F">
        <w:rPr>
          <w:szCs w:val="24"/>
        </w:rPr>
        <w:t>etorno de</w:t>
      </w:r>
      <w:r w:rsidR="00684CA0" w:rsidRPr="004129E7">
        <w:rPr>
          <w:szCs w:val="24"/>
        </w:rPr>
        <w:t xml:space="preserve"> mercado</w:t>
      </w:r>
      <w:r w:rsidR="007E7939" w:rsidRPr="004129E7">
        <w:rPr>
          <w:szCs w:val="24"/>
        </w:rPr>
        <w:t xml:space="preserve"> (n</w:t>
      </w:r>
      <w:r w:rsidR="00D11B85" w:rsidRPr="004129E7">
        <w:rPr>
          <w:szCs w:val="24"/>
        </w:rPr>
        <w:t>este estudo</w:t>
      </w:r>
      <w:r w:rsidR="00684CA0" w:rsidRPr="004129E7">
        <w:rPr>
          <w:szCs w:val="24"/>
        </w:rPr>
        <w:t xml:space="preserve">, </w:t>
      </w:r>
      <w:r w:rsidR="00D11B85" w:rsidRPr="004129E7">
        <w:rPr>
          <w:szCs w:val="24"/>
        </w:rPr>
        <w:t>utilizou-se</w:t>
      </w:r>
      <w:r w:rsidR="00684CA0" w:rsidRPr="004129E7">
        <w:rPr>
          <w:szCs w:val="24"/>
        </w:rPr>
        <w:t xml:space="preserve"> o Índice Bovespa</w:t>
      </w:r>
      <w:r w:rsidR="00542631">
        <w:rPr>
          <w:szCs w:val="24"/>
        </w:rPr>
        <w:t xml:space="preserve"> para o retorno de mercado</w:t>
      </w:r>
      <w:r w:rsidR="007E7939" w:rsidRPr="004129E7">
        <w:rPr>
          <w:szCs w:val="24"/>
        </w:rPr>
        <w:t>). E</w:t>
      </w:r>
      <w:r w:rsidR="00684CA0" w:rsidRPr="004129E7">
        <w:rPr>
          <w:szCs w:val="24"/>
        </w:rPr>
        <w:t>ssa janela deve ser extensa o suficiente para diluir possíveis discrepâncias de preços sem alterar a distribuição de frequência e não deve sobrepor o período do evento (</w:t>
      </w:r>
      <w:proofErr w:type="spellStart"/>
      <w:r w:rsidR="00684CA0" w:rsidRPr="004129E7">
        <w:rPr>
          <w:szCs w:val="24"/>
        </w:rPr>
        <w:t>Camargos</w:t>
      </w:r>
      <w:proofErr w:type="spellEnd"/>
      <w:r w:rsidR="00684CA0" w:rsidRPr="004129E7">
        <w:rPr>
          <w:szCs w:val="24"/>
        </w:rPr>
        <w:t xml:space="preserve"> &amp; Barbosa, 2010). Com base nos trabalhos de André</w:t>
      </w:r>
      <w:r w:rsidR="004129E7" w:rsidRPr="004129E7">
        <w:rPr>
          <w:szCs w:val="24"/>
        </w:rPr>
        <w:t>,</w:t>
      </w:r>
      <w:r w:rsidR="00684CA0" w:rsidRPr="004129E7">
        <w:rPr>
          <w:szCs w:val="24"/>
        </w:rPr>
        <w:t xml:space="preserve"> </w:t>
      </w:r>
      <w:r w:rsidR="004129E7" w:rsidRPr="004129E7">
        <w:rPr>
          <w:color w:val="222222"/>
          <w:szCs w:val="24"/>
          <w:shd w:val="clear" w:color="auto" w:fill="FFFFFF"/>
        </w:rPr>
        <w:t xml:space="preserve">Ben-Amar e </w:t>
      </w:r>
      <w:proofErr w:type="spellStart"/>
      <w:r w:rsidR="004129E7" w:rsidRPr="004129E7">
        <w:rPr>
          <w:color w:val="222222"/>
          <w:szCs w:val="24"/>
          <w:shd w:val="clear" w:color="auto" w:fill="FFFFFF"/>
        </w:rPr>
        <w:t>Saadi</w:t>
      </w:r>
      <w:proofErr w:type="spellEnd"/>
      <w:r w:rsidR="004129E7" w:rsidRPr="004129E7">
        <w:rPr>
          <w:color w:val="222222"/>
          <w:szCs w:val="24"/>
          <w:shd w:val="clear" w:color="auto" w:fill="FFFFFF"/>
        </w:rPr>
        <w:t xml:space="preserve"> (2014) </w:t>
      </w:r>
      <w:r w:rsidR="00684CA0" w:rsidRPr="004129E7">
        <w:rPr>
          <w:szCs w:val="24"/>
        </w:rPr>
        <w:t xml:space="preserve">e Ben-Amar e André (2006), estabeleceu-se uma janela de 200 dias (-240, -40), considerando a data do evento como o marco </w:t>
      </w:r>
      <w:proofErr w:type="gramStart"/>
      <w:r w:rsidR="00684CA0" w:rsidRPr="004129E7">
        <w:rPr>
          <w:szCs w:val="24"/>
        </w:rPr>
        <w:t>0</w:t>
      </w:r>
      <w:proofErr w:type="gramEnd"/>
      <w:r w:rsidR="00684CA0" w:rsidRPr="004129E7">
        <w:rPr>
          <w:szCs w:val="24"/>
        </w:rPr>
        <w:t xml:space="preserve">. </w:t>
      </w:r>
      <w:r w:rsidR="00684CA0" w:rsidRPr="004129E7">
        <w:rPr>
          <w:rFonts w:eastAsiaTheme="minorEastAsia"/>
          <w:szCs w:val="24"/>
        </w:rPr>
        <w:t>Apresenta-se a fórmula dos retornos normais esperados:</w:t>
      </w:r>
    </w:p>
    <w:p w:rsidR="00684CA0" w:rsidRPr="004129E7" w:rsidRDefault="00684CA0" w:rsidP="00684CA0">
      <w:pPr>
        <w:ind w:firstLine="708"/>
        <w:jc w:val="center"/>
        <w:rPr>
          <w:rFonts w:eastAsiaTheme="minorEastAsia"/>
          <w:szCs w:val="24"/>
        </w:rPr>
      </w:pPr>
      <m:oMath>
        <m:r>
          <w:rPr>
            <w:rFonts w:ascii="Cambria Math" w:eastAsiaTheme="minorEastAsia" w:hAnsi="Cambria Math"/>
            <w:szCs w:val="24"/>
          </w:rPr>
          <m:t>E</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i</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m,t</m:t>
                </m:r>
              </m:sub>
            </m:sSub>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i,t</m:t>
            </m:r>
          </m:sub>
        </m:sSub>
      </m:oMath>
      <w:r w:rsidRPr="004129E7">
        <w:rPr>
          <w:rFonts w:eastAsiaTheme="minorEastAsia"/>
          <w:szCs w:val="24"/>
        </w:rPr>
        <w:t xml:space="preserve"> </w:t>
      </w:r>
      <w:r w:rsidRPr="004129E7">
        <w:rPr>
          <w:rFonts w:eastAsiaTheme="minorEastAsia"/>
          <w:szCs w:val="24"/>
        </w:rPr>
        <w:tab/>
        <w:t>(</w:t>
      </w:r>
      <w:r w:rsidR="00F26DE7">
        <w:rPr>
          <w:rFonts w:eastAsiaTheme="minorEastAsia"/>
          <w:szCs w:val="24"/>
        </w:rPr>
        <w:t>3</w:t>
      </w:r>
      <w:r w:rsidRPr="004129E7">
        <w:rPr>
          <w:rFonts w:eastAsiaTheme="minorEastAsia"/>
          <w:szCs w:val="24"/>
        </w:rPr>
        <w:t>)</w:t>
      </w:r>
    </w:p>
    <w:p w:rsidR="00856420" w:rsidRPr="00E614B2" w:rsidRDefault="00856420" w:rsidP="004129E7">
      <w:pPr>
        <w:ind w:firstLine="0"/>
        <w:rPr>
          <w:rFonts w:eastAsiaTheme="minorEastAsia"/>
          <w:sz w:val="20"/>
        </w:rPr>
      </w:pPr>
    </w:p>
    <w:p w:rsidR="00684CA0" w:rsidRPr="004129E7" w:rsidRDefault="00684CA0" w:rsidP="004129E7">
      <w:pPr>
        <w:ind w:firstLine="0"/>
        <w:rPr>
          <w:rFonts w:eastAsiaTheme="minorEastAsia"/>
          <w:szCs w:val="24"/>
        </w:rPr>
      </w:pPr>
      <w:r w:rsidRPr="004129E7">
        <w:rPr>
          <w:rFonts w:eastAsiaTheme="minorEastAsia"/>
          <w:szCs w:val="24"/>
        </w:rPr>
        <w:t xml:space="preserve">Na qual: </w:t>
      </w:r>
      <m:oMath>
        <m:r>
          <w:rPr>
            <w:rFonts w:ascii="Cambria Math" w:eastAsiaTheme="minorEastAsia" w:hAnsi="Cambria Math"/>
            <w:szCs w:val="24"/>
          </w:rPr>
          <m:t>E(</m:t>
        </m:r>
        <m:sSub>
          <m:sSubPr>
            <m:ctrlPr>
              <w:rPr>
                <w:rFonts w:ascii="Cambria Math" w:eastAsiaTheme="minorEastAsia" w:hAnsi="Cambria Math"/>
                <w:i/>
                <w:szCs w:val="24"/>
              </w:rPr>
            </m:ctrlPr>
          </m:sSubPr>
          <m:e>
            <m:r>
              <w:rPr>
                <w:rFonts w:ascii="Cambria Math" w:eastAsiaTheme="minorEastAsia" w:hAnsi="Cambria Math"/>
                <w:szCs w:val="24"/>
              </w:rPr>
              <m:t>ε</m:t>
            </m:r>
          </m:e>
          <m:sub>
            <m:r>
              <w:rPr>
                <w:rFonts w:ascii="Cambria Math" w:eastAsiaTheme="minorEastAsia" w:hAnsi="Cambria Math"/>
                <w:szCs w:val="24"/>
              </w:rPr>
              <m:t>i,t</m:t>
            </m:r>
          </m:sub>
        </m:sSub>
      </m:oMath>
      <w:r w:rsidRPr="004129E7">
        <w:rPr>
          <w:rFonts w:eastAsiaTheme="minorEastAsia"/>
          <w:szCs w:val="24"/>
        </w:rPr>
        <w:t>) = 0</w:t>
      </w:r>
      <w:r w:rsidR="00856420">
        <w:rPr>
          <w:rFonts w:eastAsiaTheme="minorEastAsia"/>
          <w:szCs w:val="24"/>
        </w:rPr>
        <w:t>; p</w:t>
      </w:r>
      <w:r w:rsidRPr="004129E7">
        <w:rPr>
          <w:rFonts w:eastAsiaTheme="minorEastAsia"/>
          <w:szCs w:val="24"/>
        </w:rPr>
        <w:t>ortanto tem-se:</w:t>
      </w:r>
    </w:p>
    <w:p w:rsidR="004129E7" w:rsidRPr="00BD12B6" w:rsidRDefault="004129E7" w:rsidP="00684CA0">
      <w:pPr>
        <w:ind w:firstLine="708"/>
        <w:rPr>
          <w:rFonts w:eastAsiaTheme="minorEastAsia"/>
          <w:sz w:val="20"/>
        </w:rPr>
      </w:pPr>
    </w:p>
    <w:p w:rsidR="00684CA0" w:rsidRPr="004129E7" w:rsidRDefault="00684CA0" w:rsidP="00684CA0">
      <w:pPr>
        <w:ind w:firstLine="708"/>
        <w:jc w:val="center"/>
        <w:rPr>
          <w:rFonts w:eastAsiaTheme="minorEastAsia"/>
          <w:szCs w:val="24"/>
        </w:rPr>
      </w:pPr>
      <m:oMath>
        <m:r>
          <w:rPr>
            <w:rFonts w:ascii="Cambria Math" w:eastAsiaTheme="minorEastAsia" w:hAnsi="Cambria Math"/>
            <w:szCs w:val="24"/>
          </w:rPr>
          <m:t>E</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m,t</m:t>
            </m:r>
          </m:sub>
        </m:sSub>
        <m:r>
          <w:rPr>
            <w:rFonts w:ascii="Cambria Math" w:eastAsiaTheme="minorEastAsia" w:hAnsi="Cambria Math"/>
            <w:szCs w:val="24"/>
          </w:rPr>
          <m:t>)</m:t>
        </m:r>
      </m:oMath>
      <w:r w:rsidRPr="004129E7">
        <w:rPr>
          <w:rFonts w:eastAsiaTheme="minorEastAsia"/>
          <w:szCs w:val="24"/>
        </w:rPr>
        <w:tab/>
      </w:r>
      <w:r w:rsidRPr="004129E7">
        <w:rPr>
          <w:rFonts w:eastAsiaTheme="minorEastAsia"/>
          <w:szCs w:val="24"/>
        </w:rPr>
        <w:tab/>
        <w:t>(</w:t>
      </w:r>
      <w:r w:rsidR="00F26DE7">
        <w:rPr>
          <w:rFonts w:eastAsiaTheme="minorEastAsia"/>
          <w:szCs w:val="24"/>
        </w:rPr>
        <w:t>4</w:t>
      </w:r>
      <w:r w:rsidRPr="004129E7">
        <w:rPr>
          <w:rFonts w:eastAsiaTheme="minorEastAsia"/>
          <w:szCs w:val="24"/>
        </w:rPr>
        <w:t>)</w:t>
      </w:r>
    </w:p>
    <w:p w:rsidR="00684CA0" w:rsidRPr="004129E7" w:rsidRDefault="004129E7" w:rsidP="004129E7">
      <w:pPr>
        <w:ind w:firstLine="0"/>
        <w:rPr>
          <w:rFonts w:eastAsiaTheme="minorEastAsia"/>
          <w:szCs w:val="24"/>
        </w:rPr>
      </w:pPr>
      <w:proofErr w:type="gramStart"/>
      <w:r w:rsidRPr="004129E7">
        <w:rPr>
          <w:rFonts w:eastAsiaTheme="minorEastAsia"/>
          <w:szCs w:val="24"/>
        </w:rPr>
        <w:t>onde</w:t>
      </w:r>
      <w:proofErr w:type="gramEnd"/>
      <w:r w:rsidR="00684CA0" w:rsidRPr="004129E7">
        <w:rPr>
          <w:rFonts w:eastAsiaTheme="minorEastAsia"/>
          <w:szCs w:val="24"/>
        </w:rPr>
        <w:t xml:space="preserve">: </w:t>
      </w:r>
    </w:p>
    <w:p w:rsidR="00684CA0" w:rsidRPr="004129E7" w:rsidRDefault="003879FD" w:rsidP="004129E7">
      <w:pPr>
        <w:ind w:firstLine="0"/>
        <w:rPr>
          <w:rFonts w:eastAsiaTheme="minorEastAsia"/>
          <w:i/>
          <w:szCs w:val="24"/>
        </w:rPr>
      </w:pP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oMath>
      <w:r w:rsidR="00684CA0" w:rsidRPr="004129E7">
        <w:rPr>
          <w:rFonts w:eastAsiaTheme="minorEastAsia"/>
          <w:szCs w:val="24"/>
        </w:rPr>
        <w:t xml:space="preserve"> = retorno logarítmico observado </w:t>
      </w:r>
      <w:r w:rsidR="00F846C5" w:rsidRPr="0079784F">
        <w:rPr>
          <w:rFonts w:eastAsiaTheme="minorEastAsia"/>
          <w:szCs w:val="24"/>
        </w:rPr>
        <w:t>da empresa</w:t>
      </w:r>
      <w:r w:rsidR="00684CA0" w:rsidRPr="004129E7">
        <w:rPr>
          <w:rFonts w:eastAsiaTheme="minorEastAsia"/>
          <w:szCs w:val="24"/>
        </w:rPr>
        <w:t xml:space="preserve"> </w:t>
      </w:r>
      <w:r w:rsidR="00684CA0" w:rsidRPr="004129E7">
        <w:rPr>
          <w:rFonts w:eastAsiaTheme="minorEastAsia"/>
          <w:i/>
          <w:szCs w:val="24"/>
        </w:rPr>
        <w:t xml:space="preserve">i </w:t>
      </w:r>
      <w:r w:rsidR="00684CA0" w:rsidRPr="004129E7">
        <w:rPr>
          <w:rFonts w:eastAsiaTheme="minorEastAsia"/>
          <w:szCs w:val="24"/>
        </w:rPr>
        <w:t xml:space="preserve">no período </w:t>
      </w:r>
      <w:r w:rsidR="00684CA0" w:rsidRPr="004129E7">
        <w:rPr>
          <w:rFonts w:eastAsiaTheme="minorEastAsia"/>
          <w:i/>
          <w:szCs w:val="24"/>
        </w:rPr>
        <w:t>t;</w:t>
      </w:r>
    </w:p>
    <w:p w:rsidR="00684CA0" w:rsidRPr="004129E7" w:rsidRDefault="003879FD" w:rsidP="004129E7">
      <w:pPr>
        <w:ind w:firstLine="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m,t</m:t>
            </m:r>
          </m:sub>
        </m:sSub>
      </m:oMath>
      <w:r w:rsidR="00684CA0" w:rsidRPr="004129E7">
        <w:rPr>
          <w:rFonts w:eastAsiaTheme="minorEastAsia"/>
          <w:i/>
          <w:szCs w:val="24"/>
        </w:rPr>
        <w:t xml:space="preserve"> </w:t>
      </w:r>
      <w:r w:rsidR="00684CA0" w:rsidRPr="004129E7">
        <w:rPr>
          <w:rFonts w:eastAsiaTheme="minorEastAsia"/>
          <w:szCs w:val="24"/>
        </w:rPr>
        <w:t xml:space="preserve">= retorno logarítmico observado da carteira de mercado no período </w:t>
      </w:r>
      <w:r w:rsidR="00684CA0" w:rsidRPr="004129E7">
        <w:rPr>
          <w:rFonts w:eastAsiaTheme="minorEastAsia"/>
          <w:i/>
          <w:szCs w:val="24"/>
        </w:rPr>
        <w:t>t</w:t>
      </w:r>
      <w:r w:rsidR="00684CA0" w:rsidRPr="004129E7">
        <w:rPr>
          <w:rFonts w:eastAsiaTheme="minorEastAsia"/>
          <w:szCs w:val="24"/>
        </w:rPr>
        <w:t xml:space="preserve"> (neste caso,</w:t>
      </w:r>
      <w:r w:rsidR="004129E7">
        <w:rPr>
          <w:rFonts w:eastAsiaTheme="minorEastAsia"/>
          <w:szCs w:val="24"/>
        </w:rPr>
        <w:t xml:space="preserve"> o retorno diário do Í</w:t>
      </w:r>
      <w:r w:rsidR="00684CA0" w:rsidRPr="004129E7">
        <w:rPr>
          <w:rFonts w:eastAsiaTheme="minorEastAsia"/>
          <w:szCs w:val="24"/>
        </w:rPr>
        <w:t>ndice Bovespa);</w:t>
      </w:r>
    </w:p>
    <w:p w:rsidR="00684CA0" w:rsidRPr="004129E7" w:rsidRDefault="003879FD" w:rsidP="004129E7">
      <w:pPr>
        <w:ind w:firstLine="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i</m:t>
            </m:r>
          </m:sub>
        </m:sSub>
        <m:r>
          <w:rPr>
            <w:rFonts w:ascii="Cambria Math" w:eastAsiaTheme="minorEastAsia" w:hAnsi="Cambria Math"/>
            <w:szCs w:val="24"/>
          </w:rPr>
          <m:t xml:space="preserve"> e </m:t>
        </m:r>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i</m:t>
            </m:r>
          </m:sub>
        </m:sSub>
      </m:oMath>
      <w:r w:rsidR="00684CA0" w:rsidRPr="004129E7">
        <w:rPr>
          <w:rFonts w:eastAsiaTheme="minorEastAsia"/>
          <w:szCs w:val="24"/>
        </w:rPr>
        <w:t xml:space="preserve"> = os parâmetros dos mínimos quadrados ordinários individuais estimados entre o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oMath>
      <w:r w:rsidR="00684CA0" w:rsidRPr="004129E7">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m,t</m:t>
            </m:r>
          </m:sub>
        </m:sSub>
      </m:oMath>
      <w:r w:rsidR="00684CA0" w:rsidRPr="004129E7">
        <w:rPr>
          <w:rFonts w:eastAsiaTheme="minorEastAsia"/>
          <w:szCs w:val="24"/>
        </w:rPr>
        <w:t xml:space="preserve"> no período (-240,-40).</w:t>
      </w:r>
    </w:p>
    <w:p w:rsidR="0023470A" w:rsidRDefault="0023470A" w:rsidP="00684CA0">
      <w:pPr>
        <w:autoSpaceDE w:val="0"/>
        <w:autoSpaceDN w:val="0"/>
        <w:adjustRightInd w:val="0"/>
        <w:ind w:firstLine="708"/>
        <w:rPr>
          <w:rFonts w:eastAsiaTheme="minorEastAsia"/>
          <w:szCs w:val="24"/>
        </w:rPr>
      </w:pPr>
    </w:p>
    <w:p w:rsidR="00684CA0" w:rsidRPr="004129E7" w:rsidRDefault="00684CA0" w:rsidP="00684CA0">
      <w:pPr>
        <w:autoSpaceDE w:val="0"/>
        <w:autoSpaceDN w:val="0"/>
        <w:adjustRightInd w:val="0"/>
        <w:ind w:firstLine="708"/>
        <w:rPr>
          <w:rFonts w:eastAsiaTheme="minorEastAsia"/>
          <w:szCs w:val="24"/>
        </w:rPr>
      </w:pPr>
      <w:r w:rsidRPr="004129E7">
        <w:rPr>
          <w:rFonts w:eastAsiaTheme="minorEastAsia"/>
          <w:szCs w:val="24"/>
        </w:rPr>
        <w:t xml:space="preserve">Por fim, o CAR </w:t>
      </w:r>
      <w:r w:rsidR="004129E7" w:rsidRPr="004129E7">
        <w:rPr>
          <w:rFonts w:eastAsiaTheme="minorEastAsia"/>
          <w:szCs w:val="24"/>
        </w:rPr>
        <w:t>é calculado</w:t>
      </w:r>
      <w:r w:rsidRPr="004129E7">
        <w:rPr>
          <w:rFonts w:eastAsiaTheme="minorEastAsia"/>
          <w:szCs w:val="24"/>
        </w:rPr>
        <w:t xml:space="preserve"> pela somatória dos retornos anormais ao redor do evento. A </w:t>
      </w:r>
      <w:r w:rsidRPr="004129E7">
        <w:rPr>
          <w:rFonts w:eastAsiaTheme="minorEastAsia"/>
          <w:szCs w:val="24"/>
        </w:rPr>
        <w:lastRenderedPageBreak/>
        <w:t xml:space="preserve">janela de evento deve ser pequena suficiente para aumentar o poder da análise do evento e suficientemente grande para incorporar o efeito de todo o evento (Du &amp; </w:t>
      </w:r>
      <w:proofErr w:type="spellStart"/>
      <w:r w:rsidRPr="004129E7">
        <w:rPr>
          <w:rFonts w:eastAsiaTheme="minorEastAsia"/>
          <w:szCs w:val="24"/>
        </w:rPr>
        <w:t>Boateng</w:t>
      </w:r>
      <w:proofErr w:type="spellEnd"/>
      <w:r w:rsidRPr="004129E7">
        <w:rPr>
          <w:rFonts w:eastAsiaTheme="minorEastAsia"/>
          <w:szCs w:val="24"/>
        </w:rPr>
        <w:t>, 2015).</w:t>
      </w:r>
    </w:p>
    <w:p w:rsidR="00684CA0" w:rsidRPr="004129E7" w:rsidRDefault="00684CA0" w:rsidP="004129E7">
      <w:pPr>
        <w:autoSpaceDE w:val="0"/>
        <w:autoSpaceDN w:val="0"/>
        <w:adjustRightInd w:val="0"/>
        <w:ind w:firstLine="708"/>
        <w:rPr>
          <w:rFonts w:eastAsiaTheme="minorEastAsia"/>
          <w:szCs w:val="24"/>
        </w:rPr>
      </w:pPr>
      <w:r w:rsidRPr="004129E7">
        <w:rPr>
          <w:rFonts w:eastAsiaTheme="minorEastAsia"/>
          <w:szCs w:val="24"/>
        </w:rPr>
        <w:t xml:space="preserve">Consistente com os trabalhos de </w:t>
      </w:r>
      <w:proofErr w:type="spellStart"/>
      <w:r w:rsidRPr="004129E7">
        <w:rPr>
          <w:rFonts w:eastAsiaTheme="minorEastAsia"/>
          <w:szCs w:val="24"/>
        </w:rPr>
        <w:t>Bouzgarrou</w:t>
      </w:r>
      <w:proofErr w:type="spellEnd"/>
      <w:r w:rsidRPr="004129E7">
        <w:rPr>
          <w:rFonts w:eastAsiaTheme="minorEastAsia"/>
          <w:szCs w:val="24"/>
        </w:rPr>
        <w:t xml:space="preserve"> e </w:t>
      </w:r>
      <w:proofErr w:type="spellStart"/>
      <w:r w:rsidRPr="004129E7">
        <w:rPr>
          <w:rFonts w:eastAsiaTheme="minorEastAsia"/>
          <w:szCs w:val="24"/>
        </w:rPr>
        <w:t>Navatte</w:t>
      </w:r>
      <w:proofErr w:type="spellEnd"/>
      <w:r w:rsidRPr="004129E7">
        <w:rPr>
          <w:rFonts w:eastAsiaTheme="minorEastAsia"/>
          <w:szCs w:val="24"/>
        </w:rPr>
        <w:t xml:space="preserve"> (2013) e Feito-Ruiz e </w:t>
      </w:r>
      <w:proofErr w:type="spellStart"/>
      <w:r w:rsidRPr="004129E7">
        <w:rPr>
          <w:rFonts w:eastAsiaTheme="minorEastAsia"/>
          <w:szCs w:val="24"/>
        </w:rPr>
        <w:t>Menéndez-Requejo</w:t>
      </w:r>
      <w:proofErr w:type="spellEnd"/>
      <w:r w:rsidRPr="004129E7">
        <w:rPr>
          <w:rFonts w:eastAsiaTheme="minorEastAsia"/>
          <w:szCs w:val="24"/>
        </w:rPr>
        <w:t xml:space="preserve"> (2008), a janela de evento utilizada é de (-3,3) (</w:t>
      </w:r>
      <w:proofErr w:type="gramStart"/>
      <w:r w:rsidRPr="004129E7">
        <w:rPr>
          <w:rFonts w:eastAsiaTheme="minorEastAsia"/>
          <w:szCs w:val="24"/>
        </w:rPr>
        <w:t>7</w:t>
      </w:r>
      <w:proofErr w:type="gramEnd"/>
      <w:r w:rsidRPr="004129E7">
        <w:rPr>
          <w:rFonts w:eastAsiaTheme="minorEastAsia"/>
          <w:szCs w:val="24"/>
        </w:rPr>
        <w:t xml:space="preserve"> dias em torno do evento), e (-20,20) (41 dias em torno do evento). A inclusão de dias posteriores à data do evento justifica-se pelo fato de que o mercado pode </w:t>
      </w:r>
      <w:r w:rsidR="004129E7" w:rsidRPr="004129E7">
        <w:rPr>
          <w:rFonts w:eastAsiaTheme="minorEastAsia"/>
          <w:szCs w:val="24"/>
        </w:rPr>
        <w:t>demorar a</w:t>
      </w:r>
      <w:r w:rsidRPr="004129E7">
        <w:rPr>
          <w:rFonts w:eastAsiaTheme="minorEastAsia"/>
          <w:szCs w:val="24"/>
        </w:rPr>
        <w:t xml:space="preserve"> ajustar-se à informação e atingir o novo ponto de equilíbrio. Por outro lado, a inclusão de dias anteriores à data do evento é interessante, pois o mercado pode antecipar-se ao anúncio do evento, o que </w:t>
      </w:r>
      <w:r w:rsidR="004129E7" w:rsidRPr="004129E7">
        <w:rPr>
          <w:rFonts w:eastAsiaTheme="minorEastAsia"/>
          <w:szCs w:val="24"/>
        </w:rPr>
        <w:t>se refletiria</w:t>
      </w:r>
      <w:r w:rsidRPr="004129E7">
        <w:rPr>
          <w:rFonts w:eastAsiaTheme="minorEastAsia"/>
          <w:szCs w:val="24"/>
        </w:rPr>
        <w:t xml:space="preserve"> previamente no preço das ações (</w:t>
      </w:r>
      <w:proofErr w:type="gramStart"/>
      <w:r w:rsidR="002F7121" w:rsidRPr="00A266B3">
        <w:rPr>
          <w:szCs w:val="24"/>
        </w:rPr>
        <w:t>Brito</w:t>
      </w:r>
      <w:r w:rsidR="002F7121">
        <w:rPr>
          <w:szCs w:val="24"/>
        </w:rPr>
        <w:t>,</w:t>
      </w:r>
      <w:proofErr w:type="gramEnd"/>
      <w:r w:rsidR="002F7121">
        <w:rPr>
          <w:szCs w:val="24"/>
        </w:rPr>
        <w:t xml:space="preserve"> </w:t>
      </w:r>
      <w:proofErr w:type="spellStart"/>
      <w:r w:rsidR="002F7121" w:rsidRPr="00041020">
        <w:rPr>
          <w:szCs w:val="24"/>
          <w:shd w:val="clear" w:color="auto" w:fill="FFFFFF"/>
          <w:lang w:val="en-US"/>
        </w:rPr>
        <w:t>Batistella</w:t>
      </w:r>
      <w:proofErr w:type="spellEnd"/>
      <w:r w:rsidRPr="004129E7">
        <w:rPr>
          <w:rFonts w:eastAsiaTheme="minorEastAsia"/>
          <w:szCs w:val="24"/>
        </w:rPr>
        <w:t xml:space="preserve"> &amp; </w:t>
      </w:r>
      <w:proofErr w:type="spellStart"/>
      <w:r w:rsidRPr="004129E7">
        <w:rPr>
          <w:rFonts w:eastAsiaTheme="minorEastAsia"/>
          <w:szCs w:val="24"/>
        </w:rPr>
        <w:t>Famá</w:t>
      </w:r>
      <w:proofErr w:type="spellEnd"/>
      <w:r w:rsidRPr="004129E7">
        <w:rPr>
          <w:rFonts w:eastAsiaTheme="minorEastAsia"/>
          <w:szCs w:val="24"/>
        </w:rPr>
        <w:t>, 2005). Apresenta-se a fórmula:</w:t>
      </w:r>
    </w:p>
    <w:p w:rsidR="004129E7" w:rsidRPr="00E614B2" w:rsidRDefault="004129E7" w:rsidP="004129E7">
      <w:pPr>
        <w:autoSpaceDE w:val="0"/>
        <w:autoSpaceDN w:val="0"/>
        <w:adjustRightInd w:val="0"/>
        <w:ind w:firstLine="708"/>
        <w:rPr>
          <w:rFonts w:eastAsiaTheme="minorEastAsia"/>
          <w:sz w:val="20"/>
        </w:rPr>
      </w:pPr>
    </w:p>
    <w:p w:rsidR="00684CA0" w:rsidRPr="004129E7" w:rsidRDefault="00684CA0" w:rsidP="00684CA0">
      <w:pPr>
        <w:ind w:firstLine="708"/>
        <w:jc w:val="center"/>
        <w:rPr>
          <w:rFonts w:eastAsiaTheme="minorEastAsia"/>
          <w:szCs w:val="24"/>
        </w:rPr>
      </w:pPr>
      <m:oMath>
        <m:r>
          <w:rPr>
            <w:rFonts w:ascii="Cambria Math" w:eastAsiaTheme="minorEastAsia" w:hAnsi="Cambria Math"/>
            <w:szCs w:val="24"/>
          </w:rPr>
          <m:t>CA</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r>
          <w:rPr>
            <w:rFonts w:ascii="Cambria Math" w:eastAsiaTheme="minorEastAsia" w:hAnsi="Cambria Math"/>
            <w:szCs w:val="24"/>
          </w:rPr>
          <m:t>=</m:t>
        </m:r>
        <m:nary>
          <m:naryPr>
            <m:chr m:val="∑"/>
            <m:limLoc m:val="undOvr"/>
            <m:ctrlPr>
              <w:rPr>
                <w:rFonts w:ascii="Cambria Math" w:eastAsiaTheme="minorEastAsia" w:hAnsi="Cambria Math"/>
                <w:i/>
                <w:szCs w:val="24"/>
              </w:rPr>
            </m:ctrlPr>
          </m:naryPr>
          <m:sub>
            <m:r>
              <w:rPr>
                <w:rFonts w:ascii="Cambria Math" w:eastAsiaTheme="minorEastAsia" w:hAnsi="Cambria Math"/>
                <w:szCs w:val="24"/>
              </w:rPr>
              <m:t>t=1</m:t>
            </m:r>
          </m:sub>
          <m:sup>
            <m:r>
              <w:rPr>
                <w:rFonts w:ascii="Cambria Math" w:eastAsiaTheme="minorEastAsia" w:hAnsi="Cambria Math"/>
                <w:szCs w:val="24"/>
              </w:rPr>
              <m:t>t</m:t>
            </m:r>
          </m:sup>
          <m:e>
            <m:r>
              <w:rPr>
                <w:rFonts w:ascii="Cambria Math" w:eastAsiaTheme="minorEastAsia" w:hAnsi="Cambria Math"/>
                <w:szCs w:val="24"/>
              </w:rPr>
              <m:t>A</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e>
        </m:nary>
      </m:oMath>
      <w:r w:rsidRPr="004129E7">
        <w:rPr>
          <w:rFonts w:eastAsiaTheme="minorEastAsia"/>
          <w:szCs w:val="24"/>
        </w:rPr>
        <w:tab/>
      </w:r>
      <w:r w:rsidRPr="004129E7">
        <w:rPr>
          <w:rFonts w:eastAsiaTheme="minorEastAsia"/>
          <w:szCs w:val="24"/>
        </w:rPr>
        <w:tab/>
      </w:r>
      <w:r w:rsidRPr="004129E7">
        <w:rPr>
          <w:rFonts w:eastAsiaTheme="minorEastAsia"/>
          <w:szCs w:val="24"/>
        </w:rPr>
        <w:tab/>
        <w:t>(</w:t>
      </w:r>
      <w:r w:rsidR="00F26DE7">
        <w:rPr>
          <w:rFonts w:eastAsiaTheme="minorEastAsia"/>
          <w:szCs w:val="24"/>
        </w:rPr>
        <w:t>5</w:t>
      </w:r>
      <w:r w:rsidRPr="004129E7">
        <w:rPr>
          <w:rFonts w:eastAsiaTheme="minorEastAsia"/>
          <w:szCs w:val="24"/>
        </w:rPr>
        <w:t>)</w:t>
      </w:r>
    </w:p>
    <w:p w:rsidR="00684CA0" w:rsidRPr="004129E7" w:rsidRDefault="004129E7" w:rsidP="004129E7">
      <w:pPr>
        <w:ind w:firstLine="0"/>
        <w:rPr>
          <w:rFonts w:eastAsiaTheme="minorEastAsia"/>
          <w:szCs w:val="24"/>
        </w:rPr>
      </w:pPr>
      <w:proofErr w:type="gramStart"/>
      <w:r w:rsidRPr="004129E7">
        <w:rPr>
          <w:rFonts w:eastAsiaTheme="minorEastAsia"/>
          <w:szCs w:val="24"/>
        </w:rPr>
        <w:t>onde</w:t>
      </w:r>
      <w:proofErr w:type="gramEnd"/>
      <w:r w:rsidR="00684CA0" w:rsidRPr="004129E7">
        <w:rPr>
          <w:rFonts w:eastAsiaTheme="minorEastAsia"/>
          <w:szCs w:val="24"/>
        </w:rPr>
        <w:t>:</w:t>
      </w:r>
    </w:p>
    <w:p w:rsidR="00684CA0" w:rsidRPr="004129E7" w:rsidRDefault="00684CA0" w:rsidP="004129E7">
      <w:pPr>
        <w:ind w:firstLine="0"/>
        <w:rPr>
          <w:rFonts w:eastAsiaTheme="minorEastAsia"/>
          <w:szCs w:val="24"/>
        </w:rPr>
      </w:pPr>
      <m:oMath>
        <m:r>
          <w:rPr>
            <w:rFonts w:ascii="Cambria Math" w:eastAsiaTheme="minorEastAsia" w:hAnsi="Cambria Math"/>
            <w:szCs w:val="24"/>
          </w:rPr>
          <m:t>CA</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oMath>
      <w:r w:rsidRPr="004129E7">
        <w:rPr>
          <w:rFonts w:eastAsiaTheme="minorEastAsia"/>
          <w:szCs w:val="24"/>
        </w:rPr>
        <w:t xml:space="preserve"> = retorno acumulado da empresa </w:t>
      </w:r>
      <w:r w:rsidRPr="004129E7">
        <w:rPr>
          <w:rFonts w:eastAsiaTheme="minorEastAsia"/>
          <w:i/>
          <w:szCs w:val="24"/>
        </w:rPr>
        <w:t xml:space="preserve">i </w:t>
      </w:r>
      <w:r w:rsidRPr="004129E7">
        <w:rPr>
          <w:rFonts w:eastAsiaTheme="minorEastAsia"/>
          <w:szCs w:val="24"/>
        </w:rPr>
        <w:t xml:space="preserve">no período </w:t>
      </w:r>
      <w:r w:rsidRPr="004129E7">
        <w:rPr>
          <w:rFonts w:eastAsiaTheme="minorEastAsia"/>
          <w:i/>
          <w:szCs w:val="24"/>
        </w:rPr>
        <w:t>t</w:t>
      </w:r>
      <w:r w:rsidRPr="004129E7">
        <w:rPr>
          <w:rFonts w:eastAsiaTheme="minorEastAsia"/>
          <w:szCs w:val="24"/>
        </w:rPr>
        <w:t>;</w:t>
      </w:r>
    </w:p>
    <w:p w:rsidR="00684CA0" w:rsidRPr="004129E7" w:rsidRDefault="00684CA0" w:rsidP="004129E7">
      <w:pPr>
        <w:ind w:firstLine="0"/>
        <w:rPr>
          <w:rFonts w:eastAsiaTheme="minorEastAsia"/>
          <w:szCs w:val="24"/>
        </w:rPr>
      </w:pPr>
      <m:oMath>
        <m:r>
          <w:rPr>
            <w:rFonts w:ascii="Cambria Math" w:eastAsiaTheme="minorEastAsia" w:hAnsi="Cambria Math"/>
            <w:szCs w:val="24"/>
          </w:rPr>
          <m:t>A</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i,t</m:t>
            </m:r>
          </m:sub>
        </m:sSub>
      </m:oMath>
      <w:r w:rsidRPr="004129E7">
        <w:rPr>
          <w:rFonts w:eastAsiaTheme="minorEastAsia"/>
          <w:szCs w:val="24"/>
        </w:rPr>
        <w:t xml:space="preserve"> = retorno anormal da empresa </w:t>
      </w:r>
      <w:r w:rsidRPr="004129E7">
        <w:rPr>
          <w:rFonts w:eastAsiaTheme="minorEastAsia"/>
          <w:i/>
          <w:szCs w:val="24"/>
        </w:rPr>
        <w:t xml:space="preserve">i </w:t>
      </w:r>
      <w:r w:rsidRPr="004129E7">
        <w:rPr>
          <w:rFonts w:eastAsiaTheme="minorEastAsia"/>
          <w:szCs w:val="24"/>
        </w:rPr>
        <w:t xml:space="preserve">no tempo </w:t>
      </w:r>
      <w:r w:rsidRPr="004129E7">
        <w:rPr>
          <w:rFonts w:eastAsiaTheme="minorEastAsia"/>
          <w:i/>
          <w:szCs w:val="24"/>
        </w:rPr>
        <w:t>t</w:t>
      </w:r>
      <w:r w:rsidRPr="004129E7">
        <w:rPr>
          <w:rFonts w:eastAsiaTheme="minorEastAsia"/>
          <w:szCs w:val="24"/>
        </w:rPr>
        <w:t>.</w:t>
      </w:r>
    </w:p>
    <w:p w:rsidR="004129E7" w:rsidRPr="00BD12B6" w:rsidRDefault="00684CA0" w:rsidP="00684CA0">
      <w:pPr>
        <w:rPr>
          <w:b/>
          <w:sz w:val="20"/>
        </w:rPr>
      </w:pPr>
      <w:r w:rsidRPr="004129E7">
        <w:rPr>
          <w:b/>
          <w:szCs w:val="24"/>
        </w:rPr>
        <w:tab/>
      </w:r>
    </w:p>
    <w:p w:rsidR="001B3AC7" w:rsidRPr="0043323E" w:rsidRDefault="0043323E" w:rsidP="0043323E">
      <w:pPr>
        <w:ind w:firstLine="708"/>
        <w:rPr>
          <w:i/>
        </w:rPr>
      </w:pPr>
      <w:r w:rsidRPr="0043323E">
        <w:rPr>
          <w:i/>
        </w:rPr>
        <w:t xml:space="preserve">Variável </w:t>
      </w:r>
      <w:r w:rsidRPr="0043323E">
        <w:rPr>
          <w:i/>
          <w:szCs w:val="24"/>
        </w:rPr>
        <w:t>Independente de Interesse</w:t>
      </w:r>
    </w:p>
    <w:p w:rsidR="0043323E" w:rsidRPr="0043323E" w:rsidRDefault="0043323E" w:rsidP="0043323E">
      <w:r>
        <w:rPr>
          <w:szCs w:val="24"/>
        </w:rPr>
        <w:t xml:space="preserve">É necessário diferenciar as empresas familiares das não familiares. Essa diferenciação é feita por meio de uma variável </w:t>
      </w:r>
      <w:proofErr w:type="spellStart"/>
      <w:r>
        <w:rPr>
          <w:i/>
          <w:szCs w:val="24"/>
        </w:rPr>
        <w:t>dummy</w:t>
      </w:r>
      <w:proofErr w:type="spellEnd"/>
      <w:r>
        <w:rPr>
          <w:i/>
          <w:szCs w:val="24"/>
        </w:rPr>
        <w:t xml:space="preserve"> </w:t>
      </w:r>
      <w:r>
        <w:rPr>
          <w:szCs w:val="24"/>
        </w:rPr>
        <w:t xml:space="preserve">na qual </w:t>
      </w:r>
      <w:proofErr w:type="gramStart"/>
      <w:r>
        <w:rPr>
          <w:szCs w:val="24"/>
        </w:rPr>
        <w:t>1</w:t>
      </w:r>
      <w:proofErr w:type="gramEnd"/>
      <w:r>
        <w:rPr>
          <w:szCs w:val="24"/>
        </w:rPr>
        <w:t xml:space="preserve"> representa as empresas familiares e 0 (zero) as empresas não familiares. </w:t>
      </w:r>
      <w:r w:rsidRPr="006627EE">
        <w:t xml:space="preserve">Segundo </w:t>
      </w:r>
      <w:proofErr w:type="spellStart"/>
      <w:r w:rsidRPr="006627EE">
        <w:t>Steiger</w:t>
      </w:r>
      <w:proofErr w:type="spellEnd"/>
      <w:r>
        <w:t xml:space="preserve">, </w:t>
      </w:r>
      <w:proofErr w:type="spellStart"/>
      <w:r w:rsidRPr="00894CEB">
        <w:rPr>
          <w:color w:val="222222"/>
          <w:szCs w:val="24"/>
          <w:shd w:val="clear" w:color="auto" w:fill="FFFFFF"/>
        </w:rPr>
        <w:t>Duller</w:t>
      </w:r>
      <w:proofErr w:type="spellEnd"/>
      <w:r>
        <w:rPr>
          <w:color w:val="222222"/>
          <w:szCs w:val="24"/>
          <w:shd w:val="clear" w:color="auto" w:fill="FFFFFF"/>
        </w:rPr>
        <w:t xml:space="preserve"> e </w:t>
      </w:r>
      <w:proofErr w:type="spellStart"/>
      <w:r w:rsidRPr="00894CEB">
        <w:rPr>
          <w:color w:val="222222"/>
          <w:szCs w:val="24"/>
          <w:shd w:val="clear" w:color="auto" w:fill="FFFFFF"/>
        </w:rPr>
        <w:t>Hieb</w:t>
      </w:r>
      <w:r>
        <w:rPr>
          <w:color w:val="222222"/>
          <w:szCs w:val="24"/>
          <w:shd w:val="clear" w:color="auto" w:fill="FFFFFF"/>
        </w:rPr>
        <w:t>l</w:t>
      </w:r>
      <w:proofErr w:type="spellEnd"/>
      <w:r w:rsidRPr="006627EE">
        <w:t xml:space="preserve"> (2015)</w:t>
      </w:r>
      <w:r>
        <w:t>,</w:t>
      </w:r>
      <w:r w:rsidRPr="006627EE">
        <w:t xml:space="preserve"> não há, ainda, nenhuma definição exata para classificação de empresas como familiares</w:t>
      </w:r>
      <w:r>
        <w:t>, e</w:t>
      </w:r>
      <w:r w:rsidRPr="006627EE">
        <w:t>ntretanto há</w:t>
      </w:r>
      <w:r>
        <w:t>,</w:t>
      </w:r>
      <w:r w:rsidRPr="006627EE">
        <w:t xml:space="preserve"> predominantemente</w:t>
      </w:r>
      <w:r>
        <w:t>,</w:t>
      </w:r>
      <w:r w:rsidRPr="006627EE">
        <w:t xml:space="preserve"> duas abordagens utilizadas em estudos em</w:t>
      </w:r>
      <w:r>
        <w:t xml:space="preserve">píricos para tal classificação: i) </w:t>
      </w:r>
      <w:r w:rsidRPr="0043323E">
        <w:t>Abordagem de componente de envolvimento</w:t>
      </w:r>
      <w:r>
        <w:t xml:space="preserve"> –</w:t>
      </w:r>
      <w:r w:rsidR="00856420">
        <w:t xml:space="preserve"> </w:t>
      </w:r>
      <w:r w:rsidRPr="0043323E">
        <w:t xml:space="preserve">classifica uma empresa como familiar (ou não) </w:t>
      </w:r>
      <w:r w:rsidR="00856420">
        <w:t>pelo envolvimento da</w:t>
      </w:r>
      <w:r w:rsidRPr="0043323E">
        <w:t xml:space="preserve"> família na empresa, que é medid</w:t>
      </w:r>
      <w:r w:rsidR="00856420">
        <w:t>o</w:t>
      </w:r>
      <w:r w:rsidRPr="0043323E">
        <w:t xml:space="preserve"> pela influência no negócio por meio da propriedade, do controle e da gestão (</w:t>
      </w:r>
      <w:proofErr w:type="spellStart"/>
      <w:r w:rsidRPr="0043323E">
        <w:t>Mazzi</w:t>
      </w:r>
      <w:proofErr w:type="spellEnd"/>
      <w:r w:rsidRPr="0043323E">
        <w:t xml:space="preserve">, 2011; Zellweger, </w:t>
      </w:r>
      <w:proofErr w:type="spellStart"/>
      <w:r w:rsidRPr="0043323E">
        <w:rPr>
          <w:color w:val="222222"/>
          <w:szCs w:val="24"/>
          <w:shd w:val="clear" w:color="auto" w:fill="FFFFFF"/>
        </w:rPr>
        <w:t>Eddleston</w:t>
      </w:r>
      <w:proofErr w:type="spellEnd"/>
      <w:r w:rsidRPr="0043323E">
        <w:rPr>
          <w:color w:val="222222"/>
          <w:szCs w:val="24"/>
          <w:shd w:val="clear" w:color="auto" w:fill="FFFFFF"/>
        </w:rPr>
        <w:t xml:space="preserve"> &amp; </w:t>
      </w:r>
      <w:proofErr w:type="spellStart"/>
      <w:r w:rsidRPr="0043323E">
        <w:rPr>
          <w:color w:val="222222"/>
          <w:szCs w:val="24"/>
          <w:shd w:val="clear" w:color="auto" w:fill="FFFFFF"/>
        </w:rPr>
        <w:t>Kellermanns</w:t>
      </w:r>
      <w:proofErr w:type="spellEnd"/>
      <w:r w:rsidRPr="0043323E">
        <w:t>, 2010);</w:t>
      </w:r>
      <w:r>
        <w:t xml:space="preserve"> e </w:t>
      </w:r>
      <w:proofErr w:type="gramStart"/>
      <w:r>
        <w:t>ii</w:t>
      </w:r>
      <w:proofErr w:type="gramEnd"/>
      <w:r>
        <w:t>) Abordagem essencial –</w:t>
      </w:r>
      <w:r w:rsidRPr="0043323E">
        <w:t xml:space="preserve"> </w:t>
      </w:r>
      <w:r w:rsidR="00856420">
        <w:t xml:space="preserve">classifica </w:t>
      </w:r>
      <w:r w:rsidRPr="0043323E">
        <w:t>uma empresa como familiar se ela exibir comportamentos típicos ou se os membros da família envolvida se autodeclararem como empresa familiar.</w:t>
      </w:r>
    </w:p>
    <w:p w:rsidR="0043323E" w:rsidRDefault="0043323E" w:rsidP="0043323E">
      <w:r w:rsidRPr="006627EE">
        <w:t>Neste estu</w:t>
      </w:r>
      <w:r w:rsidRPr="00E71849">
        <w:t>do</w:t>
      </w:r>
      <w:r>
        <w:t>,</w:t>
      </w:r>
      <w:r w:rsidRPr="006627EE">
        <w:t xml:space="preserve"> </w:t>
      </w:r>
      <w:r>
        <w:t>utilizou-se</w:t>
      </w:r>
      <w:r w:rsidRPr="006627EE">
        <w:t xml:space="preserve"> a combinação das duas abordagens. </w:t>
      </w:r>
      <w:r>
        <w:t>V</w:t>
      </w:r>
      <w:r w:rsidRPr="006627EE">
        <w:t>erific</w:t>
      </w:r>
      <w:r>
        <w:t>ou-se</w:t>
      </w:r>
      <w:r w:rsidRPr="006627EE">
        <w:t xml:space="preserve"> no item 6.3 do </w:t>
      </w:r>
      <w:r w:rsidR="00DB5190">
        <w:t>Formulário de Referência da empresa</w:t>
      </w:r>
      <w:r w:rsidRPr="006627EE">
        <w:t xml:space="preserve"> se há informações expl</w:t>
      </w:r>
      <w:r>
        <w:t>í</w:t>
      </w:r>
      <w:r w:rsidRPr="006627EE">
        <w:t xml:space="preserve">citas de </w:t>
      </w:r>
      <w:proofErr w:type="spellStart"/>
      <w:r w:rsidRPr="006627EE">
        <w:t>auto</w:t>
      </w:r>
      <w:r>
        <w:t>declaração</w:t>
      </w:r>
      <w:proofErr w:type="spellEnd"/>
      <w:r>
        <w:t xml:space="preserve"> da tipologia da empresa</w:t>
      </w:r>
      <w:r w:rsidRPr="006627EE">
        <w:t xml:space="preserve"> (abordagem essencial); </w:t>
      </w:r>
      <w:r>
        <w:t>e se</w:t>
      </w:r>
      <w:r w:rsidRPr="006627EE">
        <w:t xml:space="preserve"> a propriedade</w:t>
      </w:r>
      <w:r>
        <w:t>,</w:t>
      </w:r>
      <w:r w:rsidRPr="006627EE">
        <w:t xml:space="preserve"> </w:t>
      </w:r>
      <w:r>
        <w:t xml:space="preserve">o </w:t>
      </w:r>
      <w:r w:rsidRPr="006627EE">
        <w:t xml:space="preserve">controle e </w:t>
      </w:r>
      <w:r>
        <w:t xml:space="preserve">a </w:t>
      </w:r>
      <w:r w:rsidRPr="006627EE">
        <w:t xml:space="preserve">gestão da empresa </w:t>
      </w:r>
      <w:r>
        <w:t>(abordagem de componente de envolvimento) se enquadram nos critérios definidos pel</w:t>
      </w:r>
      <w:r w:rsidR="00DB5190">
        <w:t>a</w:t>
      </w:r>
      <w:r>
        <w:t xml:space="preserve"> </w:t>
      </w:r>
      <w:r w:rsidR="00DB5190">
        <w:t>Tabela</w:t>
      </w:r>
      <w:r>
        <w:t xml:space="preserve"> 1, para classificação da empresa como familiar. Se </w:t>
      </w:r>
      <w:r w:rsidR="00DB5190">
        <w:t xml:space="preserve">pelo menos </w:t>
      </w:r>
      <w:r>
        <w:t>uma das abordagens for</w:t>
      </w:r>
      <w:r w:rsidR="00DB5190">
        <w:t xml:space="preserve"> atendida</w:t>
      </w:r>
      <w:r>
        <w:t xml:space="preserve">, a empresa </w:t>
      </w:r>
      <w:r w:rsidR="00DB5190">
        <w:t>é</w:t>
      </w:r>
      <w:r>
        <w:t xml:space="preserve"> classificada como familiar; caso contrário, </w:t>
      </w:r>
      <w:r w:rsidR="00DB5190">
        <w:t>é</w:t>
      </w:r>
      <w:r>
        <w:t xml:space="preserve"> classificada como não familiar.</w:t>
      </w:r>
    </w:p>
    <w:p w:rsidR="0043323E" w:rsidRPr="00E614B2" w:rsidRDefault="0043323E" w:rsidP="0043323E">
      <w:pPr>
        <w:rPr>
          <w:sz w:val="20"/>
        </w:rPr>
      </w:pPr>
    </w:p>
    <w:p w:rsidR="0043323E" w:rsidRPr="00DB5190" w:rsidRDefault="00DB5190" w:rsidP="00231BA4">
      <w:pPr>
        <w:keepNext/>
        <w:ind w:firstLine="0"/>
        <w:rPr>
          <w:b/>
          <w:sz w:val="20"/>
        </w:rPr>
      </w:pPr>
      <w:bookmarkStart w:id="2" w:name="_Toc508823449"/>
      <w:r w:rsidRPr="00DB5190">
        <w:rPr>
          <w:sz w:val="20"/>
        </w:rPr>
        <w:t>Tabela</w:t>
      </w:r>
      <w:r w:rsidR="0043323E" w:rsidRPr="00DB5190">
        <w:rPr>
          <w:sz w:val="20"/>
        </w:rPr>
        <w:t xml:space="preserve"> </w:t>
      </w:r>
      <w:r w:rsidR="0043323E" w:rsidRPr="00DB5190">
        <w:rPr>
          <w:sz w:val="20"/>
        </w:rPr>
        <w:fldChar w:fldCharType="begin"/>
      </w:r>
      <w:r w:rsidR="0043323E" w:rsidRPr="00DB5190">
        <w:rPr>
          <w:sz w:val="20"/>
        </w:rPr>
        <w:instrText xml:space="preserve"> SEQ Quadro \* ARABIC </w:instrText>
      </w:r>
      <w:r w:rsidR="0043323E" w:rsidRPr="00DB5190">
        <w:rPr>
          <w:sz w:val="20"/>
        </w:rPr>
        <w:fldChar w:fldCharType="separate"/>
      </w:r>
      <w:r w:rsidR="00771B90">
        <w:rPr>
          <w:noProof/>
          <w:sz w:val="20"/>
        </w:rPr>
        <w:t>1</w:t>
      </w:r>
      <w:r w:rsidR="0043323E" w:rsidRPr="00DB5190">
        <w:rPr>
          <w:sz w:val="20"/>
        </w:rPr>
        <w:fldChar w:fldCharType="end"/>
      </w:r>
      <w:r w:rsidR="0043323E" w:rsidRPr="00DB5190">
        <w:rPr>
          <w:sz w:val="20"/>
        </w:rPr>
        <w:t xml:space="preserve"> -</w:t>
      </w:r>
      <w:r w:rsidR="0043323E" w:rsidRPr="00DB5190">
        <w:rPr>
          <w:b/>
          <w:sz w:val="20"/>
        </w:rPr>
        <w:t xml:space="preserve"> Classificação de empresas como familiares</w:t>
      </w:r>
      <w:bookmarkEnd w:id="2"/>
    </w:p>
    <w:tbl>
      <w:tblPr>
        <w:tblStyle w:val="Tabelacomgrade"/>
        <w:tblW w:w="49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83"/>
        <w:gridCol w:w="2756"/>
        <w:gridCol w:w="2305"/>
        <w:gridCol w:w="3119"/>
      </w:tblGrid>
      <w:tr w:rsidR="00D16FFD" w:rsidRPr="00DB5190" w:rsidTr="000A60E9">
        <w:trPr>
          <w:trHeight w:val="127"/>
        </w:trPr>
        <w:tc>
          <w:tcPr>
            <w:tcW w:w="678" w:type="pct"/>
            <w:vAlign w:val="center"/>
          </w:tcPr>
          <w:p w:rsidR="0043323E" w:rsidRPr="00DB5190" w:rsidRDefault="0043323E" w:rsidP="00DB5190">
            <w:pPr>
              <w:ind w:firstLine="0"/>
              <w:jc w:val="center"/>
              <w:rPr>
                <w:rFonts w:ascii="Times New Roman" w:hAnsi="Times New Roman"/>
                <w:b/>
                <w:sz w:val="20"/>
              </w:rPr>
            </w:pPr>
            <w:r w:rsidRPr="00DB5190">
              <w:rPr>
                <w:rFonts w:ascii="Times New Roman" w:hAnsi="Times New Roman"/>
                <w:b/>
                <w:sz w:val="20"/>
              </w:rPr>
              <w:t>Medida</w:t>
            </w:r>
          </w:p>
        </w:tc>
        <w:tc>
          <w:tcPr>
            <w:tcW w:w="1456" w:type="pct"/>
            <w:vAlign w:val="center"/>
          </w:tcPr>
          <w:p w:rsidR="0043323E" w:rsidRPr="00DB5190" w:rsidRDefault="0043323E" w:rsidP="00DB5190">
            <w:pPr>
              <w:ind w:firstLine="0"/>
              <w:jc w:val="center"/>
              <w:rPr>
                <w:rFonts w:ascii="Times New Roman" w:hAnsi="Times New Roman"/>
                <w:b/>
                <w:sz w:val="20"/>
              </w:rPr>
            </w:pPr>
            <w:r w:rsidRPr="00DB5190">
              <w:rPr>
                <w:rFonts w:ascii="Times New Roman" w:hAnsi="Times New Roman"/>
                <w:b/>
                <w:sz w:val="20"/>
              </w:rPr>
              <w:t>Descrição</w:t>
            </w:r>
          </w:p>
        </w:tc>
        <w:tc>
          <w:tcPr>
            <w:tcW w:w="1218" w:type="pct"/>
            <w:vAlign w:val="center"/>
          </w:tcPr>
          <w:p w:rsidR="0043323E" w:rsidRPr="00DB5190" w:rsidRDefault="0043323E" w:rsidP="00DB5190">
            <w:pPr>
              <w:ind w:firstLine="0"/>
              <w:jc w:val="center"/>
              <w:rPr>
                <w:rFonts w:ascii="Times New Roman" w:hAnsi="Times New Roman"/>
                <w:b/>
                <w:sz w:val="20"/>
              </w:rPr>
            </w:pPr>
            <w:r w:rsidRPr="00DB5190">
              <w:rPr>
                <w:rFonts w:ascii="Times New Roman" w:hAnsi="Times New Roman"/>
                <w:b/>
                <w:sz w:val="20"/>
              </w:rPr>
              <w:t>Fonte</w:t>
            </w:r>
          </w:p>
        </w:tc>
        <w:tc>
          <w:tcPr>
            <w:tcW w:w="1648" w:type="pct"/>
            <w:vAlign w:val="center"/>
          </w:tcPr>
          <w:p w:rsidR="0043323E" w:rsidRPr="00DB5190" w:rsidRDefault="0043323E" w:rsidP="00DB5190">
            <w:pPr>
              <w:ind w:firstLine="0"/>
              <w:jc w:val="center"/>
              <w:rPr>
                <w:rFonts w:ascii="Times New Roman" w:hAnsi="Times New Roman"/>
                <w:b/>
                <w:sz w:val="20"/>
              </w:rPr>
            </w:pPr>
            <w:r w:rsidRPr="00DB5190">
              <w:rPr>
                <w:rFonts w:ascii="Times New Roman" w:hAnsi="Times New Roman"/>
                <w:b/>
                <w:sz w:val="20"/>
              </w:rPr>
              <w:t>Autores</w:t>
            </w:r>
          </w:p>
        </w:tc>
      </w:tr>
      <w:tr w:rsidR="000A60E9" w:rsidRPr="00DB5190" w:rsidTr="000A60E9">
        <w:trPr>
          <w:trHeight w:val="302"/>
        </w:trPr>
        <w:tc>
          <w:tcPr>
            <w:tcW w:w="678" w:type="pct"/>
            <w:vAlign w:val="center"/>
          </w:tcPr>
          <w:p w:rsidR="000A60E9" w:rsidRPr="00DB5190" w:rsidRDefault="000A60E9" w:rsidP="00DB5190">
            <w:pPr>
              <w:ind w:firstLine="0"/>
              <w:rPr>
                <w:rFonts w:ascii="Times New Roman" w:hAnsi="Times New Roman"/>
                <w:b/>
                <w:sz w:val="20"/>
              </w:rPr>
            </w:pPr>
            <w:r w:rsidRPr="00DB5190">
              <w:rPr>
                <w:rFonts w:ascii="Times New Roman" w:hAnsi="Times New Roman"/>
                <w:b/>
                <w:sz w:val="20"/>
              </w:rPr>
              <w:t>Controle</w:t>
            </w:r>
          </w:p>
        </w:tc>
        <w:tc>
          <w:tcPr>
            <w:tcW w:w="1456" w:type="pct"/>
            <w:vAlign w:val="center"/>
          </w:tcPr>
          <w:p w:rsidR="000A60E9" w:rsidRPr="00DB5190" w:rsidRDefault="000A60E9" w:rsidP="00DB5190">
            <w:pPr>
              <w:ind w:firstLine="0"/>
              <w:rPr>
                <w:rFonts w:ascii="Times New Roman" w:hAnsi="Times New Roman"/>
                <w:sz w:val="20"/>
              </w:rPr>
            </w:pPr>
            <w:r w:rsidRPr="00DB5190">
              <w:rPr>
                <w:rFonts w:ascii="Times New Roman" w:hAnsi="Times New Roman"/>
                <w:sz w:val="20"/>
              </w:rPr>
              <w:t>Acionista familiar é um “acionista controlador”.</w:t>
            </w:r>
          </w:p>
        </w:tc>
        <w:tc>
          <w:tcPr>
            <w:tcW w:w="1218" w:type="pct"/>
            <w:vAlign w:val="center"/>
          </w:tcPr>
          <w:p w:rsidR="000A60E9" w:rsidRPr="00DB5190" w:rsidRDefault="000A60E9" w:rsidP="00DB5190">
            <w:pPr>
              <w:ind w:firstLine="0"/>
              <w:rPr>
                <w:rFonts w:ascii="Times New Roman" w:hAnsi="Times New Roman"/>
                <w:sz w:val="20"/>
              </w:rPr>
            </w:pPr>
            <w:r w:rsidRPr="00DB5190">
              <w:rPr>
                <w:rFonts w:ascii="Times New Roman" w:hAnsi="Times New Roman"/>
                <w:sz w:val="20"/>
              </w:rPr>
              <w:t>Formulário de Referência – Itens 12.9 e 15.1/2.</w:t>
            </w:r>
          </w:p>
        </w:tc>
        <w:tc>
          <w:tcPr>
            <w:tcW w:w="1648" w:type="pct"/>
            <w:vMerge w:val="restart"/>
            <w:vAlign w:val="center"/>
          </w:tcPr>
          <w:p w:rsidR="000A60E9" w:rsidRPr="00DB5190" w:rsidRDefault="000A60E9" w:rsidP="0077566F">
            <w:pPr>
              <w:ind w:firstLine="0"/>
              <w:rPr>
                <w:rFonts w:ascii="Times New Roman" w:hAnsi="Times New Roman"/>
                <w:sz w:val="20"/>
              </w:rPr>
            </w:pPr>
            <w:r w:rsidRPr="00DB5190">
              <w:rPr>
                <w:rFonts w:ascii="Times New Roman" w:hAnsi="Times New Roman"/>
                <w:sz w:val="20"/>
                <w:shd w:val="clear" w:color="auto" w:fill="FFFFFF"/>
              </w:rPr>
              <w:t>Martinez e Ramalho (2014);</w:t>
            </w:r>
            <w:r>
              <w:rPr>
                <w:rFonts w:ascii="Times New Roman" w:hAnsi="Times New Roman"/>
                <w:sz w:val="20"/>
                <w:shd w:val="clear" w:color="auto" w:fill="FFFFFF"/>
              </w:rPr>
              <w:t xml:space="preserve"> </w:t>
            </w:r>
            <w:r w:rsidRPr="00DB5190">
              <w:rPr>
                <w:rFonts w:ascii="Times New Roman" w:hAnsi="Times New Roman"/>
                <w:sz w:val="20"/>
                <w:shd w:val="clear" w:color="auto" w:fill="FFFFFF"/>
              </w:rPr>
              <w:t>Porta, Lopez‐de‐</w:t>
            </w:r>
            <w:proofErr w:type="spellStart"/>
            <w:r w:rsidRPr="00DB5190">
              <w:rPr>
                <w:rFonts w:ascii="Times New Roman" w:hAnsi="Times New Roman"/>
                <w:sz w:val="20"/>
                <w:shd w:val="clear" w:color="auto" w:fill="FFFFFF"/>
              </w:rPr>
              <w:t>Silanes</w:t>
            </w:r>
            <w:proofErr w:type="spellEnd"/>
            <w:r w:rsidRPr="00DB5190">
              <w:rPr>
                <w:rFonts w:ascii="Times New Roman" w:hAnsi="Times New Roman"/>
                <w:sz w:val="20"/>
                <w:shd w:val="clear" w:color="auto" w:fill="FFFFFF"/>
              </w:rPr>
              <w:t xml:space="preserve"> e </w:t>
            </w:r>
            <w:proofErr w:type="spellStart"/>
            <w:r w:rsidRPr="00DB5190">
              <w:rPr>
                <w:rFonts w:ascii="Times New Roman" w:hAnsi="Times New Roman"/>
                <w:sz w:val="20"/>
                <w:shd w:val="clear" w:color="auto" w:fill="FFFFFF"/>
              </w:rPr>
              <w:t>Shleifer</w:t>
            </w:r>
            <w:proofErr w:type="spellEnd"/>
            <w:r w:rsidRPr="00DB5190">
              <w:rPr>
                <w:rFonts w:ascii="Times New Roman" w:hAnsi="Times New Roman"/>
                <w:sz w:val="20"/>
                <w:shd w:val="clear" w:color="auto" w:fill="FFFFFF"/>
              </w:rPr>
              <w:t xml:space="preserve"> (1999); e </w:t>
            </w:r>
            <w:r w:rsidRPr="00DB5190">
              <w:rPr>
                <w:rFonts w:ascii="Times New Roman" w:hAnsi="Times New Roman"/>
                <w:sz w:val="20"/>
              </w:rPr>
              <w:t xml:space="preserve">Silva, Souza e </w:t>
            </w:r>
            <w:proofErr w:type="spellStart"/>
            <w:r w:rsidRPr="00DB5190">
              <w:rPr>
                <w:rFonts w:ascii="Times New Roman" w:hAnsi="Times New Roman"/>
                <w:sz w:val="20"/>
              </w:rPr>
              <w:t>Klann</w:t>
            </w:r>
            <w:proofErr w:type="spellEnd"/>
            <w:r w:rsidRPr="00DB5190">
              <w:rPr>
                <w:rFonts w:ascii="Times New Roman" w:hAnsi="Times New Roman"/>
                <w:sz w:val="20"/>
              </w:rPr>
              <w:t xml:space="preserve"> (2016).</w:t>
            </w:r>
          </w:p>
        </w:tc>
      </w:tr>
      <w:tr w:rsidR="000A60E9" w:rsidRPr="00DB5190" w:rsidTr="000A60E9">
        <w:trPr>
          <w:trHeight w:val="677"/>
        </w:trPr>
        <w:tc>
          <w:tcPr>
            <w:tcW w:w="678" w:type="pct"/>
            <w:vAlign w:val="center"/>
          </w:tcPr>
          <w:p w:rsidR="000A60E9" w:rsidRPr="00DB5190" w:rsidRDefault="000A60E9" w:rsidP="00DB5190">
            <w:pPr>
              <w:ind w:firstLine="0"/>
              <w:rPr>
                <w:rFonts w:ascii="Times New Roman" w:hAnsi="Times New Roman"/>
                <w:b/>
                <w:sz w:val="20"/>
              </w:rPr>
            </w:pPr>
            <w:r w:rsidRPr="00DB5190">
              <w:rPr>
                <w:rFonts w:ascii="Times New Roman" w:hAnsi="Times New Roman"/>
                <w:b/>
                <w:sz w:val="20"/>
              </w:rPr>
              <w:t>Propriedade</w:t>
            </w:r>
          </w:p>
        </w:tc>
        <w:tc>
          <w:tcPr>
            <w:tcW w:w="1456" w:type="pct"/>
            <w:vAlign w:val="center"/>
          </w:tcPr>
          <w:p w:rsidR="000A60E9" w:rsidRPr="00DB5190" w:rsidRDefault="000A60E9" w:rsidP="00DB5190">
            <w:pPr>
              <w:ind w:firstLine="0"/>
              <w:rPr>
                <w:rFonts w:ascii="Times New Roman" w:hAnsi="Times New Roman"/>
                <w:sz w:val="20"/>
              </w:rPr>
            </w:pPr>
            <w:r w:rsidRPr="00DB5190">
              <w:rPr>
                <w:rFonts w:ascii="Times New Roman" w:hAnsi="Times New Roman"/>
                <w:sz w:val="20"/>
              </w:rPr>
              <w:t>Acionistas da família possuem mais de 10% das ações ordinárias.</w:t>
            </w:r>
          </w:p>
        </w:tc>
        <w:tc>
          <w:tcPr>
            <w:tcW w:w="1218" w:type="pct"/>
            <w:vAlign w:val="center"/>
          </w:tcPr>
          <w:p w:rsidR="000A60E9" w:rsidRPr="00DB5190" w:rsidRDefault="000A60E9" w:rsidP="00DB5190">
            <w:pPr>
              <w:ind w:firstLine="0"/>
              <w:rPr>
                <w:rFonts w:ascii="Times New Roman" w:hAnsi="Times New Roman"/>
                <w:sz w:val="20"/>
              </w:rPr>
            </w:pPr>
            <w:r w:rsidRPr="00DB5190">
              <w:rPr>
                <w:rFonts w:ascii="Times New Roman" w:hAnsi="Times New Roman"/>
                <w:sz w:val="20"/>
              </w:rPr>
              <w:t>Formulário de Referência – Itens 12.9 e 15.1/2.</w:t>
            </w:r>
          </w:p>
        </w:tc>
        <w:tc>
          <w:tcPr>
            <w:tcW w:w="1648" w:type="pct"/>
            <w:vMerge/>
            <w:vAlign w:val="center"/>
          </w:tcPr>
          <w:p w:rsidR="000A60E9" w:rsidRPr="00DB5190" w:rsidRDefault="000A60E9" w:rsidP="00DB5190">
            <w:pPr>
              <w:ind w:firstLine="0"/>
              <w:rPr>
                <w:rFonts w:ascii="Times New Roman" w:hAnsi="Times New Roman"/>
                <w:sz w:val="20"/>
              </w:rPr>
            </w:pPr>
          </w:p>
        </w:tc>
      </w:tr>
      <w:tr w:rsidR="000A60E9" w:rsidRPr="00DB5190" w:rsidTr="00F572FB">
        <w:tc>
          <w:tcPr>
            <w:tcW w:w="678" w:type="pct"/>
            <w:vAlign w:val="center"/>
          </w:tcPr>
          <w:p w:rsidR="000A60E9" w:rsidRPr="00DB5190" w:rsidRDefault="000A60E9" w:rsidP="00DB5190">
            <w:pPr>
              <w:ind w:firstLine="0"/>
              <w:rPr>
                <w:rFonts w:ascii="Times New Roman" w:hAnsi="Times New Roman"/>
                <w:b/>
                <w:sz w:val="20"/>
              </w:rPr>
            </w:pPr>
            <w:r w:rsidRPr="00DB5190">
              <w:rPr>
                <w:rFonts w:ascii="Times New Roman" w:hAnsi="Times New Roman"/>
                <w:b/>
                <w:sz w:val="20"/>
              </w:rPr>
              <w:t>Gestão</w:t>
            </w:r>
          </w:p>
        </w:tc>
        <w:tc>
          <w:tcPr>
            <w:tcW w:w="1456" w:type="pct"/>
            <w:vAlign w:val="center"/>
          </w:tcPr>
          <w:p w:rsidR="000A60E9" w:rsidRPr="00DB5190" w:rsidRDefault="000A60E9" w:rsidP="00DB5190">
            <w:pPr>
              <w:ind w:firstLine="0"/>
              <w:rPr>
                <w:rFonts w:ascii="Times New Roman" w:hAnsi="Times New Roman"/>
                <w:sz w:val="20"/>
              </w:rPr>
            </w:pPr>
            <w:r w:rsidRPr="00DB5190">
              <w:rPr>
                <w:rFonts w:ascii="Times New Roman" w:hAnsi="Times New Roman"/>
                <w:sz w:val="20"/>
              </w:rPr>
              <w:t>Dois ou mais membros da família fazem parte do Conselho de Administração.</w:t>
            </w:r>
          </w:p>
        </w:tc>
        <w:tc>
          <w:tcPr>
            <w:tcW w:w="1218" w:type="pct"/>
            <w:vAlign w:val="center"/>
          </w:tcPr>
          <w:p w:rsidR="000A60E9" w:rsidRPr="00DB5190" w:rsidRDefault="000A60E9" w:rsidP="00DB5190">
            <w:pPr>
              <w:ind w:firstLine="0"/>
              <w:rPr>
                <w:rFonts w:ascii="Times New Roman" w:hAnsi="Times New Roman"/>
                <w:sz w:val="20"/>
              </w:rPr>
            </w:pPr>
            <w:r w:rsidRPr="00DB5190">
              <w:rPr>
                <w:rFonts w:ascii="Times New Roman" w:hAnsi="Times New Roman"/>
                <w:sz w:val="20"/>
              </w:rPr>
              <w:t>Formulário de Referência – Itens 12.9 e 12.6/8.</w:t>
            </w:r>
          </w:p>
        </w:tc>
        <w:tc>
          <w:tcPr>
            <w:tcW w:w="1648" w:type="pct"/>
            <w:vMerge/>
            <w:vAlign w:val="center"/>
          </w:tcPr>
          <w:p w:rsidR="000A60E9" w:rsidRPr="00DB5190" w:rsidRDefault="000A60E9" w:rsidP="00DB5190">
            <w:pPr>
              <w:ind w:firstLine="0"/>
              <w:rPr>
                <w:rFonts w:ascii="Times New Roman" w:hAnsi="Times New Roman"/>
                <w:sz w:val="20"/>
              </w:rPr>
            </w:pPr>
          </w:p>
        </w:tc>
      </w:tr>
    </w:tbl>
    <w:p w:rsidR="00DB5190" w:rsidRPr="004129E7" w:rsidRDefault="00DB5190" w:rsidP="00DB5190">
      <w:pPr>
        <w:ind w:firstLine="0"/>
        <w:rPr>
          <w:sz w:val="20"/>
        </w:rPr>
      </w:pPr>
      <w:r w:rsidRPr="008E1F78">
        <w:rPr>
          <w:sz w:val="20"/>
        </w:rPr>
        <w:lastRenderedPageBreak/>
        <w:t>Fonte:</w:t>
      </w:r>
      <w:r w:rsidRPr="004129E7">
        <w:rPr>
          <w:sz w:val="20"/>
        </w:rPr>
        <w:t xml:space="preserve"> </w:t>
      </w:r>
      <w:r>
        <w:rPr>
          <w:sz w:val="20"/>
        </w:rPr>
        <w:t>E</w:t>
      </w:r>
      <w:r w:rsidRPr="004129E7">
        <w:rPr>
          <w:sz w:val="20"/>
        </w:rPr>
        <w:t>labora</w:t>
      </w:r>
      <w:r>
        <w:rPr>
          <w:sz w:val="20"/>
        </w:rPr>
        <w:t>ção própria</w:t>
      </w:r>
      <w:r w:rsidRPr="004129E7">
        <w:rPr>
          <w:sz w:val="20"/>
        </w:rPr>
        <w:t>.</w:t>
      </w:r>
    </w:p>
    <w:p w:rsidR="00E2066F" w:rsidRPr="00E614B2" w:rsidRDefault="00E2066F" w:rsidP="000771ED">
      <w:pPr>
        <w:rPr>
          <w:sz w:val="20"/>
        </w:rPr>
      </w:pPr>
    </w:p>
    <w:p w:rsidR="00E2066F" w:rsidRDefault="00E2066F" w:rsidP="00E2066F">
      <w:pPr>
        <w:ind w:firstLine="708"/>
        <w:rPr>
          <w:i/>
          <w:szCs w:val="24"/>
        </w:rPr>
      </w:pPr>
      <w:r w:rsidRPr="0043323E">
        <w:rPr>
          <w:i/>
        </w:rPr>
        <w:t>Va</w:t>
      </w:r>
      <w:r>
        <w:rPr>
          <w:i/>
        </w:rPr>
        <w:t>riáveis</w:t>
      </w:r>
      <w:r w:rsidRPr="0043323E">
        <w:rPr>
          <w:i/>
        </w:rPr>
        <w:t xml:space="preserve"> </w:t>
      </w:r>
      <w:r w:rsidRPr="0043323E">
        <w:rPr>
          <w:i/>
          <w:szCs w:val="24"/>
        </w:rPr>
        <w:t xml:space="preserve">de </w:t>
      </w:r>
      <w:r>
        <w:rPr>
          <w:i/>
          <w:szCs w:val="24"/>
        </w:rPr>
        <w:t>Controle</w:t>
      </w:r>
    </w:p>
    <w:p w:rsidR="00856420" w:rsidRDefault="00E2066F" w:rsidP="000771ED">
      <w:r w:rsidRPr="00E2066F">
        <w:rPr>
          <w:szCs w:val="24"/>
        </w:rPr>
        <w:t>As variáveis de controle referem-se às características das empresas adquirentes</w:t>
      </w:r>
      <w:r>
        <w:rPr>
          <w:szCs w:val="24"/>
        </w:rPr>
        <w:t xml:space="preserve"> – </w:t>
      </w:r>
      <w:r w:rsidRPr="00E2066F">
        <w:rPr>
          <w:i/>
          <w:szCs w:val="24"/>
        </w:rPr>
        <w:t>Oportunidades de crescimento</w:t>
      </w:r>
      <w:r w:rsidRPr="00E2066F">
        <w:rPr>
          <w:szCs w:val="24"/>
        </w:rPr>
        <w:t xml:space="preserve">; </w:t>
      </w:r>
      <w:r w:rsidRPr="00E2066F">
        <w:rPr>
          <w:i/>
          <w:szCs w:val="24"/>
        </w:rPr>
        <w:t>Endividamento</w:t>
      </w:r>
      <w:r w:rsidRPr="00E2066F">
        <w:rPr>
          <w:szCs w:val="24"/>
        </w:rPr>
        <w:t xml:space="preserve">; </w:t>
      </w:r>
      <w:r w:rsidRPr="00E2066F">
        <w:rPr>
          <w:i/>
          <w:szCs w:val="24"/>
        </w:rPr>
        <w:t>Reservas de caixa</w:t>
      </w:r>
      <w:r w:rsidRPr="00E2066F">
        <w:rPr>
          <w:szCs w:val="24"/>
        </w:rPr>
        <w:t xml:space="preserve">; </w:t>
      </w:r>
      <w:r w:rsidRPr="00E2066F">
        <w:rPr>
          <w:i/>
          <w:color w:val="000000"/>
          <w:szCs w:val="24"/>
        </w:rPr>
        <w:t>Tamanho da empresa</w:t>
      </w:r>
      <w:r w:rsidRPr="00E2066F">
        <w:rPr>
          <w:color w:val="000000"/>
          <w:szCs w:val="24"/>
        </w:rPr>
        <w:t xml:space="preserve">; </w:t>
      </w:r>
      <w:r w:rsidRPr="00E2066F">
        <w:rPr>
          <w:i/>
          <w:color w:val="000000"/>
          <w:szCs w:val="24"/>
        </w:rPr>
        <w:t>Tamanho do conselho administrativo</w:t>
      </w:r>
      <w:r w:rsidRPr="00E2066F">
        <w:rPr>
          <w:color w:val="000000"/>
          <w:szCs w:val="24"/>
        </w:rPr>
        <w:t xml:space="preserve"> e </w:t>
      </w:r>
      <w:r w:rsidRPr="00E2066F">
        <w:rPr>
          <w:i/>
          <w:color w:val="000000"/>
          <w:szCs w:val="24"/>
        </w:rPr>
        <w:t>Rentabilidade sobre os ativos</w:t>
      </w:r>
      <w:r>
        <w:rPr>
          <w:color w:val="000000"/>
          <w:szCs w:val="24"/>
        </w:rPr>
        <w:t xml:space="preserve">, </w:t>
      </w:r>
      <w:r>
        <w:t xml:space="preserve">além da variável </w:t>
      </w:r>
      <w:r>
        <w:rPr>
          <w:i/>
        </w:rPr>
        <w:t>S</w:t>
      </w:r>
      <w:r w:rsidRPr="00E2066F">
        <w:rPr>
          <w:i/>
        </w:rPr>
        <w:t>tatus da empresa adquirida</w:t>
      </w:r>
      <w:r w:rsidR="00856420">
        <w:t>,</w:t>
      </w:r>
      <w:r w:rsidR="00911334">
        <w:rPr>
          <w:i/>
        </w:rPr>
        <w:t xml:space="preserve"> </w:t>
      </w:r>
      <w:r w:rsidR="00911334">
        <w:t>que visa captar uma característica da empresa adquirida.</w:t>
      </w:r>
      <w:r>
        <w:t xml:space="preserve"> </w:t>
      </w:r>
    </w:p>
    <w:p w:rsidR="009C07AC" w:rsidRDefault="00484B12" w:rsidP="000771ED">
      <w:r>
        <w:t>A</w:t>
      </w:r>
      <w:r w:rsidR="009C07AC" w:rsidRPr="009A6BAC">
        <w:t xml:space="preserve">presenta-se </w:t>
      </w:r>
      <w:r>
        <w:t>na Tabela 2 a</w:t>
      </w:r>
      <w:r w:rsidR="009C07AC" w:rsidRPr="009A6BAC">
        <w:t xml:space="preserve"> </w:t>
      </w:r>
      <w:r w:rsidR="009C07AC">
        <w:t>síntese</w:t>
      </w:r>
      <w:r w:rsidR="009C07AC" w:rsidRPr="009A6BAC">
        <w:t xml:space="preserve"> </w:t>
      </w:r>
      <w:r w:rsidR="009C07AC">
        <w:t>d</w:t>
      </w:r>
      <w:r w:rsidR="009C07AC" w:rsidRPr="009A6BAC">
        <w:t>as variáveis</w:t>
      </w:r>
      <w:r w:rsidR="008C2B3E">
        <w:t>.</w:t>
      </w:r>
    </w:p>
    <w:p w:rsidR="009C07AC" w:rsidRPr="00E614B2" w:rsidRDefault="009C07AC" w:rsidP="000771ED">
      <w:pPr>
        <w:rPr>
          <w:sz w:val="20"/>
        </w:rPr>
      </w:pPr>
    </w:p>
    <w:p w:rsidR="00484B12" w:rsidRPr="00DB5190" w:rsidRDefault="00484B12" w:rsidP="00484B12">
      <w:pPr>
        <w:keepNext/>
        <w:ind w:firstLine="0"/>
        <w:rPr>
          <w:b/>
          <w:sz w:val="20"/>
        </w:rPr>
      </w:pPr>
      <w:r w:rsidRPr="00DB5190">
        <w:rPr>
          <w:sz w:val="20"/>
        </w:rPr>
        <w:t xml:space="preserve">Tabela </w:t>
      </w:r>
      <w:r>
        <w:rPr>
          <w:sz w:val="20"/>
        </w:rPr>
        <w:t>2</w:t>
      </w:r>
      <w:r w:rsidRPr="00DB5190">
        <w:rPr>
          <w:sz w:val="20"/>
        </w:rPr>
        <w:t xml:space="preserve"> -</w:t>
      </w:r>
      <w:r w:rsidRPr="00DB5190">
        <w:rPr>
          <w:b/>
          <w:sz w:val="20"/>
        </w:rPr>
        <w:t xml:space="preserve"> </w:t>
      </w:r>
      <w:r w:rsidRPr="00454E11">
        <w:rPr>
          <w:b/>
          <w:color w:val="000000"/>
          <w:sz w:val="20"/>
        </w:rPr>
        <w:t xml:space="preserve">Variáveis </w:t>
      </w:r>
      <w:r w:rsidR="00454E11" w:rsidRPr="00454E11">
        <w:rPr>
          <w:b/>
          <w:sz w:val="20"/>
        </w:rPr>
        <w:t>dependente, independente de interesse e de controle</w:t>
      </w:r>
      <w:r w:rsidR="00454E11" w:rsidRPr="00454E11">
        <w:rPr>
          <w:b/>
          <w:color w:val="000000"/>
          <w:sz w:val="20"/>
        </w:rPr>
        <w:t xml:space="preserve"> </w:t>
      </w:r>
      <w:r w:rsidRPr="00454E11">
        <w:rPr>
          <w:b/>
          <w:color w:val="000000"/>
          <w:sz w:val="20"/>
        </w:rPr>
        <w:t xml:space="preserve">e </w:t>
      </w:r>
      <w:r w:rsidR="0040712E" w:rsidRPr="00454E11">
        <w:rPr>
          <w:b/>
          <w:color w:val="000000"/>
          <w:sz w:val="20"/>
        </w:rPr>
        <w:t xml:space="preserve">suas </w:t>
      </w:r>
      <w:proofErr w:type="gramStart"/>
      <w:r w:rsidRPr="00454E11">
        <w:rPr>
          <w:b/>
          <w:color w:val="000000"/>
          <w:sz w:val="20"/>
        </w:rPr>
        <w:t>formulações</w:t>
      </w:r>
      <w:proofErr w:type="gramEnd"/>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2606"/>
        <w:gridCol w:w="2663"/>
        <w:gridCol w:w="1113"/>
        <w:gridCol w:w="3163"/>
      </w:tblGrid>
      <w:tr w:rsidR="00E71CD7" w:rsidRPr="00B03088" w:rsidTr="00856420">
        <w:trPr>
          <w:trHeight w:val="172"/>
        </w:trPr>
        <w:tc>
          <w:tcPr>
            <w:tcW w:w="5000" w:type="pct"/>
            <w:gridSpan w:val="4"/>
            <w:shd w:val="clear" w:color="auto" w:fill="auto"/>
            <w:vAlign w:val="center"/>
          </w:tcPr>
          <w:p w:rsidR="00E71CD7" w:rsidRPr="00B03088" w:rsidRDefault="00E71CD7" w:rsidP="00E71CD7">
            <w:pPr>
              <w:ind w:firstLine="0"/>
              <w:jc w:val="center"/>
              <w:rPr>
                <w:color w:val="000000"/>
                <w:sz w:val="20"/>
              </w:rPr>
            </w:pPr>
            <w:r w:rsidRPr="00B03088">
              <w:rPr>
                <w:b/>
                <w:bCs/>
                <w:sz w:val="20"/>
              </w:rPr>
              <w:t>Variável Dependente</w:t>
            </w:r>
          </w:p>
        </w:tc>
      </w:tr>
      <w:tr w:rsidR="00F8282A" w:rsidRPr="00B03088" w:rsidTr="00856420">
        <w:trPr>
          <w:trHeight w:val="346"/>
        </w:trPr>
        <w:tc>
          <w:tcPr>
            <w:tcW w:w="1365" w:type="pct"/>
            <w:shd w:val="clear" w:color="auto" w:fill="auto"/>
            <w:vAlign w:val="center"/>
            <w:hideMark/>
          </w:tcPr>
          <w:p w:rsidR="00E71CD7" w:rsidRPr="00B03088" w:rsidRDefault="00E71CD7" w:rsidP="0021320F">
            <w:pPr>
              <w:ind w:firstLine="0"/>
              <w:jc w:val="center"/>
              <w:rPr>
                <w:b/>
                <w:color w:val="000000"/>
                <w:sz w:val="20"/>
              </w:rPr>
            </w:pPr>
            <w:r w:rsidRPr="00B03088">
              <w:rPr>
                <w:b/>
                <w:color w:val="000000"/>
                <w:sz w:val="20"/>
              </w:rPr>
              <w:t>Variável</w:t>
            </w:r>
          </w:p>
        </w:tc>
        <w:tc>
          <w:tcPr>
            <w:tcW w:w="1395" w:type="pct"/>
            <w:shd w:val="clear" w:color="auto" w:fill="auto"/>
            <w:vAlign w:val="center"/>
            <w:hideMark/>
          </w:tcPr>
          <w:p w:rsidR="00E71CD7" w:rsidRPr="00B03088" w:rsidRDefault="00E71CD7" w:rsidP="0021320F">
            <w:pPr>
              <w:ind w:firstLine="0"/>
              <w:jc w:val="center"/>
              <w:rPr>
                <w:b/>
                <w:color w:val="000000"/>
                <w:sz w:val="20"/>
              </w:rPr>
            </w:pPr>
            <w:r w:rsidRPr="00B03088">
              <w:rPr>
                <w:b/>
                <w:color w:val="000000"/>
                <w:sz w:val="20"/>
              </w:rPr>
              <w:t>Formulação</w:t>
            </w:r>
          </w:p>
        </w:tc>
        <w:tc>
          <w:tcPr>
            <w:tcW w:w="583" w:type="pct"/>
            <w:tcBorders>
              <w:bottom w:val="single" w:sz="8" w:space="0" w:color="auto"/>
            </w:tcBorders>
            <w:shd w:val="clear" w:color="auto" w:fill="auto"/>
            <w:vAlign w:val="center"/>
            <w:hideMark/>
          </w:tcPr>
          <w:p w:rsidR="00E71CD7" w:rsidRPr="00B03088" w:rsidRDefault="00E71CD7" w:rsidP="0021320F">
            <w:pPr>
              <w:ind w:firstLine="0"/>
              <w:jc w:val="center"/>
              <w:rPr>
                <w:b/>
                <w:color w:val="000000"/>
                <w:sz w:val="20"/>
              </w:rPr>
            </w:pPr>
            <w:r w:rsidRPr="00B03088">
              <w:rPr>
                <w:b/>
                <w:color w:val="000000"/>
                <w:sz w:val="20"/>
              </w:rPr>
              <w:t>Sinal esperado</w:t>
            </w:r>
          </w:p>
        </w:tc>
        <w:tc>
          <w:tcPr>
            <w:tcW w:w="1656" w:type="pct"/>
            <w:shd w:val="clear" w:color="auto" w:fill="auto"/>
            <w:vAlign w:val="center"/>
            <w:hideMark/>
          </w:tcPr>
          <w:p w:rsidR="00E71CD7" w:rsidRPr="00B03088" w:rsidRDefault="00E71CD7" w:rsidP="0021320F">
            <w:pPr>
              <w:ind w:firstLine="0"/>
              <w:jc w:val="center"/>
              <w:rPr>
                <w:b/>
                <w:color w:val="000000"/>
                <w:sz w:val="20"/>
              </w:rPr>
            </w:pPr>
            <w:r w:rsidRPr="00B03088">
              <w:rPr>
                <w:b/>
                <w:color w:val="000000"/>
                <w:sz w:val="20"/>
              </w:rPr>
              <w:t>Autores</w:t>
            </w:r>
          </w:p>
        </w:tc>
      </w:tr>
      <w:tr w:rsidR="00F8282A" w:rsidRPr="00B03088" w:rsidTr="00D16FFD">
        <w:trPr>
          <w:trHeight w:val="387"/>
        </w:trPr>
        <w:tc>
          <w:tcPr>
            <w:tcW w:w="1365" w:type="pct"/>
            <w:vMerge w:val="restart"/>
            <w:shd w:val="clear" w:color="000000" w:fill="FFFFFF"/>
            <w:vAlign w:val="center"/>
            <w:hideMark/>
          </w:tcPr>
          <w:p w:rsidR="00B03088" w:rsidRPr="00B03088" w:rsidRDefault="00E71CD7" w:rsidP="008A1538">
            <w:pPr>
              <w:ind w:firstLine="0"/>
              <w:jc w:val="center"/>
              <w:rPr>
                <w:color w:val="000000"/>
                <w:sz w:val="20"/>
              </w:rPr>
            </w:pPr>
            <w:r w:rsidRPr="00B03088">
              <w:rPr>
                <w:color w:val="000000"/>
                <w:sz w:val="20"/>
              </w:rPr>
              <w:t>Retorno anormal acumulado – janelas de estimação</w:t>
            </w:r>
            <w:r w:rsidR="00B03088" w:rsidRPr="00B03088">
              <w:rPr>
                <w:color w:val="000000"/>
                <w:sz w:val="20"/>
              </w:rPr>
              <w:t xml:space="preserve"> </w:t>
            </w:r>
          </w:p>
          <w:p w:rsidR="00E71CD7" w:rsidRPr="00B03088" w:rsidRDefault="00FA7051" w:rsidP="008A1538">
            <w:pPr>
              <w:ind w:firstLine="0"/>
              <w:jc w:val="center"/>
              <w:rPr>
                <w:color w:val="000000"/>
                <w:sz w:val="20"/>
              </w:rPr>
            </w:pPr>
            <w:r w:rsidRPr="00B03088">
              <w:rPr>
                <w:color w:val="000000"/>
                <w:sz w:val="20"/>
              </w:rPr>
              <w:t>-240, -40</w:t>
            </w:r>
          </w:p>
          <w:p w:rsidR="00E71CD7" w:rsidRPr="00B03088" w:rsidRDefault="00FA7051" w:rsidP="008A1538">
            <w:pPr>
              <w:ind w:firstLine="0"/>
              <w:jc w:val="center"/>
              <w:rPr>
                <w:i/>
                <w:color w:val="000000"/>
                <w:sz w:val="20"/>
              </w:rPr>
            </w:pPr>
            <w:r w:rsidRPr="00B03088">
              <w:rPr>
                <w:i/>
                <w:color w:val="000000"/>
                <w:sz w:val="20"/>
              </w:rPr>
              <w:t>(</w:t>
            </w:r>
            <w:r w:rsidR="00E71CD7" w:rsidRPr="00B03088">
              <w:rPr>
                <w:i/>
                <w:color w:val="000000"/>
                <w:sz w:val="20"/>
              </w:rPr>
              <w:t>CAR3 e CAR20</w:t>
            </w:r>
            <w:r w:rsidRPr="00B03088">
              <w:rPr>
                <w:i/>
                <w:color w:val="000000"/>
                <w:sz w:val="20"/>
              </w:rPr>
              <w:t>)</w:t>
            </w:r>
          </w:p>
        </w:tc>
        <w:tc>
          <w:tcPr>
            <w:tcW w:w="1395" w:type="pct"/>
            <w:shd w:val="clear" w:color="auto" w:fill="auto"/>
            <w:vAlign w:val="center"/>
            <w:hideMark/>
          </w:tcPr>
          <w:p w:rsidR="00B03088" w:rsidRPr="00B03088" w:rsidRDefault="00E71CD7" w:rsidP="00EA2865">
            <w:pPr>
              <w:ind w:firstLine="0"/>
              <w:jc w:val="center"/>
              <w:rPr>
                <w:color w:val="000000"/>
                <w:sz w:val="20"/>
              </w:rPr>
            </w:pPr>
            <w:r w:rsidRPr="00B03088">
              <w:rPr>
                <w:color w:val="000000"/>
                <w:sz w:val="20"/>
              </w:rPr>
              <w:t xml:space="preserve">Retorno anormal acumulado </w:t>
            </w:r>
          </w:p>
          <w:p w:rsidR="00E71CD7" w:rsidRPr="00B03088" w:rsidRDefault="00E71CD7" w:rsidP="00EA2865">
            <w:pPr>
              <w:ind w:firstLine="0"/>
              <w:jc w:val="center"/>
              <w:rPr>
                <w:color w:val="000000"/>
                <w:sz w:val="20"/>
              </w:rPr>
            </w:pPr>
            <w:r w:rsidRPr="00B03088">
              <w:rPr>
                <w:color w:val="000000"/>
                <w:sz w:val="20"/>
              </w:rPr>
              <w:t>(-3,3)</w:t>
            </w:r>
          </w:p>
        </w:tc>
        <w:tc>
          <w:tcPr>
            <w:tcW w:w="583" w:type="pct"/>
            <w:tcBorders>
              <w:bottom w:val="nil"/>
            </w:tcBorders>
            <w:shd w:val="clear" w:color="auto" w:fill="auto"/>
            <w:vAlign w:val="center"/>
            <w:hideMark/>
          </w:tcPr>
          <w:p w:rsidR="00E71CD7" w:rsidRPr="00B03088" w:rsidRDefault="00E71CD7" w:rsidP="00E71CD7">
            <w:pPr>
              <w:jc w:val="center"/>
              <w:rPr>
                <w:color w:val="000000"/>
                <w:sz w:val="20"/>
              </w:rPr>
            </w:pPr>
          </w:p>
        </w:tc>
        <w:tc>
          <w:tcPr>
            <w:tcW w:w="1656" w:type="pct"/>
            <w:vMerge w:val="restart"/>
            <w:shd w:val="clear" w:color="auto" w:fill="auto"/>
            <w:vAlign w:val="center"/>
            <w:hideMark/>
          </w:tcPr>
          <w:p w:rsidR="00E71CD7" w:rsidRPr="00B03088" w:rsidRDefault="00732E59" w:rsidP="00732E59">
            <w:pPr>
              <w:ind w:firstLine="0"/>
              <w:rPr>
                <w:color w:val="000000"/>
                <w:sz w:val="20"/>
              </w:rPr>
            </w:pPr>
            <w:r w:rsidRPr="00B03088">
              <w:rPr>
                <w:sz w:val="20"/>
              </w:rPr>
              <w:t xml:space="preserve">André, </w:t>
            </w:r>
            <w:r w:rsidRPr="00B03088">
              <w:rPr>
                <w:color w:val="222222"/>
                <w:sz w:val="20"/>
                <w:shd w:val="clear" w:color="auto" w:fill="FFFFFF"/>
              </w:rPr>
              <w:t xml:space="preserve">Ben-Amar e </w:t>
            </w:r>
            <w:proofErr w:type="spellStart"/>
            <w:r w:rsidRPr="00B03088">
              <w:rPr>
                <w:color w:val="222222"/>
                <w:sz w:val="20"/>
                <w:shd w:val="clear" w:color="auto" w:fill="FFFFFF"/>
              </w:rPr>
              <w:t>Saadi</w:t>
            </w:r>
            <w:proofErr w:type="spellEnd"/>
            <w:r w:rsidRPr="00B03088">
              <w:rPr>
                <w:color w:val="222222"/>
                <w:sz w:val="20"/>
                <w:shd w:val="clear" w:color="auto" w:fill="FFFFFF"/>
              </w:rPr>
              <w:t xml:space="preserve"> (2014); </w:t>
            </w:r>
            <w:r w:rsidR="00E71CD7" w:rsidRPr="00B03088">
              <w:rPr>
                <w:color w:val="000000"/>
                <w:sz w:val="20"/>
              </w:rPr>
              <w:t>Ben-Amar e André (2006</w:t>
            </w:r>
            <w:proofErr w:type="gramStart"/>
            <w:r w:rsidR="00E71CD7" w:rsidRPr="00B03088">
              <w:rPr>
                <w:color w:val="000000"/>
                <w:sz w:val="20"/>
              </w:rPr>
              <w:t>)</w:t>
            </w:r>
            <w:proofErr w:type="gramEnd"/>
          </w:p>
        </w:tc>
      </w:tr>
      <w:tr w:rsidR="00F8282A" w:rsidRPr="00B03088" w:rsidTr="00D16FFD">
        <w:trPr>
          <w:trHeight w:val="423"/>
        </w:trPr>
        <w:tc>
          <w:tcPr>
            <w:tcW w:w="1365" w:type="pct"/>
            <w:vMerge/>
            <w:vAlign w:val="center"/>
            <w:hideMark/>
          </w:tcPr>
          <w:p w:rsidR="00E71CD7" w:rsidRPr="00B03088" w:rsidRDefault="00E71CD7" w:rsidP="00E71CD7">
            <w:pPr>
              <w:jc w:val="center"/>
              <w:rPr>
                <w:color w:val="000000"/>
                <w:sz w:val="20"/>
              </w:rPr>
            </w:pPr>
          </w:p>
        </w:tc>
        <w:tc>
          <w:tcPr>
            <w:tcW w:w="1395" w:type="pct"/>
            <w:shd w:val="clear" w:color="auto" w:fill="auto"/>
            <w:vAlign w:val="center"/>
            <w:hideMark/>
          </w:tcPr>
          <w:p w:rsidR="00B03088" w:rsidRPr="00B03088" w:rsidRDefault="00E71CD7" w:rsidP="00EA2865">
            <w:pPr>
              <w:ind w:firstLine="0"/>
              <w:jc w:val="center"/>
              <w:rPr>
                <w:color w:val="000000"/>
                <w:sz w:val="20"/>
              </w:rPr>
            </w:pPr>
            <w:r w:rsidRPr="00B03088">
              <w:rPr>
                <w:color w:val="000000"/>
                <w:sz w:val="20"/>
              </w:rPr>
              <w:t xml:space="preserve">Retorno anormal acumulado </w:t>
            </w:r>
          </w:p>
          <w:p w:rsidR="00E71CD7" w:rsidRPr="00B03088" w:rsidRDefault="00E71CD7" w:rsidP="00EA2865">
            <w:pPr>
              <w:ind w:firstLine="0"/>
              <w:jc w:val="center"/>
              <w:rPr>
                <w:color w:val="000000"/>
                <w:sz w:val="20"/>
              </w:rPr>
            </w:pPr>
            <w:r w:rsidRPr="00B03088">
              <w:rPr>
                <w:color w:val="000000"/>
                <w:sz w:val="20"/>
              </w:rPr>
              <w:t>(-20,20)</w:t>
            </w:r>
          </w:p>
        </w:tc>
        <w:tc>
          <w:tcPr>
            <w:tcW w:w="583" w:type="pct"/>
            <w:tcBorders>
              <w:top w:val="nil"/>
            </w:tcBorders>
            <w:shd w:val="clear" w:color="auto" w:fill="auto"/>
            <w:vAlign w:val="center"/>
            <w:hideMark/>
          </w:tcPr>
          <w:p w:rsidR="00E71CD7" w:rsidRPr="00B03088" w:rsidRDefault="00E71CD7" w:rsidP="00E71CD7">
            <w:pPr>
              <w:jc w:val="center"/>
              <w:rPr>
                <w:color w:val="000000"/>
                <w:sz w:val="20"/>
              </w:rPr>
            </w:pPr>
          </w:p>
        </w:tc>
        <w:tc>
          <w:tcPr>
            <w:tcW w:w="1656" w:type="pct"/>
            <w:vMerge/>
            <w:vAlign w:val="center"/>
            <w:hideMark/>
          </w:tcPr>
          <w:p w:rsidR="00E71CD7" w:rsidRPr="00B03088" w:rsidRDefault="00E71CD7" w:rsidP="00E71CD7">
            <w:pPr>
              <w:jc w:val="center"/>
              <w:rPr>
                <w:color w:val="000000"/>
                <w:sz w:val="20"/>
              </w:rPr>
            </w:pPr>
          </w:p>
        </w:tc>
      </w:tr>
      <w:tr w:rsidR="00E71CD7" w:rsidRPr="00B03088" w:rsidTr="00856420">
        <w:trPr>
          <w:trHeight w:val="182"/>
        </w:trPr>
        <w:tc>
          <w:tcPr>
            <w:tcW w:w="5000" w:type="pct"/>
            <w:gridSpan w:val="4"/>
            <w:shd w:val="clear" w:color="000000" w:fill="FFFFFF"/>
            <w:vAlign w:val="center"/>
          </w:tcPr>
          <w:p w:rsidR="00E71CD7" w:rsidRPr="00B03088" w:rsidRDefault="00FE3DFB" w:rsidP="00EA2865">
            <w:pPr>
              <w:ind w:firstLine="0"/>
              <w:jc w:val="center"/>
              <w:rPr>
                <w:color w:val="000000"/>
                <w:sz w:val="20"/>
              </w:rPr>
            </w:pPr>
            <w:r w:rsidRPr="00B03088">
              <w:rPr>
                <w:b/>
                <w:bCs/>
                <w:sz w:val="20"/>
              </w:rPr>
              <w:t>Variável</w:t>
            </w:r>
            <w:r w:rsidR="00E71CD7" w:rsidRPr="00B03088">
              <w:rPr>
                <w:b/>
                <w:bCs/>
                <w:sz w:val="20"/>
              </w:rPr>
              <w:t xml:space="preserve"> </w:t>
            </w:r>
            <w:r w:rsidRPr="00B03088">
              <w:rPr>
                <w:b/>
                <w:bCs/>
                <w:sz w:val="20"/>
              </w:rPr>
              <w:t>Independente</w:t>
            </w:r>
            <w:r w:rsidR="00E71CD7" w:rsidRPr="00B03088">
              <w:rPr>
                <w:b/>
                <w:bCs/>
                <w:sz w:val="20"/>
              </w:rPr>
              <w:t xml:space="preserve"> de Interesse</w:t>
            </w:r>
          </w:p>
        </w:tc>
      </w:tr>
      <w:tr w:rsidR="00F8282A" w:rsidRPr="00B03088" w:rsidTr="00D16FFD">
        <w:trPr>
          <w:trHeight w:val="268"/>
        </w:trPr>
        <w:tc>
          <w:tcPr>
            <w:tcW w:w="1365" w:type="pct"/>
            <w:shd w:val="clear" w:color="000000" w:fill="FFFFFF"/>
            <w:vAlign w:val="center"/>
          </w:tcPr>
          <w:p w:rsidR="00E71CD7" w:rsidRPr="00B03088" w:rsidRDefault="00E71CD7" w:rsidP="00E71CD7">
            <w:pPr>
              <w:ind w:firstLine="0"/>
              <w:jc w:val="center"/>
              <w:rPr>
                <w:b/>
                <w:color w:val="000000"/>
                <w:sz w:val="20"/>
              </w:rPr>
            </w:pPr>
            <w:r w:rsidRPr="00B03088">
              <w:rPr>
                <w:b/>
                <w:color w:val="000000"/>
                <w:sz w:val="20"/>
              </w:rPr>
              <w:t>Variável</w:t>
            </w:r>
          </w:p>
        </w:tc>
        <w:tc>
          <w:tcPr>
            <w:tcW w:w="1395" w:type="pct"/>
            <w:shd w:val="clear" w:color="auto" w:fill="auto"/>
            <w:vAlign w:val="center"/>
          </w:tcPr>
          <w:p w:rsidR="00E71CD7" w:rsidRPr="00B03088" w:rsidRDefault="00E71CD7" w:rsidP="00EA2865">
            <w:pPr>
              <w:ind w:firstLine="0"/>
              <w:jc w:val="center"/>
              <w:rPr>
                <w:b/>
                <w:color w:val="000000"/>
                <w:sz w:val="20"/>
              </w:rPr>
            </w:pPr>
            <w:r w:rsidRPr="00B03088">
              <w:rPr>
                <w:b/>
                <w:color w:val="000000"/>
                <w:sz w:val="20"/>
              </w:rPr>
              <w:t>Formulação</w:t>
            </w:r>
          </w:p>
        </w:tc>
        <w:tc>
          <w:tcPr>
            <w:tcW w:w="583" w:type="pct"/>
            <w:shd w:val="clear" w:color="auto" w:fill="auto"/>
            <w:vAlign w:val="center"/>
          </w:tcPr>
          <w:p w:rsidR="00E71CD7" w:rsidRPr="00B03088" w:rsidRDefault="00E71CD7" w:rsidP="00E71CD7">
            <w:pPr>
              <w:ind w:firstLine="0"/>
              <w:jc w:val="center"/>
              <w:rPr>
                <w:b/>
                <w:color w:val="000000"/>
                <w:sz w:val="20"/>
              </w:rPr>
            </w:pPr>
            <w:r w:rsidRPr="00B03088">
              <w:rPr>
                <w:b/>
                <w:color w:val="000000"/>
                <w:sz w:val="20"/>
              </w:rPr>
              <w:t>Sinal esperado</w:t>
            </w:r>
          </w:p>
        </w:tc>
        <w:tc>
          <w:tcPr>
            <w:tcW w:w="1656" w:type="pct"/>
            <w:shd w:val="clear" w:color="auto" w:fill="auto"/>
            <w:vAlign w:val="center"/>
          </w:tcPr>
          <w:p w:rsidR="00E71CD7" w:rsidRPr="00B03088" w:rsidRDefault="00E71CD7" w:rsidP="00E71CD7">
            <w:pPr>
              <w:ind w:firstLine="0"/>
              <w:jc w:val="center"/>
              <w:rPr>
                <w:b/>
                <w:color w:val="000000"/>
                <w:sz w:val="20"/>
              </w:rPr>
            </w:pPr>
            <w:r w:rsidRPr="00B03088">
              <w:rPr>
                <w:b/>
                <w:color w:val="000000"/>
                <w:sz w:val="20"/>
              </w:rPr>
              <w:t>Autores</w:t>
            </w:r>
          </w:p>
        </w:tc>
      </w:tr>
      <w:tr w:rsidR="00F8282A" w:rsidRPr="00B03088" w:rsidTr="00856420">
        <w:trPr>
          <w:trHeight w:val="588"/>
        </w:trPr>
        <w:tc>
          <w:tcPr>
            <w:tcW w:w="1365" w:type="pct"/>
            <w:shd w:val="clear" w:color="000000" w:fill="FFFFFF"/>
            <w:vAlign w:val="center"/>
            <w:hideMark/>
          </w:tcPr>
          <w:p w:rsidR="008A1538" w:rsidRPr="00B03088" w:rsidRDefault="00E71CD7" w:rsidP="008A1538">
            <w:pPr>
              <w:ind w:firstLine="0"/>
              <w:jc w:val="center"/>
              <w:rPr>
                <w:color w:val="000000"/>
                <w:sz w:val="20"/>
              </w:rPr>
            </w:pPr>
            <w:r w:rsidRPr="00B03088">
              <w:rPr>
                <w:color w:val="000000"/>
                <w:sz w:val="20"/>
              </w:rPr>
              <w:t>Empresa familiar ou não</w:t>
            </w:r>
          </w:p>
          <w:p w:rsidR="00E71CD7" w:rsidRPr="00B03088" w:rsidRDefault="00E71CD7" w:rsidP="008A1538">
            <w:pPr>
              <w:ind w:firstLine="0"/>
              <w:jc w:val="center"/>
              <w:rPr>
                <w:i/>
                <w:color w:val="000000"/>
                <w:sz w:val="20"/>
              </w:rPr>
            </w:pPr>
            <w:r w:rsidRPr="00B03088">
              <w:rPr>
                <w:i/>
                <w:color w:val="000000"/>
                <w:sz w:val="20"/>
              </w:rPr>
              <w:t>(</w:t>
            </w:r>
            <w:r w:rsidR="008A1538" w:rsidRPr="00B03088">
              <w:rPr>
                <w:i/>
                <w:color w:val="000000"/>
                <w:sz w:val="20"/>
              </w:rPr>
              <w:t>f</w:t>
            </w:r>
            <w:r w:rsidRPr="00B03088">
              <w:rPr>
                <w:i/>
                <w:color w:val="000000"/>
                <w:sz w:val="20"/>
              </w:rPr>
              <w:t>amiliar)</w:t>
            </w:r>
          </w:p>
        </w:tc>
        <w:tc>
          <w:tcPr>
            <w:tcW w:w="1395" w:type="pct"/>
            <w:shd w:val="clear" w:color="auto" w:fill="auto"/>
            <w:vAlign w:val="center"/>
            <w:hideMark/>
          </w:tcPr>
          <w:p w:rsidR="00EA2865" w:rsidRPr="00B03088" w:rsidRDefault="00EA2865" w:rsidP="00EA2865">
            <w:pPr>
              <w:ind w:firstLine="0"/>
              <w:jc w:val="center"/>
              <w:rPr>
                <w:color w:val="000000"/>
                <w:sz w:val="20"/>
              </w:rPr>
            </w:pPr>
            <w:r w:rsidRPr="00B03088">
              <w:rPr>
                <w:color w:val="000000"/>
                <w:sz w:val="20"/>
              </w:rPr>
              <w:t>1 = empresa familiar</w:t>
            </w:r>
          </w:p>
          <w:p w:rsidR="00E71CD7" w:rsidRPr="00B03088" w:rsidRDefault="00E71CD7" w:rsidP="00EA2865">
            <w:pPr>
              <w:ind w:firstLine="0"/>
              <w:jc w:val="center"/>
              <w:rPr>
                <w:color w:val="000000"/>
                <w:sz w:val="20"/>
              </w:rPr>
            </w:pPr>
            <w:r w:rsidRPr="00B03088">
              <w:rPr>
                <w:color w:val="000000"/>
                <w:sz w:val="20"/>
              </w:rPr>
              <w:t xml:space="preserve">0 = </w:t>
            </w:r>
            <w:r w:rsidR="00EA2865" w:rsidRPr="00B03088">
              <w:rPr>
                <w:color w:val="000000"/>
                <w:sz w:val="20"/>
              </w:rPr>
              <w:t xml:space="preserve">empresa </w:t>
            </w:r>
            <w:r w:rsidRPr="00B03088">
              <w:rPr>
                <w:color w:val="000000"/>
                <w:sz w:val="20"/>
              </w:rPr>
              <w:t xml:space="preserve">não </w:t>
            </w:r>
            <w:r w:rsidR="00EA2865" w:rsidRPr="00B03088">
              <w:rPr>
                <w:color w:val="000000"/>
                <w:sz w:val="20"/>
              </w:rPr>
              <w:t>familiar</w:t>
            </w:r>
          </w:p>
        </w:tc>
        <w:tc>
          <w:tcPr>
            <w:tcW w:w="583" w:type="pct"/>
            <w:shd w:val="clear" w:color="auto" w:fill="auto"/>
            <w:vAlign w:val="center"/>
            <w:hideMark/>
          </w:tcPr>
          <w:p w:rsidR="00E71CD7" w:rsidRPr="00B03088" w:rsidRDefault="00E71CD7" w:rsidP="00E71CD7">
            <w:pPr>
              <w:ind w:firstLine="0"/>
              <w:jc w:val="center"/>
              <w:rPr>
                <w:color w:val="000000"/>
                <w:sz w:val="20"/>
              </w:rPr>
            </w:pPr>
            <w:r w:rsidRPr="00B03088">
              <w:rPr>
                <w:color w:val="000000"/>
                <w:sz w:val="20"/>
              </w:rPr>
              <w:t>+</w:t>
            </w:r>
          </w:p>
        </w:tc>
        <w:tc>
          <w:tcPr>
            <w:tcW w:w="1656" w:type="pct"/>
            <w:shd w:val="clear" w:color="auto" w:fill="auto"/>
            <w:vAlign w:val="center"/>
            <w:hideMark/>
          </w:tcPr>
          <w:p w:rsidR="00E71CD7" w:rsidRPr="00B03088" w:rsidRDefault="00E71CD7" w:rsidP="00732E59">
            <w:pPr>
              <w:ind w:firstLine="0"/>
              <w:rPr>
                <w:color w:val="000000"/>
                <w:sz w:val="20"/>
              </w:rPr>
            </w:pPr>
            <w:proofErr w:type="spellStart"/>
            <w:r w:rsidRPr="00B03088">
              <w:rPr>
                <w:color w:val="000000"/>
                <w:sz w:val="20"/>
              </w:rPr>
              <w:t>Bauguess</w:t>
            </w:r>
            <w:proofErr w:type="spellEnd"/>
            <w:r w:rsidRPr="00B03088">
              <w:rPr>
                <w:color w:val="000000"/>
                <w:sz w:val="20"/>
              </w:rPr>
              <w:t xml:space="preserve"> e </w:t>
            </w:r>
            <w:proofErr w:type="spellStart"/>
            <w:r w:rsidRPr="00B03088">
              <w:rPr>
                <w:color w:val="000000"/>
                <w:sz w:val="20"/>
              </w:rPr>
              <w:t>Stegemoller</w:t>
            </w:r>
            <w:proofErr w:type="spellEnd"/>
            <w:r w:rsidRPr="00B03088">
              <w:rPr>
                <w:color w:val="000000"/>
                <w:sz w:val="20"/>
              </w:rPr>
              <w:t xml:space="preserve"> (2008)</w:t>
            </w:r>
            <w:r w:rsidR="00732E59" w:rsidRPr="00B03088">
              <w:rPr>
                <w:color w:val="000000"/>
                <w:sz w:val="20"/>
              </w:rPr>
              <w:t xml:space="preserve">; Ben-Amar e André (2006); </w:t>
            </w:r>
            <w:proofErr w:type="spellStart"/>
            <w:r w:rsidR="00732E59" w:rsidRPr="00B03088">
              <w:rPr>
                <w:color w:val="000000"/>
                <w:sz w:val="20"/>
              </w:rPr>
              <w:t>Bouzgarrou</w:t>
            </w:r>
            <w:proofErr w:type="spellEnd"/>
            <w:r w:rsidR="00732E59" w:rsidRPr="00B03088">
              <w:rPr>
                <w:color w:val="000000"/>
                <w:sz w:val="20"/>
              </w:rPr>
              <w:t xml:space="preserve"> e </w:t>
            </w:r>
            <w:proofErr w:type="spellStart"/>
            <w:r w:rsidR="00732E59" w:rsidRPr="00B03088">
              <w:rPr>
                <w:color w:val="000000"/>
                <w:sz w:val="20"/>
              </w:rPr>
              <w:t>Navatte</w:t>
            </w:r>
            <w:proofErr w:type="spellEnd"/>
            <w:r w:rsidR="00732E59" w:rsidRPr="00B03088">
              <w:rPr>
                <w:color w:val="000000"/>
                <w:sz w:val="20"/>
              </w:rPr>
              <w:t xml:space="preserve"> (2013</w:t>
            </w:r>
            <w:proofErr w:type="gramStart"/>
            <w:r w:rsidR="00732E59" w:rsidRPr="00B03088">
              <w:rPr>
                <w:color w:val="000000"/>
                <w:sz w:val="20"/>
              </w:rPr>
              <w:t>)</w:t>
            </w:r>
            <w:proofErr w:type="gramEnd"/>
          </w:p>
        </w:tc>
      </w:tr>
      <w:tr w:rsidR="00E71CD7" w:rsidRPr="00B03088" w:rsidTr="00856420">
        <w:trPr>
          <w:trHeight w:val="160"/>
        </w:trPr>
        <w:tc>
          <w:tcPr>
            <w:tcW w:w="5000" w:type="pct"/>
            <w:gridSpan w:val="4"/>
            <w:shd w:val="clear" w:color="000000" w:fill="FFFFFF"/>
            <w:noWrap/>
            <w:vAlign w:val="center"/>
          </w:tcPr>
          <w:p w:rsidR="00E71CD7" w:rsidRPr="00B03088" w:rsidRDefault="00E71CD7" w:rsidP="00EA2865">
            <w:pPr>
              <w:ind w:firstLine="0"/>
              <w:jc w:val="center"/>
              <w:rPr>
                <w:color w:val="000000"/>
                <w:sz w:val="20"/>
              </w:rPr>
            </w:pPr>
            <w:r w:rsidRPr="00B03088">
              <w:rPr>
                <w:b/>
                <w:bCs/>
                <w:sz w:val="20"/>
              </w:rPr>
              <w:t>Variáveis de Controle</w:t>
            </w:r>
          </w:p>
        </w:tc>
      </w:tr>
      <w:tr w:rsidR="00F8282A" w:rsidRPr="00B03088" w:rsidTr="00D16FFD">
        <w:trPr>
          <w:trHeight w:val="271"/>
        </w:trPr>
        <w:tc>
          <w:tcPr>
            <w:tcW w:w="1365" w:type="pct"/>
            <w:shd w:val="clear" w:color="000000" w:fill="FFFFFF"/>
            <w:noWrap/>
            <w:vAlign w:val="center"/>
          </w:tcPr>
          <w:p w:rsidR="00E71CD7" w:rsidRPr="00B03088" w:rsidRDefault="00E71CD7" w:rsidP="00E71CD7">
            <w:pPr>
              <w:ind w:firstLine="0"/>
              <w:jc w:val="center"/>
              <w:rPr>
                <w:b/>
                <w:color w:val="000000"/>
                <w:sz w:val="20"/>
              </w:rPr>
            </w:pPr>
            <w:r w:rsidRPr="00B03088">
              <w:rPr>
                <w:b/>
                <w:color w:val="000000"/>
                <w:sz w:val="20"/>
              </w:rPr>
              <w:t>Variável</w:t>
            </w:r>
          </w:p>
        </w:tc>
        <w:tc>
          <w:tcPr>
            <w:tcW w:w="1395" w:type="pct"/>
            <w:shd w:val="clear" w:color="auto" w:fill="auto"/>
            <w:vAlign w:val="center"/>
          </w:tcPr>
          <w:p w:rsidR="00E71CD7" w:rsidRPr="00B03088" w:rsidRDefault="00E71CD7" w:rsidP="00EA2865">
            <w:pPr>
              <w:ind w:firstLine="0"/>
              <w:jc w:val="center"/>
              <w:rPr>
                <w:b/>
                <w:color w:val="000000"/>
                <w:sz w:val="20"/>
              </w:rPr>
            </w:pPr>
            <w:r w:rsidRPr="00B03088">
              <w:rPr>
                <w:b/>
                <w:color w:val="000000"/>
                <w:sz w:val="20"/>
              </w:rPr>
              <w:t>Formulação</w:t>
            </w:r>
          </w:p>
        </w:tc>
        <w:tc>
          <w:tcPr>
            <w:tcW w:w="583" w:type="pct"/>
            <w:shd w:val="clear" w:color="auto" w:fill="auto"/>
            <w:vAlign w:val="center"/>
          </w:tcPr>
          <w:p w:rsidR="00E71CD7" w:rsidRPr="00B03088" w:rsidRDefault="00E71CD7" w:rsidP="00E71CD7">
            <w:pPr>
              <w:ind w:firstLine="0"/>
              <w:jc w:val="center"/>
              <w:rPr>
                <w:b/>
                <w:color w:val="000000"/>
                <w:sz w:val="20"/>
              </w:rPr>
            </w:pPr>
            <w:r w:rsidRPr="00B03088">
              <w:rPr>
                <w:b/>
                <w:color w:val="000000"/>
                <w:sz w:val="20"/>
              </w:rPr>
              <w:t>Sinal esperado</w:t>
            </w:r>
          </w:p>
        </w:tc>
        <w:tc>
          <w:tcPr>
            <w:tcW w:w="1656" w:type="pct"/>
            <w:shd w:val="clear" w:color="auto" w:fill="auto"/>
            <w:vAlign w:val="center"/>
          </w:tcPr>
          <w:p w:rsidR="00E71CD7" w:rsidRPr="00B03088" w:rsidRDefault="00E71CD7" w:rsidP="00E71CD7">
            <w:pPr>
              <w:ind w:firstLine="0"/>
              <w:jc w:val="center"/>
              <w:rPr>
                <w:b/>
                <w:color w:val="000000"/>
                <w:sz w:val="20"/>
              </w:rPr>
            </w:pPr>
            <w:r w:rsidRPr="00B03088">
              <w:rPr>
                <w:b/>
                <w:color w:val="000000"/>
                <w:sz w:val="20"/>
              </w:rPr>
              <w:t>Autores</w:t>
            </w:r>
          </w:p>
        </w:tc>
      </w:tr>
      <w:tr w:rsidR="00F8282A" w:rsidRPr="00B03088" w:rsidTr="00856420">
        <w:trPr>
          <w:trHeight w:val="425"/>
        </w:trPr>
        <w:tc>
          <w:tcPr>
            <w:tcW w:w="1365" w:type="pct"/>
            <w:shd w:val="clear" w:color="000000" w:fill="FFFFFF"/>
            <w:noWrap/>
            <w:vAlign w:val="center"/>
          </w:tcPr>
          <w:p w:rsidR="008A1538" w:rsidRPr="00B03088" w:rsidRDefault="008A1538" w:rsidP="003B1060">
            <w:pPr>
              <w:ind w:firstLine="0"/>
              <w:jc w:val="center"/>
              <w:rPr>
                <w:color w:val="000000"/>
                <w:sz w:val="20"/>
              </w:rPr>
            </w:pPr>
            <w:r w:rsidRPr="00B03088">
              <w:rPr>
                <w:color w:val="000000"/>
                <w:sz w:val="20"/>
              </w:rPr>
              <w:t>Oportunidade</w:t>
            </w:r>
            <w:r w:rsidR="00E2066F">
              <w:rPr>
                <w:color w:val="000000"/>
                <w:sz w:val="20"/>
              </w:rPr>
              <w:t>s</w:t>
            </w:r>
            <w:r w:rsidRPr="00B03088">
              <w:rPr>
                <w:color w:val="000000"/>
                <w:sz w:val="20"/>
              </w:rPr>
              <w:t xml:space="preserve"> de crescimento</w:t>
            </w:r>
          </w:p>
          <w:p w:rsidR="008A1538" w:rsidRPr="00B03088" w:rsidRDefault="008A1538" w:rsidP="003B1060">
            <w:pPr>
              <w:ind w:firstLine="0"/>
              <w:jc w:val="center"/>
              <w:rPr>
                <w:i/>
                <w:color w:val="000000"/>
                <w:sz w:val="20"/>
              </w:rPr>
            </w:pPr>
            <w:r w:rsidRPr="00B03088">
              <w:rPr>
                <w:i/>
                <w:color w:val="000000"/>
                <w:sz w:val="20"/>
              </w:rPr>
              <w:t>(</w:t>
            </w:r>
            <w:proofErr w:type="spellStart"/>
            <w:r w:rsidR="00EA2865" w:rsidRPr="00B03088">
              <w:rPr>
                <w:i/>
                <w:color w:val="000000"/>
                <w:sz w:val="20"/>
              </w:rPr>
              <w:t>q</w:t>
            </w:r>
            <w:r w:rsidRPr="00B03088">
              <w:rPr>
                <w:i/>
                <w:color w:val="000000"/>
                <w:sz w:val="20"/>
              </w:rPr>
              <w:t>tobin</w:t>
            </w:r>
            <w:proofErr w:type="spellEnd"/>
            <w:r w:rsidRPr="00B03088">
              <w:rPr>
                <w:i/>
                <w:color w:val="000000"/>
                <w:sz w:val="20"/>
              </w:rPr>
              <w:t>)</w:t>
            </w:r>
          </w:p>
        </w:tc>
        <w:tc>
          <w:tcPr>
            <w:tcW w:w="1395" w:type="pct"/>
            <w:shd w:val="clear" w:color="auto" w:fill="auto"/>
            <w:vAlign w:val="center"/>
          </w:tcPr>
          <w:p w:rsidR="008A1538" w:rsidRPr="00B03088" w:rsidRDefault="008A1538" w:rsidP="00F8282A">
            <w:pPr>
              <w:ind w:firstLine="0"/>
              <w:jc w:val="center"/>
              <w:rPr>
                <w:color w:val="000000"/>
                <w:sz w:val="20"/>
              </w:rPr>
            </w:pPr>
            <w:r w:rsidRPr="00B03088">
              <w:rPr>
                <w:color w:val="000000"/>
                <w:sz w:val="20"/>
              </w:rPr>
              <w:t>(Valor de mercado + dívida) / Valor contábil do ativo</w:t>
            </w:r>
          </w:p>
        </w:tc>
        <w:tc>
          <w:tcPr>
            <w:tcW w:w="583" w:type="pct"/>
            <w:shd w:val="clear" w:color="auto" w:fill="auto"/>
            <w:vAlign w:val="center"/>
          </w:tcPr>
          <w:p w:rsidR="008A1538" w:rsidRPr="00B03088" w:rsidRDefault="008A1538" w:rsidP="003B1060">
            <w:pPr>
              <w:ind w:firstLine="0"/>
              <w:jc w:val="center"/>
              <w:rPr>
                <w:color w:val="000000"/>
                <w:sz w:val="20"/>
              </w:rPr>
            </w:pPr>
            <w:r w:rsidRPr="00B03088">
              <w:rPr>
                <w:color w:val="000000"/>
                <w:sz w:val="20"/>
              </w:rPr>
              <w:t>+</w:t>
            </w:r>
          </w:p>
        </w:tc>
        <w:tc>
          <w:tcPr>
            <w:tcW w:w="1656" w:type="pct"/>
            <w:shd w:val="clear" w:color="auto" w:fill="auto"/>
            <w:vAlign w:val="center"/>
          </w:tcPr>
          <w:p w:rsidR="008A1538" w:rsidRPr="00B03088" w:rsidRDefault="008A1538" w:rsidP="00732E59">
            <w:pPr>
              <w:ind w:firstLine="0"/>
              <w:rPr>
                <w:color w:val="000000"/>
                <w:sz w:val="20"/>
                <w:lang w:val="en-US"/>
              </w:rPr>
            </w:pPr>
            <w:r w:rsidRPr="00B03088">
              <w:rPr>
                <w:color w:val="000000"/>
                <w:sz w:val="20"/>
              </w:rPr>
              <w:t xml:space="preserve">Du e </w:t>
            </w:r>
            <w:proofErr w:type="spellStart"/>
            <w:r w:rsidRPr="00B03088">
              <w:rPr>
                <w:color w:val="000000"/>
                <w:sz w:val="20"/>
              </w:rPr>
              <w:t>Boateng</w:t>
            </w:r>
            <w:proofErr w:type="spellEnd"/>
            <w:r w:rsidRPr="00B03088">
              <w:rPr>
                <w:color w:val="000000"/>
                <w:sz w:val="20"/>
              </w:rPr>
              <w:t xml:space="preserve"> (2014)</w:t>
            </w:r>
            <w:r w:rsidR="00732E59" w:rsidRPr="00B03088">
              <w:rPr>
                <w:color w:val="000000"/>
                <w:sz w:val="20"/>
              </w:rPr>
              <w:t>;</w:t>
            </w:r>
            <w:r w:rsidRPr="00B03088">
              <w:rPr>
                <w:color w:val="000000"/>
                <w:sz w:val="20"/>
              </w:rPr>
              <w:t xml:space="preserve"> </w:t>
            </w:r>
            <w:proofErr w:type="spellStart"/>
            <w:r w:rsidR="00732E59" w:rsidRPr="00B03088">
              <w:rPr>
                <w:color w:val="000000"/>
                <w:sz w:val="20"/>
              </w:rPr>
              <w:t>Gonec</w:t>
            </w:r>
            <w:proofErr w:type="spellEnd"/>
            <w:r w:rsidR="00732E59" w:rsidRPr="00B03088">
              <w:rPr>
                <w:i/>
                <w:iCs/>
                <w:color w:val="000000"/>
                <w:sz w:val="20"/>
              </w:rPr>
              <w:t xml:space="preserve">, </w:t>
            </w:r>
            <w:r w:rsidR="00732E59" w:rsidRPr="00B03088">
              <w:rPr>
                <w:iCs/>
                <w:color w:val="000000"/>
                <w:sz w:val="20"/>
              </w:rPr>
              <w:t xml:space="preserve">Hermes e </w:t>
            </w:r>
            <w:proofErr w:type="spellStart"/>
            <w:r w:rsidR="00732E59" w:rsidRPr="00B03088">
              <w:rPr>
                <w:iCs/>
                <w:color w:val="000000"/>
                <w:sz w:val="20"/>
              </w:rPr>
              <w:t>Sinderen</w:t>
            </w:r>
            <w:proofErr w:type="spellEnd"/>
            <w:r w:rsidR="00732E59" w:rsidRPr="00B03088">
              <w:rPr>
                <w:color w:val="000000"/>
                <w:sz w:val="20"/>
              </w:rPr>
              <w:t xml:space="preserve"> (2013</w:t>
            </w:r>
            <w:proofErr w:type="gramStart"/>
            <w:r w:rsidR="00732E59" w:rsidRPr="00B03088">
              <w:rPr>
                <w:color w:val="000000"/>
                <w:sz w:val="20"/>
              </w:rPr>
              <w:t>)</w:t>
            </w:r>
            <w:proofErr w:type="gramEnd"/>
          </w:p>
        </w:tc>
      </w:tr>
      <w:tr w:rsidR="00F8282A" w:rsidRPr="00B03088" w:rsidTr="00D16FFD">
        <w:trPr>
          <w:trHeight w:val="687"/>
        </w:trPr>
        <w:tc>
          <w:tcPr>
            <w:tcW w:w="1365" w:type="pct"/>
            <w:shd w:val="clear" w:color="000000" w:fill="FFFFFF"/>
            <w:noWrap/>
            <w:vAlign w:val="center"/>
          </w:tcPr>
          <w:p w:rsidR="008A1538" w:rsidRPr="00B03088" w:rsidRDefault="008A1538" w:rsidP="003B1060">
            <w:pPr>
              <w:ind w:firstLine="0"/>
              <w:jc w:val="center"/>
              <w:rPr>
                <w:color w:val="000000"/>
                <w:sz w:val="20"/>
              </w:rPr>
            </w:pPr>
            <w:r w:rsidRPr="00B03088">
              <w:rPr>
                <w:color w:val="000000"/>
                <w:sz w:val="20"/>
              </w:rPr>
              <w:t>Endividamento</w:t>
            </w:r>
          </w:p>
          <w:p w:rsidR="008A1538" w:rsidRPr="00B03088" w:rsidRDefault="008A1538" w:rsidP="003B1060">
            <w:pPr>
              <w:ind w:firstLine="0"/>
              <w:jc w:val="center"/>
              <w:rPr>
                <w:i/>
                <w:color w:val="000000"/>
                <w:sz w:val="20"/>
              </w:rPr>
            </w:pPr>
            <w:r w:rsidRPr="00B03088">
              <w:rPr>
                <w:i/>
                <w:color w:val="000000"/>
                <w:sz w:val="20"/>
              </w:rPr>
              <w:t>(</w:t>
            </w:r>
            <w:proofErr w:type="spellStart"/>
            <w:r w:rsidRPr="00B03088">
              <w:rPr>
                <w:i/>
                <w:color w:val="000000"/>
                <w:sz w:val="20"/>
              </w:rPr>
              <w:t>endiv</w:t>
            </w:r>
            <w:proofErr w:type="spellEnd"/>
            <w:r w:rsidRPr="00B03088">
              <w:rPr>
                <w:i/>
                <w:color w:val="000000"/>
                <w:sz w:val="20"/>
              </w:rPr>
              <w:t>)</w:t>
            </w:r>
          </w:p>
        </w:tc>
        <w:tc>
          <w:tcPr>
            <w:tcW w:w="1395" w:type="pct"/>
            <w:shd w:val="clear" w:color="auto" w:fill="auto"/>
            <w:vAlign w:val="center"/>
          </w:tcPr>
          <w:p w:rsidR="008A1538" w:rsidRPr="00B03088" w:rsidRDefault="008A1538" w:rsidP="00EA2865">
            <w:pPr>
              <w:ind w:firstLine="0"/>
              <w:jc w:val="center"/>
              <w:rPr>
                <w:color w:val="000000"/>
                <w:sz w:val="20"/>
              </w:rPr>
            </w:pPr>
            <w:r w:rsidRPr="00B03088">
              <w:rPr>
                <w:color w:val="000000"/>
                <w:sz w:val="20"/>
              </w:rPr>
              <w:t>Dívida / ativo</w:t>
            </w:r>
          </w:p>
        </w:tc>
        <w:tc>
          <w:tcPr>
            <w:tcW w:w="583" w:type="pct"/>
            <w:shd w:val="clear" w:color="auto" w:fill="auto"/>
            <w:vAlign w:val="center"/>
          </w:tcPr>
          <w:p w:rsidR="008A1538" w:rsidRPr="00B03088" w:rsidRDefault="008A1538" w:rsidP="003B1060">
            <w:pPr>
              <w:ind w:firstLine="0"/>
              <w:jc w:val="center"/>
              <w:rPr>
                <w:color w:val="000000"/>
                <w:sz w:val="20"/>
              </w:rPr>
            </w:pPr>
            <w:r w:rsidRPr="00B03088">
              <w:rPr>
                <w:color w:val="000000"/>
                <w:sz w:val="20"/>
              </w:rPr>
              <w:t>+</w:t>
            </w:r>
          </w:p>
        </w:tc>
        <w:tc>
          <w:tcPr>
            <w:tcW w:w="1656" w:type="pct"/>
            <w:shd w:val="clear" w:color="auto" w:fill="auto"/>
            <w:vAlign w:val="center"/>
          </w:tcPr>
          <w:p w:rsidR="008A1538" w:rsidRPr="00B03088" w:rsidRDefault="008A1538" w:rsidP="003B1060">
            <w:pPr>
              <w:ind w:firstLine="0"/>
              <w:rPr>
                <w:color w:val="000000"/>
                <w:sz w:val="20"/>
              </w:rPr>
            </w:pPr>
            <w:proofErr w:type="spellStart"/>
            <w:r w:rsidRPr="00B03088">
              <w:rPr>
                <w:color w:val="000000"/>
                <w:sz w:val="20"/>
              </w:rPr>
              <w:t>Bouzgarrou</w:t>
            </w:r>
            <w:proofErr w:type="spellEnd"/>
            <w:r w:rsidRPr="00B03088">
              <w:rPr>
                <w:color w:val="000000"/>
                <w:sz w:val="20"/>
              </w:rPr>
              <w:t xml:space="preserve"> e </w:t>
            </w:r>
            <w:proofErr w:type="spellStart"/>
            <w:r w:rsidRPr="00B03088">
              <w:rPr>
                <w:color w:val="000000"/>
                <w:sz w:val="20"/>
              </w:rPr>
              <w:t>Na</w:t>
            </w:r>
            <w:r w:rsidR="00732E59" w:rsidRPr="00B03088">
              <w:rPr>
                <w:color w:val="000000"/>
                <w:sz w:val="20"/>
              </w:rPr>
              <w:t>vatte</w:t>
            </w:r>
            <w:proofErr w:type="spellEnd"/>
            <w:r w:rsidR="00732E59" w:rsidRPr="00B03088">
              <w:rPr>
                <w:color w:val="000000"/>
                <w:sz w:val="20"/>
              </w:rPr>
              <w:t xml:space="preserve"> (2013);</w:t>
            </w:r>
            <w:r w:rsidRPr="00B03088">
              <w:rPr>
                <w:color w:val="000000"/>
                <w:sz w:val="20"/>
              </w:rPr>
              <w:t xml:space="preserve"> </w:t>
            </w:r>
            <w:r w:rsidR="00732E59" w:rsidRPr="00B03088">
              <w:rPr>
                <w:sz w:val="20"/>
              </w:rPr>
              <w:t xml:space="preserve">Caprio, </w:t>
            </w:r>
            <w:proofErr w:type="spellStart"/>
            <w:r w:rsidR="00732E59" w:rsidRPr="00B03088">
              <w:rPr>
                <w:sz w:val="20"/>
                <w:shd w:val="clear" w:color="auto" w:fill="FFFFFF"/>
              </w:rPr>
              <w:t>Croci</w:t>
            </w:r>
            <w:proofErr w:type="spellEnd"/>
            <w:r w:rsidR="00732E59" w:rsidRPr="00B03088">
              <w:rPr>
                <w:sz w:val="20"/>
                <w:shd w:val="clear" w:color="auto" w:fill="FFFFFF"/>
              </w:rPr>
              <w:t xml:space="preserve"> e Del </w:t>
            </w:r>
            <w:proofErr w:type="spellStart"/>
            <w:r w:rsidR="00732E59" w:rsidRPr="00B03088">
              <w:rPr>
                <w:sz w:val="20"/>
                <w:shd w:val="clear" w:color="auto" w:fill="FFFFFF"/>
              </w:rPr>
              <w:t>Giudice</w:t>
            </w:r>
            <w:proofErr w:type="spellEnd"/>
            <w:r w:rsidR="00732E59" w:rsidRPr="00B03088">
              <w:rPr>
                <w:sz w:val="20"/>
              </w:rPr>
              <w:t xml:space="preserve"> (2011)</w:t>
            </w:r>
            <w:r w:rsidR="00732E59" w:rsidRPr="00B03088">
              <w:rPr>
                <w:color w:val="000000"/>
                <w:sz w:val="20"/>
              </w:rPr>
              <w:t>;</w:t>
            </w:r>
            <w:r w:rsidRPr="00B03088">
              <w:rPr>
                <w:color w:val="000000"/>
                <w:sz w:val="20"/>
              </w:rPr>
              <w:t xml:space="preserve"> </w:t>
            </w:r>
            <w:proofErr w:type="spellStart"/>
            <w:r w:rsidRPr="00B03088">
              <w:rPr>
                <w:color w:val="000000"/>
                <w:sz w:val="20"/>
              </w:rPr>
              <w:t>Gonec</w:t>
            </w:r>
            <w:proofErr w:type="spellEnd"/>
            <w:r w:rsidRPr="00B03088">
              <w:rPr>
                <w:i/>
                <w:iCs/>
                <w:color w:val="000000"/>
                <w:sz w:val="20"/>
              </w:rPr>
              <w:t xml:space="preserve">, </w:t>
            </w:r>
            <w:r w:rsidRPr="00B03088">
              <w:rPr>
                <w:iCs/>
                <w:color w:val="000000"/>
                <w:sz w:val="20"/>
              </w:rPr>
              <w:t xml:space="preserve">Hermes e </w:t>
            </w:r>
            <w:proofErr w:type="spellStart"/>
            <w:r w:rsidRPr="00B03088">
              <w:rPr>
                <w:iCs/>
                <w:color w:val="000000"/>
                <w:sz w:val="20"/>
              </w:rPr>
              <w:t>Sinderen</w:t>
            </w:r>
            <w:proofErr w:type="spellEnd"/>
            <w:r w:rsidRPr="00B03088">
              <w:rPr>
                <w:color w:val="000000"/>
                <w:sz w:val="20"/>
              </w:rPr>
              <w:t xml:space="preserve"> (2013</w:t>
            </w:r>
            <w:proofErr w:type="gramStart"/>
            <w:r w:rsidRPr="00B03088">
              <w:rPr>
                <w:color w:val="000000"/>
                <w:sz w:val="20"/>
              </w:rPr>
              <w:t>)</w:t>
            </w:r>
            <w:proofErr w:type="gramEnd"/>
          </w:p>
        </w:tc>
      </w:tr>
      <w:tr w:rsidR="00F8282A" w:rsidRPr="00B03088" w:rsidTr="00D16FFD">
        <w:trPr>
          <w:trHeight w:val="549"/>
        </w:trPr>
        <w:tc>
          <w:tcPr>
            <w:tcW w:w="1365" w:type="pct"/>
            <w:shd w:val="clear" w:color="000000" w:fill="FFFFFF"/>
            <w:vAlign w:val="center"/>
            <w:hideMark/>
          </w:tcPr>
          <w:p w:rsidR="008A1538" w:rsidRPr="00B03088" w:rsidRDefault="008A1538" w:rsidP="008A1538">
            <w:pPr>
              <w:ind w:firstLine="0"/>
              <w:jc w:val="center"/>
              <w:rPr>
                <w:color w:val="000000"/>
                <w:sz w:val="20"/>
              </w:rPr>
            </w:pPr>
            <w:r w:rsidRPr="00B03088">
              <w:rPr>
                <w:color w:val="000000"/>
                <w:sz w:val="20"/>
              </w:rPr>
              <w:t>Reserva</w:t>
            </w:r>
            <w:r w:rsidR="00E2066F">
              <w:rPr>
                <w:color w:val="000000"/>
                <w:sz w:val="20"/>
              </w:rPr>
              <w:t>s</w:t>
            </w:r>
            <w:r w:rsidRPr="00B03088">
              <w:rPr>
                <w:color w:val="000000"/>
                <w:sz w:val="20"/>
              </w:rPr>
              <w:t xml:space="preserve"> de caixa</w:t>
            </w:r>
          </w:p>
          <w:p w:rsidR="008A1538" w:rsidRPr="00B03088" w:rsidRDefault="008A1538" w:rsidP="008A1538">
            <w:pPr>
              <w:ind w:firstLine="0"/>
              <w:jc w:val="center"/>
              <w:rPr>
                <w:i/>
                <w:color w:val="000000"/>
                <w:sz w:val="20"/>
              </w:rPr>
            </w:pPr>
            <w:r w:rsidRPr="00B03088">
              <w:rPr>
                <w:i/>
                <w:color w:val="000000"/>
                <w:sz w:val="20"/>
              </w:rPr>
              <w:t>(caixa)</w:t>
            </w:r>
          </w:p>
        </w:tc>
        <w:tc>
          <w:tcPr>
            <w:tcW w:w="1395" w:type="pct"/>
            <w:shd w:val="clear" w:color="auto" w:fill="auto"/>
            <w:vAlign w:val="center"/>
            <w:hideMark/>
          </w:tcPr>
          <w:p w:rsidR="008A1538" w:rsidRPr="00B03088" w:rsidRDefault="008A1538" w:rsidP="00EA2865">
            <w:pPr>
              <w:ind w:firstLine="0"/>
              <w:jc w:val="center"/>
              <w:rPr>
                <w:color w:val="000000"/>
                <w:sz w:val="20"/>
              </w:rPr>
            </w:pPr>
            <w:r w:rsidRPr="00B03088">
              <w:rPr>
                <w:color w:val="000000"/>
                <w:sz w:val="20"/>
              </w:rPr>
              <w:t>Caixa e equivalentes de caixa / ativo</w:t>
            </w:r>
          </w:p>
        </w:tc>
        <w:tc>
          <w:tcPr>
            <w:tcW w:w="583" w:type="pct"/>
            <w:shd w:val="clear" w:color="auto" w:fill="auto"/>
            <w:vAlign w:val="center"/>
            <w:hideMark/>
          </w:tcPr>
          <w:p w:rsidR="008A1538" w:rsidRPr="00B03088" w:rsidRDefault="008A1538" w:rsidP="00E71CD7">
            <w:pPr>
              <w:ind w:firstLine="0"/>
              <w:jc w:val="center"/>
              <w:rPr>
                <w:color w:val="000000"/>
                <w:sz w:val="20"/>
              </w:rPr>
            </w:pPr>
            <w:r w:rsidRPr="00B03088">
              <w:rPr>
                <w:color w:val="000000"/>
                <w:sz w:val="20"/>
              </w:rPr>
              <w:t>-</w:t>
            </w:r>
          </w:p>
        </w:tc>
        <w:tc>
          <w:tcPr>
            <w:tcW w:w="1656" w:type="pct"/>
            <w:shd w:val="clear" w:color="auto" w:fill="auto"/>
            <w:vAlign w:val="center"/>
            <w:hideMark/>
          </w:tcPr>
          <w:p w:rsidR="008A1538" w:rsidRPr="00B03088" w:rsidRDefault="00732E59" w:rsidP="00E71CD7">
            <w:pPr>
              <w:ind w:firstLine="0"/>
              <w:rPr>
                <w:color w:val="000000"/>
                <w:sz w:val="20"/>
              </w:rPr>
            </w:pPr>
            <w:proofErr w:type="spellStart"/>
            <w:r w:rsidRPr="00B03088">
              <w:rPr>
                <w:color w:val="000000"/>
                <w:sz w:val="20"/>
              </w:rPr>
              <w:t>Bouzgarrou</w:t>
            </w:r>
            <w:proofErr w:type="spellEnd"/>
            <w:r w:rsidRPr="00B03088">
              <w:rPr>
                <w:color w:val="000000"/>
                <w:sz w:val="20"/>
              </w:rPr>
              <w:t xml:space="preserve"> e </w:t>
            </w:r>
            <w:proofErr w:type="spellStart"/>
            <w:r w:rsidRPr="00B03088">
              <w:rPr>
                <w:color w:val="000000"/>
                <w:sz w:val="20"/>
              </w:rPr>
              <w:t>Navatte</w:t>
            </w:r>
            <w:proofErr w:type="spellEnd"/>
            <w:r w:rsidRPr="00B03088">
              <w:rPr>
                <w:color w:val="000000"/>
                <w:sz w:val="20"/>
              </w:rPr>
              <w:t xml:space="preserve"> (2013);</w:t>
            </w:r>
            <w:r w:rsidR="008A1538" w:rsidRPr="00B03088">
              <w:rPr>
                <w:color w:val="000000"/>
                <w:sz w:val="20"/>
              </w:rPr>
              <w:t xml:space="preserve"> </w:t>
            </w:r>
            <w:r w:rsidRPr="00B03088">
              <w:rPr>
                <w:sz w:val="20"/>
              </w:rPr>
              <w:t xml:space="preserve">Caprio, </w:t>
            </w:r>
            <w:proofErr w:type="spellStart"/>
            <w:r w:rsidRPr="00B03088">
              <w:rPr>
                <w:sz w:val="20"/>
                <w:shd w:val="clear" w:color="auto" w:fill="FFFFFF"/>
              </w:rPr>
              <w:t>Croci</w:t>
            </w:r>
            <w:proofErr w:type="spellEnd"/>
            <w:r w:rsidRPr="00B03088">
              <w:rPr>
                <w:sz w:val="20"/>
                <w:shd w:val="clear" w:color="auto" w:fill="FFFFFF"/>
              </w:rPr>
              <w:t xml:space="preserve"> e Del </w:t>
            </w:r>
            <w:proofErr w:type="spellStart"/>
            <w:r w:rsidRPr="00B03088">
              <w:rPr>
                <w:sz w:val="20"/>
                <w:shd w:val="clear" w:color="auto" w:fill="FFFFFF"/>
              </w:rPr>
              <w:t>Giudice</w:t>
            </w:r>
            <w:proofErr w:type="spellEnd"/>
            <w:r w:rsidRPr="00B03088">
              <w:rPr>
                <w:sz w:val="20"/>
              </w:rPr>
              <w:t xml:space="preserve"> (2011)</w:t>
            </w:r>
            <w:r w:rsidRPr="00B03088">
              <w:rPr>
                <w:color w:val="000000"/>
                <w:sz w:val="20"/>
              </w:rPr>
              <w:t>;</w:t>
            </w:r>
            <w:r w:rsidR="008A1538" w:rsidRPr="00B03088">
              <w:rPr>
                <w:color w:val="000000"/>
                <w:sz w:val="20"/>
              </w:rPr>
              <w:t xml:space="preserve"> </w:t>
            </w:r>
            <w:proofErr w:type="spellStart"/>
            <w:r w:rsidRPr="00B03088">
              <w:rPr>
                <w:color w:val="000000"/>
                <w:sz w:val="20"/>
              </w:rPr>
              <w:t>Gonec</w:t>
            </w:r>
            <w:proofErr w:type="spellEnd"/>
            <w:r w:rsidRPr="00B03088">
              <w:rPr>
                <w:i/>
                <w:iCs/>
                <w:color w:val="000000"/>
                <w:sz w:val="20"/>
              </w:rPr>
              <w:t xml:space="preserve">, </w:t>
            </w:r>
            <w:r w:rsidRPr="00B03088">
              <w:rPr>
                <w:iCs/>
                <w:color w:val="000000"/>
                <w:sz w:val="20"/>
              </w:rPr>
              <w:t xml:space="preserve">Hermes e </w:t>
            </w:r>
            <w:proofErr w:type="spellStart"/>
            <w:r w:rsidRPr="00B03088">
              <w:rPr>
                <w:iCs/>
                <w:color w:val="000000"/>
                <w:sz w:val="20"/>
              </w:rPr>
              <w:t>Sinderen</w:t>
            </w:r>
            <w:proofErr w:type="spellEnd"/>
            <w:r w:rsidRPr="00B03088">
              <w:rPr>
                <w:color w:val="000000"/>
                <w:sz w:val="20"/>
              </w:rPr>
              <w:t xml:space="preserve"> (2013</w:t>
            </w:r>
            <w:proofErr w:type="gramStart"/>
            <w:r w:rsidRPr="00B03088">
              <w:rPr>
                <w:color w:val="000000"/>
                <w:sz w:val="20"/>
              </w:rPr>
              <w:t>)</w:t>
            </w:r>
            <w:proofErr w:type="gramEnd"/>
          </w:p>
        </w:tc>
      </w:tr>
      <w:tr w:rsidR="00F8282A" w:rsidRPr="00B03088" w:rsidTr="008C2B3E">
        <w:trPr>
          <w:trHeight w:val="195"/>
        </w:trPr>
        <w:tc>
          <w:tcPr>
            <w:tcW w:w="1365" w:type="pct"/>
            <w:shd w:val="clear" w:color="000000" w:fill="FFFFFF"/>
            <w:vAlign w:val="center"/>
            <w:hideMark/>
          </w:tcPr>
          <w:p w:rsidR="008A1538" w:rsidRPr="00B03088" w:rsidRDefault="008A1538" w:rsidP="008A1538">
            <w:pPr>
              <w:ind w:firstLine="0"/>
              <w:jc w:val="center"/>
              <w:rPr>
                <w:color w:val="000000"/>
                <w:sz w:val="20"/>
              </w:rPr>
            </w:pPr>
            <w:r w:rsidRPr="00B03088">
              <w:rPr>
                <w:color w:val="000000"/>
                <w:sz w:val="20"/>
              </w:rPr>
              <w:t xml:space="preserve">Tamanho da empresa </w:t>
            </w:r>
            <w:r w:rsidRPr="00B03088">
              <w:rPr>
                <w:sz w:val="20"/>
              </w:rPr>
              <w:t>adquirente</w:t>
            </w:r>
          </w:p>
          <w:p w:rsidR="008A1538" w:rsidRPr="00B03088" w:rsidRDefault="008A1538" w:rsidP="008A1538">
            <w:pPr>
              <w:ind w:firstLine="0"/>
              <w:jc w:val="center"/>
              <w:rPr>
                <w:i/>
                <w:color w:val="000000"/>
                <w:sz w:val="20"/>
              </w:rPr>
            </w:pPr>
            <w:r w:rsidRPr="00B03088">
              <w:rPr>
                <w:i/>
                <w:color w:val="000000"/>
                <w:sz w:val="20"/>
              </w:rPr>
              <w:t>(</w:t>
            </w:r>
            <w:proofErr w:type="spellStart"/>
            <w:r w:rsidRPr="00B03088">
              <w:rPr>
                <w:i/>
                <w:color w:val="000000"/>
                <w:sz w:val="20"/>
              </w:rPr>
              <w:t>lnativo</w:t>
            </w:r>
            <w:proofErr w:type="spellEnd"/>
            <w:r w:rsidRPr="00B03088">
              <w:rPr>
                <w:i/>
                <w:color w:val="000000"/>
                <w:sz w:val="20"/>
              </w:rPr>
              <w:t>)</w:t>
            </w:r>
          </w:p>
        </w:tc>
        <w:tc>
          <w:tcPr>
            <w:tcW w:w="1395" w:type="pct"/>
            <w:shd w:val="clear" w:color="auto" w:fill="auto"/>
            <w:vAlign w:val="center"/>
            <w:hideMark/>
          </w:tcPr>
          <w:p w:rsidR="008A1538" w:rsidRPr="00B03088" w:rsidRDefault="008A1538" w:rsidP="00F8282A">
            <w:pPr>
              <w:ind w:firstLine="0"/>
              <w:jc w:val="center"/>
              <w:rPr>
                <w:color w:val="000000"/>
                <w:sz w:val="20"/>
              </w:rPr>
            </w:pPr>
            <w:proofErr w:type="spellStart"/>
            <w:proofErr w:type="gramStart"/>
            <w:r w:rsidRPr="00B03088">
              <w:rPr>
                <w:i/>
                <w:color w:val="000000"/>
                <w:sz w:val="20"/>
              </w:rPr>
              <w:t>L</w:t>
            </w:r>
            <w:r w:rsidR="00F8282A" w:rsidRPr="00B03088">
              <w:rPr>
                <w:i/>
                <w:color w:val="000000"/>
                <w:sz w:val="20"/>
              </w:rPr>
              <w:t>n</w:t>
            </w:r>
            <w:proofErr w:type="spellEnd"/>
            <w:r w:rsidRPr="00B03088">
              <w:rPr>
                <w:color w:val="000000"/>
                <w:sz w:val="20"/>
              </w:rPr>
              <w:t>(</w:t>
            </w:r>
            <w:proofErr w:type="gramEnd"/>
            <w:r w:rsidRPr="00B03088">
              <w:rPr>
                <w:color w:val="000000"/>
                <w:sz w:val="20"/>
              </w:rPr>
              <w:t>a</w:t>
            </w:r>
            <w:r w:rsidR="00EA2865" w:rsidRPr="00B03088">
              <w:rPr>
                <w:color w:val="000000"/>
                <w:sz w:val="20"/>
              </w:rPr>
              <w:t>tivo</w:t>
            </w:r>
            <w:r w:rsidRPr="00B03088">
              <w:rPr>
                <w:color w:val="000000"/>
                <w:sz w:val="20"/>
              </w:rPr>
              <w:t>)</w:t>
            </w:r>
          </w:p>
        </w:tc>
        <w:tc>
          <w:tcPr>
            <w:tcW w:w="583" w:type="pct"/>
            <w:shd w:val="clear" w:color="auto" w:fill="auto"/>
            <w:vAlign w:val="center"/>
            <w:hideMark/>
          </w:tcPr>
          <w:p w:rsidR="008A1538" w:rsidRPr="00B03088" w:rsidRDefault="008A1538" w:rsidP="00E71CD7">
            <w:pPr>
              <w:ind w:firstLine="0"/>
              <w:jc w:val="center"/>
              <w:rPr>
                <w:color w:val="000000"/>
                <w:sz w:val="20"/>
              </w:rPr>
            </w:pPr>
            <w:r w:rsidRPr="00B03088">
              <w:rPr>
                <w:color w:val="000000"/>
                <w:sz w:val="20"/>
              </w:rPr>
              <w:t>+</w:t>
            </w:r>
          </w:p>
        </w:tc>
        <w:tc>
          <w:tcPr>
            <w:tcW w:w="1656" w:type="pct"/>
            <w:shd w:val="clear" w:color="auto" w:fill="auto"/>
            <w:vAlign w:val="center"/>
            <w:hideMark/>
          </w:tcPr>
          <w:p w:rsidR="008A1538" w:rsidRPr="00B03088" w:rsidRDefault="00732E59" w:rsidP="00732E59">
            <w:pPr>
              <w:ind w:firstLine="0"/>
              <w:rPr>
                <w:color w:val="000000"/>
                <w:sz w:val="20"/>
              </w:rPr>
            </w:pPr>
            <w:r w:rsidRPr="00B03088">
              <w:rPr>
                <w:sz w:val="20"/>
              </w:rPr>
              <w:t xml:space="preserve">Caprio, </w:t>
            </w:r>
            <w:proofErr w:type="spellStart"/>
            <w:r w:rsidRPr="00B03088">
              <w:rPr>
                <w:sz w:val="20"/>
                <w:shd w:val="clear" w:color="auto" w:fill="FFFFFF"/>
              </w:rPr>
              <w:t>Croci</w:t>
            </w:r>
            <w:proofErr w:type="spellEnd"/>
            <w:r w:rsidRPr="00B03088">
              <w:rPr>
                <w:sz w:val="20"/>
                <w:shd w:val="clear" w:color="auto" w:fill="FFFFFF"/>
              </w:rPr>
              <w:t xml:space="preserve"> e Del </w:t>
            </w:r>
            <w:proofErr w:type="spellStart"/>
            <w:r w:rsidRPr="00B03088">
              <w:rPr>
                <w:sz w:val="20"/>
                <w:shd w:val="clear" w:color="auto" w:fill="FFFFFF"/>
              </w:rPr>
              <w:t>Giudice</w:t>
            </w:r>
            <w:proofErr w:type="spellEnd"/>
            <w:r w:rsidRPr="00B03088">
              <w:rPr>
                <w:sz w:val="20"/>
              </w:rPr>
              <w:t xml:space="preserve"> (2011); </w:t>
            </w:r>
            <w:r w:rsidR="008A1538" w:rsidRPr="00B03088">
              <w:rPr>
                <w:color w:val="000000"/>
                <w:sz w:val="20"/>
              </w:rPr>
              <w:t xml:space="preserve">Feito-Ruiz e </w:t>
            </w:r>
            <w:proofErr w:type="spellStart"/>
            <w:r w:rsidR="008A1538" w:rsidRPr="00B03088">
              <w:rPr>
                <w:color w:val="000000"/>
                <w:sz w:val="20"/>
              </w:rPr>
              <w:t>Menendéz-Requejo</w:t>
            </w:r>
            <w:proofErr w:type="spellEnd"/>
            <w:r w:rsidR="008A1538" w:rsidRPr="00B03088">
              <w:rPr>
                <w:color w:val="000000"/>
                <w:sz w:val="20"/>
              </w:rPr>
              <w:t xml:space="preserve"> (2008</w:t>
            </w:r>
            <w:proofErr w:type="gramStart"/>
            <w:r w:rsidR="008A1538" w:rsidRPr="00B03088">
              <w:rPr>
                <w:color w:val="000000"/>
                <w:sz w:val="20"/>
              </w:rPr>
              <w:t>)</w:t>
            </w:r>
            <w:proofErr w:type="gramEnd"/>
            <w:r w:rsidR="008A1538" w:rsidRPr="00B03088">
              <w:rPr>
                <w:color w:val="000000"/>
                <w:sz w:val="20"/>
              </w:rPr>
              <w:t xml:space="preserve"> </w:t>
            </w:r>
          </w:p>
        </w:tc>
      </w:tr>
      <w:tr w:rsidR="00F8282A" w:rsidRPr="00B03088" w:rsidTr="008C2B3E">
        <w:trPr>
          <w:trHeight w:val="368"/>
        </w:trPr>
        <w:tc>
          <w:tcPr>
            <w:tcW w:w="1365" w:type="pct"/>
            <w:shd w:val="clear" w:color="000000" w:fill="FFFFFF"/>
            <w:vAlign w:val="center"/>
            <w:hideMark/>
          </w:tcPr>
          <w:p w:rsidR="008A1538" w:rsidRPr="00B03088" w:rsidRDefault="008A1538" w:rsidP="008A1538">
            <w:pPr>
              <w:ind w:firstLine="0"/>
              <w:jc w:val="center"/>
              <w:rPr>
                <w:i/>
                <w:color w:val="000000"/>
                <w:sz w:val="20"/>
              </w:rPr>
            </w:pPr>
            <w:r w:rsidRPr="00B03088">
              <w:rPr>
                <w:i/>
                <w:color w:val="000000"/>
                <w:sz w:val="20"/>
              </w:rPr>
              <w:t xml:space="preserve">Status </w:t>
            </w:r>
            <w:r w:rsidRPr="00B03088">
              <w:rPr>
                <w:sz w:val="20"/>
              </w:rPr>
              <w:t>da empresa adquirida</w:t>
            </w:r>
          </w:p>
          <w:p w:rsidR="008A1538" w:rsidRPr="00B03088" w:rsidRDefault="008A1538" w:rsidP="008A1538">
            <w:pPr>
              <w:ind w:firstLine="0"/>
              <w:jc w:val="center"/>
              <w:rPr>
                <w:color w:val="000000"/>
                <w:sz w:val="20"/>
              </w:rPr>
            </w:pPr>
            <w:r w:rsidRPr="00B03088">
              <w:rPr>
                <w:i/>
                <w:color w:val="000000"/>
                <w:sz w:val="20"/>
              </w:rPr>
              <w:t>(status)</w:t>
            </w:r>
          </w:p>
        </w:tc>
        <w:tc>
          <w:tcPr>
            <w:tcW w:w="1395" w:type="pct"/>
            <w:shd w:val="clear" w:color="auto" w:fill="auto"/>
            <w:vAlign w:val="center"/>
            <w:hideMark/>
          </w:tcPr>
          <w:p w:rsidR="00EA2865" w:rsidRPr="00B03088" w:rsidRDefault="00EA2865" w:rsidP="00EA2865">
            <w:pPr>
              <w:ind w:firstLine="0"/>
              <w:jc w:val="center"/>
              <w:rPr>
                <w:color w:val="000000"/>
                <w:sz w:val="20"/>
              </w:rPr>
            </w:pPr>
            <w:r w:rsidRPr="00B03088">
              <w:rPr>
                <w:color w:val="000000"/>
                <w:sz w:val="20"/>
              </w:rPr>
              <w:t xml:space="preserve">1 = </w:t>
            </w:r>
            <w:r w:rsidR="008A1538" w:rsidRPr="00B03088">
              <w:rPr>
                <w:color w:val="000000"/>
                <w:sz w:val="20"/>
              </w:rPr>
              <w:t>empresa de capital aberto</w:t>
            </w:r>
          </w:p>
          <w:p w:rsidR="008A1538" w:rsidRPr="00B03088" w:rsidRDefault="00EA2865" w:rsidP="00EA2865">
            <w:pPr>
              <w:ind w:firstLine="0"/>
              <w:jc w:val="center"/>
              <w:rPr>
                <w:color w:val="000000"/>
                <w:sz w:val="20"/>
              </w:rPr>
            </w:pPr>
            <w:r w:rsidRPr="00B03088">
              <w:rPr>
                <w:color w:val="000000"/>
                <w:sz w:val="20"/>
              </w:rPr>
              <w:t>0 = empresa de capital privado</w:t>
            </w:r>
          </w:p>
        </w:tc>
        <w:tc>
          <w:tcPr>
            <w:tcW w:w="583" w:type="pct"/>
            <w:shd w:val="clear" w:color="auto" w:fill="auto"/>
            <w:vAlign w:val="center"/>
            <w:hideMark/>
          </w:tcPr>
          <w:p w:rsidR="008A1538" w:rsidRPr="00B03088" w:rsidRDefault="008A1538" w:rsidP="00E71CD7">
            <w:pPr>
              <w:ind w:firstLine="0"/>
              <w:jc w:val="center"/>
              <w:rPr>
                <w:color w:val="000000"/>
                <w:sz w:val="20"/>
              </w:rPr>
            </w:pPr>
            <w:r w:rsidRPr="00B03088">
              <w:rPr>
                <w:color w:val="000000"/>
                <w:sz w:val="20"/>
              </w:rPr>
              <w:t>-</w:t>
            </w:r>
          </w:p>
        </w:tc>
        <w:tc>
          <w:tcPr>
            <w:tcW w:w="1656" w:type="pct"/>
            <w:shd w:val="clear" w:color="auto" w:fill="auto"/>
            <w:vAlign w:val="center"/>
            <w:hideMark/>
          </w:tcPr>
          <w:p w:rsidR="008A1538" w:rsidRPr="00B03088" w:rsidRDefault="00732E59" w:rsidP="00732E59">
            <w:pPr>
              <w:ind w:firstLine="0"/>
              <w:rPr>
                <w:color w:val="000000"/>
                <w:sz w:val="20"/>
              </w:rPr>
            </w:pPr>
            <w:r w:rsidRPr="00B03088">
              <w:rPr>
                <w:color w:val="000000"/>
                <w:sz w:val="20"/>
              </w:rPr>
              <w:t xml:space="preserve">Ben-Amar e André (2006); </w:t>
            </w:r>
            <w:proofErr w:type="spellStart"/>
            <w:r w:rsidR="008A1538" w:rsidRPr="00B03088">
              <w:rPr>
                <w:color w:val="000000"/>
                <w:sz w:val="20"/>
              </w:rPr>
              <w:t>Bouzgarrou</w:t>
            </w:r>
            <w:proofErr w:type="spellEnd"/>
            <w:r w:rsidR="008A1538" w:rsidRPr="00B03088">
              <w:rPr>
                <w:color w:val="000000"/>
                <w:sz w:val="20"/>
              </w:rPr>
              <w:t xml:space="preserve"> e </w:t>
            </w:r>
            <w:proofErr w:type="spellStart"/>
            <w:r w:rsidR="008A1538" w:rsidRPr="00B03088">
              <w:rPr>
                <w:color w:val="000000"/>
                <w:sz w:val="20"/>
              </w:rPr>
              <w:t>Navatte</w:t>
            </w:r>
            <w:proofErr w:type="spellEnd"/>
            <w:r w:rsidR="008A1538" w:rsidRPr="00B03088">
              <w:rPr>
                <w:color w:val="000000"/>
                <w:sz w:val="20"/>
              </w:rPr>
              <w:t xml:space="preserve"> (2013</w:t>
            </w:r>
            <w:proofErr w:type="gramStart"/>
            <w:r w:rsidR="008A1538" w:rsidRPr="00B03088">
              <w:rPr>
                <w:color w:val="000000"/>
                <w:sz w:val="20"/>
              </w:rPr>
              <w:t>)</w:t>
            </w:r>
            <w:proofErr w:type="gramEnd"/>
            <w:r w:rsidR="008A1538" w:rsidRPr="00B03088">
              <w:rPr>
                <w:color w:val="000000"/>
                <w:sz w:val="20"/>
              </w:rPr>
              <w:t xml:space="preserve"> </w:t>
            </w:r>
          </w:p>
        </w:tc>
      </w:tr>
      <w:tr w:rsidR="00F8282A" w:rsidRPr="00B03088" w:rsidTr="00856420">
        <w:trPr>
          <w:trHeight w:val="561"/>
        </w:trPr>
        <w:tc>
          <w:tcPr>
            <w:tcW w:w="1365" w:type="pct"/>
            <w:shd w:val="clear" w:color="auto" w:fill="auto"/>
            <w:vAlign w:val="center"/>
            <w:hideMark/>
          </w:tcPr>
          <w:p w:rsidR="008A1538" w:rsidRPr="00B03088" w:rsidRDefault="008A1538" w:rsidP="008A1538">
            <w:pPr>
              <w:ind w:firstLine="0"/>
              <w:jc w:val="center"/>
              <w:rPr>
                <w:color w:val="000000"/>
                <w:sz w:val="20"/>
              </w:rPr>
            </w:pPr>
            <w:r w:rsidRPr="00B03088">
              <w:rPr>
                <w:color w:val="000000"/>
                <w:sz w:val="20"/>
              </w:rPr>
              <w:t xml:space="preserve">Tamanho do conselho </w:t>
            </w:r>
            <w:r w:rsidR="00EA2865" w:rsidRPr="00B03088">
              <w:rPr>
                <w:color w:val="000000"/>
                <w:sz w:val="20"/>
              </w:rPr>
              <w:t>a</w:t>
            </w:r>
            <w:r w:rsidRPr="00B03088">
              <w:rPr>
                <w:color w:val="000000"/>
                <w:sz w:val="20"/>
              </w:rPr>
              <w:t>dministrativo</w:t>
            </w:r>
          </w:p>
          <w:p w:rsidR="008A1538" w:rsidRPr="00B03088" w:rsidRDefault="008A1538" w:rsidP="008A1538">
            <w:pPr>
              <w:ind w:firstLine="0"/>
              <w:jc w:val="center"/>
              <w:rPr>
                <w:i/>
                <w:color w:val="000000"/>
                <w:sz w:val="20"/>
              </w:rPr>
            </w:pPr>
            <w:r w:rsidRPr="00B03088">
              <w:rPr>
                <w:i/>
                <w:color w:val="000000"/>
                <w:sz w:val="20"/>
              </w:rPr>
              <w:t>(conselho)</w:t>
            </w:r>
          </w:p>
        </w:tc>
        <w:tc>
          <w:tcPr>
            <w:tcW w:w="1395" w:type="pct"/>
            <w:shd w:val="clear" w:color="auto" w:fill="auto"/>
            <w:vAlign w:val="center"/>
            <w:hideMark/>
          </w:tcPr>
          <w:p w:rsidR="008A1538" w:rsidRPr="00B03088" w:rsidRDefault="008A1538" w:rsidP="00EA2865">
            <w:pPr>
              <w:ind w:firstLine="0"/>
              <w:jc w:val="center"/>
              <w:rPr>
                <w:color w:val="000000"/>
                <w:sz w:val="20"/>
              </w:rPr>
            </w:pPr>
            <w:r w:rsidRPr="00B03088">
              <w:rPr>
                <w:color w:val="000000"/>
                <w:sz w:val="20"/>
              </w:rPr>
              <w:t>Número de conselheiros administrativos</w:t>
            </w:r>
          </w:p>
        </w:tc>
        <w:tc>
          <w:tcPr>
            <w:tcW w:w="583" w:type="pct"/>
            <w:shd w:val="clear" w:color="auto" w:fill="auto"/>
            <w:vAlign w:val="center"/>
            <w:hideMark/>
          </w:tcPr>
          <w:p w:rsidR="008A1538" w:rsidRPr="00B03088" w:rsidRDefault="008A1538" w:rsidP="00E71CD7">
            <w:pPr>
              <w:ind w:firstLine="0"/>
              <w:jc w:val="center"/>
              <w:rPr>
                <w:color w:val="000000"/>
                <w:sz w:val="20"/>
              </w:rPr>
            </w:pPr>
            <w:r w:rsidRPr="00B03088">
              <w:rPr>
                <w:color w:val="000000"/>
                <w:sz w:val="20"/>
              </w:rPr>
              <w:t>-</w:t>
            </w:r>
          </w:p>
        </w:tc>
        <w:tc>
          <w:tcPr>
            <w:tcW w:w="1656" w:type="pct"/>
            <w:shd w:val="clear" w:color="auto" w:fill="auto"/>
            <w:vAlign w:val="center"/>
            <w:hideMark/>
          </w:tcPr>
          <w:p w:rsidR="008A1538" w:rsidRPr="00B03088" w:rsidRDefault="00732E59" w:rsidP="00732E59">
            <w:pPr>
              <w:ind w:firstLine="0"/>
              <w:rPr>
                <w:color w:val="000000"/>
                <w:sz w:val="20"/>
              </w:rPr>
            </w:pPr>
            <w:r w:rsidRPr="00B03088">
              <w:rPr>
                <w:sz w:val="20"/>
              </w:rPr>
              <w:t xml:space="preserve">André, </w:t>
            </w:r>
            <w:r w:rsidRPr="00B03088">
              <w:rPr>
                <w:color w:val="222222"/>
                <w:sz w:val="20"/>
                <w:shd w:val="clear" w:color="auto" w:fill="FFFFFF"/>
              </w:rPr>
              <w:t xml:space="preserve">Ben-Amar e </w:t>
            </w:r>
            <w:proofErr w:type="spellStart"/>
            <w:r w:rsidRPr="00B03088">
              <w:rPr>
                <w:color w:val="222222"/>
                <w:sz w:val="20"/>
                <w:shd w:val="clear" w:color="auto" w:fill="FFFFFF"/>
              </w:rPr>
              <w:t>Saadi</w:t>
            </w:r>
            <w:proofErr w:type="spellEnd"/>
            <w:r w:rsidRPr="00B03088">
              <w:rPr>
                <w:color w:val="222222"/>
                <w:sz w:val="20"/>
                <w:shd w:val="clear" w:color="auto" w:fill="FFFFFF"/>
              </w:rPr>
              <w:t xml:space="preserve"> (2014); </w:t>
            </w:r>
            <w:r w:rsidR="008A1538" w:rsidRPr="00B03088">
              <w:rPr>
                <w:color w:val="000000"/>
                <w:sz w:val="20"/>
              </w:rPr>
              <w:t>Ben-Amar e André (2006</w:t>
            </w:r>
            <w:proofErr w:type="gramStart"/>
            <w:r w:rsidR="008A1538" w:rsidRPr="00B03088">
              <w:rPr>
                <w:color w:val="000000"/>
                <w:sz w:val="20"/>
              </w:rPr>
              <w:t>)</w:t>
            </w:r>
            <w:proofErr w:type="gramEnd"/>
          </w:p>
        </w:tc>
      </w:tr>
      <w:tr w:rsidR="00F8282A" w:rsidRPr="00B03088" w:rsidTr="008C2B3E">
        <w:trPr>
          <w:trHeight w:val="455"/>
        </w:trPr>
        <w:tc>
          <w:tcPr>
            <w:tcW w:w="1365" w:type="pct"/>
            <w:shd w:val="clear" w:color="auto" w:fill="auto"/>
            <w:vAlign w:val="center"/>
            <w:hideMark/>
          </w:tcPr>
          <w:p w:rsidR="008A1538" w:rsidRPr="00B03088" w:rsidRDefault="008A1538" w:rsidP="008A1538">
            <w:pPr>
              <w:ind w:firstLine="0"/>
              <w:jc w:val="center"/>
              <w:rPr>
                <w:color w:val="000000"/>
                <w:sz w:val="20"/>
              </w:rPr>
            </w:pPr>
            <w:r w:rsidRPr="00B03088">
              <w:rPr>
                <w:color w:val="000000"/>
                <w:sz w:val="20"/>
              </w:rPr>
              <w:t>Rentabilidade dos ativos</w:t>
            </w:r>
          </w:p>
          <w:p w:rsidR="008A1538" w:rsidRPr="00B03088" w:rsidRDefault="008A1538" w:rsidP="008A1538">
            <w:pPr>
              <w:ind w:firstLine="0"/>
              <w:jc w:val="center"/>
              <w:rPr>
                <w:i/>
                <w:color w:val="000000"/>
                <w:sz w:val="20"/>
              </w:rPr>
            </w:pPr>
            <w:r w:rsidRPr="00B03088">
              <w:rPr>
                <w:i/>
                <w:color w:val="000000"/>
                <w:sz w:val="20"/>
              </w:rPr>
              <w:t>(roa)</w:t>
            </w:r>
          </w:p>
        </w:tc>
        <w:tc>
          <w:tcPr>
            <w:tcW w:w="1395" w:type="pct"/>
            <w:shd w:val="clear" w:color="auto" w:fill="auto"/>
            <w:vAlign w:val="center"/>
            <w:hideMark/>
          </w:tcPr>
          <w:p w:rsidR="008A1538" w:rsidRPr="00B03088" w:rsidRDefault="008A1538" w:rsidP="00EA2865">
            <w:pPr>
              <w:ind w:firstLine="0"/>
              <w:jc w:val="center"/>
              <w:rPr>
                <w:color w:val="000000"/>
                <w:sz w:val="20"/>
              </w:rPr>
            </w:pPr>
            <w:r w:rsidRPr="00B03088">
              <w:rPr>
                <w:color w:val="000000"/>
                <w:sz w:val="20"/>
              </w:rPr>
              <w:t>Lucro líquido / ativo tota</w:t>
            </w:r>
            <w:r w:rsidR="00EA2865" w:rsidRPr="00B03088">
              <w:rPr>
                <w:color w:val="000000"/>
                <w:sz w:val="20"/>
              </w:rPr>
              <w:t>l médio</w:t>
            </w:r>
          </w:p>
        </w:tc>
        <w:tc>
          <w:tcPr>
            <w:tcW w:w="583" w:type="pct"/>
            <w:shd w:val="clear" w:color="auto" w:fill="auto"/>
            <w:vAlign w:val="center"/>
            <w:hideMark/>
          </w:tcPr>
          <w:p w:rsidR="008A1538" w:rsidRPr="00B03088" w:rsidRDefault="008A1538" w:rsidP="00E71CD7">
            <w:pPr>
              <w:ind w:firstLine="0"/>
              <w:jc w:val="center"/>
              <w:rPr>
                <w:color w:val="000000"/>
                <w:sz w:val="20"/>
              </w:rPr>
            </w:pPr>
            <w:r w:rsidRPr="00B03088">
              <w:rPr>
                <w:color w:val="000000"/>
                <w:sz w:val="20"/>
              </w:rPr>
              <w:t>+</w:t>
            </w:r>
          </w:p>
        </w:tc>
        <w:tc>
          <w:tcPr>
            <w:tcW w:w="1656" w:type="pct"/>
            <w:shd w:val="clear" w:color="auto" w:fill="auto"/>
            <w:vAlign w:val="center"/>
            <w:hideMark/>
          </w:tcPr>
          <w:p w:rsidR="008A1538" w:rsidRPr="00B03088" w:rsidRDefault="008A1538" w:rsidP="00E71CD7">
            <w:pPr>
              <w:ind w:firstLine="0"/>
              <w:rPr>
                <w:color w:val="000000"/>
                <w:sz w:val="20"/>
              </w:rPr>
            </w:pPr>
            <w:r w:rsidRPr="00B03088">
              <w:rPr>
                <w:color w:val="000000"/>
                <w:sz w:val="20"/>
              </w:rPr>
              <w:t xml:space="preserve">Du e </w:t>
            </w:r>
            <w:proofErr w:type="spellStart"/>
            <w:r w:rsidRPr="00B03088">
              <w:rPr>
                <w:color w:val="000000"/>
                <w:sz w:val="20"/>
              </w:rPr>
              <w:t>Boateng</w:t>
            </w:r>
            <w:proofErr w:type="spellEnd"/>
            <w:r w:rsidRPr="00B03088">
              <w:rPr>
                <w:color w:val="000000"/>
                <w:sz w:val="20"/>
              </w:rPr>
              <w:t xml:space="preserve"> (2014)</w:t>
            </w:r>
          </w:p>
        </w:tc>
      </w:tr>
    </w:tbl>
    <w:p w:rsidR="00484B12" w:rsidRPr="004129E7" w:rsidRDefault="00484B12" w:rsidP="00484B12">
      <w:pPr>
        <w:ind w:firstLine="0"/>
        <w:rPr>
          <w:sz w:val="20"/>
        </w:rPr>
      </w:pPr>
      <w:r w:rsidRPr="008E1F78">
        <w:rPr>
          <w:sz w:val="20"/>
        </w:rPr>
        <w:t>Fonte:</w:t>
      </w:r>
      <w:r w:rsidRPr="004129E7">
        <w:rPr>
          <w:sz w:val="20"/>
        </w:rPr>
        <w:t xml:space="preserve"> </w:t>
      </w:r>
      <w:r>
        <w:rPr>
          <w:sz w:val="20"/>
        </w:rPr>
        <w:t>E</w:t>
      </w:r>
      <w:r w:rsidRPr="004129E7">
        <w:rPr>
          <w:sz w:val="20"/>
        </w:rPr>
        <w:t>labora</w:t>
      </w:r>
      <w:r>
        <w:rPr>
          <w:sz w:val="20"/>
        </w:rPr>
        <w:t>ção própria</w:t>
      </w:r>
      <w:r w:rsidRPr="004129E7">
        <w:rPr>
          <w:sz w:val="20"/>
        </w:rPr>
        <w:t>.</w:t>
      </w:r>
    </w:p>
    <w:p w:rsidR="006827DC" w:rsidRPr="00E614B2" w:rsidRDefault="006827DC" w:rsidP="000771ED">
      <w:pPr>
        <w:rPr>
          <w:sz w:val="20"/>
        </w:rPr>
      </w:pPr>
    </w:p>
    <w:p w:rsidR="0060002B" w:rsidRDefault="00F40419" w:rsidP="00AB2BBB">
      <w:pPr>
        <w:pStyle w:val="PargrafodaLista"/>
        <w:numPr>
          <w:ilvl w:val="1"/>
          <w:numId w:val="13"/>
        </w:numPr>
        <w:tabs>
          <w:tab w:val="left" w:pos="709"/>
        </w:tabs>
        <w:spacing w:after="0" w:line="240" w:lineRule="auto"/>
        <w:ind w:left="0" w:firstLine="0"/>
        <w:jc w:val="both"/>
        <w:rPr>
          <w:rFonts w:ascii="Times New Roman" w:hAnsi="Times New Roman" w:cs="Times New Roman"/>
          <w:b/>
          <w:sz w:val="24"/>
          <w:szCs w:val="24"/>
        </w:rPr>
      </w:pPr>
      <w:r w:rsidRPr="00AB2BBB">
        <w:rPr>
          <w:rFonts w:ascii="Times New Roman" w:hAnsi="Times New Roman" w:cs="Times New Roman"/>
          <w:b/>
          <w:sz w:val="24"/>
          <w:szCs w:val="24"/>
        </w:rPr>
        <w:t>Modelagem Econométrica</w:t>
      </w:r>
    </w:p>
    <w:p w:rsidR="00AB2BBB" w:rsidRPr="00E614B2" w:rsidRDefault="00AB2BBB" w:rsidP="00AB2BBB">
      <w:pPr>
        <w:pStyle w:val="PargrafodaLista"/>
        <w:tabs>
          <w:tab w:val="left" w:pos="709"/>
        </w:tabs>
        <w:spacing w:after="0" w:line="240" w:lineRule="auto"/>
        <w:ind w:left="0"/>
        <w:jc w:val="both"/>
        <w:rPr>
          <w:rFonts w:ascii="Times New Roman" w:hAnsi="Times New Roman" w:cs="Times New Roman"/>
          <w:b/>
          <w:sz w:val="20"/>
          <w:szCs w:val="20"/>
        </w:rPr>
      </w:pPr>
    </w:p>
    <w:p w:rsidR="00F40419" w:rsidRPr="000C672C" w:rsidRDefault="00F40419" w:rsidP="000C672C">
      <w:pPr>
        <w:rPr>
          <w:b/>
          <w:szCs w:val="24"/>
        </w:rPr>
      </w:pPr>
      <w:r w:rsidRPr="000C672C">
        <w:rPr>
          <w:szCs w:val="24"/>
        </w:rPr>
        <w:t xml:space="preserve">Para testar a hipótese desta pesquisa, dois modelos </w:t>
      </w:r>
      <w:r w:rsidR="00AB2BBB" w:rsidRPr="000C672C">
        <w:rPr>
          <w:szCs w:val="24"/>
        </w:rPr>
        <w:t xml:space="preserve">(Equação </w:t>
      </w:r>
      <w:proofErr w:type="gramStart"/>
      <w:r w:rsidR="00A75A3C">
        <w:rPr>
          <w:szCs w:val="24"/>
        </w:rPr>
        <w:t>6</w:t>
      </w:r>
      <w:proofErr w:type="gramEnd"/>
      <w:r w:rsidR="00AB2BBB" w:rsidRPr="000C672C">
        <w:rPr>
          <w:szCs w:val="24"/>
        </w:rPr>
        <w:t xml:space="preserve"> e </w:t>
      </w:r>
      <w:r w:rsidR="00A75A3C">
        <w:rPr>
          <w:szCs w:val="24"/>
        </w:rPr>
        <w:t>7</w:t>
      </w:r>
      <w:r w:rsidR="00AB2BBB" w:rsidRPr="000C672C">
        <w:rPr>
          <w:szCs w:val="24"/>
        </w:rPr>
        <w:t xml:space="preserve">) </w:t>
      </w:r>
      <w:r w:rsidRPr="000C672C">
        <w:rPr>
          <w:szCs w:val="24"/>
        </w:rPr>
        <w:t>foram estimados por mínimos quadrados ordinários (</w:t>
      </w:r>
      <w:r w:rsidRPr="000C672C">
        <w:rPr>
          <w:rStyle w:val="Ttulo2Char"/>
          <w:szCs w:val="24"/>
        </w:rPr>
        <w:t xml:space="preserve">MQO) </w:t>
      </w:r>
      <w:r w:rsidRPr="000C672C">
        <w:rPr>
          <w:rStyle w:val="Ttulo2Char"/>
          <w:caps w:val="0"/>
          <w:szCs w:val="24"/>
        </w:rPr>
        <w:t>com dados empilhados</w:t>
      </w:r>
      <w:r w:rsidR="00AB2BBB" w:rsidRPr="000C672C">
        <w:rPr>
          <w:rStyle w:val="Ttulo2Char"/>
          <w:caps w:val="0"/>
          <w:szCs w:val="24"/>
        </w:rPr>
        <w:t>.</w:t>
      </w:r>
      <w:r w:rsidRPr="000C672C">
        <w:rPr>
          <w:rStyle w:val="Ttulo2Char"/>
          <w:caps w:val="0"/>
          <w:szCs w:val="24"/>
        </w:rPr>
        <w:t xml:space="preserve"> </w:t>
      </w:r>
    </w:p>
    <w:p w:rsidR="0060002B" w:rsidRPr="00E614B2" w:rsidRDefault="0060002B" w:rsidP="000C672C">
      <w:pPr>
        <w:tabs>
          <w:tab w:val="left" w:pos="709"/>
        </w:tabs>
        <w:rPr>
          <w:b/>
          <w:sz w:val="20"/>
        </w:rPr>
      </w:pPr>
    </w:p>
    <w:p w:rsidR="005921AE" w:rsidRPr="000C672C" w:rsidRDefault="005921AE" w:rsidP="000C672C">
      <w:pPr>
        <w:rPr>
          <w:szCs w:val="24"/>
        </w:rPr>
      </w:pPr>
      <m:oMath>
        <m:r>
          <w:rPr>
            <w:rFonts w:ascii="Cambria Math" w:hAnsi="Cambria Math"/>
            <w:szCs w:val="24"/>
          </w:rPr>
          <m:t>CAR(-3,3)</m:t>
        </m:r>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β</m:t>
            </m:r>
          </m:e>
          <m:sub>
            <m:r>
              <m:rPr>
                <m:sty m:val="p"/>
              </m:rPr>
              <w:rPr>
                <w:rFonts w:ascii="Cambria Math" w:hAnsi="Cambria Math"/>
                <w:szCs w:val="24"/>
              </w:rPr>
              <m:t>0</m:t>
            </m:r>
          </m:sub>
        </m:sSub>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familiar</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qtobin</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3</m:t>
            </m:r>
          </m:sub>
        </m:sSub>
        <m:r>
          <w:rPr>
            <w:rFonts w:ascii="Cambria Math" w:hAnsi="Cambria Math"/>
            <w:szCs w:val="24"/>
          </w:rPr>
          <m:t>endiv</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4</m:t>
            </m:r>
          </m:sub>
        </m:sSub>
        <m:r>
          <w:rPr>
            <w:rFonts w:ascii="Cambria Math" w:hAnsi="Cambria Math"/>
            <w:szCs w:val="24"/>
          </w:rPr>
          <m:t>caixa</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5</m:t>
            </m:r>
          </m:sub>
        </m:sSub>
        <m:r>
          <w:rPr>
            <w:rFonts w:ascii="Cambria Math" w:hAnsi="Cambria Math"/>
            <w:szCs w:val="24"/>
          </w:rPr>
          <m:t>lnativo</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6</m:t>
            </m:r>
          </m:sub>
        </m:sSub>
        <m:r>
          <w:rPr>
            <w:rFonts w:ascii="Cambria Math" w:hAnsi="Cambria Math"/>
            <w:szCs w:val="24"/>
          </w:rPr>
          <m:t>status</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7</m:t>
            </m:r>
          </m:sub>
        </m:sSub>
        <m:r>
          <w:rPr>
            <w:rFonts w:ascii="Cambria Math" w:hAnsi="Cambria Math"/>
            <w:szCs w:val="24"/>
          </w:rPr>
          <m:t>conselho</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8</m:t>
            </m:r>
          </m:sub>
        </m:sSub>
        <m:r>
          <w:rPr>
            <w:rFonts w:ascii="Cambria Math" w:hAnsi="Cambria Math"/>
            <w:szCs w:val="24"/>
          </w:rPr>
          <m:t>roa</m:t>
        </m:r>
        <m:r>
          <m:rPr>
            <m:sty m:val="p"/>
          </m:rPr>
          <w:rPr>
            <w:rFonts w:ascii="Cambria Math" w:hAnsi="Cambria Math"/>
            <w:szCs w:val="24"/>
          </w:rPr>
          <m:t>+μ</m:t>
        </m:r>
      </m:oMath>
      <w:r w:rsidRPr="000C672C">
        <w:rPr>
          <w:szCs w:val="24"/>
        </w:rPr>
        <w:t xml:space="preserve">  </w:t>
      </w:r>
      <w:r w:rsidRPr="000C672C">
        <w:rPr>
          <w:szCs w:val="24"/>
        </w:rPr>
        <w:tab/>
      </w:r>
      <w:r w:rsidRPr="000C672C">
        <w:rPr>
          <w:szCs w:val="24"/>
        </w:rPr>
        <w:tab/>
      </w:r>
      <w:r w:rsidRPr="000C672C">
        <w:rPr>
          <w:szCs w:val="24"/>
        </w:rPr>
        <w:tab/>
      </w:r>
      <w:r w:rsidRPr="000C672C">
        <w:rPr>
          <w:szCs w:val="24"/>
        </w:rPr>
        <w:tab/>
        <w:t>(</w:t>
      </w:r>
      <w:r w:rsidR="00A75A3C">
        <w:rPr>
          <w:szCs w:val="24"/>
        </w:rPr>
        <w:t>6</w:t>
      </w:r>
      <w:r w:rsidRPr="000C672C">
        <w:rPr>
          <w:szCs w:val="24"/>
        </w:rPr>
        <w:t>)</w:t>
      </w:r>
    </w:p>
    <w:p w:rsidR="0060002B" w:rsidRPr="00E614B2" w:rsidRDefault="0060002B" w:rsidP="000C672C">
      <w:pPr>
        <w:tabs>
          <w:tab w:val="left" w:pos="709"/>
        </w:tabs>
        <w:rPr>
          <w:b/>
          <w:sz w:val="20"/>
        </w:rPr>
      </w:pPr>
    </w:p>
    <w:p w:rsidR="005921AE" w:rsidRPr="000C672C" w:rsidRDefault="005921AE" w:rsidP="000C672C">
      <w:pPr>
        <w:rPr>
          <w:szCs w:val="24"/>
        </w:rPr>
      </w:pPr>
      <m:oMath>
        <m:r>
          <w:rPr>
            <w:rFonts w:ascii="Cambria Math" w:hAnsi="Cambria Math"/>
            <w:szCs w:val="24"/>
          </w:rPr>
          <m:t>CAR(-20,20)</m:t>
        </m:r>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β</m:t>
            </m:r>
          </m:e>
          <m:sub>
            <m:r>
              <m:rPr>
                <m:sty m:val="p"/>
              </m:rPr>
              <w:rPr>
                <w:rFonts w:ascii="Cambria Math" w:hAnsi="Cambria Math"/>
                <w:szCs w:val="24"/>
              </w:rPr>
              <m:t>0</m:t>
            </m:r>
          </m:sub>
        </m:sSub>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familiar</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qtobin</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3</m:t>
            </m:r>
          </m:sub>
        </m:sSub>
        <m:r>
          <w:rPr>
            <w:rFonts w:ascii="Cambria Math" w:hAnsi="Cambria Math"/>
            <w:szCs w:val="24"/>
          </w:rPr>
          <m:t>endiv</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4</m:t>
            </m:r>
          </m:sub>
        </m:sSub>
        <m:r>
          <w:rPr>
            <w:rFonts w:ascii="Cambria Math" w:hAnsi="Cambria Math"/>
            <w:szCs w:val="24"/>
          </w:rPr>
          <m:t>caixa</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5</m:t>
            </m:r>
          </m:sub>
        </m:sSub>
        <m:r>
          <w:rPr>
            <w:rFonts w:ascii="Cambria Math" w:hAnsi="Cambria Math"/>
            <w:szCs w:val="24"/>
          </w:rPr>
          <m:t>lnativo</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6</m:t>
            </m:r>
          </m:sub>
        </m:sSub>
        <m:r>
          <w:rPr>
            <w:rFonts w:ascii="Cambria Math" w:hAnsi="Cambria Math"/>
            <w:szCs w:val="24"/>
          </w:rPr>
          <m:t>status</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7</m:t>
            </m:r>
          </m:sub>
        </m:sSub>
        <m:r>
          <w:rPr>
            <w:rFonts w:ascii="Cambria Math" w:hAnsi="Cambria Math"/>
            <w:szCs w:val="24"/>
          </w:rPr>
          <m:t>conselho</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8</m:t>
            </m:r>
          </m:sub>
        </m:sSub>
        <m:r>
          <w:rPr>
            <w:rFonts w:ascii="Cambria Math" w:hAnsi="Cambria Math"/>
            <w:szCs w:val="24"/>
          </w:rPr>
          <m:t>roa</m:t>
        </m:r>
        <m:r>
          <m:rPr>
            <m:sty m:val="p"/>
          </m:rPr>
          <w:rPr>
            <w:rFonts w:ascii="Cambria Math" w:hAnsi="Cambria Math"/>
            <w:szCs w:val="24"/>
          </w:rPr>
          <m:t>+μ</m:t>
        </m:r>
      </m:oMath>
      <w:r w:rsidRPr="000C672C">
        <w:rPr>
          <w:szCs w:val="24"/>
        </w:rPr>
        <w:t xml:space="preserve">  </w:t>
      </w:r>
      <w:r w:rsidRPr="000C672C">
        <w:rPr>
          <w:szCs w:val="24"/>
        </w:rPr>
        <w:tab/>
      </w:r>
      <w:r w:rsidRPr="000C672C">
        <w:rPr>
          <w:szCs w:val="24"/>
        </w:rPr>
        <w:tab/>
      </w:r>
      <w:r w:rsidRPr="000C672C">
        <w:rPr>
          <w:szCs w:val="24"/>
        </w:rPr>
        <w:tab/>
      </w:r>
      <w:r w:rsidRPr="000C672C">
        <w:rPr>
          <w:szCs w:val="24"/>
        </w:rPr>
        <w:tab/>
        <w:t>(</w:t>
      </w:r>
      <w:r w:rsidR="00A75A3C">
        <w:rPr>
          <w:szCs w:val="24"/>
        </w:rPr>
        <w:t>7</w:t>
      </w:r>
      <w:r w:rsidRPr="000C672C">
        <w:rPr>
          <w:szCs w:val="24"/>
        </w:rPr>
        <w:t>)</w:t>
      </w:r>
    </w:p>
    <w:p w:rsidR="005921AE" w:rsidRPr="00E614B2" w:rsidRDefault="005921AE" w:rsidP="000C672C">
      <w:pPr>
        <w:tabs>
          <w:tab w:val="left" w:pos="709"/>
        </w:tabs>
        <w:rPr>
          <w:b/>
          <w:sz w:val="20"/>
        </w:rPr>
      </w:pPr>
    </w:p>
    <w:p w:rsidR="002A42C1" w:rsidRDefault="009B2FB1" w:rsidP="00B65100">
      <w:pPr>
        <w:rPr>
          <w:szCs w:val="24"/>
        </w:rPr>
      </w:pPr>
      <w:r>
        <w:rPr>
          <w:szCs w:val="24"/>
        </w:rPr>
        <w:t>Para atender aos pressupostos dos modelos de regressão por M</w:t>
      </w:r>
      <w:r w:rsidR="00323467">
        <w:rPr>
          <w:szCs w:val="24"/>
        </w:rPr>
        <w:t xml:space="preserve">QO, </w:t>
      </w:r>
      <w:r w:rsidR="00DE0EBE">
        <w:rPr>
          <w:szCs w:val="24"/>
        </w:rPr>
        <w:t>o</w:t>
      </w:r>
      <w:r w:rsidR="00323467">
        <w:rPr>
          <w:szCs w:val="24"/>
        </w:rPr>
        <w:t>s</w:t>
      </w:r>
      <w:r w:rsidR="00DE0EBE">
        <w:rPr>
          <w:szCs w:val="24"/>
        </w:rPr>
        <w:t xml:space="preserve"> teste</w:t>
      </w:r>
      <w:r w:rsidR="00323467">
        <w:rPr>
          <w:szCs w:val="24"/>
        </w:rPr>
        <w:t>s</w:t>
      </w:r>
      <w:r w:rsidR="00DE0EBE">
        <w:rPr>
          <w:szCs w:val="24"/>
        </w:rPr>
        <w:t xml:space="preserve"> </w:t>
      </w:r>
      <w:r w:rsidR="00DE0EBE" w:rsidRPr="00DE0EBE">
        <w:rPr>
          <w:i/>
          <w:szCs w:val="24"/>
        </w:rPr>
        <w:t>Shapiro-Francia</w:t>
      </w:r>
      <w:r w:rsidR="00DE0EBE">
        <w:rPr>
          <w:szCs w:val="24"/>
        </w:rPr>
        <w:t xml:space="preserve"> </w:t>
      </w:r>
      <w:r w:rsidR="00323467">
        <w:rPr>
          <w:szCs w:val="24"/>
        </w:rPr>
        <w:t xml:space="preserve">e </w:t>
      </w:r>
      <w:proofErr w:type="spellStart"/>
      <w:r w:rsidR="00323467" w:rsidRPr="00323467">
        <w:rPr>
          <w:i/>
          <w:szCs w:val="24"/>
        </w:rPr>
        <w:t>Breush-Pagan</w:t>
      </w:r>
      <w:proofErr w:type="spellEnd"/>
      <w:r w:rsidR="00323467">
        <w:rPr>
          <w:szCs w:val="24"/>
        </w:rPr>
        <w:t xml:space="preserve"> foram feitos </w:t>
      </w:r>
      <w:r w:rsidR="00DE0EBE">
        <w:rPr>
          <w:szCs w:val="24"/>
        </w:rPr>
        <w:t xml:space="preserve">para os dois modelos. Como o p-valor </w:t>
      </w:r>
      <w:r w:rsidR="00323467">
        <w:rPr>
          <w:szCs w:val="24"/>
        </w:rPr>
        <w:t xml:space="preserve">do teste </w:t>
      </w:r>
      <w:r w:rsidR="00323467" w:rsidRPr="00DE0EBE">
        <w:rPr>
          <w:i/>
          <w:szCs w:val="24"/>
        </w:rPr>
        <w:t>Shapiro-Francia</w:t>
      </w:r>
      <w:r w:rsidR="00323467">
        <w:rPr>
          <w:szCs w:val="24"/>
        </w:rPr>
        <w:t xml:space="preserve"> </w:t>
      </w:r>
      <w:r w:rsidR="00DE0EBE">
        <w:rPr>
          <w:szCs w:val="24"/>
        </w:rPr>
        <w:t xml:space="preserve">para o CAR (-3,3) foi de 0,2929 e para o CAR (-20,20) foi de 0,1801, os resíduos dos dois modelos seguem distribuição normal. </w:t>
      </w:r>
      <w:r w:rsidR="002A42C1">
        <w:rPr>
          <w:szCs w:val="24"/>
        </w:rPr>
        <w:t>C</w:t>
      </w:r>
      <w:r w:rsidR="002A42C1" w:rsidRPr="0076679A">
        <w:rPr>
          <w:szCs w:val="24"/>
        </w:rPr>
        <w:t>onstat</w:t>
      </w:r>
      <w:r w:rsidR="002A42C1">
        <w:rPr>
          <w:szCs w:val="24"/>
        </w:rPr>
        <w:t>ou-se</w:t>
      </w:r>
      <w:r w:rsidR="002A42C1" w:rsidRPr="0076679A">
        <w:rPr>
          <w:szCs w:val="24"/>
        </w:rPr>
        <w:t xml:space="preserve"> </w:t>
      </w:r>
      <w:r w:rsidR="002A42C1">
        <w:rPr>
          <w:szCs w:val="24"/>
        </w:rPr>
        <w:t>também que os resíduos dos modelos apresentam variância constante, visto que o</w:t>
      </w:r>
      <w:r w:rsidR="002A42C1" w:rsidRPr="0076679A">
        <w:rPr>
          <w:szCs w:val="24"/>
        </w:rPr>
        <w:t xml:space="preserve"> resultado </w:t>
      </w:r>
      <w:r w:rsidR="002A42C1">
        <w:rPr>
          <w:szCs w:val="24"/>
        </w:rPr>
        <w:t xml:space="preserve">do teste </w:t>
      </w:r>
      <w:proofErr w:type="spellStart"/>
      <w:r w:rsidR="002A42C1" w:rsidRPr="00323467">
        <w:rPr>
          <w:i/>
          <w:szCs w:val="24"/>
        </w:rPr>
        <w:t>Breush-Pagan</w:t>
      </w:r>
      <w:proofErr w:type="spellEnd"/>
      <w:r w:rsidR="002A42C1">
        <w:rPr>
          <w:szCs w:val="24"/>
        </w:rPr>
        <w:t xml:space="preserve"> </w:t>
      </w:r>
      <w:r w:rsidR="002A42C1" w:rsidRPr="0076679A">
        <w:rPr>
          <w:szCs w:val="24"/>
        </w:rPr>
        <w:t>para</w:t>
      </w:r>
      <w:r w:rsidR="002A42C1">
        <w:rPr>
          <w:szCs w:val="24"/>
        </w:rPr>
        <w:t xml:space="preserve"> o</w:t>
      </w:r>
      <w:r w:rsidR="002A42C1" w:rsidRPr="0076679A">
        <w:rPr>
          <w:szCs w:val="24"/>
        </w:rPr>
        <w:t xml:space="preserve"> CAR</w:t>
      </w:r>
      <w:r w:rsidR="002A42C1">
        <w:rPr>
          <w:szCs w:val="24"/>
        </w:rPr>
        <w:t xml:space="preserve"> </w:t>
      </w:r>
      <w:r w:rsidR="002A42C1" w:rsidRPr="0076679A">
        <w:rPr>
          <w:szCs w:val="24"/>
        </w:rPr>
        <w:t>(-3,3) foi de 0,3589 e para</w:t>
      </w:r>
      <w:r w:rsidR="002A42C1">
        <w:rPr>
          <w:szCs w:val="24"/>
        </w:rPr>
        <w:t xml:space="preserve"> o</w:t>
      </w:r>
      <w:r w:rsidR="002A42C1" w:rsidRPr="0076679A">
        <w:rPr>
          <w:szCs w:val="24"/>
        </w:rPr>
        <w:t xml:space="preserve"> CAR</w:t>
      </w:r>
      <w:r w:rsidR="002A42C1">
        <w:rPr>
          <w:szCs w:val="24"/>
        </w:rPr>
        <w:t xml:space="preserve"> </w:t>
      </w:r>
      <w:r w:rsidR="002A42C1" w:rsidRPr="0076679A">
        <w:rPr>
          <w:szCs w:val="24"/>
        </w:rPr>
        <w:t>(-20,20)</w:t>
      </w:r>
      <w:r w:rsidR="002A42C1">
        <w:rPr>
          <w:szCs w:val="24"/>
        </w:rPr>
        <w:t xml:space="preserve"> foi </w:t>
      </w:r>
      <w:r w:rsidR="002A42C1" w:rsidRPr="0076679A">
        <w:rPr>
          <w:szCs w:val="24"/>
        </w:rPr>
        <w:t xml:space="preserve">de </w:t>
      </w:r>
      <w:r w:rsidR="002A42C1">
        <w:rPr>
          <w:szCs w:val="24"/>
        </w:rPr>
        <w:t>0,2293.</w:t>
      </w:r>
    </w:p>
    <w:p w:rsidR="00B65100" w:rsidRPr="0076679A" w:rsidRDefault="00DE0EBE" w:rsidP="00B65100">
      <w:pPr>
        <w:rPr>
          <w:szCs w:val="24"/>
        </w:rPr>
      </w:pPr>
      <w:r>
        <w:rPr>
          <w:szCs w:val="24"/>
        </w:rPr>
        <w:t xml:space="preserve">Para a multicolinearidade, calculou-se a estatística de fatores de </w:t>
      </w:r>
      <w:proofErr w:type="spellStart"/>
      <w:r>
        <w:rPr>
          <w:szCs w:val="24"/>
        </w:rPr>
        <w:t>inflacionamento</w:t>
      </w:r>
      <w:proofErr w:type="spellEnd"/>
      <w:r>
        <w:rPr>
          <w:szCs w:val="24"/>
        </w:rPr>
        <w:t xml:space="preserve"> das variáveis (VIF). </w:t>
      </w:r>
      <w:r w:rsidR="00856420">
        <w:rPr>
          <w:szCs w:val="24"/>
        </w:rPr>
        <w:t>D</w:t>
      </w:r>
      <w:r>
        <w:rPr>
          <w:szCs w:val="24"/>
        </w:rPr>
        <w:t xml:space="preserve">ado que o maior valor obtido </w:t>
      </w:r>
      <w:r w:rsidR="00856420">
        <w:rPr>
          <w:szCs w:val="24"/>
        </w:rPr>
        <w:t xml:space="preserve">para o VIF </w:t>
      </w:r>
      <w:r>
        <w:rPr>
          <w:szCs w:val="24"/>
        </w:rPr>
        <w:t>foi de 1,81, não há correlações elevadas ou perfeitas entre as variáveis explicativas dos modelos</w:t>
      </w:r>
      <w:r w:rsidR="00856420">
        <w:rPr>
          <w:szCs w:val="24"/>
        </w:rPr>
        <w:t xml:space="preserve"> </w:t>
      </w:r>
      <w:r w:rsidR="00856420" w:rsidRPr="00F13113">
        <w:rPr>
          <w:szCs w:val="24"/>
        </w:rPr>
        <w:t>(</w:t>
      </w:r>
      <w:r w:rsidR="00856420">
        <w:rPr>
          <w:szCs w:val="24"/>
        </w:rPr>
        <w:t>Fávero &amp;</w:t>
      </w:r>
      <w:r w:rsidR="00856420" w:rsidRPr="00F13113">
        <w:rPr>
          <w:szCs w:val="24"/>
        </w:rPr>
        <w:t xml:space="preserve"> </w:t>
      </w:r>
      <w:proofErr w:type="spellStart"/>
      <w:r w:rsidR="00856420" w:rsidRPr="00F13113">
        <w:rPr>
          <w:szCs w:val="24"/>
        </w:rPr>
        <w:t>Belfiore</w:t>
      </w:r>
      <w:proofErr w:type="spellEnd"/>
      <w:r w:rsidR="00856420">
        <w:rPr>
          <w:szCs w:val="24"/>
        </w:rPr>
        <w:t>, 2017)</w:t>
      </w:r>
      <w:r>
        <w:rPr>
          <w:szCs w:val="24"/>
        </w:rPr>
        <w:t>.</w:t>
      </w:r>
      <w:r w:rsidR="00AB5B60">
        <w:rPr>
          <w:szCs w:val="24"/>
        </w:rPr>
        <w:t xml:space="preserve"> O</w:t>
      </w:r>
      <w:r w:rsidR="00AB5B60" w:rsidRPr="0076679A">
        <w:rPr>
          <w:szCs w:val="24"/>
        </w:rPr>
        <w:t xml:space="preserve"> teste </w:t>
      </w:r>
      <w:r w:rsidR="00AB5B60" w:rsidRPr="00AB5B60">
        <w:rPr>
          <w:i/>
          <w:szCs w:val="24"/>
        </w:rPr>
        <w:t>RESET</w:t>
      </w:r>
      <w:r w:rsidR="00AB5B60">
        <w:rPr>
          <w:szCs w:val="24"/>
        </w:rPr>
        <w:t xml:space="preserve">, destinado à detecção de </w:t>
      </w:r>
      <w:r w:rsidR="00AB5B60" w:rsidRPr="0076679A">
        <w:rPr>
          <w:szCs w:val="24"/>
        </w:rPr>
        <w:t>erros de especificação, como variáveis independentes omitidas, forma funcional incorreta, erros de medida em variáveis, erros de simultaneidade e inclusão de valores defasados da variável dependente quando os resíduos têm correlação serial</w:t>
      </w:r>
      <w:r w:rsidR="00B65100">
        <w:rPr>
          <w:szCs w:val="24"/>
        </w:rPr>
        <w:t>, também foi realizado.</w:t>
      </w:r>
      <w:r w:rsidR="00AB5B60" w:rsidRPr="0076679A">
        <w:rPr>
          <w:szCs w:val="24"/>
        </w:rPr>
        <w:t xml:space="preserve"> </w:t>
      </w:r>
      <w:r w:rsidR="00856420">
        <w:rPr>
          <w:szCs w:val="24"/>
        </w:rPr>
        <w:t>Como o</w:t>
      </w:r>
      <w:r w:rsidR="00AB5B60" w:rsidRPr="0076679A">
        <w:rPr>
          <w:szCs w:val="24"/>
        </w:rPr>
        <w:t xml:space="preserve"> </w:t>
      </w:r>
      <w:r w:rsidR="00AB5B60" w:rsidRPr="00B16606">
        <w:rPr>
          <w:szCs w:val="24"/>
        </w:rPr>
        <w:t>p-valor</w:t>
      </w:r>
      <w:r w:rsidR="00AB5B60" w:rsidRPr="0076679A">
        <w:rPr>
          <w:i/>
          <w:szCs w:val="24"/>
        </w:rPr>
        <w:t xml:space="preserve"> </w:t>
      </w:r>
      <w:r w:rsidR="00AB5B60" w:rsidRPr="0076679A">
        <w:rPr>
          <w:szCs w:val="24"/>
        </w:rPr>
        <w:t>para</w:t>
      </w:r>
      <w:r w:rsidR="00B65100">
        <w:rPr>
          <w:szCs w:val="24"/>
        </w:rPr>
        <w:t xml:space="preserve"> o</w:t>
      </w:r>
      <w:r w:rsidR="00AB5B60" w:rsidRPr="0076679A">
        <w:rPr>
          <w:szCs w:val="24"/>
        </w:rPr>
        <w:t xml:space="preserve"> CAR</w:t>
      </w:r>
      <w:r w:rsidR="00AB5B60">
        <w:rPr>
          <w:szCs w:val="24"/>
        </w:rPr>
        <w:t xml:space="preserve"> </w:t>
      </w:r>
      <w:r w:rsidR="00AB5B60" w:rsidRPr="0076679A">
        <w:rPr>
          <w:szCs w:val="24"/>
        </w:rPr>
        <w:t>(-3,3) foi de 0,4467 e para</w:t>
      </w:r>
      <w:r w:rsidR="00B65100">
        <w:rPr>
          <w:szCs w:val="24"/>
        </w:rPr>
        <w:t xml:space="preserve"> o</w:t>
      </w:r>
      <w:r w:rsidR="00AB5B60" w:rsidRPr="0076679A">
        <w:rPr>
          <w:szCs w:val="24"/>
        </w:rPr>
        <w:t xml:space="preserve"> CAR</w:t>
      </w:r>
      <w:r w:rsidR="00AB5B60">
        <w:rPr>
          <w:szCs w:val="24"/>
        </w:rPr>
        <w:t xml:space="preserve"> </w:t>
      </w:r>
      <w:r w:rsidR="00AB5B60" w:rsidRPr="0076679A">
        <w:rPr>
          <w:szCs w:val="24"/>
        </w:rPr>
        <w:t>(-20,20) foi de</w:t>
      </w:r>
      <w:r w:rsidR="00856420">
        <w:rPr>
          <w:szCs w:val="24"/>
        </w:rPr>
        <w:t xml:space="preserve"> 0,1433, </w:t>
      </w:r>
      <w:r w:rsidR="00B65100" w:rsidRPr="0076679A">
        <w:rPr>
          <w:szCs w:val="24"/>
        </w:rPr>
        <w:t>as especificações</w:t>
      </w:r>
      <w:r w:rsidR="00B65100">
        <w:rPr>
          <w:szCs w:val="24"/>
        </w:rPr>
        <w:t xml:space="preserve"> propostas nas duas equações</w:t>
      </w:r>
      <w:r w:rsidR="00B65100" w:rsidRPr="0076679A">
        <w:rPr>
          <w:szCs w:val="24"/>
        </w:rPr>
        <w:t xml:space="preserve"> </w:t>
      </w:r>
      <w:r w:rsidR="00856420">
        <w:rPr>
          <w:szCs w:val="24"/>
        </w:rPr>
        <w:t>são consideradas como</w:t>
      </w:r>
      <w:r w:rsidR="00B65100" w:rsidRPr="0076679A">
        <w:rPr>
          <w:szCs w:val="24"/>
        </w:rPr>
        <w:t xml:space="preserve"> adequadas.</w:t>
      </w:r>
    </w:p>
    <w:p w:rsidR="0060002B" w:rsidRPr="00E614B2" w:rsidRDefault="0060002B" w:rsidP="00DF1E55">
      <w:pPr>
        <w:rPr>
          <w:b/>
          <w:sz w:val="20"/>
        </w:rPr>
      </w:pPr>
    </w:p>
    <w:p w:rsidR="006866C5" w:rsidRPr="00B73FB4" w:rsidRDefault="006866C5" w:rsidP="00B73FB4">
      <w:pPr>
        <w:pStyle w:val="PargrafodaLista"/>
        <w:numPr>
          <w:ilvl w:val="0"/>
          <w:numId w:val="13"/>
        </w:numPr>
        <w:tabs>
          <w:tab w:val="left" w:pos="709"/>
        </w:tabs>
        <w:spacing w:after="0" w:line="240" w:lineRule="auto"/>
        <w:ind w:left="0" w:firstLine="0"/>
        <w:jc w:val="both"/>
        <w:rPr>
          <w:rFonts w:ascii="Times New Roman" w:hAnsi="Times New Roman" w:cs="Times New Roman"/>
          <w:b/>
          <w:sz w:val="24"/>
          <w:szCs w:val="24"/>
        </w:rPr>
      </w:pPr>
      <w:r w:rsidRPr="00B73FB4">
        <w:rPr>
          <w:rFonts w:ascii="Times New Roman" w:hAnsi="Times New Roman" w:cs="Times New Roman"/>
          <w:b/>
          <w:sz w:val="24"/>
          <w:szCs w:val="24"/>
        </w:rPr>
        <w:t>RESULTADOS</w:t>
      </w:r>
    </w:p>
    <w:p w:rsidR="00B73FB4" w:rsidRPr="00B73FB4" w:rsidRDefault="00B73FB4" w:rsidP="00B73FB4">
      <w:pPr>
        <w:pStyle w:val="PargrafodaLista"/>
        <w:numPr>
          <w:ilvl w:val="1"/>
          <w:numId w:val="13"/>
        </w:numPr>
        <w:tabs>
          <w:tab w:val="left" w:pos="709"/>
        </w:tabs>
        <w:spacing w:after="0" w:line="240" w:lineRule="auto"/>
        <w:ind w:left="0" w:firstLine="0"/>
        <w:jc w:val="both"/>
        <w:rPr>
          <w:rFonts w:ascii="Times New Roman" w:hAnsi="Times New Roman" w:cs="Times New Roman"/>
          <w:b/>
          <w:sz w:val="24"/>
          <w:szCs w:val="24"/>
        </w:rPr>
      </w:pPr>
      <w:r w:rsidRPr="00B73FB4">
        <w:rPr>
          <w:rFonts w:ascii="Times New Roman" w:hAnsi="Times New Roman" w:cs="Times New Roman"/>
          <w:b/>
          <w:sz w:val="24"/>
          <w:szCs w:val="24"/>
        </w:rPr>
        <w:t>Estatística descritiva</w:t>
      </w:r>
    </w:p>
    <w:p w:rsidR="006866C5" w:rsidRPr="00E614B2" w:rsidRDefault="006866C5" w:rsidP="00684CA0">
      <w:pPr>
        <w:tabs>
          <w:tab w:val="left" w:pos="709"/>
        </w:tabs>
        <w:rPr>
          <w:b/>
          <w:sz w:val="20"/>
        </w:rPr>
      </w:pPr>
    </w:p>
    <w:p w:rsidR="00B90F2C" w:rsidRDefault="00B90F2C" w:rsidP="00D8056A">
      <w:pPr>
        <w:rPr>
          <w:szCs w:val="24"/>
        </w:rPr>
      </w:pPr>
      <w:r>
        <w:rPr>
          <w:szCs w:val="24"/>
        </w:rPr>
        <w:t xml:space="preserve">Os dados foram </w:t>
      </w:r>
      <w:proofErr w:type="spellStart"/>
      <w:r w:rsidRPr="00B90F2C">
        <w:rPr>
          <w:i/>
          <w:szCs w:val="24"/>
        </w:rPr>
        <w:t>winsorizados</w:t>
      </w:r>
      <w:proofErr w:type="spellEnd"/>
      <w:r w:rsidRPr="004D0AC6">
        <w:rPr>
          <w:szCs w:val="24"/>
        </w:rPr>
        <w:t xml:space="preserve"> ao nível de 5% (com exceção das variáveis </w:t>
      </w:r>
      <w:proofErr w:type="spellStart"/>
      <w:r w:rsidRPr="004D0AC6">
        <w:rPr>
          <w:i/>
          <w:szCs w:val="24"/>
        </w:rPr>
        <w:t>dummy</w:t>
      </w:r>
      <w:proofErr w:type="spellEnd"/>
      <w:r w:rsidRPr="004D0AC6">
        <w:rPr>
          <w:szCs w:val="24"/>
        </w:rPr>
        <w:t xml:space="preserve">) para </w:t>
      </w:r>
      <w:r>
        <w:rPr>
          <w:szCs w:val="24"/>
        </w:rPr>
        <w:t xml:space="preserve">suavizar as informações destoantes. </w:t>
      </w:r>
      <w:r w:rsidRPr="004D0AC6">
        <w:rPr>
          <w:szCs w:val="24"/>
        </w:rPr>
        <w:t xml:space="preserve">A </w:t>
      </w:r>
      <w:r>
        <w:rPr>
          <w:szCs w:val="24"/>
        </w:rPr>
        <w:t>T</w:t>
      </w:r>
      <w:r w:rsidRPr="004D0AC6">
        <w:rPr>
          <w:szCs w:val="24"/>
        </w:rPr>
        <w:t xml:space="preserve">abela </w:t>
      </w:r>
      <w:r>
        <w:rPr>
          <w:szCs w:val="24"/>
        </w:rPr>
        <w:t>3</w:t>
      </w:r>
      <w:r w:rsidRPr="004D0AC6">
        <w:rPr>
          <w:szCs w:val="24"/>
        </w:rPr>
        <w:t xml:space="preserve"> </w:t>
      </w:r>
      <w:r>
        <w:rPr>
          <w:szCs w:val="24"/>
        </w:rPr>
        <w:t>mostra</w:t>
      </w:r>
      <w:r w:rsidRPr="004D0AC6">
        <w:rPr>
          <w:szCs w:val="24"/>
        </w:rPr>
        <w:t xml:space="preserve"> a</w:t>
      </w:r>
      <w:r>
        <w:rPr>
          <w:szCs w:val="24"/>
        </w:rPr>
        <w:t>s</w:t>
      </w:r>
      <w:r w:rsidRPr="004D0AC6">
        <w:rPr>
          <w:szCs w:val="24"/>
        </w:rPr>
        <w:t xml:space="preserve"> estatística</w:t>
      </w:r>
      <w:r>
        <w:rPr>
          <w:szCs w:val="24"/>
        </w:rPr>
        <w:t>s</w:t>
      </w:r>
      <w:r w:rsidRPr="004D0AC6">
        <w:rPr>
          <w:szCs w:val="24"/>
        </w:rPr>
        <w:t xml:space="preserve"> descritiva</w:t>
      </w:r>
      <w:r>
        <w:rPr>
          <w:szCs w:val="24"/>
        </w:rPr>
        <w:t>s</w:t>
      </w:r>
      <w:r w:rsidRPr="004D0AC6">
        <w:rPr>
          <w:szCs w:val="24"/>
        </w:rPr>
        <w:t xml:space="preserve"> das variáveis antes e depois </w:t>
      </w:r>
      <w:r w:rsidR="0084411B">
        <w:rPr>
          <w:szCs w:val="24"/>
        </w:rPr>
        <w:t>deste tratamento.</w:t>
      </w:r>
    </w:p>
    <w:p w:rsidR="0084411B" w:rsidRDefault="0084411B" w:rsidP="00D8056A">
      <w:pPr>
        <w:rPr>
          <w:szCs w:val="24"/>
        </w:rPr>
      </w:pPr>
    </w:p>
    <w:p w:rsidR="00D8056A" w:rsidRPr="008909EE" w:rsidRDefault="00D8056A" w:rsidP="00D8056A">
      <w:pPr>
        <w:keepNext/>
        <w:ind w:firstLine="0"/>
        <w:rPr>
          <w:b/>
          <w:color w:val="000000"/>
          <w:sz w:val="20"/>
        </w:rPr>
      </w:pPr>
      <w:bookmarkStart w:id="3" w:name="_Toc508824014"/>
      <w:r w:rsidRPr="00D8056A">
        <w:rPr>
          <w:color w:val="000000"/>
          <w:sz w:val="20"/>
        </w:rPr>
        <w:t xml:space="preserve">Tabela </w:t>
      </w:r>
      <w:r w:rsidR="00231BA4">
        <w:rPr>
          <w:color w:val="000000"/>
          <w:sz w:val="20"/>
        </w:rPr>
        <w:t>3</w:t>
      </w:r>
      <w:r w:rsidRPr="008909EE">
        <w:rPr>
          <w:b/>
          <w:color w:val="000000"/>
          <w:sz w:val="20"/>
        </w:rPr>
        <w:t xml:space="preserve"> – </w:t>
      </w:r>
      <w:r>
        <w:rPr>
          <w:b/>
          <w:color w:val="000000"/>
          <w:sz w:val="20"/>
        </w:rPr>
        <w:t>Estatísticas</w:t>
      </w:r>
      <w:r w:rsidRPr="008909EE">
        <w:rPr>
          <w:b/>
          <w:color w:val="000000"/>
          <w:sz w:val="20"/>
        </w:rPr>
        <w:t xml:space="preserve"> descritiva</w:t>
      </w:r>
      <w:r>
        <w:rPr>
          <w:b/>
          <w:color w:val="000000"/>
          <w:sz w:val="20"/>
        </w:rPr>
        <w:t>s</w:t>
      </w:r>
      <w:r w:rsidRPr="008909EE">
        <w:rPr>
          <w:b/>
          <w:color w:val="000000"/>
          <w:sz w:val="20"/>
        </w:rPr>
        <w:t xml:space="preserve"> das variáveis (exceto variáveis </w:t>
      </w:r>
      <w:proofErr w:type="spellStart"/>
      <w:r w:rsidRPr="00D8056A">
        <w:rPr>
          <w:b/>
          <w:i/>
          <w:color w:val="000000"/>
          <w:sz w:val="20"/>
        </w:rPr>
        <w:t>dummy</w:t>
      </w:r>
      <w:proofErr w:type="spellEnd"/>
      <w:r w:rsidRPr="008909EE">
        <w:rPr>
          <w:b/>
          <w:color w:val="000000"/>
          <w:sz w:val="20"/>
        </w:rPr>
        <w:t>)</w:t>
      </w:r>
      <w:bookmarkEnd w:id="3"/>
    </w:p>
    <w:tbl>
      <w:tblPr>
        <w:tblW w:w="4972" w:type="pct"/>
        <w:tblCellMar>
          <w:left w:w="70" w:type="dxa"/>
          <w:right w:w="70" w:type="dxa"/>
        </w:tblCellMar>
        <w:tblLook w:val="04A0" w:firstRow="1" w:lastRow="0" w:firstColumn="1" w:lastColumn="0" w:noHBand="0" w:noVBand="1"/>
      </w:tblPr>
      <w:tblGrid>
        <w:gridCol w:w="1333"/>
        <w:gridCol w:w="839"/>
        <w:gridCol w:w="771"/>
        <w:gridCol w:w="1052"/>
        <w:gridCol w:w="894"/>
        <w:gridCol w:w="945"/>
        <w:gridCol w:w="898"/>
        <w:gridCol w:w="841"/>
        <w:gridCol w:w="983"/>
        <w:gridCol w:w="936"/>
      </w:tblGrid>
      <w:tr w:rsidR="0084411B" w:rsidRPr="0084411B" w:rsidTr="00856420">
        <w:trPr>
          <w:trHeight w:val="136"/>
        </w:trPr>
        <w:tc>
          <w:tcPr>
            <w:tcW w:w="702" w:type="pct"/>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color w:val="000000"/>
                <w:sz w:val="20"/>
              </w:rPr>
            </w:pPr>
          </w:p>
        </w:tc>
        <w:tc>
          <w:tcPr>
            <w:tcW w:w="442" w:type="pct"/>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color w:val="000000"/>
                <w:sz w:val="20"/>
              </w:rPr>
            </w:pPr>
          </w:p>
        </w:tc>
        <w:tc>
          <w:tcPr>
            <w:tcW w:w="960" w:type="pct"/>
            <w:gridSpan w:val="2"/>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Média</w:t>
            </w:r>
          </w:p>
        </w:tc>
        <w:tc>
          <w:tcPr>
            <w:tcW w:w="969" w:type="pct"/>
            <w:gridSpan w:val="2"/>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Desvio</w:t>
            </w:r>
            <w:r>
              <w:rPr>
                <w:b/>
                <w:color w:val="000000"/>
                <w:sz w:val="20"/>
              </w:rPr>
              <w:t>-</w:t>
            </w:r>
            <w:r w:rsidRPr="0084411B">
              <w:rPr>
                <w:b/>
                <w:color w:val="000000"/>
                <w:sz w:val="20"/>
              </w:rPr>
              <w:t>padrão</w:t>
            </w:r>
          </w:p>
        </w:tc>
        <w:tc>
          <w:tcPr>
            <w:tcW w:w="916" w:type="pct"/>
            <w:gridSpan w:val="2"/>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Mínimo</w:t>
            </w:r>
          </w:p>
        </w:tc>
        <w:tc>
          <w:tcPr>
            <w:tcW w:w="1011" w:type="pct"/>
            <w:gridSpan w:val="2"/>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Máximo</w:t>
            </w:r>
          </w:p>
        </w:tc>
      </w:tr>
      <w:tr w:rsidR="0084411B" w:rsidRPr="0084411B" w:rsidTr="00856420">
        <w:trPr>
          <w:trHeight w:val="154"/>
        </w:trPr>
        <w:tc>
          <w:tcPr>
            <w:tcW w:w="702" w:type="pct"/>
            <w:tcBorders>
              <w:top w:val="single" w:sz="12" w:space="0" w:color="auto"/>
              <w:bottom w:val="single" w:sz="12" w:space="0" w:color="auto"/>
            </w:tcBorders>
            <w:shd w:val="clear" w:color="auto" w:fill="auto"/>
            <w:noWrap/>
            <w:vAlign w:val="center"/>
          </w:tcPr>
          <w:p w:rsidR="0084411B" w:rsidRPr="0084411B" w:rsidRDefault="0084411B" w:rsidP="00D8056A">
            <w:pPr>
              <w:ind w:firstLine="0"/>
              <w:jc w:val="center"/>
              <w:rPr>
                <w:b/>
                <w:color w:val="000000"/>
                <w:sz w:val="20"/>
              </w:rPr>
            </w:pPr>
            <w:r w:rsidRPr="0084411B">
              <w:rPr>
                <w:b/>
                <w:color w:val="000000"/>
                <w:sz w:val="20"/>
              </w:rPr>
              <w:t>Variável</w:t>
            </w:r>
          </w:p>
        </w:tc>
        <w:tc>
          <w:tcPr>
            <w:tcW w:w="442" w:type="pct"/>
            <w:tcBorders>
              <w:top w:val="single" w:sz="12" w:space="0" w:color="auto"/>
              <w:bottom w:val="single" w:sz="12" w:space="0" w:color="auto"/>
            </w:tcBorders>
            <w:shd w:val="clear" w:color="auto" w:fill="auto"/>
            <w:noWrap/>
            <w:vAlign w:val="center"/>
          </w:tcPr>
          <w:p w:rsidR="0084411B" w:rsidRPr="0084411B" w:rsidRDefault="0084411B" w:rsidP="00D8056A">
            <w:pPr>
              <w:ind w:firstLine="0"/>
              <w:jc w:val="center"/>
              <w:rPr>
                <w:b/>
                <w:color w:val="000000"/>
                <w:sz w:val="20"/>
              </w:rPr>
            </w:pPr>
            <w:r w:rsidRPr="0084411B">
              <w:rPr>
                <w:b/>
                <w:color w:val="000000"/>
                <w:sz w:val="20"/>
              </w:rPr>
              <w:t>Obs.</w:t>
            </w:r>
          </w:p>
        </w:tc>
        <w:tc>
          <w:tcPr>
            <w:tcW w:w="406" w:type="pct"/>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Antes</w:t>
            </w:r>
          </w:p>
        </w:tc>
        <w:tc>
          <w:tcPr>
            <w:tcW w:w="554" w:type="pct"/>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Depois</w:t>
            </w:r>
          </w:p>
        </w:tc>
        <w:tc>
          <w:tcPr>
            <w:tcW w:w="471" w:type="pct"/>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Antes</w:t>
            </w:r>
          </w:p>
        </w:tc>
        <w:tc>
          <w:tcPr>
            <w:tcW w:w="498" w:type="pct"/>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Depois</w:t>
            </w:r>
          </w:p>
        </w:tc>
        <w:tc>
          <w:tcPr>
            <w:tcW w:w="473" w:type="pct"/>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Antes</w:t>
            </w:r>
          </w:p>
        </w:tc>
        <w:tc>
          <w:tcPr>
            <w:tcW w:w="443" w:type="pct"/>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Depois</w:t>
            </w:r>
          </w:p>
        </w:tc>
        <w:tc>
          <w:tcPr>
            <w:tcW w:w="518" w:type="pct"/>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Antes</w:t>
            </w:r>
          </w:p>
        </w:tc>
        <w:tc>
          <w:tcPr>
            <w:tcW w:w="493" w:type="pct"/>
            <w:tcBorders>
              <w:top w:val="single" w:sz="12" w:space="0" w:color="auto"/>
              <w:bottom w:val="single" w:sz="12" w:space="0" w:color="auto"/>
            </w:tcBorders>
            <w:shd w:val="clear" w:color="auto" w:fill="auto"/>
            <w:noWrap/>
            <w:vAlign w:val="center"/>
            <w:hideMark/>
          </w:tcPr>
          <w:p w:rsidR="0084411B" w:rsidRPr="0084411B" w:rsidRDefault="0084411B" w:rsidP="00D8056A">
            <w:pPr>
              <w:ind w:firstLine="0"/>
              <w:jc w:val="center"/>
              <w:rPr>
                <w:b/>
                <w:color w:val="000000"/>
                <w:sz w:val="20"/>
              </w:rPr>
            </w:pPr>
            <w:r w:rsidRPr="0084411B">
              <w:rPr>
                <w:b/>
                <w:color w:val="000000"/>
                <w:sz w:val="20"/>
              </w:rPr>
              <w:t>Depois</w:t>
            </w:r>
          </w:p>
        </w:tc>
      </w:tr>
      <w:tr w:rsidR="0084411B" w:rsidRPr="0084411B" w:rsidTr="00856420">
        <w:trPr>
          <w:trHeight w:val="186"/>
        </w:trPr>
        <w:tc>
          <w:tcPr>
            <w:tcW w:w="702" w:type="pct"/>
            <w:tcBorders>
              <w:top w:val="single" w:sz="12" w:space="0" w:color="auto"/>
            </w:tcBorders>
            <w:shd w:val="clear" w:color="auto" w:fill="auto"/>
            <w:noWrap/>
            <w:vAlign w:val="center"/>
            <w:hideMark/>
          </w:tcPr>
          <w:p w:rsidR="0084411B" w:rsidRPr="00F968CF" w:rsidRDefault="0084411B" w:rsidP="00D8056A">
            <w:pPr>
              <w:ind w:firstLine="0"/>
              <w:rPr>
                <w:i/>
                <w:color w:val="000000"/>
                <w:sz w:val="20"/>
              </w:rPr>
            </w:pPr>
            <w:r w:rsidRPr="00F968CF">
              <w:rPr>
                <w:i/>
                <w:color w:val="000000"/>
                <w:sz w:val="20"/>
              </w:rPr>
              <w:t>CAR3</w:t>
            </w:r>
          </w:p>
        </w:tc>
        <w:tc>
          <w:tcPr>
            <w:tcW w:w="442" w:type="pct"/>
            <w:tcBorders>
              <w:top w:val="single" w:sz="12" w:space="0" w:color="auto"/>
            </w:tcBorders>
            <w:shd w:val="clear" w:color="auto" w:fill="auto"/>
            <w:noWrap/>
            <w:vAlign w:val="center"/>
            <w:hideMark/>
          </w:tcPr>
          <w:p w:rsidR="0084411B" w:rsidRPr="0084411B" w:rsidRDefault="0084411B" w:rsidP="00D8056A">
            <w:pPr>
              <w:ind w:firstLine="0"/>
              <w:jc w:val="center"/>
              <w:rPr>
                <w:color w:val="000000"/>
                <w:sz w:val="20"/>
              </w:rPr>
            </w:pPr>
            <w:r w:rsidRPr="0084411B">
              <w:rPr>
                <w:color w:val="000000"/>
                <w:sz w:val="20"/>
              </w:rPr>
              <w:t>244</w:t>
            </w:r>
          </w:p>
        </w:tc>
        <w:tc>
          <w:tcPr>
            <w:tcW w:w="406" w:type="pct"/>
            <w:tcBorders>
              <w:top w:val="single" w:sz="12" w:space="0" w:color="auto"/>
            </w:tcBorders>
            <w:shd w:val="clear" w:color="auto" w:fill="auto"/>
            <w:noWrap/>
            <w:vAlign w:val="center"/>
            <w:hideMark/>
          </w:tcPr>
          <w:p w:rsidR="0084411B" w:rsidRPr="0084411B" w:rsidRDefault="0084411B" w:rsidP="00D8056A">
            <w:pPr>
              <w:ind w:firstLine="0"/>
              <w:jc w:val="center"/>
              <w:rPr>
                <w:color w:val="000000"/>
                <w:sz w:val="20"/>
              </w:rPr>
            </w:pPr>
            <w:r w:rsidRPr="0084411B">
              <w:rPr>
                <w:color w:val="000000"/>
                <w:sz w:val="20"/>
              </w:rPr>
              <w:t>0,002</w:t>
            </w:r>
          </w:p>
        </w:tc>
        <w:tc>
          <w:tcPr>
            <w:tcW w:w="554" w:type="pct"/>
            <w:tcBorders>
              <w:top w:val="single" w:sz="12" w:space="0" w:color="auto"/>
            </w:tcBorders>
            <w:shd w:val="clear" w:color="auto" w:fill="auto"/>
            <w:noWrap/>
            <w:vAlign w:val="center"/>
            <w:hideMark/>
          </w:tcPr>
          <w:p w:rsidR="0084411B" w:rsidRPr="0084411B" w:rsidRDefault="0084411B" w:rsidP="00D8056A">
            <w:pPr>
              <w:ind w:firstLine="0"/>
              <w:jc w:val="center"/>
              <w:rPr>
                <w:color w:val="000000"/>
                <w:sz w:val="20"/>
              </w:rPr>
            </w:pPr>
            <w:r w:rsidRPr="0084411B">
              <w:rPr>
                <w:color w:val="000000"/>
                <w:sz w:val="20"/>
              </w:rPr>
              <w:t>0,000</w:t>
            </w:r>
          </w:p>
        </w:tc>
        <w:tc>
          <w:tcPr>
            <w:tcW w:w="471" w:type="pct"/>
            <w:tcBorders>
              <w:top w:val="single" w:sz="12" w:space="0" w:color="auto"/>
            </w:tcBorders>
            <w:shd w:val="clear" w:color="auto" w:fill="auto"/>
            <w:noWrap/>
            <w:vAlign w:val="center"/>
            <w:hideMark/>
          </w:tcPr>
          <w:p w:rsidR="0084411B" w:rsidRPr="0084411B" w:rsidRDefault="0084411B" w:rsidP="00D8056A">
            <w:pPr>
              <w:ind w:firstLine="0"/>
              <w:jc w:val="center"/>
              <w:rPr>
                <w:color w:val="000000"/>
                <w:sz w:val="20"/>
              </w:rPr>
            </w:pPr>
            <w:r w:rsidRPr="0084411B">
              <w:rPr>
                <w:color w:val="000000"/>
                <w:sz w:val="20"/>
              </w:rPr>
              <w:t>0,066</w:t>
            </w:r>
          </w:p>
        </w:tc>
        <w:tc>
          <w:tcPr>
            <w:tcW w:w="498" w:type="pct"/>
            <w:tcBorders>
              <w:top w:val="single" w:sz="12" w:space="0" w:color="auto"/>
            </w:tcBorders>
            <w:shd w:val="clear" w:color="auto" w:fill="auto"/>
            <w:noWrap/>
            <w:vAlign w:val="center"/>
            <w:hideMark/>
          </w:tcPr>
          <w:p w:rsidR="0084411B" w:rsidRPr="0084411B" w:rsidRDefault="0084411B" w:rsidP="00D8056A">
            <w:pPr>
              <w:ind w:firstLine="0"/>
              <w:jc w:val="center"/>
              <w:rPr>
                <w:color w:val="000000"/>
                <w:sz w:val="20"/>
              </w:rPr>
            </w:pPr>
            <w:r w:rsidRPr="0084411B">
              <w:rPr>
                <w:color w:val="000000"/>
                <w:sz w:val="20"/>
              </w:rPr>
              <w:t>0,047</w:t>
            </w:r>
          </w:p>
        </w:tc>
        <w:tc>
          <w:tcPr>
            <w:tcW w:w="473" w:type="pct"/>
            <w:tcBorders>
              <w:top w:val="single" w:sz="12" w:space="0" w:color="auto"/>
            </w:tcBorders>
            <w:shd w:val="clear" w:color="auto" w:fill="auto"/>
            <w:noWrap/>
            <w:vAlign w:val="center"/>
            <w:hideMark/>
          </w:tcPr>
          <w:p w:rsidR="0084411B" w:rsidRPr="0084411B" w:rsidRDefault="0084411B" w:rsidP="00D8056A">
            <w:pPr>
              <w:ind w:firstLine="0"/>
              <w:jc w:val="center"/>
              <w:rPr>
                <w:color w:val="000000"/>
                <w:sz w:val="20"/>
              </w:rPr>
            </w:pPr>
            <w:r w:rsidRPr="0084411B">
              <w:rPr>
                <w:color w:val="000000"/>
                <w:sz w:val="20"/>
              </w:rPr>
              <w:t>-0,186</w:t>
            </w:r>
          </w:p>
        </w:tc>
        <w:tc>
          <w:tcPr>
            <w:tcW w:w="443" w:type="pct"/>
            <w:tcBorders>
              <w:top w:val="single" w:sz="12" w:space="0" w:color="auto"/>
            </w:tcBorders>
            <w:shd w:val="clear" w:color="auto" w:fill="auto"/>
            <w:noWrap/>
            <w:vAlign w:val="center"/>
            <w:hideMark/>
          </w:tcPr>
          <w:p w:rsidR="0084411B" w:rsidRPr="0084411B" w:rsidRDefault="0084411B" w:rsidP="00D8056A">
            <w:pPr>
              <w:ind w:firstLine="0"/>
              <w:jc w:val="center"/>
              <w:rPr>
                <w:color w:val="000000"/>
                <w:sz w:val="20"/>
              </w:rPr>
            </w:pPr>
            <w:r w:rsidRPr="0084411B">
              <w:rPr>
                <w:color w:val="000000"/>
                <w:sz w:val="20"/>
              </w:rPr>
              <w:t>-0,084</w:t>
            </w:r>
          </w:p>
        </w:tc>
        <w:tc>
          <w:tcPr>
            <w:tcW w:w="518" w:type="pct"/>
            <w:tcBorders>
              <w:top w:val="single" w:sz="12" w:space="0" w:color="auto"/>
            </w:tcBorders>
            <w:shd w:val="clear" w:color="auto" w:fill="auto"/>
            <w:noWrap/>
            <w:vAlign w:val="center"/>
            <w:hideMark/>
          </w:tcPr>
          <w:p w:rsidR="0084411B" w:rsidRPr="0084411B" w:rsidRDefault="0084411B" w:rsidP="00D8056A">
            <w:pPr>
              <w:ind w:firstLine="0"/>
              <w:jc w:val="center"/>
              <w:rPr>
                <w:color w:val="000000"/>
                <w:sz w:val="20"/>
              </w:rPr>
            </w:pPr>
            <w:r w:rsidRPr="0084411B">
              <w:rPr>
                <w:color w:val="000000"/>
                <w:sz w:val="20"/>
              </w:rPr>
              <w:t>0,454</w:t>
            </w:r>
          </w:p>
        </w:tc>
        <w:tc>
          <w:tcPr>
            <w:tcW w:w="493" w:type="pct"/>
            <w:tcBorders>
              <w:top w:val="single" w:sz="12" w:space="0" w:color="auto"/>
            </w:tcBorders>
            <w:shd w:val="clear" w:color="auto" w:fill="auto"/>
            <w:noWrap/>
            <w:vAlign w:val="center"/>
            <w:hideMark/>
          </w:tcPr>
          <w:p w:rsidR="0084411B" w:rsidRPr="0084411B" w:rsidRDefault="0084411B" w:rsidP="00D8056A">
            <w:pPr>
              <w:ind w:firstLine="0"/>
              <w:jc w:val="center"/>
              <w:rPr>
                <w:color w:val="000000"/>
                <w:sz w:val="20"/>
              </w:rPr>
            </w:pPr>
            <w:r w:rsidRPr="0084411B">
              <w:rPr>
                <w:color w:val="000000"/>
                <w:sz w:val="20"/>
              </w:rPr>
              <w:t>0,093</w:t>
            </w:r>
          </w:p>
        </w:tc>
      </w:tr>
      <w:tr w:rsidR="0084411B" w:rsidRPr="0084411B" w:rsidTr="00856420">
        <w:trPr>
          <w:trHeight w:val="234"/>
        </w:trPr>
        <w:tc>
          <w:tcPr>
            <w:tcW w:w="702" w:type="pct"/>
            <w:shd w:val="clear" w:color="auto" w:fill="auto"/>
            <w:noWrap/>
            <w:vAlign w:val="center"/>
            <w:hideMark/>
          </w:tcPr>
          <w:p w:rsidR="0084411B" w:rsidRPr="00F968CF" w:rsidRDefault="0084411B" w:rsidP="0084411B">
            <w:pPr>
              <w:ind w:firstLine="0"/>
              <w:rPr>
                <w:i/>
                <w:color w:val="000000"/>
                <w:sz w:val="20"/>
              </w:rPr>
            </w:pPr>
            <w:r w:rsidRPr="00F968CF">
              <w:rPr>
                <w:i/>
                <w:color w:val="000000"/>
                <w:sz w:val="20"/>
              </w:rPr>
              <w:t>CAR20</w:t>
            </w:r>
          </w:p>
        </w:tc>
        <w:tc>
          <w:tcPr>
            <w:tcW w:w="442"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244</w:t>
            </w:r>
          </w:p>
        </w:tc>
        <w:tc>
          <w:tcPr>
            <w:tcW w:w="406"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-0,009</w:t>
            </w:r>
          </w:p>
        </w:tc>
        <w:tc>
          <w:tcPr>
            <w:tcW w:w="554"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-0,012</w:t>
            </w:r>
          </w:p>
        </w:tc>
        <w:tc>
          <w:tcPr>
            <w:tcW w:w="471"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0,145</w:t>
            </w:r>
          </w:p>
        </w:tc>
        <w:tc>
          <w:tcPr>
            <w:tcW w:w="498"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0,120</w:t>
            </w:r>
          </w:p>
        </w:tc>
        <w:tc>
          <w:tcPr>
            <w:tcW w:w="47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-0,522</w:t>
            </w:r>
          </w:p>
        </w:tc>
        <w:tc>
          <w:tcPr>
            <w:tcW w:w="44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-0,219</w:t>
            </w:r>
          </w:p>
        </w:tc>
        <w:tc>
          <w:tcPr>
            <w:tcW w:w="518"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0,632</w:t>
            </w:r>
          </w:p>
        </w:tc>
        <w:tc>
          <w:tcPr>
            <w:tcW w:w="49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0,200</w:t>
            </w:r>
          </w:p>
        </w:tc>
      </w:tr>
      <w:tr w:rsidR="0084411B" w:rsidRPr="0084411B" w:rsidTr="00856420">
        <w:trPr>
          <w:trHeight w:val="151"/>
        </w:trPr>
        <w:tc>
          <w:tcPr>
            <w:tcW w:w="702" w:type="pct"/>
            <w:shd w:val="clear" w:color="auto" w:fill="auto"/>
            <w:noWrap/>
            <w:vAlign w:val="center"/>
            <w:hideMark/>
          </w:tcPr>
          <w:p w:rsidR="0084411B" w:rsidRPr="00F968CF" w:rsidRDefault="00F968CF" w:rsidP="0084411B">
            <w:pPr>
              <w:ind w:firstLine="0"/>
              <w:rPr>
                <w:i/>
                <w:color w:val="000000"/>
                <w:sz w:val="20"/>
              </w:rPr>
            </w:pPr>
            <w:proofErr w:type="spellStart"/>
            <w:proofErr w:type="gramStart"/>
            <w:r w:rsidRPr="00F968CF">
              <w:rPr>
                <w:i/>
                <w:color w:val="000000"/>
                <w:sz w:val="20"/>
              </w:rPr>
              <w:t>qtobin</w:t>
            </w:r>
            <w:proofErr w:type="spellEnd"/>
            <w:proofErr w:type="gramEnd"/>
          </w:p>
        </w:tc>
        <w:tc>
          <w:tcPr>
            <w:tcW w:w="442"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252</w:t>
            </w:r>
          </w:p>
        </w:tc>
        <w:tc>
          <w:tcPr>
            <w:tcW w:w="406"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1,36</w:t>
            </w:r>
          </w:p>
        </w:tc>
        <w:tc>
          <w:tcPr>
            <w:tcW w:w="554"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1,34</w:t>
            </w:r>
          </w:p>
        </w:tc>
        <w:tc>
          <w:tcPr>
            <w:tcW w:w="471"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0,79</w:t>
            </w:r>
          </w:p>
        </w:tc>
        <w:tc>
          <w:tcPr>
            <w:tcW w:w="498"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0,70</w:t>
            </w:r>
          </w:p>
        </w:tc>
        <w:tc>
          <w:tcPr>
            <w:tcW w:w="47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0,30</w:t>
            </w:r>
          </w:p>
        </w:tc>
        <w:tc>
          <w:tcPr>
            <w:tcW w:w="44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0,52</w:t>
            </w:r>
          </w:p>
        </w:tc>
        <w:tc>
          <w:tcPr>
            <w:tcW w:w="518"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5,13</w:t>
            </w:r>
          </w:p>
        </w:tc>
        <w:tc>
          <w:tcPr>
            <w:tcW w:w="49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3,14</w:t>
            </w:r>
          </w:p>
        </w:tc>
      </w:tr>
      <w:tr w:rsidR="0084411B" w:rsidRPr="0084411B" w:rsidTr="00856420">
        <w:trPr>
          <w:trHeight w:val="184"/>
        </w:trPr>
        <w:tc>
          <w:tcPr>
            <w:tcW w:w="702" w:type="pct"/>
            <w:shd w:val="clear" w:color="auto" w:fill="auto"/>
            <w:noWrap/>
            <w:vAlign w:val="center"/>
            <w:hideMark/>
          </w:tcPr>
          <w:p w:rsidR="0084411B" w:rsidRPr="00F968CF" w:rsidRDefault="00F968CF" w:rsidP="0084411B">
            <w:pPr>
              <w:ind w:firstLine="0"/>
              <w:rPr>
                <w:i/>
                <w:color w:val="000000"/>
                <w:sz w:val="20"/>
              </w:rPr>
            </w:pPr>
            <w:proofErr w:type="spellStart"/>
            <w:proofErr w:type="gramStart"/>
            <w:r w:rsidRPr="00F968CF">
              <w:rPr>
                <w:i/>
                <w:color w:val="000000"/>
                <w:sz w:val="20"/>
              </w:rPr>
              <w:t>endiv</w:t>
            </w:r>
            <w:proofErr w:type="spellEnd"/>
            <w:proofErr w:type="gramEnd"/>
          </w:p>
        </w:tc>
        <w:tc>
          <w:tcPr>
            <w:tcW w:w="442"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252</w:t>
            </w:r>
          </w:p>
        </w:tc>
        <w:tc>
          <w:tcPr>
            <w:tcW w:w="406"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84,80</w:t>
            </w:r>
          </w:p>
        </w:tc>
        <w:tc>
          <w:tcPr>
            <w:tcW w:w="554"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3,60</w:t>
            </w:r>
          </w:p>
        </w:tc>
        <w:tc>
          <w:tcPr>
            <w:tcW w:w="471"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557,37</w:t>
            </w:r>
          </w:p>
        </w:tc>
        <w:tc>
          <w:tcPr>
            <w:tcW w:w="498"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9,92</w:t>
            </w:r>
          </w:p>
        </w:tc>
        <w:tc>
          <w:tcPr>
            <w:tcW w:w="47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-43,92</w:t>
            </w:r>
          </w:p>
        </w:tc>
        <w:tc>
          <w:tcPr>
            <w:tcW w:w="44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-10,19</w:t>
            </w:r>
          </w:p>
        </w:tc>
        <w:tc>
          <w:tcPr>
            <w:tcW w:w="518"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3992,70</w:t>
            </w:r>
          </w:p>
        </w:tc>
        <w:tc>
          <w:tcPr>
            <w:tcW w:w="49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37,38</w:t>
            </w:r>
          </w:p>
        </w:tc>
      </w:tr>
      <w:tr w:rsidR="0084411B" w:rsidRPr="0084411B" w:rsidTr="00856420">
        <w:trPr>
          <w:trHeight w:val="101"/>
        </w:trPr>
        <w:tc>
          <w:tcPr>
            <w:tcW w:w="702" w:type="pct"/>
            <w:shd w:val="clear" w:color="auto" w:fill="auto"/>
            <w:noWrap/>
            <w:vAlign w:val="center"/>
          </w:tcPr>
          <w:p w:rsidR="0084411B" w:rsidRPr="00F968CF" w:rsidRDefault="00F968CF" w:rsidP="0084411B">
            <w:pPr>
              <w:ind w:firstLine="0"/>
              <w:rPr>
                <w:i/>
                <w:color w:val="000000"/>
                <w:sz w:val="20"/>
              </w:rPr>
            </w:pPr>
            <w:proofErr w:type="gramStart"/>
            <w:r w:rsidRPr="00F968CF">
              <w:rPr>
                <w:i/>
                <w:color w:val="000000"/>
                <w:sz w:val="20"/>
              </w:rPr>
              <w:t>caixa</w:t>
            </w:r>
            <w:proofErr w:type="gramEnd"/>
          </w:p>
        </w:tc>
        <w:tc>
          <w:tcPr>
            <w:tcW w:w="442" w:type="pct"/>
            <w:shd w:val="clear" w:color="auto" w:fill="auto"/>
            <w:noWrap/>
            <w:vAlign w:val="center"/>
          </w:tcPr>
          <w:p w:rsidR="0084411B" w:rsidRPr="0084411B" w:rsidRDefault="0084411B" w:rsidP="0084411B">
            <w:pPr>
              <w:ind w:firstLine="0"/>
              <w:jc w:val="center"/>
              <w:rPr>
                <w:color w:val="000000"/>
                <w:sz w:val="20"/>
              </w:rPr>
            </w:pPr>
            <w:r w:rsidRPr="0084411B">
              <w:rPr>
                <w:color w:val="000000"/>
                <w:sz w:val="20"/>
              </w:rPr>
              <w:t>252</w:t>
            </w:r>
          </w:p>
        </w:tc>
        <w:tc>
          <w:tcPr>
            <w:tcW w:w="406" w:type="pct"/>
            <w:shd w:val="clear" w:color="auto" w:fill="auto"/>
            <w:noWrap/>
            <w:vAlign w:val="center"/>
          </w:tcPr>
          <w:p w:rsidR="0084411B" w:rsidRPr="0084411B" w:rsidRDefault="0084411B" w:rsidP="0084411B">
            <w:pPr>
              <w:ind w:firstLine="0"/>
              <w:jc w:val="center"/>
              <w:rPr>
                <w:color w:val="000000"/>
                <w:sz w:val="20"/>
              </w:rPr>
            </w:pPr>
            <w:r w:rsidRPr="0084411B">
              <w:rPr>
                <w:color w:val="000000"/>
                <w:sz w:val="20"/>
              </w:rPr>
              <w:t>0,15</w:t>
            </w:r>
          </w:p>
        </w:tc>
        <w:tc>
          <w:tcPr>
            <w:tcW w:w="554" w:type="pct"/>
            <w:shd w:val="clear" w:color="auto" w:fill="auto"/>
            <w:noWrap/>
            <w:vAlign w:val="center"/>
          </w:tcPr>
          <w:p w:rsidR="0084411B" w:rsidRPr="0084411B" w:rsidRDefault="0084411B" w:rsidP="0084411B">
            <w:pPr>
              <w:ind w:firstLine="0"/>
              <w:jc w:val="center"/>
              <w:rPr>
                <w:color w:val="000000"/>
                <w:sz w:val="20"/>
              </w:rPr>
            </w:pPr>
            <w:r w:rsidRPr="0084411B">
              <w:rPr>
                <w:color w:val="000000"/>
                <w:sz w:val="20"/>
              </w:rPr>
              <w:t>0,15</w:t>
            </w:r>
          </w:p>
        </w:tc>
        <w:tc>
          <w:tcPr>
            <w:tcW w:w="471" w:type="pct"/>
            <w:shd w:val="clear" w:color="auto" w:fill="auto"/>
            <w:noWrap/>
            <w:vAlign w:val="center"/>
          </w:tcPr>
          <w:p w:rsidR="0084411B" w:rsidRPr="0084411B" w:rsidRDefault="0084411B" w:rsidP="0084411B">
            <w:pPr>
              <w:ind w:firstLine="0"/>
              <w:jc w:val="center"/>
              <w:rPr>
                <w:color w:val="000000"/>
                <w:sz w:val="20"/>
              </w:rPr>
            </w:pPr>
            <w:r w:rsidRPr="0084411B">
              <w:rPr>
                <w:color w:val="000000"/>
                <w:sz w:val="20"/>
              </w:rPr>
              <w:t>0,09</w:t>
            </w:r>
          </w:p>
        </w:tc>
        <w:tc>
          <w:tcPr>
            <w:tcW w:w="498" w:type="pct"/>
            <w:shd w:val="clear" w:color="auto" w:fill="auto"/>
            <w:noWrap/>
            <w:vAlign w:val="center"/>
          </w:tcPr>
          <w:p w:rsidR="0084411B" w:rsidRPr="0084411B" w:rsidRDefault="0084411B" w:rsidP="0084411B">
            <w:pPr>
              <w:ind w:firstLine="0"/>
              <w:jc w:val="center"/>
              <w:rPr>
                <w:color w:val="000000"/>
                <w:sz w:val="20"/>
              </w:rPr>
            </w:pPr>
            <w:r w:rsidRPr="0084411B">
              <w:rPr>
                <w:color w:val="000000"/>
                <w:sz w:val="20"/>
              </w:rPr>
              <w:t>0,09</w:t>
            </w:r>
          </w:p>
        </w:tc>
        <w:tc>
          <w:tcPr>
            <w:tcW w:w="473" w:type="pct"/>
            <w:shd w:val="clear" w:color="auto" w:fill="auto"/>
            <w:noWrap/>
            <w:vAlign w:val="center"/>
          </w:tcPr>
          <w:p w:rsidR="0084411B" w:rsidRPr="0084411B" w:rsidRDefault="0084411B" w:rsidP="0084411B">
            <w:pPr>
              <w:ind w:firstLine="0"/>
              <w:jc w:val="center"/>
              <w:rPr>
                <w:color w:val="000000"/>
                <w:sz w:val="20"/>
              </w:rPr>
            </w:pPr>
            <w:r w:rsidRPr="0084411B">
              <w:rPr>
                <w:color w:val="000000"/>
                <w:sz w:val="20"/>
              </w:rPr>
              <w:t>0,01</w:t>
            </w:r>
          </w:p>
        </w:tc>
        <w:tc>
          <w:tcPr>
            <w:tcW w:w="443" w:type="pct"/>
            <w:shd w:val="clear" w:color="auto" w:fill="auto"/>
            <w:noWrap/>
            <w:vAlign w:val="center"/>
          </w:tcPr>
          <w:p w:rsidR="0084411B" w:rsidRPr="0084411B" w:rsidRDefault="0084411B" w:rsidP="0084411B">
            <w:pPr>
              <w:ind w:firstLine="0"/>
              <w:jc w:val="center"/>
              <w:rPr>
                <w:color w:val="000000"/>
                <w:sz w:val="20"/>
              </w:rPr>
            </w:pPr>
            <w:r w:rsidRPr="0084411B">
              <w:rPr>
                <w:color w:val="000000"/>
                <w:sz w:val="20"/>
              </w:rPr>
              <w:t>0,02</w:t>
            </w:r>
          </w:p>
        </w:tc>
        <w:tc>
          <w:tcPr>
            <w:tcW w:w="518" w:type="pct"/>
            <w:shd w:val="clear" w:color="auto" w:fill="auto"/>
            <w:noWrap/>
            <w:vAlign w:val="center"/>
          </w:tcPr>
          <w:p w:rsidR="0084411B" w:rsidRPr="0084411B" w:rsidRDefault="0084411B" w:rsidP="0084411B">
            <w:pPr>
              <w:ind w:firstLine="0"/>
              <w:jc w:val="center"/>
              <w:rPr>
                <w:color w:val="000000"/>
                <w:sz w:val="20"/>
              </w:rPr>
            </w:pPr>
            <w:r w:rsidRPr="0084411B">
              <w:rPr>
                <w:color w:val="000000"/>
                <w:sz w:val="20"/>
              </w:rPr>
              <w:t>0,48</w:t>
            </w:r>
          </w:p>
        </w:tc>
        <w:tc>
          <w:tcPr>
            <w:tcW w:w="493" w:type="pct"/>
            <w:shd w:val="clear" w:color="auto" w:fill="auto"/>
            <w:noWrap/>
            <w:vAlign w:val="center"/>
          </w:tcPr>
          <w:p w:rsidR="0084411B" w:rsidRPr="0084411B" w:rsidRDefault="0084411B" w:rsidP="0084411B">
            <w:pPr>
              <w:ind w:firstLine="0"/>
              <w:jc w:val="center"/>
              <w:rPr>
                <w:color w:val="000000"/>
                <w:sz w:val="20"/>
              </w:rPr>
            </w:pPr>
            <w:r w:rsidRPr="0084411B">
              <w:rPr>
                <w:color w:val="000000"/>
                <w:sz w:val="20"/>
              </w:rPr>
              <w:t>0,34</w:t>
            </w:r>
          </w:p>
        </w:tc>
      </w:tr>
      <w:tr w:rsidR="0084411B" w:rsidRPr="0084411B" w:rsidTr="00856420">
        <w:trPr>
          <w:trHeight w:val="162"/>
        </w:trPr>
        <w:tc>
          <w:tcPr>
            <w:tcW w:w="702" w:type="pct"/>
            <w:shd w:val="clear" w:color="auto" w:fill="auto"/>
            <w:noWrap/>
            <w:vAlign w:val="center"/>
            <w:hideMark/>
          </w:tcPr>
          <w:p w:rsidR="0084411B" w:rsidRPr="00F968CF" w:rsidRDefault="00F968CF" w:rsidP="0084411B">
            <w:pPr>
              <w:ind w:firstLine="0"/>
              <w:rPr>
                <w:i/>
                <w:color w:val="000000"/>
                <w:sz w:val="20"/>
              </w:rPr>
            </w:pPr>
            <w:proofErr w:type="spellStart"/>
            <w:proofErr w:type="gramStart"/>
            <w:r w:rsidRPr="00F968CF">
              <w:rPr>
                <w:i/>
                <w:color w:val="000000"/>
                <w:sz w:val="20"/>
              </w:rPr>
              <w:t>lnativo</w:t>
            </w:r>
            <w:proofErr w:type="spellEnd"/>
            <w:proofErr w:type="gramEnd"/>
          </w:p>
        </w:tc>
        <w:tc>
          <w:tcPr>
            <w:tcW w:w="442"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252</w:t>
            </w:r>
          </w:p>
        </w:tc>
        <w:tc>
          <w:tcPr>
            <w:tcW w:w="406"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22,79</w:t>
            </w:r>
          </w:p>
        </w:tc>
        <w:tc>
          <w:tcPr>
            <w:tcW w:w="554"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22,78</w:t>
            </w:r>
          </w:p>
        </w:tc>
        <w:tc>
          <w:tcPr>
            <w:tcW w:w="471"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1,70</w:t>
            </w:r>
          </w:p>
        </w:tc>
        <w:tc>
          <w:tcPr>
            <w:tcW w:w="498"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1,58</w:t>
            </w:r>
          </w:p>
        </w:tc>
        <w:tc>
          <w:tcPr>
            <w:tcW w:w="47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16,76</w:t>
            </w:r>
          </w:p>
        </w:tc>
        <w:tc>
          <w:tcPr>
            <w:tcW w:w="44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20,46</w:t>
            </w:r>
          </w:p>
        </w:tc>
        <w:tc>
          <w:tcPr>
            <w:tcW w:w="518"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27,12</w:t>
            </w:r>
          </w:p>
        </w:tc>
        <w:tc>
          <w:tcPr>
            <w:tcW w:w="49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26,08</w:t>
            </w:r>
          </w:p>
        </w:tc>
      </w:tr>
      <w:tr w:rsidR="0084411B" w:rsidRPr="0084411B" w:rsidTr="00856420">
        <w:trPr>
          <w:trHeight w:val="68"/>
        </w:trPr>
        <w:tc>
          <w:tcPr>
            <w:tcW w:w="702" w:type="pct"/>
            <w:shd w:val="clear" w:color="auto" w:fill="auto"/>
            <w:noWrap/>
            <w:vAlign w:val="center"/>
            <w:hideMark/>
          </w:tcPr>
          <w:p w:rsidR="0084411B" w:rsidRPr="00F968CF" w:rsidRDefault="00F968CF" w:rsidP="0084411B">
            <w:pPr>
              <w:ind w:firstLine="0"/>
              <w:rPr>
                <w:i/>
                <w:color w:val="000000"/>
                <w:sz w:val="20"/>
              </w:rPr>
            </w:pPr>
            <w:proofErr w:type="gramStart"/>
            <w:r w:rsidRPr="00F968CF">
              <w:rPr>
                <w:i/>
                <w:color w:val="000000"/>
                <w:sz w:val="20"/>
              </w:rPr>
              <w:t>conselho</w:t>
            </w:r>
            <w:proofErr w:type="gramEnd"/>
          </w:p>
        </w:tc>
        <w:tc>
          <w:tcPr>
            <w:tcW w:w="442"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252</w:t>
            </w:r>
          </w:p>
        </w:tc>
        <w:tc>
          <w:tcPr>
            <w:tcW w:w="406"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8,08</w:t>
            </w:r>
          </w:p>
        </w:tc>
        <w:tc>
          <w:tcPr>
            <w:tcW w:w="554"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7,89</w:t>
            </w:r>
          </w:p>
        </w:tc>
        <w:tc>
          <w:tcPr>
            <w:tcW w:w="471"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3,69</w:t>
            </w:r>
          </w:p>
        </w:tc>
        <w:tc>
          <w:tcPr>
            <w:tcW w:w="498"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2,75</w:t>
            </w:r>
          </w:p>
        </w:tc>
        <w:tc>
          <w:tcPr>
            <w:tcW w:w="47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2,00</w:t>
            </w:r>
          </w:p>
        </w:tc>
        <w:tc>
          <w:tcPr>
            <w:tcW w:w="44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4,00</w:t>
            </w:r>
          </w:p>
        </w:tc>
        <w:tc>
          <w:tcPr>
            <w:tcW w:w="518"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22,4</w:t>
            </w:r>
          </w:p>
        </w:tc>
        <w:tc>
          <w:tcPr>
            <w:tcW w:w="493" w:type="pct"/>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16,08</w:t>
            </w:r>
          </w:p>
        </w:tc>
      </w:tr>
      <w:tr w:rsidR="0084411B" w:rsidRPr="0084411B" w:rsidTr="00856420">
        <w:trPr>
          <w:trHeight w:val="126"/>
        </w:trPr>
        <w:tc>
          <w:tcPr>
            <w:tcW w:w="702" w:type="pct"/>
            <w:tcBorders>
              <w:bottom w:val="single" w:sz="12" w:space="0" w:color="auto"/>
            </w:tcBorders>
            <w:shd w:val="clear" w:color="auto" w:fill="auto"/>
            <w:noWrap/>
            <w:vAlign w:val="center"/>
            <w:hideMark/>
          </w:tcPr>
          <w:p w:rsidR="0084411B" w:rsidRPr="00F968CF" w:rsidRDefault="00F968CF" w:rsidP="0084411B">
            <w:pPr>
              <w:ind w:firstLine="0"/>
              <w:rPr>
                <w:i/>
                <w:color w:val="000000"/>
                <w:sz w:val="20"/>
              </w:rPr>
            </w:pPr>
            <w:proofErr w:type="gramStart"/>
            <w:r w:rsidRPr="00F968CF">
              <w:rPr>
                <w:i/>
                <w:color w:val="000000"/>
                <w:sz w:val="20"/>
              </w:rPr>
              <w:t>roa</w:t>
            </w:r>
            <w:proofErr w:type="gramEnd"/>
          </w:p>
        </w:tc>
        <w:tc>
          <w:tcPr>
            <w:tcW w:w="442" w:type="pct"/>
            <w:tcBorders>
              <w:bottom w:val="single" w:sz="12" w:space="0" w:color="auto"/>
            </w:tcBorders>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252</w:t>
            </w:r>
          </w:p>
        </w:tc>
        <w:tc>
          <w:tcPr>
            <w:tcW w:w="406" w:type="pct"/>
            <w:tcBorders>
              <w:bottom w:val="single" w:sz="12" w:space="0" w:color="auto"/>
            </w:tcBorders>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5,98</w:t>
            </w:r>
          </w:p>
        </w:tc>
        <w:tc>
          <w:tcPr>
            <w:tcW w:w="554" w:type="pct"/>
            <w:tcBorders>
              <w:bottom w:val="single" w:sz="12" w:space="0" w:color="auto"/>
            </w:tcBorders>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6,06</w:t>
            </w:r>
          </w:p>
        </w:tc>
        <w:tc>
          <w:tcPr>
            <w:tcW w:w="471" w:type="pct"/>
            <w:tcBorders>
              <w:bottom w:val="single" w:sz="12" w:space="0" w:color="auto"/>
            </w:tcBorders>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8,16</w:t>
            </w:r>
          </w:p>
        </w:tc>
        <w:tc>
          <w:tcPr>
            <w:tcW w:w="498" w:type="pct"/>
            <w:tcBorders>
              <w:bottom w:val="single" w:sz="12" w:space="0" w:color="auto"/>
            </w:tcBorders>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5,54</w:t>
            </w:r>
          </w:p>
        </w:tc>
        <w:tc>
          <w:tcPr>
            <w:tcW w:w="473" w:type="pct"/>
            <w:tcBorders>
              <w:bottom w:val="single" w:sz="12" w:space="0" w:color="auto"/>
            </w:tcBorders>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-57,43</w:t>
            </w:r>
          </w:p>
        </w:tc>
        <w:tc>
          <w:tcPr>
            <w:tcW w:w="443" w:type="pct"/>
            <w:tcBorders>
              <w:bottom w:val="single" w:sz="12" w:space="0" w:color="auto"/>
            </w:tcBorders>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-3,02</w:t>
            </w:r>
          </w:p>
        </w:tc>
        <w:tc>
          <w:tcPr>
            <w:tcW w:w="518" w:type="pct"/>
            <w:tcBorders>
              <w:bottom w:val="single" w:sz="12" w:space="0" w:color="auto"/>
            </w:tcBorders>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54,34</w:t>
            </w:r>
          </w:p>
        </w:tc>
        <w:tc>
          <w:tcPr>
            <w:tcW w:w="493" w:type="pct"/>
            <w:tcBorders>
              <w:bottom w:val="single" w:sz="12" w:space="0" w:color="auto"/>
            </w:tcBorders>
            <w:shd w:val="clear" w:color="auto" w:fill="auto"/>
            <w:noWrap/>
            <w:vAlign w:val="center"/>
            <w:hideMark/>
          </w:tcPr>
          <w:p w:rsidR="0084411B" w:rsidRPr="0084411B" w:rsidRDefault="0084411B" w:rsidP="0084411B">
            <w:pPr>
              <w:ind w:firstLine="0"/>
              <w:jc w:val="center"/>
              <w:rPr>
                <w:color w:val="000000"/>
                <w:sz w:val="20"/>
              </w:rPr>
            </w:pPr>
            <w:r w:rsidRPr="0084411B">
              <w:rPr>
                <w:color w:val="000000"/>
                <w:sz w:val="20"/>
              </w:rPr>
              <w:t>16,56</w:t>
            </w:r>
          </w:p>
        </w:tc>
      </w:tr>
    </w:tbl>
    <w:p w:rsidR="0084411B" w:rsidRPr="004129E7" w:rsidRDefault="0084411B" w:rsidP="0084411B">
      <w:pPr>
        <w:ind w:firstLine="0"/>
        <w:rPr>
          <w:sz w:val="20"/>
        </w:rPr>
      </w:pPr>
      <w:r w:rsidRPr="008E1F78">
        <w:rPr>
          <w:sz w:val="20"/>
        </w:rPr>
        <w:t>Fonte:</w:t>
      </w:r>
      <w:r w:rsidRPr="004129E7">
        <w:rPr>
          <w:sz w:val="20"/>
        </w:rPr>
        <w:t xml:space="preserve"> </w:t>
      </w:r>
      <w:r>
        <w:rPr>
          <w:sz w:val="20"/>
        </w:rPr>
        <w:t>Dados da pesquisa</w:t>
      </w:r>
      <w:r w:rsidRPr="004129E7">
        <w:rPr>
          <w:sz w:val="20"/>
        </w:rPr>
        <w:t>.</w:t>
      </w:r>
    </w:p>
    <w:p w:rsidR="0084411B" w:rsidRPr="00E614B2" w:rsidRDefault="0084411B" w:rsidP="00A67616">
      <w:pPr>
        <w:rPr>
          <w:sz w:val="20"/>
        </w:rPr>
      </w:pPr>
    </w:p>
    <w:p w:rsidR="00F25234" w:rsidRDefault="00856420" w:rsidP="00DF1E55">
      <w:pPr>
        <w:rPr>
          <w:szCs w:val="24"/>
        </w:rPr>
      </w:pPr>
      <w:r>
        <w:rPr>
          <w:szCs w:val="24"/>
        </w:rPr>
        <w:t>N</w:t>
      </w:r>
      <w:r w:rsidR="00B03595" w:rsidRPr="004D0AC6">
        <w:rPr>
          <w:szCs w:val="24"/>
        </w:rPr>
        <w:t>ota-se que</w:t>
      </w:r>
      <w:r w:rsidR="00B03595">
        <w:rPr>
          <w:szCs w:val="24"/>
        </w:rPr>
        <w:t>,</w:t>
      </w:r>
      <w:r w:rsidR="00B03595" w:rsidRPr="004D0AC6">
        <w:rPr>
          <w:szCs w:val="24"/>
        </w:rPr>
        <w:t xml:space="preserve"> </w:t>
      </w:r>
      <w:r w:rsidR="00B03595">
        <w:rPr>
          <w:szCs w:val="24"/>
        </w:rPr>
        <w:t xml:space="preserve">após a </w:t>
      </w:r>
      <w:proofErr w:type="spellStart"/>
      <w:r w:rsidR="00B03595" w:rsidRPr="00B03595">
        <w:rPr>
          <w:i/>
          <w:szCs w:val="24"/>
        </w:rPr>
        <w:t>winsorização</w:t>
      </w:r>
      <w:proofErr w:type="spellEnd"/>
      <w:r w:rsidR="00B03595">
        <w:rPr>
          <w:szCs w:val="24"/>
        </w:rPr>
        <w:t xml:space="preserve">, há uma maior </w:t>
      </w:r>
      <w:r w:rsidR="00B03595" w:rsidRPr="003626C1">
        <w:rPr>
          <w:szCs w:val="24"/>
        </w:rPr>
        <w:t>homogeneidade</w:t>
      </w:r>
      <w:r w:rsidR="00B03595">
        <w:rPr>
          <w:szCs w:val="24"/>
        </w:rPr>
        <w:t xml:space="preserve"> das variáveis, perceptível, principalmente, quando </w:t>
      </w:r>
      <w:r w:rsidR="00072FA1">
        <w:rPr>
          <w:szCs w:val="24"/>
        </w:rPr>
        <w:t xml:space="preserve">se </w:t>
      </w:r>
      <w:r w:rsidR="00B03595">
        <w:rPr>
          <w:szCs w:val="24"/>
        </w:rPr>
        <w:t>observa a mudança dos desvios padrão</w:t>
      </w:r>
      <w:r w:rsidR="00072FA1">
        <w:rPr>
          <w:szCs w:val="24"/>
        </w:rPr>
        <w:t xml:space="preserve"> e dos valores máximos e mínimos</w:t>
      </w:r>
      <w:r w:rsidR="00A67616">
        <w:rPr>
          <w:szCs w:val="24"/>
        </w:rPr>
        <w:t>.</w:t>
      </w:r>
      <w:r w:rsidR="00F25234">
        <w:rPr>
          <w:szCs w:val="24"/>
        </w:rPr>
        <w:t xml:space="preserve"> O evento que gerou o menor retorno anormal acumulado para o período de </w:t>
      </w:r>
      <w:proofErr w:type="gramStart"/>
      <w:r w:rsidR="00F25234">
        <w:rPr>
          <w:szCs w:val="24"/>
        </w:rPr>
        <w:t>7</w:t>
      </w:r>
      <w:proofErr w:type="gramEnd"/>
      <w:r w:rsidR="00F25234">
        <w:rPr>
          <w:szCs w:val="24"/>
        </w:rPr>
        <w:t xml:space="preserve"> dias em torno do evento (antes da utilização da técnica) foi a aquisição da </w:t>
      </w:r>
      <w:proofErr w:type="spellStart"/>
      <w:r w:rsidR="00F25234">
        <w:rPr>
          <w:szCs w:val="24"/>
        </w:rPr>
        <w:t>Uniconsult</w:t>
      </w:r>
      <w:proofErr w:type="spellEnd"/>
      <w:r w:rsidR="00F25234">
        <w:rPr>
          <w:szCs w:val="24"/>
        </w:rPr>
        <w:t xml:space="preserve"> Sistemas e Serviços Ltda. pela B2W Cia Digital SA, anunciada em 31 de março de 2013, resultando em um CAR (-3,3) de, aproximadamente, -18,6%. Para o período de 41 dias, o evento que gerou um menor retorno anormal acumulado foi </w:t>
      </w:r>
      <w:proofErr w:type="gramStart"/>
      <w:r w:rsidR="00F25234">
        <w:rPr>
          <w:szCs w:val="24"/>
        </w:rPr>
        <w:t>a</w:t>
      </w:r>
      <w:proofErr w:type="gramEnd"/>
      <w:r w:rsidR="00F25234">
        <w:rPr>
          <w:szCs w:val="24"/>
        </w:rPr>
        <w:t xml:space="preserve"> aquisição anunciada pela Ser Educacional SA da Associação de Ensino Superior Anglo Líder em 20 de janeiro de 2014, resultando em um CAR (-20,20) de -52,2%. Ao observar os maiores retornos anormais acumulados, tem-se, tanto para o período de </w:t>
      </w:r>
      <w:proofErr w:type="gramStart"/>
      <w:r w:rsidR="00F25234">
        <w:rPr>
          <w:szCs w:val="24"/>
        </w:rPr>
        <w:t>7</w:t>
      </w:r>
      <w:proofErr w:type="gramEnd"/>
      <w:r w:rsidR="00F25234">
        <w:rPr>
          <w:szCs w:val="24"/>
        </w:rPr>
        <w:t xml:space="preserve"> dias quanto para o de 41 dias, a aquisição da </w:t>
      </w:r>
      <w:proofErr w:type="spellStart"/>
      <w:r w:rsidR="00F25234">
        <w:rPr>
          <w:szCs w:val="24"/>
        </w:rPr>
        <w:t>Inpar</w:t>
      </w:r>
      <w:proofErr w:type="spellEnd"/>
      <w:r w:rsidR="00F25234">
        <w:rPr>
          <w:szCs w:val="24"/>
        </w:rPr>
        <w:t xml:space="preserve"> </w:t>
      </w:r>
      <w:proofErr w:type="spellStart"/>
      <w:r w:rsidR="00F25234">
        <w:rPr>
          <w:szCs w:val="24"/>
        </w:rPr>
        <w:t>Projecto</w:t>
      </w:r>
      <w:proofErr w:type="spellEnd"/>
      <w:r w:rsidR="00F25234">
        <w:rPr>
          <w:szCs w:val="24"/>
        </w:rPr>
        <w:t xml:space="preserve"> Residencial pela Viver Incorporadora e Construtora SA, resultando em um CAR de 45,4% e 63,2%, respectivamente.</w:t>
      </w:r>
    </w:p>
    <w:p w:rsidR="00453F50" w:rsidRPr="00E614B2" w:rsidRDefault="00453F50" w:rsidP="00F25234">
      <w:pPr>
        <w:rPr>
          <w:sz w:val="20"/>
        </w:rPr>
      </w:pPr>
    </w:p>
    <w:p w:rsidR="00453F50" w:rsidRDefault="00453F50" w:rsidP="00453F50">
      <w:pPr>
        <w:pStyle w:val="PargrafodaLista"/>
        <w:numPr>
          <w:ilvl w:val="1"/>
          <w:numId w:val="13"/>
        </w:numPr>
        <w:spacing w:after="0" w:line="240" w:lineRule="auto"/>
        <w:ind w:left="0" w:firstLine="0"/>
        <w:jc w:val="both"/>
        <w:rPr>
          <w:rFonts w:ascii="Times New Roman" w:hAnsi="Times New Roman" w:cs="Times New Roman"/>
          <w:b/>
          <w:sz w:val="24"/>
          <w:szCs w:val="24"/>
        </w:rPr>
      </w:pPr>
      <w:r w:rsidRPr="00453F50">
        <w:rPr>
          <w:rFonts w:ascii="Times New Roman" w:hAnsi="Times New Roman" w:cs="Times New Roman"/>
          <w:b/>
          <w:sz w:val="24"/>
          <w:szCs w:val="24"/>
        </w:rPr>
        <w:t xml:space="preserve">Análise </w:t>
      </w:r>
      <w:proofErr w:type="spellStart"/>
      <w:r w:rsidRPr="00453F50">
        <w:rPr>
          <w:rFonts w:ascii="Times New Roman" w:hAnsi="Times New Roman" w:cs="Times New Roman"/>
          <w:b/>
          <w:sz w:val="24"/>
          <w:szCs w:val="24"/>
        </w:rPr>
        <w:t>Univariada</w:t>
      </w:r>
      <w:proofErr w:type="spellEnd"/>
    </w:p>
    <w:p w:rsidR="00453F50" w:rsidRPr="00E614B2" w:rsidRDefault="00453F50" w:rsidP="00453F50">
      <w:pPr>
        <w:rPr>
          <w:b/>
          <w:sz w:val="20"/>
        </w:rPr>
      </w:pPr>
    </w:p>
    <w:p w:rsidR="003B1060" w:rsidRDefault="003B1060" w:rsidP="00453F50">
      <w:pPr>
        <w:rPr>
          <w:szCs w:val="24"/>
        </w:rPr>
      </w:pPr>
      <w:r>
        <w:rPr>
          <w:szCs w:val="24"/>
        </w:rPr>
        <w:t>O t</w:t>
      </w:r>
      <w:r w:rsidRPr="004D0AC6">
        <w:rPr>
          <w:szCs w:val="24"/>
        </w:rPr>
        <w:t>este</w:t>
      </w:r>
      <w:r w:rsidRPr="00216A9F">
        <w:rPr>
          <w:i/>
          <w:szCs w:val="24"/>
        </w:rPr>
        <w:t xml:space="preserve"> </w:t>
      </w:r>
      <w:r w:rsidRPr="00F74877">
        <w:rPr>
          <w:szCs w:val="24"/>
        </w:rPr>
        <w:t>estat</w:t>
      </w:r>
      <w:r>
        <w:rPr>
          <w:szCs w:val="24"/>
        </w:rPr>
        <w:t>ístico</w:t>
      </w:r>
      <w:r w:rsidRPr="002001DA">
        <w:rPr>
          <w:szCs w:val="24"/>
        </w:rPr>
        <w:t xml:space="preserve"> </w:t>
      </w:r>
      <w:r w:rsidRPr="003B1060">
        <w:rPr>
          <w:i/>
          <w:szCs w:val="24"/>
        </w:rPr>
        <w:t>T</w:t>
      </w:r>
      <w:r w:rsidRPr="002001DA">
        <w:rPr>
          <w:szCs w:val="24"/>
        </w:rPr>
        <w:t xml:space="preserve"> de </w:t>
      </w:r>
      <w:proofErr w:type="spellStart"/>
      <w:r w:rsidRPr="003B1060">
        <w:rPr>
          <w:i/>
          <w:szCs w:val="24"/>
        </w:rPr>
        <w:t>Student</w:t>
      </w:r>
      <w:proofErr w:type="spellEnd"/>
      <w:r>
        <w:rPr>
          <w:szCs w:val="24"/>
        </w:rPr>
        <w:t xml:space="preserve"> foi realizado para </w:t>
      </w:r>
      <w:r w:rsidRPr="004D0AC6">
        <w:rPr>
          <w:szCs w:val="24"/>
        </w:rPr>
        <w:t>verificar se</w:t>
      </w:r>
      <w:r>
        <w:rPr>
          <w:szCs w:val="24"/>
        </w:rPr>
        <w:t xml:space="preserve"> as médias</w:t>
      </w:r>
      <w:r w:rsidRPr="004D0AC6">
        <w:rPr>
          <w:szCs w:val="24"/>
        </w:rPr>
        <w:t xml:space="preserve"> </w:t>
      </w:r>
      <w:r>
        <w:rPr>
          <w:szCs w:val="24"/>
        </w:rPr>
        <w:t>d</w:t>
      </w:r>
      <w:r w:rsidRPr="004D0AC6">
        <w:rPr>
          <w:szCs w:val="24"/>
        </w:rPr>
        <w:t>os retornos anormais acumulativos dos períodos (-3,3) e (-20,20) são sig</w:t>
      </w:r>
      <w:r>
        <w:rPr>
          <w:szCs w:val="24"/>
        </w:rPr>
        <w:t>nificativas</w:t>
      </w:r>
      <w:r w:rsidRPr="004D0AC6">
        <w:rPr>
          <w:szCs w:val="24"/>
        </w:rPr>
        <w:t>, ou seja, se</w:t>
      </w:r>
      <w:r>
        <w:rPr>
          <w:szCs w:val="24"/>
        </w:rPr>
        <w:t xml:space="preserve"> as médias</w:t>
      </w:r>
      <w:r w:rsidRPr="00F74877">
        <w:rPr>
          <w:szCs w:val="24"/>
        </w:rPr>
        <w:t xml:space="preserve"> do</w:t>
      </w:r>
      <w:r w:rsidRPr="004D0AC6">
        <w:rPr>
          <w:szCs w:val="24"/>
        </w:rPr>
        <w:t xml:space="preserve"> CAR foram diferentes de </w:t>
      </w:r>
      <w:proofErr w:type="gramStart"/>
      <w:r w:rsidRPr="004D0AC6">
        <w:rPr>
          <w:szCs w:val="24"/>
        </w:rPr>
        <w:t>0</w:t>
      </w:r>
      <w:proofErr w:type="gramEnd"/>
      <w:r>
        <w:rPr>
          <w:szCs w:val="24"/>
        </w:rPr>
        <w:t xml:space="preserve"> (zero)</w:t>
      </w:r>
      <w:r w:rsidRPr="004D0AC6">
        <w:rPr>
          <w:szCs w:val="24"/>
        </w:rPr>
        <w:t>.</w:t>
      </w:r>
      <w:r>
        <w:rPr>
          <w:szCs w:val="24"/>
        </w:rPr>
        <w:t xml:space="preserve"> Para isso, dividiu-se a amostra total de 86 empresas em familiares e não familiares, como mostra a Tabela 4.</w:t>
      </w:r>
    </w:p>
    <w:p w:rsidR="003B1060" w:rsidRPr="00375276" w:rsidRDefault="003B1060" w:rsidP="00453F50">
      <w:pPr>
        <w:rPr>
          <w:sz w:val="20"/>
        </w:rPr>
      </w:pPr>
    </w:p>
    <w:p w:rsidR="003B1060" w:rsidRPr="008909EE" w:rsidRDefault="003B1060" w:rsidP="0066231A">
      <w:pPr>
        <w:keepNext/>
        <w:ind w:firstLine="0"/>
        <w:rPr>
          <w:b/>
          <w:color w:val="000000"/>
          <w:sz w:val="20"/>
        </w:rPr>
      </w:pPr>
      <w:bookmarkStart w:id="4" w:name="_Toc508824015"/>
      <w:r w:rsidRPr="003B1060">
        <w:rPr>
          <w:color w:val="000000"/>
          <w:sz w:val="20"/>
        </w:rPr>
        <w:t xml:space="preserve">Tabela </w:t>
      </w:r>
      <w:r w:rsidR="00231BA4">
        <w:rPr>
          <w:color w:val="000000"/>
          <w:sz w:val="20"/>
        </w:rPr>
        <w:t>4</w:t>
      </w:r>
      <w:r w:rsidRPr="008909EE">
        <w:rPr>
          <w:b/>
          <w:color w:val="000000"/>
          <w:sz w:val="20"/>
        </w:rPr>
        <w:t xml:space="preserve"> – Resultados do</w:t>
      </w:r>
      <w:r>
        <w:rPr>
          <w:b/>
          <w:color w:val="000000"/>
          <w:sz w:val="20"/>
        </w:rPr>
        <w:t xml:space="preserve"> teste</w:t>
      </w:r>
      <w:r w:rsidRPr="008909EE">
        <w:rPr>
          <w:b/>
          <w:color w:val="000000"/>
          <w:sz w:val="20"/>
        </w:rPr>
        <w:t xml:space="preserve"> </w:t>
      </w:r>
      <w:r w:rsidRPr="0066231A">
        <w:rPr>
          <w:b/>
          <w:i/>
          <w:color w:val="000000"/>
          <w:sz w:val="20"/>
        </w:rPr>
        <w:t>T-</w:t>
      </w:r>
      <w:proofErr w:type="spellStart"/>
      <w:r w:rsidRPr="0066231A">
        <w:rPr>
          <w:b/>
          <w:i/>
          <w:color w:val="000000"/>
          <w:sz w:val="20"/>
        </w:rPr>
        <w:t>Student</w:t>
      </w:r>
      <w:bookmarkEnd w:id="4"/>
      <w:proofErr w:type="spellEnd"/>
    </w:p>
    <w:tbl>
      <w:tblPr>
        <w:tblW w:w="4959" w:type="pct"/>
        <w:tblCellMar>
          <w:left w:w="70" w:type="dxa"/>
          <w:right w:w="70" w:type="dxa"/>
        </w:tblCellMar>
        <w:tblLook w:val="04A0" w:firstRow="1" w:lastRow="0" w:firstColumn="1" w:lastColumn="0" w:noHBand="0" w:noVBand="1"/>
      </w:tblPr>
      <w:tblGrid>
        <w:gridCol w:w="1161"/>
        <w:gridCol w:w="479"/>
        <w:gridCol w:w="918"/>
        <w:gridCol w:w="1136"/>
        <w:gridCol w:w="511"/>
        <w:gridCol w:w="129"/>
        <w:gridCol w:w="846"/>
        <w:gridCol w:w="1079"/>
        <w:gridCol w:w="129"/>
        <w:gridCol w:w="386"/>
        <w:gridCol w:w="129"/>
        <w:gridCol w:w="1068"/>
        <w:gridCol w:w="1496"/>
      </w:tblGrid>
      <w:tr w:rsidR="00375276" w:rsidRPr="003B1060" w:rsidTr="00583D7A">
        <w:trPr>
          <w:trHeight w:val="100"/>
        </w:trPr>
        <w:tc>
          <w:tcPr>
            <w:tcW w:w="613" w:type="pct"/>
            <w:tcBorders>
              <w:top w:val="single" w:sz="12"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253" w:type="pct"/>
            <w:tcBorders>
              <w:top w:val="single" w:sz="12"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1085" w:type="pct"/>
            <w:gridSpan w:val="2"/>
            <w:tcBorders>
              <w:top w:val="single" w:sz="12" w:space="0" w:color="auto"/>
              <w:left w:val="nil"/>
              <w:bottom w:val="single" w:sz="12" w:space="0" w:color="auto"/>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Amostra Total</w:t>
            </w:r>
          </w:p>
        </w:tc>
        <w:tc>
          <w:tcPr>
            <w:tcW w:w="270" w:type="pct"/>
            <w:tcBorders>
              <w:top w:val="single" w:sz="12"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1085" w:type="pct"/>
            <w:gridSpan w:val="3"/>
            <w:tcBorders>
              <w:top w:val="single" w:sz="12" w:space="0" w:color="auto"/>
              <w:left w:val="nil"/>
              <w:bottom w:val="single" w:sz="12" w:space="0" w:color="auto"/>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Familiar</w:t>
            </w:r>
          </w:p>
        </w:tc>
        <w:tc>
          <w:tcPr>
            <w:tcW w:w="272" w:type="pct"/>
            <w:gridSpan w:val="2"/>
            <w:tcBorders>
              <w:top w:val="single" w:sz="12"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1421" w:type="pct"/>
            <w:gridSpan w:val="3"/>
            <w:tcBorders>
              <w:top w:val="single" w:sz="12" w:space="0" w:color="auto"/>
              <w:left w:val="nil"/>
              <w:bottom w:val="single" w:sz="12" w:space="0" w:color="auto"/>
              <w:right w:val="nil"/>
            </w:tcBorders>
            <w:shd w:val="clear" w:color="auto" w:fill="auto"/>
            <w:noWrap/>
            <w:vAlign w:val="center"/>
            <w:hideMark/>
          </w:tcPr>
          <w:p w:rsidR="003B1060" w:rsidRPr="003B1060" w:rsidRDefault="003B1060" w:rsidP="0066231A">
            <w:pPr>
              <w:ind w:left="88" w:firstLine="0"/>
              <w:jc w:val="center"/>
              <w:rPr>
                <w:color w:val="000000"/>
                <w:sz w:val="20"/>
              </w:rPr>
            </w:pPr>
            <w:r w:rsidRPr="003B1060">
              <w:rPr>
                <w:color w:val="000000"/>
                <w:sz w:val="20"/>
              </w:rPr>
              <w:t>Não Familiar</w:t>
            </w:r>
          </w:p>
        </w:tc>
      </w:tr>
      <w:tr w:rsidR="00375276" w:rsidRPr="003B1060" w:rsidTr="00583D7A">
        <w:trPr>
          <w:trHeight w:val="118"/>
        </w:trPr>
        <w:tc>
          <w:tcPr>
            <w:tcW w:w="613" w:type="pct"/>
            <w:tcBorders>
              <w:top w:val="nil"/>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253" w:type="pct"/>
            <w:tcBorders>
              <w:top w:val="nil"/>
              <w:left w:val="nil"/>
              <w:bottom w:val="nil"/>
              <w:right w:val="nil"/>
            </w:tcBorders>
            <w:shd w:val="clear" w:color="auto" w:fill="auto"/>
            <w:noWrap/>
            <w:vAlign w:val="center"/>
            <w:hideMark/>
          </w:tcPr>
          <w:p w:rsidR="003B1060" w:rsidRPr="003B1060" w:rsidRDefault="003B1060" w:rsidP="0066231A">
            <w:pPr>
              <w:ind w:firstLine="0"/>
              <w:jc w:val="center"/>
              <w:rPr>
                <w:sz w:val="20"/>
              </w:rPr>
            </w:pPr>
          </w:p>
        </w:tc>
        <w:tc>
          <w:tcPr>
            <w:tcW w:w="485" w:type="pct"/>
            <w:tcBorders>
              <w:top w:val="single" w:sz="12"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Média</w:t>
            </w:r>
          </w:p>
        </w:tc>
        <w:tc>
          <w:tcPr>
            <w:tcW w:w="600" w:type="pct"/>
            <w:tcBorders>
              <w:top w:val="single" w:sz="12"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D. Padrão</w:t>
            </w:r>
          </w:p>
        </w:tc>
        <w:tc>
          <w:tcPr>
            <w:tcW w:w="338" w:type="pct"/>
            <w:gridSpan w:val="2"/>
            <w:tcBorders>
              <w:top w:val="nil"/>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447" w:type="pct"/>
            <w:tcBorders>
              <w:top w:val="single" w:sz="12"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Média</w:t>
            </w:r>
          </w:p>
        </w:tc>
        <w:tc>
          <w:tcPr>
            <w:tcW w:w="638" w:type="pct"/>
            <w:gridSpan w:val="2"/>
            <w:tcBorders>
              <w:top w:val="single" w:sz="12"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D. Padrão</w:t>
            </w:r>
          </w:p>
        </w:tc>
        <w:tc>
          <w:tcPr>
            <w:tcW w:w="272" w:type="pct"/>
            <w:gridSpan w:val="2"/>
            <w:tcBorders>
              <w:top w:val="nil"/>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564" w:type="pct"/>
            <w:tcBorders>
              <w:top w:val="single" w:sz="12" w:space="0" w:color="auto"/>
              <w:left w:val="nil"/>
              <w:bottom w:val="nil"/>
              <w:right w:val="nil"/>
            </w:tcBorders>
            <w:shd w:val="clear" w:color="auto" w:fill="auto"/>
            <w:noWrap/>
            <w:vAlign w:val="center"/>
            <w:hideMark/>
          </w:tcPr>
          <w:p w:rsidR="003B1060" w:rsidRPr="003B1060" w:rsidRDefault="003B1060" w:rsidP="0066231A">
            <w:pPr>
              <w:ind w:left="88" w:firstLine="0"/>
              <w:jc w:val="center"/>
              <w:rPr>
                <w:color w:val="000000"/>
                <w:sz w:val="20"/>
              </w:rPr>
            </w:pPr>
            <w:r w:rsidRPr="003B1060">
              <w:rPr>
                <w:color w:val="000000"/>
                <w:sz w:val="20"/>
              </w:rPr>
              <w:t>Média</w:t>
            </w:r>
          </w:p>
        </w:tc>
        <w:tc>
          <w:tcPr>
            <w:tcW w:w="790" w:type="pct"/>
            <w:tcBorders>
              <w:top w:val="single" w:sz="12" w:space="0" w:color="auto"/>
              <w:left w:val="nil"/>
              <w:bottom w:val="nil"/>
              <w:right w:val="nil"/>
            </w:tcBorders>
            <w:shd w:val="clear" w:color="auto" w:fill="auto"/>
            <w:noWrap/>
            <w:vAlign w:val="center"/>
            <w:hideMark/>
          </w:tcPr>
          <w:p w:rsidR="003B1060" w:rsidRPr="003B1060" w:rsidRDefault="003B1060" w:rsidP="0066231A">
            <w:pPr>
              <w:ind w:left="88" w:firstLine="0"/>
              <w:jc w:val="center"/>
              <w:rPr>
                <w:color w:val="000000"/>
                <w:sz w:val="20"/>
              </w:rPr>
            </w:pPr>
            <w:r w:rsidRPr="003B1060">
              <w:rPr>
                <w:color w:val="000000"/>
                <w:sz w:val="20"/>
              </w:rPr>
              <w:t>D. Padrão</w:t>
            </w:r>
          </w:p>
        </w:tc>
      </w:tr>
      <w:tr w:rsidR="00375276" w:rsidRPr="003B1060" w:rsidTr="00583D7A">
        <w:trPr>
          <w:trHeight w:val="145"/>
        </w:trPr>
        <w:tc>
          <w:tcPr>
            <w:tcW w:w="613" w:type="pct"/>
            <w:tcBorders>
              <w:top w:val="single" w:sz="8"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CAR (-3,3)</w:t>
            </w:r>
          </w:p>
        </w:tc>
        <w:tc>
          <w:tcPr>
            <w:tcW w:w="253" w:type="pct"/>
            <w:tcBorders>
              <w:top w:val="single" w:sz="8"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485" w:type="pct"/>
            <w:tcBorders>
              <w:top w:val="single" w:sz="8"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-0,01%</w:t>
            </w:r>
          </w:p>
        </w:tc>
        <w:tc>
          <w:tcPr>
            <w:tcW w:w="600" w:type="pct"/>
            <w:tcBorders>
              <w:top w:val="single" w:sz="8"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0,05</w:t>
            </w:r>
          </w:p>
        </w:tc>
        <w:tc>
          <w:tcPr>
            <w:tcW w:w="338" w:type="pct"/>
            <w:gridSpan w:val="2"/>
            <w:tcBorders>
              <w:top w:val="single" w:sz="8"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447" w:type="pct"/>
            <w:tcBorders>
              <w:top w:val="single" w:sz="8"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0,55%</w:t>
            </w:r>
          </w:p>
        </w:tc>
        <w:tc>
          <w:tcPr>
            <w:tcW w:w="638" w:type="pct"/>
            <w:gridSpan w:val="2"/>
            <w:tcBorders>
              <w:top w:val="single" w:sz="8"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0,05</w:t>
            </w:r>
          </w:p>
        </w:tc>
        <w:tc>
          <w:tcPr>
            <w:tcW w:w="272" w:type="pct"/>
            <w:gridSpan w:val="2"/>
            <w:tcBorders>
              <w:top w:val="single" w:sz="8" w:space="0" w:color="auto"/>
              <w:left w:val="nil"/>
              <w:bottom w:val="nil"/>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564" w:type="pct"/>
            <w:tcBorders>
              <w:top w:val="single" w:sz="8" w:space="0" w:color="auto"/>
              <w:left w:val="nil"/>
              <w:bottom w:val="nil"/>
              <w:right w:val="nil"/>
            </w:tcBorders>
            <w:shd w:val="clear" w:color="auto" w:fill="auto"/>
            <w:noWrap/>
            <w:vAlign w:val="center"/>
            <w:hideMark/>
          </w:tcPr>
          <w:p w:rsidR="003B1060" w:rsidRPr="003B1060" w:rsidRDefault="003B1060" w:rsidP="0066231A">
            <w:pPr>
              <w:ind w:left="88" w:firstLine="0"/>
              <w:jc w:val="center"/>
              <w:rPr>
                <w:color w:val="000000"/>
                <w:sz w:val="20"/>
              </w:rPr>
            </w:pPr>
            <w:r w:rsidRPr="003B1060">
              <w:rPr>
                <w:color w:val="000000"/>
                <w:sz w:val="20"/>
              </w:rPr>
              <w:t>-0,39%</w:t>
            </w:r>
          </w:p>
        </w:tc>
        <w:tc>
          <w:tcPr>
            <w:tcW w:w="790" w:type="pct"/>
            <w:tcBorders>
              <w:top w:val="single" w:sz="8" w:space="0" w:color="auto"/>
              <w:left w:val="nil"/>
              <w:bottom w:val="nil"/>
              <w:right w:val="nil"/>
            </w:tcBorders>
            <w:shd w:val="clear" w:color="auto" w:fill="auto"/>
            <w:noWrap/>
            <w:vAlign w:val="center"/>
            <w:hideMark/>
          </w:tcPr>
          <w:p w:rsidR="003B1060" w:rsidRPr="003B1060" w:rsidRDefault="003B1060" w:rsidP="0066231A">
            <w:pPr>
              <w:ind w:left="88" w:firstLine="0"/>
              <w:jc w:val="center"/>
              <w:rPr>
                <w:color w:val="000000"/>
                <w:sz w:val="20"/>
              </w:rPr>
            </w:pPr>
            <w:r w:rsidRPr="003B1060">
              <w:rPr>
                <w:color w:val="000000"/>
                <w:sz w:val="20"/>
              </w:rPr>
              <w:t>0,04</w:t>
            </w:r>
          </w:p>
        </w:tc>
      </w:tr>
      <w:tr w:rsidR="00375276" w:rsidRPr="003B1060" w:rsidTr="00583D7A">
        <w:trPr>
          <w:trHeight w:val="70"/>
        </w:trPr>
        <w:tc>
          <w:tcPr>
            <w:tcW w:w="613" w:type="pct"/>
            <w:tcBorders>
              <w:top w:val="nil"/>
              <w:left w:val="nil"/>
              <w:bottom w:val="single" w:sz="4" w:space="0" w:color="auto"/>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253" w:type="pct"/>
            <w:tcBorders>
              <w:top w:val="nil"/>
              <w:left w:val="nil"/>
              <w:bottom w:val="single" w:sz="4" w:space="0" w:color="auto"/>
              <w:right w:val="nil"/>
            </w:tcBorders>
            <w:shd w:val="clear" w:color="auto" w:fill="auto"/>
            <w:noWrap/>
            <w:vAlign w:val="center"/>
            <w:hideMark/>
          </w:tcPr>
          <w:p w:rsidR="003B1060" w:rsidRPr="003B1060" w:rsidRDefault="003B1060" w:rsidP="0066231A">
            <w:pPr>
              <w:ind w:firstLine="0"/>
              <w:jc w:val="center"/>
              <w:rPr>
                <w:sz w:val="20"/>
              </w:rPr>
            </w:pPr>
          </w:p>
        </w:tc>
        <w:tc>
          <w:tcPr>
            <w:tcW w:w="485" w:type="pct"/>
            <w:tcBorders>
              <w:top w:val="nil"/>
              <w:left w:val="nil"/>
              <w:bottom w:val="single" w:sz="4" w:space="0" w:color="auto"/>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(0,483)</w:t>
            </w:r>
          </w:p>
        </w:tc>
        <w:tc>
          <w:tcPr>
            <w:tcW w:w="600" w:type="pct"/>
            <w:tcBorders>
              <w:top w:val="nil"/>
              <w:left w:val="nil"/>
              <w:bottom w:val="single" w:sz="4" w:space="0" w:color="auto"/>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338" w:type="pct"/>
            <w:gridSpan w:val="2"/>
            <w:tcBorders>
              <w:top w:val="nil"/>
              <w:left w:val="nil"/>
              <w:bottom w:val="single" w:sz="4" w:space="0" w:color="auto"/>
              <w:right w:val="nil"/>
            </w:tcBorders>
            <w:shd w:val="clear" w:color="auto" w:fill="auto"/>
            <w:noWrap/>
            <w:vAlign w:val="center"/>
            <w:hideMark/>
          </w:tcPr>
          <w:p w:rsidR="003B1060" w:rsidRPr="003B1060" w:rsidRDefault="003B1060" w:rsidP="0066231A">
            <w:pPr>
              <w:ind w:firstLine="0"/>
              <w:jc w:val="center"/>
              <w:rPr>
                <w:sz w:val="20"/>
              </w:rPr>
            </w:pPr>
          </w:p>
        </w:tc>
        <w:tc>
          <w:tcPr>
            <w:tcW w:w="447" w:type="pct"/>
            <w:tcBorders>
              <w:top w:val="nil"/>
              <w:left w:val="nil"/>
              <w:bottom w:val="single" w:sz="4" w:space="0" w:color="auto"/>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(0,856)</w:t>
            </w:r>
          </w:p>
        </w:tc>
        <w:tc>
          <w:tcPr>
            <w:tcW w:w="638" w:type="pct"/>
            <w:gridSpan w:val="2"/>
            <w:tcBorders>
              <w:top w:val="nil"/>
              <w:left w:val="nil"/>
              <w:bottom w:val="single" w:sz="4" w:space="0" w:color="auto"/>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272" w:type="pct"/>
            <w:gridSpan w:val="2"/>
            <w:tcBorders>
              <w:top w:val="nil"/>
              <w:left w:val="nil"/>
              <w:bottom w:val="single" w:sz="4" w:space="0" w:color="auto"/>
              <w:right w:val="nil"/>
            </w:tcBorders>
            <w:shd w:val="clear" w:color="auto" w:fill="auto"/>
            <w:noWrap/>
            <w:vAlign w:val="center"/>
            <w:hideMark/>
          </w:tcPr>
          <w:p w:rsidR="003B1060" w:rsidRPr="003B1060" w:rsidRDefault="003B1060" w:rsidP="0066231A">
            <w:pPr>
              <w:ind w:firstLine="0"/>
              <w:jc w:val="center"/>
              <w:rPr>
                <w:sz w:val="20"/>
              </w:rPr>
            </w:pPr>
          </w:p>
        </w:tc>
        <w:tc>
          <w:tcPr>
            <w:tcW w:w="564" w:type="pct"/>
            <w:tcBorders>
              <w:top w:val="nil"/>
              <w:left w:val="nil"/>
              <w:bottom w:val="single" w:sz="4" w:space="0" w:color="auto"/>
              <w:right w:val="nil"/>
            </w:tcBorders>
            <w:shd w:val="clear" w:color="auto" w:fill="auto"/>
            <w:noWrap/>
            <w:vAlign w:val="center"/>
            <w:hideMark/>
          </w:tcPr>
          <w:p w:rsidR="003B1060" w:rsidRPr="003B1060" w:rsidRDefault="003B1060" w:rsidP="0066231A">
            <w:pPr>
              <w:ind w:left="88" w:firstLine="0"/>
              <w:jc w:val="center"/>
              <w:rPr>
                <w:color w:val="000000"/>
                <w:sz w:val="20"/>
              </w:rPr>
            </w:pPr>
            <w:r w:rsidRPr="003B1060">
              <w:rPr>
                <w:color w:val="000000"/>
                <w:sz w:val="20"/>
              </w:rPr>
              <w:t>(0,135)</w:t>
            </w:r>
          </w:p>
        </w:tc>
        <w:tc>
          <w:tcPr>
            <w:tcW w:w="790" w:type="pct"/>
            <w:tcBorders>
              <w:top w:val="nil"/>
              <w:left w:val="nil"/>
              <w:bottom w:val="single" w:sz="4" w:space="0" w:color="auto"/>
              <w:right w:val="nil"/>
            </w:tcBorders>
            <w:shd w:val="clear" w:color="auto" w:fill="auto"/>
            <w:noWrap/>
            <w:vAlign w:val="center"/>
            <w:hideMark/>
          </w:tcPr>
          <w:p w:rsidR="003B1060" w:rsidRPr="003B1060" w:rsidRDefault="003B1060" w:rsidP="0066231A">
            <w:pPr>
              <w:ind w:left="88" w:firstLine="0"/>
              <w:jc w:val="center"/>
              <w:rPr>
                <w:color w:val="000000"/>
                <w:sz w:val="20"/>
              </w:rPr>
            </w:pPr>
          </w:p>
        </w:tc>
      </w:tr>
      <w:tr w:rsidR="00375276" w:rsidRPr="003B1060" w:rsidTr="00A32F9A">
        <w:trPr>
          <w:trHeight w:val="112"/>
        </w:trPr>
        <w:tc>
          <w:tcPr>
            <w:tcW w:w="866" w:type="pct"/>
            <w:gridSpan w:val="2"/>
            <w:tcBorders>
              <w:top w:val="single" w:sz="4" w:space="0" w:color="auto"/>
              <w:left w:val="nil"/>
              <w:right w:val="nil"/>
            </w:tcBorders>
            <w:shd w:val="clear" w:color="auto" w:fill="auto"/>
            <w:noWrap/>
            <w:vAlign w:val="center"/>
            <w:hideMark/>
          </w:tcPr>
          <w:p w:rsidR="003B1060" w:rsidRPr="003B1060" w:rsidRDefault="003B1060" w:rsidP="0066231A">
            <w:pPr>
              <w:ind w:firstLine="0"/>
              <w:rPr>
                <w:color w:val="000000"/>
                <w:sz w:val="20"/>
              </w:rPr>
            </w:pPr>
            <w:r w:rsidRPr="003B1060">
              <w:rPr>
                <w:color w:val="000000"/>
                <w:sz w:val="20"/>
              </w:rPr>
              <w:t>CAR (-20,20)</w:t>
            </w:r>
          </w:p>
        </w:tc>
        <w:tc>
          <w:tcPr>
            <w:tcW w:w="485" w:type="pct"/>
            <w:tcBorders>
              <w:top w:val="single" w:sz="4" w:space="0" w:color="auto"/>
              <w:left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-1,23%*</w:t>
            </w:r>
          </w:p>
        </w:tc>
        <w:tc>
          <w:tcPr>
            <w:tcW w:w="600" w:type="pct"/>
            <w:tcBorders>
              <w:top w:val="single" w:sz="4" w:space="0" w:color="auto"/>
              <w:left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0,12</w:t>
            </w:r>
          </w:p>
        </w:tc>
        <w:tc>
          <w:tcPr>
            <w:tcW w:w="338" w:type="pct"/>
            <w:gridSpan w:val="2"/>
            <w:tcBorders>
              <w:top w:val="single" w:sz="4" w:space="0" w:color="auto"/>
              <w:left w:val="nil"/>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447" w:type="pct"/>
            <w:tcBorders>
              <w:top w:val="single" w:sz="4" w:space="0" w:color="auto"/>
              <w:left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1,26%</w:t>
            </w:r>
          </w:p>
        </w:tc>
        <w:tc>
          <w:tcPr>
            <w:tcW w:w="638" w:type="pct"/>
            <w:gridSpan w:val="2"/>
            <w:tcBorders>
              <w:top w:val="single" w:sz="4" w:space="0" w:color="auto"/>
              <w:left w:val="nil"/>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0,13</w:t>
            </w:r>
          </w:p>
        </w:tc>
        <w:tc>
          <w:tcPr>
            <w:tcW w:w="272" w:type="pct"/>
            <w:gridSpan w:val="2"/>
            <w:tcBorders>
              <w:top w:val="single" w:sz="4" w:space="0" w:color="auto"/>
              <w:left w:val="nil"/>
              <w:right w:val="nil"/>
            </w:tcBorders>
            <w:shd w:val="clear" w:color="auto" w:fill="auto"/>
            <w:noWrap/>
            <w:vAlign w:val="center"/>
            <w:hideMark/>
          </w:tcPr>
          <w:p w:rsidR="003B1060" w:rsidRPr="003B1060" w:rsidRDefault="003B1060" w:rsidP="0066231A">
            <w:pPr>
              <w:ind w:firstLine="0"/>
              <w:jc w:val="center"/>
              <w:rPr>
                <w:sz w:val="20"/>
              </w:rPr>
            </w:pPr>
          </w:p>
        </w:tc>
        <w:tc>
          <w:tcPr>
            <w:tcW w:w="564" w:type="pct"/>
            <w:tcBorders>
              <w:top w:val="single" w:sz="4" w:space="0" w:color="auto"/>
              <w:left w:val="nil"/>
              <w:right w:val="nil"/>
            </w:tcBorders>
            <w:shd w:val="clear" w:color="auto" w:fill="auto"/>
            <w:noWrap/>
            <w:vAlign w:val="center"/>
            <w:hideMark/>
          </w:tcPr>
          <w:p w:rsidR="003B1060" w:rsidRPr="003B1060" w:rsidRDefault="0066231A" w:rsidP="0066231A">
            <w:pPr>
              <w:ind w:firstLine="0"/>
              <w:rPr>
                <w:color w:val="000000"/>
                <w:sz w:val="20"/>
              </w:rPr>
            </w:pPr>
            <w:r>
              <w:rPr>
                <w:color w:val="000000"/>
                <w:sz w:val="20"/>
              </w:rPr>
              <w:t xml:space="preserve"> </w:t>
            </w:r>
            <w:r w:rsidR="003B1060" w:rsidRPr="003B1060">
              <w:rPr>
                <w:color w:val="000000"/>
                <w:sz w:val="20"/>
              </w:rPr>
              <w:t>2,90%***</w:t>
            </w:r>
          </w:p>
        </w:tc>
        <w:tc>
          <w:tcPr>
            <w:tcW w:w="790" w:type="pct"/>
            <w:tcBorders>
              <w:top w:val="single" w:sz="4" w:space="0" w:color="auto"/>
              <w:left w:val="nil"/>
              <w:right w:val="nil"/>
            </w:tcBorders>
            <w:shd w:val="clear" w:color="auto" w:fill="auto"/>
            <w:noWrap/>
            <w:vAlign w:val="center"/>
            <w:hideMark/>
          </w:tcPr>
          <w:p w:rsidR="003B1060" w:rsidRPr="003B1060" w:rsidRDefault="003B1060" w:rsidP="0066231A">
            <w:pPr>
              <w:ind w:left="88" w:firstLine="0"/>
              <w:jc w:val="center"/>
              <w:rPr>
                <w:color w:val="000000"/>
                <w:sz w:val="20"/>
              </w:rPr>
            </w:pPr>
          </w:p>
        </w:tc>
      </w:tr>
      <w:tr w:rsidR="00375276" w:rsidRPr="003B1060" w:rsidTr="00583D7A">
        <w:trPr>
          <w:trHeight w:val="215"/>
        </w:trPr>
        <w:tc>
          <w:tcPr>
            <w:tcW w:w="613" w:type="pct"/>
            <w:tcBorders>
              <w:top w:val="nil"/>
              <w:left w:val="nil"/>
              <w:bottom w:val="single" w:sz="12" w:space="0" w:color="auto"/>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253" w:type="pct"/>
            <w:tcBorders>
              <w:top w:val="nil"/>
              <w:left w:val="nil"/>
              <w:bottom w:val="single" w:sz="12" w:space="0" w:color="auto"/>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485" w:type="pct"/>
            <w:tcBorders>
              <w:top w:val="nil"/>
              <w:left w:val="nil"/>
              <w:bottom w:val="single" w:sz="12" w:space="0" w:color="auto"/>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(0,055)</w:t>
            </w:r>
          </w:p>
        </w:tc>
        <w:tc>
          <w:tcPr>
            <w:tcW w:w="600" w:type="pct"/>
            <w:tcBorders>
              <w:top w:val="nil"/>
              <w:left w:val="nil"/>
              <w:bottom w:val="single" w:sz="12" w:space="0" w:color="auto"/>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338" w:type="pct"/>
            <w:gridSpan w:val="2"/>
            <w:tcBorders>
              <w:top w:val="nil"/>
              <w:left w:val="nil"/>
              <w:bottom w:val="single" w:sz="12" w:space="0" w:color="auto"/>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447" w:type="pct"/>
            <w:tcBorders>
              <w:top w:val="nil"/>
              <w:left w:val="nil"/>
              <w:bottom w:val="single" w:sz="12" w:space="0" w:color="auto"/>
              <w:right w:val="nil"/>
            </w:tcBorders>
            <w:shd w:val="clear" w:color="auto" w:fill="auto"/>
            <w:noWrap/>
            <w:vAlign w:val="center"/>
            <w:hideMark/>
          </w:tcPr>
          <w:p w:rsidR="003B1060" w:rsidRPr="003B1060" w:rsidRDefault="003B1060" w:rsidP="0066231A">
            <w:pPr>
              <w:ind w:firstLine="0"/>
              <w:jc w:val="center"/>
              <w:rPr>
                <w:color w:val="000000"/>
                <w:sz w:val="20"/>
              </w:rPr>
            </w:pPr>
            <w:r w:rsidRPr="003B1060">
              <w:rPr>
                <w:color w:val="000000"/>
                <w:sz w:val="20"/>
              </w:rPr>
              <w:t>(0,821)</w:t>
            </w:r>
          </w:p>
        </w:tc>
        <w:tc>
          <w:tcPr>
            <w:tcW w:w="638" w:type="pct"/>
            <w:gridSpan w:val="2"/>
            <w:tcBorders>
              <w:top w:val="nil"/>
              <w:left w:val="nil"/>
              <w:bottom w:val="single" w:sz="12" w:space="0" w:color="auto"/>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272" w:type="pct"/>
            <w:gridSpan w:val="2"/>
            <w:tcBorders>
              <w:top w:val="nil"/>
              <w:left w:val="nil"/>
              <w:bottom w:val="single" w:sz="12" w:space="0" w:color="auto"/>
              <w:right w:val="nil"/>
            </w:tcBorders>
            <w:shd w:val="clear" w:color="auto" w:fill="auto"/>
            <w:noWrap/>
            <w:vAlign w:val="center"/>
            <w:hideMark/>
          </w:tcPr>
          <w:p w:rsidR="003B1060" w:rsidRPr="003B1060" w:rsidRDefault="003B1060" w:rsidP="0066231A">
            <w:pPr>
              <w:ind w:firstLine="0"/>
              <w:jc w:val="center"/>
              <w:rPr>
                <w:color w:val="000000"/>
                <w:sz w:val="20"/>
              </w:rPr>
            </w:pPr>
          </w:p>
        </w:tc>
        <w:tc>
          <w:tcPr>
            <w:tcW w:w="564" w:type="pct"/>
            <w:tcBorders>
              <w:top w:val="nil"/>
              <w:left w:val="nil"/>
              <w:bottom w:val="single" w:sz="12" w:space="0" w:color="auto"/>
              <w:right w:val="nil"/>
            </w:tcBorders>
            <w:shd w:val="clear" w:color="auto" w:fill="auto"/>
            <w:noWrap/>
            <w:vAlign w:val="center"/>
            <w:hideMark/>
          </w:tcPr>
          <w:p w:rsidR="003B1060" w:rsidRPr="003B1060" w:rsidRDefault="003B1060" w:rsidP="0066231A">
            <w:pPr>
              <w:ind w:left="88" w:firstLine="0"/>
              <w:jc w:val="center"/>
              <w:rPr>
                <w:color w:val="000000"/>
                <w:sz w:val="20"/>
              </w:rPr>
            </w:pPr>
            <w:r w:rsidRPr="003B1060">
              <w:rPr>
                <w:color w:val="000000"/>
                <w:sz w:val="20"/>
              </w:rPr>
              <w:t>(0,001)</w:t>
            </w:r>
          </w:p>
        </w:tc>
        <w:tc>
          <w:tcPr>
            <w:tcW w:w="790" w:type="pct"/>
            <w:tcBorders>
              <w:top w:val="nil"/>
              <w:left w:val="nil"/>
              <w:bottom w:val="single" w:sz="12" w:space="0" w:color="auto"/>
              <w:right w:val="nil"/>
            </w:tcBorders>
            <w:shd w:val="clear" w:color="auto" w:fill="auto"/>
            <w:noWrap/>
            <w:vAlign w:val="center"/>
            <w:hideMark/>
          </w:tcPr>
          <w:p w:rsidR="003B1060" w:rsidRPr="003B1060" w:rsidRDefault="003B1060" w:rsidP="0066231A">
            <w:pPr>
              <w:ind w:left="88" w:firstLine="0"/>
              <w:jc w:val="center"/>
              <w:rPr>
                <w:color w:val="000000"/>
                <w:sz w:val="20"/>
              </w:rPr>
            </w:pPr>
            <w:r w:rsidRPr="003B1060">
              <w:rPr>
                <w:color w:val="000000"/>
                <w:sz w:val="20"/>
              </w:rPr>
              <w:t>0,11</w:t>
            </w:r>
          </w:p>
        </w:tc>
      </w:tr>
      <w:tr w:rsidR="003B1060" w:rsidRPr="003B1060" w:rsidTr="00A32F9A">
        <w:trPr>
          <w:trHeight w:val="325"/>
        </w:trPr>
        <w:tc>
          <w:tcPr>
            <w:tcW w:w="5000" w:type="pct"/>
            <w:gridSpan w:val="13"/>
            <w:tcBorders>
              <w:top w:val="single" w:sz="12" w:space="0" w:color="auto"/>
              <w:left w:val="nil"/>
              <w:bottom w:val="nil"/>
            </w:tcBorders>
            <w:shd w:val="clear" w:color="auto" w:fill="auto"/>
            <w:noWrap/>
            <w:vAlign w:val="bottom"/>
            <w:hideMark/>
          </w:tcPr>
          <w:p w:rsidR="003B1060" w:rsidRPr="003B1060" w:rsidRDefault="003B1060" w:rsidP="0066231A">
            <w:pPr>
              <w:ind w:firstLine="0"/>
              <w:rPr>
                <w:color w:val="000000"/>
                <w:sz w:val="20"/>
              </w:rPr>
            </w:pPr>
            <w:r w:rsidRPr="003B1060">
              <w:rPr>
                <w:color w:val="000000"/>
                <w:sz w:val="20"/>
              </w:rPr>
              <w:t>***Estatisticamente sign</w:t>
            </w:r>
            <w:r w:rsidR="00375276">
              <w:rPr>
                <w:color w:val="000000"/>
                <w:sz w:val="20"/>
              </w:rPr>
              <w:t>ificativa ao nível de 1%;</w:t>
            </w:r>
            <w:r w:rsidRPr="003B1060">
              <w:rPr>
                <w:color w:val="000000"/>
                <w:sz w:val="20"/>
              </w:rPr>
              <w:t xml:space="preserve"> **ao nível de 5% e *ao n</w:t>
            </w:r>
            <w:r w:rsidR="00375276">
              <w:rPr>
                <w:color w:val="000000"/>
                <w:sz w:val="20"/>
              </w:rPr>
              <w:t>ível de 10%</w:t>
            </w:r>
            <w:r w:rsidRPr="003B1060">
              <w:rPr>
                <w:color w:val="000000"/>
                <w:sz w:val="20"/>
              </w:rPr>
              <w:t xml:space="preserve">. </w:t>
            </w:r>
            <w:r>
              <w:rPr>
                <w:color w:val="000000"/>
                <w:sz w:val="20"/>
              </w:rPr>
              <w:t>P-valor</w:t>
            </w:r>
            <w:r w:rsidRPr="003B1060">
              <w:rPr>
                <w:color w:val="000000"/>
                <w:sz w:val="20"/>
              </w:rPr>
              <w:t xml:space="preserve"> entre parênteses.</w:t>
            </w:r>
          </w:p>
          <w:p w:rsidR="003B1060" w:rsidRPr="003B1060" w:rsidRDefault="003B1060" w:rsidP="0066231A">
            <w:pPr>
              <w:ind w:firstLine="0"/>
              <w:rPr>
                <w:color w:val="000000"/>
                <w:sz w:val="20"/>
              </w:rPr>
            </w:pPr>
            <w:r w:rsidRPr="003B1060">
              <w:rPr>
                <w:color w:val="000000"/>
                <w:sz w:val="20"/>
              </w:rPr>
              <w:t xml:space="preserve">Fonte: </w:t>
            </w:r>
            <w:r>
              <w:rPr>
                <w:sz w:val="20"/>
              </w:rPr>
              <w:t>Dados da pesquisa</w:t>
            </w:r>
            <w:r w:rsidRPr="003B1060">
              <w:rPr>
                <w:color w:val="000000"/>
                <w:sz w:val="20"/>
              </w:rPr>
              <w:t xml:space="preserve">. </w:t>
            </w:r>
          </w:p>
        </w:tc>
      </w:tr>
    </w:tbl>
    <w:p w:rsidR="003B1060" w:rsidRPr="00375276" w:rsidRDefault="003B1060" w:rsidP="00453F50">
      <w:pPr>
        <w:rPr>
          <w:b/>
          <w:sz w:val="20"/>
        </w:rPr>
      </w:pPr>
    </w:p>
    <w:p w:rsidR="007E6B94" w:rsidRDefault="007E6B94" w:rsidP="00F968CF">
      <w:pPr>
        <w:rPr>
          <w:szCs w:val="24"/>
        </w:rPr>
      </w:pPr>
      <w:r w:rsidRPr="004D0AC6">
        <w:rPr>
          <w:szCs w:val="24"/>
        </w:rPr>
        <w:t xml:space="preserve">Os retornos anormais acumulados </w:t>
      </w:r>
      <w:proofErr w:type="gramStart"/>
      <w:r>
        <w:rPr>
          <w:szCs w:val="24"/>
        </w:rPr>
        <w:t>7</w:t>
      </w:r>
      <w:proofErr w:type="gramEnd"/>
      <w:r w:rsidRPr="004D0AC6">
        <w:rPr>
          <w:szCs w:val="24"/>
        </w:rPr>
        <w:t xml:space="preserve"> dias ao redor dos eventos não se mostraram significativamente diferente</w:t>
      </w:r>
      <w:r>
        <w:rPr>
          <w:szCs w:val="24"/>
        </w:rPr>
        <w:t>s</w:t>
      </w:r>
      <w:r w:rsidRPr="004D0AC6">
        <w:rPr>
          <w:szCs w:val="24"/>
        </w:rPr>
        <w:t xml:space="preserve"> de 0 para a amostra total, </w:t>
      </w:r>
      <w:r>
        <w:rPr>
          <w:szCs w:val="24"/>
        </w:rPr>
        <w:t xml:space="preserve">para as </w:t>
      </w:r>
      <w:r w:rsidRPr="004D0AC6">
        <w:rPr>
          <w:szCs w:val="24"/>
        </w:rPr>
        <w:t xml:space="preserve">empresas familiares e </w:t>
      </w:r>
      <w:r>
        <w:rPr>
          <w:szCs w:val="24"/>
        </w:rPr>
        <w:t xml:space="preserve">para as </w:t>
      </w:r>
      <w:r w:rsidRPr="004D0AC6">
        <w:rPr>
          <w:szCs w:val="24"/>
        </w:rPr>
        <w:t>empresas não familiares</w:t>
      </w:r>
      <w:r>
        <w:rPr>
          <w:szCs w:val="24"/>
        </w:rPr>
        <w:t>, o que evidencia retornos anormais acumulados nulos</w:t>
      </w:r>
      <w:r w:rsidRPr="004D0AC6">
        <w:rPr>
          <w:szCs w:val="24"/>
        </w:rPr>
        <w:t>. J</w:t>
      </w:r>
      <w:r w:rsidRPr="00BB3A90">
        <w:rPr>
          <w:szCs w:val="24"/>
        </w:rPr>
        <w:t>á</w:t>
      </w:r>
      <w:r>
        <w:rPr>
          <w:szCs w:val="24"/>
        </w:rPr>
        <w:t>,</w:t>
      </w:r>
      <w:r w:rsidRPr="00BB3A90">
        <w:rPr>
          <w:szCs w:val="24"/>
        </w:rPr>
        <w:t xml:space="preserve"> para os </w:t>
      </w:r>
      <w:r>
        <w:rPr>
          <w:szCs w:val="24"/>
        </w:rPr>
        <w:t>41</w:t>
      </w:r>
      <w:r w:rsidRPr="00BB3A90">
        <w:rPr>
          <w:szCs w:val="24"/>
        </w:rPr>
        <w:t xml:space="preserve"> dias em torno </w:t>
      </w:r>
      <w:r w:rsidRPr="004D0AC6">
        <w:rPr>
          <w:szCs w:val="24"/>
        </w:rPr>
        <w:t>do evento</w:t>
      </w:r>
      <w:r>
        <w:rPr>
          <w:szCs w:val="24"/>
        </w:rPr>
        <w:t>,</w:t>
      </w:r>
      <w:r w:rsidRPr="004D0AC6">
        <w:rPr>
          <w:szCs w:val="24"/>
        </w:rPr>
        <w:t xml:space="preserve"> percebe-se um retorno anormal acumulado de -1,23% significativo ao nível de 10% para o total da amostra, e de -2,90% para</w:t>
      </w:r>
      <w:r>
        <w:rPr>
          <w:szCs w:val="24"/>
        </w:rPr>
        <w:t xml:space="preserve"> as</w:t>
      </w:r>
      <w:r w:rsidRPr="004D0AC6">
        <w:rPr>
          <w:szCs w:val="24"/>
        </w:rPr>
        <w:t xml:space="preserve"> empresas não familiares significativo ao nível de 1%.</w:t>
      </w:r>
      <w:r>
        <w:rPr>
          <w:szCs w:val="24"/>
        </w:rPr>
        <w:t xml:space="preserve"> Tal achado vai ao encontro da literatura de </w:t>
      </w:r>
      <w:r w:rsidRPr="00B7328E">
        <w:rPr>
          <w:szCs w:val="24"/>
          <w:shd w:val="clear" w:color="auto" w:fill="FFFFFF" w:themeFill="background1"/>
        </w:rPr>
        <w:t xml:space="preserve">que os resultados de aquisições de curto prazo são nulos ou negativos (King </w:t>
      </w:r>
      <w:proofErr w:type="gramStart"/>
      <w:r w:rsidRPr="007E6B94">
        <w:rPr>
          <w:szCs w:val="24"/>
          <w:shd w:val="clear" w:color="auto" w:fill="FFFFFF" w:themeFill="background1"/>
        </w:rPr>
        <w:t>et</w:t>
      </w:r>
      <w:proofErr w:type="gramEnd"/>
      <w:r w:rsidRPr="007E6B94">
        <w:rPr>
          <w:szCs w:val="24"/>
          <w:shd w:val="clear" w:color="auto" w:fill="FFFFFF" w:themeFill="background1"/>
        </w:rPr>
        <w:t xml:space="preserve"> al.,</w:t>
      </w:r>
      <w:r w:rsidRPr="00B7328E">
        <w:rPr>
          <w:szCs w:val="24"/>
          <w:shd w:val="clear" w:color="auto" w:fill="FFFFFF" w:themeFill="background1"/>
        </w:rPr>
        <w:t xml:space="preserve"> 2004;</w:t>
      </w:r>
      <w:r>
        <w:rPr>
          <w:szCs w:val="24"/>
          <w:shd w:val="clear" w:color="auto" w:fill="FFFFFF" w:themeFill="background1"/>
        </w:rPr>
        <w:t xml:space="preserve"> </w:t>
      </w:r>
      <w:proofErr w:type="spellStart"/>
      <w:r w:rsidRPr="00091E51">
        <w:rPr>
          <w:szCs w:val="24"/>
        </w:rPr>
        <w:t>Moeller</w:t>
      </w:r>
      <w:proofErr w:type="spellEnd"/>
      <w:r w:rsidRPr="00091E51">
        <w:rPr>
          <w:szCs w:val="24"/>
        </w:rPr>
        <w:t xml:space="preserve">, </w:t>
      </w:r>
      <w:proofErr w:type="spellStart"/>
      <w:r w:rsidRPr="00091E51">
        <w:rPr>
          <w:szCs w:val="24"/>
        </w:rPr>
        <w:t>Schlingemann</w:t>
      </w:r>
      <w:proofErr w:type="spellEnd"/>
      <w:r w:rsidRPr="00091E51">
        <w:rPr>
          <w:szCs w:val="24"/>
        </w:rPr>
        <w:t xml:space="preserve"> &amp; </w:t>
      </w:r>
      <w:proofErr w:type="spellStart"/>
      <w:r w:rsidRPr="00091E51">
        <w:rPr>
          <w:szCs w:val="24"/>
        </w:rPr>
        <w:t>Stulz</w:t>
      </w:r>
      <w:proofErr w:type="spellEnd"/>
      <w:r w:rsidRPr="00FC5146">
        <w:rPr>
          <w:szCs w:val="24"/>
        </w:rPr>
        <w:t>, 2005).</w:t>
      </w:r>
    </w:p>
    <w:p w:rsidR="00453F50" w:rsidRPr="00375276" w:rsidRDefault="00453F50" w:rsidP="00F968CF">
      <w:pPr>
        <w:rPr>
          <w:b/>
          <w:sz w:val="20"/>
        </w:rPr>
      </w:pPr>
    </w:p>
    <w:p w:rsidR="00453F50" w:rsidRPr="00453F50" w:rsidRDefault="00453F50" w:rsidP="00F968CF">
      <w:pPr>
        <w:pStyle w:val="PargrafodaLista"/>
        <w:numPr>
          <w:ilvl w:val="1"/>
          <w:numId w:val="13"/>
        </w:numPr>
        <w:spacing w:after="0" w:line="240" w:lineRule="auto"/>
        <w:ind w:left="0" w:firstLine="0"/>
        <w:jc w:val="both"/>
        <w:rPr>
          <w:rFonts w:ascii="Times New Roman" w:hAnsi="Times New Roman" w:cs="Times New Roman"/>
          <w:b/>
          <w:sz w:val="24"/>
          <w:szCs w:val="24"/>
        </w:rPr>
      </w:pPr>
      <w:r w:rsidRPr="00453F50">
        <w:rPr>
          <w:rFonts w:ascii="Times New Roman" w:hAnsi="Times New Roman" w:cs="Times New Roman"/>
          <w:b/>
          <w:sz w:val="24"/>
          <w:szCs w:val="24"/>
        </w:rPr>
        <w:t>Análise Multivariada</w:t>
      </w:r>
    </w:p>
    <w:p w:rsidR="00F25234" w:rsidRPr="00375276" w:rsidRDefault="00F25234" w:rsidP="00F968CF">
      <w:pPr>
        <w:rPr>
          <w:sz w:val="20"/>
        </w:rPr>
      </w:pPr>
    </w:p>
    <w:p w:rsidR="00F968CF" w:rsidRDefault="00F968CF" w:rsidP="00F968CF">
      <w:pPr>
        <w:rPr>
          <w:szCs w:val="24"/>
        </w:rPr>
      </w:pPr>
      <w:r w:rsidRPr="004D0AC6">
        <w:rPr>
          <w:szCs w:val="24"/>
        </w:rPr>
        <w:t xml:space="preserve">O </w:t>
      </w:r>
      <w:r>
        <w:rPr>
          <w:szCs w:val="24"/>
        </w:rPr>
        <w:t>o</w:t>
      </w:r>
      <w:r w:rsidRPr="004D0AC6">
        <w:rPr>
          <w:szCs w:val="24"/>
        </w:rPr>
        <w:t>bjetivo dest</w:t>
      </w:r>
      <w:r>
        <w:rPr>
          <w:szCs w:val="24"/>
        </w:rPr>
        <w:t>e</w:t>
      </w:r>
      <w:r w:rsidRPr="004D0AC6">
        <w:rPr>
          <w:szCs w:val="24"/>
        </w:rPr>
        <w:t xml:space="preserve"> </w:t>
      </w:r>
      <w:r>
        <w:rPr>
          <w:szCs w:val="24"/>
        </w:rPr>
        <w:t>tópico</w:t>
      </w:r>
      <w:r w:rsidRPr="004D0AC6">
        <w:rPr>
          <w:szCs w:val="24"/>
        </w:rPr>
        <w:t xml:space="preserve"> é investigar se a estrutura de propriedade (empresa familiar ou não</w:t>
      </w:r>
      <w:r>
        <w:rPr>
          <w:szCs w:val="24"/>
        </w:rPr>
        <w:t xml:space="preserve"> familiar</w:t>
      </w:r>
      <w:r w:rsidRPr="004D0AC6">
        <w:rPr>
          <w:szCs w:val="24"/>
        </w:rPr>
        <w:t xml:space="preserve">) </w:t>
      </w:r>
      <w:r>
        <w:rPr>
          <w:szCs w:val="24"/>
        </w:rPr>
        <w:t>influencia</w:t>
      </w:r>
      <w:r w:rsidRPr="00F84A9A">
        <w:rPr>
          <w:szCs w:val="24"/>
        </w:rPr>
        <w:t xml:space="preserve"> </w:t>
      </w:r>
      <w:r w:rsidRPr="004D0AC6">
        <w:rPr>
          <w:szCs w:val="24"/>
        </w:rPr>
        <w:t xml:space="preserve">o desempenho </w:t>
      </w:r>
      <w:r>
        <w:rPr>
          <w:szCs w:val="24"/>
        </w:rPr>
        <w:t xml:space="preserve">das empresas que realizaram </w:t>
      </w:r>
      <w:r w:rsidRPr="004D0AC6">
        <w:rPr>
          <w:szCs w:val="24"/>
        </w:rPr>
        <w:t>aquisições</w:t>
      </w:r>
      <w:r>
        <w:rPr>
          <w:szCs w:val="24"/>
        </w:rPr>
        <w:t xml:space="preserve"> no período entre 2009 e 2016</w:t>
      </w:r>
      <w:r w:rsidRPr="004D0AC6">
        <w:rPr>
          <w:szCs w:val="24"/>
        </w:rPr>
        <w:t xml:space="preserve">. A </w:t>
      </w:r>
      <w:r>
        <w:rPr>
          <w:szCs w:val="24"/>
        </w:rPr>
        <w:t>T</w:t>
      </w:r>
      <w:r w:rsidRPr="004D0AC6">
        <w:rPr>
          <w:szCs w:val="24"/>
        </w:rPr>
        <w:t xml:space="preserve">abela </w:t>
      </w:r>
      <w:r>
        <w:rPr>
          <w:szCs w:val="24"/>
        </w:rPr>
        <w:t>5</w:t>
      </w:r>
      <w:r w:rsidRPr="004D0AC6">
        <w:rPr>
          <w:szCs w:val="24"/>
        </w:rPr>
        <w:t xml:space="preserve"> apresenta os resultados da regressão múltipla.</w:t>
      </w:r>
    </w:p>
    <w:p w:rsidR="00F968CF" w:rsidRPr="00375276" w:rsidRDefault="00F968CF" w:rsidP="00F968CF">
      <w:pPr>
        <w:rPr>
          <w:sz w:val="20"/>
        </w:rPr>
      </w:pPr>
    </w:p>
    <w:p w:rsidR="00F968CF" w:rsidRPr="008909EE" w:rsidRDefault="00F968CF" w:rsidP="00F968CF">
      <w:pPr>
        <w:keepNext/>
        <w:ind w:firstLine="0"/>
        <w:rPr>
          <w:b/>
          <w:color w:val="000000"/>
          <w:sz w:val="20"/>
        </w:rPr>
      </w:pPr>
      <w:bookmarkStart w:id="5" w:name="_Toc508824016"/>
      <w:r w:rsidRPr="00F968CF">
        <w:rPr>
          <w:color w:val="000000"/>
          <w:sz w:val="20"/>
        </w:rPr>
        <w:lastRenderedPageBreak/>
        <w:t xml:space="preserve">Tabela </w:t>
      </w:r>
      <w:r w:rsidR="00231BA4">
        <w:rPr>
          <w:color w:val="000000"/>
          <w:sz w:val="20"/>
        </w:rPr>
        <w:t>5</w:t>
      </w:r>
      <w:r w:rsidRPr="008909EE">
        <w:rPr>
          <w:b/>
          <w:color w:val="000000"/>
          <w:sz w:val="20"/>
        </w:rPr>
        <w:t xml:space="preserve"> – Resultados da regressão </w:t>
      </w:r>
      <w:bookmarkEnd w:id="5"/>
      <w:r>
        <w:rPr>
          <w:b/>
          <w:color w:val="000000"/>
          <w:sz w:val="20"/>
        </w:rPr>
        <w:t>múltipla</w:t>
      </w:r>
    </w:p>
    <w:tbl>
      <w:tblPr>
        <w:tblW w:w="4996" w:type="pct"/>
        <w:tblInd w:w="70" w:type="dxa"/>
        <w:tblCellMar>
          <w:left w:w="70" w:type="dxa"/>
          <w:right w:w="70" w:type="dxa"/>
        </w:tblCellMar>
        <w:tblLook w:val="04A0" w:firstRow="1" w:lastRow="0" w:firstColumn="1" w:lastColumn="0" w:noHBand="0" w:noVBand="1"/>
      </w:tblPr>
      <w:tblGrid>
        <w:gridCol w:w="1619"/>
        <w:gridCol w:w="278"/>
        <w:gridCol w:w="1427"/>
        <w:gridCol w:w="273"/>
        <w:gridCol w:w="1339"/>
        <w:gridCol w:w="1545"/>
        <w:gridCol w:w="271"/>
        <w:gridCol w:w="1358"/>
        <w:gridCol w:w="1280"/>
        <w:gridCol w:w="147"/>
      </w:tblGrid>
      <w:tr w:rsidR="00F968CF" w:rsidRPr="00F968CF" w:rsidTr="00CA1FEF">
        <w:trPr>
          <w:gridAfter w:val="1"/>
          <w:wAfter w:w="77" w:type="pct"/>
          <w:trHeight w:val="200"/>
        </w:trPr>
        <w:tc>
          <w:tcPr>
            <w:tcW w:w="995" w:type="pct"/>
            <w:gridSpan w:val="2"/>
            <w:tcBorders>
              <w:top w:val="single" w:sz="12" w:space="0" w:color="auto"/>
              <w:left w:val="nil"/>
              <w:bottom w:val="single" w:sz="12" w:space="0" w:color="auto"/>
              <w:right w:val="nil"/>
            </w:tcBorders>
            <w:shd w:val="clear" w:color="auto" w:fill="auto"/>
            <w:noWrap/>
            <w:vAlign w:val="center"/>
            <w:hideMark/>
          </w:tcPr>
          <w:p w:rsidR="00F968CF" w:rsidRPr="00F968CF" w:rsidRDefault="00F968CF" w:rsidP="00F968CF">
            <w:pPr>
              <w:ind w:firstLine="0"/>
              <w:jc w:val="center"/>
              <w:rPr>
                <w:color w:val="000000"/>
                <w:sz w:val="20"/>
              </w:rPr>
            </w:pPr>
          </w:p>
        </w:tc>
        <w:tc>
          <w:tcPr>
            <w:tcW w:w="891" w:type="pct"/>
            <w:gridSpan w:val="2"/>
            <w:tcBorders>
              <w:top w:val="single" w:sz="12" w:space="0" w:color="auto"/>
              <w:left w:val="nil"/>
              <w:bottom w:val="single" w:sz="12" w:space="0" w:color="auto"/>
              <w:right w:val="nil"/>
            </w:tcBorders>
            <w:shd w:val="clear" w:color="auto" w:fill="auto"/>
            <w:noWrap/>
            <w:vAlign w:val="center"/>
            <w:hideMark/>
          </w:tcPr>
          <w:p w:rsidR="00F968CF" w:rsidRPr="00F968CF" w:rsidRDefault="00F968CF" w:rsidP="00F968CF">
            <w:pPr>
              <w:ind w:firstLine="0"/>
              <w:jc w:val="center"/>
              <w:rPr>
                <w:color w:val="000000"/>
                <w:sz w:val="20"/>
              </w:rPr>
            </w:pPr>
          </w:p>
        </w:tc>
        <w:tc>
          <w:tcPr>
            <w:tcW w:w="1654" w:type="pct"/>
            <w:gridSpan w:val="3"/>
            <w:tcBorders>
              <w:top w:val="single" w:sz="12" w:space="0" w:color="auto"/>
              <w:left w:val="nil"/>
              <w:bottom w:val="single" w:sz="12" w:space="0" w:color="auto"/>
              <w:right w:val="nil"/>
            </w:tcBorders>
            <w:shd w:val="clear" w:color="auto" w:fill="auto"/>
            <w:noWrap/>
            <w:vAlign w:val="center"/>
            <w:hideMark/>
          </w:tcPr>
          <w:p w:rsidR="00F968CF" w:rsidRPr="00F968CF" w:rsidRDefault="00F968CF" w:rsidP="00F968CF">
            <w:pPr>
              <w:ind w:firstLine="0"/>
              <w:jc w:val="center"/>
              <w:rPr>
                <w:b/>
                <w:color w:val="000000"/>
                <w:sz w:val="20"/>
              </w:rPr>
            </w:pPr>
            <w:r w:rsidRPr="00F968CF">
              <w:rPr>
                <w:b/>
                <w:color w:val="000000"/>
                <w:sz w:val="20"/>
              </w:rPr>
              <w:t>CAR (-3,3)</w:t>
            </w:r>
          </w:p>
        </w:tc>
        <w:tc>
          <w:tcPr>
            <w:tcW w:w="1383" w:type="pct"/>
            <w:gridSpan w:val="2"/>
            <w:tcBorders>
              <w:top w:val="single" w:sz="12" w:space="0" w:color="auto"/>
              <w:left w:val="nil"/>
              <w:bottom w:val="single" w:sz="12" w:space="0" w:color="auto"/>
              <w:right w:val="nil"/>
            </w:tcBorders>
            <w:shd w:val="clear" w:color="auto" w:fill="auto"/>
            <w:noWrap/>
            <w:vAlign w:val="center"/>
            <w:hideMark/>
          </w:tcPr>
          <w:p w:rsidR="00F968CF" w:rsidRPr="00F968CF" w:rsidRDefault="00F968CF" w:rsidP="00F968CF">
            <w:pPr>
              <w:ind w:firstLine="0"/>
              <w:jc w:val="center"/>
              <w:rPr>
                <w:b/>
                <w:color w:val="000000"/>
                <w:sz w:val="20"/>
              </w:rPr>
            </w:pPr>
            <w:r w:rsidRPr="00F968CF">
              <w:rPr>
                <w:b/>
                <w:color w:val="000000"/>
                <w:sz w:val="20"/>
              </w:rPr>
              <w:t>CAR (-20,20)</w:t>
            </w:r>
          </w:p>
        </w:tc>
      </w:tr>
      <w:tr w:rsidR="00F968CF" w:rsidRPr="00F968CF" w:rsidTr="006047A8">
        <w:trPr>
          <w:gridAfter w:val="1"/>
          <w:wAfter w:w="77" w:type="pct"/>
          <w:trHeight w:val="188"/>
        </w:trPr>
        <w:tc>
          <w:tcPr>
            <w:tcW w:w="849" w:type="pct"/>
            <w:tcBorders>
              <w:top w:val="single" w:sz="12" w:space="0" w:color="auto"/>
              <w:left w:val="nil"/>
              <w:bottom w:val="single" w:sz="12" w:space="0" w:color="auto"/>
              <w:right w:val="nil"/>
            </w:tcBorders>
            <w:shd w:val="clear" w:color="auto" w:fill="auto"/>
            <w:noWrap/>
            <w:vAlign w:val="center"/>
            <w:hideMark/>
          </w:tcPr>
          <w:p w:rsidR="00F968CF" w:rsidRPr="00F968CF" w:rsidRDefault="00F968CF" w:rsidP="00F968CF">
            <w:pPr>
              <w:ind w:firstLine="0"/>
              <w:jc w:val="center"/>
              <w:rPr>
                <w:b/>
                <w:color w:val="000000"/>
                <w:sz w:val="20"/>
              </w:rPr>
            </w:pPr>
            <w:r w:rsidRPr="00F968CF">
              <w:rPr>
                <w:b/>
                <w:color w:val="000000"/>
                <w:sz w:val="20"/>
              </w:rPr>
              <w:t>Variáveis</w:t>
            </w:r>
          </w:p>
        </w:tc>
        <w:tc>
          <w:tcPr>
            <w:tcW w:w="894" w:type="pct"/>
            <w:gridSpan w:val="2"/>
            <w:tcBorders>
              <w:top w:val="single" w:sz="12" w:space="0" w:color="auto"/>
              <w:left w:val="nil"/>
              <w:bottom w:val="single" w:sz="12" w:space="0" w:color="auto"/>
              <w:right w:val="nil"/>
            </w:tcBorders>
            <w:shd w:val="clear" w:color="auto" w:fill="auto"/>
            <w:noWrap/>
            <w:vAlign w:val="center"/>
            <w:hideMark/>
          </w:tcPr>
          <w:p w:rsidR="00F968CF" w:rsidRPr="00F968CF" w:rsidRDefault="00F968CF" w:rsidP="00F968CF">
            <w:pPr>
              <w:ind w:firstLine="0"/>
              <w:jc w:val="center"/>
              <w:rPr>
                <w:b/>
                <w:color w:val="000000"/>
                <w:sz w:val="20"/>
              </w:rPr>
            </w:pPr>
            <w:r>
              <w:rPr>
                <w:b/>
                <w:color w:val="000000"/>
                <w:sz w:val="20"/>
              </w:rPr>
              <w:t>Sinal Esperado</w:t>
            </w:r>
          </w:p>
        </w:tc>
        <w:tc>
          <w:tcPr>
            <w:tcW w:w="845" w:type="pct"/>
            <w:gridSpan w:val="2"/>
            <w:tcBorders>
              <w:top w:val="single" w:sz="12" w:space="0" w:color="auto"/>
              <w:left w:val="nil"/>
              <w:bottom w:val="single" w:sz="12" w:space="0" w:color="auto"/>
              <w:right w:val="nil"/>
            </w:tcBorders>
            <w:shd w:val="clear" w:color="auto" w:fill="auto"/>
            <w:noWrap/>
            <w:vAlign w:val="center"/>
            <w:hideMark/>
          </w:tcPr>
          <w:p w:rsidR="00F968CF" w:rsidRPr="00F968CF" w:rsidRDefault="00F968CF" w:rsidP="00F968CF">
            <w:pPr>
              <w:ind w:firstLine="0"/>
              <w:jc w:val="center"/>
              <w:rPr>
                <w:b/>
                <w:color w:val="000000"/>
                <w:sz w:val="20"/>
              </w:rPr>
            </w:pPr>
            <w:proofErr w:type="spellStart"/>
            <w:r w:rsidRPr="00F968CF">
              <w:rPr>
                <w:b/>
                <w:color w:val="000000"/>
                <w:sz w:val="20"/>
              </w:rPr>
              <w:t>Coef</w:t>
            </w:r>
            <w:proofErr w:type="spellEnd"/>
            <w:r w:rsidRPr="00F968CF">
              <w:rPr>
                <w:b/>
                <w:color w:val="000000"/>
                <w:sz w:val="20"/>
              </w:rPr>
              <w:t>.</w:t>
            </w:r>
          </w:p>
        </w:tc>
        <w:tc>
          <w:tcPr>
            <w:tcW w:w="810" w:type="pct"/>
            <w:tcBorders>
              <w:top w:val="single" w:sz="12" w:space="0" w:color="auto"/>
              <w:left w:val="nil"/>
              <w:bottom w:val="single" w:sz="12" w:space="0" w:color="auto"/>
              <w:right w:val="nil"/>
            </w:tcBorders>
            <w:shd w:val="clear" w:color="auto" w:fill="auto"/>
            <w:noWrap/>
            <w:vAlign w:val="center"/>
            <w:hideMark/>
          </w:tcPr>
          <w:p w:rsidR="00F968CF" w:rsidRPr="00F968CF" w:rsidRDefault="00F968CF" w:rsidP="00F968CF">
            <w:pPr>
              <w:ind w:firstLine="0"/>
              <w:jc w:val="center"/>
              <w:rPr>
                <w:b/>
                <w:color w:val="000000"/>
                <w:sz w:val="20"/>
              </w:rPr>
            </w:pPr>
            <w:r w:rsidRPr="00F968CF">
              <w:rPr>
                <w:b/>
                <w:color w:val="000000"/>
                <w:sz w:val="20"/>
              </w:rPr>
              <w:t>P-Valor</w:t>
            </w:r>
          </w:p>
        </w:tc>
        <w:tc>
          <w:tcPr>
            <w:tcW w:w="854" w:type="pct"/>
            <w:gridSpan w:val="2"/>
            <w:tcBorders>
              <w:top w:val="single" w:sz="12" w:space="0" w:color="auto"/>
              <w:left w:val="nil"/>
              <w:bottom w:val="single" w:sz="12" w:space="0" w:color="auto"/>
              <w:right w:val="nil"/>
            </w:tcBorders>
            <w:shd w:val="clear" w:color="auto" w:fill="auto"/>
            <w:noWrap/>
            <w:vAlign w:val="center"/>
            <w:hideMark/>
          </w:tcPr>
          <w:p w:rsidR="00F968CF" w:rsidRPr="00F968CF" w:rsidRDefault="00F968CF" w:rsidP="00F968CF">
            <w:pPr>
              <w:ind w:firstLine="0"/>
              <w:jc w:val="center"/>
              <w:rPr>
                <w:b/>
                <w:color w:val="000000"/>
                <w:sz w:val="20"/>
              </w:rPr>
            </w:pPr>
            <w:proofErr w:type="spellStart"/>
            <w:r w:rsidRPr="00F968CF">
              <w:rPr>
                <w:b/>
                <w:color w:val="000000"/>
                <w:sz w:val="20"/>
              </w:rPr>
              <w:t>Coef</w:t>
            </w:r>
            <w:proofErr w:type="spellEnd"/>
            <w:r w:rsidRPr="00F968CF">
              <w:rPr>
                <w:b/>
                <w:color w:val="000000"/>
                <w:sz w:val="20"/>
              </w:rPr>
              <w:t>.</w:t>
            </w:r>
          </w:p>
        </w:tc>
        <w:tc>
          <w:tcPr>
            <w:tcW w:w="671" w:type="pct"/>
            <w:tcBorders>
              <w:top w:val="single" w:sz="12" w:space="0" w:color="auto"/>
              <w:left w:val="nil"/>
              <w:bottom w:val="single" w:sz="12" w:space="0" w:color="auto"/>
              <w:right w:val="nil"/>
            </w:tcBorders>
            <w:shd w:val="clear" w:color="auto" w:fill="auto"/>
            <w:noWrap/>
            <w:vAlign w:val="center"/>
            <w:hideMark/>
          </w:tcPr>
          <w:p w:rsidR="00F968CF" w:rsidRPr="00F968CF" w:rsidRDefault="00F968CF" w:rsidP="00F968CF">
            <w:pPr>
              <w:ind w:firstLine="0"/>
              <w:jc w:val="center"/>
              <w:rPr>
                <w:b/>
                <w:color w:val="000000"/>
                <w:sz w:val="20"/>
              </w:rPr>
            </w:pPr>
            <w:r w:rsidRPr="00F968CF">
              <w:rPr>
                <w:b/>
                <w:color w:val="000000"/>
                <w:sz w:val="20"/>
              </w:rPr>
              <w:t>P-Valor</w:t>
            </w:r>
          </w:p>
        </w:tc>
      </w:tr>
      <w:tr w:rsidR="00F968CF" w:rsidRPr="00F968CF" w:rsidTr="00CA1FEF">
        <w:trPr>
          <w:gridAfter w:val="1"/>
          <w:wAfter w:w="77" w:type="pct"/>
          <w:trHeight w:val="153"/>
        </w:trPr>
        <w:tc>
          <w:tcPr>
            <w:tcW w:w="849" w:type="pct"/>
            <w:tcBorders>
              <w:top w:val="single" w:sz="12" w:space="0" w:color="auto"/>
              <w:left w:val="nil"/>
              <w:bottom w:val="nil"/>
              <w:right w:val="nil"/>
            </w:tcBorders>
            <w:shd w:val="clear" w:color="auto" w:fill="auto"/>
            <w:noWrap/>
            <w:vAlign w:val="center"/>
            <w:hideMark/>
          </w:tcPr>
          <w:p w:rsidR="00F968CF" w:rsidRPr="00F968CF" w:rsidRDefault="00F968CF" w:rsidP="00F968CF">
            <w:pPr>
              <w:ind w:firstLine="0"/>
              <w:jc w:val="center"/>
              <w:rPr>
                <w:i/>
                <w:color w:val="000000"/>
                <w:sz w:val="20"/>
              </w:rPr>
            </w:pPr>
            <w:proofErr w:type="gramStart"/>
            <w:r w:rsidRPr="00F968CF">
              <w:rPr>
                <w:i/>
                <w:color w:val="000000"/>
                <w:sz w:val="20"/>
              </w:rPr>
              <w:t>familiar</w:t>
            </w:r>
            <w:proofErr w:type="gramEnd"/>
          </w:p>
        </w:tc>
        <w:tc>
          <w:tcPr>
            <w:tcW w:w="894" w:type="pct"/>
            <w:gridSpan w:val="2"/>
            <w:tcBorders>
              <w:top w:val="single" w:sz="12" w:space="0" w:color="auto"/>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w:t>
            </w:r>
          </w:p>
        </w:tc>
        <w:tc>
          <w:tcPr>
            <w:tcW w:w="845" w:type="pct"/>
            <w:gridSpan w:val="2"/>
            <w:tcBorders>
              <w:top w:val="single" w:sz="12" w:space="0" w:color="auto"/>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0,0141**</w:t>
            </w:r>
          </w:p>
        </w:tc>
        <w:tc>
          <w:tcPr>
            <w:tcW w:w="810" w:type="pct"/>
            <w:tcBorders>
              <w:top w:val="single" w:sz="12" w:space="0" w:color="auto"/>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(0,022)</w:t>
            </w:r>
          </w:p>
        </w:tc>
        <w:tc>
          <w:tcPr>
            <w:tcW w:w="854" w:type="pct"/>
            <w:gridSpan w:val="2"/>
            <w:tcBorders>
              <w:top w:val="single" w:sz="12" w:space="0" w:color="auto"/>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0,0501***</w:t>
            </w:r>
          </w:p>
        </w:tc>
        <w:tc>
          <w:tcPr>
            <w:tcW w:w="671" w:type="pct"/>
            <w:tcBorders>
              <w:top w:val="single" w:sz="12" w:space="0" w:color="auto"/>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(0,001)</w:t>
            </w:r>
          </w:p>
        </w:tc>
      </w:tr>
      <w:tr w:rsidR="00F968CF" w:rsidRPr="00F968CF" w:rsidTr="00CA1FEF">
        <w:trPr>
          <w:gridAfter w:val="1"/>
          <w:wAfter w:w="77" w:type="pct"/>
          <w:trHeight w:val="202"/>
        </w:trPr>
        <w:tc>
          <w:tcPr>
            <w:tcW w:w="849"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i/>
                <w:color w:val="000000"/>
                <w:sz w:val="20"/>
              </w:rPr>
            </w:pPr>
            <w:proofErr w:type="spellStart"/>
            <w:proofErr w:type="gramStart"/>
            <w:r w:rsidRPr="00F968CF">
              <w:rPr>
                <w:i/>
                <w:color w:val="000000"/>
                <w:sz w:val="20"/>
              </w:rPr>
              <w:t>qtobin</w:t>
            </w:r>
            <w:proofErr w:type="spellEnd"/>
            <w:proofErr w:type="gramEnd"/>
          </w:p>
        </w:tc>
        <w:tc>
          <w:tcPr>
            <w:tcW w:w="89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w:t>
            </w:r>
          </w:p>
        </w:tc>
        <w:tc>
          <w:tcPr>
            <w:tcW w:w="845"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-0,0010</w:t>
            </w:r>
          </w:p>
        </w:tc>
        <w:tc>
          <w:tcPr>
            <w:tcW w:w="810"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(0,850)</w:t>
            </w:r>
          </w:p>
        </w:tc>
        <w:tc>
          <w:tcPr>
            <w:tcW w:w="85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-0,0150</w:t>
            </w:r>
          </w:p>
        </w:tc>
        <w:tc>
          <w:tcPr>
            <w:tcW w:w="671"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(0,273)</w:t>
            </w:r>
          </w:p>
        </w:tc>
      </w:tr>
      <w:tr w:rsidR="00F968CF" w:rsidRPr="00F968CF" w:rsidTr="00CA1FEF">
        <w:trPr>
          <w:gridAfter w:val="1"/>
          <w:wAfter w:w="77" w:type="pct"/>
          <w:trHeight w:val="120"/>
        </w:trPr>
        <w:tc>
          <w:tcPr>
            <w:tcW w:w="849"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i/>
                <w:color w:val="000000"/>
                <w:sz w:val="20"/>
              </w:rPr>
            </w:pPr>
            <w:proofErr w:type="spellStart"/>
            <w:proofErr w:type="gramStart"/>
            <w:r w:rsidRPr="00F968CF">
              <w:rPr>
                <w:i/>
                <w:color w:val="000000"/>
                <w:sz w:val="20"/>
              </w:rPr>
              <w:t>endiv</w:t>
            </w:r>
            <w:proofErr w:type="spellEnd"/>
            <w:proofErr w:type="gramEnd"/>
          </w:p>
        </w:tc>
        <w:tc>
          <w:tcPr>
            <w:tcW w:w="89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w:t>
            </w:r>
          </w:p>
        </w:tc>
        <w:tc>
          <w:tcPr>
            <w:tcW w:w="845"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0,0005*</w:t>
            </w:r>
          </w:p>
        </w:tc>
        <w:tc>
          <w:tcPr>
            <w:tcW w:w="810"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(0,097)</w:t>
            </w:r>
          </w:p>
        </w:tc>
        <w:tc>
          <w:tcPr>
            <w:tcW w:w="85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0,0019**</w:t>
            </w:r>
          </w:p>
        </w:tc>
        <w:tc>
          <w:tcPr>
            <w:tcW w:w="671"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(0,020)</w:t>
            </w:r>
          </w:p>
        </w:tc>
      </w:tr>
      <w:tr w:rsidR="00F968CF" w:rsidRPr="00F968CF" w:rsidTr="006047A8">
        <w:trPr>
          <w:gridAfter w:val="1"/>
          <w:wAfter w:w="77" w:type="pct"/>
          <w:trHeight w:val="90"/>
        </w:trPr>
        <w:tc>
          <w:tcPr>
            <w:tcW w:w="849"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i/>
                <w:color w:val="000000"/>
                <w:sz w:val="20"/>
              </w:rPr>
            </w:pPr>
            <w:proofErr w:type="gramStart"/>
            <w:r w:rsidRPr="00F968CF">
              <w:rPr>
                <w:i/>
                <w:color w:val="000000"/>
                <w:sz w:val="20"/>
              </w:rPr>
              <w:t>caixa</w:t>
            </w:r>
            <w:proofErr w:type="gramEnd"/>
          </w:p>
        </w:tc>
        <w:tc>
          <w:tcPr>
            <w:tcW w:w="89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w:t>
            </w:r>
          </w:p>
        </w:tc>
        <w:tc>
          <w:tcPr>
            <w:tcW w:w="845"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-0,0597*</w:t>
            </w:r>
          </w:p>
        </w:tc>
        <w:tc>
          <w:tcPr>
            <w:tcW w:w="810"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(0,095)</w:t>
            </w:r>
          </w:p>
        </w:tc>
        <w:tc>
          <w:tcPr>
            <w:tcW w:w="85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-0,1562*</w:t>
            </w:r>
          </w:p>
        </w:tc>
        <w:tc>
          <w:tcPr>
            <w:tcW w:w="671"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(0,081)</w:t>
            </w:r>
          </w:p>
        </w:tc>
      </w:tr>
      <w:tr w:rsidR="00F968CF" w:rsidRPr="00F968CF" w:rsidTr="00CA1FEF">
        <w:trPr>
          <w:gridAfter w:val="1"/>
          <w:wAfter w:w="77" w:type="pct"/>
          <w:trHeight w:val="226"/>
        </w:trPr>
        <w:tc>
          <w:tcPr>
            <w:tcW w:w="849"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i/>
                <w:color w:val="000000"/>
                <w:sz w:val="20"/>
              </w:rPr>
            </w:pPr>
            <w:proofErr w:type="spellStart"/>
            <w:proofErr w:type="gramStart"/>
            <w:r w:rsidRPr="00F968CF">
              <w:rPr>
                <w:i/>
                <w:color w:val="000000"/>
                <w:sz w:val="20"/>
              </w:rPr>
              <w:t>lnativo</w:t>
            </w:r>
            <w:proofErr w:type="spellEnd"/>
            <w:proofErr w:type="gramEnd"/>
          </w:p>
        </w:tc>
        <w:tc>
          <w:tcPr>
            <w:tcW w:w="89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w:t>
            </w:r>
          </w:p>
        </w:tc>
        <w:tc>
          <w:tcPr>
            <w:tcW w:w="845"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0,0077***</w:t>
            </w:r>
          </w:p>
        </w:tc>
        <w:tc>
          <w:tcPr>
            <w:tcW w:w="810"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(0,001)</w:t>
            </w:r>
          </w:p>
        </w:tc>
        <w:tc>
          <w:tcPr>
            <w:tcW w:w="85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0,0187***</w:t>
            </w:r>
          </w:p>
        </w:tc>
        <w:tc>
          <w:tcPr>
            <w:tcW w:w="671"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(0,002)</w:t>
            </w:r>
          </w:p>
        </w:tc>
      </w:tr>
      <w:tr w:rsidR="00F968CF" w:rsidRPr="00F968CF" w:rsidTr="006047A8">
        <w:trPr>
          <w:gridAfter w:val="1"/>
          <w:wAfter w:w="77" w:type="pct"/>
          <w:trHeight w:val="68"/>
        </w:trPr>
        <w:tc>
          <w:tcPr>
            <w:tcW w:w="849"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i/>
                <w:color w:val="000000"/>
                <w:sz w:val="20"/>
              </w:rPr>
            </w:pPr>
            <w:proofErr w:type="gramStart"/>
            <w:r w:rsidRPr="00F968CF">
              <w:rPr>
                <w:i/>
                <w:color w:val="000000"/>
                <w:sz w:val="20"/>
              </w:rPr>
              <w:t>status</w:t>
            </w:r>
            <w:proofErr w:type="gramEnd"/>
          </w:p>
        </w:tc>
        <w:tc>
          <w:tcPr>
            <w:tcW w:w="89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w:t>
            </w:r>
          </w:p>
        </w:tc>
        <w:tc>
          <w:tcPr>
            <w:tcW w:w="845"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0,0314**</w:t>
            </w:r>
          </w:p>
        </w:tc>
        <w:tc>
          <w:tcPr>
            <w:tcW w:w="810"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(0,025)</w:t>
            </w:r>
          </w:p>
        </w:tc>
        <w:tc>
          <w:tcPr>
            <w:tcW w:w="85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0,0751**</w:t>
            </w:r>
          </w:p>
        </w:tc>
        <w:tc>
          <w:tcPr>
            <w:tcW w:w="671"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(0,032)</w:t>
            </w:r>
          </w:p>
        </w:tc>
      </w:tr>
      <w:tr w:rsidR="00F968CF" w:rsidRPr="00F968CF" w:rsidTr="00CA1FEF">
        <w:trPr>
          <w:gridAfter w:val="1"/>
          <w:wAfter w:w="77" w:type="pct"/>
          <w:trHeight w:val="68"/>
        </w:trPr>
        <w:tc>
          <w:tcPr>
            <w:tcW w:w="849"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i/>
                <w:color w:val="000000"/>
                <w:sz w:val="20"/>
              </w:rPr>
            </w:pPr>
            <w:proofErr w:type="gramStart"/>
            <w:r w:rsidRPr="00F968CF">
              <w:rPr>
                <w:i/>
                <w:color w:val="000000"/>
                <w:sz w:val="20"/>
              </w:rPr>
              <w:t>conselho</w:t>
            </w:r>
            <w:proofErr w:type="gramEnd"/>
          </w:p>
        </w:tc>
        <w:tc>
          <w:tcPr>
            <w:tcW w:w="89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w:t>
            </w:r>
          </w:p>
        </w:tc>
        <w:tc>
          <w:tcPr>
            <w:tcW w:w="845"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-0,0018</w:t>
            </w:r>
          </w:p>
        </w:tc>
        <w:tc>
          <w:tcPr>
            <w:tcW w:w="810"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(0,174)</w:t>
            </w:r>
          </w:p>
        </w:tc>
        <w:tc>
          <w:tcPr>
            <w:tcW w:w="85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-0,0064*</w:t>
            </w:r>
          </w:p>
        </w:tc>
        <w:tc>
          <w:tcPr>
            <w:tcW w:w="671"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(0,058)</w:t>
            </w:r>
          </w:p>
        </w:tc>
      </w:tr>
      <w:tr w:rsidR="00F968CF" w:rsidRPr="00F968CF" w:rsidTr="00CA1FEF">
        <w:trPr>
          <w:gridAfter w:val="1"/>
          <w:wAfter w:w="77" w:type="pct"/>
          <w:trHeight w:val="80"/>
        </w:trPr>
        <w:tc>
          <w:tcPr>
            <w:tcW w:w="849"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i/>
                <w:color w:val="000000"/>
                <w:sz w:val="20"/>
              </w:rPr>
            </w:pPr>
            <w:proofErr w:type="gramStart"/>
            <w:r w:rsidRPr="00F968CF">
              <w:rPr>
                <w:i/>
                <w:color w:val="000000"/>
                <w:sz w:val="20"/>
              </w:rPr>
              <w:t>roa</w:t>
            </w:r>
            <w:proofErr w:type="gramEnd"/>
          </w:p>
        </w:tc>
        <w:tc>
          <w:tcPr>
            <w:tcW w:w="89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w:t>
            </w:r>
          </w:p>
        </w:tc>
        <w:tc>
          <w:tcPr>
            <w:tcW w:w="845"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0,0000</w:t>
            </w:r>
          </w:p>
        </w:tc>
        <w:tc>
          <w:tcPr>
            <w:tcW w:w="810"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(0,954)</w:t>
            </w:r>
          </w:p>
        </w:tc>
        <w:tc>
          <w:tcPr>
            <w:tcW w:w="854" w:type="pct"/>
            <w:gridSpan w:val="2"/>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0,0016</w:t>
            </w:r>
          </w:p>
        </w:tc>
        <w:tc>
          <w:tcPr>
            <w:tcW w:w="671" w:type="pct"/>
            <w:tcBorders>
              <w:top w:val="nil"/>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(0,360)</w:t>
            </w:r>
          </w:p>
        </w:tc>
      </w:tr>
      <w:tr w:rsidR="00F968CF" w:rsidRPr="00F968CF" w:rsidTr="006047A8">
        <w:trPr>
          <w:gridAfter w:val="1"/>
          <w:wAfter w:w="77" w:type="pct"/>
          <w:trHeight w:val="78"/>
        </w:trPr>
        <w:tc>
          <w:tcPr>
            <w:tcW w:w="849" w:type="pct"/>
            <w:tcBorders>
              <w:top w:val="nil"/>
              <w:left w:val="nil"/>
              <w:bottom w:val="single" w:sz="12" w:space="0" w:color="auto"/>
              <w:right w:val="nil"/>
            </w:tcBorders>
            <w:shd w:val="clear" w:color="auto" w:fill="auto"/>
            <w:noWrap/>
            <w:vAlign w:val="center"/>
            <w:hideMark/>
          </w:tcPr>
          <w:p w:rsidR="00F968CF" w:rsidRPr="00F968CF" w:rsidRDefault="00F968CF" w:rsidP="00F968CF">
            <w:pPr>
              <w:ind w:firstLine="0"/>
              <w:jc w:val="center"/>
              <w:rPr>
                <w:i/>
                <w:color w:val="000000"/>
                <w:sz w:val="20"/>
              </w:rPr>
            </w:pPr>
            <w:proofErr w:type="gramStart"/>
            <w:r w:rsidRPr="00F968CF">
              <w:rPr>
                <w:i/>
                <w:color w:val="000000"/>
                <w:sz w:val="20"/>
              </w:rPr>
              <w:t>constante</w:t>
            </w:r>
            <w:proofErr w:type="gramEnd"/>
          </w:p>
        </w:tc>
        <w:tc>
          <w:tcPr>
            <w:tcW w:w="894" w:type="pct"/>
            <w:gridSpan w:val="2"/>
            <w:tcBorders>
              <w:top w:val="nil"/>
              <w:left w:val="nil"/>
              <w:bottom w:val="single" w:sz="12" w:space="0" w:color="auto"/>
              <w:right w:val="nil"/>
            </w:tcBorders>
            <w:shd w:val="clear" w:color="auto" w:fill="auto"/>
            <w:noWrap/>
            <w:vAlign w:val="center"/>
            <w:hideMark/>
          </w:tcPr>
          <w:p w:rsidR="00F968CF" w:rsidRPr="00F968CF" w:rsidRDefault="00F968CF" w:rsidP="00F968CF">
            <w:pPr>
              <w:ind w:firstLine="0"/>
              <w:jc w:val="center"/>
              <w:rPr>
                <w:color w:val="000000"/>
                <w:sz w:val="20"/>
              </w:rPr>
            </w:pPr>
          </w:p>
        </w:tc>
        <w:tc>
          <w:tcPr>
            <w:tcW w:w="845" w:type="pct"/>
            <w:gridSpan w:val="2"/>
            <w:tcBorders>
              <w:top w:val="nil"/>
              <w:left w:val="nil"/>
              <w:bottom w:val="single" w:sz="12" w:space="0" w:color="auto"/>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-0,1609</w:t>
            </w:r>
          </w:p>
        </w:tc>
        <w:tc>
          <w:tcPr>
            <w:tcW w:w="810" w:type="pct"/>
            <w:tcBorders>
              <w:top w:val="nil"/>
              <w:left w:val="nil"/>
              <w:bottom w:val="single" w:sz="12" w:space="0" w:color="auto"/>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(0,002)</w:t>
            </w:r>
          </w:p>
        </w:tc>
        <w:tc>
          <w:tcPr>
            <w:tcW w:w="854" w:type="pct"/>
            <w:gridSpan w:val="2"/>
            <w:tcBorders>
              <w:top w:val="nil"/>
              <w:left w:val="nil"/>
              <w:bottom w:val="single" w:sz="12" w:space="0" w:color="auto"/>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-0,3851</w:t>
            </w:r>
          </w:p>
        </w:tc>
        <w:tc>
          <w:tcPr>
            <w:tcW w:w="671" w:type="pct"/>
            <w:tcBorders>
              <w:top w:val="nil"/>
              <w:left w:val="nil"/>
              <w:bottom w:val="single" w:sz="12" w:space="0" w:color="auto"/>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(0,003)</w:t>
            </w:r>
          </w:p>
        </w:tc>
      </w:tr>
      <w:tr w:rsidR="00F968CF" w:rsidRPr="00F968CF" w:rsidTr="00CA1FEF">
        <w:trPr>
          <w:gridAfter w:val="1"/>
          <w:wAfter w:w="77" w:type="pct"/>
          <w:trHeight w:val="42"/>
        </w:trPr>
        <w:tc>
          <w:tcPr>
            <w:tcW w:w="849" w:type="pct"/>
            <w:tcBorders>
              <w:top w:val="single" w:sz="12" w:space="0" w:color="auto"/>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O</w:t>
            </w:r>
            <w:r>
              <w:rPr>
                <w:color w:val="000000"/>
                <w:sz w:val="20"/>
              </w:rPr>
              <w:t>bs.</w:t>
            </w:r>
          </w:p>
        </w:tc>
        <w:tc>
          <w:tcPr>
            <w:tcW w:w="894" w:type="pct"/>
            <w:gridSpan w:val="2"/>
            <w:tcBorders>
              <w:top w:val="single" w:sz="12" w:space="0" w:color="auto"/>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p>
        </w:tc>
        <w:tc>
          <w:tcPr>
            <w:tcW w:w="1655" w:type="pct"/>
            <w:gridSpan w:val="3"/>
            <w:tcBorders>
              <w:top w:val="single" w:sz="12" w:space="0" w:color="auto"/>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244</w:t>
            </w:r>
          </w:p>
        </w:tc>
        <w:tc>
          <w:tcPr>
            <w:tcW w:w="1525" w:type="pct"/>
            <w:gridSpan w:val="3"/>
            <w:tcBorders>
              <w:top w:val="single" w:sz="12" w:space="0" w:color="auto"/>
              <w:left w:val="nil"/>
              <w:bottom w:val="nil"/>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244</w:t>
            </w:r>
          </w:p>
        </w:tc>
      </w:tr>
      <w:tr w:rsidR="00F968CF" w:rsidRPr="00F968CF" w:rsidTr="00CA1FEF">
        <w:trPr>
          <w:gridAfter w:val="1"/>
          <w:wAfter w:w="77" w:type="pct"/>
          <w:trHeight w:val="68"/>
        </w:trPr>
        <w:tc>
          <w:tcPr>
            <w:tcW w:w="849" w:type="pct"/>
            <w:tcBorders>
              <w:top w:val="nil"/>
              <w:left w:val="nil"/>
              <w:bottom w:val="single" w:sz="12" w:space="0" w:color="auto"/>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R²</w:t>
            </w:r>
          </w:p>
        </w:tc>
        <w:tc>
          <w:tcPr>
            <w:tcW w:w="894" w:type="pct"/>
            <w:gridSpan w:val="2"/>
            <w:tcBorders>
              <w:top w:val="nil"/>
              <w:left w:val="nil"/>
              <w:bottom w:val="single" w:sz="12" w:space="0" w:color="auto"/>
              <w:right w:val="nil"/>
            </w:tcBorders>
            <w:shd w:val="clear" w:color="auto" w:fill="auto"/>
            <w:noWrap/>
            <w:vAlign w:val="center"/>
            <w:hideMark/>
          </w:tcPr>
          <w:p w:rsidR="00F968CF" w:rsidRPr="00F968CF" w:rsidRDefault="00F968CF" w:rsidP="00F968CF">
            <w:pPr>
              <w:ind w:firstLine="0"/>
              <w:jc w:val="center"/>
              <w:rPr>
                <w:color w:val="000000"/>
                <w:sz w:val="20"/>
              </w:rPr>
            </w:pPr>
          </w:p>
        </w:tc>
        <w:tc>
          <w:tcPr>
            <w:tcW w:w="1655" w:type="pct"/>
            <w:gridSpan w:val="3"/>
            <w:tcBorders>
              <w:top w:val="nil"/>
              <w:left w:val="nil"/>
              <w:bottom w:val="single" w:sz="12" w:space="0" w:color="auto"/>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0,11</w:t>
            </w:r>
          </w:p>
        </w:tc>
        <w:tc>
          <w:tcPr>
            <w:tcW w:w="1525" w:type="pct"/>
            <w:gridSpan w:val="3"/>
            <w:tcBorders>
              <w:top w:val="nil"/>
              <w:left w:val="nil"/>
              <w:bottom w:val="single" w:sz="12" w:space="0" w:color="auto"/>
              <w:right w:val="nil"/>
            </w:tcBorders>
            <w:shd w:val="clear" w:color="auto" w:fill="auto"/>
            <w:noWrap/>
            <w:vAlign w:val="center"/>
            <w:hideMark/>
          </w:tcPr>
          <w:p w:rsidR="00F968CF" w:rsidRPr="00F968CF" w:rsidRDefault="00F968CF" w:rsidP="00F968CF">
            <w:pPr>
              <w:ind w:firstLine="0"/>
              <w:jc w:val="center"/>
              <w:rPr>
                <w:color w:val="000000"/>
                <w:sz w:val="20"/>
              </w:rPr>
            </w:pPr>
            <w:r w:rsidRPr="00F968CF">
              <w:rPr>
                <w:color w:val="000000"/>
                <w:sz w:val="20"/>
              </w:rPr>
              <w:t>0,15</w:t>
            </w:r>
          </w:p>
        </w:tc>
      </w:tr>
      <w:tr w:rsidR="00F968CF" w:rsidRPr="00F968CF" w:rsidTr="00CA1FEF">
        <w:trPr>
          <w:trHeight w:val="233"/>
        </w:trPr>
        <w:tc>
          <w:tcPr>
            <w:tcW w:w="4923" w:type="pct"/>
            <w:gridSpan w:val="9"/>
            <w:tcBorders>
              <w:top w:val="single" w:sz="12" w:space="0" w:color="auto"/>
              <w:left w:val="nil"/>
              <w:bottom w:val="nil"/>
              <w:right w:val="nil"/>
            </w:tcBorders>
            <w:shd w:val="clear" w:color="auto" w:fill="auto"/>
            <w:noWrap/>
            <w:vAlign w:val="bottom"/>
          </w:tcPr>
          <w:p w:rsidR="00F968CF" w:rsidRPr="00F968CF" w:rsidRDefault="00375276" w:rsidP="00F968CF">
            <w:pPr>
              <w:ind w:firstLine="0"/>
              <w:rPr>
                <w:color w:val="000000"/>
                <w:sz w:val="20"/>
              </w:rPr>
            </w:pPr>
            <w:r w:rsidRPr="003B1060">
              <w:rPr>
                <w:color w:val="000000"/>
                <w:sz w:val="20"/>
              </w:rPr>
              <w:t>***Estatisticamente sign</w:t>
            </w:r>
            <w:r>
              <w:rPr>
                <w:color w:val="000000"/>
                <w:sz w:val="20"/>
              </w:rPr>
              <w:t>ificativa ao nível de 1%;</w:t>
            </w:r>
            <w:r w:rsidRPr="003B1060">
              <w:rPr>
                <w:color w:val="000000"/>
                <w:sz w:val="20"/>
              </w:rPr>
              <w:t xml:space="preserve"> **ao nível de 5% e *ao n</w:t>
            </w:r>
            <w:r>
              <w:rPr>
                <w:color w:val="000000"/>
                <w:sz w:val="20"/>
              </w:rPr>
              <w:t>ível de 10%</w:t>
            </w:r>
            <w:r w:rsidR="00F968CF" w:rsidRPr="00F968CF">
              <w:rPr>
                <w:color w:val="000000"/>
                <w:sz w:val="20"/>
              </w:rPr>
              <w:t xml:space="preserve">. P-valor entre parênteses. </w:t>
            </w:r>
          </w:p>
        </w:tc>
        <w:tc>
          <w:tcPr>
            <w:tcW w:w="77" w:type="pct"/>
            <w:tcBorders>
              <w:top w:val="nil"/>
              <w:left w:val="nil"/>
              <w:bottom w:val="nil"/>
              <w:right w:val="nil"/>
            </w:tcBorders>
            <w:shd w:val="clear" w:color="auto" w:fill="auto"/>
            <w:noWrap/>
            <w:vAlign w:val="bottom"/>
            <w:hideMark/>
          </w:tcPr>
          <w:p w:rsidR="00F968CF" w:rsidRPr="00F968CF" w:rsidRDefault="00F968CF" w:rsidP="00F968CF">
            <w:pPr>
              <w:ind w:firstLine="0"/>
              <w:rPr>
                <w:color w:val="000000"/>
                <w:sz w:val="20"/>
              </w:rPr>
            </w:pPr>
          </w:p>
        </w:tc>
      </w:tr>
      <w:tr w:rsidR="00F968CF" w:rsidRPr="00F968CF" w:rsidTr="00CA1FEF">
        <w:trPr>
          <w:gridAfter w:val="1"/>
          <w:wAfter w:w="77" w:type="pct"/>
          <w:trHeight w:val="288"/>
        </w:trPr>
        <w:tc>
          <w:tcPr>
            <w:tcW w:w="4923" w:type="pct"/>
            <w:gridSpan w:val="9"/>
            <w:tcBorders>
              <w:top w:val="nil"/>
              <w:left w:val="nil"/>
              <w:bottom w:val="nil"/>
              <w:right w:val="nil"/>
            </w:tcBorders>
            <w:shd w:val="clear" w:color="auto" w:fill="auto"/>
            <w:hideMark/>
          </w:tcPr>
          <w:p w:rsidR="00F968CF" w:rsidRPr="00F968CF" w:rsidRDefault="00F968CF" w:rsidP="001566F8">
            <w:pPr>
              <w:ind w:firstLine="0"/>
              <w:rPr>
                <w:color w:val="000000"/>
                <w:sz w:val="20"/>
              </w:rPr>
            </w:pPr>
            <w:r w:rsidRPr="003B1060">
              <w:rPr>
                <w:color w:val="000000"/>
                <w:sz w:val="20"/>
              </w:rPr>
              <w:t xml:space="preserve">Fonte: </w:t>
            </w:r>
            <w:r>
              <w:rPr>
                <w:sz w:val="20"/>
              </w:rPr>
              <w:t>Dados da pesquisa</w:t>
            </w:r>
            <w:r w:rsidRPr="003B1060">
              <w:rPr>
                <w:color w:val="000000"/>
                <w:sz w:val="20"/>
              </w:rPr>
              <w:t>.</w:t>
            </w:r>
          </w:p>
        </w:tc>
      </w:tr>
    </w:tbl>
    <w:p w:rsidR="00F968CF" w:rsidRPr="00375276" w:rsidRDefault="00F968CF" w:rsidP="001566F8">
      <w:pPr>
        <w:rPr>
          <w:sz w:val="20"/>
        </w:rPr>
      </w:pPr>
    </w:p>
    <w:p w:rsidR="002F741B" w:rsidRDefault="001566F8" w:rsidP="002F741B">
      <w:pPr>
        <w:rPr>
          <w:szCs w:val="24"/>
        </w:rPr>
      </w:pPr>
      <w:r w:rsidRPr="004D0AC6">
        <w:rPr>
          <w:szCs w:val="24"/>
        </w:rPr>
        <w:t xml:space="preserve">A variável de interesse </w:t>
      </w:r>
      <w:r w:rsidRPr="00C43B29">
        <w:rPr>
          <w:i/>
          <w:szCs w:val="24"/>
        </w:rPr>
        <w:t>familiar</w:t>
      </w:r>
      <w:r w:rsidR="00C43B29">
        <w:rPr>
          <w:szCs w:val="24"/>
        </w:rPr>
        <w:t xml:space="preserve"> </w:t>
      </w:r>
      <w:r>
        <w:rPr>
          <w:szCs w:val="24"/>
        </w:rPr>
        <w:t>apresentou</w:t>
      </w:r>
      <w:r w:rsidRPr="004D0AC6">
        <w:rPr>
          <w:szCs w:val="24"/>
        </w:rPr>
        <w:t xml:space="preserve"> </w:t>
      </w:r>
      <w:r w:rsidR="00C43B29" w:rsidRPr="004D0AC6">
        <w:rPr>
          <w:szCs w:val="24"/>
        </w:rPr>
        <w:t xml:space="preserve">coeficientes de 0,0141 e 0,0501 </w:t>
      </w:r>
      <w:r w:rsidR="002F741B">
        <w:rPr>
          <w:szCs w:val="24"/>
        </w:rPr>
        <w:t xml:space="preserve">estatisticamente </w:t>
      </w:r>
      <w:r w:rsidRPr="004D0AC6">
        <w:rPr>
          <w:szCs w:val="24"/>
        </w:rPr>
        <w:t>significativo</w:t>
      </w:r>
      <w:r w:rsidR="00C43B29">
        <w:rPr>
          <w:szCs w:val="24"/>
        </w:rPr>
        <w:t>s</w:t>
      </w:r>
      <w:r w:rsidRPr="004D0AC6">
        <w:rPr>
          <w:szCs w:val="24"/>
        </w:rPr>
        <w:t xml:space="preserve"> </w:t>
      </w:r>
      <w:r w:rsidR="00C43B29">
        <w:rPr>
          <w:szCs w:val="24"/>
        </w:rPr>
        <w:t xml:space="preserve">e </w:t>
      </w:r>
      <w:r w:rsidR="00C43B29" w:rsidRPr="004D0AC6">
        <w:rPr>
          <w:szCs w:val="24"/>
        </w:rPr>
        <w:t>positivo</w:t>
      </w:r>
      <w:r w:rsidR="00C43B29">
        <w:rPr>
          <w:szCs w:val="24"/>
        </w:rPr>
        <w:t>s</w:t>
      </w:r>
      <w:r w:rsidR="00C43B29" w:rsidRPr="004D0AC6">
        <w:rPr>
          <w:szCs w:val="24"/>
        </w:rPr>
        <w:t xml:space="preserve"> </w:t>
      </w:r>
      <w:r w:rsidRPr="004D0AC6">
        <w:rPr>
          <w:szCs w:val="24"/>
        </w:rPr>
        <w:t xml:space="preserve">tanto para o retorno anormal acumulativo dos </w:t>
      </w:r>
      <w:proofErr w:type="gramStart"/>
      <w:r>
        <w:rPr>
          <w:szCs w:val="24"/>
        </w:rPr>
        <w:t>7</w:t>
      </w:r>
      <w:proofErr w:type="gramEnd"/>
      <w:r w:rsidRPr="004D0AC6">
        <w:rPr>
          <w:szCs w:val="24"/>
        </w:rPr>
        <w:t xml:space="preserve"> dias em torno da aquisição</w:t>
      </w:r>
      <w:r>
        <w:rPr>
          <w:szCs w:val="24"/>
        </w:rPr>
        <w:t xml:space="preserve"> </w:t>
      </w:r>
      <w:r w:rsidRPr="004D0AC6">
        <w:rPr>
          <w:szCs w:val="24"/>
        </w:rPr>
        <w:t>(</w:t>
      </w:r>
      <w:r>
        <w:rPr>
          <w:szCs w:val="24"/>
        </w:rPr>
        <w:t>p-valor</w:t>
      </w:r>
      <w:r w:rsidRPr="004D0AC6">
        <w:rPr>
          <w:szCs w:val="24"/>
        </w:rPr>
        <w:t xml:space="preserve"> &lt; 5%) quanto para </w:t>
      </w:r>
      <w:r w:rsidR="00C43B29" w:rsidRPr="004D0AC6">
        <w:rPr>
          <w:szCs w:val="24"/>
        </w:rPr>
        <w:t xml:space="preserve">o </w:t>
      </w:r>
      <w:r w:rsidR="00C43B29">
        <w:rPr>
          <w:szCs w:val="24"/>
        </w:rPr>
        <w:t>de</w:t>
      </w:r>
      <w:r w:rsidRPr="004D0AC6">
        <w:rPr>
          <w:szCs w:val="24"/>
        </w:rPr>
        <w:t xml:space="preserve"> </w:t>
      </w:r>
      <w:r>
        <w:rPr>
          <w:szCs w:val="24"/>
        </w:rPr>
        <w:t>41</w:t>
      </w:r>
      <w:r w:rsidRPr="004D0AC6">
        <w:rPr>
          <w:szCs w:val="24"/>
        </w:rPr>
        <w:t xml:space="preserve"> dias (</w:t>
      </w:r>
      <w:r>
        <w:rPr>
          <w:szCs w:val="24"/>
        </w:rPr>
        <w:t>p-valor</w:t>
      </w:r>
      <w:r w:rsidRPr="004D0AC6">
        <w:rPr>
          <w:szCs w:val="24"/>
        </w:rPr>
        <w:t xml:space="preserve"> &lt; 1%), respectivamente. Ou seja, </w:t>
      </w:r>
      <w:proofErr w:type="spellStart"/>
      <w:r w:rsidR="002F741B" w:rsidRPr="002F741B">
        <w:rPr>
          <w:i/>
          <w:szCs w:val="24"/>
        </w:rPr>
        <w:t>ceteris</w:t>
      </w:r>
      <w:proofErr w:type="spellEnd"/>
      <w:r w:rsidR="002F741B" w:rsidRPr="002F741B">
        <w:rPr>
          <w:i/>
          <w:szCs w:val="24"/>
        </w:rPr>
        <w:t xml:space="preserve"> </w:t>
      </w:r>
      <w:proofErr w:type="spellStart"/>
      <w:r w:rsidR="002F741B" w:rsidRPr="002F741B">
        <w:rPr>
          <w:i/>
          <w:szCs w:val="24"/>
        </w:rPr>
        <w:t>paribus</w:t>
      </w:r>
      <w:proofErr w:type="spellEnd"/>
      <w:r w:rsidRPr="004D0AC6">
        <w:rPr>
          <w:szCs w:val="24"/>
        </w:rPr>
        <w:t>, as empresas familiares tendem a ter retornos anormais acumulativos superiores</w:t>
      </w:r>
      <w:r>
        <w:rPr>
          <w:szCs w:val="24"/>
        </w:rPr>
        <w:t xml:space="preserve"> de 1,41% nos </w:t>
      </w:r>
      <w:proofErr w:type="gramStart"/>
      <w:r>
        <w:rPr>
          <w:szCs w:val="24"/>
        </w:rPr>
        <w:t>7</w:t>
      </w:r>
      <w:proofErr w:type="gramEnd"/>
      <w:r>
        <w:rPr>
          <w:szCs w:val="24"/>
        </w:rPr>
        <w:t xml:space="preserve"> dias, em torno das aquisições, e de 5,01% nos 41 dias,</w:t>
      </w:r>
      <w:r w:rsidRPr="004D0AC6">
        <w:rPr>
          <w:szCs w:val="24"/>
        </w:rPr>
        <w:t xml:space="preserve"> em torno </w:t>
      </w:r>
      <w:r>
        <w:rPr>
          <w:szCs w:val="24"/>
        </w:rPr>
        <w:t>das aquisições,</w:t>
      </w:r>
      <w:r w:rsidRPr="004D0AC6">
        <w:rPr>
          <w:szCs w:val="24"/>
        </w:rPr>
        <w:t xml:space="preserve"> </w:t>
      </w:r>
      <w:r>
        <w:rPr>
          <w:szCs w:val="24"/>
        </w:rPr>
        <w:t>em relação às</w:t>
      </w:r>
      <w:r w:rsidRPr="004D0AC6">
        <w:rPr>
          <w:szCs w:val="24"/>
        </w:rPr>
        <w:t xml:space="preserve"> empresas não familiares.</w:t>
      </w:r>
      <w:r>
        <w:rPr>
          <w:szCs w:val="24"/>
        </w:rPr>
        <w:t xml:space="preserve"> </w:t>
      </w:r>
      <w:r w:rsidR="002F741B">
        <w:rPr>
          <w:szCs w:val="24"/>
        </w:rPr>
        <w:t>Deste modo, a H</w:t>
      </w:r>
      <w:r>
        <w:rPr>
          <w:szCs w:val="24"/>
        </w:rPr>
        <w:t>ipótese dest</w:t>
      </w:r>
      <w:r w:rsidR="002F741B">
        <w:rPr>
          <w:szCs w:val="24"/>
        </w:rPr>
        <w:t>a</w:t>
      </w:r>
      <w:r>
        <w:rPr>
          <w:szCs w:val="24"/>
        </w:rPr>
        <w:t xml:space="preserve"> </w:t>
      </w:r>
      <w:r w:rsidR="002F741B">
        <w:rPr>
          <w:szCs w:val="24"/>
        </w:rPr>
        <w:t>pesquisa não é rejeitada e</w:t>
      </w:r>
      <w:r>
        <w:rPr>
          <w:szCs w:val="24"/>
        </w:rPr>
        <w:t xml:space="preserve"> os achados vão ao encontro dos trabalhos de </w:t>
      </w:r>
      <w:proofErr w:type="spellStart"/>
      <w:r w:rsidR="002F741B" w:rsidRPr="001E6136">
        <w:rPr>
          <w:szCs w:val="24"/>
        </w:rPr>
        <w:t>Basu</w:t>
      </w:r>
      <w:proofErr w:type="spellEnd"/>
      <w:r w:rsidR="002F741B">
        <w:rPr>
          <w:szCs w:val="24"/>
        </w:rPr>
        <w:t xml:space="preserve">, </w:t>
      </w:r>
      <w:proofErr w:type="spellStart"/>
      <w:r w:rsidR="002F741B">
        <w:rPr>
          <w:szCs w:val="24"/>
        </w:rPr>
        <w:t>Dimitrova</w:t>
      </w:r>
      <w:proofErr w:type="spellEnd"/>
      <w:r w:rsidR="002F741B">
        <w:rPr>
          <w:szCs w:val="24"/>
        </w:rPr>
        <w:t xml:space="preserve"> e </w:t>
      </w:r>
      <w:proofErr w:type="spellStart"/>
      <w:r w:rsidR="002F741B">
        <w:rPr>
          <w:szCs w:val="24"/>
        </w:rPr>
        <w:t>Paeglis</w:t>
      </w:r>
      <w:proofErr w:type="spellEnd"/>
      <w:r w:rsidR="002F741B">
        <w:rPr>
          <w:szCs w:val="24"/>
        </w:rPr>
        <w:t xml:space="preserve"> (2008), Ben-Amar e André (2006), </w:t>
      </w:r>
      <w:proofErr w:type="spellStart"/>
      <w:r>
        <w:rPr>
          <w:szCs w:val="24"/>
        </w:rPr>
        <w:t>Bouzgarrou</w:t>
      </w:r>
      <w:proofErr w:type="spellEnd"/>
      <w:r>
        <w:rPr>
          <w:szCs w:val="24"/>
        </w:rPr>
        <w:t xml:space="preserve"> e </w:t>
      </w:r>
      <w:proofErr w:type="spellStart"/>
      <w:r w:rsidR="002F741B">
        <w:rPr>
          <w:szCs w:val="24"/>
        </w:rPr>
        <w:t>Navatte</w:t>
      </w:r>
      <w:proofErr w:type="spellEnd"/>
      <w:r w:rsidR="002F741B">
        <w:rPr>
          <w:szCs w:val="24"/>
        </w:rPr>
        <w:t xml:space="preserve"> (2013) e</w:t>
      </w:r>
      <w:r>
        <w:rPr>
          <w:szCs w:val="24"/>
        </w:rPr>
        <w:t xml:space="preserve"> Feito-Ruiz e </w:t>
      </w:r>
      <w:proofErr w:type="spellStart"/>
      <w:r>
        <w:rPr>
          <w:szCs w:val="24"/>
        </w:rPr>
        <w:t>Menendéz-Requejo</w:t>
      </w:r>
      <w:proofErr w:type="spellEnd"/>
      <w:r>
        <w:rPr>
          <w:szCs w:val="24"/>
        </w:rPr>
        <w:t xml:space="preserve"> (2008)</w:t>
      </w:r>
      <w:r w:rsidR="002F741B">
        <w:rPr>
          <w:szCs w:val="24"/>
        </w:rPr>
        <w:t>.</w:t>
      </w:r>
    </w:p>
    <w:p w:rsidR="0028720F" w:rsidRPr="004D0AC6" w:rsidRDefault="0028720F" w:rsidP="0028720F">
      <w:pPr>
        <w:ind w:firstLine="708"/>
        <w:rPr>
          <w:szCs w:val="24"/>
        </w:rPr>
      </w:pPr>
      <w:r>
        <w:rPr>
          <w:szCs w:val="24"/>
        </w:rPr>
        <w:t xml:space="preserve">O </w:t>
      </w:r>
      <w:r w:rsidRPr="00CE5249">
        <w:rPr>
          <w:i/>
          <w:szCs w:val="24"/>
        </w:rPr>
        <w:t>endividamento</w:t>
      </w:r>
      <w:r>
        <w:rPr>
          <w:szCs w:val="24"/>
        </w:rPr>
        <w:t xml:space="preserve"> das empresas foi significa</w:t>
      </w:r>
      <w:r w:rsidR="00CC1FF1">
        <w:rPr>
          <w:szCs w:val="24"/>
        </w:rPr>
        <w:t>tivo</w:t>
      </w:r>
      <w:r>
        <w:rPr>
          <w:szCs w:val="24"/>
        </w:rPr>
        <w:t xml:space="preserve"> com coeficientes de 0,0005 e 0,0019 positivos em ambos os modelos. Ent</w:t>
      </w:r>
      <w:r w:rsidR="00DF1E55">
        <w:rPr>
          <w:szCs w:val="24"/>
        </w:rPr>
        <w:t>retanto, no modelo referente ao</w:t>
      </w:r>
      <w:r>
        <w:rPr>
          <w:szCs w:val="24"/>
        </w:rPr>
        <w:t xml:space="preserve"> CAR</w:t>
      </w:r>
      <w:r w:rsidR="00DF1E55">
        <w:rPr>
          <w:szCs w:val="24"/>
        </w:rPr>
        <w:t xml:space="preserve"> (-3,3), o nível foi de 10% e, no</w:t>
      </w:r>
      <w:r>
        <w:rPr>
          <w:szCs w:val="24"/>
        </w:rPr>
        <w:t xml:space="preserve"> CAR (-20,20)</w:t>
      </w:r>
      <w:r w:rsidR="00DF1E55">
        <w:rPr>
          <w:szCs w:val="24"/>
        </w:rPr>
        <w:t>,</w:t>
      </w:r>
      <w:r>
        <w:rPr>
          <w:szCs w:val="24"/>
        </w:rPr>
        <w:t xml:space="preserve"> o nível foi de 5%. Os sinais obtidos confirmam o esperado e, portanto, empresas com maiores níveis de endividamento apresentam maiores retornos anormais acumulados no período, em torno das aquisições. Isso mostra que os gestores das empresas mais endividadas são mais cautelosos nas decisões de aquisições.</w:t>
      </w:r>
    </w:p>
    <w:p w:rsidR="001566F8" w:rsidRDefault="001566F8" w:rsidP="002F741B">
      <w:pPr>
        <w:rPr>
          <w:szCs w:val="24"/>
        </w:rPr>
      </w:pPr>
      <w:r>
        <w:rPr>
          <w:szCs w:val="24"/>
        </w:rPr>
        <w:t xml:space="preserve">A variável </w:t>
      </w:r>
      <w:r w:rsidRPr="00932CAE">
        <w:rPr>
          <w:i/>
          <w:szCs w:val="24"/>
        </w:rPr>
        <w:t>caixa</w:t>
      </w:r>
      <w:r>
        <w:rPr>
          <w:szCs w:val="24"/>
        </w:rPr>
        <w:t xml:space="preserve"> mostrou-se negativa e significante ao nível de 10% nos dois modelos apresentados e</w:t>
      </w:r>
      <w:r w:rsidR="00932CAE">
        <w:rPr>
          <w:szCs w:val="24"/>
        </w:rPr>
        <w:t>, portanto, é</w:t>
      </w:r>
      <w:r>
        <w:rPr>
          <w:szCs w:val="24"/>
        </w:rPr>
        <w:t xml:space="preserve"> consistente com os trabalhos de </w:t>
      </w:r>
      <w:proofErr w:type="spellStart"/>
      <w:r>
        <w:rPr>
          <w:szCs w:val="24"/>
        </w:rPr>
        <w:t>Bouzgarrou</w:t>
      </w:r>
      <w:proofErr w:type="spellEnd"/>
      <w:r>
        <w:rPr>
          <w:szCs w:val="24"/>
        </w:rPr>
        <w:t xml:space="preserve"> e </w:t>
      </w:r>
      <w:proofErr w:type="spellStart"/>
      <w:r>
        <w:rPr>
          <w:szCs w:val="24"/>
        </w:rPr>
        <w:t>Navatte</w:t>
      </w:r>
      <w:proofErr w:type="spellEnd"/>
      <w:r>
        <w:rPr>
          <w:szCs w:val="24"/>
        </w:rPr>
        <w:t xml:space="preserve"> (2013), </w:t>
      </w:r>
      <w:r w:rsidR="00932CAE" w:rsidRPr="00A266B3">
        <w:rPr>
          <w:szCs w:val="24"/>
        </w:rPr>
        <w:t xml:space="preserve">Caprio, </w:t>
      </w:r>
      <w:proofErr w:type="spellStart"/>
      <w:r w:rsidR="00932CAE" w:rsidRPr="00A266B3">
        <w:rPr>
          <w:szCs w:val="24"/>
          <w:shd w:val="clear" w:color="auto" w:fill="FFFFFF"/>
        </w:rPr>
        <w:t>Croci</w:t>
      </w:r>
      <w:proofErr w:type="spellEnd"/>
      <w:r w:rsidR="00932CAE" w:rsidRPr="00A266B3">
        <w:rPr>
          <w:szCs w:val="24"/>
          <w:shd w:val="clear" w:color="auto" w:fill="FFFFFF"/>
        </w:rPr>
        <w:t xml:space="preserve"> e Del </w:t>
      </w:r>
      <w:proofErr w:type="spellStart"/>
      <w:r w:rsidR="00932CAE" w:rsidRPr="00A266B3">
        <w:rPr>
          <w:szCs w:val="24"/>
          <w:shd w:val="clear" w:color="auto" w:fill="FFFFFF"/>
        </w:rPr>
        <w:t>Giudice</w:t>
      </w:r>
      <w:proofErr w:type="spellEnd"/>
      <w:r w:rsidRPr="00EE2B74">
        <w:rPr>
          <w:szCs w:val="24"/>
        </w:rPr>
        <w:t xml:space="preserve"> </w:t>
      </w:r>
      <w:r w:rsidRPr="00562E9C">
        <w:rPr>
          <w:szCs w:val="24"/>
        </w:rPr>
        <w:t>(</w:t>
      </w:r>
      <w:r w:rsidRPr="00252C77">
        <w:rPr>
          <w:szCs w:val="24"/>
        </w:rPr>
        <w:t>2011)</w:t>
      </w:r>
      <w:r>
        <w:rPr>
          <w:szCs w:val="24"/>
        </w:rPr>
        <w:t xml:space="preserve"> e Du e </w:t>
      </w:r>
      <w:proofErr w:type="spellStart"/>
      <w:r>
        <w:rPr>
          <w:szCs w:val="24"/>
        </w:rPr>
        <w:t>Boateng</w:t>
      </w:r>
      <w:proofErr w:type="spellEnd"/>
      <w:r>
        <w:rPr>
          <w:szCs w:val="24"/>
        </w:rPr>
        <w:t xml:space="preserve"> (2014). Tal fato </w:t>
      </w:r>
      <w:r w:rsidR="001E16E0">
        <w:rPr>
          <w:szCs w:val="24"/>
        </w:rPr>
        <w:t>confirma</w:t>
      </w:r>
      <w:r>
        <w:rPr>
          <w:szCs w:val="24"/>
        </w:rPr>
        <w:t xml:space="preserve"> que </w:t>
      </w:r>
      <w:proofErr w:type="gramStart"/>
      <w:r>
        <w:rPr>
          <w:szCs w:val="24"/>
        </w:rPr>
        <w:t>empresas com maiores reservas</w:t>
      </w:r>
      <w:proofErr w:type="gramEnd"/>
      <w:r>
        <w:rPr>
          <w:szCs w:val="24"/>
        </w:rPr>
        <w:t xml:space="preserve"> de caixa tendem a fazer aquisições menos rentáveis do que empresas que possuem um menor </w:t>
      </w:r>
      <w:r w:rsidR="001E16E0">
        <w:rPr>
          <w:szCs w:val="24"/>
        </w:rPr>
        <w:t xml:space="preserve">volume </w:t>
      </w:r>
      <w:r>
        <w:rPr>
          <w:szCs w:val="24"/>
        </w:rPr>
        <w:t xml:space="preserve">caixa, já que, além de propiciar aquisições mais arriscadas, oferecem oportunidades para os executivos realizarem aquisições, visando a benefícios próprios. </w:t>
      </w:r>
    </w:p>
    <w:p w:rsidR="0028720F" w:rsidRDefault="0028720F" w:rsidP="0028720F">
      <w:pPr>
        <w:ind w:firstLine="708"/>
        <w:rPr>
          <w:szCs w:val="24"/>
        </w:rPr>
      </w:pPr>
      <w:r>
        <w:rPr>
          <w:szCs w:val="24"/>
        </w:rPr>
        <w:t xml:space="preserve">De forma inesperada, a </w:t>
      </w:r>
      <w:proofErr w:type="gramStart"/>
      <w:r>
        <w:rPr>
          <w:i/>
          <w:szCs w:val="24"/>
        </w:rPr>
        <w:t>proxy</w:t>
      </w:r>
      <w:proofErr w:type="gramEnd"/>
      <w:r>
        <w:rPr>
          <w:szCs w:val="24"/>
        </w:rPr>
        <w:t xml:space="preserve"> de tamanho da empresa (</w:t>
      </w:r>
      <w:proofErr w:type="spellStart"/>
      <w:r w:rsidRPr="004E2766">
        <w:rPr>
          <w:i/>
          <w:szCs w:val="24"/>
        </w:rPr>
        <w:t>lnativo</w:t>
      </w:r>
      <w:proofErr w:type="spellEnd"/>
      <w:r>
        <w:rPr>
          <w:szCs w:val="24"/>
        </w:rPr>
        <w:t xml:space="preserve">) mostrou-se positivamente associada aos retornos anormais acumulados nos dois períodos calculados, a um nível de significância de 1%, com coeficientes de 0,0077 e </w:t>
      </w:r>
      <w:r w:rsidRPr="004D0AC6">
        <w:rPr>
          <w:szCs w:val="24"/>
        </w:rPr>
        <w:t>0,0187</w:t>
      </w:r>
      <w:r>
        <w:rPr>
          <w:szCs w:val="24"/>
        </w:rPr>
        <w:t xml:space="preserve">. Esse resultado foi de encontro aos trabalhos de </w:t>
      </w:r>
      <w:proofErr w:type="spellStart"/>
      <w:r>
        <w:rPr>
          <w:szCs w:val="24"/>
        </w:rPr>
        <w:t>Bouzgarrou</w:t>
      </w:r>
      <w:proofErr w:type="spellEnd"/>
      <w:r>
        <w:rPr>
          <w:szCs w:val="24"/>
        </w:rPr>
        <w:t xml:space="preserve"> e </w:t>
      </w:r>
      <w:proofErr w:type="spellStart"/>
      <w:r>
        <w:rPr>
          <w:szCs w:val="24"/>
        </w:rPr>
        <w:t>Navatte</w:t>
      </w:r>
      <w:proofErr w:type="spellEnd"/>
      <w:r>
        <w:rPr>
          <w:szCs w:val="24"/>
        </w:rPr>
        <w:t xml:space="preserve"> (2013), </w:t>
      </w:r>
      <w:proofErr w:type="spellStart"/>
      <w:r w:rsidRPr="004E2766">
        <w:rPr>
          <w:color w:val="000000"/>
          <w:szCs w:val="24"/>
        </w:rPr>
        <w:t>Gonec</w:t>
      </w:r>
      <w:proofErr w:type="spellEnd"/>
      <w:r w:rsidRPr="004E2766">
        <w:rPr>
          <w:i/>
          <w:iCs/>
          <w:color w:val="000000"/>
          <w:szCs w:val="24"/>
        </w:rPr>
        <w:t xml:space="preserve">, </w:t>
      </w:r>
      <w:r w:rsidRPr="004E2766">
        <w:rPr>
          <w:iCs/>
          <w:color w:val="000000"/>
          <w:szCs w:val="24"/>
        </w:rPr>
        <w:t xml:space="preserve">Hermes e </w:t>
      </w:r>
      <w:proofErr w:type="spellStart"/>
      <w:r w:rsidRPr="004E2766">
        <w:rPr>
          <w:iCs/>
          <w:color w:val="000000"/>
          <w:szCs w:val="24"/>
        </w:rPr>
        <w:t>Sinderen</w:t>
      </w:r>
      <w:proofErr w:type="spellEnd"/>
      <w:r w:rsidRPr="00B03088">
        <w:rPr>
          <w:color w:val="000000"/>
          <w:sz w:val="20"/>
        </w:rPr>
        <w:t xml:space="preserve"> </w:t>
      </w:r>
      <w:r>
        <w:rPr>
          <w:szCs w:val="24"/>
        </w:rPr>
        <w:t xml:space="preserve">(2013) e </w:t>
      </w:r>
      <w:proofErr w:type="spellStart"/>
      <w:r w:rsidRPr="00091E51">
        <w:rPr>
          <w:szCs w:val="24"/>
        </w:rPr>
        <w:t>Moeller</w:t>
      </w:r>
      <w:proofErr w:type="spellEnd"/>
      <w:r w:rsidRPr="00091E51">
        <w:rPr>
          <w:szCs w:val="24"/>
        </w:rPr>
        <w:t xml:space="preserve">, </w:t>
      </w:r>
      <w:proofErr w:type="spellStart"/>
      <w:r w:rsidRPr="00091E51">
        <w:rPr>
          <w:szCs w:val="24"/>
        </w:rPr>
        <w:t>Schlingemann</w:t>
      </w:r>
      <w:proofErr w:type="spellEnd"/>
      <w:r w:rsidRPr="00091E51">
        <w:rPr>
          <w:szCs w:val="24"/>
        </w:rPr>
        <w:t xml:space="preserve"> </w:t>
      </w:r>
      <w:r>
        <w:rPr>
          <w:szCs w:val="24"/>
        </w:rPr>
        <w:t>e</w:t>
      </w:r>
      <w:r w:rsidRPr="00091E51">
        <w:rPr>
          <w:szCs w:val="24"/>
        </w:rPr>
        <w:t xml:space="preserve"> </w:t>
      </w:r>
      <w:proofErr w:type="spellStart"/>
      <w:r w:rsidRPr="00091E51">
        <w:rPr>
          <w:szCs w:val="24"/>
        </w:rPr>
        <w:t>Stulz</w:t>
      </w:r>
      <w:proofErr w:type="spellEnd"/>
      <w:r w:rsidRPr="00E63405">
        <w:rPr>
          <w:szCs w:val="24"/>
        </w:rPr>
        <w:t xml:space="preserve"> (2004)</w:t>
      </w:r>
      <w:r>
        <w:rPr>
          <w:szCs w:val="24"/>
        </w:rPr>
        <w:t>. Esperava-se que empresas maiores tivessem menores retornos anormais acumulados, já que elas tendem a pagar valores maiores de aquisições.</w:t>
      </w:r>
    </w:p>
    <w:p w:rsidR="00DE6358" w:rsidRPr="001566F8" w:rsidRDefault="00DE6358" w:rsidP="00DE6358">
      <w:pPr>
        <w:widowControl/>
        <w:suppressLineNumbers w:val="0"/>
        <w:suppressAutoHyphens w:val="0"/>
        <w:ind w:firstLine="708"/>
        <w:rPr>
          <w:rFonts w:eastAsia="Calibri"/>
          <w:szCs w:val="24"/>
          <w:lang w:eastAsia="en-US"/>
        </w:rPr>
      </w:pPr>
      <w:r w:rsidRPr="001566F8">
        <w:rPr>
          <w:rFonts w:eastAsia="Calibri"/>
          <w:szCs w:val="24"/>
          <w:lang w:eastAsia="en-US"/>
        </w:rPr>
        <w:lastRenderedPageBreak/>
        <w:t xml:space="preserve">Também de forma inesperada, a variável </w:t>
      </w:r>
      <w:r w:rsidRPr="001566F8">
        <w:rPr>
          <w:rFonts w:eastAsia="Calibri"/>
          <w:i/>
          <w:szCs w:val="24"/>
          <w:lang w:eastAsia="en-US"/>
        </w:rPr>
        <w:t>status</w:t>
      </w:r>
      <w:r w:rsidRPr="001566F8">
        <w:rPr>
          <w:rFonts w:eastAsia="Calibri"/>
          <w:szCs w:val="24"/>
          <w:lang w:eastAsia="en-US"/>
        </w:rPr>
        <w:t xml:space="preserve"> apresentou significância </w:t>
      </w:r>
      <w:r>
        <w:rPr>
          <w:rFonts w:eastAsia="Calibri"/>
          <w:szCs w:val="24"/>
          <w:lang w:eastAsia="en-US"/>
        </w:rPr>
        <w:t xml:space="preserve">ao nível </w:t>
      </w:r>
      <w:r w:rsidRPr="001566F8">
        <w:rPr>
          <w:rFonts w:eastAsia="Calibri"/>
          <w:szCs w:val="24"/>
          <w:lang w:eastAsia="en-US"/>
        </w:rPr>
        <w:t xml:space="preserve">de 5% com coeficiente positivo nos </w:t>
      </w:r>
      <w:r>
        <w:rPr>
          <w:rFonts w:eastAsia="Calibri"/>
          <w:szCs w:val="24"/>
          <w:lang w:eastAsia="en-US"/>
        </w:rPr>
        <w:t xml:space="preserve">dois </w:t>
      </w:r>
      <w:r w:rsidRPr="001566F8">
        <w:rPr>
          <w:rFonts w:eastAsia="Calibri"/>
          <w:szCs w:val="24"/>
          <w:lang w:eastAsia="en-US"/>
        </w:rPr>
        <w:t xml:space="preserve">modelos. Esperava-se que, pela concorrência na compra de empresas listadas em bolsa de valores, os montantes das transações fossem elevados, e isso gerasse um retorno anormal negativo para a empresa adquirente. Entretanto, </w:t>
      </w:r>
      <w:r>
        <w:rPr>
          <w:rFonts w:eastAsia="Calibri"/>
          <w:szCs w:val="24"/>
          <w:lang w:eastAsia="en-US"/>
        </w:rPr>
        <w:t xml:space="preserve">talvez </w:t>
      </w:r>
      <w:r w:rsidRPr="001566F8">
        <w:rPr>
          <w:rFonts w:eastAsia="Calibri"/>
          <w:szCs w:val="24"/>
          <w:lang w:eastAsia="en-US"/>
        </w:rPr>
        <w:t xml:space="preserve">pela ausência de uma variável para controlar o tamanho da empresa adquirida, é provável que empresas listadas sejam maiores que empresas não listadas, e a compra de empresas maiores </w:t>
      </w:r>
      <w:proofErr w:type="gramStart"/>
      <w:r w:rsidRPr="001566F8">
        <w:rPr>
          <w:rFonts w:eastAsia="Calibri"/>
          <w:szCs w:val="24"/>
          <w:lang w:eastAsia="en-US"/>
        </w:rPr>
        <w:t>gere</w:t>
      </w:r>
      <w:proofErr w:type="gramEnd"/>
      <w:r w:rsidRPr="001566F8">
        <w:rPr>
          <w:rFonts w:eastAsia="Calibri"/>
          <w:szCs w:val="24"/>
          <w:lang w:eastAsia="en-US"/>
        </w:rPr>
        <w:t xml:space="preserve"> retornos anormais positivos para a empresa adquirente.</w:t>
      </w:r>
    </w:p>
    <w:p w:rsidR="001566F8" w:rsidRPr="001566F8" w:rsidRDefault="00CE5249" w:rsidP="00DE6358">
      <w:pPr>
        <w:ind w:firstLine="708"/>
        <w:rPr>
          <w:rFonts w:eastAsia="Calibri"/>
          <w:szCs w:val="24"/>
          <w:lang w:eastAsia="en-US"/>
        </w:rPr>
      </w:pPr>
      <w:r>
        <w:rPr>
          <w:szCs w:val="24"/>
        </w:rPr>
        <w:t>A</w:t>
      </w:r>
      <w:r w:rsidR="001566F8" w:rsidRPr="004C4C2E">
        <w:rPr>
          <w:szCs w:val="24"/>
        </w:rPr>
        <w:t xml:space="preserve"> variável </w:t>
      </w:r>
      <w:r>
        <w:rPr>
          <w:i/>
          <w:szCs w:val="24"/>
        </w:rPr>
        <w:t xml:space="preserve">q de </w:t>
      </w:r>
      <w:proofErr w:type="spellStart"/>
      <w:proofErr w:type="gramStart"/>
      <w:r>
        <w:rPr>
          <w:i/>
          <w:szCs w:val="24"/>
        </w:rPr>
        <w:t>t</w:t>
      </w:r>
      <w:r w:rsidR="001566F8" w:rsidRPr="00CE5249">
        <w:rPr>
          <w:i/>
          <w:szCs w:val="24"/>
        </w:rPr>
        <w:t>obin</w:t>
      </w:r>
      <w:proofErr w:type="spellEnd"/>
      <w:proofErr w:type="gramEnd"/>
      <w:r w:rsidR="001566F8">
        <w:rPr>
          <w:szCs w:val="24"/>
        </w:rPr>
        <w:t xml:space="preserve"> </w:t>
      </w:r>
      <w:r w:rsidR="001566F8" w:rsidRPr="004C4C2E">
        <w:rPr>
          <w:szCs w:val="24"/>
        </w:rPr>
        <w:t xml:space="preserve">não </w:t>
      </w:r>
      <w:r>
        <w:rPr>
          <w:szCs w:val="24"/>
        </w:rPr>
        <w:t xml:space="preserve">foi </w:t>
      </w:r>
      <w:r w:rsidR="001566F8" w:rsidRPr="004C4C2E">
        <w:rPr>
          <w:szCs w:val="24"/>
        </w:rPr>
        <w:t>significa</w:t>
      </w:r>
      <w:r w:rsidR="00CC1FF1">
        <w:rPr>
          <w:szCs w:val="24"/>
        </w:rPr>
        <w:t xml:space="preserve">tiva </w:t>
      </w:r>
      <w:r w:rsidR="001566F8" w:rsidRPr="004C4C2E">
        <w:rPr>
          <w:szCs w:val="24"/>
        </w:rPr>
        <w:t xml:space="preserve">em nenhum </w:t>
      </w:r>
      <w:r w:rsidR="001566F8">
        <w:rPr>
          <w:szCs w:val="24"/>
        </w:rPr>
        <w:t xml:space="preserve">dos dois modelos, </w:t>
      </w:r>
      <w:r>
        <w:rPr>
          <w:szCs w:val="24"/>
        </w:rPr>
        <w:t xml:space="preserve">o que </w:t>
      </w:r>
      <w:r w:rsidR="001566F8">
        <w:rPr>
          <w:szCs w:val="24"/>
        </w:rPr>
        <w:t>contradiz</w:t>
      </w:r>
      <w:r>
        <w:rPr>
          <w:szCs w:val="24"/>
        </w:rPr>
        <w:t xml:space="preserve"> a relação esperada</w:t>
      </w:r>
      <w:r w:rsidR="004E2766">
        <w:rPr>
          <w:szCs w:val="24"/>
        </w:rPr>
        <w:t>, porém</w:t>
      </w:r>
      <w:r w:rsidR="001566F8" w:rsidRPr="004C4C2E">
        <w:rPr>
          <w:szCs w:val="24"/>
        </w:rPr>
        <w:t xml:space="preserve"> </w:t>
      </w:r>
      <w:r w:rsidR="004E2766">
        <w:rPr>
          <w:szCs w:val="24"/>
        </w:rPr>
        <w:t>vai</w:t>
      </w:r>
      <w:r w:rsidR="001566F8" w:rsidRPr="004C4C2E">
        <w:rPr>
          <w:szCs w:val="24"/>
        </w:rPr>
        <w:t xml:space="preserve"> ao encontro do trabalho </w:t>
      </w:r>
      <w:r w:rsidR="001566F8" w:rsidRPr="004E2766">
        <w:rPr>
          <w:szCs w:val="24"/>
        </w:rPr>
        <w:t xml:space="preserve">de </w:t>
      </w:r>
      <w:proofErr w:type="spellStart"/>
      <w:r w:rsidR="004E2766" w:rsidRPr="004E2766">
        <w:rPr>
          <w:color w:val="000000"/>
          <w:szCs w:val="24"/>
        </w:rPr>
        <w:t>Gonec</w:t>
      </w:r>
      <w:proofErr w:type="spellEnd"/>
      <w:r w:rsidR="004E2766" w:rsidRPr="004E2766">
        <w:rPr>
          <w:i/>
          <w:iCs/>
          <w:color w:val="000000"/>
          <w:szCs w:val="24"/>
        </w:rPr>
        <w:t xml:space="preserve">, </w:t>
      </w:r>
      <w:r w:rsidR="004E2766" w:rsidRPr="004E2766">
        <w:rPr>
          <w:iCs/>
          <w:color w:val="000000"/>
          <w:szCs w:val="24"/>
        </w:rPr>
        <w:t xml:space="preserve">Hermes e </w:t>
      </w:r>
      <w:proofErr w:type="spellStart"/>
      <w:r w:rsidR="004E2766" w:rsidRPr="004E2766">
        <w:rPr>
          <w:iCs/>
          <w:color w:val="000000"/>
          <w:szCs w:val="24"/>
        </w:rPr>
        <w:t>Sinderen</w:t>
      </w:r>
      <w:proofErr w:type="spellEnd"/>
      <w:r w:rsidR="004E2766" w:rsidRPr="00B03088">
        <w:rPr>
          <w:color w:val="000000"/>
          <w:sz w:val="20"/>
        </w:rPr>
        <w:t xml:space="preserve"> </w:t>
      </w:r>
      <w:r w:rsidR="001566F8" w:rsidRPr="004C4C2E">
        <w:rPr>
          <w:szCs w:val="24"/>
        </w:rPr>
        <w:t xml:space="preserve">(2013), que também não achou significância </w:t>
      </w:r>
      <w:r w:rsidR="004E2766">
        <w:rPr>
          <w:szCs w:val="24"/>
        </w:rPr>
        <w:t>dessa</w:t>
      </w:r>
      <w:r w:rsidR="001566F8" w:rsidRPr="004C4C2E">
        <w:rPr>
          <w:szCs w:val="24"/>
        </w:rPr>
        <w:t xml:space="preserve"> variável para o retorno anormal acumulado.</w:t>
      </w:r>
      <w:r w:rsidR="00DE6358">
        <w:rPr>
          <w:szCs w:val="24"/>
        </w:rPr>
        <w:t xml:space="preserve"> </w:t>
      </w:r>
      <w:r w:rsidR="001566F8" w:rsidRPr="001566F8">
        <w:rPr>
          <w:rFonts w:eastAsia="Calibri"/>
          <w:szCs w:val="24"/>
          <w:lang w:eastAsia="en-US"/>
        </w:rPr>
        <w:t xml:space="preserve">O </w:t>
      </w:r>
      <w:r w:rsidR="001566F8" w:rsidRPr="001566F8">
        <w:rPr>
          <w:rFonts w:eastAsia="Calibri"/>
          <w:i/>
          <w:szCs w:val="24"/>
          <w:lang w:eastAsia="en-US"/>
        </w:rPr>
        <w:t>tamanho do conselho administrativo</w:t>
      </w:r>
      <w:r w:rsidR="001566F8" w:rsidRPr="001566F8">
        <w:rPr>
          <w:rFonts w:eastAsia="Calibri"/>
          <w:szCs w:val="24"/>
          <w:lang w:eastAsia="en-US"/>
        </w:rPr>
        <w:t xml:space="preserve"> apresentou coeficiente </w:t>
      </w:r>
      <w:r w:rsidR="004E2766">
        <w:rPr>
          <w:rFonts w:eastAsia="Calibri"/>
          <w:szCs w:val="24"/>
          <w:lang w:eastAsia="en-US"/>
        </w:rPr>
        <w:t xml:space="preserve">significativo </w:t>
      </w:r>
      <w:r w:rsidR="004E2766" w:rsidRPr="001566F8">
        <w:rPr>
          <w:rFonts w:eastAsia="Calibri"/>
          <w:szCs w:val="24"/>
          <w:lang w:eastAsia="en-US"/>
        </w:rPr>
        <w:t>(p-valor &lt; 10%)</w:t>
      </w:r>
      <w:r w:rsidR="004E2766">
        <w:rPr>
          <w:rFonts w:eastAsia="Calibri"/>
          <w:szCs w:val="24"/>
          <w:lang w:eastAsia="en-US"/>
        </w:rPr>
        <w:t xml:space="preserve"> e </w:t>
      </w:r>
      <w:r w:rsidR="001566F8" w:rsidRPr="001566F8">
        <w:rPr>
          <w:rFonts w:eastAsia="Calibri"/>
          <w:szCs w:val="24"/>
          <w:lang w:eastAsia="en-US"/>
        </w:rPr>
        <w:t>negativo apenas para os CAR (-20,20</w:t>
      </w:r>
      <w:r w:rsidR="004E2766">
        <w:rPr>
          <w:rFonts w:eastAsia="Calibri"/>
          <w:szCs w:val="24"/>
          <w:lang w:eastAsia="en-US"/>
        </w:rPr>
        <w:t>)</w:t>
      </w:r>
      <w:r w:rsidR="001566F8" w:rsidRPr="001566F8">
        <w:rPr>
          <w:rFonts w:eastAsia="Calibri"/>
          <w:szCs w:val="24"/>
          <w:lang w:eastAsia="en-US"/>
        </w:rPr>
        <w:t xml:space="preserve">. </w:t>
      </w:r>
      <w:r w:rsidR="004E2766">
        <w:rPr>
          <w:rFonts w:eastAsia="Calibri"/>
          <w:szCs w:val="24"/>
          <w:lang w:eastAsia="en-US"/>
        </w:rPr>
        <w:t>Esse</w:t>
      </w:r>
      <w:r w:rsidR="001566F8" w:rsidRPr="001566F8">
        <w:rPr>
          <w:rFonts w:eastAsia="Calibri"/>
          <w:szCs w:val="24"/>
          <w:lang w:eastAsia="en-US"/>
        </w:rPr>
        <w:t xml:space="preserve"> coeficiente negativo vai ao encontro dos trabalhos de </w:t>
      </w:r>
      <w:r w:rsidR="004E2766" w:rsidRPr="004E2766">
        <w:rPr>
          <w:szCs w:val="24"/>
        </w:rPr>
        <w:t xml:space="preserve">André, </w:t>
      </w:r>
      <w:r w:rsidR="004E2766" w:rsidRPr="004E2766">
        <w:rPr>
          <w:color w:val="222222"/>
          <w:szCs w:val="24"/>
          <w:shd w:val="clear" w:color="auto" w:fill="FFFFFF"/>
        </w:rPr>
        <w:t xml:space="preserve">Ben-Amar e </w:t>
      </w:r>
      <w:proofErr w:type="spellStart"/>
      <w:r w:rsidR="004E2766" w:rsidRPr="004E2766">
        <w:rPr>
          <w:color w:val="222222"/>
          <w:szCs w:val="24"/>
          <w:shd w:val="clear" w:color="auto" w:fill="FFFFFF"/>
        </w:rPr>
        <w:t>Saadi</w:t>
      </w:r>
      <w:proofErr w:type="spellEnd"/>
      <w:r w:rsidR="004E2766" w:rsidRPr="004E2766">
        <w:rPr>
          <w:color w:val="222222"/>
          <w:szCs w:val="24"/>
          <w:shd w:val="clear" w:color="auto" w:fill="FFFFFF"/>
        </w:rPr>
        <w:t xml:space="preserve"> </w:t>
      </w:r>
      <w:r w:rsidR="004E2766" w:rsidRPr="004E2766">
        <w:rPr>
          <w:rFonts w:eastAsia="Calibri"/>
          <w:szCs w:val="24"/>
          <w:lang w:eastAsia="en-US"/>
        </w:rPr>
        <w:t>(2014</w:t>
      </w:r>
      <w:r w:rsidR="001566F8" w:rsidRPr="001566F8">
        <w:rPr>
          <w:rFonts w:eastAsia="Calibri"/>
          <w:szCs w:val="24"/>
          <w:lang w:eastAsia="en-US"/>
        </w:rPr>
        <w:t xml:space="preserve">) e Ben-Amar e André (2006), atestando que maiores conselhos geram menores retornos anormais acumulados devido a </w:t>
      </w:r>
      <w:r w:rsidR="004E2766">
        <w:rPr>
          <w:rFonts w:eastAsia="Calibri"/>
          <w:szCs w:val="24"/>
          <w:lang w:eastAsia="en-US"/>
        </w:rPr>
        <w:t xml:space="preserve">possíveis </w:t>
      </w:r>
      <w:r w:rsidR="001566F8" w:rsidRPr="001566F8">
        <w:rPr>
          <w:rFonts w:eastAsia="Calibri"/>
          <w:szCs w:val="24"/>
          <w:lang w:eastAsia="en-US"/>
        </w:rPr>
        <w:t>problemas de coordenação e comunicação.</w:t>
      </w:r>
      <w:r w:rsidR="00DE6358">
        <w:rPr>
          <w:rFonts w:eastAsia="Calibri"/>
          <w:szCs w:val="24"/>
          <w:lang w:eastAsia="en-US"/>
        </w:rPr>
        <w:t xml:space="preserve"> </w:t>
      </w:r>
      <w:r w:rsidR="001566F8" w:rsidRPr="001566F8">
        <w:rPr>
          <w:rFonts w:eastAsia="Calibri"/>
          <w:szCs w:val="24"/>
          <w:lang w:eastAsia="en-US"/>
        </w:rPr>
        <w:t xml:space="preserve">Por fim, a </w:t>
      </w:r>
      <w:r w:rsidR="001566F8" w:rsidRPr="001566F8">
        <w:rPr>
          <w:rFonts w:eastAsia="Calibri"/>
          <w:i/>
          <w:szCs w:val="24"/>
          <w:lang w:eastAsia="en-US"/>
        </w:rPr>
        <w:t>rentabilidade sobre os ativos</w:t>
      </w:r>
      <w:r w:rsidR="001566F8" w:rsidRPr="001566F8">
        <w:rPr>
          <w:rFonts w:eastAsia="Calibri"/>
          <w:szCs w:val="24"/>
          <w:lang w:eastAsia="en-US"/>
        </w:rPr>
        <w:t xml:space="preserve"> não </w:t>
      </w:r>
      <w:r w:rsidR="004E2766">
        <w:rPr>
          <w:rFonts w:eastAsia="Calibri"/>
          <w:szCs w:val="24"/>
          <w:lang w:eastAsia="en-US"/>
        </w:rPr>
        <w:t>foi significativa</w:t>
      </w:r>
      <w:r w:rsidR="001566F8" w:rsidRPr="001566F8">
        <w:rPr>
          <w:rFonts w:eastAsia="Calibri"/>
          <w:szCs w:val="24"/>
          <w:lang w:eastAsia="en-US"/>
        </w:rPr>
        <w:t xml:space="preserve"> para os modelos, não confirmando os achados de Du e </w:t>
      </w:r>
      <w:proofErr w:type="spellStart"/>
      <w:r w:rsidR="001566F8" w:rsidRPr="001566F8">
        <w:rPr>
          <w:rFonts w:eastAsia="Calibri"/>
          <w:szCs w:val="24"/>
          <w:lang w:eastAsia="en-US"/>
        </w:rPr>
        <w:t>Boateng</w:t>
      </w:r>
      <w:proofErr w:type="spellEnd"/>
      <w:r w:rsidR="001566F8" w:rsidRPr="001566F8">
        <w:rPr>
          <w:rFonts w:eastAsia="Calibri"/>
          <w:szCs w:val="24"/>
          <w:lang w:eastAsia="en-US"/>
        </w:rPr>
        <w:t xml:space="preserve"> (2014).</w:t>
      </w:r>
    </w:p>
    <w:p w:rsidR="001566F8" w:rsidRPr="00375276" w:rsidRDefault="001566F8" w:rsidP="001566F8">
      <w:pPr>
        <w:ind w:firstLine="708"/>
        <w:rPr>
          <w:sz w:val="20"/>
        </w:rPr>
      </w:pPr>
    </w:p>
    <w:p w:rsidR="006866C5" w:rsidRDefault="006866C5" w:rsidP="006D041F">
      <w:pPr>
        <w:pStyle w:val="PargrafodaLista"/>
        <w:tabs>
          <w:tab w:val="left" w:pos="709"/>
        </w:tabs>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CONSIDERAÇÕES FINAIS</w:t>
      </w:r>
    </w:p>
    <w:p w:rsidR="006866C5" w:rsidRPr="00375276" w:rsidRDefault="006866C5" w:rsidP="006D041F">
      <w:pPr>
        <w:pStyle w:val="PargrafodaLista"/>
        <w:tabs>
          <w:tab w:val="left" w:pos="709"/>
        </w:tabs>
        <w:spacing w:after="0" w:line="240" w:lineRule="auto"/>
        <w:ind w:left="0"/>
        <w:jc w:val="both"/>
        <w:rPr>
          <w:rFonts w:ascii="Times New Roman" w:hAnsi="Times New Roman" w:cs="Times New Roman"/>
          <w:b/>
          <w:sz w:val="20"/>
          <w:szCs w:val="20"/>
        </w:rPr>
      </w:pPr>
    </w:p>
    <w:p w:rsidR="00FD1FB0" w:rsidRDefault="00C075FA" w:rsidP="00FD1FB0">
      <w:pPr>
        <w:rPr>
          <w:szCs w:val="24"/>
        </w:rPr>
      </w:pPr>
      <w:r>
        <w:t>Há uma recente literatura internacional que destaca as diferenças entre as empresas familiares e não familiares em termos de investimentos, incluindo aquisições corporativas. E</w:t>
      </w:r>
      <w:r w:rsidRPr="00540682">
        <w:t>ssas diferenças são explicadas pela</w:t>
      </w:r>
      <w:r>
        <w:t xml:space="preserve">s distintas relações </w:t>
      </w:r>
      <w:r w:rsidRPr="00540682">
        <w:t xml:space="preserve">de agência </w:t>
      </w:r>
      <w:r>
        <w:t>presentes nesses dois tipos de estrutura de propriedade</w:t>
      </w:r>
      <w:r w:rsidRPr="00540682">
        <w:t>.</w:t>
      </w:r>
      <w:r>
        <w:t xml:space="preserve"> </w:t>
      </w:r>
      <w:r w:rsidRPr="0044678D">
        <w:t xml:space="preserve">Com base nisso, este </w:t>
      </w:r>
      <w:r>
        <w:t>estudo</w:t>
      </w:r>
      <w:r w:rsidRPr="0044678D">
        <w:t xml:space="preserve"> teve como objetivo verificar </w:t>
      </w:r>
      <w:r w:rsidRPr="0044678D">
        <w:rPr>
          <w:szCs w:val="24"/>
        </w:rPr>
        <w:t>se as aquisições realizadas por empresas familiares geram melhor desempenho do que aquelas realizadas por empresas não familiares</w:t>
      </w:r>
      <w:r w:rsidR="00FD1FB0">
        <w:rPr>
          <w:szCs w:val="24"/>
        </w:rPr>
        <w:t xml:space="preserve"> e </w:t>
      </w:r>
      <w:r w:rsidR="00FD1FB0">
        <w:t>os resultados apontaram que as empresas brasileiras familiares tendem a ter desemp</w:t>
      </w:r>
      <w:r w:rsidR="00FD1FB0" w:rsidRPr="0044678D">
        <w:t>enho superior com eventos de aquisições corporativas em relação às não familiares</w:t>
      </w:r>
      <w:r w:rsidR="00FD1FB0">
        <w:t xml:space="preserve">. </w:t>
      </w:r>
      <w:r w:rsidR="00FD1FB0" w:rsidRPr="0044678D">
        <w:rPr>
          <w:szCs w:val="24"/>
        </w:rPr>
        <w:t xml:space="preserve">Em suma, descobriu-se que o tipo de estrutura de propriedade e controle das empresas </w:t>
      </w:r>
      <w:r w:rsidR="00FD1FB0">
        <w:rPr>
          <w:szCs w:val="24"/>
        </w:rPr>
        <w:t xml:space="preserve">influencia </w:t>
      </w:r>
      <w:r w:rsidR="00FD1FB0" w:rsidRPr="0044678D">
        <w:rPr>
          <w:szCs w:val="24"/>
        </w:rPr>
        <w:t>as aquisições corporativas.</w:t>
      </w:r>
    </w:p>
    <w:p w:rsidR="00C075FA" w:rsidRDefault="00C075FA" w:rsidP="006D041F">
      <w:r w:rsidRPr="0044678D">
        <w:t>Um dos argumentos teóricos utilizados é o fato de que, em empresas familiares, o menor distanciamento entre a propriedade e o contro</w:t>
      </w:r>
      <w:r>
        <w:t xml:space="preserve">le criam ambientes com maior alinhamento de interesse e menores problemas de agência entre os executivos e os acionistas, fazendo com que os executivos de empresas familiares não utilizem aquisições corporativas para promover seus interesses individuais. Outro argumento diz respeito ao maior conservadorismo destas empresas quando comparadas às empresas não familiares, já que há uma intenção de se passar </w:t>
      </w:r>
      <w:r w:rsidR="00FD1FB0">
        <w:t xml:space="preserve">a empresa para gerações futuras, o que faz </w:t>
      </w:r>
      <w:r w:rsidR="00FD1FB0" w:rsidRPr="0044678D">
        <w:rPr>
          <w:szCs w:val="24"/>
        </w:rPr>
        <w:t>com que seus executivos expropriem menos a empresa</w:t>
      </w:r>
      <w:r w:rsidR="00FD1FB0">
        <w:rPr>
          <w:szCs w:val="24"/>
        </w:rPr>
        <w:t>.</w:t>
      </w:r>
    </w:p>
    <w:p w:rsidR="006D041F" w:rsidRDefault="00723F2E" w:rsidP="006D041F">
      <w:pPr>
        <w:rPr>
          <w:szCs w:val="24"/>
        </w:rPr>
      </w:pPr>
      <w:r>
        <w:rPr>
          <w:szCs w:val="24"/>
        </w:rPr>
        <w:t xml:space="preserve">Uma </w:t>
      </w:r>
      <w:r w:rsidR="00891CB7">
        <w:rPr>
          <w:szCs w:val="24"/>
        </w:rPr>
        <w:t xml:space="preserve">limitação do estudo </w:t>
      </w:r>
      <w:r>
        <w:rPr>
          <w:szCs w:val="24"/>
        </w:rPr>
        <w:t>diz respeito à classificação de empresas familiares e não familiares. Como não há nenhuma definição exata na literatura</w:t>
      </w:r>
      <w:r w:rsidR="0092570E">
        <w:rPr>
          <w:szCs w:val="24"/>
        </w:rPr>
        <w:t xml:space="preserve">, </w:t>
      </w:r>
      <w:r w:rsidR="004114F3">
        <w:rPr>
          <w:szCs w:val="24"/>
        </w:rPr>
        <w:t>além da dificuldade de</w:t>
      </w:r>
      <w:r w:rsidR="0092570E">
        <w:rPr>
          <w:szCs w:val="24"/>
        </w:rPr>
        <w:t xml:space="preserve"> comparação entre estudos, os resultados de </w:t>
      </w:r>
      <w:r>
        <w:rPr>
          <w:szCs w:val="24"/>
        </w:rPr>
        <w:t xml:space="preserve">outros trabalhos </w:t>
      </w:r>
      <w:r w:rsidR="0092570E">
        <w:rPr>
          <w:szCs w:val="24"/>
        </w:rPr>
        <w:t>podem ser divergentes dos obtidos neste</w:t>
      </w:r>
      <w:r>
        <w:rPr>
          <w:szCs w:val="24"/>
        </w:rPr>
        <w:t>. Outra limitação é o excesso de informações coletadas por meio do Formulário de Re</w:t>
      </w:r>
      <w:r w:rsidR="0092570E">
        <w:rPr>
          <w:szCs w:val="24"/>
        </w:rPr>
        <w:t xml:space="preserve">ferência, o qual não é </w:t>
      </w:r>
      <w:r>
        <w:rPr>
          <w:szCs w:val="24"/>
        </w:rPr>
        <w:t>obrigatori</w:t>
      </w:r>
      <w:r w:rsidR="0092570E">
        <w:rPr>
          <w:szCs w:val="24"/>
        </w:rPr>
        <w:t>amente</w:t>
      </w:r>
      <w:r>
        <w:rPr>
          <w:szCs w:val="24"/>
        </w:rPr>
        <w:t xml:space="preserve"> auditado por auditoria externa, o que pode levar a alguns erros de divulgação por parte das empresas.</w:t>
      </w:r>
      <w:r w:rsidR="006D041F">
        <w:rPr>
          <w:szCs w:val="24"/>
        </w:rPr>
        <w:t xml:space="preserve"> Outra limitação consiste na ausência de informações sobre as características das transações das aquisições, como forma de pagamento e </w:t>
      </w:r>
      <w:r w:rsidR="006D041F">
        <w:rPr>
          <w:szCs w:val="24"/>
        </w:rPr>
        <w:lastRenderedPageBreak/>
        <w:t>tamanho da empresa adquirida. Par</w:t>
      </w:r>
      <w:r w:rsidR="00542631">
        <w:rPr>
          <w:szCs w:val="24"/>
        </w:rPr>
        <w:t xml:space="preserve">a pesquisas futuras, sugere-se </w:t>
      </w:r>
      <w:r w:rsidR="006D041F">
        <w:rPr>
          <w:szCs w:val="24"/>
        </w:rPr>
        <w:t>o controle de variáveis geradas a partir das características das transações de aquisições e também, se possível, a análise do desempenho de aquisições nas empresas adquiridas.</w:t>
      </w:r>
    </w:p>
    <w:p w:rsidR="006866C5" w:rsidRPr="00375276" w:rsidRDefault="006866C5" w:rsidP="00684CA0">
      <w:pPr>
        <w:pStyle w:val="PargrafodaLista"/>
        <w:tabs>
          <w:tab w:val="left" w:pos="709"/>
        </w:tabs>
        <w:spacing w:after="0" w:line="240" w:lineRule="auto"/>
        <w:ind w:left="0"/>
        <w:jc w:val="both"/>
        <w:rPr>
          <w:rFonts w:ascii="Times New Roman" w:hAnsi="Times New Roman" w:cs="Times New Roman"/>
          <w:b/>
          <w:sz w:val="20"/>
          <w:szCs w:val="20"/>
        </w:rPr>
      </w:pPr>
    </w:p>
    <w:p w:rsidR="006866C5" w:rsidRPr="00B65100" w:rsidRDefault="006866C5" w:rsidP="00B65100">
      <w:pPr>
        <w:pStyle w:val="PargrafodaLista"/>
        <w:tabs>
          <w:tab w:val="left" w:pos="709"/>
        </w:tabs>
        <w:spacing w:after="0" w:line="240" w:lineRule="auto"/>
        <w:ind w:left="482" w:hanging="482"/>
        <w:jc w:val="both"/>
        <w:rPr>
          <w:rFonts w:ascii="Times New Roman" w:hAnsi="Times New Roman" w:cs="Times New Roman"/>
          <w:b/>
          <w:sz w:val="24"/>
          <w:szCs w:val="24"/>
        </w:rPr>
      </w:pPr>
      <w:r w:rsidRPr="00B65100">
        <w:rPr>
          <w:rFonts w:ascii="Times New Roman" w:hAnsi="Times New Roman" w:cs="Times New Roman"/>
          <w:b/>
          <w:sz w:val="24"/>
          <w:szCs w:val="24"/>
        </w:rPr>
        <w:t>REFERÊNCIAS</w:t>
      </w:r>
    </w:p>
    <w:p w:rsidR="002F7369" w:rsidRPr="00375276" w:rsidRDefault="002F7369" w:rsidP="002F7369">
      <w:pPr>
        <w:ind w:left="482" w:hanging="482"/>
        <w:rPr>
          <w:sz w:val="20"/>
          <w:shd w:val="clear" w:color="auto" w:fill="FFFFFF"/>
        </w:rPr>
      </w:pPr>
    </w:p>
    <w:p w:rsidR="005A2A75" w:rsidRPr="0092570E" w:rsidRDefault="005A2A75" w:rsidP="00104264">
      <w:pPr>
        <w:spacing w:after="80"/>
        <w:ind w:left="482" w:hanging="482"/>
        <w:rPr>
          <w:sz w:val="23"/>
          <w:szCs w:val="23"/>
          <w:shd w:val="clear" w:color="auto" w:fill="FFFFFF"/>
          <w:lang w:val="en-US"/>
        </w:rPr>
      </w:pPr>
      <w:proofErr w:type="spellStart"/>
      <w:r w:rsidRPr="0092570E">
        <w:rPr>
          <w:sz w:val="23"/>
          <w:szCs w:val="23"/>
          <w:shd w:val="clear" w:color="auto" w:fill="FFFFFF"/>
        </w:rPr>
        <w:t>Adhikari</w:t>
      </w:r>
      <w:proofErr w:type="spellEnd"/>
      <w:r w:rsidRPr="0092570E">
        <w:rPr>
          <w:sz w:val="23"/>
          <w:szCs w:val="23"/>
          <w:shd w:val="clear" w:color="auto" w:fill="FFFFFF"/>
        </w:rPr>
        <w:t xml:space="preserve">, H. P., &amp; Sutton, N. K. (2016). </w:t>
      </w:r>
      <w:r w:rsidRPr="0092570E">
        <w:rPr>
          <w:sz w:val="23"/>
          <w:szCs w:val="23"/>
          <w:shd w:val="clear" w:color="auto" w:fill="FFFFFF"/>
          <w:lang w:val="en-US"/>
        </w:rPr>
        <w:t>All in the family: The effect of family ownership on acquisition performance. </w:t>
      </w:r>
      <w:r w:rsidRPr="0092570E">
        <w:rPr>
          <w:i/>
          <w:iCs/>
          <w:sz w:val="23"/>
          <w:szCs w:val="23"/>
          <w:shd w:val="clear" w:color="auto" w:fill="FFFFFF"/>
          <w:lang w:val="en-US"/>
        </w:rPr>
        <w:t>Journal of Economics and Business</w:t>
      </w:r>
      <w:r w:rsidRPr="0092570E">
        <w:rPr>
          <w:sz w:val="23"/>
          <w:szCs w:val="23"/>
          <w:shd w:val="clear" w:color="auto" w:fill="FFFFFF"/>
          <w:lang w:val="en-US"/>
        </w:rPr>
        <w:t>, </w:t>
      </w:r>
      <w:r w:rsidRPr="0092570E">
        <w:rPr>
          <w:i/>
          <w:iCs/>
          <w:sz w:val="23"/>
          <w:szCs w:val="23"/>
          <w:shd w:val="clear" w:color="auto" w:fill="FFFFFF"/>
          <w:lang w:val="en-US"/>
        </w:rPr>
        <w:t>88</w:t>
      </w:r>
      <w:r w:rsidRPr="0092570E">
        <w:rPr>
          <w:sz w:val="23"/>
          <w:szCs w:val="23"/>
          <w:shd w:val="clear" w:color="auto" w:fill="FFFFFF"/>
          <w:lang w:val="en-US"/>
        </w:rPr>
        <w:t>, 65-78.</w:t>
      </w:r>
    </w:p>
    <w:p w:rsidR="005A2A75" w:rsidRPr="0092570E" w:rsidRDefault="005A2A75" w:rsidP="00104264">
      <w:pPr>
        <w:spacing w:after="80"/>
        <w:ind w:left="482" w:hanging="482"/>
        <w:rPr>
          <w:sz w:val="23"/>
          <w:szCs w:val="23"/>
          <w:shd w:val="clear" w:color="auto" w:fill="FFFFFF"/>
          <w:lang w:val="en-US"/>
        </w:rPr>
      </w:pPr>
      <w:r w:rsidRPr="0092570E">
        <w:rPr>
          <w:sz w:val="23"/>
          <w:szCs w:val="23"/>
          <w:shd w:val="clear" w:color="auto" w:fill="FFFFFF"/>
          <w:lang w:val="en-US"/>
        </w:rPr>
        <w:t xml:space="preserve">Ali, A., Chen, T. Y., &amp; </w:t>
      </w:r>
      <w:proofErr w:type="spellStart"/>
      <w:r w:rsidRPr="0092570E">
        <w:rPr>
          <w:sz w:val="23"/>
          <w:szCs w:val="23"/>
          <w:shd w:val="clear" w:color="auto" w:fill="FFFFFF"/>
          <w:lang w:val="en-US"/>
        </w:rPr>
        <w:t>Radhakrishnan</w:t>
      </w:r>
      <w:proofErr w:type="spellEnd"/>
      <w:r w:rsidRPr="0092570E">
        <w:rPr>
          <w:sz w:val="23"/>
          <w:szCs w:val="23"/>
          <w:shd w:val="clear" w:color="auto" w:fill="FFFFFF"/>
          <w:lang w:val="en-US"/>
        </w:rPr>
        <w:t xml:space="preserve">, S. (2007). </w:t>
      </w:r>
      <w:proofErr w:type="gramStart"/>
      <w:r w:rsidRPr="0092570E">
        <w:rPr>
          <w:sz w:val="23"/>
          <w:szCs w:val="23"/>
          <w:shd w:val="clear" w:color="auto" w:fill="FFFFFF"/>
          <w:lang w:val="en-US"/>
        </w:rPr>
        <w:t>Corporate disclosures by family firms.</w:t>
      </w:r>
      <w:proofErr w:type="gramEnd"/>
      <w:r w:rsidRPr="0092570E">
        <w:rPr>
          <w:rStyle w:val="apple-converted-space"/>
          <w:sz w:val="23"/>
          <w:szCs w:val="23"/>
          <w:shd w:val="clear" w:color="auto" w:fill="FFFFFF"/>
          <w:lang w:val="en-US"/>
        </w:rPr>
        <w:t> </w:t>
      </w:r>
      <w:r w:rsidRPr="0092570E">
        <w:rPr>
          <w:i/>
          <w:iCs/>
          <w:sz w:val="23"/>
          <w:szCs w:val="23"/>
          <w:shd w:val="clear" w:color="auto" w:fill="FFFFFF"/>
          <w:lang w:val="en-US"/>
        </w:rPr>
        <w:t>Journal of Accounting and Economics</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44</w:t>
      </w:r>
      <w:r w:rsidRPr="0092570E">
        <w:rPr>
          <w:sz w:val="23"/>
          <w:szCs w:val="23"/>
          <w:shd w:val="clear" w:color="auto" w:fill="FFFFFF"/>
          <w:lang w:val="en-US"/>
        </w:rPr>
        <w:t>(1), 238-286.</w:t>
      </w:r>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Allayannis</w:t>
      </w:r>
      <w:proofErr w:type="spellEnd"/>
      <w:r w:rsidRPr="0092570E">
        <w:rPr>
          <w:sz w:val="23"/>
          <w:szCs w:val="23"/>
          <w:shd w:val="clear" w:color="auto" w:fill="FFFFFF"/>
          <w:lang w:val="en-US"/>
        </w:rPr>
        <w:t xml:space="preserve">, G., </w:t>
      </w:r>
      <w:proofErr w:type="spellStart"/>
      <w:r w:rsidRPr="0092570E">
        <w:rPr>
          <w:sz w:val="23"/>
          <w:szCs w:val="23"/>
          <w:shd w:val="clear" w:color="auto" w:fill="FFFFFF"/>
          <w:lang w:val="en-US"/>
        </w:rPr>
        <w:t>Lel</w:t>
      </w:r>
      <w:proofErr w:type="spellEnd"/>
      <w:r w:rsidRPr="0092570E">
        <w:rPr>
          <w:sz w:val="23"/>
          <w:szCs w:val="23"/>
          <w:shd w:val="clear" w:color="auto" w:fill="FFFFFF"/>
          <w:lang w:val="en-US"/>
        </w:rPr>
        <w:t>, U., &amp; Miller, D. P. (2012).</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The use of foreign currency derivatives, corporate governance, and firm value around the world.</w:t>
      </w:r>
      <w:proofErr w:type="gramEnd"/>
      <w:r w:rsidRPr="0092570E">
        <w:rPr>
          <w:rStyle w:val="apple-converted-space"/>
          <w:sz w:val="23"/>
          <w:szCs w:val="23"/>
          <w:shd w:val="clear" w:color="auto" w:fill="FFFFFF"/>
          <w:lang w:val="en-US"/>
        </w:rPr>
        <w:t> </w:t>
      </w:r>
      <w:r w:rsidRPr="0092570E">
        <w:rPr>
          <w:i/>
          <w:iCs/>
          <w:sz w:val="23"/>
          <w:szCs w:val="23"/>
          <w:shd w:val="clear" w:color="auto" w:fill="FFFFFF"/>
          <w:lang w:val="en-US"/>
        </w:rPr>
        <w:t>Journal of International Economics</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87</w:t>
      </w:r>
      <w:r w:rsidRPr="0092570E">
        <w:rPr>
          <w:sz w:val="23"/>
          <w:szCs w:val="23"/>
          <w:shd w:val="clear" w:color="auto" w:fill="FFFFFF"/>
          <w:lang w:val="en-US"/>
        </w:rPr>
        <w:t>(1), 65-79.</w:t>
      </w:r>
    </w:p>
    <w:p w:rsidR="00730BA4" w:rsidRPr="0092570E" w:rsidRDefault="005A2A75" w:rsidP="00104264">
      <w:pPr>
        <w:tabs>
          <w:tab w:val="left" w:pos="709"/>
        </w:tabs>
        <w:spacing w:after="80"/>
        <w:ind w:left="482" w:hanging="482"/>
        <w:rPr>
          <w:color w:val="222222"/>
          <w:sz w:val="23"/>
          <w:szCs w:val="23"/>
          <w:shd w:val="clear" w:color="auto" w:fill="FFFFFF"/>
        </w:rPr>
      </w:pPr>
      <w:r w:rsidRPr="0092570E">
        <w:rPr>
          <w:color w:val="222222"/>
          <w:sz w:val="23"/>
          <w:szCs w:val="23"/>
          <w:shd w:val="clear" w:color="auto" w:fill="FFFFFF"/>
        </w:rPr>
        <w:t>André, P., Ben-Amar, W</w:t>
      </w:r>
      <w:proofErr w:type="gramStart"/>
      <w:r w:rsidRPr="0092570E">
        <w:rPr>
          <w:color w:val="222222"/>
          <w:sz w:val="23"/>
          <w:szCs w:val="23"/>
          <w:shd w:val="clear" w:color="auto" w:fill="FFFFFF"/>
        </w:rPr>
        <w:t>.,</w:t>
      </w:r>
      <w:proofErr w:type="gramEnd"/>
      <w:r w:rsidRPr="0092570E">
        <w:rPr>
          <w:color w:val="222222"/>
          <w:sz w:val="23"/>
          <w:szCs w:val="23"/>
          <w:shd w:val="clear" w:color="auto" w:fill="FFFFFF"/>
        </w:rPr>
        <w:t xml:space="preserve"> &amp; </w:t>
      </w:r>
      <w:proofErr w:type="spellStart"/>
      <w:r w:rsidRPr="0092570E">
        <w:rPr>
          <w:color w:val="222222"/>
          <w:sz w:val="23"/>
          <w:szCs w:val="23"/>
          <w:shd w:val="clear" w:color="auto" w:fill="FFFFFF"/>
        </w:rPr>
        <w:t>Saadi</w:t>
      </w:r>
      <w:proofErr w:type="spellEnd"/>
      <w:r w:rsidRPr="0092570E">
        <w:rPr>
          <w:color w:val="222222"/>
          <w:sz w:val="23"/>
          <w:szCs w:val="23"/>
          <w:shd w:val="clear" w:color="auto" w:fill="FFFFFF"/>
        </w:rPr>
        <w:t xml:space="preserve">, S. (2014). Family </w:t>
      </w:r>
      <w:proofErr w:type="spellStart"/>
      <w:r w:rsidRPr="0092570E">
        <w:rPr>
          <w:color w:val="222222"/>
          <w:sz w:val="23"/>
          <w:szCs w:val="23"/>
          <w:shd w:val="clear" w:color="auto" w:fill="FFFFFF"/>
        </w:rPr>
        <w:t>firms</w:t>
      </w:r>
      <w:proofErr w:type="spellEnd"/>
      <w:r w:rsidRPr="0092570E">
        <w:rPr>
          <w:color w:val="222222"/>
          <w:sz w:val="23"/>
          <w:szCs w:val="23"/>
          <w:shd w:val="clear" w:color="auto" w:fill="FFFFFF"/>
        </w:rPr>
        <w:t xml:space="preserve"> </w:t>
      </w:r>
      <w:proofErr w:type="spellStart"/>
      <w:r w:rsidRPr="0092570E">
        <w:rPr>
          <w:color w:val="222222"/>
          <w:sz w:val="23"/>
          <w:szCs w:val="23"/>
          <w:shd w:val="clear" w:color="auto" w:fill="FFFFFF"/>
        </w:rPr>
        <w:t>and</w:t>
      </w:r>
      <w:proofErr w:type="spellEnd"/>
      <w:r w:rsidRPr="0092570E">
        <w:rPr>
          <w:color w:val="222222"/>
          <w:sz w:val="23"/>
          <w:szCs w:val="23"/>
          <w:shd w:val="clear" w:color="auto" w:fill="FFFFFF"/>
        </w:rPr>
        <w:t xml:space="preserve"> high </w:t>
      </w:r>
      <w:proofErr w:type="spellStart"/>
      <w:r w:rsidRPr="0092570E">
        <w:rPr>
          <w:color w:val="222222"/>
          <w:sz w:val="23"/>
          <w:szCs w:val="23"/>
          <w:shd w:val="clear" w:color="auto" w:fill="FFFFFF"/>
        </w:rPr>
        <w:t>technology</w:t>
      </w:r>
      <w:proofErr w:type="spellEnd"/>
      <w:r w:rsidRPr="0092570E">
        <w:rPr>
          <w:color w:val="222222"/>
          <w:sz w:val="23"/>
          <w:szCs w:val="23"/>
          <w:shd w:val="clear" w:color="auto" w:fill="FFFFFF"/>
        </w:rPr>
        <w:t xml:space="preserve"> </w:t>
      </w:r>
      <w:proofErr w:type="spellStart"/>
      <w:r w:rsidRPr="0092570E">
        <w:rPr>
          <w:color w:val="222222"/>
          <w:sz w:val="23"/>
          <w:szCs w:val="23"/>
          <w:shd w:val="clear" w:color="auto" w:fill="FFFFFF"/>
        </w:rPr>
        <w:t>mergers</w:t>
      </w:r>
      <w:proofErr w:type="spellEnd"/>
      <w:r w:rsidRPr="0092570E">
        <w:rPr>
          <w:color w:val="222222"/>
          <w:sz w:val="23"/>
          <w:szCs w:val="23"/>
          <w:shd w:val="clear" w:color="auto" w:fill="FFFFFF"/>
        </w:rPr>
        <w:t xml:space="preserve"> &amp; </w:t>
      </w:r>
      <w:proofErr w:type="spellStart"/>
      <w:r w:rsidRPr="0092570E">
        <w:rPr>
          <w:color w:val="222222"/>
          <w:sz w:val="23"/>
          <w:szCs w:val="23"/>
          <w:shd w:val="clear" w:color="auto" w:fill="FFFFFF"/>
        </w:rPr>
        <w:t>acquisitions</w:t>
      </w:r>
      <w:proofErr w:type="spellEnd"/>
      <w:r w:rsidRPr="0092570E">
        <w:rPr>
          <w:color w:val="222222"/>
          <w:sz w:val="23"/>
          <w:szCs w:val="23"/>
          <w:shd w:val="clear" w:color="auto" w:fill="FFFFFF"/>
        </w:rPr>
        <w:t>. </w:t>
      </w:r>
      <w:proofErr w:type="spellStart"/>
      <w:r w:rsidRPr="0092570E">
        <w:rPr>
          <w:i/>
          <w:iCs/>
          <w:color w:val="222222"/>
          <w:sz w:val="23"/>
          <w:szCs w:val="23"/>
          <w:shd w:val="clear" w:color="auto" w:fill="FFFFFF"/>
        </w:rPr>
        <w:t>Journal</w:t>
      </w:r>
      <w:proofErr w:type="spellEnd"/>
      <w:r w:rsidRPr="0092570E">
        <w:rPr>
          <w:i/>
          <w:iCs/>
          <w:color w:val="222222"/>
          <w:sz w:val="23"/>
          <w:szCs w:val="23"/>
          <w:shd w:val="clear" w:color="auto" w:fill="FFFFFF"/>
        </w:rPr>
        <w:t xml:space="preserve"> </w:t>
      </w:r>
      <w:proofErr w:type="spellStart"/>
      <w:r w:rsidRPr="0092570E">
        <w:rPr>
          <w:i/>
          <w:iCs/>
          <w:color w:val="222222"/>
          <w:sz w:val="23"/>
          <w:szCs w:val="23"/>
          <w:shd w:val="clear" w:color="auto" w:fill="FFFFFF"/>
        </w:rPr>
        <w:t>of</w:t>
      </w:r>
      <w:proofErr w:type="spellEnd"/>
      <w:r w:rsidRPr="0092570E">
        <w:rPr>
          <w:i/>
          <w:iCs/>
          <w:color w:val="222222"/>
          <w:sz w:val="23"/>
          <w:szCs w:val="23"/>
          <w:shd w:val="clear" w:color="auto" w:fill="FFFFFF"/>
        </w:rPr>
        <w:t xml:space="preserve"> Management &amp; </w:t>
      </w:r>
      <w:proofErr w:type="spellStart"/>
      <w:r w:rsidRPr="0092570E">
        <w:rPr>
          <w:i/>
          <w:iCs/>
          <w:color w:val="222222"/>
          <w:sz w:val="23"/>
          <w:szCs w:val="23"/>
          <w:shd w:val="clear" w:color="auto" w:fill="FFFFFF"/>
        </w:rPr>
        <w:t>Governance</w:t>
      </w:r>
      <w:proofErr w:type="spellEnd"/>
      <w:r w:rsidRPr="0092570E">
        <w:rPr>
          <w:color w:val="222222"/>
          <w:sz w:val="23"/>
          <w:szCs w:val="23"/>
          <w:shd w:val="clear" w:color="auto" w:fill="FFFFFF"/>
        </w:rPr>
        <w:t>, </w:t>
      </w:r>
      <w:r w:rsidRPr="0092570E">
        <w:rPr>
          <w:i/>
          <w:iCs/>
          <w:color w:val="222222"/>
          <w:sz w:val="23"/>
          <w:szCs w:val="23"/>
          <w:shd w:val="clear" w:color="auto" w:fill="FFFFFF"/>
        </w:rPr>
        <w:t>18</w:t>
      </w:r>
      <w:r w:rsidRPr="0092570E">
        <w:rPr>
          <w:color w:val="222222"/>
          <w:sz w:val="23"/>
          <w:szCs w:val="23"/>
          <w:shd w:val="clear" w:color="auto" w:fill="FFFFFF"/>
        </w:rPr>
        <w:t xml:space="preserve">(1), 129-158. </w:t>
      </w:r>
    </w:p>
    <w:p w:rsidR="005A2A75" w:rsidRPr="0092570E" w:rsidRDefault="005A2A75" w:rsidP="00104264">
      <w:pPr>
        <w:tabs>
          <w:tab w:val="left" w:pos="709"/>
        </w:tabs>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Basu</w:t>
      </w:r>
      <w:proofErr w:type="spellEnd"/>
      <w:r w:rsidRPr="0092570E">
        <w:rPr>
          <w:sz w:val="23"/>
          <w:szCs w:val="23"/>
          <w:shd w:val="clear" w:color="auto" w:fill="FFFFFF"/>
          <w:lang w:val="en-US"/>
        </w:rPr>
        <w:t xml:space="preserve">, N., </w:t>
      </w:r>
      <w:proofErr w:type="spellStart"/>
      <w:r w:rsidRPr="0092570E">
        <w:rPr>
          <w:sz w:val="23"/>
          <w:szCs w:val="23"/>
          <w:shd w:val="clear" w:color="auto" w:fill="FFFFFF"/>
          <w:lang w:val="en-US"/>
        </w:rPr>
        <w:t>Dimitrova</w:t>
      </w:r>
      <w:proofErr w:type="spellEnd"/>
      <w:r w:rsidRPr="0092570E">
        <w:rPr>
          <w:sz w:val="23"/>
          <w:szCs w:val="23"/>
          <w:shd w:val="clear" w:color="auto" w:fill="FFFFFF"/>
          <w:lang w:val="en-US"/>
        </w:rPr>
        <w:t xml:space="preserve">, L., &amp; </w:t>
      </w:r>
      <w:proofErr w:type="spellStart"/>
      <w:r w:rsidRPr="0092570E">
        <w:rPr>
          <w:sz w:val="23"/>
          <w:szCs w:val="23"/>
          <w:shd w:val="clear" w:color="auto" w:fill="FFFFFF"/>
          <w:lang w:val="en-US"/>
        </w:rPr>
        <w:t>Paeglis</w:t>
      </w:r>
      <w:proofErr w:type="spellEnd"/>
      <w:r w:rsidRPr="0092570E">
        <w:rPr>
          <w:sz w:val="23"/>
          <w:szCs w:val="23"/>
          <w:shd w:val="clear" w:color="auto" w:fill="FFFFFF"/>
          <w:lang w:val="en-US"/>
        </w:rPr>
        <w:t>, I. (2009).</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Family control and dilution in mergers.</w:t>
      </w:r>
      <w:proofErr w:type="gramEnd"/>
      <w:r w:rsidRPr="0092570E">
        <w:rPr>
          <w:sz w:val="23"/>
          <w:szCs w:val="23"/>
          <w:shd w:val="clear" w:color="auto" w:fill="FFFFFF"/>
          <w:lang w:val="en-US"/>
        </w:rPr>
        <w:t> </w:t>
      </w:r>
      <w:r w:rsidRPr="0092570E">
        <w:rPr>
          <w:i/>
          <w:iCs/>
          <w:sz w:val="23"/>
          <w:szCs w:val="23"/>
          <w:shd w:val="clear" w:color="auto" w:fill="FFFFFF"/>
          <w:lang w:val="en-US"/>
        </w:rPr>
        <w:t>Journal of Banking &amp; Finance</w:t>
      </w:r>
      <w:r w:rsidRPr="0092570E">
        <w:rPr>
          <w:sz w:val="23"/>
          <w:szCs w:val="23"/>
          <w:shd w:val="clear" w:color="auto" w:fill="FFFFFF"/>
          <w:lang w:val="en-US"/>
        </w:rPr>
        <w:t>, </w:t>
      </w:r>
      <w:r w:rsidRPr="0092570E">
        <w:rPr>
          <w:i/>
          <w:iCs/>
          <w:sz w:val="23"/>
          <w:szCs w:val="23"/>
          <w:shd w:val="clear" w:color="auto" w:fill="FFFFFF"/>
          <w:lang w:val="en-US"/>
        </w:rPr>
        <w:t>33</w:t>
      </w:r>
      <w:r w:rsidRPr="0092570E">
        <w:rPr>
          <w:sz w:val="23"/>
          <w:szCs w:val="23"/>
          <w:shd w:val="clear" w:color="auto" w:fill="FFFFFF"/>
          <w:lang w:val="en-US"/>
        </w:rPr>
        <w:t>(5), 829-841.</w:t>
      </w:r>
    </w:p>
    <w:p w:rsidR="005A2A75" w:rsidRPr="0092570E" w:rsidRDefault="005A2A75" w:rsidP="00104264">
      <w:pPr>
        <w:spacing w:after="80"/>
        <w:ind w:left="482" w:hanging="482"/>
        <w:rPr>
          <w:sz w:val="23"/>
          <w:szCs w:val="23"/>
          <w:shd w:val="clear" w:color="auto" w:fill="FFFFFF"/>
          <w:lang w:val="en-US"/>
        </w:rPr>
      </w:pPr>
      <w:proofErr w:type="spellStart"/>
      <w:r w:rsidRPr="0092570E">
        <w:rPr>
          <w:sz w:val="23"/>
          <w:szCs w:val="23"/>
          <w:shd w:val="clear" w:color="auto" w:fill="FFFFFF"/>
          <w:lang w:val="en-US"/>
        </w:rPr>
        <w:t>Bauguess</w:t>
      </w:r>
      <w:proofErr w:type="spellEnd"/>
      <w:r w:rsidRPr="0092570E">
        <w:rPr>
          <w:sz w:val="23"/>
          <w:szCs w:val="23"/>
          <w:shd w:val="clear" w:color="auto" w:fill="FFFFFF"/>
          <w:lang w:val="en-US"/>
        </w:rPr>
        <w:t xml:space="preserve">, S., &amp; </w:t>
      </w:r>
      <w:proofErr w:type="spellStart"/>
      <w:r w:rsidRPr="0092570E">
        <w:rPr>
          <w:sz w:val="23"/>
          <w:szCs w:val="23"/>
          <w:shd w:val="clear" w:color="auto" w:fill="FFFFFF"/>
          <w:lang w:val="en-US"/>
        </w:rPr>
        <w:t>Stegemoller</w:t>
      </w:r>
      <w:proofErr w:type="spellEnd"/>
      <w:r w:rsidRPr="0092570E">
        <w:rPr>
          <w:sz w:val="23"/>
          <w:szCs w:val="23"/>
          <w:shd w:val="clear" w:color="auto" w:fill="FFFFFF"/>
          <w:lang w:val="en-US"/>
        </w:rPr>
        <w:t xml:space="preserve">, M. (2008). </w:t>
      </w:r>
      <w:proofErr w:type="gramStart"/>
      <w:r w:rsidRPr="0092570E">
        <w:rPr>
          <w:sz w:val="23"/>
          <w:szCs w:val="23"/>
          <w:shd w:val="clear" w:color="auto" w:fill="FFFFFF"/>
          <w:lang w:val="en-US"/>
        </w:rPr>
        <w:t>Protective governance choices and the value of acquisition activity.</w:t>
      </w:r>
      <w:proofErr w:type="gramEnd"/>
      <w:r w:rsidRPr="0092570E">
        <w:rPr>
          <w:sz w:val="23"/>
          <w:szCs w:val="23"/>
          <w:shd w:val="clear" w:color="auto" w:fill="FFFFFF"/>
          <w:lang w:val="en-US"/>
        </w:rPr>
        <w:t> </w:t>
      </w:r>
      <w:r w:rsidRPr="0092570E">
        <w:rPr>
          <w:i/>
          <w:iCs/>
          <w:sz w:val="23"/>
          <w:szCs w:val="23"/>
          <w:shd w:val="clear" w:color="auto" w:fill="FFFFFF"/>
          <w:lang w:val="en-US"/>
        </w:rPr>
        <w:t>Journal of Corporate Finance</w:t>
      </w:r>
      <w:r w:rsidRPr="0092570E">
        <w:rPr>
          <w:sz w:val="23"/>
          <w:szCs w:val="23"/>
          <w:shd w:val="clear" w:color="auto" w:fill="FFFFFF"/>
          <w:lang w:val="en-US"/>
        </w:rPr>
        <w:t>, </w:t>
      </w:r>
      <w:r w:rsidRPr="0092570E">
        <w:rPr>
          <w:i/>
          <w:iCs/>
          <w:sz w:val="23"/>
          <w:szCs w:val="23"/>
          <w:shd w:val="clear" w:color="auto" w:fill="FFFFFF"/>
          <w:lang w:val="en-US"/>
        </w:rPr>
        <w:t>14</w:t>
      </w:r>
      <w:r w:rsidRPr="0092570E">
        <w:rPr>
          <w:sz w:val="23"/>
          <w:szCs w:val="23"/>
          <w:shd w:val="clear" w:color="auto" w:fill="FFFFFF"/>
          <w:lang w:val="en-US"/>
        </w:rPr>
        <w:t>(5), 550-566.</w:t>
      </w:r>
    </w:p>
    <w:p w:rsidR="005A2A75" w:rsidRPr="0092570E" w:rsidRDefault="005A2A75" w:rsidP="00104264">
      <w:pPr>
        <w:spacing w:after="80"/>
        <w:ind w:left="482" w:hanging="482"/>
        <w:rPr>
          <w:sz w:val="23"/>
          <w:szCs w:val="23"/>
          <w:shd w:val="clear" w:color="auto" w:fill="FFFFFF"/>
          <w:lang w:val="en-US"/>
        </w:rPr>
      </w:pPr>
      <w:proofErr w:type="gramStart"/>
      <w:r w:rsidRPr="0092570E">
        <w:rPr>
          <w:sz w:val="23"/>
          <w:szCs w:val="23"/>
          <w:shd w:val="clear" w:color="auto" w:fill="FFFFFF"/>
          <w:lang w:val="en-US"/>
        </w:rPr>
        <w:t>Ben‐Amar, W., &amp; André, P. (2006).</w:t>
      </w:r>
      <w:proofErr w:type="gramEnd"/>
      <w:r w:rsidRPr="0092570E">
        <w:rPr>
          <w:sz w:val="23"/>
          <w:szCs w:val="23"/>
          <w:shd w:val="clear" w:color="auto" w:fill="FFFFFF"/>
          <w:lang w:val="en-US"/>
        </w:rPr>
        <w:t xml:space="preserve"> Separation of ownership from control and acquiring firm performance: the case of family ownership in Canada.</w:t>
      </w:r>
      <w:r w:rsidRPr="0092570E">
        <w:rPr>
          <w:rStyle w:val="apple-converted-space"/>
          <w:sz w:val="23"/>
          <w:szCs w:val="23"/>
          <w:shd w:val="clear" w:color="auto" w:fill="FFFFFF"/>
          <w:lang w:val="en-US"/>
        </w:rPr>
        <w:t> </w:t>
      </w:r>
      <w:r w:rsidRPr="0092570E">
        <w:rPr>
          <w:i/>
          <w:iCs/>
          <w:sz w:val="23"/>
          <w:szCs w:val="23"/>
          <w:shd w:val="clear" w:color="auto" w:fill="FFFFFF"/>
          <w:lang w:val="en-US"/>
        </w:rPr>
        <w:t>Journal of Business Finance &amp; Accounting</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33</w:t>
      </w:r>
      <w:r w:rsidRPr="0092570E">
        <w:rPr>
          <w:sz w:val="23"/>
          <w:szCs w:val="23"/>
          <w:shd w:val="clear" w:color="auto" w:fill="FFFFFF"/>
          <w:lang w:val="en-US"/>
        </w:rPr>
        <w:t>(3‐4), 517-543.</w:t>
      </w:r>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Bennedsen</w:t>
      </w:r>
      <w:proofErr w:type="spellEnd"/>
      <w:r w:rsidRPr="0092570E">
        <w:rPr>
          <w:sz w:val="23"/>
          <w:szCs w:val="23"/>
          <w:shd w:val="clear" w:color="auto" w:fill="FFFFFF"/>
          <w:lang w:val="en-US"/>
        </w:rPr>
        <w:t xml:space="preserve">, M., Pérez-González, F., &amp; </w:t>
      </w:r>
      <w:proofErr w:type="spellStart"/>
      <w:r w:rsidRPr="0092570E">
        <w:rPr>
          <w:sz w:val="23"/>
          <w:szCs w:val="23"/>
          <w:shd w:val="clear" w:color="auto" w:fill="FFFFFF"/>
          <w:lang w:val="en-US"/>
        </w:rPr>
        <w:t>Wolfenzon</w:t>
      </w:r>
      <w:proofErr w:type="spellEnd"/>
      <w:r w:rsidRPr="0092570E">
        <w:rPr>
          <w:sz w:val="23"/>
          <w:szCs w:val="23"/>
          <w:shd w:val="clear" w:color="auto" w:fill="FFFFFF"/>
          <w:lang w:val="en-US"/>
        </w:rPr>
        <w:t>, D. (2010).</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The governance of family firms.</w:t>
      </w:r>
      <w:proofErr w:type="gramEnd"/>
      <w:r w:rsidRPr="0092570E">
        <w:rPr>
          <w:rStyle w:val="apple-converted-space"/>
          <w:sz w:val="23"/>
          <w:szCs w:val="23"/>
          <w:shd w:val="clear" w:color="auto" w:fill="FFFFFF"/>
          <w:lang w:val="en-US"/>
        </w:rPr>
        <w:t> </w:t>
      </w:r>
      <w:r w:rsidRPr="0092570E">
        <w:rPr>
          <w:i/>
          <w:iCs/>
          <w:sz w:val="23"/>
          <w:szCs w:val="23"/>
          <w:shd w:val="clear" w:color="auto" w:fill="FFFFFF"/>
          <w:lang w:val="en-US"/>
        </w:rPr>
        <w:t>Corporate Governance: a Synthesis of Theory, Research, and Practice</w:t>
      </w:r>
      <w:r w:rsidRPr="0092570E">
        <w:rPr>
          <w:sz w:val="23"/>
          <w:szCs w:val="23"/>
          <w:shd w:val="clear" w:color="auto" w:fill="FFFFFF"/>
          <w:lang w:val="en-US"/>
        </w:rPr>
        <w:t>, 371-389.</w:t>
      </w:r>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Berrone</w:t>
      </w:r>
      <w:proofErr w:type="spellEnd"/>
      <w:r w:rsidRPr="0092570E">
        <w:rPr>
          <w:sz w:val="23"/>
          <w:szCs w:val="23"/>
          <w:shd w:val="clear" w:color="auto" w:fill="FFFFFF"/>
          <w:lang w:val="en-US"/>
        </w:rPr>
        <w:t>, P., Cruz, C., &amp; Gomez-Mejia, L. R. (2012).</w:t>
      </w:r>
      <w:proofErr w:type="gramEnd"/>
      <w:r w:rsidRPr="0092570E">
        <w:rPr>
          <w:sz w:val="23"/>
          <w:szCs w:val="23"/>
          <w:shd w:val="clear" w:color="auto" w:fill="FFFFFF"/>
          <w:lang w:val="en-US"/>
        </w:rPr>
        <w:t xml:space="preserve"> </w:t>
      </w:r>
      <w:proofErr w:type="spellStart"/>
      <w:r w:rsidRPr="0092570E">
        <w:rPr>
          <w:sz w:val="23"/>
          <w:szCs w:val="23"/>
          <w:shd w:val="clear" w:color="auto" w:fill="FFFFFF"/>
          <w:lang w:val="en-US"/>
        </w:rPr>
        <w:t>Socioemotional</w:t>
      </w:r>
      <w:proofErr w:type="spellEnd"/>
      <w:r w:rsidRPr="0092570E">
        <w:rPr>
          <w:sz w:val="23"/>
          <w:szCs w:val="23"/>
          <w:shd w:val="clear" w:color="auto" w:fill="FFFFFF"/>
          <w:lang w:val="en-US"/>
        </w:rPr>
        <w:t xml:space="preserve"> wealth in family firms: theoretical dimensions, assessment approaches, and agenda for future research.</w:t>
      </w:r>
      <w:r w:rsidRPr="0092570E">
        <w:rPr>
          <w:rStyle w:val="apple-converted-space"/>
          <w:sz w:val="23"/>
          <w:szCs w:val="23"/>
          <w:shd w:val="clear" w:color="auto" w:fill="FFFFFF"/>
          <w:lang w:val="en-US"/>
        </w:rPr>
        <w:t> </w:t>
      </w:r>
      <w:r w:rsidRPr="0092570E">
        <w:rPr>
          <w:i/>
          <w:iCs/>
          <w:sz w:val="23"/>
          <w:szCs w:val="23"/>
          <w:shd w:val="clear" w:color="auto" w:fill="FFFFFF"/>
          <w:lang w:val="en-US"/>
        </w:rPr>
        <w:t>Family Business Review</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25</w:t>
      </w:r>
      <w:r w:rsidRPr="0092570E">
        <w:rPr>
          <w:sz w:val="23"/>
          <w:szCs w:val="23"/>
          <w:shd w:val="clear" w:color="auto" w:fill="FFFFFF"/>
          <w:lang w:val="en-US"/>
        </w:rPr>
        <w:t>(3), 258-279.</w:t>
      </w:r>
    </w:p>
    <w:p w:rsidR="005A2A75" w:rsidRPr="0092570E" w:rsidRDefault="005A2A75" w:rsidP="00104264">
      <w:pPr>
        <w:spacing w:after="80"/>
        <w:ind w:left="482" w:hanging="482"/>
        <w:rPr>
          <w:sz w:val="23"/>
          <w:szCs w:val="23"/>
          <w:shd w:val="clear" w:color="auto" w:fill="FFFFFF"/>
          <w:lang w:val="en-US"/>
        </w:rPr>
      </w:pPr>
      <w:proofErr w:type="spellStart"/>
      <w:r w:rsidRPr="0092570E">
        <w:rPr>
          <w:sz w:val="23"/>
          <w:szCs w:val="23"/>
          <w:shd w:val="clear" w:color="auto" w:fill="FFFFFF"/>
          <w:lang w:val="en-US"/>
        </w:rPr>
        <w:t>Bjursell</w:t>
      </w:r>
      <w:proofErr w:type="spellEnd"/>
      <w:r w:rsidRPr="0092570E">
        <w:rPr>
          <w:sz w:val="23"/>
          <w:szCs w:val="23"/>
          <w:shd w:val="clear" w:color="auto" w:fill="FFFFFF"/>
          <w:lang w:val="en-US"/>
        </w:rPr>
        <w:t xml:space="preserve">, C. (2011). </w:t>
      </w:r>
      <w:proofErr w:type="gramStart"/>
      <w:r w:rsidRPr="0092570E">
        <w:rPr>
          <w:sz w:val="23"/>
          <w:szCs w:val="23"/>
          <w:shd w:val="clear" w:color="auto" w:fill="FFFFFF"/>
          <w:lang w:val="en-US"/>
        </w:rPr>
        <w:t>Cultural divergence in merging family businesses.</w:t>
      </w:r>
      <w:proofErr w:type="gramEnd"/>
      <w:r w:rsidRPr="0092570E">
        <w:rPr>
          <w:sz w:val="23"/>
          <w:szCs w:val="23"/>
          <w:shd w:val="clear" w:color="auto" w:fill="FFFFFF"/>
          <w:lang w:val="en-US"/>
        </w:rPr>
        <w:t> </w:t>
      </w:r>
      <w:r w:rsidRPr="0092570E">
        <w:rPr>
          <w:i/>
          <w:iCs/>
          <w:sz w:val="23"/>
          <w:szCs w:val="23"/>
          <w:shd w:val="clear" w:color="auto" w:fill="FFFFFF"/>
          <w:lang w:val="en-US"/>
        </w:rPr>
        <w:t>Journal of Family Business Strategy</w:t>
      </w:r>
      <w:r w:rsidRPr="0092570E">
        <w:rPr>
          <w:sz w:val="23"/>
          <w:szCs w:val="23"/>
          <w:shd w:val="clear" w:color="auto" w:fill="FFFFFF"/>
          <w:lang w:val="en-US"/>
        </w:rPr>
        <w:t>, </w:t>
      </w:r>
      <w:r w:rsidRPr="0092570E">
        <w:rPr>
          <w:i/>
          <w:iCs/>
          <w:sz w:val="23"/>
          <w:szCs w:val="23"/>
          <w:shd w:val="clear" w:color="auto" w:fill="FFFFFF"/>
          <w:lang w:val="en-US"/>
        </w:rPr>
        <w:t>2</w:t>
      </w:r>
      <w:r w:rsidRPr="0092570E">
        <w:rPr>
          <w:sz w:val="23"/>
          <w:szCs w:val="23"/>
          <w:shd w:val="clear" w:color="auto" w:fill="FFFFFF"/>
          <w:lang w:val="en-US"/>
        </w:rPr>
        <w:t>(2), 69-77.</w:t>
      </w:r>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Bouzgarrou</w:t>
      </w:r>
      <w:proofErr w:type="spellEnd"/>
      <w:r w:rsidRPr="0092570E">
        <w:rPr>
          <w:sz w:val="23"/>
          <w:szCs w:val="23"/>
          <w:shd w:val="clear" w:color="auto" w:fill="FFFFFF"/>
          <w:lang w:val="en-US"/>
        </w:rPr>
        <w:t xml:space="preserve">, H., &amp; </w:t>
      </w:r>
      <w:proofErr w:type="spellStart"/>
      <w:r w:rsidRPr="0092570E">
        <w:rPr>
          <w:sz w:val="23"/>
          <w:szCs w:val="23"/>
          <w:shd w:val="clear" w:color="auto" w:fill="FFFFFF"/>
          <w:lang w:val="en-US"/>
        </w:rPr>
        <w:t>Navatte</w:t>
      </w:r>
      <w:proofErr w:type="spellEnd"/>
      <w:r w:rsidRPr="0092570E">
        <w:rPr>
          <w:sz w:val="23"/>
          <w:szCs w:val="23"/>
          <w:shd w:val="clear" w:color="auto" w:fill="FFFFFF"/>
          <w:lang w:val="en-US"/>
        </w:rPr>
        <w:t>, P. (2013).</w:t>
      </w:r>
      <w:proofErr w:type="gramEnd"/>
      <w:r w:rsidRPr="0092570E">
        <w:rPr>
          <w:sz w:val="23"/>
          <w:szCs w:val="23"/>
          <w:shd w:val="clear" w:color="auto" w:fill="FFFFFF"/>
          <w:lang w:val="en-US"/>
        </w:rPr>
        <w:t xml:space="preserve"> Ownership structure and acquirers performance: family vs. non-family firms. </w:t>
      </w:r>
      <w:r w:rsidRPr="0092570E">
        <w:rPr>
          <w:i/>
          <w:iCs/>
          <w:sz w:val="23"/>
          <w:szCs w:val="23"/>
          <w:shd w:val="clear" w:color="auto" w:fill="FFFFFF"/>
          <w:lang w:val="en-US"/>
        </w:rPr>
        <w:t>International Review of Financial Analysis</w:t>
      </w:r>
      <w:r w:rsidRPr="0092570E">
        <w:rPr>
          <w:sz w:val="23"/>
          <w:szCs w:val="23"/>
          <w:shd w:val="clear" w:color="auto" w:fill="FFFFFF"/>
          <w:lang w:val="en-US"/>
        </w:rPr>
        <w:t>, </w:t>
      </w:r>
      <w:r w:rsidRPr="0092570E">
        <w:rPr>
          <w:i/>
          <w:iCs/>
          <w:sz w:val="23"/>
          <w:szCs w:val="23"/>
          <w:shd w:val="clear" w:color="auto" w:fill="FFFFFF"/>
          <w:lang w:val="en-US"/>
        </w:rPr>
        <w:t>27</w:t>
      </w:r>
      <w:r w:rsidRPr="0092570E">
        <w:rPr>
          <w:sz w:val="23"/>
          <w:szCs w:val="23"/>
          <w:shd w:val="clear" w:color="auto" w:fill="FFFFFF"/>
          <w:lang w:val="en-US"/>
        </w:rPr>
        <w:t>, 123-134.</w:t>
      </w:r>
    </w:p>
    <w:p w:rsidR="005A2A75" w:rsidRPr="0092570E" w:rsidRDefault="005A2A75" w:rsidP="00104264">
      <w:pPr>
        <w:spacing w:after="80"/>
        <w:ind w:left="482" w:hanging="482"/>
        <w:rPr>
          <w:sz w:val="23"/>
          <w:szCs w:val="23"/>
          <w:shd w:val="clear" w:color="auto" w:fill="FFFFFF"/>
        </w:rPr>
      </w:pPr>
      <w:proofErr w:type="spellStart"/>
      <w:proofErr w:type="gramStart"/>
      <w:r w:rsidRPr="0092570E">
        <w:rPr>
          <w:sz w:val="23"/>
          <w:szCs w:val="23"/>
          <w:shd w:val="clear" w:color="auto" w:fill="FFFFFF"/>
          <w:lang w:val="en-US"/>
        </w:rPr>
        <w:t>Brito</w:t>
      </w:r>
      <w:proofErr w:type="spellEnd"/>
      <w:r w:rsidRPr="0092570E">
        <w:rPr>
          <w:sz w:val="23"/>
          <w:szCs w:val="23"/>
          <w:shd w:val="clear" w:color="auto" w:fill="FFFFFF"/>
          <w:lang w:val="en-US"/>
        </w:rPr>
        <w:t xml:space="preserve">, G. A. S., </w:t>
      </w:r>
      <w:proofErr w:type="spellStart"/>
      <w:r w:rsidRPr="0092570E">
        <w:rPr>
          <w:sz w:val="23"/>
          <w:szCs w:val="23"/>
          <w:shd w:val="clear" w:color="auto" w:fill="FFFFFF"/>
          <w:lang w:val="en-US"/>
        </w:rPr>
        <w:t>Batistella</w:t>
      </w:r>
      <w:proofErr w:type="spellEnd"/>
      <w:r w:rsidRPr="0092570E">
        <w:rPr>
          <w:sz w:val="23"/>
          <w:szCs w:val="23"/>
          <w:shd w:val="clear" w:color="auto" w:fill="FFFFFF"/>
          <w:lang w:val="en-US"/>
        </w:rPr>
        <w:t xml:space="preserve">, F. D., &amp; </w:t>
      </w:r>
      <w:proofErr w:type="spellStart"/>
      <w:r w:rsidRPr="0092570E">
        <w:rPr>
          <w:sz w:val="23"/>
          <w:szCs w:val="23"/>
          <w:shd w:val="clear" w:color="auto" w:fill="FFFFFF"/>
          <w:lang w:val="en-US"/>
        </w:rPr>
        <w:t>Famá</w:t>
      </w:r>
      <w:proofErr w:type="spellEnd"/>
      <w:r w:rsidRPr="0092570E">
        <w:rPr>
          <w:sz w:val="23"/>
          <w:szCs w:val="23"/>
          <w:shd w:val="clear" w:color="auto" w:fill="FFFFFF"/>
          <w:lang w:val="en-US"/>
        </w:rPr>
        <w:t>, R. (2005).</w:t>
      </w:r>
      <w:proofErr w:type="gramEnd"/>
      <w:r w:rsidRPr="0092570E">
        <w:rPr>
          <w:sz w:val="23"/>
          <w:szCs w:val="23"/>
          <w:shd w:val="clear" w:color="auto" w:fill="FFFFFF"/>
          <w:lang w:val="en-US"/>
        </w:rPr>
        <w:t xml:space="preserve"> </w:t>
      </w:r>
      <w:r w:rsidRPr="0092570E">
        <w:rPr>
          <w:sz w:val="23"/>
          <w:szCs w:val="23"/>
          <w:shd w:val="clear" w:color="auto" w:fill="FFFFFF"/>
        </w:rPr>
        <w:t>Fusões e aquisições no setor bancário: avaliação empírica do efeito sobre o valor das ações. </w:t>
      </w:r>
      <w:r w:rsidRPr="0092570E">
        <w:rPr>
          <w:i/>
          <w:iCs/>
          <w:sz w:val="23"/>
          <w:szCs w:val="23"/>
          <w:shd w:val="clear" w:color="auto" w:fill="FFFFFF"/>
        </w:rPr>
        <w:t>Revista de Administração-RAUSP</w:t>
      </w:r>
      <w:r w:rsidRPr="0092570E">
        <w:rPr>
          <w:sz w:val="23"/>
          <w:szCs w:val="23"/>
          <w:shd w:val="clear" w:color="auto" w:fill="FFFFFF"/>
        </w:rPr>
        <w:t>, </w:t>
      </w:r>
      <w:r w:rsidRPr="0092570E">
        <w:rPr>
          <w:i/>
          <w:iCs/>
          <w:sz w:val="23"/>
          <w:szCs w:val="23"/>
          <w:shd w:val="clear" w:color="auto" w:fill="FFFFFF"/>
        </w:rPr>
        <w:t>40</w:t>
      </w:r>
      <w:r w:rsidRPr="0092570E">
        <w:rPr>
          <w:sz w:val="23"/>
          <w:szCs w:val="23"/>
          <w:shd w:val="clear" w:color="auto" w:fill="FFFFFF"/>
        </w:rPr>
        <w:t>(4).</w:t>
      </w:r>
    </w:p>
    <w:p w:rsidR="005A2A75" w:rsidRPr="0092570E" w:rsidRDefault="005A2A75" w:rsidP="00104264">
      <w:pPr>
        <w:spacing w:after="80"/>
        <w:ind w:left="482" w:hanging="482"/>
        <w:rPr>
          <w:sz w:val="23"/>
          <w:szCs w:val="23"/>
          <w:shd w:val="clear" w:color="auto" w:fill="FFFFFF"/>
          <w:lang w:val="en-US"/>
        </w:rPr>
      </w:pPr>
      <w:r w:rsidRPr="0092570E">
        <w:rPr>
          <w:sz w:val="23"/>
          <w:szCs w:val="23"/>
          <w:shd w:val="clear" w:color="auto" w:fill="FFFFFF"/>
        </w:rPr>
        <w:t>Brown, S. J</w:t>
      </w:r>
      <w:proofErr w:type="gramStart"/>
      <w:r w:rsidRPr="0092570E">
        <w:rPr>
          <w:sz w:val="23"/>
          <w:szCs w:val="23"/>
          <w:shd w:val="clear" w:color="auto" w:fill="FFFFFF"/>
        </w:rPr>
        <w:t>.,</w:t>
      </w:r>
      <w:proofErr w:type="gramEnd"/>
      <w:r w:rsidRPr="0092570E">
        <w:rPr>
          <w:sz w:val="23"/>
          <w:szCs w:val="23"/>
          <w:shd w:val="clear" w:color="auto" w:fill="FFFFFF"/>
        </w:rPr>
        <w:t xml:space="preserve"> &amp; Warner, J. B. (1980). </w:t>
      </w:r>
      <w:proofErr w:type="gramStart"/>
      <w:r w:rsidRPr="0092570E">
        <w:rPr>
          <w:sz w:val="23"/>
          <w:szCs w:val="23"/>
          <w:shd w:val="clear" w:color="auto" w:fill="FFFFFF"/>
          <w:lang w:val="en-US"/>
        </w:rPr>
        <w:t>Measuring security price performance.</w:t>
      </w:r>
      <w:proofErr w:type="gramEnd"/>
      <w:r w:rsidRPr="0092570E">
        <w:rPr>
          <w:sz w:val="23"/>
          <w:szCs w:val="23"/>
          <w:shd w:val="clear" w:color="auto" w:fill="FFFFFF"/>
          <w:lang w:val="en-US"/>
        </w:rPr>
        <w:t> </w:t>
      </w:r>
      <w:r w:rsidRPr="0092570E">
        <w:rPr>
          <w:i/>
          <w:iCs/>
          <w:sz w:val="23"/>
          <w:szCs w:val="23"/>
          <w:shd w:val="clear" w:color="auto" w:fill="FFFFFF"/>
          <w:lang w:val="en-US"/>
        </w:rPr>
        <w:t xml:space="preserve">Journal of </w:t>
      </w:r>
      <w:r w:rsidR="00730BA4" w:rsidRPr="0092570E">
        <w:rPr>
          <w:i/>
          <w:iCs/>
          <w:sz w:val="23"/>
          <w:szCs w:val="23"/>
          <w:shd w:val="clear" w:color="auto" w:fill="FFFFFF"/>
          <w:lang w:val="en-US"/>
        </w:rPr>
        <w:t>F</w:t>
      </w:r>
      <w:r w:rsidRPr="0092570E">
        <w:rPr>
          <w:i/>
          <w:iCs/>
          <w:sz w:val="23"/>
          <w:szCs w:val="23"/>
          <w:shd w:val="clear" w:color="auto" w:fill="FFFFFF"/>
          <w:lang w:val="en-US"/>
        </w:rPr>
        <w:t xml:space="preserve">inancial </w:t>
      </w:r>
      <w:r w:rsidR="00730BA4" w:rsidRPr="0092570E">
        <w:rPr>
          <w:i/>
          <w:iCs/>
          <w:sz w:val="23"/>
          <w:szCs w:val="23"/>
          <w:shd w:val="clear" w:color="auto" w:fill="FFFFFF"/>
          <w:lang w:val="en-US"/>
        </w:rPr>
        <w:t>E</w:t>
      </w:r>
      <w:r w:rsidRPr="0092570E">
        <w:rPr>
          <w:i/>
          <w:iCs/>
          <w:sz w:val="23"/>
          <w:szCs w:val="23"/>
          <w:shd w:val="clear" w:color="auto" w:fill="FFFFFF"/>
          <w:lang w:val="en-US"/>
        </w:rPr>
        <w:t>conomics</w:t>
      </w:r>
      <w:r w:rsidRPr="0092570E">
        <w:rPr>
          <w:sz w:val="23"/>
          <w:szCs w:val="23"/>
          <w:shd w:val="clear" w:color="auto" w:fill="FFFFFF"/>
          <w:lang w:val="en-US"/>
        </w:rPr>
        <w:t>, </w:t>
      </w:r>
      <w:r w:rsidRPr="0092570E">
        <w:rPr>
          <w:i/>
          <w:iCs/>
          <w:sz w:val="23"/>
          <w:szCs w:val="23"/>
          <w:shd w:val="clear" w:color="auto" w:fill="FFFFFF"/>
          <w:lang w:val="en-US"/>
        </w:rPr>
        <w:t>8</w:t>
      </w:r>
      <w:r w:rsidRPr="0092570E">
        <w:rPr>
          <w:sz w:val="23"/>
          <w:szCs w:val="23"/>
          <w:shd w:val="clear" w:color="auto" w:fill="FFFFFF"/>
          <w:lang w:val="en-US"/>
        </w:rPr>
        <w:t>(3), 205-258.</w:t>
      </w:r>
    </w:p>
    <w:p w:rsidR="005A2A75" w:rsidRPr="0092570E" w:rsidRDefault="005A2A75" w:rsidP="00104264">
      <w:pPr>
        <w:spacing w:after="80"/>
        <w:ind w:left="482" w:hanging="482"/>
        <w:rPr>
          <w:sz w:val="23"/>
          <w:szCs w:val="23"/>
          <w:shd w:val="clear" w:color="auto" w:fill="FFFFFF"/>
        </w:rPr>
      </w:pPr>
      <w:proofErr w:type="spellStart"/>
      <w:r w:rsidRPr="0092570E">
        <w:rPr>
          <w:sz w:val="23"/>
          <w:szCs w:val="23"/>
          <w:shd w:val="clear" w:color="auto" w:fill="FFFFFF"/>
        </w:rPr>
        <w:t>Camargos</w:t>
      </w:r>
      <w:proofErr w:type="spellEnd"/>
      <w:r w:rsidRPr="0092570E">
        <w:rPr>
          <w:sz w:val="23"/>
          <w:szCs w:val="23"/>
          <w:shd w:val="clear" w:color="auto" w:fill="FFFFFF"/>
        </w:rPr>
        <w:t xml:space="preserve">, M. A., &amp; Barbosa, F. V. (2005). Análise empírica da hipótese de maximização da riqueza dos acionistas nos processos de fusão e aquisição </w:t>
      </w:r>
      <w:proofErr w:type="gramStart"/>
      <w:r w:rsidRPr="0092570E">
        <w:rPr>
          <w:sz w:val="23"/>
          <w:szCs w:val="23"/>
          <w:shd w:val="clear" w:color="auto" w:fill="FFFFFF"/>
        </w:rPr>
        <w:t>ocorridos no mercado de capitais brasileiro</w:t>
      </w:r>
      <w:proofErr w:type="gramEnd"/>
      <w:r w:rsidRPr="0092570E">
        <w:rPr>
          <w:sz w:val="23"/>
          <w:szCs w:val="23"/>
          <w:shd w:val="clear" w:color="auto" w:fill="FFFFFF"/>
        </w:rPr>
        <w:t xml:space="preserve"> pós-plano real. </w:t>
      </w:r>
      <w:r w:rsidRPr="0092570E">
        <w:rPr>
          <w:i/>
          <w:iCs/>
          <w:sz w:val="23"/>
          <w:szCs w:val="23"/>
          <w:shd w:val="clear" w:color="auto" w:fill="FFFFFF"/>
        </w:rPr>
        <w:t>REGE Revista de Gestão</w:t>
      </w:r>
      <w:r w:rsidRPr="0092570E">
        <w:rPr>
          <w:sz w:val="23"/>
          <w:szCs w:val="23"/>
          <w:shd w:val="clear" w:color="auto" w:fill="FFFFFF"/>
        </w:rPr>
        <w:t>, </w:t>
      </w:r>
      <w:r w:rsidRPr="0092570E">
        <w:rPr>
          <w:i/>
          <w:iCs/>
          <w:sz w:val="23"/>
          <w:szCs w:val="23"/>
          <w:shd w:val="clear" w:color="auto" w:fill="FFFFFF"/>
        </w:rPr>
        <w:t>12</w:t>
      </w:r>
      <w:r w:rsidRPr="0092570E">
        <w:rPr>
          <w:sz w:val="23"/>
          <w:szCs w:val="23"/>
          <w:shd w:val="clear" w:color="auto" w:fill="FFFFFF"/>
        </w:rPr>
        <w:t>(4), 33-53.</w:t>
      </w:r>
    </w:p>
    <w:p w:rsidR="005A2A75" w:rsidRPr="0092570E" w:rsidRDefault="005A2A75" w:rsidP="00104264">
      <w:pPr>
        <w:spacing w:after="80"/>
        <w:ind w:left="482" w:hanging="482"/>
        <w:rPr>
          <w:sz w:val="23"/>
          <w:szCs w:val="23"/>
          <w:shd w:val="clear" w:color="auto" w:fill="FFFFFF"/>
        </w:rPr>
      </w:pPr>
      <w:proofErr w:type="spellStart"/>
      <w:r w:rsidRPr="0092570E">
        <w:rPr>
          <w:sz w:val="23"/>
          <w:szCs w:val="23"/>
          <w:shd w:val="clear" w:color="auto" w:fill="FFFFFF"/>
        </w:rPr>
        <w:t>Camargos</w:t>
      </w:r>
      <w:proofErr w:type="spellEnd"/>
      <w:r w:rsidRPr="0092570E">
        <w:rPr>
          <w:sz w:val="23"/>
          <w:szCs w:val="23"/>
          <w:shd w:val="clear" w:color="auto" w:fill="FFFFFF"/>
        </w:rPr>
        <w:t>, M. A., &amp; Barbosa, F. V. (2009). Fusões e aquisições de empresas brasileiras: criação de valor e sinergias operacionais.</w:t>
      </w:r>
      <w:r w:rsidRPr="0092570E">
        <w:rPr>
          <w:rStyle w:val="apple-converted-space"/>
          <w:sz w:val="23"/>
          <w:szCs w:val="23"/>
          <w:shd w:val="clear" w:color="auto" w:fill="FFFFFF"/>
        </w:rPr>
        <w:t> </w:t>
      </w:r>
      <w:r w:rsidRPr="0092570E">
        <w:rPr>
          <w:i/>
          <w:iCs/>
          <w:sz w:val="23"/>
          <w:szCs w:val="23"/>
          <w:shd w:val="clear" w:color="auto" w:fill="FFFFFF"/>
        </w:rPr>
        <w:t>Revista de Administração de Empresas</w:t>
      </w:r>
      <w:r w:rsidRPr="0092570E">
        <w:rPr>
          <w:sz w:val="23"/>
          <w:szCs w:val="23"/>
          <w:shd w:val="clear" w:color="auto" w:fill="FFFFFF"/>
        </w:rPr>
        <w:t>,</w:t>
      </w:r>
      <w:r w:rsidRPr="0092570E">
        <w:rPr>
          <w:rStyle w:val="apple-converted-space"/>
          <w:sz w:val="23"/>
          <w:szCs w:val="23"/>
          <w:shd w:val="clear" w:color="auto" w:fill="FFFFFF"/>
        </w:rPr>
        <w:t> </w:t>
      </w:r>
      <w:r w:rsidRPr="0092570E">
        <w:rPr>
          <w:i/>
          <w:iCs/>
          <w:sz w:val="23"/>
          <w:szCs w:val="23"/>
          <w:shd w:val="clear" w:color="auto" w:fill="FFFFFF"/>
        </w:rPr>
        <w:t>49</w:t>
      </w:r>
      <w:r w:rsidRPr="0092570E">
        <w:rPr>
          <w:sz w:val="23"/>
          <w:szCs w:val="23"/>
          <w:shd w:val="clear" w:color="auto" w:fill="FFFFFF"/>
        </w:rPr>
        <w:t>(2), 206-220.</w:t>
      </w:r>
    </w:p>
    <w:p w:rsidR="005A2A75" w:rsidRPr="0092570E" w:rsidRDefault="005A2A75" w:rsidP="00104264">
      <w:pPr>
        <w:spacing w:after="80"/>
        <w:ind w:left="482" w:hanging="482"/>
        <w:rPr>
          <w:sz w:val="23"/>
          <w:szCs w:val="23"/>
          <w:shd w:val="clear" w:color="auto" w:fill="FFFFFF"/>
          <w:lang w:val="en-US"/>
        </w:rPr>
      </w:pPr>
      <w:r w:rsidRPr="0092570E">
        <w:rPr>
          <w:sz w:val="23"/>
          <w:szCs w:val="23"/>
          <w:shd w:val="clear" w:color="auto" w:fill="FFFFFF"/>
        </w:rPr>
        <w:lastRenderedPageBreak/>
        <w:t xml:space="preserve">Caprio, L., </w:t>
      </w:r>
      <w:proofErr w:type="spellStart"/>
      <w:r w:rsidRPr="0092570E">
        <w:rPr>
          <w:sz w:val="23"/>
          <w:szCs w:val="23"/>
          <w:shd w:val="clear" w:color="auto" w:fill="FFFFFF"/>
        </w:rPr>
        <w:t>Croci</w:t>
      </w:r>
      <w:proofErr w:type="spellEnd"/>
      <w:r w:rsidRPr="0092570E">
        <w:rPr>
          <w:sz w:val="23"/>
          <w:szCs w:val="23"/>
          <w:shd w:val="clear" w:color="auto" w:fill="FFFFFF"/>
        </w:rPr>
        <w:t>, E</w:t>
      </w:r>
      <w:proofErr w:type="gramStart"/>
      <w:r w:rsidRPr="0092570E">
        <w:rPr>
          <w:sz w:val="23"/>
          <w:szCs w:val="23"/>
          <w:shd w:val="clear" w:color="auto" w:fill="FFFFFF"/>
        </w:rPr>
        <w:t>.,</w:t>
      </w:r>
      <w:proofErr w:type="gramEnd"/>
      <w:r w:rsidRPr="0092570E">
        <w:rPr>
          <w:sz w:val="23"/>
          <w:szCs w:val="23"/>
          <w:shd w:val="clear" w:color="auto" w:fill="FFFFFF"/>
        </w:rPr>
        <w:t xml:space="preserve"> &amp; Del </w:t>
      </w:r>
      <w:proofErr w:type="spellStart"/>
      <w:r w:rsidRPr="0092570E">
        <w:rPr>
          <w:sz w:val="23"/>
          <w:szCs w:val="23"/>
          <w:shd w:val="clear" w:color="auto" w:fill="FFFFFF"/>
        </w:rPr>
        <w:t>Giudice</w:t>
      </w:r>
      <w:proofErr w:type="spellEnd"/>
      <w:r w:rsidRPr="0092570E">
        <w:rPr>
          <w:sz w:val="23"/>
          <w:szCs w:val="23"/>
          <w:shd w:val="clear" w:color="auto" w:fill="FFFFFF"/>
        </w:rPr>
        <w:t xml:space="preserve">, A. (2011). </w:t>
      </w:r>
      <w:proofErr w:type="gramStart"/>
      <w:r w:rsidRPr="0092570E">
        <w:rPr>
          <w:sz w:val="23"/>
          <w:szCs w:val="23"/>
          <w:shd w:val="clear" w:color="auto" w:fill="FFFFFF"/>
          <w:lang w:val="en-US"/>
        </w:rPr>
        <w:t>Ownership structure, family control, and acquisition decisions.</w:t>
      </w:r>
      <w:proofErr w:type="gramEnd"/>
      <w:r w:rsidRPr="0092570E">
        <w:rPr>
          <w:rStyle w:val="apple-converted-space"/>
          <w:sz w:val="23"/>
          <w:szCs w:val="23"/>
          <w:shd w:val="clear" w:color="auto" w:fill="FFFFFF"/>
          <w:lang w:val="en-US"/>
        </w:rPr>
        <w:t> </w:t>
      </w:r>
      <w:r w:rsidRPr="0092570E">
        <w:rPr>
          <w:i/>
          <w:iCs/>
          <w:sz w:val="23"/>
          <w:szCs w:val="23"/>
          <w:shd w:val="clear" w:color="auto" w:fill="FFFFFF"/>
          <w:lang w:val="en-US"/>
        </w:rPr>
        <w:t>Journal of Corporate Finance</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17</w:t>
      </w:r>
      <w:r w:rsidRPr="0092570E">
        <w:rPr>
          <w:sz w:val="23"/>
          <w:szCs w:val="23"/>
          <w:shd w:val="clear" w:color="auto" w:fill="FFFFFF"/>
          <w:lang w:val="en-US"/>
        </w:rPr>
        <w:t>(5), 1636-1657.</w:t>
      </w:r>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Cesari</w:t>
      </w:r>
      <w:proofErr w:type="spellEnd"/>
      <w:r w:rsidRPr="0092570E">
        <w:rPr>
          <w:sz w:val="23"/>
          <w:szCs w:val="23"/>
          <w:shd w:val="clear" w:color="auto" w:fill="FFFFFF"/>
          <w:lang w:val="en-US"/>
        </w:rPr>
        <w:t xml:space="preserve">, A., </w:t>
      </w:r>
      <w:proofErr w:type="spellStart"/>
      <w:r w:rsidRPr="0092570E">
        <w:rPr>
          <w:sz w:val="23"/>
          <w:szCs w:val="23"/>
          <w:shd w:val="clear" w:color="auto" w:fill="FFFFFF"/>
          <w:lang w:val="en-US"/>
        </w:rPr>
        <w:t>Gonenc</w:t>
      </w:r>
      <w:proofErr w:type="spellEnd"/>
      <w:r w:rsidRPr="0092570E">
        <w:rPr>
          <w:sz w:val="23"/>
          <w:szCs w:val="23"/>
          <w:shd w:val="clear" w:color="auto" w:fill="FFFFFF"/>
          <w:lang w:val="en-US"/>
        </w:rPr>
        <w:t xml:space="preserve">, H., &amp; </w:t>
      </w:r>
      <w:proofErr w:type="spellStart"/>
      <w:r w:rsidRPr="0092570E">
        <w:rPr>
          <w:sz w:val="23"/>
          <w:szCs w:val="23"/>
          <w:shd w:val="clear" w:color="auto" w:fill="FFFFFF"/>
          <w:lang w:val="en-US"/>
        </w:rPr>
        <w:t>Ozkan</w:t>
      </w:r>
      <w:proofErr w:type="spellEnd"/>
      <w:r w:rsidRPr="0092570E">
        <w:rPr>
          <w:sz w:val="23"/>
          <w:szCs w:val="23"/>
          <w:shd w:val="clear" w:color="auto" w:fill="FFFFFF"/>
          <w:lang w:val="en-US"/>
        </w:rPr>
        <w:t>, N. (2016).</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The effects of corporate acquisitions on CEO compensation and CEO turnover of family firms.</w:t>
      </w:r>
      <w:proofErr w:type="gramEnd"/>
      <w:r w:rsidRPr="0092570E">
        <w:rPr>
          <w:rStyle w:val="apple-converted-space"/>
          <w:sz w:val="23"/>
          <w:szCs w:val="23"/>
          <w:shd w:val="clear" w:color="auto" w:fill="FFFFFF"/>
          <w:lang w:val="en-US"/>
        </w:rPr>
        <w:t> </w:t>
      </w:r>
      <w:r w:rsidRPr="0092570E">
        <w:rPr>
          <w:i/>
          <w:iCs/>
          <w:sz w:val="23"/>
          <w:szCs w:val="23"/>
          <w:shd w:val="clear" w:color="auto" w:fill="FFFFFF"/>
          <w:lang w:val="en-US"/>
        </w:rPr>
        <w:t>Journal of Corporate Finance</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38</w:t>
      </w:r>
      <w:r w:rsidRPr="0092570E">
        <w:rPr>
          <w:sz w:val="23"/>
          <w:szCs w:val="23"/>
          <w:shd w:val="clear" w:color="auto" w:fill="FFFFFF"/>
          <w:lang w:val="en-US"/>
        </w:rPr>
        <w:t>, 294-317.</w:t>
      </w:r>
    </w:p>
    <w:p w:rsidR="005A2A75" w:rsidRPr="0092570E" w:rsidRDefault="005A2A75" w:rsidP="00104264">
      <w:pPr>
        <w:spacing w:after="80"/>
        <w:ind w:left="482" w:hanging="482"/>
        <w:rPr>
          <w:sz w:val="23"/>
          <w:szCs w:val="23"/>
          <w:shd w:val="clear" w:color="auto" w:fill="FFFFFF"/>
          <w:lang w:val="en-US"/>
        </w:rPr>
      </w:pPr>
      <w:proofErr w:type="gramStart"/>
      <w:r w:rsidRPr="0092570E">
        <w:rPr>
          <w:sz w:val="23"/>
          <w:szCs w:val="23"/>
          <w:shd w:val="clear" w:color="auto" w:fill="FFFFFF"/>
          <w:lang w:val="en-US"/>
        </w:rPr>
        <w:t>Chen, H. L., &amp; Hsu, W. T. (2009).</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Family ownership, board independence, and R&amp;D investment.</w:t>
      </w:r>
      <w:proofErr w:type="gramEnd"/>
      <w:r w:rsidRPr="0092570E">
        <w:rPr>
          <w:sz w:val="23"/>
          <w:szCs w:val="23"/>
          <w:shd w:val="clear" w:color="auto" w:fill="FFFFFF"/>
          <w:lang w:val="en-US"/>
        </w:rPr>
        <w:t> </w:t>
      </w:r>
      <w:r w:rsidRPr="0092570E">
        <w:rPr>
          <w:i/>
          <w:iCs/>
          <w:sz w:val="23"/>
          <w:szCs w:val="23"/>
          <w:shd w:val="clear" w:color="auto" w:fill="FFFFFF"/>
          <w:lang w:val="en-US"/>
        </w:rPr>
        <w:t>Family Business Review</w:t>
      </w:r>
      <w:r w:rsidRPr="0092570E">
        <w:rPr>
          <w:sz w:val="23"/>
          <w:szCs w:val="23"/>
          <w:shd w:val="clear" w:color="auto" w:fill="FFFFFF"/>
          <w:lang w:val="en-US"/>
        </w:rPr>
        <w:t>, </w:t>
      </w:r>
      <w:r w:rsidRPr="0092570E">
        <w:rPr>
          <w:i/>
          <w:iCs/>
          <w:sz w:val="23"/>
          <w:szCs w:val="23"/>
          <w:shd w:val="clear" w:color="auto" w:fill="FFFFFF"/>
          <w:lang w:val="en-US"/>
        </w:rPr>
        <w:t>22</w:t>
      </w:r>
      <w:r w:rsidRPr="0092570E">
        <w:rPr>
          <w:sz w:val="23"/>
          <w:szCs w:val="23"/>
          <w:shd w:val="clear" w:color="auto" w:fill="FFFFFF"/>
          <w:lang w:val="en-US"/>
        </w:rPr>
        <w:t>(4), 347-362.</w:t>
      </w:r>
    </w:p>
    <w:p w:rsidR="005A2A75" w:rsidRPr="0092570E" w:rsidRDefault="005A2A75" w:rsidP="00104264">
      <w:pPr>
        <w:spacing w:after="80"/>
        <w:ind w:left="482" w:hanging="482"/>
        <w:rPr>
          <w:sz w:val="23"/>
          <w:szCs w:val="23"/>
          <w:shd w:val="clear" w:color="auto" w:fill="FFFFFF"/>
          <w:lang w:val="en-US"/>
        </w:rPr>
      </w:pPr>
      <w:proofErr w:type="gramStart"/>
      <w:r w:rsidRPr="0092570E">
        <w:rPr>
          <w:sz w:val="23"/>
          <w:szCs w:val="23"/>
          <w:shd w:val="clear" w:color="auto" w:fill="FFFFFF"/>
          <w:lang w:val="en-US"/>
        </w:rPr>
        <w:t xml:space="preserve">Chen, S., Chen, X., Cheng, Q., &amp; </w:t>
      </w:r>
      <w:proofErr w:type="spellStart"/>
      <w:r w:rsidRPr="0092570E">
        <w:rPr>
          <w:sz w:val="23"/>
          <w:szCs w:val="23"/>
          <w:shd w:val="clear" w:color="auto" w:fill="FFFFFF"/>
          <w:lang w:val="en-US"/>
        </w:rPr>
        <w:t>Shevlin</w:t>
      </w:r>
      <w:proofErr w:type="spellEnd"/>
      <w:r w:rsidRPr="0092570E">
        <w:rPr>
          <w:sz w:val="23"/>
          <w:szCs w:val="23"/>
          <w:shd w:val="clear" w:color="auto" w:fill="FFFFFF"/>
          <w:lang w:val="en-US"/>
        </w:rPr>
        <w:t>, T. (2010).</w:t>
      </w:r>
      <w:proofErr w:type="gramEnd"/>
      <w:r w:rsidRPr="0092570E">
        <w:rPr>
          <w:sz w:val="23"/>
          <w:szCs w:val="23"/>
          <w:shd w:val="clear" w:color="auto" w:fill="FFFFFF"/>
          <w:lang w:val="en-US"/>
        </w:rPr>
        <w:t xml:space="preserve"> Are family firms more tax aggressive than non-family firms?</w:t>
      </w:r>
      <w:r w:rsidRPr="0092570E">
        <w:rPr>
          <w:rStyle w:val="apple-converted-space"/>
          <w:sz w:val="23"/>
          <w:szCs w:val="23"/>
          <w:shd w:val="clear" w:color="auto" w:fill="FFFFFF"/>
          <w:lang w:val="en-US"/>
        </w:rPr>
        <w:t> </w:t>
      </w:r>
      <w:r w:rsidRPr="0092570E">
        <w:rPr>
          <w:i/>
          <w:iCs/>
          <w:sz w:val="23"/>
          <w:szCs w:val="23"/>
          <w:shd w:val="clear" w:color="auto" w:fill="FFFFFF"/>
          <w:lang w:val="en-US"/>
        </w:rPr>
        <w:t>Journal of Financial Economics</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95</w:t>
      </w:r>
      <w:r w:rsidRPr="0092570E">
        <w:rPr>
          <w:sz w:val="23"/>
          <w:szCs w:val="23"/>
          <w:shd w:val="clear" w:color="auto" w:fill="FFFFFF"/>
          <w:lang w:val="en-US"/>
        </w:rPr>
        <w:t>(1), 41-61.</w:t>
      </w:r>
    </w:p>
    <w:p w:rsidR="005A2A75" w:rsidRPr="0092570E" w:rsidRDefault="005A2A75" w:rsidP="00104264">
      <w:pPr>
        <w:spacing w:after="80"/>
        <w:ind w:left="482" w:hanging="482"/>
        <w:rPr>
          <w:sz w:val="23"/>
          <w:szCs w:val="23"/>
          <w:shd w:val="clear" w:color="auto" w:fill="FFFFFF"/>
          <w:lang w:val="en-US"/>
        </w:rPr>
      </w:pPr>
      <w:proofErr w:type="gramStart"/>
      <w:r w:rsidRPr="0092570E">
        <w:rPr>
          <w:sz w:val="23"/>
          <w:szCs w:val="23"/>
          <w:shd w:val="clear" w:color="auto" w:fill="FFFFFF"/>
          <w:lang w:val="en-US"/>
        </w:rPr>
        <w:t>Chua, J. H., Chrisman, J. J., &amp; Sharma, P. (1999).</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Defining the family business by behavior.</w:t>
      </w:r>
      <w:proofErr w:type="gramEnd"/>
      <w:r w:rsidRPr="0092570E">
        <w:rPr>
          <w:rStyle w:val="apple-converted-space"/>
          <w:sz w:val="23"/>
          <w:szCs w:val="23"/>
          <w:shd w:val="clear" w:color="auto" w:fill="FFFFFF"/>
          <w:lang w:val="en-US"/>
        </w:rPr>
        <w:t> </w:t>
      </w:r>
      <w:r w:rsidRPr="0092570E">
        <w:rPr>
          <w:i/>
          <w:iCs/>
          <w:sz w:val="23"/>
          <w:szCs w:val="23"/>
          <w:shd w:val="clear" w:color="auto" w:fill="FFFFFF"/>
          <w:lang w:val="en-US"/>
        </w:rPr>
        <w:t>Entrepreneurship: Theory and Practice</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23</w:t>
      </w:r>
      <w:r w:rsidRPr="0092570E">
        <w:rPr>
          <w:sz w:val="23"/>
          <w:szCs w:val="23"/>
          <w:shd w:val="clear" w:color="auto" w:fill="FFFFFF"/>
          <w:lang w:val="en-US"/>
        </w:rPr>
        <w:t>(4), 19-19.</w:t>
      </w:r>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Craninckx</w:t>
      </w:r>
      <w:proofErr w:type="spellEnd"/>
      <w:r w:rsidRPr="0092570E">
        <w:rPr>
          <w:sz w:val="23"/>
          <w:szCs w:val="23"/>
          <w:shd w:val="clear" w:color="auto" w:fill="FFFFFF"/>
          <w:lang w:val="en-US"/>
        </w:rPr>
        <w:t xml:space="preserve">, K., &amp; </w:t>
      </w:r>
      <w:proofErr w:type="spellStart"/>
      <w:r w:rsidRPr="0092570E">
        <w:rPr>
          <w:sz w:val="23"/>
          <w:szCs w:val="23"/>
          <w:shd w:val="clear" w:color="auto" w:fill="FFFFFF"/>
          <w:lang w:val="en-US"/>
        </w:rPr>
        <w:t>Huyghebaert</w:t>
      </w:r>
      <w:proofErr w:type="spellEnd"/>
      <w:r w:rsidRPr="0092570E">
        <w:rPr>
          <w:sz w:val="23"/>
          <w:szCs w:val="23"/>
          <w:shd w:val="clear" w:color="auto" w:fill="FFFFFF"/>
          <w:lang w:val="en-US"/>
        </w:rPr>
        <w:t>, N. (2015).</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Large shareholders and value creation through corporate acquisitions in Europe.</w:t>
      </w:r>
      <w:proofErr w:type="gramEnd"/>
      <w:r w:rsidRPr="0092570E">
        <w:rPr>
          <w:sz w:val="23"/>
          <w:szCs w:val="23"/>
          <w:shd w:val="clear" w:color="auto" w:fill="FFFFFF"/>
          <w:lang w:val="en-US"/>
        </w:rPr>
        <w:t xml:space="preserve"> The identity of the controlling shareholder matters. </w:t>
      </w:r>
      <w:r w:rsidRPr="0092570E">
        <w:rPr>
          <w:i/>
          <w:iCs/>
          <w:sz w:val="23"/>
          <w:szCs w:val="23"/>
          <w:shd w:val="clear" w:color="auto" w:fill="FFFFFF"/>
          <w:lang w:val="en-US"/>
        </w:rPr>
        <w:t>European Management Journal</w:t>
      </w:r>
      <w:r w:rsidRPr="0092570E">
        <w:rPr>
          <w:sz w:val="23"/>
          <w:szCs w:val="23"/>
          <w:shd w:val="clear" w:color="auto" w:fill="FFFFFF"/>
          <w:lang w:val="en-US"/>
        </w:rPr>
        <w:t>, </w:t>
      </w:r>
      <w:r w:rsidRPr="0092570E">
        <w:rPr>
          <w:i/>
          <w:iCs/>
          <w:sz w:val="23"/>
          <w:szCs w:val="23"/>
          <w:shd w:val="clear" w:color="auto" w:fill="FFFFFF"/>
          <w:lang w:val="en-US"/>
        </w:rPr>
        <w:t>33</w:t>
      </w:r>
      <w:r w:rsidRPr="0092570E">
        <w:rPr>
          <w:sz w:val="23"/>
          <w:szCs w:val="23"/>
          <w:shd w:val="clear" w:color="auto" w:fill="FFFFFF"/>
          <w:lang w:val="en-US"/>
        </w:rPr>
        <w:t>(2), 116-131.</w:t>
      </w:r>
    </w:p>
    <w:p w:rsidR="005A2A75" w:rsidRPr="0092570E" w:rsidRDefault="005A2A75" w:rsidP="00104264">
      <w:pPr>
        <w:spacing w:after="80"/>
        <w:ind w:left="482" w:hanging="482"/>
        <w:rPr>
          <w:sz w:val="23"/>
          <w:szCs w:val="23"/>
          <w:shd w:val="clear" w:color="auto" w:fill="FFFFFF"/>
          <w:lang w:val="en-US"/>
        </w:rPr>
      </w:pPr>
      <w:r w:rsidRPr="0092570E">
        <w:rPr>
          <w:sz w:val="23"/>
          <w:szCs w:val="23"/>
          <w:shd w:val="clear" w:color="auto" w:fill="FFFFFF"/>
          <w:lang w:val="en-US"/>
        </w:rPr>
        <w:t xml:space="preserve">Diaz, B. D., &amp; </w:t>
      </w:r>
      <w:proofErr w:type="spellStart"/>
      <w:r w:rsidRPr="0092570E">
        <w:rPr>
          <w:sz w:val="23"/>
          <w:szCs w:val="23"/>
          <w:shd w:val="clear" w:color="auto" w:fill="FFFFFF"/>
          <w:lang w:val="en-US"/>
        </w:rPr>
        <w:t>Azofra</w:t>
      </w:r>
      <w:proofErr w:type="spellEnd"/>
      <w:r w:rsidRPr="0092570E">
        <w:rPr>
          <w:sz w:val="23"/>
          <w:szCs w:val="23"/>
          <w:shd w:val="clear" w:color="auto" w:fill="FFFFFF"/>
          <w:lang w:val="en-US"/>
        </w:rPr>
        <w:t>, S. S. (2009). Determinants of premiums paid in European banking mergers and acquisitions.</w:t>
      </w:r>
      <w:r w:rsidRPr="0092570E">
        <w:rPr>
          <w:rStyle w:val="apple-converted-space"/>
          <w:sz w:val="23"/>
          <w:szCs w:val="23"/>
          <w:shd w:val="clear" w:color="auto" w:fill="FFFFFF"/>
          <w:lang w:val="en-US"/>
        </w:rPr>
        <w:t> </w:t>
      </w:r>
      <w:r w:rsidRPr="0092570E">
        <w:rPr>
          <w:i/>
          <w:iCs/>
          <w:sz w:val="23"/>
          <w:szCs w:val="23"/>
          <w:shd w:val="clear" w:color="auto" w:fill="FFFFFF"/>
          <w:lang w:val="en-US"/>
        </w:rPr>
        <w:t>International Journal of Banking, Accounting and Finance</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1</w:t>
      </w:r>
      <w:r w:rsidRPr="0092570E">
        <w:rPr>
          <w:sz w:val="23"/>
          <w:szCs w:val="23"/>
          <w:shd w:val="clear" w:color="auto" w:fill="FFFFFF"/>
          <w:lang w:val="en-US"/>
        </w:rPr>
        <w:t>(4), 358-380.</w:t>
      </w:r>
    </w:p>
    <w:p w:rsidR="005A2A75" w:rsidRPr="0092570E" w:rsidRDefault="005A2A75" w:rsidP="00104264">
      <w:pPr>
        <w:spacing w:after="80"/>
        <w:ind w:left="482" w:hanging="482"/>
        <w:rPr>
          <w:sz w:val="23"/>
          <w:szCs w:val="23"/>
          <w:shd w:val="clear" w:color="auto" w:fill="FFFFFF"/>
          <w:lang w:val="en-US"/>
        </w:rPr>
      </w:pPr>
      <w:proofErr w:type="gramStart"/>
      <w:r w:rsidRPr="0092570E">
        <w:rPr>
          <w:sz w:val="23"/>
          <w:szCs w:val="23"/>
          <w:shd w:val="clear" w:color="auto" w:fill="FFFFFF"/>
          <w:lang w:val="en-US"/>
        </w:rPr>
        <w:t xml:space="preserve">Du, M., &amp; </w:t>
      </w:r>
      <w:proofErr w:type="spellStart"/>
      <w:r w:rsidRPr="0092570E">
        <w:rPr>
          <w:sz w:val="23"/>
          <w:szCs w:val="23"/>
          <w:shd w:val="clear" w:color="auto" w:fill="FFFFFF"/>
          <w:lang w:val="en-US"/>
        </w:rPr>
        <w:t>Boateng</w:t>
      </w:r>
      <w:proofErr w:type="spellEnd"/>
      <w:r w:rsidRPr="0092570E">
        <w:rPr>
          <w:sz w:val="23"/>
          <w:szCs w:val="23"/>
          <w:shd w:val="clear" w:color="auto" w:fill="FFFFFF"/>
          <w:lang w:val="en-US"/>
        </w:rPr>
        <w:t>, A. (2015).</w:t>
      </w:r>
      <w:proofErr w:type="gramEnd"/>
      <w:r w:rsidRPr="0092570E">
        <w:rPr>
          <w:sz w:val="23"/>
          <w:szCs w:val="23"/>
          <w:shd w:val="clear" w:color="auto" w:fill="FFFFFF"/>
          <w:lang w:val="en-US"/>
        </w:rPr>
        <w:t xml:space="preserve"> State ownership, institutional effects and value creation in cross-border mergers &amp; acquisitions by Chinese firms. </w:t>
      </w:r>
      <w:r w:rsidRPr="0092570E">
        <w:rPr>
          <w:i/>
          <w:iCs/>
          <w:sz w:val="23"/>
          <w:szCs w:val="23"/>
          <w:shd w:val="clear" w:color="auto" w:fill="FFFFFF"/>
          <w:lang w:val="en-US"/>
        </w:rPr>
        <w:t>International Business Review</w:t>
      </w:r>
      <w:r w:rsidRPr="0092570E">
        <w:rPr>
          <w:sz w:val="23"/>
          <w:szCs w:val="23"/>
          <w:shd w:val="clear" w:color="auto" w:fill="FFFFFF"/>
          <w:lang w:val="en-US"/>
        </w:rPr>
        <w:t>, </w:t>
      </w:r>
      <w:r w:rsidRPr="0092570E">
        <w:rPr>
          <w:i/>
          <w:iCs/>
          <w:sz w:val="23"/>
          <w:szCs w:val="23"/>
          <w:shd w:val="clear" w:color="auto" w:fill="FFFFFF"/>
          <w:lang w:val="en-US"/>
        </w:rPr>
        <w:t>24</w:t>
      </w:r>
      <w:r w:rsidRPr="0092570E">
        <w:rPr>
          <w:sz w:val="23"/>
          <w:szCs w:val="23"/>
          <w:shd w:val="clear" w:color="auto" w:fill="FFFFFF"/>
          <w:lang w:val="en-US"/>
        </w:rPr>
        <w:t>(3), 430-442.</w:t>
      </w:r>
    </w:p>
    <w:p w:rsidR="005A2A75" w:rsidRPr="0092570E" w:rsidRDefault="005A2A75" w:rsidP="00104264">
      <w:pPr>
        <w:spacing w:after="80"/>
        <w:ind w:left="482" w:hanging="482"/>
        <w:rPr>
          <w:sz w:val="23"/>
          <w:szCs w:val="23"/>
          <w:shd w:val="clear" w:color="auto" w:fill="FFFFFF"/>
        </w:rPr>
      </w:pPr>
      <w:r w:rsidRPr="0092570E">
        <w:rPr>
          <w:sz w:val="23"/>
          <w:szCs w:val="23"/>
          <w:shd w:val="clear" w:color="auto" w:fill="FFFFFF"/>
        </w:rPr>
        <w:t xml:space="preserve">Fávero, L. P., &amp; </w:t>
      </w:r>
      <w:proofErr w:type="spellStart"/>
      <w:r w:rsidRPr="0092570E">
        <w:rPr>
          <w:sz w:val="23"/>
          <w:szCs w:val="23"/>
          <w:shd w:val="clear" w:color="auto" w:fill="FFFFFF"/>
        </w:rPr>
        <w:t>Belfiore</w:t>
      </w:r>
      <w:proofErr w:type="spellEnd"/>
      <w:r w:rsidRPr="0092570E">
        <w:rPr>
          <w:sz w:val="23"/>
          <w:szCs w:val="23"/>
          <w:shd w:val="clear" w:color="auto" w:fill="FFFFFF"/>
        </w:rPr>
        <w:t>, P. (2017). </w:t>
      </w:r>
      <w:r w:rsidRPr="0092570E">
        <w:rPr>
          <w:i/>
          <w:iCs/>
          <w:sz w:val="23"/>
          <w:szCs w:val="23"/>
          <w:shd w:val="clear" w:color="auto" w:fill="FFFFFF"/>
        </w:rPr>
        <w:t xml:space="preserve">Manual de análise de dados: estatística e modelagem multivariada com Excel®, SPSS® e </w:t>
      </w:r>
      <w:proofErr w:type="spellStart"/>
      <w:r w:rsidRPr="0092570E">
        <w:rPr>
          <w:i/>
          <w:iCs/>
          <w:sz w:val="23"/>
          <w:szCs w:val="23"/>
          <w:shd w:val="clear" w:color="auto" w:fill="FFFFFF"/>
        </w:rPr>
        <w:t>Stata</w:t>
      </w:r>
      <w:proofErr w:type="spellEnd"/>
      <w:r w:rsidRPr="0092570E">
        <w:rPr>
          <w:i/>
          <w:iCs/>
          <w:sz w:val="23"/>
          <w:szCs w:val="23"/>
          <w:shd w:val="clear" w:color="auto" w:fill="FFFFFF"/>
        </w:rPr>
        <w:t>®</w:t>
      </w:r>
      <w:r w:rsidRPr="0092570E">
        <w:rPr>
          <w:sz w:val="23"/>
          <w:szCs w:val="23"/>
          <w:shd w:val="clear" w:color="auto" w:fill="FFFFFF"/>
        </w:rPr>
        <w:t xml:space="preserve">. </w:t>
      </w:r>
      <w:proofErr w:type="spellStart"/>
      <w:r w:rsidRPr="0092570E">
        <w:rPr>
          <w:sz w:val="23"/>
          <w:szCs w:val="23"/>
          <w:shd w:val="clear" w:color="auto" w:fill="FFFFFF"/>
        </w:rPr>
        <w:t>Elsevier</w:t>
      </w:r>
      <w:proofErr w:type="spellEnd"/>
      <w:r w:rsidRPr="0092570E">
        <w:rPr>
          <w:sz w:val="23"/>
          <w:szCs w:val="23"/>
          <w:shd w:val="clear" w:color="auto" w:fill="FFFFFF"/>
        </w:rPr>
        <w:t xml:space="preserve"> Brasil.</w:t>
      </w:r>
    </w:p>
    <w:p w:rsidR="005A2A75" w:rsidRPr="0092570E" w:rsidRDefault="005A2A75" w:rsidP="00104264">
      <w:pPr>
        <w:spacing w:after="80"/>
        <w:ind w:left="482" w:hanging="482"/>
        <w:rPr>
          <w:sz w:val="23"/>
          <w:szCs w:val="23"/>
          <w:shd w:val="clear" w:color="auto" w:fill="FFFFFF"/>
          <w:lang w:val="en-US"/>
        </w:rPr>
      </w:pPr>
      <w:proofErr w:type="spellStart"/>
      <w:r w:rsidRPr="0092570E">
        <w:rPr>
          <w:sz w:val="23"/>
          <w:szCs w:val="23"/>
          <w:shd w:val="clear" w:color="auto" w:fill="FFFFFF"/>
          <w:lang w:val="en-US"/>
        </w:rPr>
        <w:t>Feito</w:t>
      </w:r>
      <w:proofErr w:type="spellEnd"/>
      <w:r w:rsidRPr="0092570E">
        <w:rPr>
          <w:sz w:val="23"/>
          <w:szCs w:val="23"/>
          <w:shd w:val="clear" w:color="auto" w:fill="FFFFFF"/>
          <w:lang w:val="en-US"/>
        </w:rPr>
        <w:t>-Ruiz, I., &amp; Menéndez-</w:t>
      </w:r>
      <w:proofErr w:type="spellStart"/>
      <w:r w:rsidRPr="0092570E">
        <w:rPr>
          <w:sz w:val="23"/>
          <w:szCs w:val="23"/>
          <w:shd w:val="clear" w:color="auto" w:fill="FFFFFF"/>
          <w:lang w:val="en-US"/>
        </w:rPr>
        <w:t>Requejo</w:t>
      </w:r>
      <w:proofErr w:type="spellEnd"/>
      <w:r w:rsidRPr="0092570E">
        <w:rPr>
          <w:sz w:val="23"/>
          <w:szCs w:val="23"/>
          <w:shd w:val="clear" w:color="auto" w:fill="FFFFFF"/>
          <w:lang w:val="en-US"/>
        </w:rPr>
        <w:t xml:space="preserve">, S. (2010). </w:t>
      </w:r>
      <w:proofErr w:type="gramStart"/>
      <w:r w:rsidRPr="0092570E">
        <w:rPr>
          <w:sz w:val="23"/>
          <w:szCs w:val="23"/>
          <w:shd w:val="clear" w:color="auto" w:fill="FFFFFF"/>
          <w:lang w:val="en-US"/>
        </w:rPr>
        <w:t>Family firm mergers and acquisitions in different legal environments.</w:t>
      </w:r>
      <w:proofErr w:type="gramEnd"/>
      <w:r w:rsidRPr="0092570E">
        <w:rPr>
          <w:sz w:val="23"/>
          <w:szCs w:val="23"/>
          <w:shd w:val="clear" w:color="auto" w:fill="FFFFFF"/>
          <w:lang w:val="en-US"/>
        </w:rPr>
        <w:t> </w:t>
      </w:r>
      <w:r w:rsidRPr="0092570E">
        <w:rPr>
          <w:i/>
          <w:iCs/>
          <w:sz w:val="23"/>
          <w:szCs w:val="23"/>
          <w:shd w:val="clear" w:color="auto" w:fill="FFFFFF"/>
          <w:lang w:val="en-US"/>
        </w:rPr>
        <w:t>Family Business Review</w:t>
      </w:r>
      <w:r w:rsidRPr="0092570E">
        <w:rPr>
          <w:sz w:val="23"/>
          <w:szCs w:val="23"/>
          <w:shd w:val="clear" w:color="auto" w:fill="FFFFFF"/>
          <w:lang w:val="en-US"/>
        </w:rPr>
        <w:t>, </w:t>
      </w:r>
      <w:r w:rsidRPr="0092570E">
        <w:rPr>
          <w:i/>
          <w:iCs/>
          <w:sz w:val="23"/>
          <w:szCs w:val="23"/>
          <w:shd w:val="clear" w:color="auto" w:fill="FFFFFF"/>
          <w:lang w:val="en-US"/>
        </w:rPr>
        <w:t>23</w:t>
      </w:r>
      <w:r w:rsidRPr="0092570E">
        <w:rPr>
          <w:sz w:val="23"/>
          <w:szCs w:val="23"/>
          <w:shd w:val="clear" w:color="auto" w:fill="FFFFFF"/>
          <w:lang w:val="en-US"/>
        </w:rPr>
        <w:t>(1), 60-75.</w:t>
      </w:r>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Geppert</w:t>
      </w:r>
      <w:proofErr w:type="spellEnd"/>
      <w:r w:rsidRPr="0092570E">
        <w:rPr>
          <w:sz w:val="23"/>
          <w:szCs w:val="23"/>
          <w:shd w:val="clear" w:color="auto" w:fill="FFFFFF"/>
          <w:lang w:val="en-US"/>
        </w:rPr>
        <w:t xml:space="preserve">, M., </w:t>
      </w:r>
      <w:proofErr w:type="spellStart"/>
      <w:r w:rsidRPr="0092570E">
        <w:rPr>
          <w:sz w:val="23"/>
          <w:szCs w:val="23"/>
          <w:shd w:val="clear" w:color="auto" w:fill="FFFFFF"/>
          <w:lang w:val="en-US"/>
        </w:rPr>
        <w:t>Dörrenbächer</w:t>
      </w:r>
      <w:proofErr w:type="spellEnd"/>
      <w:r w:rsidRPr="0092570E">
        <w:rPr>
          <w:sz w:val="23"/>
          <w:szCs w:val="23"/>
          <w:shd w:val="clear" w:color="auto" w:fill="FFFFFF"/>
          <w:lang w:val="en-US"/>
        </w:rPr>
        <w:t xml:space="preserve">, C., </w:t>
      </w:r>
      <w:proofErr w:type="spellStart"/>
      <w:r w:rsidRPr="0092570E">
        <w:rPr>
          <w:sz w:val="23"/>
          <w:szCs w:val="23"/>
          <w:shd w:val="clear" w:color="auto" w:fill="FFFFFF"/>
          <w:lang w:val="en-US"/>
        </w:rPr>
        <w:t>Gammelgaard</w:t>
      </w:r>
      <w:proofErr w:type="spellEnd"/>
      <w:r w:rsidRPr="0092570E">
        <w:rPr>
          <w:sz w:val="23"/>
          <w:szCs w:val="23"/>
          <w:shd w:val="clear" w:color="auto" w:fill="FFFFFF"/>
          <w:lang w:val="en-US"/>
        </w:rPr>
        <w:t xml:space="preserve">, J., &amp; </w:t>
      </w:r>
      <w:proofErr w:type="spellStart"/>
      <w:r w:rsidRPr="0092570E">
        <w:rPr>
          <w:sz w:val="23"/>
          <w:szCs w:val="23"/>
          <w:shd w:val="clear" w:color="auto" w:fill="FFFFFF"/>
          <w:lang w:val="en-US"/>
        </w:rPr>
        <w:t>Taplin</w:t>
      </w:r>
      <w:proofErr w:type="spellEnd"/>
      <w:r w:rsidRPr="0092570E">
        <w:rPr>
          <w:sz w:val="23"/>
          <w:szCs w:val="23"/>
          <w:shd w:val="clear" w:color="auto" w:fill="FFFFFF"/>
          <w:lang w:val="en-US"/>
        </w:rPr>
        <w:t>, I. (2013).</w:t>
      </w:r>
      <w:proofErr w:type="gramEnd"/>
      <w:r w:rsidRPr="0092570E">
        <w:rPr>
          <w:sz w:val="23"/>
          <w:szCs w:val="23"/>
          <w:shd w:val="clear" w:color="auto" w:fill="FFFFFF"/>
          <w:lang w:val="en-US"/>
        </w:rPr>
        <w:t xml:space="preserve"> Managerial Risk‐taking in International Acquisitions in the Brewery Industry: Institutional and Ownership Influences Compared. </w:t>
      </w:r>
      <w:r w:rsidRPr="0092570E">
        <w:rPr>
          <w:i/>
          <w:iCs/>
          <w:sz w:val="23"/>
          <w:szCs w:val="23"/>
          <w:shd w:val="clear" w:color="auto" w:fill="FFFFFF"/>
          <w:lang w:val="en-US"/>
        </w:rPr>
        <w:t>British Journal of Management</w:t>
      </w:r>
      <w:r w:rsidRPr="0092570E">
        <w:rPr>
          <w:sz w:val="23"/>
          <w:szCs w:val="23"/>
          <w:shd w:val="clear" w:color="auto" w:fill="FFFFFF"/>
          <w:lang w:val="en-US"/>
        </w:rPr>
        <w:t>, </w:t>
      </w:r>
      <w:r w:rsidRPr="0092570E">
        <w:rPr>
          <w:i/>
          <w:iCs/>
          <w:sz w:val="23"/>
          <w:szCs w:val="23"/>
          <w:shd w:val="clear" w:color="auto" w:fill="FFFFFF"/>
          <w:lang w:val="en-US"/>
        </w:rPr>
        <w:t>24</w:t>
      </w:r>
      <w:r w:rsidRPr="0092570E">
        <w:rPr>
          <w:sz w:val="23"/>
          <w:szCs w:val="23"/>
          <w:shd w:val="clear" w:color="auto" w:fill="FFFFFF"/>
          <w:lang w:val="en-US"/>
        </w:rPr>
        <w:t xml:space="preserve">(3), 316-332. </w:t>
      </w:r>
    </w:p>
    <w:p w:rsidR="005A2A75" w:rsidRPr="0092570E" w:rsidRDefault="005A2A75" w:rsidP="00104264">
      <w:pPr>
        <w:spacing w:after="80"/>
        <w:ind w:left="482" w:hanging="482"/>
        <w:rPr>
          <w:sz w:val="23"/>
          <w:szCs w:val="23"/>
          <w:shd w:val="clear" w:color="auto" w:fill="FFFFFF"/>
          <w:lang w:val="en-US"/>
        </w:rPr>
      </w:pPr>
      <w:proofErr w:type="spellStart"/>
      <w:r w:rsidRPr="0092570E">
        <w:rPr>
          <w:sz w:val="23"/>
          <w:szCs w:val="23"/>
          <w:shd w:val="clear" w:color="auto" w:fill="FFFFFF"/>
          <w:lang w:val="en-US"/>
        </w:rPr>
        <w:t>Gonenc</w:t>
      </w:r>
      <w:proofErr w:type="spellEnd"/>
      <w:r w:rsidRPr="0092570E">
        <w:rPr>
          <w:sz w:val="23"/>
          <w:szCs w:val="23"/>
          <w:shd w:val="clear" w:color="auto" w:fill="FFFFFF"/>
          <w:lang w:val="en-US"/>
        </w:rPr>
        <w:t xml:space="preserve">, H., Hermes, N., &amp; van </w:t>
      </w:r>
      <w:proofErr w:type="spellStart"/>
      <w:r w:rsidRPr="0092570E">
        <w:rPr>
          <w:sz w:val="23"/>
          <w:szCs w:val="23"/>
          <w:shd w:val="clear" w:color="auto" w:fill="FFFFFF"/>
          <w:lang w:val="en-US"/>
        </w:rPr>
        <w:t>Sinderen</w:t>
      </w:r>
      <w:proofErr w:type="spellEnd"/>
      <w:r w:rsidRPr="0092570E">
        <w:rPr>
          <w:sz w:val="23"/>
          <w:szCs w:val="23"/>
          <w:shd w:val="clear" w:color="auto" w:fill="FFFFFF"/>
          <w:lang w:val="en-US"/>
        </w:rPr>
        <w:t>, E. (2013). Bidders’ gains and family control of private target firms. </w:t>
      </w:r>
      <w:r w:rsidRPr="0092570E">
        <w:rPr>
          <w:i/>
          <w:iCs/>
          <w:sz w:val="23"/>
          <w:szCs w:val="23"/>
          <w:shd w:val="clear" w:color="auto" w:fill="FFFFFF"/>
          <w:lang w:val="en-US"/>
        </w:rPr>
        <w:t>International Business Review</w:t>
      </w:r>
      <w:r w:rsidRPr="0092570E">
        <w:rPr>
          <w:sz w:val="23"/>
          <w:szCs w:val="23"/>
          <w:shd w:val="clear" w:color="auto" w:fill="FFFFFF"/>
          <w:lang w:val="en-US"/>
        </w:rPr>
        <w:t>, </w:t>
      </w:r>
      <w:r w:rsidRPr="0092570E">
        <w:rPr>
          <w:i/>
          <w:iCs/>
          <w:sz w:val="23"/>
          <w:szCs w:val="23"/>
          <w:shd w:val="clear" w:color="auto" w:fill="FFFFFF"/>
          <w:lang w:val="en-US"/>
        </w:rPr>
        <w:t>22</w:t>
      </w:r>
      <w:r w:rsidRPr="0092570E">
        <w:rPr>
          <w:sz w:val="23"/>
          <w:szCs w:val="23"/>
          <w:shd w:val="clear" w:color="auto" w:fill="FFFFFF"/>
          <w:lang w:val="en-US"/>
        </w:rPr>
        <w:t xml:space="preserve">(5), 856-867. </w:t>
      </w:r>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Haleblian</w:t>
      </w:r>
      <w:proofErr w:type="spellEnd"/>
      <w:r w:rsidRPr="0092570E">
        <w:rPr>
          <w:sz w:val="23"/>
          <w:szCs w:val="23"/>
          <w:shd w:val="clear" w:color="auto" w:fill="FFFFFF"/>
          <w:lang w:val="en-US"/>
        </w:rPr>
        <w:t xml:space="preserve">, J. J., Kim, J. Y. J., &amp; </w:t>
      </w:r>
      <w:proofErr w:type="spellStart"/>
      <w:r w:rsidRPr="0092570E">
        <w:rPr>
          <w:sz w:val="23"/>
          <w:szCs w:val="23"/>
          <w:shd w:val="clear" w:color="auto" w:fill="FFFFFF"/>
          <w:lang w:val="en-US"/>
        </w:rPr>
        <w:t>Rajagopalan</w:t>
      </w:r>
      <w:proofErr w:type="spellEnd"/>
      <w:r w:rsidRPr="0092570E">
        <w:rPr>
          <w:sz w:val="23"/>
          <w:szCs w:val="23"/>
          <w:shd w:val="clear" w:color="auto" w:fill="FFFFFF"/>
          <w:lang w:val="en-US"/>
        </w:rPr>
        <w:t>, N. (2006).</w:t>
      </w:r>
      <w:proofErr w:type="gramEnd"/>
      <w:r w:rsidRPr="0092570E">
        <w:rPr>
          <w:sz w:val="23"/>
          <w:szCs w:val="23"/>
          <w:shd w:val="clear" w:color="auto" w:fill="FFFFFF"/>
          <w:lang w:val="en-US"/>
        </w:rPr>
        <w:t xml:space="preserve"> The influence of acquisition experience and performance on acquisition behavior: evidence from the US commercial banking industry. </w:t>
      </w:r>
      <w:r w:rsidRPr="0092570E">
        <w:rPr>
          <w:i/>
          <w:iCs/>
          <w:sz w:val="23"/>
          <w:szCs w:val="23"/>
          <w:shd w:val="clear" w:color="auto" w:fill="FFFFFF"/>
          <w:lang w:val="en-US"/>
        </w:rPr>
        <w:t>Academy of Management Journal</w:t>
      </w:r>
      <w:r w:rsidRPr="0092570E">
        <w:rPr>
          <w:sz w:val="23"/>
          <w:szCs w:val="23"/>
          <w:shd w:val="clear" w:color="auto" w:fill="FFFFFF"/>
          <w:lang w:val="en-US"/>
        </w:rPr>
        <w:t>, </w:t>
      </w:r>
      <w:r w:rsidRPr="0092570E">
        <w:rPr>
          <w:i/>
          <w:iCs/>
          <w:sz w:val="23"/>
          <w:szCs w:val="23"/>
          <w:shd w:val="clear" w:color="auto" w:fill="FFFFFF"/>
          <w:lang w:val="en-US"/>
        </w:rPr>
        <w:t>49</w:t>
      </w:r>
      <w:r w:rsidRPr="0092570E">
        <w:rPr>
          <w:sz w:val="23"/>
          <w:szCs w:val="23"/>
          <w:shd w:val="clear" w:color="auto" w:fill="FFFFFF"/>
          <w:lang w:val="en-US"/>
        </w:rPr>
        <w:t>(2), 357-370.</w:t>
      </w:r>
    </w:p>
    <w:p w:rsidR="005A2A75" w:rsidRPr="0092570E" w:rsidRDefault="005A2A75" w:rsidP="00104264">
      <w:pPr>
        <w:spacing w:after="80"/>
        <w:ind w:left="482" w:hanging="482"/>
        <w:rPr>
          <w:sz w:val="23"/>
          <w:szCs w:val="23"/>
          <w:shd w:val="clear" w:color="auto" w:fill="FFFFFF"/>
          <w:lang w:val="en-US"/>
        </w:rPr>
      </w:pPr>
      <w:proofErr w:type="spellStart"/>
      <w:r w:rsidRPr="0092570E">
        <w:rPr>
          <w:sz w:val="23"/>
          <w:szCs w:val="23"/>
          <w:shd w:val="clear" w:color="auto" w:fill="FFFFFF"/>
          <w:lang w:val="en-US"/>
        </w:rPr>
        <w:t>Haleblian</w:t>
      </w:r>
      <w:proofErr w:type="spellEnd"/>
      <w:r w:rsidRPr="0092570E">
        <w:rPr>
          <w:sz w:val="23"/>
          <w:szCs w:val="23"/>
          <w:shd w:val="clear" w:color="auto" w:fill="FFFFFF"/>
          <w:lang w:val="en-US"/>
        </w:rPr>
        <w:t>, J., Devers, C. E., McNamara, G., Carpenter, M. A., &amp; Davison, R. B. (2009). Taking stock of what we know about mergers and acquisitions: a review and research agenda.</w:t>
      </w:r>
      <w:r w:rsidRPr="0092570E">
        <w:rPr>
          <w:rStyle w:val="apple-converted-space"/>
          <w:sz w:val="23"/>
          <w:szCs w:val="23"/>
          <w:shd w:val="clear" w:color="auto" w:fill="FFFFFF"/>
          <w:lang w:val="en-US"/>
        </w:rPr>
        <w:t> </w:t>
      </w:r>
      <w:r w:rsidRPr="0092570E">
        <w:rPr>
          <w:i/>
          <w:iCs/>
          <w:sz w:val="23"/>
          <w:szCs w:val="23"/>
          <w:shd w:val="clear" w:color="auto" w:fill="FFFFFF"/>
          <w:lang w:val="en-US"/>
        </w:rPr>
        <w:t>Journal of Management</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35</w:t>
      </w:r>
      <w:r w:rsidRPr="0092570E">
        <w:rPr>
          <w:sz w:val="23"/>
          <w:szCs w:val="23"/>
          <w:shd w:val="clear" w:color="auto" w:fill="FFFFFF"/>
          <w:lang w:val="en-US"/>
        </w:rPr>
        <w:t>(3), 469-502.</w:t>
      </w:r>
    </w:p>
    <w:p w:rsidR="005A2A75" w:rsidRPr="0092570E" w:rsidRDefault="005A2A75" w:rsidP="00104264">
      <w:pPr>
        <w:spacing w:after="80"/>
        <w:ind w:left="482" w:hanging="482"/>
        <w:rPr>
          <w:sz w:val="23"/>
          <w:szCs w:val="23"/>
          <w:shd w:val="clear" w:color="auto" w:fill="FFFFFF"/>
          <w:lang w:val="en-US"/>
        </w:rPr>
      </w:pPr>
      <w:proofErr w:type="gramStart"/>
      <w:r w:rsidRPr="0092570E">
        <w:rPr>
          <w:sz w:val="23"/>
          <w:szCs w:val="23"/>
          <w:shd w:val="clear" w:color="auto" w:fill="FFFFFF"/>
          <w:lang w:val="en-US"/>
        </w:rPr>
        <w:t xml:space="preserve">Jensen, M. C., &amp; </w:t>
      </w:r>
      <w:proofErr w:type="spellStart"/>
      <w:r w:rsidRPr="0092570E">
        <w:rPr>
          <w:sz w:val="23"/>
          <w:szCs w:val="23"/>
          <w:shd w:val="clear" w:color="auto" w:fill="FFFFFF"/>
          <w:lang w:val="en-US"/>
        </w:rPr>
        <w:t>Meckling</w:t>
      </w:r>
      <w:proofErr w:type="spellEnd"/>
      <w:r w:rsidRPr="0092570E">
        <w:rPr>
          <w:sz w:val="23"/>
          <w:szCs w:val="23"/>
          <w:shd w:val="clear" w:color="auto" w:fill="FFFFFF"/>
          <w:lang w:val="en-US"/>
        </w:rPr>
        <w:t>, W. H. (1976).</w:t>
      </w:r>
      <w:proofErr w:type="gramEnd"/>
      <w:r w:rsidRPr="0092570E">
        <w:rPr>
          <w:sz w:val="23"/>
          <w:szCs w:val="23"/>
          <w:shd w:val="clear" w:color="auto" w:fill="FFFFFF"/>
          <w:lang w:val="en-US"/>
        </w:rPr>
        <w:t xml:space="preserve"> Theory of the firm: managerial behavior, agency costs and ownership structure.</w:t>
      </w:r>
      <w:r w:rsidRPr="0092570E">
        <w:rPr>
          <w:rStyle w:val="apple-converted-space"/>
          <w:sz w:val="23"/>
          <w:szCs w:val="23"/>
          <w:shd w:val="clear" w:color="auto" w:fill="FFFFFF"/>
          <w:lang w:val="en-US"/>
        </w:rPr>
        <w:t> </w:t>
      </w:r>
      <w:r w:rsidRPr="0092570E">
        <w:rPr>
          <w:i/>
          <w:iCs/>
          <w:sz w:val="23"/>
          <w:szCs w:val="23"/>
          <w:shd w:val="clear" w:color="auto" w:fill="FFFFFF"/>
          <w:lang w:val="en-US"/>
        </w:rPr>
        <w:t>Journal of Financial Economics</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3</w:t>
      </w:r>
      <w:r w:rsidRPr="0092570E">
        <w:rPr>
          <w:sz w:val="23"/>
          <w:szCs w:val="23"/>
          <w:shd w:val="clear" w:color="auto" w:fill="FFFFFF"/>
          <w:lang w:val="en-US"/>
        </w:rPr>
        <w:t>(4), 305-360.</w:t>
      </w:r>
    </w:p>
    <w:p w:rsidR="005A2A75" w:rsidRPr="0092570E" w:rsidRDefault="005A2A75" w:rsidP="00104264">
      <w:pPr>
        <w:spacing w:after="80"/>
        <w:ind w:left="482" w:hanging="482"/>
        <w:rPr>
          <w:sz w:val="23"/>
          <w:szCs w:val="23"/>
          <w:shd w:val="clear" w:color="auto" w:fill="FFFFFF"/>
          <w:lang w:val="en-US"/>
        </w:rPr>
      </w:pPr>
      <w:proofErr w:type="gramStart"/>
      <w:r w:rsidRPr="0092570E">
        <w:rPr>
          <w:sz w:val="23"/>
          <w:szCs w:val="23"/>
          <w:shd w:val="clear" w:color="auto" w:fill="FFFFFF"/>
          <w:lang w:val="en-US"/>
        </w:rPr>
        <w:t xml:space="preserve">Jensen, M. C., &amp; </w:t>
      </w:r>
      <w:proofErr w:type="spellStart"/>
      <w:r w:rsidRPr="0092570E">
        <w:rPr>
          <w:sz w:val="23"/>
          <w:szCs w:val="23"/>
          <w:shd w:val="clear" w:color="auto" w:fill="FFFFFF"/>
          <w:lang w:val="en-US"/>
        </w:rPr>
        <w:t>Ruback</w:t>
      </w:r>
      <w:proofErr w:type="spellEnd"/>
      <w:r w:rsidRPr="0092570E">
        <w:rPr>
          <w:sz w:val="23"/>
          <w:szCs w:val="23"/>
          <w:shd w:val="clear" w:color="auto" w:fill="FFFFFF"/>
          <w:lang w:val="en-US"/>
        </w:rPr>
        <w:t>, R. S. (1983).</w:t>
      </w:r>
      <w:proofErr w:type="gramEnd"/>
      <w:r w:rsidRPr="0092570E">
        <w:rPr>
          <w:sz w:val="23"/>
          <w:szCs w:val="23"/>
          <w:shd w:val="clear" w:color="auto" w:fill="FFFFFF"/>
          <w:lang w:val="en-US"/>
        </w:rPr>
        <w:t xml:space="preserve"> The market for corporate control: the scientific evidence.</w:t>
      </w:r>
      <w:r w:rsidRPr="0092570E">
        <w:rPr>
          <w:rStyle w:val="apple-converted-space"/>
          <w:sz w:val="23"/>
          <w:szCs w:val="23"/>
          <w:shd w:val="clear" w:color="auto" w:fill="FFFFFF"/>
          <w:lang w:val="en-US"/>
        </w:rPr>
        <w:t> </w:t>
      </w:r>
      <w:r w:rsidRPr="0092570E">
        <w:rPr>
          <w:i/>
          <w:iCs/>
          <w:sz w:val="23"/>
          <w:szCs w:val="23"/>
          <w:shd w:val="clear" w:color="auto" w:fill="FFFFFF"/>
          <w:lang w:val="en-US"/>
        </w:rPr>
        <w:t xml:space="preserve">Journal of Financial </w:t>
      </w:r>
      <w:r w:rsidR="00730BA4" w:rsidRPr="0092570E">
        <w:rPr>
          <w:i/>
          <w:iCs/>
          <w:sz w:val="23"/>
          <w:szCs w:val="23"/>
          <w:shd w:val="clear" w:color="auto" w:fill="FFFFFF"/>
          <w:lang w:val="en-US"/>
        </w:rPr>
        <w:t>E</w:t>
      </w:r>
      <w:r w:rsidRPr="0092570E">
        <w:rPr>
          <w:i/>
          <w:iCs/>
          <w:sz w:val="23"/>
          <w:szCs w:val="23"/>
          <w:shd w:val="clear" w:color="auto" w:fill="FFFFFF"/>
          <w:lang w:val="en-US"/>
        </w:rPr>
        <w:t>conomics</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11</w:t>
      </w:r>
      <w:r w:rsidRPr="0092570E">
        <w:rPr>
          <w:sz w:val="23"/>
          <w:szCs w:val="23"/>
          <w:shd w:val="clear" w:color="auto" w:fill="FFFFFF"/>
          <w:lang w:val="en-US"/>
        </w:rPr>
        <w:t>(1-4), 5-50.</w:t>
      </w:r>
    </w:p>
    <w:p w:rsidR="005A2A75" w:rsidRPr="0092570E" w:rsidRDefault="005A2A75" w:rsidP="00104264">
      <w:pPr>
        <w:spacing w:after="80"/>
        <w:ind w:left="482" w:hanging="482"/>
        <w:rPr>
          <w:sz w:val="23"/>
          <w:szCs w:val="23"/>
          <w:shd w:val="clear" w:color="auto" w:fill="FFFFFF"/>
          <w:lang w:val="en-US"/>
        </w:rPr>
      </w:pPr>
      <w:r w:rsidRPr="0092570E">
        <w:rPr>
          <w:sz w:val="23"/>
          <w:szCs w:val="23"/>
          <w:shd w:val="clear" w:color="auto" w:fill="FFFFFF"/>
          <w:lang w:val="en-US"/>
        </w:rPr>
        <w:t xml:space="preserve">King, D. R., Dalton, D. R., Daily, C. M., &amp; </w:t>
      </w:r>
      <w:proofErr w:type="spellStart"/>
      <w:r w:rsidRPr="0092570E">
        <w:rPr>
          <w:sz w:val="23"/>
          <w:szCs w:val="23"/>
          <w:shd w:val="clear" w:color="auto" w:fill="FFFFFF"/>
          <w:lang w:val="en-US"/>
        </w:rPr>
        <w:t>Covin</w:t>
      </w:r>
      <w:proofErr w:type="spellEnd"/>
      <w:r w:rsidRPr="0092570E">
        <w:rPr>
          <w:sz w:val="23"/>
          <w:szCs w:val="23"/>
          <w:shd w:val="clear" w:color="auto" w:fill="FFFFFF"/>
          <w:lang w:val="en-US"/>
        </w:rPr>
        <w:t>, J. G. (2004). Meta‐analyses of post‐acquisition performance: indications of unidentified moderators.</w:t>
      </w:r>
      <w:r w:rsidRPr="0092570E">
        <w:rPr>
          <w:rStyle w:val="apple-converted-space"/>
          <w:sz w:val="23"/>
          <w:szCs w:val="23"/>
          <w:shd w:val="clear" w:color="auto" w:fill="FFFFFF"/>
          <w:lang w:val="en-US"/>
        </w:rPr>
        <w:t> </w:t>
      </w:r>
      <w:r w:rsidRPr="0092570E">
        <w:rPr>
          <w:i/>
          <w:iCs/>
          <w:sz w:val="23"/>
          <w:szCs w:val="23"/>
          <w:shd w:val="clear" w:color="auto" w:fill="FFFFFF"/>
          <w:lang w:val="en-US"/>
        </w:rPr>
        <w:t>Strategic Management Journal</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25</w:t>
      </w:r>
      <w:r w:rsidRPr="0092570E">
        <w:rPr>
          <w:sz w:val="23"/>
          <w:szCs w:val="23"/>
          <w:shd w:val="clear" w:color="auto" w:fill="FFFFFF"/>
          <w:lang w:val="en-US"/>
        </w:rPr>
        <w:t>(2), 187-200.</w:t>
      </w:r>
    </w:p>
    <w:p w:rsidR="005A2A75" w:rsidRPr="0092570E" w:rsidRDefault="005A2A75" w:rsidP="00104264">
      <w:pPr>
        <w:spacing w:after="80"/>
        <w:ind w:left="482" w:hanging="482"/>
        <w:rPr>
          <w:sz w:val="23"/>
          <w:szCs w:val="23"/>
          <w:shd w:val="clear" w:color="auto" w:fill="FFFFFF"/>
        </w:rPr>
      </w:pPr>
      <w:r w:rsidRPr="0092570E">
        <w:rPr>
          <w:sz w:val="23"/>
          <w:szCs w:val="23"/>
          <w:shd w:val="clear" w:color="auto" w:fill="FFFFFF"/>
        </w:rPr>
        <w:lastRenderedPageBreak/>
        <w:t xml:space="preserve">Machado, J. H., &amp; </w:t>
      </w:r>
      <w:proofErr w:type="spellStart"/>
      <w:r w:rsidRPr="0092570E">
        <w:rPr>
          <w:sz w:val="23"/>
          <w:szCs w:val="23"/>
          <w:shd w:val="clear" w:color="auto" w:fill="FFFFFF"/>
        </w:rPr>
        <w:t>Famá</w:t>
      </w:r>
      <w:proofErr w:type="spellEnd"/>
      <w:r w:rsidRPr="0092570E">
        <w:rPr>
          <w:sz w:val="23"/>
          <w:szCs w:val="23"/>
          <w:shd w:val="clear" w:color="auto" w:fill="FFFFFF"/>
        </w:rPr>
        <w:t>, R. (2011). Ativos intangíveis e governança corporativa no mercado de capitais brasileiro.</w:t>
      </w:r>
      <w:r w:rsidRPr="0092570E">
        <w:rPr>
          <w:rStyle w:val="apple-converted-space"/>
          <w:sz w:val="23"/>
          <w:szCs w:val="23"/>
          <w:shd w:val="clear" w:color="auto" w:fill="FFFFFF"/>
        </w:rPr>
        <w:t> </w:t>
      </w:r>
      <w:r w:rsidRPr="0092570E">
        <w:rPr>
          <w:i/>
          <w:iCs/>
          <w:sz w:val="23"/>
          <w:szCs w:val="23"/>
          <w:shd w:val="clear" w:color="auto" w:fill="FFFFFF"/>
        </w:rPr>
        <w:t>Revista Contemporânea de Contabilidade</w:t>
      </w:r>
      <w:r w:rsidRPr="0092570E">
        <w:rPr>
          <w:sz w:val="23"/>
          <w:szCs w:val="23"/>
          <w:shd w:val="clear" w:color="auto" w:fill="FFFFFF"/>
        </w:rPr>
        <w:t>,</w:t>
      </w:r>
      <w:r w:rsidRPr="0092570E">
        <w:rPr>
          <w:rStyle w:val="apple-converted-space"/>
          <w:sz w:val="23"/>
          <w:szCs w:val="23"/>
          <w:shd w:val="clear" w:color="auto" w:fill="FFFFFF"/>
        </w:rPr>
        <w:t> </w:t>
      </w:r>
      <w:r w:rsidRPr="0092570E">
        <w:rPr>
          <w:i/>
          <w:iCs/>
          <w:sz w:val="23"/>
          <w:szCs w:val="23"/>
          <w:shd w:val="clear" w:color="auto" w:fill="FFFFFF"/>
        </w:rPr>
        <w:t>8</w:t>
      </w:r>
      <w:r w:rsidRPr="0092570E">
        <w:rPr>
          <w:sz w:val="23"/>
          <w:szCs w:val="23"/>
          <w:shd w:val="clear" w:color="auto" w:fill="FFFFFF"/>
        </w:rPr>
        <w:t>(16), 89-110.</w:t>
      </w:r>
    </w:p>
    <w:p w:rsidR="005A2A75" w:rsidRPr="0092570E" w:rsidRDefault="005A2A75" w:rsidP="00104264">
      <w:pPr>
        <w:spacing w:after="80"/>
        <w:ind w:left="482" w:hanging="482"/>
        <w:rPr>
          <w:sz w:val="23"/>
          <w:szCs w:val="23"/>
          <w:shd w:val="clear" w:color="auto" w:fill="FFFFFF"/>
          <w:lang w:val="en-US"/>
        </w:rPr>
      </w:pPr>
      <w:r w:rsidRPr="0092570E">
        <w:rPr>
          <w:sz w:val="23"/>
          <w:szCs w:val="23"/>
          <w:shd w:val="clear" w:color="auto" w:fill="FFFFFF"/>
        </w:rPr>
        <w:t xml:space="preserve">Martinez, A. L., &amp; Ramalho, G. C. (2014). </w:t>
      </w:r>
      <w:proofErr w:type="gramStart"/>
      <w:r w:rsidRPr="0092570E">
        <w:rPr>
          <w:sz w:val="23"/>
          <w:szCs w:val="23"/>
          <w:shd w:val="clear" w:color="auto" w:fill="FFFFFF"/>
          <w:lang w:val="en-US"/>
        </w:rPr>
        <w:t>Family firms and tax aggressiveness in Brazil.</w:t>
      </w:r>
      <w:proofErr w:type="gramEnd"/>
      <w:r w:rsidRPr="0092570E">
        <w:rPr>
          <w:sz w:val="23"/>
          <w:szCs w:val="23"/>
          <w:shd w:val="clear" w:color="auto" w:fill="FFFFFF"/>
          <w:lang w:val="en-US"/>
        </w:rPr>
        <w:t> </w:t>
      </w:r>
      <w:proofErr w:type="gramStart"/>
      <w:r w:rsidRPr="0092570E">
        <w:rPr>
          <w:i/>
          <w:iCs/>
          <w:sz w:val="23"/>
          <w:szCs w:val="23"/>
          <w:shd w:val="clear" w:color="auto" w:fill="FFFFFF"/>
          <w:lang w:val="en-US"/>
        </w:rPr>
        <w:t>International Business Research</w:t>
      </w:r>
      <w:r w:rsidRPr="0092570E">
        <w:rPr>
          <w:sz w:val="23"/>
          <w:szCs w:val="23"/>
          <w:shd w:val="clear" w:color="auto" w:fill="FFFFFF"/>
          <w:lang w:val="en-US"/>
        </w:rPr>
        <w:t>, </w:t>
      </w:r>
      <w:r w:rsidRPr="0092570E">
        <w:rPr>
          <w:i/>
          <w:iCs/>
          <w:sz w:val="23"/>
          <w:szCs w:val="23"/>
          <w:shd w:val="clear" w:color="auto" w:fill="FFFFFF"/>
          <w:lang w:val="en-US"/>
        </w:rPr>
        <w:t>7</w:t>
      </w:r>
      <w:r w:rsidRPr="0092570E">
        <w:rPr>
          <w:sz w:val="23"/>
          <w:szCs w:val="23"/>
          <w:shd w:val="clear" w:color="auto" w:fill="FFFFFF"/>
          <w:lang w:val="en-US"/>
        </w:rPr>
        <w:t>(3), 129.</w:t>
      </w:r>
      <w:proofErr w:type="gramEnd"/>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Mateev</w:t>
      </w:r>
      <w:proofErr w:type="spellEnd"/>
      <w:r w:rsidRPr="0092570E">
        <w:rPr>
          <w:sz w:val="23"/>
          <w:szCs w:val="23"/>
          <w:shd w:val="clear" w:color="auto" w:fill="FFFFFF"/>
          <w:lang w:val="en-US"/>
        </w:rPr>
        <w:t>, M. (2017).</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Is</w:t>
      </w:r>
      <w:proofErr w:type="gramEnd"/>
      <w:r w:rsidRPr="0092570E">
        <w:rPr>
          <w:sz w:val="23"/>
          <w:szCs w:val="23"/>
          <w:shd w:val="clear" w:color="auto" w:fill="FFFFFF"/>
          <w:lang w:val="en-US"/>
        </w:rPr>
        <w:t xml:space="preserve"> the M&amp;A announcement effect different across Europe? More evidences from continental Europe and the UK.</w:t>
      </w:r>
      <w:r w:rsidRPr="0092570E">
        <w:rPr>
          <w:rStyle w:val="apple-converted-space"/>
          <w:sz w:val="23"/>
          <w:szCs w:val="23"/>
          <w:shd w:val="clear" w:color="auto" w:fill="FFFFFF"/>
          <w:lang w:val="en-US"/>
        </w:rPr>
        <w:t> </w:t>
      </w:r>
      <w:r w:rsidRPr="0092570E">
        <w:rPr>
          <w:i/>
          <w:iCs/>
          <w:sz w:val="23"/>
          <w:szCs w:val="23"/>
          <w:shd w:val="clear" w:color="auto" w:fill="FFFFFF"/>
          <w:lang w:val="en-US"/>
        </w:rPr>
        <w:t>Research in International Business and Finance</w:t>
      </w:r>
      <w:r w:rsidRPr="0092570E">
        <w:rPr>
          <w:sz w:val="23"/>
          <w:szCs w:val="23"/>
          <w:shd w:val="clear" w:color="auto" w:fill="FFFFFF"/>
          <w:lang w:val="en-US"/>
        </w:rPr>
        <w:t xml:space="preserve">, </w:t>
      </w:r>
      <w:r w:rsidRPr="0092570E">
        <w:rPr>
          <w:i/>
          <w:sz w:val="23"/>
          <w:szCs w:val="23"/>
          <w:shd w:val="clear" w:color="auto" w:fill="FFFFFF"/>
          <w:lang w:val="en-US"/>
        </w:rPr>
        <w:t>40</w:t>
      </w:r>
      <w:r w:rsidRPr="0092570E">
        <w:rPr>
          <w:sz w:val="23"/>
          <w:szCs w:val="23"/>
          <w:shd w:val="clear" w:color="auto" w:fill="FFFFFF"/>
          <w:lang w:val="en-US"/>
        </w:rPr>
        <w:t>, 190-216.</w:t>
      </w:r>
    </w:p>
    <w:p w:rsidR="005A2A75" w:rsidRPr="0092570E" w:rsidRDefault="005A2A75" w:rsidP="00104264">
      <w:pPr>
        <w:spacing w:after="80"/>
        <w:ind w:left="482" w:hanging="482"/>
        <w:rPr>
          <w:sz w:val="23"/>
          <w:szCs w:val="23"/>
          <w:shd w:val="clear" w:color="auto" w:fill="FFFFFF"/>
          <w:lang w:val="en-US"/>
        </w:rPr>
      </w:pPr>
      <w:proofErr w:type="spellStart"/>
      <w:r w:rsidRPr="0092570E">
        <w:rPr>
          <w:sz w:val="23"/>
          <w:szCs w:val="23"/>
          <w:shd w:val="clear" w:color="auto" w:fill="FFFFFF"/>
          <w:lang w:val="en-US"/>
        </w:rPr>
        <w:t>Mazzi</w:t>
      </w:r>
      <w:proofErr w:type="spellEnd"/>
      <w:r w:rsidRPr="0092570E">
        <w:rPr>
          <w:sz w:val="23"/>
          <w:szCs w:val="23"/>
          <w:shd w:val="clear" w:color="auto" w:fill="FFFFFF"/>
          <w:lang w:val="en-US"/>
        </w:rPr>
        <w:t>, C. (2011). Family business and financial performance: current state of knowledge and future research challenges. </w:t>
      </w:r>
      <w:r w:rsidRPr="0092570E">
        <w:rPr>
          <w:i/>
          <w:iCs/>
          <w:sz w:val="23"/>
          <w:szCs w:val="23"/>
          <w:shd w:val="clear" w:color="auto" w:fill="FFFFFF"/>
          <w:lang w:val="en-US"/>
        </w:rPr>
        <w:t>Journal of Family Business Strategy</w:t>
      </w:r>
      <w:r w:rsidRPr="0092570E">
        <w:rPr>
          <w:sz w:val="23"/>
          <w:szCs w:val="23"/>
          <w:shd w:val="clear" w:color="auto" w:fill="FFFFFF"/>
          <w:lang w:val="en-US"/>
        </w:rPr>
        <w:t>, </w:t>
      </w:r>
      <w:r w:rsidRPr="0092570E">
        <w:rPr>
          <w:i/>
          <w:iCs/>
          <w:sz w:val="23"/>
          <w:szCs w:val="23"/>
          <w:shd w:val="clear" w:color="auto" w:fill="FFFFFF"/>
          <w:lang w:val="en-US"/>
        </w:rPr>
        <w:t>2</w:t>
      </w:r>
      <w:r w:rsidRPr="0092570E">
        <w:rPr>
          <w:sz w:val="23"/>
          <w:szCs w:val="23"/>
          <w:shd w:val="clear" w:color="auto" w:fill="FFFFFF"/>
          <w:lang w:val="en-US"/>
        </w:rPr>
        <w:t>(3), 166-181.</w:t>
      </w:r>
    </w:p>
    <w:p w:rsidR="005A2A75" w:rsidRPr="0092570E" w:rsidRDefault="005A2A75" w:rsidP="00104264">
      <w:pPr>
        <w:spacing w:after="80"/>
        <w:ind w:left="482" w:hanging="482"/>
        <w:rPr>
          <w:sz w:val="23"/>
          <w:szCs w:val="23"/>
          <w:shd w:val="clear" w:color="auto" w:fill="FFFFFF"/>
          <w:lang w:val="en-US"/>
        </w:rPr>
      </w:pPr>
      <w:proofErr w:type="gramStart"/>
      <w:r w:rsidRPr="0092570E">
        <w:rPr>
          <w:sz w:val="23"/>
          <w:szCs w:val="23"/>
          <w:shd w:val="clear" w:color="auto" w:fill="FFFFFF"/>
          <w:lang w:val="en-US"/>
        </w:rPr>
        <w:t>Mickelson, R. E., &amp; Worley, C. (2003).</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Acquiring a family firm: A case study.</w:t>
      </w:r>
      <w:proofErr w:type="gramEnd"/>
      <w:r w:rsidRPr="0092570E">
        <w:rPr>
          <w:sz w:val="23"/>
          <w:szCs w:val="23"/>
          <w:shd w:val="clear" w:color="auto" w:fill="FFFFFF"/>
          <w:lang w:val="en-US"/>
        </w:rPr>
        <w:t> </w:t>
      </w:r>
      <w:r w:rsidRPr="0092570E">
        <w:rPr>
          <w:i/>
          <w:iCs/>
          <w:sz w:val="23"/>
          <w:szCs w:val="23"/>
          <w:shd w:val="clear" w:color="auto" w:fill="FFFFFF"/>
          <w:lang w:val="en-US"/>
        </w:rPr>
        <w:t>Family Business Review</w:t>
      </w:r>
      <w:r w:rsidRPr="0092570E">
        <w:rPr>
          <w:sz w:val="23"/>
          <w:szCs w:val="23"/>
          <w:shd w:val="clear" w:color="auto" w:fill="FFFFFF"/>
          <w:lang w:val="en-US"/>
        </w:rPr>
        <w:t>, </w:t>
      </w:r>
      <w:r w:rsidRPr="0092570E">
        <w:rPr>
          <w:i/>
          <w:iCs/>
          <w:sz w:val="23"/>
          <w:szCs w:val="23"/>
          <w:shd w:val="clear" w:color="auto" w:fill="FFFFFF"/>
          <w:lang w:val="en-US"/>
        </w:rPr>
        <w:t>16</w:t>
      </w:r>
      <w:r w:rsidRPr="0092570E">
        <w:rPr>
          <w:sz w:val="23"/>
          <w:szCs w:val="23"/>
          <w:shd w:val="clear" w:color="auto" w:fill="FFFFFF"/>
          <w:lang w:val="en-US"/>
        </w:rPr>
        <w:t xml:space="preserve">(4), 251-268. </w:t>
      </w:r>
    </w:p>
    <w:p w:rsidR="005A2A75" w:rsidRPr="0092570E" w:rsidRDefault="005A2A75" w:rsidP="00104264">
      <w:pPr>
        <w:spacing w:after="80"/>
        <w:ind w:left="482" w:hanging="482"/>
        <w:rPr>
          <w:sz w:val="23"/>
          <w:szCs w:val="23"/>
          <w:shd w:val="clear" w:color="auto" w:fill="FFFFFF"/>
          <w:lang w:val="en-US"/>
        </w:rPr>
      </w:pPr>
      <w:proofErr w:type="gramStart"/>
      <w:r w:rsidRPr="0092570E">
        <w:rPr>
          <w:sz w:val="23"/>
          <w:szCs w:val="23"/>
          <w:shd w:val="clear" w:color="auto" w:fill="FFFFFF"/>
          <w:lang w:val="en-US"/>
        </w:rPr>
        <w:t xml:space="preserve">Moeller, S. B., </w:t>
      </w:r>
      <w:proofErr w:type="spellStart"/>
      <w:r w:rsidRPr="0092570E">
        <w:rPr>
          <w:sz w:val="23"/>
          <w:szCs w:val="23"/>
          <w:shd w:val="clear" w:color="auto" w:fill="FFFFFF"/>
          <w:lang w:val="en-US"/>
        </w:rPr>
        <w:t>Schlingemann</w:t>
      </w:r>
      <w:proofErr w:type="spellEnd"/>
      <w:r w:rsidRPr="0092570E">
        <w:rPr>
          <w:sz w:val="23"/>
          <w:szCs w:val="23"/>
          <w:shd w:val="clear" w:color="auto" w:fill="FFFFFF"/>
          <w:lang w:val="en-US"/>
        </w:rPr>
        <w:t xml:space="preserve">, F. P., &amp; </w:t>
      </w:r>
      <w:proofErr w:type="spellStart"/>
      <w:r w:rsidRPr="0092570E">
        <w:rPr>
          <w:sz w:val="23"/>
          <w:szCs w:val="23"/>
          <w:shd w:val="clear" w:color="auto" w:fill="FFFFFF"/>
          <w:lang w:val="en-US"/>
        </w:rPr>
        <w:t>Stulz</w:t>
      </w:r>
      <w:proofErr w:type="spellEnd"/>
      <w:r w:rsidRPr="0092570E">
        <w:rPr>
          <w:sz w:val="23"/>
          <w:szCs w:val="23"/>
          <w:shd w:val="clear" w:color="auto" w:fill="FFFFFF"/>
          <w:lang w:val="en-US"/>
        </w:rPr>
        <w:t>, R. M. (2004).</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Firm size and the gains from acquisitions.</w:t>
      </w:r>
      <w:proofErr w:type="gramEnd"/>
      <w:r w:rsidRPr="0092570E">
        <w:rPr>
          <w:rStyle w:val="apple-converted-space"/>
          <w:sz w:val="23"/>
          <w:szCs w:val="23"/>
          <w:shd w:val="clear" w:color="auto" w:fill="FFFFFF"/>
          <w:lang w:val="en-US"/>
        </w:rPr>
        <w:t> </w:t>
      </w:r>
      <w:r w:rsidRPr="0092570E">
        <w:rPr>
          <w:i/>
          <w:iCs/>
          <w:sz w:val="23"/>
          <w:szCs w:val="23"/>
          <w:shd w:val="clear" w:color="auto" w:fill="FFFFFF"/>
          <w:lang w:val="en-US"/>
        </w:rPr>
        <w:t>Journal of Financial Economics</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73</w:t>
      </w:r>
      <w:r w:rsidRPr="0092570E">
        <w:rPr>
          <w:sz w:val="23"/>
          <w:szCs w:val="23"/>
          <w:shd w:val="clear" w:color="auto" w:fill="FFFFFF"/>
          <w:lang w:val="en-US"/>
        </w:rPr>
        <w:t>(2), 201-228.</w:t>
      </w:r>
    </w:p>
    <w:p w:rsidR="005A2A75" w:rsidRPr="0092570E" w:rsidRDefault="005A2A75" w:rsidP="00104264">
      <w:pPr>
        <w:spacing w:after="80"/>
        <w:ind w:left="482" w:hanging="482"/>
        <w:rPr>
          <w:sz w:val="23"/>
          <w:szCs w:val="23"/>
          <w:lang w:val="en-US"/>
        </w:rPr>
      </w:pPr>
      <w:proofErr w:type="gramStart"/>
      <w:r w:rsidRPr="0092570E">
        <w:rPr>
          <w:sz w:val="23"/>
          <w:szCs w:val="23"/>
          <w:shd w:val="clear" w:color="auto" w:fill="FFFFFF"/>
          <w:lang w:val="en-US"/>
        </w:rPr>
        <w:t xml:space="preserve">Moeller, S. B., </w:t>
      </w:r>
      <w:proofErr w:type="spellStart"/>
      <w:r w:rsidRPr="0092570E">
        <w:rPr>
          <w:sz w:val="23"/>
          <w:szCs w:val="23"/>
          <w:shd w:val="clear" w:color="auto" w:fill="FFFFFF"/>
          <w:lang w:val="en-US"/>
        </w:rPr>
        <w:t>Schlingemann</w:t>
      </w:r>
      <w:proofErr w:type="spellEnd"/>
      <w:r w:rsidRPr="0092570E">
        <w:rPr>
          <w:sz w:val="23"/>
          <w:szCs w:val="23"/>
          <w:shd w:val="clear" w:color="auto" w:fill="FFFFFF"/>
          <w:lang w:val="en-US"/>
        </w:rPr>
        <w:t xml:space="preserve">, F. P., &amp; </w:t>
      </w:r>
      <w:proofErr w:type="spellStart"/>
      <w:r w:rsidRPr="0092570E">
        <w:rPr>
          <w:sz w:val="23"/>
          <w:szCs w:val="23"/>
          <w:shd w:val="clear" w:color="auto" w:fill="FFFFFF"/>
          <w:lang w:val="en-US"/>
        </w:rPr>
        <w:t>Stulz</w:t>
      </w:r>
      <w:proofErr w:type="spellEnd"/>
      <w:r w:rsidRPr="0092570E">
        <w:rPr>
          <w:sz w:val="23"/>
          <w:szCs w:val="23"/>
          <w:shd w:val="clear" w:color="auto" w:fill="FFFFFF"/>
          <w:lang w:val="en-US"/>
        </w:rPr>
        <w:t>, R. M. (2005).</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Wealth destruction on a massive scale?</w:t>
      </w:r>
      <w:proofErr w:type="gramEnd"/>
      <w:r w:rsidRPr="0092570E">
        <w:rPr>
          <w:sz w:val="23"/>
          <w:szCs w:val="23"/>
          <w:shd w:val="clear" w:color="auto" w:fill="FFFFFF"/>
          <w:lang w:val="en-US"/>
        </w:rPr>
        <w:t xml:space="preserve"> A study of acquiring‐firm returns in the recent merger wave.</w:t>
      </w:r>
      <w:r w:rsidRPr="0092570E">
        <w:rPr>
          <w:rStyle w:val="apple-converted-space"/>
          <w:sz w:val="23"/>
          <w:szCs w:val="23"/>
          <w:shd w:val="clear" w:color="auto" w:fill="FFFFFF"/>
          <w:lang w:val="en-US"/>
        </w:rPr>
        <w:t> </w:t>
      </w:r>
      <w:r w:rsidRPr="0092570E">
        <w:rPr>
          <w:i/>
          <w:iCs/>
          <w:sz w:val="23"/>
          <w:szCs w:val="23"/>
          <w:shd w:val="clear" w:color="auto" w:fill="FFFFFF"/>
          <w:lang w:val="en-US"/>
        </w:rPr>
        <w:t>The Journal of Finance</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60</w:t>
      </w:r>
      <w:r w:rsidRPr="0092570E">
        <w:rPr>
          <w:sz w:val="23"/>
          <w:szCs w:val="23"/>
          <w:shd w:val="clear" w:color="auto" w:fill="FFFFFF"/>
          <w:lang w:val="en-US"/>
        </w:rPr>
        <w:t>(2), 757-782.</w:t>
      </w:r>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Pasiouras</w:t>
      </w:r>
      <w:proofErr w:type="spellEnd"/>
      <w:r w:rsidRPr="0092570E">
        <w:rPr>
          <w:sz w:val="23"/>
          <w:szCs w:val="23"/>
          <w:shd w:val="clear" w:color="auto" w:fill="FFFFFF"/>
          <w:lang w:val="en-US"/>
        </w:rPr>
        <w:t xml:space="preserve">, F., </w:t>
      </w:r>
      <w:proofErr w:type="spellStart"/>
      <w:r w:rsidRPr="0092570E">
        <w:rPr>
          <w:sz w:val="23"/>
          <w:szCs w:val="23"/>
          <w:shd w:val="clear" w:color="auto" w:fill="FFFFFF"/>
          <w:lang w:val="en-US"/>
        </w:rPr>
        <w:t>Tanna</w:t>
      </w:r>
      <w:proofErr w:type="spellEnd"/>
      <w:r w:rsidRPr="0092570E">
        <w:rPr>
          <w:sz w:val="23"/>
          <w:szCs w:val="23"/>
          <w:shd w:val="clear" w:color="auto" w:fill="FFFFFF"/>
          <w:lang w:val="en-US"/>
        </w:rPr>
        <w:t xml:space="preserve">, S., &amp; </w:t>
      </w:r>
      <w:proofErr w:type="spellStart"/>
      <w:r w:rsidRPr="0092570E">
        <w:rPr>
          <w:sz w:val="23"/>
          <w:szCs w:val="23"/>
          <w:shd w:val="clear" w:color="auto" w:fill="FFFFFF"/>
          <w:lang w:val="en-US"/>
        </w:rPr>
        <w:t>Gaganis</w:t>
      </w:r>
      <w:proofErr w:type="spellEnd"/>
      <w:r w:rsidRPr="0092570E">
        <w:rPr>
          <w:sz w:val="23"/>
          <w:szCs w:val="23"/>
          <w:shd w:val="clear" w:color="auto" w:fill="FFFFFF"/>
          <w:lang w:val="en-US"/>
        </w:rPr>
        <w:t>, C. (2011).</w:t>
      </w:r>
      <w:proofErr w:type="gramEnd"/>
      <w:r w:rsidRPr="0092570E">
        <w:rPr>
          <w:sz w:val="23"/>
          <w:szCs w:val="23"/>
          <w:shd w:val="clear" w:color="auto" w:fill="FFFFFF"/>
          <w:lang w:val="en-US"/>
        </w:rPr>
        <w:t xml:space="preserve"> What drives acquisitions in the EU banking industry? </w:t>
      </w:r>
      <w:proofErr w:type="gramStart"/>
      <w:r w:rsidRPr="0092570E">
        <w:rPr>
          <w:sz w:val="23"/>
          <w:szCs w:val="23"/>
          <w:shd w:val="clear" w:color="auto" w:fill="FFFFFF"/>
          <w:lang w:val="en-US"/>
        </w:rPr>
        <w:t>The role of bank regulation and supervision framework, bank specific and market specific factors.</w:t>
      </w:r>
      <w:proofErr w:type="gramEnd"/>
      <w:r w:rsidRPr="0092570E">
        <w:rPr>
          <w:rStyle w:val="apple-converted-space"/>
          <w:sz w:val="23"/>
          <w:szCs w:val="23"/>
          <w:shd w:val="clear" w:color="auto" w:fill="FFFFFF"/>
          <w:lang w:val="en-US"/>
        </w:rPr>
        <w:t> </w:t>
      </w:r>
      <w:r w:rsidRPr="0092570E">
        <w:rPr>
          <w:i/>
          <w:iCs/>
          <w:sz w:val="23"/>
          <w:szCs w:val="23"/>
          <w:shd w:val="clear" w:color="auto" w:fill="FFFFFF"/>
          <w:lang w:val="en-US"/>
        </w:rPr>
        <w:t>Financial Markets, Institutions &amp; Instruments</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20</w:t>
      </w:r>
      <w:r w:rsidRPr="0092570E">
        <w:rPr>
          <w:sz w:val="23"/>
          <w:szCs w:val="23"/>
          <w:shd w:val="clear" w:color="auto" w:fill="FFFFFF"/>
          <w:lang w:val="en-US"/>
        </w:rPr>
        <w:t>(2), 29-77.</w:t>
      </w:r>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Porta</w:t>
      </w:r>
      <w:proofErr w:type="spellEnd"/>
      <w:r w:rsidRPr="0092570E">
        <w:rPr>
          <w:sz w:val="23"/>
          <w:szCs w:val="23"/>
          <w:shd w:val="clear" w:color="auto" w:fill="FFFFFF"/>
          <w:lang w:val="en-US"/>
        </w:rPr>
        <w:t>, R., Lopez‐de‐</w:t>
      </w:r>
      <w:proofErr w:type="spellStart"/>
      <w:r w:rsidRPr="0092570E">
        <w:rPr>
          <w:sz w:val="23"/>
          <w:szCs w:val="23"/>
          <w:shd w:val="clear" w:color="auto" w:fill="FFFFFF"/>
          <w:lang w:val="en-US"/>
        </w:rPr>
        <w:t>Silanes</w:t>
      </w:r>
      <w:proofErr w:type="spellEnd"/>
      <w:r w:rsidRPr="0092570E">
        <w:rPr>
          <w:sz w:val="23"/>
          <w:szCs w:val="23"/>
          <w:shd w:val="clear" w:color="auto" w:fill="FFFFFF"/>
          <w:lang w:val="en-US"/>
        </w:rPr>
        <w:t xml:space="preserve">, F., &amp; </w:t>
      </w:r>
      <w:proofErr w:type="spellStart"/>
      <w:r w:rsidRPr="0092570E">
        <w:rPr>
          <w:sz w:val="23"/>
          <w:szCs w:val="23"/>
          <w:shd w:val="clear" w:color="auto" w:fill="FFFFFF"/>
          <w:lang w:val="en-US"/>
        </w:rPr>
        <w:t>Shleifer</w:t>
      </w:r>
      <w:proofErr w:type="spellEnd"/>
      <w:r w:rsidRPr="0092570E">
        <w:rPr>
          <w:sz w:val="23"/>
          <w:szCs w:val="23"/>
          <w:shd w:val="clear" w:color="auto" w:fill="FFFFFF"/>
          <w:lang w:val="en-US"/>
        </w:rPr>
        <w:t>, A. (1999).</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Corporate ownership around the world.</w:t>
      </w:r>
      <w:proofErr w:type="gramEnd"/>
      <w:r w:rsidRPr="0092570E">
        <w:rPr>
          <w:rStyle w:val="apple-converted-space"/>
          <w:sz w:val="23"/>
          <w:szCs w:val="23"/>
          <w:shd w:val="clear" w:color="auto" w:fill="FFFFFF"/>
          <w:lang w:val="en-US"/>
        </w:rPr>
        <w:t> </w:t>
      </w:r>
      <w:r w:rsidRPr="0092570E">
        <w:rPr>
          <w:i/>
          <w:iCs/>
          <w:sz w:val="23"/>
          <w:szCs w:val="23"/>
          <w:shd w:val="clear" w:color="auto" w:fill="FFFFFF"/>
          <w:lang w:val="en-US"/>
        </w:rPr>
        <w:t>The Journal of Finance</w:t>
      </w:r>
      <w:r w:rsidRPr="0092570E">
        <w:rPr>
          <w:sz w:val="23"/>
          <w:szCs w:val="23"/>
          <w:shd w:val="clear" w:color="auto" w:fill="FFFFFF"/>
          <w:lang w:val="en-US"/>
        </w:rPr>
        <w:t>,</w:t>
      </w:r>
      <w:r w:rsidRPr="0092570E">
        <w:rPr>
          <w:rStyle w:val="apple-converted-space"/>
          <w:sz w:val="23"/>
          <w:szCs w:val="23"/>
          <w:shd w:val="clear" w:color="auto" w:fill="FFFFFF"/>
          <w:lang w:val="en-US"/>
        </w:rPr>
        <w:t> </w:t>
      </w:r>
      <w:r w:rsidRPr="0092570E">
        <w:rPr>
          <w:i/>
          <w:iCs/>
          <w:sz w:val="23"/>
          <w:szCs w:val="23"/>
          <w:shd w:val="clear" w:color="auto" w:fill="FFFFFF"/>
          <w:lang w:val="en-US"/>
        </w:rPr>
        <w:t>54</w:t>
      </w:r>
      <w:r w:rsidRPr="0092570E">
        <w:rPr>
          <w:sz w:val="23"/>
          <w:szCs w:val="23"/>
          <w:shd w:val="clear" w:color="auto" w:fill="FFFFFF"/>
          <w:lang w:val="en-US"/>
        </w:rPr>
        <w:t>(2), 471-517.</w:t>
      </w:r>
    </w:p>
    <w:p w:rsidR="005A2A75" w:rsidRPr="0092570E" w:rsidRDefault="005A2A75" w:rsidP="00104264">
      <w:pPr>
        <w:spacing w:after="80"/>
        <w:ind w:left="482" w:hanging="482"/>
        <w:rPr>
          <w:sz w:val="23"/>
          <w:szCs w:val="23"/>
          <w:shd w:val="clear" w:color="auto" w:fill="FFFFFF"/>
        </w:rPr>
      </w:pPr>
      <w:proofErr w:type="gramStart"/>
      <w:r w:rsidRPr="0092570E">
        <w:rPr>
          <w:sz w:val="23"/>
          <w:szCs w:val="23"/>
          <w:shd w:val="clear" w:color="auto" w:fill="FFFFFF"/>
          <w:lang w:val="en-US"/>
        </w:rPr>
        <w:t xml:space="preserve">Shim, J., &amp; </w:t>
      </w:r>
      <w:proofErr w:type="spellStart"/>
      <w:r w:rsidRPr="0092570E">
        <w:rPr>
          <w:sz w:val="23"/>
          <w:szCs w:val="23"/>
          <w:shd w:val="clear" w:color="auto" w:fill="FFFFFF"/>
          <w:lang w:val="en-US"/>
        </w:rPr>
        <w:t>Okamuro</w:t>
      </w:r>
      <w:proofErr w:type="spellEnd"/>
      <w:r w:rsidRPr="0092570E">
        <w:rPr>
          <w:sz w:val="23"/>
          <w:szCs w:val="23"/>
          <w:shd w:val="clear" w:color="auto" w:fill="FFFFFF"/>
          <w:lang w:val="en-US"/>
        </w:rPr>
        <w:t>, H. (2011).</w:t>
      </w:r>
      <w:proofErr w:type="gramEnd"/>
      <w:r w:rsidRPr="0092570E">
        <w:rPr>
          <w:sz w:val="23"/>
          <w:szCs w:val="23"/>
          <w:shd w:val="clear" w:color="auto" w:fill="FFFFFF"/>
          <w:lang w:val="en-US"/>
        </w:rPr>
        <w:t xml:space="preserve"> Does ownership matter in mergers? </w:t>
      </w:r>
      <w:proofErr w:type="gramStart"/>
      <w:r w:rsidRPr="0092570E">
        <w:rPr>
          <w:sz w:val="23"/>
          <w:szCs w:val="23"/>
          <w:shd w:val="clear" w:color="auto" w:fill="FFFFFF"/>
          <w:lang w:val="en-US"/>
        </w:rPr>
        <w:t>A comparative study of the causes and consequences of mergers by family and non-family firms.</w:t>
      </w:r>
      <w:proofErr w:type="gramEnd"/>
      <w:r w:rsidRPr="0092570E">
        <w:rPr>
          <w:sz w:val="23"/>
          <w:szCs w:val="23"/>
          <w:shd w:val="clear" w:color="auto" w:fill="FFFFFF"/>
          <w:lang w:val="en-US"/>
        </w:rPr>
        <w:t> </w:t>
      </w:r>
      <w:proofErr w:type="spellStart"/>
      <w:r w:rsidRPr="0092570E">
        <w:rPr>
          <w:i/>
          <w:iCs/>
          <w:sz w:val="23"/>
          <w:szCs w:val="23"/>
          <w:shd w:val="clear" w:color="auto" w:fill="FFFFFF"/>
        </w:rPr>
        <w:t>Journal</w:t>
      </w:r>
      <w:proofErr w:type="spellEnd"/>
      <w:r w:rsidRPr="0092570E">
        <w:rPr>
          <w:i/>
          <w:iCs/>
          <w:sz w:val="23"/>
          <w:szCs w:val="23"/>
          <w:shd w:val="clear" w:color="auto" w:fill="FFFFFF"/>
        </w:rPr>
        <w:t xml:space="preserve"> </w:t>
      </w:r>
      <w:proofErr w:type="spellStart"/>
      <w:r w:rsidRPr="0092570E">
        <w:rPr>
          <w:i/>
          <w:iCs/>
          <w:sz w:val="23"/>
          <w:szCs w:val="23"/>
          <w:shd w:val="clear" w:color="auto" w:fill="FFFFFF"/>
        </w:rPr>
        <w:t>of</w:t>
      </w:r>
      <w:proofErr w:type="spellEnd"/>
      <w:r w:rsidRPr="0092570E">
        <w:rPr>
          <w:i/>
          <w:iCs/>
          <w:sz w:val="23"/>
          <w:szCs w:val="23"/>
          <w:shd w:val="clear" w:color="auto" w:fill="FFFFFF"/>
        </w:rPr>
        <w:t xml:space="preserve"> Banking &amp; </w:t>
      </w:r>
      <w:proofErr w:type="spellStart"/>
      <w:r w:rsidRPr="0092570E">
        <w:rPr>
          <w:i/>
          <w:iCs/>
          <w:sz w:val="23"/>
          <w:szCs w:val="23"/>
          <w:shd w:val="clear" w:color="auto" w:fill="FFFFFF"/>
        </w:rPr>
        <w:t>Finance</w:t>
      </w:r>
      <w:proofErr w:type="spellEnd"/>
      <w:r w:rsidRPr="0092570E">
        <w:rPr>
          <w:sz w:val="23"/>
          <w:szCs w:val="23"/>
          <w:shd w:val="clear" w:color="auto" w:fill="FFFFFF"/>
        </w:rPr>
        <w:t>, </w:t>
      </w:r>
      <w:r w:rsidRPr="0092570E">
        <w:rPr>
          <w:i/>
          <w:iCs/>
          <w:sz w:val="23"/>
          <w:szCs w:val="23"/>
          <w:shd w:val="clear" w:color="auto" w:fill="FFFFFF"/>
        </w:rPr>
        <w:t>35</w:t>
      </w:r>
      <w:r w:rsidRPr="0092570E">
        <w:rPr>
          <w:sz w:val="23"/>
          <w:szCs w:val="23"/>
          <w:shd w:val="clear" w:color="auto" w:fill="FFFFFF"/>
        </w:rPr>
        <w:t>(1), 193-203.</w:t>
      </w:r>
    </w:p>
    <w:p w:rsidR="005A2A75" w:rsidRPr="0092570E" w:rsidRDefault="005A2A75" w:rsidP="00104264">
      <w:pPr>
        <w:spacing w:after="80"/>
        <w:ind w:left="482" w:hanging="482"/>
        <w:rPr>
          <w:sz w:val="23"/>
          <w:szCs w:val="23"/>
          <w:shd w:val="clear" w:color="auto" w:fill="FFFFFF"/>
        </w:rPr>
      </w:pPr>
      <w:r w:rsidRPr="0092570E">
        <w:rPr>
          <w:sz w:val="23"/>
          <w:szCs w:val="23"/>
          <w:shd w:val="clear" w:color="auto" w:fill="FFFFFF"/>
        </w:rPr>
        <w:t xml:space="preserve">Silva, A. da, Souza, T. </w:t>
      </w:r>
      <w:proofErr w:type="gramStart"/>
      <w:r w:rsidRPr="0092570E">
        <w:rPr>
          <w:sz w:val="23"/>
          <w:szCs w:val="23"/>
          <w:shd w:val="clear" w:color="auto" w:fill="FFFFFF"/>
        </w:rPr>
        <w:t>R.</w:t>
      </w:r>
      <w:proofErr w:type="gramEnd"/>
      <w:r w:rsidRPr="0092570E">
        <w:rPr>
          <w:sz w:val="23"/>
          <w:szCs w:val="23"/>
          <w:shd w:val="clear" w:color="auto" w:fill="FFFFFF"/>
        </w:rPr>
        <w:t xml:space="preserve"> de, &amp; </w:t>
      </w:r>
      <w:proofErr w:type="spellStart"/>
      <w:r w:rsidRPr="0092570E">
        <w:rPr>
          <w:sz w:val="23"/>
          <w:szCs w:val="23"/>
          <w:shd w:val="clear" w:color="auto" w:fill="FFFFFF"/>
        </w:rPr>
        <w:t>Klann</w:t>
      </w:r>
      <w:proofErr w:type="spellEnd"/>
      <w:r w:rsidRPr="0092570E">
        <w:rPr>
          <w:sz w:val="23"/>
          <w:szCs w:val="23"/>
          <w:shd w:val="clear" w:color="auto" w:fill="FFFFFF"/>
        </w:rPr>
        <w:t xml:space="preserve">, R. C. (2016). Tempestividade da informação contábil em empresas familiares brasileiras. </w:t>
      </w:r>
      <w:r w:rsidRPr="0092570E">
        <w:rPr>
          <w:i/>
          <w:sz w:val="23"/>
          <w:szCs w:val="23"/>
          <w:shd w:val="clear" w:color="auto" w:fill="FFFFFF"/>
        </w:rPr>
        <w:t>Revista de Administração de Empresas</w:t>
      </w:r>
      <w:r w:rsidRPr="0092570E">
        <w:rPr>
          <w:sz w:val="23"/>
          <w:szCs w:val="23"/>
          <w:shd w:val="clear" w:color="auto" w:fill="FFFFFF"/>
        </w:rPr>
        <w:t xml:space="preserve">, </w:t>
      </w:r>
      <w:r w:rsidRPr="0092570E">
        <w:rPr>
          <w:i/>
          <w:sz w:val="23"/>
          <w:szCs w:val="23"/>
          <w:shd w:val="clear" w:color="auto" w:fill="FFFFFF"/>
        </w:rPr>
        <w:t>56</w:t>
      </w:r>
      <w:r w:rsidRPr="0092570E">
        <w:rPr>
          <w:sz w:val="23"/>
          <w:szCs w:val="23"/>
          <w:shd w:val="clear" w:color="auto" w:fill="FFFFFF"/>
        </w:rPr>
        <w:t>(5), 489-502.</w:t>
      </w:r>
    </w:p>
    <w:p w:rsidR="00730BA4" w:rsidRPr="0092570E" w:rsidRDefault="005A2A75" w:rsidP="00104264">
      <w:pPr>
        <w:spacing w:after="80"/>
        <w:ind w:left="482" w:hanging="482"/>
        <w:rPr>
          <w:sz w:val="23"/>
          <w:szCs w:val="23"/>
          <w:shd w:val="clear" w:color="auto" w:fill="FFFFFF"/>
        </w:rPr>
      </w:pPr>
      <w:r w:rsidRPr="0092570E">
        <w:rPr>
          <w:sz w:val="23"/>
          <w:szCs w:val="23"/>
          <w:shd w:val="clear" w:color="auto" w:fill="FFFFFF"/>
        </w:rPr>
        <w:t xml:space="preserve">Silva, J. O. </w:t>
      </w:r>
      <w:proofErr w:type="gramStart"/>
      <w:r w:rsidRPr="0092570E">
        <w:rPr>
          <w:sz w:val="23"/>
          <w:szCs w:val="23"/>
          <w:shd w:val="clear" w:color="auto" w:fill="FFFFFF"/>
        </w:rPr>
        <w:t>D.</w:t>
      </w:r>
      <w:proofErr w:type="gramEnd"/>
      <w:r w:rsidRPr="0092570E">
        <w:rPr>
          <w:sz w:val="23"/>
          <w:szCs w:val="23"/>
          <w:shd w:val="clear" w:color="auto" w:fill="FFFFFF"/>
        </w:rPr>
        <w:t xml:space="preserve"> (2015).</w:t>
      </w:r>
      <w:r w:rsidRPr="0092570E">
        <w:rPr>
          <w:rStyle w:val="apple-converted-space"/>
          <w:sz w:val="23"/>
          <w:szCs w:val="23"/>
          <w:shd w:val="clear" w:color="auto" w:fill="FFFFFF"/>
        </w:rPr>
        <w:t> </w:t>
      </w:r>
      <w:r w:rsidRPr="0092570E">
        <w:rPr>
          <w:i/>
          <w:iCs/>
          <w:sz w:val="23"/>
          <w:szCs w:val="23"/>
          <w:shd w:val="clear" w:color="auto" w:fill="FFFFFF"/>
        </w:rPr>
        <w:t>Remuneração variável de executivos em empresas familiares brasileiras</w:t>
      </w:r>
      <w:r w:rsidRPr="0092570E">
        <w:rPr>
          <w:iCs/>
          <w:sz w:val="23"/>
          <w:szCs w:val="23"/>
          <w:shd w:val="clear" w:color="auto" w:fill="FFFFFF"/>
        </w:rPr>
        <w:t>. Tese de doutorado,</w:t>
      </w:r>
      <w:r w:rsidRPr="0092570E">
        <w:rPr>
          <w:sz w:val="23"/>
          <w:szCs w:val="23"/>
          <w:shd w:val="clear" w:color="auto" w:fill="FFFFFF"/>
        </w:rPr>
        <w:t xml:space="preserve"> Universidade de São Paulo, (São Paulo, Brasil</w:t>
      </w:r>
      <w:r w:rsidR="00730BA4" w:rsidRPr="0092570E">
        <w:rPr>
          <w:sz w:val="23"/>
          <w:szCs w:val="23"/>
          <w:shd w:val="clear" w:color="auto" w:fill="FFFFFF"/>
        </w:rPr>
        <w:t>)</w:t>
      </w:r>
      <w:r w:rsidRPr="0092570E">
        <w:rPr>
          <w:sz w:val="23"/>
          <w:szCs w:val="23"/>
          <w:shd w:val="clear" w:color="auto" w:fill="FFFFFF"/>
        </w:rPr>
        <w:t>.</w:t>
      </w:r>
    </w:p>
    <w:p w:rsidR="005A2A75" w:rsidRPr="0092570E" w:rsidRDefault="005A2A75" w:rsidP="00104264">
      <w:pPr>
        <w:spacing w:after="80"/>
        <w:ind w:left="482" w:hanging="482"/>
        <w:rPr>
          <w:sz w:val="23"/>
          <w:szCs w:val="23"/>
          <w:shd w:val="clear" w:color="auto" w:fill="FFFFFF"/>
        </w:rPr>
      </w:pPr>
      <w:proofErr w:type="spellStart"/>
      <w:r w:rsidRPr="0092570E">
        <w:rPr>
          <w:sz w:val="23"/>
          <w:szCs w:val="23"/>
          <w:shd w:val="clear" w:color="auto" w:fill="FFFFFF"/>
        </w:rPr>
        <w:t>Tanure</w:t>
      </w:r>
      <w:proofErr w:type="spellEnd"/>
      <w:r w:rsidRPr="0092570E">
        <w:rPr>
          <w:sz w:val="23"/>
          <w:szCs w:val="23"/>
          <w:shd w:val="clear" w:color="auto" w:fill="FFFFFF"/>
        </w:rPr>
        <w:t xml:space="preserve">, B., &amp; </w:t>
      </w:r>
      <w:proofErr w:type="spellStart"/>
      <w:r w:rsidRPr="0092570E">
        <w:rPr>
          <w:sz w:val="23"/>
          <w:szCs w:val="23"/>
          <w:shd w:val="clear" w:color="auto" w:fill="FFFFFF"/>
        </w:rPr>
        <w:t>Cançado</w:t>
      </w:r>
      <w:proofErr w:type="spellEnd"/>
      <w:r w:rsidRPr="0092570E">
        <w:rPr>
          <w:sz w:val="23"/>
          <w:szCs w:val="23"/>
          <w:shd w:val="clear" w:color="auto" w:fill="FFFFFF"/>
        </w:rPr>
        <w:t>, V. L. (2005). Fusões e aquisições: aprendendo com a experiência brasileira. </w:t>
      </w:r>
      <w:r w:rsidRPr="0092570E">
        <w:rPr>
          <w:i/>
          <w:iCs/>
          <w:sz w:val="23"/>
          <w:szCs w:val="23"/>
          <w:shd w:val="clear" w:color="auto" w:fill="FFFFFF"/>
        </w:rPr>
        <w:t>RAE-revista de administração de empresas</w:t>
      </w:r>
      <w:r w:rsidRPr="0092570E">
        <w:rPr>
          <w:sz w:val="23"/>
          <w:szCs w:val="23"/>
          <w:shd w:val="clear" w:color="auto" w:fill="FFFFFF"/>
        </w:rPr>
        <w:t>, </w:t>
      </w:r>
      <w:r w:rsidRPr="0092570E">
        <w:rPr>
          <w:i/>
          <w:iCs/>
          <w:sz w:val="23"/>
          <w:szCs w:val="23"/>
          <w:shd w:val="clear" w:color="auto" w:fill="FFFFFF"/>
        </w:rPr>
        <w:t>45</w:t>
      </w:r>
      <w:r w:rsidRPr="0092570E">
        <w:rPr>
          <w:sz w:val="23"/>
          <w:szCs w:val="23"/>
          <w:shd w:val="clear" w:color="auto" w:fill="FFFFFF"/>
        </w:rPr>
        <w:t>(2).</w:t>
      </w:r>
    </w:p>
    <w:p w:rsidR="005A2A75" w:rsidRPr="0092570E" w:rsidRDefault="005A2A75" w:rsidP="00104264">
      <w:pPr>
        <w:spacing w:after="80"/>
        <w:ind w:left="482" w:hanging="482"/>
        <w:rPr>
          <w:sz w:val="23"/>
          <w:szCs w:val="23"/>
          <w:shd w:val="clear" w:color="auto" w:fill="FFFFFF"/>
          <w:lang w:val="en-US"/>
        </w:rPr>
      </w:pPr>
      <w:proofErr w:type="gramStart"/>
      <w:r w:rsidRPr="0092570E">
        <w:rPr>
          <w:sz w:val="23"/>
          <w:szCs w:val="23"/>
          <w:shd w:val="clear" w:color="auto" w:fill="FFFFFF"/>
          <w:lang w:val="en-US"/>
        </w:rPr>
        <w:t>Wong, Y. J., Chang, S. C., &amp; Chen, L. Y. (2010).</w:t>
      </w:r>
      <w:proofErr w:type="gramEnd"/>
      <w:r w:rsidRPr="0092570E">
        <w:rPr>
          <w:sz w:val="23"/>
          <w:szCs w:val="23"/>
          <w:shd w:val="clear" w:color="auto" w:fill="FFFFFF"/>
          <w:lang w:val="en-US"/>
        </w:rPr>
        <w:t xml:space="preserve"> Does a family‐controlled firm perform better in corporate venturing</w:t>
      </w:r>
      <w:proofErr w:type="gramStart"/>
      <w:r w:rsidRPr="0092570E">
        <w:rPr>
          <w:sz w:val="23"/>
          <w:szCs w:val="23"/>
          <w:shd w:val="clear" w:color="auto" w:fill="FFFFFF"/>
          <w:lang w:val="en-US"/>
        </w:rPr>
        <w:t>?.</w:t>
      </w:r>
      <w:proofErr w:type="gramEnd"/>
      <w:r w:rsidRPr="0092570E">
        <w:rPr>
          <w:sz w:val="23"/>
          <w:szCs w:val="23"/>
          <w:shd w:val="clear" w:color="auto" w:fill="FFFFFF"/>
          <w:lang w:val="en-US"/>
        </w:rPr>
        <w:t> </w:t>
      </w:r>
      <w:r w:rsidRPr="0092570E">
        <w:rPr>
          <w:i/>
          <w:iCs/>
          <w:sz w:val="23"/>
          <w:szCs w:val="23"/>
          <w:shd w:val="clear" w:color="auto" w:fill="FFFFFF"/>
          <w:lang w:val="en-US"/>
        </w:rPr>
        <w:t>Corporate Governance: An International Review</w:t>
      </w:r>
      <w:r w:rsidRPr="0092570E">
        <w:rPr>
          <w:sz w:val="23"/>
          <w:szCs w:val="23"/>
          <w:shd w:val="clear" w:color="auto" w:fill="FFFFFF"/>
          <w:lang w:val="en-US"/>
        </w:rPr>
        <w:t>, </w:t>
      </w:r>
      <w:r w:rsidRPr="0092570E">
        <w:rPr>
          <w:i/>
          <w:iCs/>
          <w:sz w:val="23"/>
          <w:szCs w:val="23"/>
          <w:shd w:val="clear" w:color="auto" w:fill="FFFFFF"/>
          <w:lang w:val="en-US"/>
        </w:rPr>
        <w:t>18</w:t>
      </w:r>
      <w:r w:rsidRPr="0092570E">
        <w:rPr>
          <w:sz w:val="23"/>
          <w:szCs w:val="23"/>
          <w:shd w:val="clear" w:color="auto" w:fill="FFFFFF"/>
          <w:lang w:val="en-US"/>
        </w:rPr>
        <w:t>(3), 175-192.</w:t>
      </w:r>
    </w:p>
    <w:p w:rsidR="005A2A75" w:rsidRPr="0092570E" w:rsidRDefault="005A2A75" w:rsidP="00104264">
      <w:pPr>
        <w:spacing w:after="80"/>
        <w:ind w:left="482" w:hanging="482"/>
        <w:rPr>
          <w:sz w:val="23"/>
          <w:szCs w:val="23"/>
          <w:shd w:val="clear" w:color="auto" w:fill="FFFFFF"/>
          <w:lang w:val="en-US"/>
        </w:rPr>
      </w:pPr>
      <w:proofErr w:type="spellStart"/>
      <w:proofErr w:type="gramStart"/>
      <w:r w:rsidRPr="0092570E">
        <w:rPr>
          <w:sz w:val="23"/>
          <w:szCs w:val="23"/>
          <w:shd w:val="clear" w:color="auto" w:fill="FFFFFF"/>
          <w:lang w:val="en-US"/>
        </w:rPr>
        <w:t>Worek</w:t>
      </w:r>
      <w:proofErr w:type="spellEnd"/>
      <w:r w:rsidRPr="0092570E">
        <w:rPr>
          <w:sz w:val="23"/>
          <w:szCs w:val="23"/>
          <w:shd w:val="clear" w:color="auto" w:fill="FFFFFF"/>
          <w:lang w:val="en-US"/>
        </w:rPr>
        <w:t>, M. (2017).</w:t>
      </w:r>
      <w:proofErr w:type="gramEnd"/>
      <w:r w:rsidRPr="0092570E">
        <w:rPr>
          <w:sz w:val="23"/>
          <w:szCs w:val="23"/>
          <w:shd w:val="clear" w:color="auto" w:fill="FFFFFF"/>
          <w:lang w:val="en-US"/>
        </w:rPr>
        <w:t xml:space="preserve"> Mergers and acquisitions in family businesses: current literature and future insights. </w:t>
      </w:r>
      <w:r w:rsidRPr="0092570E">
        <w:rPr>
          <w:i/>
          <w:iCs/>
          <w:sz w:val="23"/>
          <w:szCs w:val="23"/>
          <w:shd w:val="clear" w:color="auto" w:fill="FFFFFF"/>
          <w:lang w:val="en-US"/>
        </w:rPr>
        <w:t>Journal of Family Business Management</w:t>
      </w:r>
      <w:r w:rsidRPr="0092570E">
        <w:rPr>
          <w:sz w:val="23"/>
          <w:szCs w:val="23"/>
          <w:shd w:val="clear" w:color="auto" w:fill="FFFFFF"/>
          <w:lang w:val="en-US"/>
        </w:rPr>
        <w:t>, </w:t>
      </w:r>
      <w:r w:rsidRPr="0092570E">
        <w:rPr>
          <w:i/>
          <w:iCs/>
          <w:sz w:val="23"/>
          <w:szCs w:val="23"/>
          <w:shd w:val="clear" w:color="auto" w:fill="FFFFFF"/>
          <w:lang w:val="en-US"/>
        </w:rPr>
        <w:t>7</w:t>
      </w:r>
      <w:r w:rsidRPr="0092570E">
        <w:rPr>
          <w:sz w:val="23"/>
          <w:szCs w:val="23"/>
          <w:shd w:val="clear" w:color="auto" w:fill="FFFFFF"/>
          <w:lang w:val="en-US"/>
        </w:rPr>
        <w:t>(2), 177-206.</w:t>
      </w:r>
    </w:p>
    <w:p w:rsidR="005A2A75" w:rsidRPr="0092570E" w:rsidRDefault="005A2A75" w:rsidP="00104264">
      <w:pPr>
        <w:spacing w:after="80"/>
        <w:ind w:left="482" w:hanging="482"/>
        <w:rPr>
          <w:sz w:val="23"/>
          <w:szCs w:val="23"/>
          <w:shd w:val="clear" w:color="auto" w:fill="FFFFFF"/>
          <w:lang w:val="en-US"/>
        </w:rPr>
      </w:pPr>
      <w:proofErr w:type="gramStart"/>
      <w:r w:rsidRPr="0092570E">
        <w:rPr>
          <w:sz w:val="23"/>
          <w:szCs w:val="23"/>
          <w:shd w:val="clear" w:color="auto" w:fill="FFFFFF"/>
          <w:lang w:val="en-US"/>
        </w:rPr>
        <w:t>Yen, T. Y., &amp; Andre, P. (2007).</w:t>
      </w:r>
      <w:proofErr w:type="gramEnd"/>
      <w:r w:rsidRPr="0092570E">
        <w:rPr>
          <w:sz w:val="23"/>
          <w:szCs w:val="23"/>
          <w:shd w:val="clear" w:color="auto" w:fill="FFFFFF"/>
          <w:lang w:val="en-US"/>
        </w:rPr>
        <w:t xml:space="preserve"> Ownership structure and operating performance of acquiring firms: the case of English-origin countries. </w:t>
      </w:r>
      <w:r w:rsidRPr="0092570E">
        <w:rPr>
          <w:i/>
          <w:iCs/>
          <w:sz w:val="23"/>
          <w:szCs w:val="23"/>
          <w:shd w:val="clear" w:color="auto" w:fill="FFFFFF"/>
          <w:lang w:val="en-US"/>
        </w:rPr>
        <w:t>Journal of Economics and Business</w:t>
      </w:r>
      <w:r w:rsidRPr="0092570E">
        <w:rPr>
          <w:sz w:val="23"/>
          <w:szCs w:val="23"/>
          <w:shd w:val="clear" w:color="auto" w:fill="FFFFFF"/>
          <w:lang w:val="en-US"/>
        </w:rPr>
        <w:t>, </w:t>
      </w:r>
      <w:r w:rsidRPr="0092570E">
        <w:rPr>
          <w:i/>
          <w:iCs/>
          <w:sz w:val="23"/>
          <w:szCs w:val="23"/>
          <w:shd w:val="clear" w:color="auto" w:fill="FFFFFF"/>
          <w:lang w:val="en-US"/>
        </w:rPr>
        <w:t>59</w:t>
      </w:r>
      <w:r w:rsidRPr="0092570E">
        <w:rPr>
          <w:sz w:val="23"/>
          <w:szCs w:val="23"/>
          <w:shd w:val="clear" w:color="auto" w:fill="FFFFFF"/>
          <w:lang w:val="en-US"/>
        </w:rPr>
        <w:t>(5), 380-405.</w:t>
      </w:r>
    </w:p>
    <w:p w:rsidR="005A2A75" w:rsidRPr="0092570E" w:rsidRDefault="005A2A75" w:rsidP="009838B7">
      <w:pPr>
        <w:spacing w:after="80"/>
        <w:ind w:left="482" w:hanging="482"/>
        <w:rPr>
          <w:b/>
          <w:sz w:val="23"/>
          <w:szCs w:val="23"/>
        </w:rPr>
      </w:pPr>
      <w:proofErr w:type="spellStart"/>
      <w:proofErr w:type="gramStart"/>
      <w:r w:rsidRPr="0092570E">
        <w:rPr>
          <w:sz w:val="23"/>
          <w:szCs w:val="23"/>
          <w:shd w:val="clear" w:color="auto" w:fill="FFFFFF"/>
          <w:lang w:val="en-US"/>
        </w:rPr>
        <w:t>Zellweger</w:t>
      </w:r>
      <w:proofErr w:type="spellEnd"/>
      <w:r w:rsidRPr="0092570E">
        <w:rPr>
          <w:sz w:val="23"/>
          <w:szCs w:val="23"/>
          <w:shd w:val="clear" w:color="auto" w:fill="FFFFFF"/>
          <w:lang w:val="en-US"/>
        </w:rPr>
        <w:t xml:space="preserve">, T. M., </w:t>
      </w:r>
      <w:proofErr w:type="spellStart"/>
      <w:r w:rsidRPr="0092570E">
        <w:rPr>
          <w:sz w:val="23"/>
          <w:szCs w:val="23"/>
          <w:shd w:val="clear" w:color="auto" w:fill="FFFFFF"/>
          <w:lang w:val="en-US"/>
        </w:rPr>
        <w:t>Eddleston</w:t>
      </w:r>
      <w:proofErr w:type="spellEnd"/>
      <w:r w:rsidRPr="0092570E">
        <w:rPr>
          <w:sz w:val="23"/>
          <w:szCs w:val="23"/>
          <w:shd w:val="clear" w:color="auto" w:fill="FFFFFF"/>
          <w:lang w:val="en-US"/>
        </w:rPr>
        <w:t xml:space="preserve">, K. A., &amp; </w:t>
      </w:r>
      <w:proofErr w:type="spellStart"/>
      <w:r w:rsidRPr="0092570E">
        <w:rPr>
          <w:sz w:val="23"/>
          <w:szCs w:val="23"/>
          <w:shd w:val="clear" w:color="auto" w:fill="FFFFFF"/>
          <w:lang w:val="en-US"/>
        </w:rPr>
        <w:t>Kellermanns</w:t>
      </w:r>
      <w:proofErr w:type="spellEnd"/>
      <w:r w:rsidRPr="0092570E">
        <w:rPr>
          <w:sz w:val="23"/>
          <w:szCs w:val="23"/>
          <w:shd w:val="clear" w:color="auto" w:fill="FFFFFF"/>
          <w:lang w:val="en-US"/>
        </w:rPr>
        <w:t>, F. W. (2010).</w:t>
      </w:r>
      <w:proofErr w:type="gramEnd"/>
      <w:r w:rsidRPr="0092570E">
        <w:rPr>
          <w:sz w:val="23"/>
          <w:szCs w:val="23"/>
          <w:shd w:val="clear" w:color="auto" w:fill="FFFFFF"/>
          <w:lang w:val="en-US"/>
        </w:rPr>
        <w:t xml:space="preserve"> </w:t>
      </w:r>
      <w:proofErr w:type="gramStart"/>
      <w:r w:rsidRPr="0092570E">
        <w:rPr>
          <w:sz w:val="23"/>
          <w:szCs w:val="23"/>
          <w:shd w:val="clear" w:color="auto" w:fill="FFFFFF"/>
          <w:lang w:val="en-US"/>
        </w:rPr>
        <w:t xml:space="preserve">Exploring the concept of </w:t>
      </w:r>
      <w:proofErr w:type="spellStart"/>
      <w:r w:rsidRPr="0092570E">
        <w:rPr>
          <w:sz w:val="23"/>
          <w:szCs w:val="23"/>
          <w:shd w:val="clear" w:color="auto" w:fill="FFFFFF"/>
          <w:lang w:val="en-US"/>
        </w:rPr>
        <w:t>familiness</w:t>
      </w:r>
      <w:proofErr w:type="spellEnd"/>
      <w:r w:rsidRPr="0092570E">
        <w:rPr>
          <w:sz w:val="23"/>
          <w:szCs w:val="23"/>
          <w:shd w:val="clear" w:color="auto" w:fill="FFFFFF"/>
          <w:lang w:val="en-US"/>
        </w:rPr>
        <w:t>: introducing family firm identity.</w:t>
      </w:r>
      <w:proofErr w:type="gramEnd"/>
      <w:r w:rsidRPr="0092570E">
        <w:rPr>
          <w:sz w:val="23"/>
          <w:szCs w:val="23"/>
          <w:shd w:val="clear" w:color="auto" w:fill="FFFFFF"/>
          <w:lang w:val="en-US"/>
        </w:rPr>
        <w:t> </w:t>
      </w:r>
      <w:r w:rsidRPr="0092570E">
        <w:rPr>
          <w:i/>
          <w:iCs/>
          <w:sz w:val="23"/>
          <w:szCs w:val="23"/>
          <w:shd w:val="clear" w:color="auto" w:fill="FFFFFF"/>
          <w:lang w:val="en-US"/>
        </w:rPr>
        <w:t>Journal of Family Business Strategy</w:t>
      </w:r>
      <w:r w:rsidRPr="0092570E">
        <w:rPr>
          <w:sz w:val="23"/>
          <w:szCs w:val="23"/>
          <w:shd w:val="clear" w:color="auto" w:fill="FFFFFF"/>
          <w:lang w:val="en-US"/>
        </w:rPr>
        <w:t>, </w:t>
      </w:r>
      <w:r w:rsidRPr="0092570E">
        <w:rPr>
          <w:i/>
          <w:iCs/>
          <w:sz w:val="23"/>
          <w:szCs w:val="23"/>
          <w:shd w:val="clear" w:color="auto" w:fill="FFFFFF"/>
          <w:lang w:val="en-US"/>
        </w:rPr>
        <w:t>1</w:t>
      </w:r>
      <w:r w:rsidRPr="0092570E">
        <w:rPr>
          <w:sz w:val="23"/>
          <w:szCs w:val="23"/>
          <w:shd w:val="clear" w:color="auto" w:fill="FFFFFF"/>
          <w:lang w:val="en-US"/>
        </w:rPr>
        <w:t>(1), 54-63.</w:t>
      </w:r>
    </w:p>
    <w:sectPr w:rsidR="005A2A75" w:rsidRPr="0092570E" w:rsidSect="003D4676">
      <w:headerReference w:type="default" r:id="rId9"/>
      <w:footerReference w:type="default" r:id="rId10"/>
      <w:pgSz w:w="12240" w:h="15840" w:code="119"/>
      <w:pgMar w:top="1701" w:right="1134" w:bottom="1134"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9FD" w:rsidRDefault="003879FD" w:rsidP="005840EF">
      <w:r>
        <w:separator/>
      </w:r>
    </w:p>
  </w:endnote>
  <w:endnote w:type="continuationSeparator" w:id="0">
    <w:p w:rsidR="003879FD" w:rsidRDefault="003879FD"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996" w:rsidRPr="00F05FBB" w:rsidRDefault="00092996"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096E95">
      <w:rPr>
        <w:noProof/>
        <w:sz w:val="20"/>
      </w:rPr>
      <w:t>2</w:t>
    </w:r>
    <w:r w:rsidRPr="00F05FBB">
      <w:rPr>
        <w:sz w:val="20"/>
      </w:rPr>
      <w:fldChar w:fldCharType="end"/>
    </w:r>
  </w:p>
  <w:p w:rsidR="00092996" w:rsidRPr="00862FD2" w:rsidRDefault="00092996" w:rsidP="004E0B39">
    <w:pPr>
      <w:pStyle w:val="Rodap"/>
      <w:ind w:firstLine="0"/>
      <w:jc w:val="center"/>
    </w:pPr>
    <w:r>
      <w:rPr>
        <w:noProof/>
        <w:lang w:val="pt-BR" w:eastAsia="pt-BR"/>
      </w:rPr>
      <w:drawing>
        <wp:inline distT="0" distB="0" distL="0" distR="0" wp14:anchorId="0BD42B6B" wp14:editId="65926649">
          <wp:extent cx="3895725" cy="971550"/>
          <wp:effectExtent l="0" t="0" r="9525" b="0"/>
          <wp:docPr id="4" name="Imagem 4"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9FD" w:rsidRDefault="003879FD" w:rsidP="005840EF">
      <w:r>
        <w:separator/>
      </w:r>
    </w:p>
  </w:footnote>
  <w:footnote w:type="continuationSeparator" w:id="0">
    <w:p w:rsidR="003879FD" w:rsidRDefault="003879FD"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996" w:rsidRPr="004E0B39" w:rsidRDefault="00092996" w:rsidP="004E0B39">
    <w:pPr>
      <w:pStyle w:val="Cabealho"/>
      <w:ind w:firstLine="0"/>
      <w:jc w:val="center"/>
    </w:pPr>
    <w:r>
      <w:rPr>
        <w:noProof/>
      </w:rPr>
      <w:drawing>
        <wp:inline distT="0" distB="0" distL="0" distR="0" wp14:anchorId="390A7B3F" wp14:editId="6226F6BA">
          <wp:extent cx="6010275" cy="1485900"/>
          <wp:effectExtent l="0" t="0" r="9525" b="0"/>
          <wp:docPr id="3" name="Imagem 3"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0B479F"/>
    <w:multiLevelType w:val="hybridMultilevel"/>
    <w:tmpl w:val="A9E07DC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nsid w:val="271E5C23"/>
    <w:multiLevelType w:val="hybridMultilevel"/>
    <w:tmpl w:val="EF0C5B0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8">
    <w:nsid w:val="3B0D11FA"/>
    <w:multiLevelType w:val="multilevel"/>
    <w:tmpl w:val="B9B29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nsid w:val="4CCC6852"/>
    <w:multiLevelType w:val="hybridMultilevel"/>
    <w:tmpl w:val="B15C99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DE50AB3"/>
    <w:multiLevelType w:val="hybridMultilevel"/>
    <w:tmpl w:val="B81C7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E002D4"/>
    <w:multiLevelType w:val="hybridMultilevel"/>
    <w:tmpl w:val="DA185B38"/>
    <w:lvl w:ilvl="0" w:tplc="2FAA04C2">
      <w:numFmt w:val="bullet"/>
      <w:lvlText w:val=""/>
      <w:lvlJc w:val="left"/>
      <w:pPr>
        <w:ind w:left="1644" w:hanging="936"/>
      </w:pPr>
      <w:rPr>
        <w:rFonts w:ascii="Wingdings" w:eastAsia="Times New Roman" w:hAnsi="Wingdings" w:cs="Times New Roman" w:hint="default"/>
        <w:b/>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abstractNum w:abstractNumId="17">
    <w:nsid w:val="76F446F7"/>
    <w:multiLevelType w:val="multilevel"/>
    <w:tmpl w:val="0EE0EBEE"/>
    <w:lvl w:ilvl="0">
      <w:start w:val="3"/>
      <w:numFmt w:val="decimal"/>
      <w:lvlText w:val="%1."/>
      <w:lvlJc w:val="left"/>
      <w:pPr>
        <w:ind w:left="720" w:hanging="360"/>
      </w:pPr>
      <w:rPr>
        <w:rFonts w:ascii="Times New Roman" w:eastAsiaTheme="minorHAnsi" w:hAnsi="Times New Roman" w:cs="Times New Roman" w:hint="default"/>
        <w:b/>
        <w:sz w:val="24"/>
        <w:szCs w:val="24"/>
      </w:rPr>
    </w:lvl>
    <w:lvl w:ilvl="1">
      <w:start w:val="1"/>
      <w:numFmt w:val="decimal"/>
      <w:isLgl/>
      <w:lvlText w:val="%1.%2."/>
      <w:lvlJc w:val="left"/>
      <w:pPr>
        <w:ind w:left="1196" w:hanging="720"/>
      </w:pPr>
      <w:rPr>
        <w:rFonts w:hint="default"/>
      </w:rPr>
    </w:lvl>
    <w:lvl w:ilvl="2">
      <w:start w:val="2"/>
      <w:numFmt w:val="decimal"/>
      <w:isLgl/>
      <w:lvlText w:val="%1.%2.%3."/>
      <w:lvlJc w:val="left"/>
      <w:pPr>
        <w:ind w:left="1312"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612" w:hanging="1440"/>
      </w:pPr>
      <w:rPr>
        <w:rFonts w:hint="default"/>
      </w:rPr>
    </w:lvl>
    <w:lvl w:ilvl="8">
      <w:start w:val="1"/>
      <w:numFmt w:val="decimal"/>
      <w:isLgl/>
      <w:lvlText w:val="%1.%2.%3.%4.%5.%6.%7.%8.%9."/>
      <w:lvlJc w:val="left"/>
      <w:pPr>
        <w:ind w:left="3088" w:hanging="1800"/>
      </w:pPr>
      <w:rPr>
        <w:rFonts w:hint="default"/>
      </w:rPr>
    </w:lvl>
  </w:abstractNum>
  <w:num w:numId="1">
    <w:abstractNumId w:val="12"/>
  </w:num>
  <w:num w:numId="2">
    <w:abstractNumId w:val="7"/>
  </w:num>
  <w:num w:numId="3">
    <w:abstractNumId w:val="9"/>
  </w:num>
  <w:num w:numId="4">
    <w:abstractNumId w:val="16"/>
  </w:num>
  <w:num w:numId="5">
    <w:abstractNumId w:val="5"/>
  </w:num>
  <w:num w:numId="6">
    <w:abstractNumId w:val="1"/>
  </w:num>
  <w:num w:numId="7">
    <w:abstractNumId w:val="0"/>
  </w:num>
  <w:num w:numId="8">
    <w:abstractNumId w:val="2"/>
  </w:num>
  <w:num w:numId="9">
    <w:abstractNumId w:val="2"/>
  </w:num>
  <w:num w:numId="10">
    <w:abstractNumId w:val="13"/>
  </w:num>
  <w:num w:numId="11">
    <w:abstractNumId w:val="15"/>
  </w:num>
  <w:num w:numId="12">
    <w:abstractNumId w:val="3"/>
  </w:num>
  <w:num w:numId="13">
    <w:abstractNumId w:val="8"/>
  </w:num>
  <w:num w:numId="14">
    <w:abstractNumId w:val="6"/>
  </w:num>
  <w:num w:numId="15">
    <w:abstractNumId w:val="10"/>
  </w:num>
  <w:num w:numId="16">
    <w:abstractNumId w:val="11"/>
  </w:num>
  <w:num w:numId="17">
    <w:abstractNumId w:val="17"/>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103E0"/>
    <w:rsid w:val="00021054"/>
    <w:rsid w:val="000316A1"/>
    <w:rsid w:val="00041541"/>
    <w:rsid w:val="00044550"/>
    <w:rsid w:val="0006261D"/>
    <w:rsid w:val="000720BF"/>
    <w:rsid w:val="00072FA1"/>
    <w:rsid w:val="0007665D"/>
    <w:rsid w:val="000771ED"/>
    <w:rsid w:val="00083A2C"/>
    <w:rsid w:val="00092996"/>
    <w:rsid w:val="00096E95"/>
    <w:rsid w:val="000A60E9"/>
    <w:rsid w:val="000C672C"/>
    <w:rsid w:val="000C7FD7"/>
    <w:rsid w:val="000D7722"/>
    <w:rsid w:val="000F0530"/>
    <w:rsid w:val="00104264"/>
    <w:rsid w:val="00105112"/>
    <w:rsid w:val="00115A39"/>
    <w:rsid w:val="001208B3"/>
    <w:rsid w:val="00126287"/>
    <w:rsid w:val="00142416"/>
    <w:rsid w:val="001457BE"/>
    <w:rsid w:val="00152DDC"/>
    <w:rsid w:val="001566F8"/>
    <w:rsid w:val="00160E08"/>
    <w:rsid w:val="00163578"/>
    <w:rsid w:val="001863BB"/>
    <w:rsid w:val="001A73C5"/>
    <w:rsid w:val="001B3AC7"/>
    <w:rsid w:val="001B5439"/>
    <w:rsid w:val="001C2140"/>
    <w:rsid w:val="001C3FE5"/>
    <w:rsid w:val="001C4CEE"/>
    <w:rsid w:val="001D1852"/>
    <w:rsid w:val="001D1906"/>
    <w:rsid w:val="001D6C47"/>
    <w:rsid w:val="001E15B5"/>
    <w:rsid w:val="001E16E0"/>
    <w:rsid w:val="001E2E6C"/>
    <w:rsid w:val="0020354A"/>
    <w:rsid w:val="002056D7"/>
    <w:rsid w:val="0021320F"/>
    <w:rsid w:val="002136AE"/>
    <w:rsid w:val="00231BA4"/>
    <w:rsid w:val="0023470A"/>
    <w:rsid w:val="00244401"/>
    <w:rsid w:val="00244C0A"/>
    <w:rsid w:val="002566DC"/>
    <w:rsid w:val="00263CEF"/>
    <w:rsid w:val="0027072E"/>
    <w:rsid w:val="002826C0"/>
    <w:rsid w:val="0028720F"/>
    <w:rsid w:val="002A42C1"/>
    <w:rsid w:val="002B78FC"/>
    <w:rsid w:val="002C1371"/>
    <w:rsid w:val="002C2A15"/>
    <w:rsid w:val="002C7235"/>
    <w:rsid w:val="002F7121"/>
    <w:rsid w:val="002F7369"/>
    <w:rsid w:val="002F741B"/>
    <w:rsid w:val="00303C6F"/>
    <w:rsid w:val="00323467"/>
    <w:rsid w:val="00323793"/>
    <w:rsid w:val="00371DFF"/>
    <w:rsid w:val="00374825"/>
    <w:rsid w:val="00375276"/>
    <w:rsid w:val="003879FD"/>
    <w:rsid w:val="003923C3"/>
    <w:rsid w:val="003927F9"/>
    <w:rsid w:val="00395244"/>
    <w:rsid w:val="003A17D1"/>
    <w:rsid w:val="003A3639"/>
    <w:rsid w:val="003B1060"/>
    <w:rsid w:val="003B2BD2"/>
    <w:rsid w:val="003B35F0"/>
    <w:rsid w:val="003D335B"/>
    <w:rsid w:val="003D4676"/>
    <w:rsid w:val="003D5553"/>
    <w:rsid w:val="003D796D"/>
    <w:rsid w:val="00406C08"/>
    <w:rsid w:val="00406CA9"/>
    <w:rsid w:val="0040712E"/>
    <w:rsid w:val="004114F3"/>
    <w:rsid w:val="004129E7"/>
    <w:rsid w:val="00423365"/>
    <w:rsid w:val="004251EF"/>
    <w:rsid w:val="00427B16"/>
    <w:rsid w:val="0043323E"/>
    <w:rsid w:val="004351B3"/>
    <w:rsid w:val="0043523A"/>
    <w:rsid w:val="00453F50"/>
    <w:rsid w:val="00454E11"/>
    <w:rsid w:val="00460FC2"/>
    <w:rsid w:val="0047079B"/>
    <w:rsid w:val="00472EE1"/>
    <w:rsid w:val="00484B12"/>
    <w:rsid w:val="0048579A"/>
    <w:rsid w:val="00490CFC"/>
    <w:rsid w:val="0049262F"/>
    <w:rsid w:val="004A1534"/>
    <w:rsid w:val="004B6BA6"/>
    <w:rsid w:val="004E0B39"/>
    <w:rsid w:val="004E2766"/>
    <w:rsid w:val="004F49A4"/>
    <w:rsid w:val="004F597C"/>
    <w:rsid w:val="00501E15"/>
    <w:rsid w:val="00523BAB"/>
    <w:rsid w:val="00531A76"/>
    <w:rsid w:val="00542631"/>
    <w:rsid w:val="00547B6E"/>
    <w:rsid w:val="0055088A"/>
    <w:rsid w:val="00563E3C"/>
    <w:rsid w:val="00570853"/>
    <w:rsid w:val="00583D7A"/>
    <w:rsid w:val="005840EF"/>
    <w:rsid w:val="005921AE"/>
    <w:rsid w:val="005A01CE"/>
    <w:rsid w:val="005A2A75"/>
    <w:rsid w:val="005B111E"/>
    <w:rsid w:val="005D0785"/>
    <w:rsid w:val="005D711E"/>
    <w:rsid w:val="005E0CE4"/>
    <w:rsid w:val="005E44A5"/>
    <w:rsid w:val="005F56F5"/>
    <w:rsid w:val="0060002B"/>
    <w:rsid w:val="006047A8"/>
    <w:rsid w:val="00606F36"/>
    <w:rsid w:val="00607064"/>
    <w:rsid w:val="00611969"/>
    <w:rsid w:val="00620D60"/>
    <w:rsid w:val="0063432D"/>
    <w:rsid w:val="0066231A"/>
    <w:rsid w:val="006705FD"/>
    <w:rsid w:val="006709F2"/>
    <w:rsid w:val="006750E6"/>
    <w:rsid w:val="006827DC"/>
    <w:rsid w:val="00683BE5"/>
    <w:rsid w:val="00683F79"/>
    <w:rsid w:val="00684CA0"/>
    <w:rsid w:val="006866C5"/>
    <w:rsid w:val="006A7667"/>
    <w:rsid w:val="006B5C7A"/>
    <w:rsid w:val="006C0F83"/>
    <w:rsid w:val="006C284A"/>
    <w:rsid w:val="006D02CA"/>
    <w:rsid w:val="006D041F"/>
    <w:rsid w:val="006D340F"/>
    <w:rsid w:val="00710D8D"/>
    <w:rsid w:val="00714245"/>
    <w:rsid w:val="00723F2E"/>
    <w:rsid w:val="00730BA4"/>
    <w:rsid w:val="00732E59"/>
    <w:rsid w:val="007610C6"/>
    <w:rsid w:val="00771B90"/>
    <w:rsid w:val="0077566F"/>
    <w:rsid w:val="00780AC1"/>
    <w:rsid w:val="00790DFF"/>
    <w:rsid w:val="0079784F"/>
    <w:rsid w:val="007B5262"/>
    <w:rsid w:val="007C0C2C"/>
    <w:rsid w:val="007D0E40"/>
    <w:rsid w:val="007E1071"/>
    <w:rsid w:val="007E1E63"/>
    <w:rsid w:val="007E6B94"/>
    <w:rsid w:val="007E7939"/>
    <w:rsid w:val="007F0CE3"/>
    <w:rsid w:val="007F1447"/>
    <w:rsid w:val="007F357A"/>
    <w:rsid w:val="007F7669"/>
    <w:rsid w:val="00800431"/>
    <w:rsid w:val="00811659"/>
    <w:rsid w:val="00827A91"/>
    <w:rsid w:val="008365E0"/>
    <w:rsid w:val="00840E75"/>
    <w:rsid w:val="008412F7"/>
    <w:rsid w:val="0084411B"/>
    <w:rsid w:val="0085165E"/>
    <w:rsid w:val="0085394D"/>
    <w:rsid w:val="00856420"/>
    <w:rsid w:val="00862FD2"/>
    <w:rsid w:val="00865A23"/>
    <w:rsid w:val="00866591"/>
    <w:rsid w:val="00867ABD"/>
    <w:rsid w:val="008902BE"/>
    <w:rsid w:val="00891CB7"/>
    <w:rsid w:val="00896BE2"/>
    <w:rsid w:val="008A1488"/>
    <w:rsid w:val="008A1538"/>
    <w:rsid w:val="008A2A2C"/>
    <w:rsid w:val="008B21BE"/>
    <w:rsid w:val="008C2B3E"/>
    <w:rsid w:val="008C5FEB"/>
    <w:rsid w:val="008E1F78"/>
    <w:rsid w:val="008E5873"/>
    <w:rsid w:val="008F1B7C"/>
    <w:rsid w:val="008F67F7"/>
    <w:rsid w:val="00911334"/>
    <w:rsid w:val="00920E35"/>
    <w:rsid w:val="0092413C"/>
    <w:rsid w:val="0092570E"/>
    <w:rsid w:val="0093119A"/>
    <w:rsid w:val="00932CAE"/>
    <w:rsid w:val="00943459"/>
    <w:rsid w:val="00952306"/>
    <w:rsid w:val="00957E8B"/>
    <w:rsid w:val="00970500"/>
    <w:rsid w:val="00970C6F"/>
    <w:rsid w:val="009724D8"/>
    <w:rsid w:val="009838B7"/>
    <w:rsid w:val="009976D2"/>
    <w:rsid w:val="009B11E7"/>
    <w:rsid w:val="009B1203"/>
    <w:rsid w:val="009B2FB1"/>
    <w:rsid w:val="009B3488"/>
    <w:rsid w:val="009B4F48"/>
    <w:rsid w:val="009C07AC"/>
    <w:rsid w:val="009C7DFA"/>
    <w:rsid w:val="009D0938"/>
    <w:rsid w:val="009D68AF"/>
    <w:rsid w:val="00A01395"/>
    <w:rsid w:val="00A0609B"/>
    <w:rsid w:val="00A12880"/>
    <w:rsid w:val="00A16D53"/>
    <w:rsid w:val="00A266B3"/>
    <w:rsid w:val="00A27635"/>
    <w:rsid w:val="00A32F9A"/>
    <w:rsid w:val="00A34AE4"/>
    <w:rsid w:val="00A41C11"/>
    <w:rsid w:val="00A66806"/>
    <w:rsid w:val="00A67616"/>
    <w:rsid w:val="00A70015"/>
    <w:rsid w:val="00A75A3C"/>
    <w:rsid w:val="00A80641"/>
    <w:rsid w:val="00A90D03"/>
    <w:rsid w:val="00AB2BBB"/>
    <w:rsid w:val="00AB5402"/>
    <w:rsid w:val="00AB5527"/>
    <w:rsid w:val="00AB5B60"/>
    <w:rsid w:val="00AB778D"/>
    <w:rsid w:val="00AC61AF"/>
    <w:rsid w:val="00AC7E25"/>
    <w:rsid w:val="00AD0E26"/>
    <w:rsid w:val="00B03088"/>
    <w:rsid w:val="00B03595"/>
    <w:rsid w:val="00B12485"/>
    <w:rsid w:val="00B169EE"/>
    <w:rsid w:val="00B25FFE"/>
    <w:rsid w:val="00B65100"/>
    <w:rsid w:val="00B73FB4"/>
    <w:rsid w:val="00B801AB"/>
    <w:rsid w:val="00B8496D"/>
    <w:rsid w:val="00B90F2C"/>
    <w:rsid w:val="00BC4277"/>
    <w:rsid w:val="00BD12B6"/>
    <w:rsid w:val="00BF7190"/>
    <w:rsid w:val="00BF7815"/>
    <w:rsid w:val="00C01F1F"/>
    <w:rsid w:val="00C075FA"/>
    <w:rsid w:val="00C22A7A"/>
    <w:rsid w:val="00C271A6"/>
    <w:rsid w:val="00C43B29"/>
    <w:rsid w:val="00C44F76"/>
    <w:rsid w:val="00C61405"/>
    <w:rsid w:val="00C66D9C"/>
    <w:rsid w:val="00C671EC"/>
    <w:rsid w:val="00C84F71"/>
    <w:rsid w:val="00C90573"/>
    <w:rsid w:val="00CA1FEF"/>
    <w:rsid w:val="00CA331A"/>
    <w:rsid w:val="00CB72D6"/>
    <w:rsid w:val="00CC1FF1"/>
    <w:rsid w:val="00CD5AAF"/>
    <w:rsid w:val="00CE5249"/>
    <w:rsid w:val="00CF0D35"/>
    <w:rsid w:val="00CF3EF0"/>
    <w:rsid w:val="00D035EC"/>
    <w:rsid w:val="00D11B85"/>
    <w:rsid w:val="00D125FF"/>
    <w:rsid w:val="00D16FFD"/>
    <w:rsid w:val="00D2342D"/>
    <w:rsid w:val="00D26215"/>
    <w:rsid w:val="00D44E74"/>
    <w:rsid w:val="00D8056A"/>
    <w:rsid w:val="00D86B5F"/>
    <w:rsid w:val="00D94E67"/>
    <w:rsid w:val="00DA5E5B"/>
    <w:rsid w:val="00DB5190"/>
    <w:rsid w:val="00DD3BCF"/>
    <w:rsid w:val="00DE0EBE"/>
    <w:rsid w:val="00DE1E14"/>
    <w:rsid w:val="00DE41C4"/>
    <w:rsid w:val="00DE631D"/>
    <w:rsid w:val="00DE6358"/>
    <w:rsid w:val="00DE75F7"/>
    <w:rsid w:val="00DF1E55"/>
    <w:rsid w:val="00E1786F"/>
    <w:rsid w:val="00E2066F"/>
    <w:rsid w:val="00E24E18"/>
    <w:rsid w:val="00E318B5"/>
    <w:rsid w:val="00E614B2"/>
    <w:rsid w:val="00E671C8"/>
    <w:rsid w:val="00E71CD7"/>
    <w:rsid w:val="00E7308A"/>
    <w:rsid w:val="00E87486"/>
    <w:rsid w:val="00E91AF6"/>
    <w:rsid w:val="00E94A5E"/>
    <w:rsid w:val="00E9592F"/>
    <w:rsid w:val="00E97349"/>
    <w:rsid w:val="00EA2865"/>
    <w:rsid w:val="00EA3AAA"/>
    <w:rsid w:val="00EA4ED1"/>
    <w:rsid w:val="00EB5A46"/>
    <w:rsid w:val="00EB63C2"/>
    <w:rsid w:val="00EC6EDB"/>
    <w:rsid w:val="00ED6578"/>
    <w:rsid w:val="00EF213A"/>
    <w:rsid w:val="00EF7D30"/>
    <w:rsid w:val="00F05FBB"/>
    <w:rsid w:val="00F1049A"/>
    <w:rsid w:val="00F16CEC"/>
    <w:rsid w:val="00F25234"/>
    <w:rsid w:val="00F26DE7"/>
    <w:rsid w:val="00F32EC5"/>
    <w:rsid w:val="00F40419"/>
    <w:rsid w:val="00F52888"/>
    <w:rsid w:val="00F572FB"/>
    <w:rsid w:val="00F606AA"/>
    <w:rsid w:val="00F70D09"/>
    <w:rsid w:val="00F8282A"/>
    <w:rsid w:val="00F846C5"/>
    <w:rsid w:val="00F968CF"/>
    <w:rsid w:val="00FA4A76"/>
    <w:rsid w:val="00FA7051"/>
    <w:rsid w:val="00FB0AD9"/>
    <w:rsid w:val="00FB225F"/>
    <w:rsid w:val="00FC1C75"/>
    <w:rsid w:val="00FD1FB0"/>
    <w:rsid w:val="00FD7821"/>
    <w:rsid w:val="00FE3DFB"/>
    <w:rsid w:val="00FF27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3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07665D"/>
    <w:pPr>
      <w:widowControl/>
      <w:suppressLineNumbers w:val="0"/>
      <w:suppressAutoHyphens w:val="0"/>
      <w:spacing w:after="200" w:line="276" w:lineRule="auto"/>
      <w:ind w:left="720" w:firstLine="0"/>
      <w:contextualSpacing/>
      <w:jc w:val="left"/>
    </w:pPr>
    <w:rPr>
      <w:rFonts w:asciiTheme="minorHAnsi" w:eastAsiaTheme="minorHAnsi" w:hAnsiTheme="minorHAnsi" w:cstheme="minorBidi"/>
      <w:sz w:val="22"/>
      <w:szCs w:val="22"/>
      <w:lang w:eastAsia="en-US"/>
    </w:rPr>
  </w:style>
  <w:style w:type="paragraph" w:styleId="Textodenotadefim">
    <w:name w:val="endnote text"/>
    <w:basedOn w:val="Normal"/>
    <w:link w:val="TextodenotadefimChar"/>
    <w:uiPriority w:val="99"/>
    <w:unhideWhenUsed/>
    <w:rsid w:val="0060002B"/>
    <w:pPr>
      <w:widowControl/>
      <w:suppressLineNumbers w:val="0"/>
      <w:suppressAutoHyphens w:val="0"/>
      <w:spacing w:after="200" w:line="276" w:lineRule="auto"/>
      <w:ind w:firstLine="0"/>
      <w:jc w:val="left"/>
    </w:pPr>
    <w:rPr>
      <w:rFonts w:ascii="Calibri" w:eastAsia="Calibri" w:hAnsi="Calibri"/>
      <w:sz w:val="20"/>
      <w:lang w:val="x-none" w:eastAsia="x-none"/>
    </w:rPr>
  </w:style>
  <w:style w:type="character" w:customStyle="1" w:styleId="TextodenotadefimChar">
    <w:name w:val="Texto de nota de fim Char"/>
    <w:basedOn w:val="Fontepargpadro"/>
    <w:link w:val="Textodenotadefim"/>
    <w:uiPriority w:val="99"/>
    <w:rsid w:val="0060002B"/>
    <w:rPr>
      <w:rFonts w:ascii="Calibri" w:eastAsia="Calibri" w:hAnsi="Calibri"/>
      <w:lang w:val="x-none" w:eastAsia="x-none"/>
    </w:rPr>
  </w:style>
  <w:style w:type="character" w:styleId="TextodoEspaoReservado">
    <w:name w:val="Placeholder Text"/>
    <w:basedOn w:val="Fontepargpadro"/>
    <w:uiPriority w:val="99"/>
    <w:semiHidden/>
    <w:rsid w:val="0079784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3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07665D"/>
    <w:pPr>
      <w:widowControl/>
      <w:suppressLineNumbers w:val="0"/>
      <w:suppressAutoHyphens w:val="0"/>
      <w:spacing w:after="200" w:line="276" w:lineRule="auto"/>
      <w:ind w:left="720" w:firstLine="0"/>
      <w:contextualSpacing/>
      <w:jc w:val="left"/>
    </w:pPr>
    <w:rPr>
      <w:rFonts w:asciiTheme="minorHAnsi" w:eastAsiaTheme="minorHAnsi" w:hAnsiTheme="minorHAnsi" w:cstheme="minorBidi"/>
      <w:sz w:val="22"/>
      <w:szCs w:val="22"/>
      <w:lang w:eastAsia="en-US"/>
    </w:rPr>
  </w:style>
  <w:style w:type="paragraph" w:styleId="Textodenotadefim">
    <w:name w:val="endnote text"/>
    <w:basedOn w:val="Normal"/>
    <w:link w:val="TextodenotadefimChar"/>
    <w:uiPriority w:val="99"/>
    <w:unhideWhenUsed/>
    <w:rsid w:val="0060002B"/>
    <w:pPr>
      <w:widowControl/>
      <w:suppressLineNumbers w:val="0"/>
      <w:suppressAutoHyphens w:val="0"/>
      <w:spacing w:after="200" w:line="276" w:lineRule="auto"/>
      <w:ind w:firstLine="0"/>
      <w:jc w:val="left"/>
    </w:pPr>
    <w:rPr>
      <w:rFonts w:ascii="Calibri" w:eastAsia="Calibri" w:hAnsi="Calibri"/>
      <w:sz w:val="20"/>
      <w:lang w:val="x-none" w:eastAsia="x-none"/>
    </w:rPr>
  </w:style>
  <w:style w:type="character" w:customStyle="1" w:styleId="TextodenotadefimChar">
    <w:name w:val="Texto de nota de fim Char"/>
    <w:basedOn w:val="Fontepargpadro"/>
    <w:link w:val="Textodenotadefim"/>
    <w:uiPriority w:val="99"/>
    <w:rsid w:val="0060002B"/>
    <w:rPr>
      <w:rFonts w:ascii="Calibri" w:eastAsia="Calibri" w:hAnsi="Calibri"/>
      <w:lang w:val="x-none" w:eastAsia="x-none"/>
    </w:rPr>
  </w:style>
  <w:style w:type="character" w:styleId="TextodoEspaoReservado">
    <w:name w:val="Placeholder Text"/>
    <w:basedOn w:val="Fontepargpadro"/>
    <w:uiPriority w:val="99"/>
    <w:semiHidden/>
    <w:rsid w:val="00797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777406952">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D8608-4DA0-49ED-87DC-29A86025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7844</Words>
  <Characters>42362</Characters>
  <Application>Microsoft Office Word</Application>
  <DocSecurity>0</DocSecurity>
  <Lines>353</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Marília</cp:lastModifiedBy>
  <cp:revision>3</cp:revision>
  <cp:lastPrinted>2019-07-05T16:50:00Z</cp:lastPrinted>
  <dcterms:created xsi:type="dcterms:W3CDTF">2019-07-05T17:00:00Z</dcterms:created>
  <dcterms:modified xsi:type="dcterms:W3CDTF">2019-07-05T17:01:00Z</dcterms:modified>
</cp:coreProperties>
</file>