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44F1D" w14:textId="77777777" w:rsidR="003C1CDA" w:rsidRDefault="003C1CDA" w:rsidP="002C2717">
      <w:pPr>
        <w:jc w:val="center"/>
        <w:rPr>
          <w:b/>
        </w:rPr>
      </w:pPr>
    </w:p>
    <w:p w14:paraId="3A3416E3" w14:textId="4C5EBED1" w:rsidR="003C1CDA" w:rsidRPr="002C2717" w:rsidRDefault="00AA54EF" w:rsidP="002C2717">
      <w:pPr>
        <w:jc w:val="center"/>
        <w:rPr>
          <w:b/>
        </w:rPr>
      </w:pPr>
      <w:r>
        <w:rPr>
          <w:b/>
        </w:rPr>
        <w:t>Análise da Evolução das Provisões e</w:t>
      </w:r>
      <w:r w:rsidR="003C1CDA" w:rsidRPr="0081376B">
        <w:rPr>
          <w:b/>
        </w:rPr>
        <w:t xml:space="preserve"> Pass</w:t>
      </w:r>
      <w:r>
        <w:rPr>
          <w:b/>
        </w:rPr>
        <w:t>ivos Contingentes Trabalhistas n</w:t>
      </w:r>
      <w:r w:rsidR="003C1CDA" w:rsidRPr="0081376B">
        <w:rPr>
          <w:b/>
        </w:rPr>
        <w:t>as Empresas Incluídas</w:t>
      </w:r>
      <w:r>
        <w:rPr>
          <w:b/>
        </w:rPr>
        <w:t xml:space="preserve"> nos Setores d</w:t>
      </w:r>
      <w:r w:rsidR="003C1CDA">
        <w:rPr>
          <w:b/>
        </w:rPr>
        <w:t>e Bens Industriais e</w:t>
      </w:r>
      <w:r w:rsidR="003C1CDA" w:rsidRPr="0081376B">
        <w:rPr>
          <w:b/>
        </w:rPr>
        <w:t xml:space="preserve"> Consumo Cíclico</w:t>
      </w:r>
      <w:r>
        <w:rPr>
          <w:b/>
        </w:rPr>
        <w:t xml:space="preserve"> Listadas n</w:t>
      </w:r>
      <w:r w:rsidR="003C1CDA" w:rsidRPr="0081376B">
        <w:rPr>
          <w:b/>
        </w:rPr>
        <w:t>a [B]³</w:t>
      </w:r>
    </w:p>
    <w:p w14:paraId="6F990180" w14:textId="77777777" w:rsidR="002C2717" w:rsidRDefault="002C2717" w:rsidP="00C271A6">
      <w:pPr>
        <w:jc w:val="center"/>
        <w:rPr>
          <w:color w:val="999999"/>
        </w:rPr>
      </w:pPr>
    </w:p>
    <w:p w14:paraId="5BDB8508" w14:textId="77777777" w:rsidR="00C271A6" w:rsidRDefault="00C271A6" w:rsidP="00C271A6">
      <w:pPr>
        <w:jc w:val="center"/>
        <w:rPr>
          <w:color w:val="999999"/>
        </w:rPr>
      </w:pPr>
    </w:p>
    <w:p w14:paraId="743010AC" w14:textId="03D63C7C" w:rsidR="008A1488" w:rsidRDefault="003C1CDA" w:rsidP="008A1488">
      <w:pPr>
        <w:jc w:val="right"/>
        <w:rPr>
          <w:b/>
          <w:szCs w:val="24"/>
        </w:rPr>
      </w:pPr>
      <w:r w:rsidRPr="003C1CDA">
        <w:rPr>
          <w:b/>
          <w:szCs w:val="24"/>
        </w:rPr>
        <w:t xml:space="preserve">Ione Patrícia </w:t>
      </w:r>
      <w:proofErr w:type="spellStart"/>
      <w:r w:rsidRPr="003C1CDA">
        <w:rPr>
          <w:b/>
          <w:szCs w:val="24"/>
        </w:rPr>
        <w:t>Sikorski</w:t>
      </w:r>
      <w:proofErr w:type="spellEnd"/>
      <w:r w:rsidRPr="003C1CDA">
        <w:rPr>
          <w:b/>
          <w:szCs w:val="24"/>
        </w:rPr>
        <w:t xml:space="preserve"> da Rosa</w:t>
      </w:r>
    </w:p>
    <w:p w14:paraId="72FC87D9" w14:textId="77777777" w:rsidR="008A1488" w:rsidRDefault="002C2717" w:rsidP="008A1488">
      <w:pPr>
        <w:jc w:val="right"/>
        <w:rPr>
          <w:b/>
          <w:i/>
          <w:szCs w:val="24"/>
        </w:rPr>
      </w:pPr>
      <w:r>
        <w:rPr>
          <w:b/>
          <w:szCs w:val="24"/>
        </w:rPr>
        <w:t>Centro Universitário Estácio de Sá</w:t>
      </w:r>
    </w:p>
    <w:p w14:paraId="5CF4894A" w14:textId="12842AB6" w:rsidR="008A1488" w:rsidRDefault="008A1488" w:rsidP="008A1488">
      <w:pPr>
        <w:jc w:val="right"/>
        <w:rPr>
          <w:b/>
          <w:szCs w:val="24"/>
        </w:rPr>
      </w:pPr>
      <w:r>
        <w:rPr>
          <w:b/>
          <w:i/>
          <w:szCs w:val="24"/>
        </w:rPr>
        <w:t>E-mail:</w:t>
      </w:r>
      <w:r w:rsidR="002C2717">
        <w:rPr>
          <w:b/>
          <w:i/>
          <w:szCs w:val="24"/>
        </w:rPr>
        <w:t xml:space="preserve"> </w:t>
      </w:r>
      <w:r w:rsidR="00AB6D7B" w:rsidRPr="00AB6D7B">
        <w:rPr>
          <w:b/>
          <w:i/>
          <w:szCs w:val="24"/>
        </w:rPr>
        <w:t>ionesikorski@hotmail.com</w:t>
      </w:r>
    </w:p>
    <w:p w14:paraId="2C43C6A8" w14:textId="77777777" w:rsidR="008A1488" w:rsidRDefault="008A1488" w:rsidP="008A1488">
      <w:pPr>
        <w:jc w:val="right"/>
        <w:rPr>
          <w:b/>
          <w:szCs w:val="24"/>
        </w:rPr>
      </w:pPr>
    </w:p>
    <w:p w14:paraId="3F28EEA7" w14:textId="77777777" w:rsidR="008A1488" w:rsidRDefault="002C2717" w:rsidP="008A1488">
      <w:pPr>
        <w:jc w:val="right"/>
        <w:rPr>
          <w:b/>
          <w:szCs w:val="24"/>
        </w:rPr>
      </w:pPr>
      <w:r>
        <w:rPr>
          <w:b/>
          <w:szCs w:val="24"/>
        </w:rPr>
        <w:t>Igor Pereira da Luz</w:t>
      </w:r>
    </w:p>
    <w:p w14:paraId="20584B6B" w14:textId="77777777" w:rsidR="002C2717" w:rsidRDefault="002C2717" w:rsidP="002C2717">
      <w:pPr>
        <w:jc w:val="right"/>
        <w:rPr>
          <w:b/>
          <w:szCs w:val="24"/>
        </w:rPr>
      </w:pPr>
      <w:r>
        <w:rPr>
          <w:b/>
          <w:szCs w:val="24"/>
        </w:rPr>
        <w:t>Centro Universitário Estácio de Sá</w:t>
      </w:r>
    </w:p>
    <w:p w14:paraId="76521E09" w14:textId="77777777" w:rsidR="00103B86" w:rsidRPr="002C2717" w:rsidRDefault="00103B86" w:rsidP="00103B86">
      <w:pPr>
        <w:jc w:val="right"/>
        <w:rPr>
          <w:b/>
          <w:szCs w:val="24"/>
        </w:rPr>
      </w:pPr>
      <w:r w:rsidRPr="002C2717">
        <w:rPr>
          <w:b/>
          <w:szCs w:val="24"/>
        </w:rPr>
        <w:t>Unive</w:t>
      </w:r>
      <w:bookmarkStart w:id="0" w:name="_GoBack"/>
      <w:bookmarkEnd w:id="0"/>
      <w:r w:rsidRPr="002C2717">
        <w:rPr>
          <w:b/>
          <w:szCs w:val="24"/>
        </w:rPr>
        <w:t>rsidade Federal de Santa Catarina</w:t>
      </w:r>
      <w:r>
        <w:rPr>
          <w:b/>
          <w:szCs w:val="24"/>
        </w:rPr>
        <w:t xml:space="preserve"> (UFSC)</w:t>
      </w:r>
    </w:p>
    <w:p w14:paraId="47573B20" w14:textId="77777777" w:rsidR="008A1488" w:rsidRDefault="008A1488" w:rsidP="008A1488">
      <w:pPr>
        <w:jc w:val="right"/>
        <w:rPr>
          <w:b/>
          <w:i/>
          <w:szCs w:val="24"/>
        </w:rPr>
      </w:pPr>
      <w:r>
        <w:rPr>
          <w:b/>
          <w:i/>
          <w:szCs w:val="24"/>
        </w:rPr>
        <w:t>E-mail:</w:t>
      </w:r>
      <w:r w:rsidR="002C2717">
        <w:rPr>
          <w:b/>
          <w:i/>
          <w:szCs w:val="24"/>
        </w:rPr>
        <w:t xml:space="preserve"> </w:t>
      </w:r>
      <w:r w:rsidR="002C2717" w:rsidRPr="002C2717">
        <w:rPr>
          <w:b/>
          <w:i/>
          <w:szCs w:val="24"/>
        </w:rPr>
        <w:t>i.pereiradaluz@gmail.com</w:t>
      </w:r>
    </w:p>
    <w:p w14:paraId="78841E34" w14:textId="77777777" w:rsidR="002C2717" w:rsidRDefault="002C2717" w:rsidP="008A1488">
      <w:pPr>
        <w:jc w:val="right"/>
        <w:rPr>
          <w:b/>
          <w:i/>
          <w:szCs w:val="24"/>
        </w:rPr>
      </w:pPr>
    </w:p>
    <w:p w14:paraId="40C0AF0D" w14:textId="77777777" w:rsidR="00C271A6" w:rsidRDefault="00C271A6" w:rsidP="002C2717">
      <w:pPr>
        <w:ind w:firstLine="0"/>
        <w:rPr>
          <w:b/>
          <w:szCs w:val="24"/>
        </w:rPr>
      </w:pPr>
      <w:r>
        <w:rPr>
          <w:b/>
          <w:szCs w:val="24"/>
        </w:rPr>
        <w:t xml:space="preserve">Resumo </w:t>
      </w:r>
    </w:p>
    <w:p w14:paraId="4F6CF401" w14:textId="34828504" w:rsidR="00AA54EF" w:rsidRPr="0081376B" w:rsidRDefault="00AA54EF" w:rsidP="00AA54EF">
      <w:pPr>
        <w:ind w:firstLine="0"/>
      </w:pPr>
      <w:r w:rsidRPr="0081376B">
        <w:t>O presente estudo objetivou analisar a evolução das Provisões e Passivos Contingentes Trabalhistas nas empresas incluídas nos setores de Bens Industriais e Consumo Cíclico listadas na B3, entre os exercícios de 2015 a 2018. A pesquisa foi realizada de forma desc</w:t>
      </w:r>
      <w:r w:rsidR="00FE4B75">
        <w:t>ritiva com abordagem quantitativa</w:t>
      </w:r>
      <w:r w:rsidRPr="0081376B">
        <w:t xml:space="preserve"> e dispondo como procedimento técnico uma pesquisa documental, baseada nas informações obtidas por meio das notas explicativas publicadas pelas companhias que compuseram a amostra. Após coleta e tabulação dos dados foram atribuídos os percentuais evolutivos para cada período e realizado a análise da evolução</w:t>
      </w:r>
      <w:r w:rsidR="00FE4B75">
        <w:t xml:space="preserve"> </w:t>
      </w:r>
      <w:r w:rsidR="00FE4B75" w:rsidRPr="0081376B">
        <w:t>das Provisões e Passivos Contingentes Trabalhistas</w:t>
      </w:r>
      <w:r w:rsidRPr="0081376B">
        <w:t>. Quanto aos resultados, foi identificado que os valores divulgados por ambos os setores analisados no que se refere a Provisão com saída de recursos classificada como provável apresentaram evolução no período analisado, visto que nesta classificação de modo geral são constituídas as provisões para as ações que já estão inseridas no judiciário. Em contrapartida, os resultados obtidos com a análise dos Passivos Contingentes apresentaram um declínio em ambos os setores para o exercício de 2018, sugere-se que o declínio apresentado foi ocasionado pela Reforma Trabalhista que passou a vigorar ao final de 2017, a qual estabeleceu alguns critérios para a entrada de novas reclamatórias trabalhistas denegando assim pedidos sem procedência e refletindo nas contingências divulgadas pelas companhias no exercício de 2018 e possivelmente em exercícios futuros, que ao serem analisados poderão corroborar com este estudo.</w:t>
      </w:r>
    </w:p>
    <w:p w14:paraId="21D9A6E7" w14:textId="77777777" w:rsidR="00AA54EF" w:rsidRDefault="00AA54EF" w:rsidP="002C2717">
      <w:pPr>
        <w:pStyle w:val="Corpodetexto"/>
        <w:spacing w:after="0"/>
        <w:ind w:firstLine="0"/>
        <w:rPr>
          <w:b/>
        </w:rPr>
      </w:pPr>
    </w:p>
    <w:p w14:paraId="4ABCEF31" w14:textId="454D57EA" w:rsidR="002C2717" w:rsidRPr="002C2717" w:rsidRDefault="002C2717" w:rsidP="002C2717">
      <w:pPr>
        <w:pStyle w:val="Corpodetexto"/>
        <w:spacing w:after="0"/>
        <w:ind w:firstLine="0"/>
      </w:pPr>
      <w:r w:rsidRPr="005E7F44">
        <w:rPr>
          <w:b/>
        </w:rPr>
        <w:t>Palavras chave:</w:t>
      </w:r>
      <w:r>
        <w:t xml:space="preserve"> </w:t>
      </w:r>
      <w:r w:rsidR="00AA54EF" w:rsidRPr="0081376B">
        <w:t>Provisões, Passivos Contingentes, Passivo Trabalhista.</w:t>
      </w:r>
    </w:p>
    <w:p w14:paraId="4D310A2F" w14:textId="77777777" w:rsidR="002C2717" w:rsidRDefault="002C2717" w:rsidP="00C271A6">
      <w:pPr>
        <w:rPr>
          <w:b/>
          <w:szCs w:val="24"/>
        </w:rPr>
      </w:pPr>
    </w:p>
    <w:p w14:paraId="6D608FAD" w14:textId="493E4B24" w:rsidR="00C271A6" w:rsidRPr="0036377D" w:rsidRDefault="00C271A6" w:rsidP="002C2717">
      <w:pPr>
        <w:ind w:firstLine="0"/>
        <w:rPr>
          <w:szCs w:val="24"/>
        </w:rPr>
      </w:pPr>
      <w:r>
        <w:rPr>
          <w:b/>
          <w:szCs w:val="24"/>
        </w:rPr>
        <w:t xml:space="preserve">Linha Temática: </w:t>
      </w:r>
      <w:r w:rsidR="00E05AD3" w:rsidRPr="00103B86">
        <w:rPr>
          <w:szCs w:val="24"/>
        </w:rPr>
        <w:t xml:space="preserve">Contabilidade </w:t>
      </w:r>
      <w:r w:rsidR="00082269">
        <w:rPr>
          <w:szCs w:val="24"/>
        </w:rPr>
        <w:t>Financeira</w:t>
      </w:r>
      <w:r w:rsidR="00E05AD3" w:rsidRPr="00103B86">
        <w:rPr>
          <w:szCs w:val="24"/>
        </w:rPr>
        <w:t xml:space="preserve"> </w:t>
      </w:r>
      <w:r w:rsidR="00103B86" w:rsidRPr="00103B86">
        <w:rPr>
          <w:szCs w:val="24"/>
        </w:rPr>
        <w:t>–</w:t>
      </w:r>
      <w:r w:rsidR="00E05AD3" w:rsidRPr="00103B86">
        <w:rPr>
          <w:szCs w:val="24"/>
        </w:rPr>
        <w:t xml:space="preserve"> </w:t>
      </w:r>
      <w:r w:rsidR="00082269">
        <w:rPr>
          <w:szCs w:val="24"/>
        </w:rPr>
        <w:t>Normas Internacionais de Informação Financeira (NIIF)</w:t>
      </w:r>
    </w:p>
    <w:p w14:paraId="2C74E18D" w14:textId="77777777" w:rsidR="00C271A6" w:rsidRDefault="00C271A6" w:rsidP="00C271A6"/>
    <w:p w14:paraId="1AFDA1E3" w14:textId="77777777" w:rsidR="00C271A6" w:rsidRDefault="00C271A6" w:rsidP="00C271A6"/>
    <w:p w14:paraId="0F3835C5" w14:textId="77777777" w:rsidR="00C271A6" w:rsidRDefault="00C271A6" w:rsidP="00C271A6"/>
    <w:p w14:paraId="7A7371CC" w14:textId="77777777" w:rsidR="00C271A6" w:rsidRDefault="00C271A6" w:rsidP="00C271A6"/>
    <w:p w14:paraId="39E197E5" w14:textId="77777777" w:rsidR="00C271A6" w:rsidRDefault="00C271A6" w:rsidP="00C271A6"/>
    <w:p w14:paraId="2E27D95D" w14:textId="77777777" w:rsidR="00D933C5" w:rsidRPr="00C04F45" w:rsidRDefault="00D933C5" w:rsidP="00D933C5">
      <w:pPr>
        <w:ind w:firstLine="0"/>
        <w:rPr>
          <w:b/>
          <w:szCs w:val="24"/>
        </w:rPr>
      </w:pPr>
      <w:r w:rsidRPr="00C04F45">
        <w:rPr>
          <w:b/>
          <w:szCs w:val="24"/>
        </w:rPr>
        <w:lastRenderedPageBreak/>
        <w:t>1 Introdução</w:t>
      </w:r>
    </w:p>
    <w:p w14:paraId="0B1B3D5E" w14:textId="25D06561" w:rsidR="00D933C5" w:rsidRPr="00D933C5" w:rsidRDefault="00D933C5" w:rsidP="00D933C5">
      <w:pPr>
        <w:pStyle w:val="PargrafodaLista"/>
        <w:tabs>
          <w:tab w:val="left" w:pos="142"/>
        </w:tabs>
        <w:ind w:left="0" w:firstLine="709"/>
        <w:jc w:val="both"/>
        <w:rPr>
          <w:sz w:val="24"/>
          <w:szCs w:val="24"/>
        </w:rPr>
      </w:pPr>
      <w:r w:rsidRPr="00D933C5">
        <w:rPr>
          <w:sz w:val="24"/>
          <w:szCs w:val="24"/>
        </w:rPr>
        <w:t>A singularidade da legislação brasileira é disseminada pelo mundo devido ao seu contencioso de normas e regulamentos que se sobrepõe e resultam em diferentes interpretações pelas companhias brasileiras e demais usuários (</w:t>
      </w:r>
      <w:r w:rsidR="006C3B98" w:rsidRPr="00D933C5">
        <w:rPr>
          <w:sz w:val="24"/>
          <w:szCs w:val="24"/>
        </w:rPr>
        <w:t>Martins</w:t>
      </w:r>
      <w:r w:rsidRPr="00D933C5">
        <w:rPr>
          <w:sz w:val="24"/>
          <w:szCs w:val="24"/>
        </w:rPr>
        <w:t>, 2009). Considerando que essa legislação está frequentemente sendo acrescida de leis, decretos, regulamentos e portarias para abranger toda a complexidade existente das normas. Inserido nesse contexto, a legislação trabalhista a qual também possui suas particularidades, possui agravantes por resultar em numerosos passivos às companhias (</w:t>
      </w:r>
      <w:r w:rsidR="006C3B98" w:rsidRPr="00D933C5">
        <w:rPr>
          <w:sz w:val="24"/>
          <w:szCs w:val="24"/>
        </w:rPr>
        <w:t>Ribeiro</w:t>
      </w:r>
      <w:r w:rsidRPr="00D933C5">
        <w:rPr>
          <w:sz w:val="24"/>
          <w:szCs w:val="24"/>
        </w:rPr>
        <w:t>, 2012).</w:t>
      </w:r>
    </w:p>
    <w:p w14:paraId="2F0DE956"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A legislação trabalhista, por ser extensa e segmentada, permite pluralidades na sua interpretação, Pastore (2006) afirma que a busca da Consolidação das Leis Trabalhistas (CLT) em abranger todas as especificidades trabalhistas resultou em uma infinidade de normas e regulamentos aumentando a possibilidade de diferentes tipos de interpretações. Não obstante, pode-se afirmar que a CLT busca garantir os direitos da classe trabalhadora no qual muitas vezes o empregador fica sujeito a rigidez da legislação trabalhista não permitindo flexibilidade nas condições de trabalho.</w:t>
      </w:r>
    </w:p>
    <w:p w14:paraId="43BD45D5" w14:textId="33D10A6D" w:rsidR="00D933C5" w:rsidRPr="00D933C5" w:rsidRDefault="00D933C5" w:rsidP="00D933C5">
      <w:pPr>
        <w:pStyle w:val="PargrafodaLista"/>
        <w:tabs>
          <w:tab w:val="left" w:pos="142"/>
        </w:tabs>
        <w:ind w:left="0" w:firstLine="709"/>
        <w:jc w:val="both"/>
        <w:rPr>
          <w:sz w:val="24"/>
          <w:szCs w:val="24"/>
        </w:rPr>
      </w:pPr>
      <w:r w:rsidRPr="00D933C5">
        <w:rPr>
          <w:sz w:val="24"/>
          <w:szCs w:val="24"/>
        </w:rPr>
        <w:t>Silva (2016)</w:t>
      </w:r>
      <w:r w:rsidR="006C3B98">
        <w:rPr>
          <w:sz w:val="24"/>
          <w:szCs w:val="24"/>
        </w:rPr>
        <w:t xml:space="preserve"> (</w:t>
      </w:r>
      <w:r w:rsidR="006C3B98" w:rsidRPr="00D933C5">
        <w:rPr>
          <w:sz w:val="24"/>
          <w:szCs w:val="24"/>
        </w:rPr>
        <w:t>https://economia.estadao.com.br/noticias/geral,em-2016-brasil-ganha-3-milhoes-de-acoes-trabalhistas</w:t>
      </w:r>
      <w:r w:rsidR="006C3B98">
        <w:rPr>
          <w:sz w:val="24"/>
          <w:szCs w:val="24"/>
        </w:rPr>
        <w:t>)</w:t>
      </w:r>
      <w:r w:rsidRPr="00D933C5">
        <w:rPr>
          <w:sz w:val="24"/>
          <w:szCs w:val="24"/>
        </w:rPr>
        <w:t xml:space="preserve"> relata que o Brasil é recordista em processos de demandas trabalhistas contra as empresas contabilizando somente no ano de 2016, 3 milhões de novas ações. Para tanto ao final do ano de 2017 entrou em vigor a Lei nº 13.467/17 a qual propõe uma atualização da legislação trazendo uma maior segurança as empresas, abrangendo situações ora não relacionadas anteriormente. Tal alteração foi amplamente amparada pelas empresas brasileiras, pois visa reduzir as reclamatórias trabalhistas aumentando a segurança jurídica entre a relação empregado e empregador.</w:t>
      </w:r>
    </w:p>
    <w:p w14:paraId="4F2CE20E" w14:textId="6D27825B" w:rsidR="00D933C5" w:rsidRPr="00D933C5" w:rsidRDefault="00D933C5" w:rsidP="00D933C5">
      <w:pPr>
        <w:pStyle w:val="PargrafodaLista"/>
        <w:tabs>
          <w:tab w:val="left" w:pos="142"/>
        </w:tabs>
        <w:ind w:left="0" w:firstLine="709"/>
        <w:jc w:val="both"/>
        <w:rPr>
          <w:sz w:val="24"/>
          <w:szCs w:val="24"/>
        </w:rPr>
      </w:pPr>
      <w:r w:rsidRPr="00D933C5">
        <w:rPr>
          <w:sz w:val="24"/>
          <w:szCs w:val="24"/>
        </w:rPr>
        <w:t xml:space="preserve">Neste cenário contencioso a interpretação ou o não cumprimento da legislação pode resultar na manipulação dos resultados publicados pelas companhias, para tanto houve a necessidade da normatização das demonstrações financeiras. Com a Lei nº 11.638/07 que dispõe a respeito da elaboração e divulgação das demonstrações financeiras, o Brasil passou a adotar as normas internacionais de contabilidade emitidas pelo </w:t>
      </w:r>
      <w:proofErr w:type="spellStart"/>
      <w:r w:rsidRPr="00D933C5">
        <w:rPr>
          <w:i/>
          <w:sz w:val="24"/>
          <w:szCs w:val="24"/>
        </w:rPr>
        <w:t>International</w:t>
      </w:r>
      <w:proofErr w:type="spellEnd"/>
      <w:r w:rsidRPr="00D933C5">
        <w:rPr>
          <w:i/>
          <w:sz w:val="24"/>
          <w:szCs w:val="24"/>
        </w:rPr>
        <w:t xml:space="preserve"> </w:t>
      </w:r>
      <w:proofErr w:type="spellStart"/>
      <w:r w:rsidRPr="00D933C5">
        <w:rPr>
          <w:i/>
          <w:sz w:val="24"/>
          <w:szCs w:val="24"/>
        </w:rPr>
        <w:t>Accounting</w:t>
      </w:r>
      <w:proofErr w:type="spellEnd"/>
      <w:r w:rsidRPr="00D933C5">
        <w:rPr>
          <w:i/>
          <w:sz w:val="24"/>
          <w:szCs w:val="24"/>
        </w:rPr>
        <w:t xml:space="preserve"> Standards </w:t>
      </w:r>
      <w:proofErr w:type="spellStart"/>
      <w:r w:rsidRPr="00D933C5">
        <w:rPr>
          <w:i/>
          <w:sz w:val="24"/>
          <w:szCs w:val="24"/>
        </w:rPr>
        <w:t>Board</w:t>
      </w:r>
      <w:proofErr w:type="spellEnd"/>
      <w:r w:rsidRPr="00D933C5">
        <w:rPr>
          <w:sz w:val="24"/>
          <w:szCs w:val="24"/>
        </w:rPr>
        <w:t xml:space="preserve"> (IASB), sendo o Comitê de Pronunciamentos Contábeis (CPC) responsável por convergir as normas do IASB no Brasil (</w:t>
      </w:r>
      <w:r w:rsidR="006C3B98" w:rsidRPr="00D933C5">
        <w:rPr>
          <w:sz w:val="24"/>
          <w:szCs w:val="24"/>
        </w:rPr>
        <w:t>Rosa</w:t>
      </w:r>
      <w:r w:rsidRPr="00D933C5">
        <w:rPr>
          <w:sz w:val="24"/>
          <w:szCs w:val="24"/>
        </w:rPr>
        <w:t xml:space="preserve"> </w:t>
      </w:r>
      <w:r w:rsidRPr="006C3B98">
        <w:rPr>
          <w:i/>
          <w:sz w:val="24"/>
          <w:szCs w:val="24"/>
        </w:rPr>
        <w:t>et al.</w:t>
      </w:r>
      <w:r w:rsidRPr="00D933C5">
        <w:rPr>
          <w:sz w:val="24"/>
          <w:szCs w:val="24"/>
        </w:rPr>
        <w:t>, 2017).</w:t>
      </w:r>
    </w:p>
    <w:p w14:paraId="07E91F96" w14:textId="4378A569" w:rsidR="00D933C5" w:rsidRPr="00D933C5" w:rsidRDefault="00D933C5" w:rsidP="00D933C5">
      <w:pPr>
        <w:pStyle w:val="PargrafodaLista"/>
        <w:tabs>
          <w:tab w:val="left" w:pos="142"/>
        </w:tabs>
        <w:ind w:left="0" w:firstLine="709"/>
        <w:jc w:val="both"/>
        <w:rPr>
          <w:sz w:val="24"/>
          <w:szCs w:val="24"/>
        </w:rPr>
      </w:pPr>
      <w:r w:rsidRPr="00D933C5">
        <w:rPr>
          <w:sz w:val="24"/>
          <w:szCs w:val="24"/>
        </w:rPr>
        <w:t>Os processos judiciais possuem um alto grau de complexidade e as companhias necessitam da avaliação de especialistas para avaliar e mensurar com confiabilidade as informações que serão divulgadas (</w:t>
      </w:r>
      <w:r w:rsidR="006C3B98">
        <w:rPr>
          <w:sz w:val="24"/>
          <w:szCs w:val="24"/>
        </w:rPr>
        <w:t>Ribeiro, Ribeiro &amp;</w:t>
      </w:r>
      <w:r w:rsidR="006C3B98" w:rsidRPr="00D933C5">
        <w:rPr>
          <w:sz w:val="24"/>
          <w:szCs w:val="24"/>
        </w:rPr>
        <w:t xml:space="preserve"> Weffort</w:t>
      </w:r>
      <w:r w:rsidRPr="00D933C5">
        <w:rPr>
          <w:sz w:val="24"/>
          <w:szCs w:val="24"/>
        </w:rPr>
        <w:t>, 2013), para tanto o CPC 25 estabelece critérios de reconhecimento e bases de mensuração para provisões e passivos e ativos contingentes quanto a sua natureza, oportunidade e valor.</w:t>
      </w:r>
    </w:p>
    <w:p w14:paraId="156D7192"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As provisões são passivos resultantes de obrigações presentes na entidade, mas com prazo e/ou valores incertos, no qual é considerada provável a saída de recursos e estes são reconhecidos no resultado do exercício das companhias. Ativos e Passivos Contingentes ainda serão confirmados por eventos não controlados pela entidade, portanto, são classificados como eventos possíveis de ocorrer, sendo evidenciados somente nas notas explicativas (CPC 25, 2009).</w:t>
      </w:r>
    </w:p>
    <w:p w14:paraId="22AAAABC"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 xml:space="preserve">Passivos classificados como possíveis e prováveis podem sofrer constantes alterações, uma vez que os eventos não são controlados pela entidade. Para tanto a análise frequente dos </w:t>
      </w:r>
      <w:r w:rsidRPr="00D933C5">
        <w:rPr>
          <w:sz w:val="24"/>
          <w:szCs w:val="24"/>
        </w:rPr>
        <w:lastRenderedPageBreak/>
        <w:t xml:space="preserve">especialistas da administração é fundamental na elucidação das informações fidedignas das demandas judiciais, uma vez que situações ora classificadas como possíveis podem tornar-se prováveis e impactar diretamente no resultado final do exercício das companhias. </w:t>
      </w:r>
    </w:p>
    <w:p w14:paraId="0864A6B9"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 xml:space="preserve">A complexidade e tamanho das operações envolvendo ambos os setores que compõe a amostra desta pesquisa, os quais negociam suas ações </w:t>
      </w:r>
      <w:proofErr w:type="spellStart"/>
      <w:r w:rsidRPr="00D933C5">
        <w:rPr>
          <w:sz w:val="24"/>
          <w:szCs w:val="24"/>
        </w:rPr>
        <w:t>na</w:t>
      </w:r>
      <w:proofErr w:type="spellEnd"/>
      <w:r w:rsidRPr="00D933C5">
        <w:rPr>
          <w:sz w:val="24"/>
          <w:szCs w:val="24"/>
        </w:rPr>
        <w:t xml:space="preserve"> Brasil, Bolsa, Balcão (B3) e estão classificados em Bens Industriais e Consumo Cíclico, denotam grande importância para o estudo devido a quantidade de companhias incluídas nos segmentos agregados em cada setor, os quais devido à ocasionarem um volume maior de vínculos empregatícios de forma direta ou indireta para a continuidade de suas operações, estão sujeitos a uma demanda maior de reclamatórias trabalhistas, causando um impacto nos valores a serem provisionados.</w:t>
      </w:r>
    </w:p>
    <w:p w14:paraId="185CB212"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 xml:space="preserve">Diante do exposto, e considerando a importância em divulgar informações suficientes para a tomada de decisão o presente estudo objetiva responder o seguinte problema de pesquisa: </w:t>
      </w:r>
      <w:r w:rsidRPr="00D933C5">
        <w:rPr>
          <w:b/>
          <w:sz w:val="24"/>
          <w:szCs w:val="24"/>
        </w:rPr>
        <w:t>Houve evolução das provisões e passivos contingentes trabalhistas nas empresas incluídas nos setores de bens industriais e consumo cíclico listadas na B3?</w:t>
      </w:r>
    </w:p>
    <w:p w14:paraId="6E446122" w14:textId="24C3BB05" w:rsidR="00D933C5" w:rsidRPr="00D933C5" w:rsidRDefault="00D933C5" w:rsidP="00D933C5">
      <w:pPr>
        <w:pStyle w:val="PargrafodaLista"/>
        <w:tabs>
          <w:tab w:val="left" w:pos="142"/>
        </w:tabs>
        <w:ind w:left="0" w:firstLine="709"/>
        <w:jc w:val="both"/>
        <w:rPr>
          <w:sz w:val="24"/>
          <w:szCs w:val="24"/>
        </w:rPr>
      </w:pPr>
      <w:r w:rsidRPr="00D933C5">
        <w:rPr>
          <w:sz w:val="24"/>
          <w:szCs w:val="24"/>
        </w:rPr>
        <w:t xml:space="preserve">O objetivo geral desde trabalho é analisar a evolução das provisões e passivos contingentes trabalhistas nas empresas incluídas nos setores de bens industriais e consumo cíclico listadas na B3. Tal estudo justifica-se devido à escassez de trabalhos abordando o desenvolvimento dos valores provisionados e divulgados pelas companhias, exclusivamente às demandas trabalhistas anteriormente e após a Reforma Trabalhista que após aprovada entrou em vigor no final do ano de 2017 e os reflexos da mesma em nossa complexa legislação brasileira. </w:t>
      </w:r>
    </w:p>
    <w:p w14:paraId="504F3EC6"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Sendo este um assunto complexo e que detona grande importância visto que após a análise esta pode inferir se houve uma tendência natural no aumento de ações trabalhistas nos três exercícios que antecederam a Reforma Trabalhista e, se houve algum reflexo advindo pós Reforma Trabalhista no exercício de 2018.</w:t>
      </w:r>
    </w:p>
    <w:p w14:paraId="0B2821A7" w14:textId="77777777" w:rsidR="00D933C5" w:rsidRPr="00D933C5" w:rsidRDefault="00D933C5" w:rsidP="00D933C5">
      <w:pPr>
        <w:pStyle w:val="PargrafodaLista"/>
        <w:tabs>
          <w:tab w:val="left" w:pos="142"/>
        </w:tabs>
        <w:ind w:left="0" w:firstLine="709"/>
        <w:jc w:val="both"/>
        <w:rPr>
          <w:sz w:val="24"/>
          <w:szCs w:val="24"/>
        </w:rPr>
      </w:pPr>
      <w:r w:rsidRPr="00D933C5">
        <w:rPr>
          <w:sz w:val="24"/>
          <w:szCs w:val="24"/>
        </w:rPr>
        <w:t>De forma contributiva este estudo também pretende verificar se as companhias estão seguindo o disposto no CPC 25 quanto a divulgação das Provisões e Passivos Contingentes em suas notas explicativas, visto que o registro ou não destas provisões podem impactar significativamente o patrimônio da entidade, uma vez que em sua maioria as reclamatórias trabalhistas possuem valores expressivos que quando desembolsados sem nenhuma provisão constituída podem onerar diretamente as companhias.</w:t>
      </w:r>
    </w:p>
    <w:p w14:paraId="1D9FB07A" w14:textId="77777777" w:rsidR="00D933C5" w:rsidRPr="00D933C5" w:rsidRDefault="00D933C5" w:rsidP="00D933C5">
      <w:pPr>
        <w:pStyle w:val="PargrafodaLista"/>
        <w:tabs>
          <w:tab w:val="left" w:pos="142"/>
        </w:tabs>
        <w:ind w:left="0" w:firstLine="709"/>
        <w:jc w:val="both"/>
        <w:rPr>
          <w:sz w:val="24"/>
          <w:szCs w:val="24"/>
        </w:rPr>
      </w:pPr>
    </w:p>
    <w:p w14:paraId="124203A0" w14:textId="306A401C" w:rsidR="00D933C5" w:rsidRPr="00D933C5" w:rsidRDefault="00D933C5" w:rsidP="00D933C5">
      <w:pPr>
        <w:tabs>
          <w:tab w:val="left" w:pos="142"/>
        </w:tabs>
        <w:suppressAutoHyphens w:val="0"/>
        <w:ind w:firstLine="0"/>
        <w:rPr>
          <w:b/>
          <w:szCs w:val="24"/>
        </w:rPr>
      </w:pPr>
      <w:r>
        <w:rPr>
          <w:b/>
          <w:szCs w:val="24"/>
        </w:rPr>
        <w:t xml:space="preserve">2 </w:t>
      </w:r>
      <w:r w:rsidRPr="00D933C5">
        <w:rPr>
          <w:b/>
          <w:szCs w:val="24"/>
        </w:rPr>
        <w:t>Referencial Teórico</w:t>
      </w:r>
    </w:p>
    <w:p w14:paraId="339DD711" w14:textId="77777777" w:rsidR="00D933C5" w:rsidRPr="00D933C5" w:rsidRDefault="00D933C5" w:rsidP="00D933C5">
      <w:pPr>
        <w:tabs>
          <w:tab w:val="left" w:pos="142"/>
        </w:tabs>
        <w:rPr>
          <w:b/>
          <w:szCs w:val="24"/>
        </w:rPr>
      </w:pPr>
    </w:p>
    <w:p w14:paraId="49506B96" w14:textId="552753C5" w:rsidR="00D933C5" w:rsidRPr="00D933C5" w:rsidRDefault="00D933C5" w:rsidP="00D933C5">
      <w:pPr>
        <w:tabs>
          <w:tab w:val="left" w:pos="142"/>
        </w:tabs>
        <w:suppressAutoHyphens w:val="0"/>
        <w:ind w:firstLine="0"/>
        <w:rPr>
          <w:b/>
          <w:bCs/>
          <w:szCs w:val="24"/>
        </w:rPr>
      </w:pPr>
      <w:r>
        <w:rPr>
          <w:b/>
          <w:bCs/>
          <w:szCs w:val="24"/>
        </w:rPr>
        <w:t xml:space="preserve">2.1 </w:t>
      </w:r>
      <w:r w:rsidR="00FE4B75">
        <w:rPr>
          <w:b/>
          <w:bCs/>
          <w:szCs w:val="24"/>
        </w:rPr>
        <w:t>Evidenciação das Provisões e</w:t>
      </w:r>
      <w:r w:rsidRPr="00D933C5">
        <w:rPr>
          <w:b/>
          <w:bCs/>
          <w:szCs w:val="24"/>
        </w:rPr>
        <w:t xml:space="preserve"> Passivos Contingentes </w:t>
      </w:r>
    </w:p>
    <w:p w14:paraId="789B8048" w14:textId="2DD40648" w:rsidR="00D933C5" w:rsidRPr="00D933C5" w:rsidRDefault="00D933C5" w:rsidP="00D933C5">
      <w:pPr>
        <w:tabs>
          <w:tab w:val="left" w:pos="142"/>
        </w:tabs>
        <w:rPr>
          <w:szCs w:val="24"/>
        </w:rPr>
      </w:pPr>
      <w:r w:rsidRPr="00D933C5">
        <w:rPr>
          <w:szCs w:val="24"/>
        </w:rPr>
        <w:t>A Contabilidade tem como principal objetivo disponibilizar a todos os usuários informações genuínas capazes de auxiliar no processo de tomada de decisão (</w:t>
      </w:r>
      <w:proofErr w:type="spellStart"/>
      <w:r w:rsidR="00AB6D7B" w:rsidRPr="00D933C5">
        <w:rPr>
          <w:szCs w:val="24"/>
        </w:rPr>
        <w:t>Iudicíbus</w:t>
      </w:r>
      <w:proofErr w:type="spellEnd"/>
      <w:r w:rsidRPr="00D933C5">
        <w:rPr>
          <w:szCs w:val="24"/>
        </w:rPr>
        <w:t>, 2004). Neste sentido ressalta-se que para contribuir de forma positiva em uma decisão, deve haver, além do acesso à informação, a necessidade de esta ser apresentada de forma tempestiva, relevante e confiável (</w:t>
      </w:r>
      <w:r w:rsidR="00AB6D7B" w:rsidRPr="00D933C5">
        <w:rPr>
          <w:szCs w:val="24"/>
        </w:rPr>
        <w:t>Nogueira</w:t>
      </w:r>
      <w:r w:rsidRPr="00D933C5">
        <w:rPr>
          <w:szCs w:val="24"/>
        </w:rPr>
        <w:t>, 2016)</w:t>
      </w:r>
    </w:p>
    <w:p w14:paraId="009546B1" w14:textId="77777777" w:rsidR="00D933C5" w:rsidRPr="00D933C5" w:rsidRDefault="00D933C5" w:rsidP="00D933C5">
      <w:pPr>
        <w:tabs>
          <w:tab w:val="left" w:pos="142"/>
        </w:tabs>
        <w:rPr>
          <w:szCs w:val="24"/>
        </w:rPr>
      </w:pPr>
      <w:r w:rsidRPr="00D933C5">
        <w:rPr>
          <w:szCs w:val="24"/>
        </w:rPr>
        <w:t xml:space="preserve">Corroborando a este entendimento, Farias (2004) relata que a relevância das informações divulgadas, através das Demonstrações Contábeis complementadas pelas notas explicativas que descrevem os métodos para a mensuração e reconhecimento utilizados, geram credibilidade às </w:t>
      </w:r>
      <w:r w:rsidRPr="00D933C5">
        <w:rPr>
          <w:szCs w:val="24"/>
        </w:rPr>
        <w:lastRenderedPageBreak/>
        <w:t xml:space="preserve">informações apresentadas pela contabilidade. Em complemento </w:t>
      </w:r>
      <w:proofErr w:type="spellStart"/>
      <w:r w:rsidRPr="00D933C5">
        <w:rPr>
          <w:szCs w:val="24"/>
        </w:rPr>
        <w:t>Indicíbus</w:t>
      </w:r>
      <w:proofErr w:type="spellEnd"/>
      <w:r w:rsidRPr="00D933C5">
        <w:rPr>
          <w:szCs w:val="24"/>
        </w:rPr>
        <w:t xml:space="preserve"> (2004) destaca a existência de inúmeras formas de evidenciação, no entanto todas baseadas na mesma essência: expor a informação de forma ordenada e consistente de maneira diferenciada para cada tipo de usuário.</w:t>
      </w:r>
    </w:p>
    <w:p w14:paraId="2E215636" w14:textId="77777777" w:rsidR="00D933C5" w:rsidRPr="00D933C5" w:rsidRDefault="00D933C5" w:rsidP="00D933C5">
      <w:pPr>
        <w:tabs>
          <w:tab w:val="left" w:pos="142"/>
        </w:tabs>
        <w:rPr>
          <w:szCs w:val="24"/>
        </w:rPr>
      </w:pPr>
      <w:r w:rsidRPr="00D933C5">
        <w:rPr>
          <w:szCs w:val="24"/>
        </w:rPr>
        <w:t xml:space="preserve">No Brasil após a adoção das normas internacionais de contabilidade, o CPC 25, proveniente da tradução do IAS 37 - </w:t>
      </w:r>
      <w:proofErr w:type="spellStart"/>
      <w:r w:rsidRPr="00D933C5">
        <w:rPr>
          <w:i/>
          <w:szCs w:val="24"/>
        </w:rPr>
        <w:t>International</w:t>
      </w:r>
      <w:proofErr w:type="spellEnd"/>
      <w:r w:rsidRPr="00D933C5">
        <w:rPr>
          <w:i/>
          <w:szCs w:val="24"/>
        </w:rPr>
        <w:t xml:space="preserve"> </w:t>
      </w:r>
      <w:proofErr w:type="spellStart"/>
      <w:r w:rsidRPr="00D933C5">
        <w:rPr>
          <w:i/>
          <w:szCs w:val="24"/>
        </w:rPr>
        <w:t>Accounting</w:t>
      </w:r>
      <w:proofErr w:type="spellEnd"/>
      <w:r w:rsidRPr="00D933C5">
        <w:rPr>
          <w:i/>
          <w:szCs w:val="24"/>
        </w:rPr>
        <w:t xml:space="preserve"> Standards </w:t>
      </w:r>
      <w:proofErr w:type="spellStart"/>
      <w:r w:rsidRPr="00D933C5">
        <w:rPr>
          <w:i/>
          <w:szCs w:val="24"/>
        </w:rPr>
        <w:t>Board</w:t>
      </w:r>
      <w:proofErr w:type="spellEnd"/>
      <w:r w:rsidRPr="00D933C5">
        <w:rPr>
          <w:szCs w:val="24"/>
        </w:rPr>
        <w:t xml:space="preserve"> (IASB), dispõe sobre os procedimentos técnicos para o devido reconhecimento e mensuração das provisões, ativos e passivos contingentes. Houve a necessidade de um tratamento especifico para este tipo de obrigação, pois foi identificado que existiam situações as quais a entidade não possuía certo grau de certeza ou confiabilidade quanto ao prazo e/ou valor de tal obrigação, não podendo assim classificar como passivo conforme diretrizes da Estrutura Conceitual.</w:t>
      </w:r>
    </w:p>
    <w:p w14:paraId="4FF514C8" w14:textId="77777777" w:rsidR="00D933C5" w:rsidRPr="00D933C5" w:rsidRDefault="00D933C5" w:rsidP="00D933C5">
      <w:pPr>
        <w:tabs>
          <w:tab w:val="left" w:pos="142"/>
        </w:tabs>
        <w:rPr>
          <w:szCs w:val="24"/>
        </w:rPr>
      </w:pPr>
      <w:r w:rsidRPr="00D933C5">
        <w:rPr>
          <w:szCs w:val="24"/>
        </w:rPr>
        <w:t>Conforme dispõe o CPC 25 (2009) os elementos que não podem ser reconhecidos como passivo recebem classificação que se diferenciam quanto ao seu tratamento nas demonstrações contábeis, sendo classificados como provável, possível e remoto. Quando é provável a saída de recursos tais elementos são intitulados como provisão e devem ser reconhecidos no resultado do exercício, as demais classificações são evidenciadas somente em notas explicativas sem necessidade de seu reconhecimento no balanço por não ser possível confirmar a saída de recursos pela entidade.</w:t>
      </w:r>
    </w:p>
    <w:p w14:paraId="082B1B38" w14:textId="70F94B4B" w:rsidR="00D933C5" w:rsidRPr="00D933C5" w:rsidRDefault="00D933C5" w:rsidP="00D933C5">
      <w:pPr>
        <w:tabs>
          <w:tab w:val="left" w:pos="142"/>
        </w:tabs>
        <w:rPr>
          <w:szCs w:val="24"/>
        </w:rPr>
      </w:pPr>
      <w:r w:rsidRPr="00D933C5">
        <w:rPr>
          <w:szCs w:val="24"/>
        </w:rPr>
        <w:t>Há elementos considerados relevantes, mas possuem restrições quanto a sua mensuração, para tanto devem ser evidenciados em notas explicativas. Considerando que elementos classificados como possíveis, inicialmente tratados somente em notas explicativas podem sofrer alterações e tornar-se prováveis de ocorrência, afetando assim o resultado do exercício, é de suma importância que os critérios de classificação sejam respeitados para garantir a confiabilidade das informações e transpor aos usuários as reais situações que podem afetar a companhia. (</w:t>
      </w:r>
      <w:r w:rsidR="00AB6D7B" w:rsidRPr="00D933C5">
        <w:rPr>
          <w:szCs w:val="24"/>
        </w:rPr>
        <w:t>Farias</w:t>
      </w:r>
      <w:r w:rsidRPr="00D933C5">
        <w:rPr>
          <w:szCs w:val="24"/>
        </w:rPr>
        <w:t>, 2004)</w:t>
      </w:r>
    </w:p>
    <w:p w14:paraId="78BFEFA8" w14:textId="77777777" w:rsidR="00D933C5" w:rsidRPr="00D933C5" w:rsidRDefault="00D933C5" w:rsidP="00D933C5">
      <w:pPr>
        <w:tabs>
          <w:tab w:val="left" w:pos="142"/>
        </w:tabs>
        <w:rPr>
          <w:szCs w:val="24"/>
        </w:rPr>
      </w:pPr>
      <w:r w:rsidRPr="00D933C5">
        <w:rPr>
          <w:szCs w:val="24"/>
        </w:rPr>
        <w:t>Farias (2004) também afirma que as obrigações contingenciais decorrem principalmente de questões trabalhistas, tributárias, cíveis e ambientais, e enfatiza que processos trabalhistas são comuns e cada vez mais frequentes na rotina de trabalho das organizações. Neste cenário, garantir a adequada evidenciação destas informações garante aos usuários informações uteis quanto aos eventos que podem afetar a companhia, ratificando assim a relevância na observação do CPC 25 (2009) no que dispõe sobre as formas de evidenciação dessas obrigações.</w:t>
      </w:r>
    </w:p>
    <w:p w14:paraId="765A08B3" w14:textId="77777777" w:rsidR="00D933C5" w:rsidRPr="00D933C5" w:rsidRDefault="00D933C5" w:rsidP="00D933C5">
      <w:pPr>
        <w:pStyle w:val="PargrafodaLista"/>
        <w:tabs>
          <w:tab w:val="left" w:pos="142"/>
        </w:tabs>
        <w:ind w:left="0" w:firstLine="709"/>
        <w:jc w:val="both"/>
        <w:rPr>
          <w:b/>
          <w:sz w:val="24"/>
          <w:szCs w:val="24"/>
        </w:rPr>
      </w:pPr>
    </w:p>
    <w:p w14:paraId="770CA0DA" w14:textId="23B6E2AD" w:rsidR="00D933C5" w:rsidRPr="00973A2B" w:rsidRDefault="00AB6D7B" w:rsidP="00973A2B">
      <w:pPr>
        <w:tabs>
          <w:tab w:val="left" w:pos="142"/>
        </w:tabs>
        <w:suppressAutoHyphens w:val="0"/>
        <w:ind w:firstLine="0"/>
        <w:rPr>
          <w:b/>
          <w:bCs/>
          <w:szCs w:val="24"/>
        </w:rPr>
      </w:pPr>
      <w:r>
        <w:rPr>
          <w:b/>
          <w:bCs/>
          <w:szCs w:val="24"/>
        </w:rPr>
        <w:t>2.2</w:t>
      </w:r>
      <w:r w:rsidR="00973A2B">
        <w:rPr>
          <w:b/>
          <w:bCs/>
          <w:szCs w:val="24"/>
        </w:rPr>
        <w:t xml:space="preserve"> Provisões e</w:t>
      </w:r>
      <w:r w:rsidR="00973A2B" w:rsidRPr="00973A2B">
        <w:rPr>
          <w:b/>
          <w:bCs/>
          <w:szCs w:val="24"/>
        </w:rPr>
        <w:t xml:space="preserve"> Passivos Contingentes Trabalhistas</w:t>
      </w:r>
    </w:p>
    <w:p w14:paraId="6C4463A1" w14:textId="77777777" w:rsidR="00D933C5" w:rsidRPr="00D933C5" w:rsidRDefault="00D933C5" w:rsidP="00D933C5">
      <w:pPr>
        <w:tabs>
          <w:tab w:val="left" w:pos="142"/>
        </w:tabs>
        <w:rPr>
          <w:szCs w:val="24"/>
        </w:rPr>
      </w:pPr>
      <w:r w:rsidRPr="00D933C5">
        <w:rPr>
          <w:szCs w:val="24"/>
        </w:rPr>
        <w:t>Inicialmente a Estrutura Conceitual para Elaboração e Divulgação do Relatório Contábil-Financeiro (2011) conceitua passivos sendo uma obrigação presente da entidade, derivada de eventos já ocorridos, cuja liquidação resulte na saída de recursos da entidade capazes de gerar benefícios econômicos. No entanto a particularidade de alguns elementos resultou na criação de normas complementares visando atender e transpor com confiabilidade os eventos que não se enquadram no conceito de passivo, tal qual dispõe o CPC 25 (2009) criado com o objetivo de estabelecer critérios de reconhecimento e mensuração apropriados a provisões, ativos e passivos contingentes e que sejam divulgadas informações suficientes para permitir o entendimento quanto a sua natureza, oportunidade e valor (CPC 25, 2009).</w:t>
      </w:r>
    </w:p>
    <w:p w14:paraId="16AEFE25" w14:textId="77777777" w:rsidR="00D933C5" w:rsidRPr="00D933C5" w:rsidRDefault="00D933C5" w:rsidP="00D933C5">
      <w:pPr>
        <w:tabs>
          <w:tab w:val="left" w:pos="142"/>
        </w:tabs>
        <w:rPr>
          <w:szCs w:val="24"/>
        </w:rPr>
      </w:pPr>
      <w:r w:rsidRPr="00D933C5">
        <w:rPr>
          <w:szCs w:val="24"/>
        </w:rPr>
        <w:lastRenderedPageBreak/>
        <w:t>Provisão é um passivo de prazo e/ou valor incerto. CPC 25 (2009) discorre que para constituir uma provisão se deve considerar os seguintes requisitos de forma conjunta: (a) a entidade tem uma obrigação presente (legal ou não formalizada) como resultado de evento passado; (b) seja provável que será necessária uma saída de recursos que incorporam benefícios econômicos para liquidar a obrigação; e (c) possa ser feita uma estimativa confiável do valor da obrigação.</w:t>
      </w:r>
    </w:p>
    <w:p w14:paraId="52587F39" w14:textId="22FB7864" w:rsidR="00D933C5" w:rsidRPr="00D933C5" w:rsidRDefault="00D933C5" w:rsidP="00D933C5">
      <w:pPr>
        <w:tabs>
          <w:tab w:val="left" w:pos="142"/>
        </w:tabs>
        <w:rPr>
          <w:szCs w:val="24"/>
        </w:rPr>
      </w:pPr>
      <w:r w:rsidRPr="00D933C5">
        <w:rPr>
          <w:szCs w:val="24"/>
        </w:rPr>
        <w:t>Portanto, o reconhecimento da provisão se dá somente caso haja a presença de todos os requisitos listados acima, caso a provisão não possa ser reconhecida devido à ausência das condições supracitadas, a provisão não é constituída sendo realizado apenas a divulgação nas notas explicativas e neste caso, tratado como passivo contingente. Caetano</w:t>
      </w:r>
      <w:r w:rsidRPr="00D933C5">
        <w:rPr>
          <w:i/>
          <w:szCs w:val="24"/>
          <w:shd w:val="clear" w:color="auto" w:fill="FFFFFF"/>
        </w:rPr>
        <w:t> </w:t>
      </w:r>
      <w:r w:rsidRPr="00D933C5">
        <w:rPr>
          <w:rStyle w:val="nfase"/>
          <w:szCs w:val="24"/>
          <w:shd w:val="clear" w:color="auto" w:fill="FFFFFF"/>
        </w:rPr>
        <w:t>et al</w:t>
      </w:r>
      <w:r w:rsidRPr="00D933C5">
        <w:rPr>
          <w:i/>
          <w:szCs w:val="24"/>
          <w:shd w:val="clear" w:color="auto" w:fill="FFFFFF"/>
        </w:rPr>
        <w:t>.</w:t>
      </w:r>
      <w:r w:rsidRPr="00D933C5">
        <w:rPr>
          <w:szCs w:val="24"/>
          <w:shd w:val="clear" w:color="auto" w:fill="FFFFFF"/>
        </w:rPr>
        <w:t xml:space="preserve"> (2010)</w:t>
      </w:r>
      <w:r w:rsidRPr="00D933C5">
        <w:rPr>
          <w:szCs w:val="24"/>
        </w:rPr>
        <w:t xml:space="preserve"> ressalta que a classificação da provisão e do passivo contingente deverá ser determinada considerando a probabilidade de sua ocorrência, objetivando atribuir diferentes tratamentos contábeis para cada tipo de risco, </w:t>
      </w:r>
      <w:r w:rsidR="00B6710F">
        <w:rPr>
          <w:szCs w:val="24"/>
        </w:rPr>
        <w:t>conforme relacionado na Tabela 1</w:t>
      </w:r>
      <w:r w:rsidRPr="00D933C5">
        <w:rPr>
          <w:szCs w:val="24"/>
        </w:rPr>
        <w:t>:</w:t>
      </w:r>
    </w:p>
    <w:p w14:paraId="281586E0" w14:textId="77777777" w:rsidR="00D933C5" w:rsidRPr="00D933C5" w:rsidRDefault="00D933C5" w:rsidP="00D933C5">
      <w:pPr>
        <w:tabs>
          <w:tab w:val="left" w:pos="142"/>
        </w:tabs>
        <w:rPr>
          <w:szCs w:val="24"/>
        </w:rPr>
      </w:pPr>
    </w:p>
    <w:p w14:paraId="6A7F53BE" w14:textId="7E980D1C" w:rsidR="003C1CDA" w:rsidRPr="00203974" w:rsidRDefault="003C1CDA" w:rsidP="003C1CDA">
      <w:pPr>
        <w:pStyle w:val="Corpodetexto"/>
        <w:spacing w:after="0"/>
        <w:ind w:firstLine="0"/>
        <w:rPr>
          <w:szCs w:val="24"/>
        </w:rPr>
      </w:pPr>
      <w:r w:rsidRPr="00203974">
        <w:rPr>
          <w:szCs w:val="24"/>
        </w:rPr>
        <w:t xml:space="preserve">Tabela </w:t>
      </w:r>
      <w:r>
        <w:rPr>
          <w:szCs w:val="24"/>
        </w:rPr>
        <w:t>1</w:t>
      </w:r>
      <w:r w:rsidRPr="00203974">
        <w:rPr>
          <w:szCs w:val="24"/>
        </w:rPr>
        <w:t xml:space="preserve">. </w:t>
      </w:r>
    </w:p>
    <w:p w14:paraId="5CE3F8B2" w14:textId="77B4BB35" w:rsidR="00D933C5" w:rsidRDefault="00D933C5" w:rsidP="003C1CDA">
      <w:pPr>
        <w:tabs>
          <w:tab w:val="left" w:pos="142"/>
        </w:tabs>
        <w:ind w:firstLine="0"/>
        <w:rPr>
          <w:b/>
          <w:szCs w:val="24"/>
        </w:rPr>
      </w:pPr>
      <w:r w:rsidRPr="003C1CDA">
        <w:rPr>
          <w:b/>
          <w:szCs w:val="24"/>
        </w:rPr>
        <w:t>Classificação provisões e passivos contingentes</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988"/>
        <w:gridCol w:w="4252"/>
        <w:gridCol w:w="4155"/>
      </w:tblGrid>
      <w:tr w:rsidR="00F268D1" w14:paraId="1EBBE453" w14:textId="77777777" w:rsidTr="00C2022D">
        <w:tc>
          <w:tcPr>
            <w:tcW w:w="988" w:type="dxa"/>
          </w:tcPr>
          <w:p w14:paraId="364AA6BB" w14:textId="2FDCEDB0"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Risco</w:t>
            </w:r>
          </w:p>
        </w:tc>
        <w:tc>
          <w:tcPr>
            <w:tcW w:w="4252" w:type="dxa"/>
          </w:tcPr>
          <w:p w14:paraId="68EB36B0" w14:textId="49974E95"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Conceito</w:t>
            </w:r>
          </w:p>
        </w:tc>
        <w:tc>
          <w:tcPr>
            <w:tcW w:w="4155" w:type="dxa"/>
          </w:tcPr>
          <w:p w14:paraId="229DE737" w14:textId="5BD34C3E"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Interpretação</w:t>
            </w:r>
          </w:p>
        </w:tc>
      </w:tr>
      <w:tr w:rsidR="00F268D1" w14:paraId="467EB2F6" w14:textId="77777777" w:rsidTr="00C2022D">
        <w:tc>
          <w:tcPr>
            <w:tcW w:w="988" w:type="dxa"/>
          </w:tcPr>
          <w:p w14:paraId="29331899" w14:textId="085DD781"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Provável</w:t>
            </w:r>
          </w:p>
        </w:tc>
        <w:tc>
          <w:tcPr>
            <w:tcW w:w="4252" w:type="dxa"/>
          </w:tcPr>
          <w:p w14:paraId="28437442" w14:textId="1CEE7701"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Saída de recursos considerada provável em face de uma obrigação presente</w:t>
            </w:r>
          </w:p>
        </w:tc>
        <w:tc>
          <w:tcPr>
            <w:tcW w:w="4155" w:type="dxa"/>
          </w:tcPr>
          <w:p w14:paraId="3ECFD72D" w14:textId="5B44DE7F"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Provisão após mensurada deve ser reconhecida e divulgada conforme exigência legal</w:t>
            </w:r>
          </w:p>
        </w:tc>
      </w:tr>
      <w:tr w:rsidR="00F268D1" w14:paraId="11FA62C8" w14:textId="77777777" w:rsidTr="00C2022D">
        <w:tc>
          <w:tcPr>
            <w:tcW w:w="988" w:type="dxa"/>
          </w:tcPr>
          <w:p w14:paraId="05A46A80" w14:textId="18BB1081"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Possível</w:t>
            </w:r>
          </w:p>
        </w:tc>
        <w:tc>
          <w:tcPr>
            <w:tcW w:w="4252" w:type="dxa"/>
          </w:tcPr>
          <w:p w14:paraId="0F966FE5" w14:textId="0650D180"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Dispõe de obrigação considerada possível, podendo requerer, no entanto, é provável que não haverá saídas de recursos</w:t>
            </w:r>
          </w:p>
        </w:tc>
        <w:tc>
          <w:tcPr>
            <w:tcW w:w="4155" w:type="dxa"/>
          </w:tcPr>
          <w:p w14:paraId="194F4AEF" w14:textId="61E1FA9A"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Provisão não é reconhecida, porém é exigido a divulgação do passivo contingente nas notas explicativas</w:t>
            </w:r>
          </w:p>
        </w:tc>
      </w:tr>
      <w:tr w:rsidR="00F268D1" w14:paraId="7D834437" w14:textId="77777777" w:rsidTr="00C2022D">
        <w:tc>
          <w:tcPr>
            <w:tcW w:w="988" w:type="dxa"/>
          </w:tcPr>
          <w:p w14:paraId="4DAC4FB9" w14:textId="5B74F6AF"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Remota</w:t>
            </w:r>
          </w:p>
        </w:tc>
        <w:tc>
          <w:tcPr>
            <w:tcW w:w="4252" w:type="dxa"/>
          </w:tcPr>
          <w:p w14:paraId="667B4778" w14:textId="25FEA741"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Dispões de obrigação considerada possível, da qual a probabilidade de saída de recursos é remota</w:t>
            </w:r>
          </w:p>
        </w:tc>
        <w:tc>
          <w:tcPr>
            <w:tcW w:w="4155" w:type="dxa"/>
          </w:tcPr>
          <w:p w14:paraId="2271A993" w14:textId="38512944" w:rsidR="00F268D1" w:rsidRPr="00F268D1" w:rsidRDefault="00F268D1" w:rsidP="003C1CDA">
            <w:pPr>
              <w:tabs>
                <w:tab w:val="left" w:pos="142"/>
              </w:tabs>
              <w:ind w:firstLine="0"/>
              <w:rPr>
                <w:rFonts w:ascii="Times New Roman" w:hAnsi="Times New Roman"/>
                <w:sz w:val="20"/>
              </w:rPr>
            </w:pPr>
            <w:r w:rsidRPr="00F268D1">
              <w:rPr>
                <w:rFonts w:ascii="Times New Roman" w:hAnsi="Times New Roman"/>
                <w:sz w:val="20"/>
              </w:rPr>
              <w:t>Nenhuma provisão é reconhecida e não há exigência de divulgação</w:t>
            </w:r>
          </w:p>
        </w:tc>
      </w:tr>
    </w:tbl>
    <w:p w14:paraId="1B336F83" w14:textId="77777777" w:rsidR="00D933C5" w:rsidRPr="009973B8" w:rsidRDefault="00D933C5" w:rsidP="003C1CDA">
      <w:pPr>
        <w:tabs>
          <w:tab w:val="left" w:pos="142"/>
        </w:tabs>
        <w:ind w:firstLine="0"/>
        <w:rPr>
          <w:sz w:val="20"/>
        </w:rPr>
      </w:pPr>
      <w:r w:rsidRPr="009973B8">
        <w:rPr>
          <w:sz w:val="20"/>
        </w:rPr>
        <w:t>Fonte: Adaptado CPC 25, pág. 17.</w:t>
      </w:r>
    </w:p>
    <w:p w14:paraId="1F49B9AD" w14:textId="77777777" w:rsidR="00D933C5" w:rsidRPr="00D933C5" w:rsidRDefault="00D933C5" w:rsidP="00D933C5">
      <w:pPr>
        <w:tabs>
          <w:tab w:val="left" w:pos="142"/>
        </w:tabs>
        <w:rPr>
          <w:szCs w:val="24"/>
        </w:rPr>
      </w:pPr>
      <w:r w:rsidRPr="00D933C5">
        <w:rPr>
          <w:szCs w:val="24"/>
        </w:rPr>
        <w:tab/>
      </w:r>
      <w:r w:rsidRPr="00D933C5">
        <w:rPr>
          <w:szCs w:val="24"/>
        </w:rPr>
        <w:tab/>
      </w:r>
      <w:r w:rsidRPr="00D933C5">
        <w:rPr>
          <w:szCs w:val="24"/>
        </w:rPr>
        <w:tab/>
      </w:r>
    </w:p>
    <w:p w14:paraId="6A64E774" w14:textId="3CC54B30" w:rsidR="00D933C5" w:rsidRPr="00D933C5" w:rsidRDefault="00D933C5" w:rsidP="00D933C5">
      <w:pPr>
        <w:tabs>
          <w:tab w:val="left" w:pos="142"/>
        </w:tabs>
        <w:rPr>
          <w:szCs w:val="24"/>
        </w:rPr>
      </w:pPr>
      <w:r w:rsidRPr="00D933C5">
        <w:rPr>
          <w:szCs w:val="24"/>
        </w:rPr>
        <w:t>Levando em consideração que os passivos contingentes se desenvolvem de forma não premeditada, na decorrência de uma saída de recursos que incorporem benefícios econômicos a entidade e que inicialmente foram tratados como possíveis e divulgados como passivos contingentes, após avaliação periódica sejam identificados como prováveis, haverá o reconhecimento da provisão nas demonstrações contábeis do pe</w:t>
      </w:r>
      <w:r w:rsidR="00AB6D7B">
        <w:rPr>
          <w:szCs w:val="24"/>
        </w:rPr>
        <w:t>ríodo no qual houve a alteração</w:t>
      </w:r>
      <w:r w:rsidRPr="00D933C5">
        <w:rPr>
          <w:szCs w:val="24"/>
        </w:rPr>
        <w:t xml:space="preserve"> (CPC 25, pg. 9)</w:t>
      </w:r>
    </w:p>
    <w:p w14:paraId="3C104387" w14:textId="3BF29DE0" w:rsidR="00D933C5" w:rsidRPr="00D933C5" w:rsidRDefault="00D933C5" w:rsidP="00D933C5">
      <w:pPr>
        <w:tabs>
          <w:tab w:val="left" w:pos="142"/>
        </w:tabs>
        <w:rPr>
          <w:szCs w:val="24"/>
        </w:rPr>
      </w:pPr>
      <w:r w:rsidRPr="00D933C5">
        <w:rPr>
          <w:szCs w:val="24"/>
        </w:rPr>
        <w:t>Considerando que as obrigações contingentes são constituídas principalmente por demandas trabalhistas, tributárias, cíveis e ambientais a abordagem quanto aos processos trabalhistas é relevante devido aos riscos financeiros envolvidos. A complexidade e morosidade do sistema judiciário no tratamento do passivo contingente trabalhista não é dos mais simples, visto que nem sempre a reclamatória ocorreu de fato, ou na proporção alegada, além de acordos que podem vir a ser realizados entre as partes (</w:t>
      </w:r>
      <w:r w:rsidR="00AB6D7B" w:rsidRPr="00D933C5">
        <w:rPr>
          <w:szCs w:val="24"/>
        </w:rPr>
        <w:t>Farias</w:t>
      </w:r>
      <w:r w:rsidRPr="00D933C5">
        <w:rPr>
          <w:szCs w:val="24"/>
        </w:rPr>
        <w:t xml:space="preserve">, 2004).   </w:t>
      </w:r>
    </w:p>
    <w:p w14:paraId="56FB6B95" w14:textId="309EFAA3" w:rsidR="00D933C5" w:rsidRPr="00D933C5" w:rsidRDefault="00D933C5" w:rsidP="00D933C5">
      <w:pPr>
        <w:tabs>
          <w:tab w:val="left" w:pos="142"/>
        </w:tabs>
        <w:rPr>
          <w:szCs w:val="24"/>
        </w:rPr>
      </w:pPr>
      <w:r w:rsidRPr="00D933C5">
        <w:rPr>
          <w:szCs w:val="24"/>
        </w:rPr>
        <w:t xml:space="preserve">Tem-se ainda que o profissional contábil se depara com inúmeras situações que exige profundos conhecimentos nas mais diferentes áreas de atuação, as quais podem impactar todas as informações contabilizadas. Haja vista o alto grau de complexidade das leis brasileiras torna-se inviável que o profissional contabilista tenha total conhecimento dessas áreas correlatas, para tanto a responsabilidade por avaliar casos judiciais foi transferida para profissionais especializados no âmbito jurídico, restando ao profissional contábil o julgamento quanto ao registro ou não do risco </w:t>
      </w:r>
      <w:r w:rsidRPr="00D933C5">
        <w:rPr>
          <w:szCs w:val="24"/>
        </w:rPr>
        <w:lastRenderedPageBreak/>
        <w:t>apontado. (</w:t>
      </w:r>
      <w:proofErr w:type="spellStart"/>
      <w:r w:rsidR="00AB6D7B" w:rsidRPr="00D933C5">
        <w:rPr>
          <w:szCs w:val="24"/>
        </w:rPr>
        <w:t>Paoletti</w:t>
      </w:r>
      <w:proofErr w:type="spellEnd"/>
      <w:r w:rsidRPr="00D933C5">
        <w:rPr>
          <w:szCs w:val="24"/>
        </w:rPr>
        <w:t xml:space="preserve">, 2009) </w:t>
      </w:r>
    </w:p>
    <w:p w14:paraId="065B0F4B" w14:textId="40A9D03F" w:rsidR="00D933C5" w:rsidRPr="00D933C5" w:rsidRDefault="00D933C5" w:rsidP="00D933C5">
      <w:pPr>
        <w:tabs>
          <w:tab w:val="left" w:pos="142"/>
        </w:tabs>
        <w:rPr>
          <w:szCs w:val="24"/>
        </w:rPr>
      </w:pPr>
      <w:r w:rsidRPr="00D933C5">
        <w:rPr>
          <w:szCs w:val="24"/>
        </w:rPr>
        <w:t>Pereira (2008, p.95) afirma: “As possíveis perdas decorrentes da não provisão de um possível passivo trabalhista podem comprometer as finanças da organização gerando um contingenciamento de despesas, afetando negativamente a saúde da empresa.” Para tanto a avaliação periódica por especialistas é essencial para transpor com confiabilidade tais eventos.</w:t>
      </w:r>
    </w:p>
    <w:p w14:paraId="6E6673C1" w14:textId="77777777" w:rsidR="00D933C5" w:rsidRPr="00D933C5" w:rsidRDefault="00D933C5" w:rsidP="00D933C5">
      <w:pPr>
        <w:tabs>
          <w:tab w:val="left" w:pos="142"/>
        </w:tabs>
        <w:rPr>
          <w:szCs w:val="24"/>
        </w:rPr>
      </w:pPr>
    </w:p>
    <w:p w14:paraId="6B73A633" w14:textId="40F23AC6" w:rsidR="00D933C5" w:rsidRPr="00AB6D7B" w:rsidRDefault="00AB6D7B" w:rsidP="00AB6D7B">
      <w:pPr>
        <w:tabs>
          <w:tab w:val="left" w:pos="142"/>
        </w:tabs>
        <w:suppressAutoHyphens w:val="0"/>
        <w:ind w:firstLine="0"/>
        <w:rPr>
          <w:b/>
          <w:bCs/>
          <w:szCs w:val="24"/>
        </w:rPr>
      </w:pPr>
      <w:r>
        <w:rPr>
          <w:b/>
          <w:bCs/>
          <w:szCs w:val="24"/>
        </w:rPr>
        <w:t xml:space="preserve">2.3 </w:t>
      </w:r>
      <w:r w:rsidRPr="00AB6D7B">
        <w:rPr>
          <w:b/>
          <w:bCs/>
          <w:szCs w:val="24"/>
        </w:rPr>
        <w:t>Estudos Semelhantes</w:t>
      </w:r>
    </w:p>
    <w:p w14:paraId="4EBBF2BB" w14:textId="46440EE2" w:rsidR="00D933C5" w:rsidRPr="00D933C5" w:rsidRDefault="00D933C5" w:rsidP="00D933C5">
      <w:pPr>
        <w:tabs>
          <w:tab w:val="left" w:pos="709"/>
        </w:tabs>
        <w:rPr>
          <w:szCs w:val="24"/>
        </w:rPr>
      </w:pPr>
      <w:r w:rsidRPr="00D933C5">
        <w:rPr>
          <w:szCs w:val="24"/>
        </w:rPr>
        <w:t>Para r</w:t>
      </w:r>
      <w:r w:rsidR="00B6710F">
        <w:rPr>
          <w:szCs w:val="24"/>
        </w:rPr>
        <w:t>eforçar a relevância do objeto</w:t>
      </w:r>
      <w:r w:rsidRPr="00D933C5">
        <w:rPr>
          <w:szCs w:val="24"/>
        </w:rPr>
        <w:t xml:space="preserve"> deste estudo, foi realizado levantamento </w:t>
      </w:r>
      <w:r w:rsidR="00B6710F">
        <w:rPr>
          <w:szCs w:val="24"/>
        </w:rPr>
        <w:t>de estudo semelhantes por meio</w:t>
      </w:r>
      <w:r w:rsidRPr="00D933C5">
        <w:rPr>
          <w:szCs w:val="24"/>
        </w:rPr>
        <w:t xml:space="preserve"> da</w:t>
      </w:r>
      <w:r w:rsidR="00B6710F">
        <w:rPr>
          <w:szCs w:val="24"/>
        </w:rPr>
        <w:t>s</w:t>
      </w:r>
      <w:r w:rsidRPr="00D933C5">
        <w:rPr>
          <w:szCs w:val="24"/>
        </w:rPr>
        <w:t xml:space="preserve"> base</w:t>
      </w:r>
      <w:r w:rsidR="00B6710F">
        <w:rPr>
          <w:szCs w:val="24"/>
        </w:rPr>
        <w:t>s</w:t>
      </w:r>
      <w:r w:rsidRPr="00D933C5">
        <w:rPr>
          <w:szCs w:val="24"/>
        </w:rPr>
        <w:t xml:space="preserve"> Google Acadêmico e </w:t>
      </w:r>
      <w:proofErr w:type="spellStart"/>
      <w:r w:rsidRPr="00D933C5">
        <w:rPr>
          <w:i/>
          <w:szCs w:val="24"/>
        </w:rPr>
        <w:t>Scientific</w:t>
      </w:r>
      <w:proofErr w:type="spellEnd"/>
      <w:r w:rsidRPr="00D933C5">
        <w:rPr>
          <w:i/>
          <w:szCs w:val="24"/>
        </w:rPr>
        <w:t xml:space="preserve"> </w:t>
      </w:r>
      <w:proofErr w:type="spellStart"/>
      <w:r w:rsidRPr="00D933C5">
        <w:rPr>
          <w:i/>
          <w:szCs w:val="24"/>
        </w:rPr>
        <w:t>Periodicals</w:t>
      </w:r>
      <w:proofErr w:type="spellEnd"/>
      <w:r w:rsidRPr="00D933C5">
        <w:rPr>
          <w:i/>
          <w:szCs w:val="24"/>
        </w:rPr>
        <w:t xml:space="preserve"> Eletronic Library</w:t>
      </w:r>
      <w:r w:rsidRPr="00D933C5">
        <w:rPr>
          <w:szCs w:val="24"/>
        </w:rPr>
        <w:t xml:space="preserve"> (SPELL), </w:t>
      </w:r>
      <w:r w:rsidR="00B6710F">
        <w:rPr>
          <w:szCs w:val="24"/>
        </w:rPr>
        <w:t>utilizando</w:t>
      </w:r>
      <w:r w:rsidRPr="00D933C5">
        <w:rPr>
          <w:szCs w:val="24"/>
        </w:rPr>
        <w:t xml:space="preserve"> palavras-chave: Provisões; Passivos Contingentes; Passivo Trabalhista; Passivo Judicial e Evidenciação.</w:t>
      </w:r>
    </w:p>
    <w:p w14:paraId="1B5BC1AF" w14:textId="77777777" w:rsidR="00D933C5" w:rsidRPr="00D933C5" w:rsidRDefault="00D933C5" w:rsidP="00D933C5">
      <w:pPr>
        <w:tabs>
          <w:tab w:val="left" w:pos="709"/>
        </w:tabs>
        <w:rPr>
          <w:szCs w:val="24"/>
        </w:rPr>
      </w:pPr>
    </w:p>
    <w:p w14:paraId="5518CCF7" w14:textId="25E31A2B" w:rsidR="003C1CDA" w:rsidRPr="00203974" w:rsidRDefault="003C1CDA" w:rsidP="003C1CDA">
      <w:pPr>
        <w:pStyle w:val="Corpodetexto"/>
        <w:spacing w:after="0"/>
        <w:ind w:firstLine="0"/>
        <w:rPr>
          <w:szCs w:val="24"/>
        </w:rPr>
      </w:pPr>
      <w:r w:rsidRPr="00203974">
        <w:rPr>
          <w:szCs w:val="24"/>
        </w:rPr>
        <w:t xml:space="preserve">Tabela </w:t>
      </w:r>
      <w:r>
        <w:rPr>
          <w:szCs w:val="24"/>
        </w:rPr>
        <w:t>2</w:t>
      </w:r>
      <w:r w:rsidRPr="00203974">
        <w:rPr>
          <w:szCs w:val="24"/>
        </w:rPr>
        <w:t xml:space="preserve">. </w:t>
      </w:r>
    </w:p>
    <w:p w14:paraId="2A221092" w14:textId="2A0752A6" w:rsidR="00D933C5" w:rsidRDefault="00D933C5" w:rsidP="003C1CDA">
      <w:pPr>
        <w:tabs>
          <w:tab w:val="left" w:pos="142"/>
        </w:tabs>
        <w:ind w:firstLine="0"/>
        <w:rPr>
          <w:b/>
          <w:szCs w:val="24"/>
        </w:rPr>
      </w:pPr>
      <w:r w:rsidRPr="003C1CDA">
        <w:rPr>
          <w:b/>
          <w:szCs w:val="24"/>
        </w:rPr>
        <w:t>Estudos Semelhantes</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988"/>
        <w:gridCol w:w="3827"/>
        <w:gridCol w:w="4580"/>
      </w:tblGrid>
      <w:tr w:rsidR="005C5901" w:rsidRPr="005C5901" w14:paraId="77CE0E8E" w14:textId="77777777" w:rsidTr="001C03BC">
        <w:trPr>
          <w:trHeight w:val="160"/>
        </w:trPr>
        <w:tc>
          <w:tcPr>
            <w:tcW w:w="988" w:type="dxa"/>
            <w:noWrap/>
            <w:hideMark/>
          </w:tcPr>
          <w:p w14:paraId="1626B8B3" w14:textId="77777777" w:rsidR="005C5901" w:rsidRPr="001C03BC" w:rsidRDefault="005C5901" w:rsidP="005C5901">
            <w:pPr>
              <w:tabs>
                <w:tab w:val="left" w:pos="142"/>
              </w:tabs>
              <w:ind w:firstLine="0"/>
              <w:rPr>
                <w:rFonts w:ascii="Times New Roman" w:hAnsi="Times New Roman"/>
                <w:b/>
                <w:bCs/>
                <w:sz w:val="20"/>
              </w:rPr>
            </w:pPr>
            <w:r w:rsidRPr="001C03BC">
              <w:rPr>
                <w:rFonts w:ascii="Times New Roman" w:hAnsi="Times New Roman"/>
                <w:b/>
                <w:bCs/>
                <w:sz w:val="20"/>
              </w:rPr>
              <w:t xml:space="preserve">Autores </w:t>
            </w:r>
          </w:p>
        </w:tc>
        <w:tc>
          <w:tcPr>
            <w:tcW w:w="3827" w:type="dxa"/>
            <w:noWrap/>
            <w:hideMark/>
          </w:tcPr>
          <w:p w14:paraId="66886F5C" w14:textId="77777777" w:rsidR="005C5901" w:rsidRPr="001C03BC" w:rsidRDefault="005C5901" w:rsidP="005C5901">
            <w:pPr>
              <w:tabs>
                <w:tab w:val="left" w:pos="142"/>
              </w:tabs>
              <w:ind w:firstLine="0"/>
              <w:rPr>
                <w:rFonts w:ascii="Times New Roman" w:hAnsi="Times New Roman"/>
                <w:b/>
                <w:bCs/>
                <w:sz w:val="20"/>
              </w:rPr>
            </w:pPr>
            <w:r w:rsidRPr="001C03BC">
              <w:rPr>
                <w:rFonts w:ascii="Times New Roman" w:hAnsi="Times New Roman"/>
                <w:b/>
                <w:bCs/>
                <w:sz w:val="20"/>
              </w:rPr>
              <w:t>Objetivo do Estudo</w:t>
            </w:r>
          </w:p>
        </w:tc>
        <w:tc>
          <w:tcPr>
            <w:tcW w:w="4580" w:type="dxa"/>
            <w:noWrap/>
            <w:hideMark/>
          </w:tcPr>
          <w:p w14:paraId="1B250F70" w14:textId="77777777" w:rsidR="005C5901" w:rsidRPr="001C03BC" w:rsidRDefault="005C5901" w:rsidP="005C5901">
            <w:pPr>
              <w:tabs>
                <w:tab w:val="left" w:pos="142"/>
              </w:tabs>
              <w:ind w:firstLine="0"/>
              <w:rPr>
                <w:rFonts w:ascii="Times New Roman" w:hAnsi="Times New Roman"/>
                <w:b/>
                <w:bCs/>
                <w:sz w:val="20"/>
              </w:rPr>
            </w:pPr>
            <w:r w:rsidRPr="001C03BC">
              <w:rPr>
                <w:rFonts w:ascii="Times New Roman" w:hAnsi="Times New Roman"/>
                <w:b/>
                <w:bCs/>
                <w:sz w:val="20"/>
              </w:rPr>
              <w:t>Resultados Obtidos</w:t>
            </w:r>
          </w:p>
        </w:tc>
      </w:tr>
      <w:tr w:rsidR="005C5901" w:rsidRPr="005C5901" w14:paraId="7C755F7C" w14:textId="77777777" w:rsidTr="001C03BC">
        <w:trPr>
          <w:trHeight w:val="1695"/>
        </w:trPr>
        <w:tc>
          <w:tcPr>
            <w:tcW w:w="988" w:type="dxa"/>
            <w:noWrap/>
            <w:hideMark/>
          </w:tcPr>
          <w:p w14:paraId="371159BE" w14:textId="77777777"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Farias (2004)</w:t>
            </w:r>
          </w:p>
        </w:tc>
        <w:tc>
          <w:tcPr>
            <w:tcW w:w="3827" w:type="dxa"/>
            <w:hideMark/>
          </w:tcPr>
          <w:p w14:paraId="2FACA71D" w14:textId="076133DE"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Verificar se as empresas</w:t>
            </w:r>
            <w:r>
              <w:rPr>
                <w:rFonts w:ascii="Times New Roman" w:hAnsi="Times New Roman"/>
                <w:sz w:val="20"/>
              </w:rPr>
              <w:t xml:space="preserve"> do</w:t>
            </w:r>
            <w:r w:rsidRPr="005C5901">
              <w:rPr>
                <w:rFonts w:ascii="Times New Roman" w:hAnsi="Times New Roman"/>
                <w:sz w:val="20"/>
              </w:rPr>
              <w:t xml:space="preserve"> Setor Químico e Petroquímico, de acordo com a edição da Revista Exame, Melhores e Maiores de 2002, estão divulgando em suas demonstrações contábeis, as informações mínimas referentes ao passivo contingente</w:t>
            </w:r>
            <w:r>
              <w:rPr>
                <w:rFonts w:ascii="Times New Roman" w:hAnsi="Times New Roman"/>
                <w:sz w:val="20"/>
              </w:rPr>
              <w:t>.</w:t>
            </w:r>
          </w:p>
        </w:tc>
        <w:tc>
          <w:tcPr>
            <w:tcW w:w="4580" w:type="dxa"/>
            <w:hideMark/>
          </w:tcPr>
          <w:p w14:paraId="0D93DC41" w14:textId="7420719E"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Os resultados obtidos demonstraram que a maioria das empresas referentes a amostra analisada, estão em inconformidade com as exigências dos órgãos normativos em relação a divulgação dos passivos contingentes, no qual os mais relevantes: ausência de nota explicativa, falta de informações quanto a critérios de mensuração, natureza e prazo para ocorrência.</w:t>
            </w:r>
          </w:p>
        </w:tc>
      </w:tr>
      <w:tr w:rsidR="005C5901" w:rsidRPr="005C5901" w14:paraId="622DD199" w14:textId="77777777" w:rsidTr="001C03BC">
        <w:trPr>
          <w:trHeight w:val="1404"/>
        </w:trPr>
        <w:tc>
          <w:tcPr>
            <w:tcW w:w="988" w:type="dxa"/>
            <w:noWrap/>
            <w:hideMark/>
          </w:tcPr>
          <w:p w14:paraId="766304B5" w14:textId="77777777" w:rsidR="005C5901" w:rsidRPr="005C5901" w:rsidRDefault="005C5901" w:rsidP="005C5901">
            <w:pPr>
              <w:tabs>
                <w:tab w:val="left" w:pos="142"/>
              </w:tabs>
              <w:ind w:firstLine="0"/>
              <w:rPr>
                <w:rFonts w:ascii="Times New Roman" w:hAnsi="Times New Roman"/>
                <w:sz w:val="20"/>
              </w:rPr>
            </w:pPr>
            <w:proofErr w:type="spellStart"/>
            <w:r w:rsidRPr="005C5901">
              <w:rPr>
                <w:rFonts w:ascii="Times New Roman" w:hAnsi="Times New Roman"/>
                <w:sz w:val="20"/>
              </w:rPr>
              <w:t>Paoletti</w:t>
            </w:r>
            <w:proofErr w:type="spellEnd"/>
            <w:r w:rsidRPr="005C5901">
              <w:rPr>
                <w:rFonts w:ascii="Times New Roman" w:hAnsi="Times New Roman"/>
                <w:sz w:val="20"/>
              </w:rPr>
              <w:t xml:space="preserve"> (2009)</w:t>
            </w:r>
          </w:p>
        </w:tc>
        <w:tc>
          <w:tcPr>
            <w:tcW w:w="3827" w:type="dxa"/>
            <w:hideMark/>
          </w:tcPr>
          <w:p w14:paraId="4FB8832C" w14:textId="10B660F0"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Identificar as práticas adotadas quanto a formação de critérios de formação de provisões fiscais, cíveis e trabalhistas, e analisar como os profissionais envolvidos interpretam a Lei e os atos norm</w:t>
            </w:r>
            <w:r>
              <w:rPr>
                <w:rFonts w:ascii="Times New Roman" w:hAnsi="Times New Roman"/>
                <w:sz w:val="20"/>
              </w:rPr>
              <w:t>ativos para forma suas opiniões.</w:t>
            </w:r>
          </w:p>
        </w:tc>
        <w:tc>
          <w:tcPr>
            <w:tcW w:w="4580" w:type="dxa"/>
            <w:hideMark/>
          </w:tcPr>
          <w:p w14:paraId="748D0CB7" w14:textId="5FF333F6"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 xml:space="preserve">Os profissionais entrevistados reforçaram a ideia que os normativos existentes necessitam de adaptação objetivando uma padronização quanto aos critérios de avaliação e formação de provisões, </w:t>
            </w:r>
          </w:p>
        </w:tc>
      </w:tr>
      <w:tr w:rsidR="005C5901" w:rsidRPr="005C5901" w14:paraId="2D548E17" w14:textId="77777777" w:rsidTr="001C03BC">
        <w:trPr>
          <w:trHeight w:val="1436"/>
        </w:trPr>
        <w:tc>
          <w:tcPr>
            <w:tcW w:w="988" w:type="dxa"/>
            <w:noWrap/>
            <w:hideMark/>
          </w:tcPr>
          <w:p w14:paraId="6BDC0B9E" w14:textId="77777777"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Caetano (2010)</w:t>
            </w:r>
          </w:p>
        </w:tc>
        <w:tc>
          <w:tcPr>
            <w:tcW w:w="3827" w:type="dxa"/>
            <w:hideMark/>
          </w:tcPr>
          <w:p w14:paraId="73B6A987" w14:textId="47D2C566"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Identificar se as companhias listadas na BM&amp;FBOVESPA dentro segmento de papel e celulose, seguiram as normas mínimas de evidenciação do passivo contingente conforme recomenda órgãos normativos nacionais.</w:t>
            </w:r>
          </w:p>
        </w:tc>
        <w:tc>
          <w:tcPr>
            <w:tcW w:w="4580" w:type="dxa"/>
            <w:hideMark/>
          </w:tcPr>
          <w:p w14:paraId="41928712" w14:textId="406D4814" w:rsidR="005C5901" w:rsidRPr="005C5901" w:rsidRDefault="005C5901" w:rsidP="005C5901">
            <w:pPr>
              <w:tabs>
                <w:tab w:val="left" w:pos="142"/>
              </w:tabs>
              <w:ind w:firstLine="0"/>
              <w:rPr>
                <w:rFonts w:ascii="Times New Roman" w:hAnsi="Times New Roman"/>
                <w:sz w:val="20"/>
              </w:rPr>
            </w:pPr>
            <w:r w:rsidRPr="005C5901">
              <w:rPr>
                <w:rFonts w:ascii="Times New Roman" w:hAnsi="Times New Roman"/>
                <w:sz w:val="20"/>
              </w:rPr>
              <w:t>As companhias compreendidas na amostra realizaram de forma significativa a divulgação, porém de forma insuficiente no atendimento das exigências legais.</w:t>
            </w:r>
          </w:p>
        </w:tc>
      </w:tr>
      <w:tr w:rsidR="00AD3DD0" w:rsidRPr="00AD3DD0" w14:paraId="630680F7" w14:textId="77777777" w:rsidTr="00AD3DD0">
        <w:trPr>
          <w:trHeight w:val="894"/>
        </w:trPr>
        <w:tc>
          <w:tcPr>
            <w:tcW w:w="988" w:type="dxa"/>
            <w:noWrap/>
          </w:tcPr>
          <w:p w14:paraId="0B7766D3" w14:textId="3C645839" w:rsidR="005C5901" w:rsidRPr="005C5901" w:rsidRDefault="006D2F81" w:rsidP="005C5901">
            <w:pPr>
              <w:tabs>
                <w:tab w:val="left" w:pos="142"/>
              </w:tabs>
              <w:ind w:firstLine="0"/>
              <w:rPr>
                <w:sz w:val="20"/>
              </w:rPr>
            </w:pPr>
            <w:r>
              <w:rPr>
                <w:rFonts w:ascii="Times New Roman" w:hAnsi="Times New Roman"/>
                <w:sz w:val="20"/>
              </w:rPr>
              <w:t xml:space="preserve">Suave </w:t>
            </w:r>
            <w:r w:rsidRPr="006D2F81">
              <w:rPr>
                <w:rFonts w:ascii="Times New Roman" w:hAnsi="Times New Roman"/>
                <w:i/>
                <w:sz w:val="20"/>
              </w:rPr>
              <w:t>et al.</w:t>
            </w:r>
            <w:r>
              <w:rPr>
                <w:rFonts w:ascii="Times New Roman" w:hAnsi="Times New Roman"/>
                <w:sz w:val="20"/>
              </w:rPr>
              <w:t xml:space="preserve"> (2013</w:t>
            </w:r>
            <w:r w:rsidR="005C5901" w:rsidRPr="005C5901">
              <w:rPr>
                <w:rFonts w:ascii="Times New Roman" w:hAnsi="Times New Roman"/>
                <w:sz w:val="20"/>
              </w:rPr>
              <w:t>)</w:t>
            </w:r>
          </w:p>
        </w:tc>
        <w:tc>
          <w:tcPr>
            <w:tcW w:w="3827" w:type="dxa"/>
          </w:tcPr>
          <w:p w14:paraId="7EB05B41" w14:textId="41EF049A" w:rsidR="005C5901" w:rsidRPr="005C5901" w:rsidRDefault="006D2F81" w:rsidP="00AD3DD0">
            <w:pPr>
              <w:tabs>
                <w:tab w:val="left" w:pos="142"/>
              </w:tabs>
              <w:ind w:firstLine="0"/>
              <w:rPr>
                <w:sz w:val="20"/>
              </w:rPr>
            </w:pPr>
            <w:r>
              <w:rPr>
                <w:rFonts w:ascii="Times New Roman" w:hAnsi="Times New Roman"/>
                <w:iCs/>
                <w:sz w:val="20"/>
              </w:rPr>
              <w:t>I</w:t>
            </w:r>
            <w:r w:rsidRPr="006D2F81">
              <w:rPr>
                <w:rFonts w:ascii="Times New Roman" w:hAnsi="Times New Roman"/>
                <w:iCs/>
                <w:sz w:val="20"/>
              </w:rPr>
              <w:t>dentificar se as empresas mais negociadas da BM&amp;FBOVESPA atendem às disposições do CPC 25 quanto à divulgação de passivos contingentes. </w:t>
            </w:r>
          </w:p>
        </w:tc>
        <w:tc>
          <w:tcPr>
            <w:tcW w:w="4580" w:type="dxa"/>
          </w:tcPr>
          <w:p w14:paraId="4EA9CC11" w14:textId="7EF2EFE9" w:rsidR="005C5901" w:rsidRPr="00AD3DD0" w:rsidRDefault="00AD3DD0" w:rsidP="00AD3DD0">
            <w:pPr>
              <w:widowControl/>
              <w:suppressLineNumbers w:val="0"/>
              <w:shd w:val="clear" w:color="auto" w:fill="FFFFFF"/>
              <w:suppressAutoHyphens w:val="0"/>
              <w:ind w:firstLine="0"/>
              <w:jc w:val="left"/>
              <w:rPr>
                <w:rFonts w:ascii="Times New Roman" w:hAnsi="Times New Roman"/>
                <w:sz w:val="20"/>
              </w:rPr>
            </w:pPr>
            <w:r w:rsidRPr="00AD3DD0">
              <w:rPr>
                <w:rFonts w:ascii="Times New Roman" w:hAnsi="Times New Roman"/>
                <w:iCs/>
                <w:sz w:val="20"/>
              </w:rPr>
              <w:t>Verificou-se que muitas empresas ainda não divulgam informações com a melhor qualidade e que expressem a realidade referente aos passivos contingentes.</w:t>
            </w:r>
          </w:p>
        </w:tc>
      </w:tr>
      <w:tr w:rsidR="005C5901" w:rsidRPr="005C5901" w14:paraId="5CA848F2" w14:textId="77777777" w:rsidTr="001C03BC">
        <w:trPr>
          <w:trHeight w:val="1339"/>
        </w:trPr>
        <w:tc>
          <w:tcPr>
            <w:tcW w:w="988" w:type="dxa"/>
            <w:noWrap/>
          </w:tcPr>
          <w:p w14:paraId="0B8E66F0" w14:textId="731F7920" w:rsidR="005C5901" w:rsidRPr="005C5901" w:rsidRDefault="005C5901" w:rsidP="005C5901">
            <w:pPr>
              <w:tabs>
                <w:tab w:val="left" w:pos="142"/>
              </w:tabs>
              <w:ind w:firstLine="0"/>
              <w:rPr>
                <w:sz w:val="20"/>
              </w:rPr>
            </w:pPr>
            <w:r w:rsidRPr="005C5901">
              <w:rPr>
                <w:rFonts w:ascii="Times New Roman" w:hAnsi="Times New Roman"/>
                <w:sz w:val="20"/>
              </w:rPr>
              <w:t>Nogueira (2016)</w:t>
            </w:r>
          </w:p>
        </w:tc>
        <w:tc>
          <w:tcPr>
            <w:tcW w:w="3827" w:type="dxa"/>
          </w:tcPr>
          <w:p w14:paraId="710FCB8B" w14:textId="4690DE34" w:rsidR="005C5901" w:rsidRPr="005C5901" w:rsidRDefault="005C5901" w:rsidP="00CD2CB2">
            <w:pPr>
              <w:ind w:firstLine="0"/>
              <w:rPr>
                <w:sz w:val="20"/>
              </w:rPr>
            </w:pPr>
            <w:r w:rsidRPr="005C5901">
              <w:rPr>
                <w:rFonts w:ascii="Times New Roman" w:hAnsi="Times New Roman"/>
                <w:sz w:val="20"/>
              </w:rPr>
              <w:t xml:space="preserve">Identificar </w:t>
            </w:r>
            <w:r>
              <w:rPr>
                <w:rFonts w:ascii="Times New Roman" w:hAnsi="Times New Roman"/>
                <w:sz w:val="20"/>
              </w:rPr>
              <w:t>por meio</w:t>
            </w:r>
            <w:r w:rsidRPr="005C5901">
              <w:rPr>
                <w:rFonts w:ascii="Times New Roman" w:hAnsi="Times New Roman"/>
                <w:sz w:val="20"/>
              </w:rPr>
              <w:t xml:space="preserve"> de análise das notas explicativas se a divulgação realizada pelas empresas brasileiras de capital aberto estão em conformidade com os pressupostos do conceito de </w:t>
            </w:r>
            <w:r w:rsidRPr="005C5901">
              <w:rPr>
                <w:rFonts w:ascii="Times New Roman" w:hAnsi="Times New Roman"/>
                <w:i/>
                <w:iCs/>
                <w:sz w:val="20"/>
              </w:rPr>
              <w:t xml:space="preserve">fair </w:t>
            </w:r>
            <w:proofErr w:type="spellStart"/>
            <w:r w:rsidRPr="005C5901">
              <w:rPr>
                <w:rFonts w:ascii="Times New Roman" w:hAnsi="Times New Roman"/>
                <w:i/>
                <w:iCs/>
                <w:sz w:val="20"/>
              </w:rPr>
              <w:t>value</w:t>
            </w:r>
            <w:proofErr w:type="spellEnd"/>
            <w:r w:rsidRPr="005C5901">
              <w:rPr>
                <w:rFonts w:ascii="Times New Roman" w:hAnsi="Times New Roman"/>
                <w:sz w:val="20"/>
              </w:rPr>
              <w:t>.</w:t>
            </w:r>
          </w:p>
        </w:tc>
        <w:tc>
          <w:tcPr>
            <w:tcW w:w="4580" w:type="dxa"/>
          </w:tcPr>
          <w:p w14:paraId="060082D8" w14:textId="79A2AFD9" w:rsidR="005C5901" w:rsidRPr="005C5901" w:rsidRDefault="005C5901" w:rsidP="005C5901">
            <w:pPr>
              <w:tabs>
                <w:tab w:val="left" w:pos="142"/>
              </w:tabs>
              <w:ind w:firstLine="0"/>
              <w:rPr>
                <w:sz w:val="20"/>
              </w:rPr>
            </w:pPr>
            <w:r w:rsidRPr="005C5901">
              <w:rPr>
                <w:rFonts w:ascii="Times New Roman" w:hAnsi="Times New Roman"/>
                <w:sz w:val="20"/>
              </w:rPr>
              <w:t>A análise demonstrou que nenhuma das companhias, mesmo que isolada, divulgou de forma completa todos os itens analisados, observado inclusive que as práticas adotadas para a evidenciação não se enquadram nos padrões exigidos, para divulgação da informação com clareza e completude de informação.</w:t>
            </w:r>
          </w:p>
        </w:tc>
      </w:tr>
    </w:tbl>
    <w:p w14:paraId="4ECA98C7" w14:textId="77777777" w:rsidR="005C5901" w:rsidRDefault="005C5901" w:rsidP="003C1CDA">
      <w:pPr>
        <w:tabs>
          <w:tab w:val="left" w:pos="142"/>
        </w:tabs>
        <w:ind w:firstLine="0"/>
        <w:rPr>
          <w:b/>
          <w:szCs w:val="24"/>
        </w:rPr>
      </w:pPr>
    </w:p>
    <w:p w14:paraId="149F551F" w14:textId="77777777" w:rsidR="00AD3DD0" w:rsidRDefault="00AD3DD0" w:rsidP="003C1CDA">
      <w:pPr>
        <w:tabs>
          <w:tab w:val="left" w:pos="142"/>
        </w:tabs>
        <w:ind w:firstLine="0"/>
        <w:rPr>
          <w:b/>
          <w:szCs w:val="24"/>
        </w:rPr>
      </w:pPr>
    </w:p>
    <w:p w14:paraId="6DABA7A7" w14:textId="77777777" w:rsidR="00D933C5" w:rsidRPr="00D933C5" w:rsidRDefault="00D933C5" w:rsidP="003C1CDA">
      <w:pPr>
        <w:tabs>
          <w:tab w:val="left" w:pos="142"/>
        </w:tabs>
        <w:ind w:firstLine="0"/>
        <w:rPr>
          <w:szCs w:val="24"/>
        </w:rPr>
      </w:pPr>
      <w:r w:rsidRPr="00D933C5">
        <w:rPr>
          <w:szCs w:val="24"/>
        </w:rPr>
        <w:lastRenderedPageBreak/>
        <w:tab/>
      </w:r>
      <w:r w:rsidRPr="00D933C5">
        <w:rPr>
          <w:szCs w:val="24"/>
        </w:rPr>
        <w:tab/>
        <w:t>Percebe-se, que pesquisas referentes as provisões e passivos contingentes foram abordados em diversos trabalhos desde a emissão do Pronunciamento Contábil Técnico 25 (CPC 25) – Provisão e Passivo Contingente. No entanto sua subjetividade quanto ao correto tratamento contábil, possibilita a elaboração de pesquisas científicas objetivando o levantamento de informações relevantes quanto ao tema proposto.</w:t>
      </w:r>
    </w:p>
    <w:p w14:paraId="6D4B90E6" w14:textId="77777777" w:rsidR="00D933C5" w:rsidRPr="00D933C5" w:rsidRDefault="00D933C5" w:rsidP="00D933C5">
      <w:pPr>
        <w:tabs>
          <w:tab w:val="left" w:pos="142"/>
        </w:tabs>
        <w:rPr>
          <w:szCs w:val="24"/>
        </w:rPr>
      </w:pPr>
    </w:p>
    <w:p w14:paraId="0702C2AA" w14:textId="0618240B" w:rsidR="00D933C5" w:rsidRPr="00AC64C7" w:rsidRDefault="00AC64C7" w:rsidP="00AC64C7">
      <w:pPr>
        <w:tabs>
          <w:tab w:val="left" w:pos="142"/>
        </w:tabs>
        <w:suppressAutoHyphens w:val="0"/>
        <w:ind w:firstLine="0"/>
        <w:rPr>
          <w:b/>
          <w:szCs w:val="24"/>
        </w:rPr>
      </w:pPr>
      <w:r>
        <w:rPr>
          <w:b/>
          <w:szCs w:val="24"/>
        </w:rPr>
        <w:t>3. Procedimentos Metodológicos</w:t>
      </w:r>
    </w:p>
    <w:p w14:paraId="4A90EB5E" w14:textId="77745165" w:rsidR="009F7DDF" w:rsidRDefault="00D933C5" w:rsidP="009F7DDF">
      <w:pPr>
        <w:tabs>
          <w:tab w:val="left" w:pos="142"/>
        </w:tabs>
        <w:rPr>
          <w:szCs w:val="24"/>
        </w:rPr>
      </w:pPr>
      <w:r w:rsidRPr="00D933C5">
        <w:rPr>
          <w:szCs w:val="24"/>
        </w:rPr>
        <w:t>A presente pesquisa é de caráter descritiva com abordagem qua</w:t>
      </w:r>
      <w:r w:rsidR="00C2022D">
        <w:rPr>
          <w:szCs w:val="24"/>
        </w:rPr>
        <w:t>ntitativa</w:t>
      </w:r>
      <w:r w:rsidR="006D5D70">
        <w:rPr>
          <w:szCs w:val="24"/>
        </w:rPr>
        <w:t xml:space="preserve"> (Raupp &amp;</w:t>
      </w:r>
      <w:r w:rsidR="006D5D70" w:rsidRPr="00D933C5">
        <w:rPr>
          <w:szCs w:val="24"/>
        </w:rPr>
        <w:t xml:space="preserve"> </w:t>
      </w:r>
      <w:proofErr w:type="spellStart"/>
      <w:r w:rsidR="006D5D70" w:rsidRPr="00D933C5">
        <w:rPr>
          <w:szCs w:val="24"/>
        </w:rPr>
        <w:t>Beuren</w:t>
      </w:r>
      <w:proofErr w:type="spellEnd"/>
      <w:r w:rsidR="006D5D70">
        <w:rPr>
          <w:szCs w:val="24"/>
        </w:rPr>
        <w:t xml:space="preserve">, 2006). </w:t>
      </w:r>
      <w:r w:rsidRPr="00D933C5">
        <w:rPr>
          <w:szCs w:val="24"/>
        </w:rPr>
        <w:t>Quanto aos procedimentos técnicos o est</w:t>
      </w:r>
      <w:r w:rsidR="006D5D70">
        <w:rPr>
          <w:szCs w:val="24"/>
        </w:rPr>
        <w:t>udo enquadra-se como documental</w:t>
      </w:r>
      <w:r w:rsidRPr="00D933C5">
        <w:rPr>
          <w:szCs w:val="24"/>
        </w:rPr>
        <w:t xml:space="preserve"> (</w:t>
      </w:r>
      <w:r w:rsidR="006D5D70" w:rsidRPr="00D933C5">
        <w:rPr>
          <w:szCs w:val="24"/>
        </w:rPr>
        <w:t>Gil</w:t>
      </w:r>
      <w:r w:rsidRPr="00D933C5">
        <w:rPr>
          <w:szCs w:val="24"/>
        </w:rPr>
        <w:t xml:space="preserve">, 2008). A população </w:t>
      </w:r>
      <w:r w:rsidR="009F7DDF">
        <w:rPr>
          <w:szCs w:val="24"/>
        </w:rPr>
        <w:t xml:space="preserve">escolhida foram as empresas </w:t>
      </w:r>
      <w:r w:rsidR="009F7DDF" w:rsidRPr="00D933C5">
        <w:rPr>
          <w:szCs w:val="24"/>
        </w:rPr>
        <w:t>dos setores de Bens Industriais e Consumo Cíclico</w:t>
      </w:r>
      <w:r w:rsidR="009F7DDF">
        <w:rPr>
          <w:szCs w:val="24"/>
        </w:rPr>
        <w:t xml:space="preserve"> listadas na B3, com os dados </w:t>
      </w:r>
      <w:r w:rsidR="009F7DDF" w:rsidRPr="00D933C5">
        <w:rPr>
          <w:szCs w:val="24"/>
        </w:rPr>
        <w:t>referentes aos anos de 2015 a 2018</w:t>
      </w:r>
      <w:r w:rsidR="009F7DDF">
        <w:rPr>
          <w:szCs w:val="24"/>
        </w:rPr>
        <w:t>.</w:t>
      </w:r>
    </w:p>
    <w:p w14:paraId="3E9368F4" w14:textId="1FEBC568" w:rsidR="009F7DDF" w:rsidRPr="00D933C5" w:rsidRDefault="009F7DDF" w:rsidP="009F7DDF">
      <w:pPr>
        <w:tabs>
          <w:tab w:val="left" w:pos="142"/>
        </w:tabs>
        <w:rPr>
          <w:szCs w:val="24"/>
        </w:rPr>
      </w:pPr>
      <w:r w:rsidRPr="00D933C5">
        <w:rPr>
          <w:szCs w:val="24"/>
        </w:rPr>
        <w:t xml:space="preserve">Atualmente a B3 expõe as companhias listadas em 12 categorias: Bens Industriais; Construção e Transporte; Consumo Cíclico; Consumo não Cíclico; Financeiro; Materiais Básicos; Outros; Petróleo, Gás e Biocombustíveis; Saúde; Tecnologia da Informação; Telecomunicações e Utilidade Pública. </w:t>
      </w:r>
    </w:p>
    <w:p w14:paraId="38F74D49" w14:textId="54BA0134" w:rsidR="00D933C5" w:rsidRPr="00D933C5" w:rsidRDefault="009F7DDF" w:rsidP="009F7DDF">
      <w:pPr>
        <w:ind w:firstLine="708"/>
        <w:rPr>
          <w:szCs w:val="24"/>
        </w:rPr>
      </w:pPr>
      <w:r w:rsidRPr="00D933C5">
        <w:rPr>
          <w:szCs w:val="24"/>
        </w:rPr>
        <w:t xml:space="preserve">Raupp e </w:t>
      </w:r>
      <w:proofErr w:type="spellStart"/>
      <w:r w:rsidRPr="00D933C5">
        <w:rPr>
          <w:szCs w:val="24"/>
        </w:rPr>
        <w:t>Beuren</w:t>
      </w:r>
      <w:proofErr w:type="spellEnd"/>
      <w:r w:rsidRPr="00D933C5">
        <w:rPr>
          <w:szCs w:val="24"/>
        </w:rPr>
        <w:t xml:space="preserve"> (2003) explanam que a análise de forma setorial auxilia na relevância da análise de dados. Logo a análise foi realizada conforme classificação por setor de atuação c</w:t>
      </w:r>
      <w:r w:rsidR="00C2022D">
        <w:rPr>
          <w:szCs w:val="24"/>
        </w:rPr>
        <w:t xml:space="preserve">onforme retirado do sitio da B3. </w:t>
      </w:r>
      <w:r>
        <w:rPr>
          <w:szCs w:val="24"/>
        </w:rPr>
        <w:t>Destaca-se que o</w:t>
      </w:r>
      <w:r w:rsidR="00D933C5" w:rsidRPr="00D933C5">
        <w:rPr>
          <w:szCs w:val="24"/>
        </w:rPr>
        <w:t xml:space="preserve"> setor</w:t>
      </w:r>
      <w:r>
        <w:rPr>
          <w:szCs w:val="24"/>
        </w:rPr>
        <w:t xml:space="preserve"> no qual</w:t>
      </w:r>
      <w:r w:rsidR="00D933C5" w:rsidRPr="00D933C5">
        <w:rPr>
          <w:szCs w:val="24"/>
        </w:rPr>
        <w:t xml:space="preserve"> cada empresa está incluída influência nos valores constituídos para provisões e passivos contingentes, pois de acordo com o risco ao qual é exposto cada operação é possível verificar qual tipo de litigio é mais recorrente em cada segmento (</w:t>
      </w:r>
      <w:proofErr w:type="spellStart"/>
      <w:r>
        <w:rPr>
          <w:szCs w:val="24"/>
        </w:rPr>
        <w:t>Baldoino</w:t>
      </w:r>
      <w:proofErr w:type="spellEnd"/>
      <w:r>
        <w:rPr>
          <w:szCs w:val="24"/>
        </w:rPr>
        <w:t xml:space="preserve"> &amp;</w:t>
      </w:r>
      <w:r w:rsidRPr="00D933C5">
        <w:rPr>
          <w:szCs w:val="24"/>
        </w:rPr>
        <w:t xml:space="preserve"> Borba</w:t>
      </w:r>
      <w:r w:rsidR="00D933C5" w:rsidRPr="00D933C5">
        <w:rPr>
          <w:szCs w:val="24"/>
        </w:rPr>
        <w:t>, 2015).</w:t>
      </w:r>
    </w:p>
    <w:p w14:paraId="6BBABF78" w14:textId="7FD59E47" w:rsidR="00D933C5" w:rsidRPr="00D933C5" w:rsidRDefault="00D933C5" w:rsidP="00F268D1">
      <w:pPr>
        <w:tabs>
          <w:tab w:val="left" w:pos="142"/>
        </w:tabs>
        <w:rPr>
          <w:szCs w:val="24"/>
        </w:rPr>
      </w:pPr>
      <w:r w:rsidRPr="00D933C5">
        <w:rPr>
          <w:szCs w:val="24"/>
        </w:rPr>
        <w:t>A comparabilidade entre os segmentos setoriais proporciona uma interatividade entre as companhias da amostra e uma visualização dinâmica de variáveis relevantes justificáveis aos resultados obtidos. Para tanto, a presente pesquisa buscou analisar a evolução dos passivos contingentes trabalhistas de dois setores expressivos na B3, uma vez que ambos são os setores com maior número de segmentos, compreendendo ramos de comércio, serviços e indústrias que possuem, para a execução de suas atividades, uma maior movimen</w:t>
      </w:r>
      <w:r w:rsidR="009F7DDF">
        <w:rPr>
          <w:szCs w:val="24"/>
        </w:rPr>
        <w:t xml:space="preserve">tação de demandas trabalhistas. </w:t>
      </w:r>
      <w:r w:rsidRPr="00D933C5">
        <w:rPr>
          <w:szCs w:val="24"/>
        </w:rPr>
        <w:t xml:space="preserve"> </w:t>
      </w:r>
    </w:p>
    <w:p w14:paraId="02B95C39" w14:textId="5F1EFF94" w:rsidR="00D933C5" w:rsidRPr="00D933C5" w:rsidRDefault="00FE4B75" w:rsidP="00FE4B75">
      <w:pPr>
        <w:rPr>
          <w:szCs w:val="24"/>
        </w:rPr>
      </w:pPr>
      <w:r>
        <w:rPr>
          <w:szCs w:val="24"/>
        </w:rPr>
        <w:t>O</w:t>
      </w:r>
      <w:r w:rsidR="00D933C5" w:rsidRPr="00D933C5">
        <w:rPr>
          <w:szCs w:val="24"/>
        </w:rPr>
        <w:t xml:space="preserve"> processo de coleta de dados se realizou mediante análise das Notas Explicativas que compuseram as Demonstrações Contábeis Padronizadas, nos exercícios findos em 2015</w:t>
      </w:r>
      <w:r>
        <w:rPr>
          <w:szCs w:val="24"/>
        </w:rPr>
        <w:t xml:space="preserve"> a</w:t>
      </w:r>
      <w:r w:rsidR="00D933C5" w:rsidRPr="00D933C5">
        <w:rPr>
          <w:szCs w:val="24"/>
        </w:rPr>
        <w:t xml:space="preserve"> 2018 disponibilizadas no sitio da B3 e coletadas no mês de abril de 2019, mês posterior a data limite para a publicação das Demonstrações Contábeis.</w:t>
      </w:r>
      <w:r>
        <w:rPr>
          <w:szCs w:val="24"/>
        </w:rPr>
        <w:t xml:space="preserve"> </w:t>
      </w:r>
    </w:p>
    <w:p w14:paraId="1C13BA85" w14:textId="40481B23" w:rsidR="00D933C5" w:rsidRPr="00D933C5" w:rsidRDefault="00D933C5" w:rsidP="00D933C5">
      <w:pPr>
        <w:tabs>
          <w:tab w:val="left" w:pos="142"/>
        </w:tabs>
        <w:rPr>
          <w:szCs w:val="24"/>
        </w:rPr>
      </w:pPr>
      <w:r w:rsidRPr="00D933C5">
        <w:rPr>
          <w:szCs w:val="24"/>
        </w:rPr>
        <w:t>A elaboração das demonstrações financeiras exige que a Administração estabeleça julgamentos e estimativas de acordo com o histórico das companhias e as orientações dos Pronunciamentos Técnicos. No entanto a incerteza relativa a essas premissas e estimativas poderia levar a resultados que requeiram um ajuste significativo, alterando seus resultados em exercícios futuros.</w:t>
      </w:r>
    </w:p>
    <w:p w14:paraId="31F121F2" w14:textId="09F1DB15" w:rsidR="00D933C5" w:rsidRPr="00D933C5" w:rsidRDefault="00D933C5" w:rsidP="00D933C5">
      <w:pPr>
        <w:tabs>
          <w:tab w:val="left" w:pos="142"/>
        </w:tabs>
        <w:rPr>
          <w:szCs w:val="24"/>
        </w:rPr>
      </w:pPr>
      <w:r w:rsidRPr="00D933C5">
        <w:rPr>
          <w:szCs w:val="24"/>
        </w:rPr>
        <w:t>Para a an</w:t>
      </w:r>
      <w:r w:rsidR="009F7DDF">
        <w:rPr>
          <w:szCs w:val="24"/>
        </w:rPr>
        <w:t>álise, foi realizada</w:t>
      </w:r>
      <w:r w:rsidRPr="00D933C5">
        <w:rPr>
          <w:szCs w:val="24"/>
        </w:rPr>
        <w:t xml:space="preserve"> a tabulação das informações obtidas referentes aos dados coletados das notas explicativas: i) valor da provisão trabalhista e </w:t>
      </w:r>
      <w:proofErr w:type="spellStart"/>
      <w:r w:rsidRPr="00D933C5">
        <w:rPr>
          <w:szCs w:val="24"/>
        </w:rPr>
        <w:t>ii</w:t>
      </w:r>
      <w:proofErr w:type="spellEnd"/>
      <w:r w:rsidRPr="00D933C5">
        <w:rPr>
          <w:szCs w:val="24"/>
        </w:rPr>
        <w:t xml:space="preserve">) valor do passivo contingente </w:t>
      </w:r>
      <w:r w:rsidR="00FE4B75">
        <w:rPr>
          <w:szCs w:val="24"/>
        </w:rPr>
        <w:t>trabalhista. Posteriormente foi verificado por meio</w:t>
      </w:r>
      <w:r w:rsidRPr="00D933C5">
        <w:rPr>
          <w:szCs w:val="24"/>
        </w:rPr>
        <w:t xml:space="preserve"> de percentual e análise gráfica a evolução ou regressão dos valores compreendidos entre os anos de 2015 a 2018, destacando as alterações mais expressivas. </w:t>
      </w:r>
    </w:p>
    <w:p w14:paraId="1EA38AF2" w14:textId="77777777" w:rsidR="00D933C5" w:rsidRPr="00D933C5" w:rsidRDefault="00D933C5" w:rsidP="00D933C5">
      <w:pPr>
        <w:tabs>
          <w:tab w:val="left" w:pos="142"/>
        </w:tabs>
        <w:rPr>
          <w:szCs w:val="24"/>
        </w:rPr>
      </w:pPr>
    </w:p>
    <w:p w14:paraId="03162E60" w14:textId="1E7FED9E" w:rsidR="00D933C5" w:rsidRPr="006C3B98" w:rsidRDefault="006C3B98" w:rsidP="006C3B98">
      <w:pPr>
        <w:tabs>
          <w:tab w:val="left" w:pos="142"/>
        </w:tabs>
        <w:suppressAutoHyphens w:val="0"/>
        <w:ind w:firstLine="0"/>
        <w:rPr>
          <w:b/>
          <w:szCs w:val="24"/>
        </w:rPr>
      </w:pPr>
      <w:r>
        <w:rPr>
          <w:b/>
          <w:szCs w:val="24"/>
        </w:rPr>
        <w:lastRenderedPageBreak/>
        <w:t>4 Apresentação e</w:t>
      </w:r>
      <w:r w:rsidRPr="006C3B98">
        <w:rPr>
          <w:b/>
          <w:szCs w:val="24"/>
        </w:rPr>
        <w:t xml:space="preserve"> Anál</w:t>
      </w:r>
      <w:r>
        <w:rPr>
          <w:b/>
          <w:szCs w:val="24"/>
        </w:rPr>
        <w:t>ise d</w:t>
      </w:r>
      <w:r w:rsidRPr="006C3B98">
        <w:rPr>
          <w:b/>
          <w:szCs w:val="24"/>
        </w:rPr>
        <w:t>os Resultados</w:t>
      </w:r>
    </w:p>
    <w:p w14:paraId="04FDBECB" w14:textId="77777777" w:rsidR="00D933C5" w:rsidRPr="00D933C5" w:rsidRDefault="00D933C5" w:rsidP="00D933C5">
      <w:pPr>
        <w:tabs>
          <w:tab w:val="left" w:pos="142"/>
        </w:tabs>
        <w:rPr>
          <w:b/>
          <w:szCs w:val="24"/>
        </w:rPr>
      </w:pPr>
    </w:p>
    <w:p w14:paraId="158D21C8" w14:textId="1706616B" w:rsidR="00D933C5" w:rsidRPr="006C3B98" w:rsidRDefault="006C3B98" w:rsidP="006C3B98">
      <w:pPr>
        <w:tabs>
          <w:tab w:val="left" w:pos="142"/>
        </w:tabs>
        <w:suppressAutoHyphens w:val="0"/>
        <w:ind w:firstLine="0"/>
        <w:rPr>
          <w:b/>
          <w:bCs/>
          <w:szCs w:val="24"/>
        </w:rPr>
      </w:pPr>
      <w:r>
        <w:rPr>
          <w:b/>
          <w:bCs/>
          <w:szCs w:val="24"/>
        </w:rPr>
        <w:t>4.1 Provisões p</w:t>
      </w:r>
      <w:r w:rsidRPr="006C3B98">
        <w:rPr>
          <w:b/>
          <w:bCs/>
          <w:szCs w:val="24"/>
        </w:rPr>
        <w:t>ara Contingências</w:t>
      </w:r>
    </w:p>
    <w:p w14:paraId="0B73F0FC" w14:textId="62287075" w:rsidR="00D933C5" w:rsidRPr="00D933C5" w:rsidRDefault="00D933C5" w:rsidP="00D933C5">
      <w:pPr>
        <w:tabs>
          <w:tab w:val="left" w:pos="142"/>
        </w:tabs>
        <w:rPr>
          <w:szCs w:val="24"/>
        </w:rPr>
      </w:pPr>
      <w:r w:rsidRPr="00D933C5">
        <w:rPr>
          <w:szCs w:val="24"/>
        </w:rPr>
        <w:t>Foram analisadas as empresas que negociam suas ações na B3 compreendidas dentro dos subsetores de Bens Industriais e Consumo Cíclico totalizando na data da coleta de dados em ambos os setores 71 e 80 empresas respectivamente. Ressalta-se que os resultados obtidos são restritos ao período da análise referindo-se aos exercícios de 2015 a 2018 e conforme as notas explicativas orientam os valores apresentados são expressos em milhares de reais – R$, exceto quando indicado de outra forma, assim sendo nesta pesquisa os valores são apresentados observando este critério.</w:t>
      </w:r>
    </w:p>
    <w:p w14:paraId="79F09F9A" w14:textId="7766E5E0" w:rsidR="00D933C5" w:rsidRPr="00D933C5" w:rsidRDefault="00D933C5" w:rsidP="00D933C5">
      <w:pPr>
        <w:tabs>
          <w:tab w:val="left" w:pos="142"/>
        </w:tabs>
        <w:rPr>
          <w:szCs w:val="24"/>
        </w:rPr>
      </w:pPr>
      <w:r w:rsidRPr="00D933C5">
        <w:rPr>
          <w:szCs w:val="24"/>
        </w:rPr>
        <w:t>A coleta de dados deu-se por meio da análise das notas explicativas divulgadas pelas companhias, destaco que todas as empresas da amostra apresentaram em complemento as Demonstrações Financeiras Padronizadas – DFP suas Notas Explicativas, no entanto, durante a coleta e tabulação dos dados foram identificados que diversas empresas não cumpriram os critérios determinados no CPC 25 (2009) no qual não divulgaram a Provisão e/ou Passivo Contingente ou o fizeram de maneira insuficiente estando em desacordo com as orientações estabelecidas.</w:t>
      </w:r>
    </w:p>
    <w:p w14:paraId="1F27CFA8" w14:textId="7440D299" w:rsidR="00D933C5" w:rsidRPr="00D933C5" w:rsidRDefault="00D933C5" w:rsidP="00D933C5">
      <w:pPr>
        <w:tabs>
          <w:tab w:val="left" w:pos="142"/>
        </w:tabs>
        <w:rPr>
          <w:szCs w:val="24"/>
        </w:rPr>
      </w:pPr>
      <w:r w:rsidRPr="00D933C5">
        <w:rPr>
          <w:szCs w:val="24"/>
        </w:rPr>
        <w:t>Desta forma as empresas que não atenderam aos critérios exigidos de forma total e/ou parcial foram excluídas da pesquisa, logo, para a análise das Provisões foram desconsideradas 22 empresas entre os dois subsetores pois não divulgaram ou informaram, porém de forma não segregada a natureza de cada da obrigação.</w:t>
      </w:r>
    </w:p>
    <w:p w14:paraId="55562B7C" w14:textId="74D6519E" w:rsidR="00D933C5" w:rsidRPr="00D933C5" w:rsidRDefault="00D933C5" w:rsidP="00D933C5">
      <w:pPr>
        <w:tabs>
          <w:tab w:val="left" w:pos="142"/>
        </w:tabs>
        <w:rPr>
          <w:szCs w:val="24"/>
        </w:rPr>
      </w:pPr>
      <w:r w:rsidRPr="00D933C5">
        <w:rPr>
          <w:szCs w:val="24"/>
        </w:rPr>
        <w:t xml:space="preserve">Após tabulação dos dados por meio do </w:t>
      </w:r>
      <w:r w:rsidRPr="00D933C5">
        <w:rPr>
          <w:i/>
          <w:szCs w:val="24"/>
        </w:rPr>
        <w:t xml:space="preserve">software </w:t>
      </w:r>
      <w:r w:rsidRPr="00D933C5">
        <w:rPr>
          <w:szCs w:val="24"/>
        </w:rPr>
        <w:t xml:space="preserve">para criação de planilhas </w:t>
      </w:r>
      <w:r w:rsidRPr="00D933C5">
        <w:rPr>
          <w:i/>
          <w:szCs w:val="24"/>
        </w:rPr>
        <w:t xml:space="preserve">Microsoft Excel, </w:t>
      </w:r>
      <w:r w:rsidRPr="00D933C5">
        <w:rPr>
          <w:szCs w:val="24"/>
        </w:rPr>
        <w:t xml:space="preserve">foram incluídos os percentuais evolutivos entre cada exercício em </w:t>
      </w:r>
      <w:r w:rsidR="0039181C">
        <w:rPr>
          <w:szCs w:val="24"/>
        </w:rPr>
        <w:t>todas as companhias, na Tabela 3</w:t>
      </w:r>
      <w:r w:rsidRPr="00D933C5">
        <w:rPr>
          <w:szCs w:val="24"/>
        </w:rPr>
        <w:t xml:space="preserve"> são apresentadas as informações geradas referentes a Provisões Trabalhistas constituídas do setor econômico de Bens Industriais, utilizando como base o ano de 2015</w:t>
      </w:r>
    </w:p>
    <w:p w14:paraId="56386ADC" w14:textId="77777777" w:rsidR="00727B65" w:rsidRDefault="00D933C5" w:rsidP="00D933C5">
      <w:pPr>
        <w:tabs>
          <w:tab w:val="left" w:pos="142"/>
        </w:tabs>
        <w:rPr>
          <w:szCs w:val="24"/>
        </w:rPr>
      </w:pPr>
      <w:r w:rsidRPr="00D933C5">
        <w:rPr>
          <w:szCs w:val="24"/>
        </w:rPr>
        <w:t xml:space="preserve"> </w:t>
      </w:r>
    </w:p>
    <w:p w14:paraId="3E0176DC" w14:textId="12D4F14E" w:rsidR="003C1CDA" w:rsidRPr="00203974" w:rsidRDefault="003C1CDA" w:rsidP="003C1CDA">
      <w:pPr>
        <w:pStyle w:val="Corpodetexto"/>
        <w:spacing w:after="0"/>
        <w:ind w:firstLine="0"/>
        <w:rPr>
          <w:szCs w:val="24"/>
        </w:rPr>
      </w:pPr>
      <w:r w:rsidRPr="00203974">
        <w:rPr>
          <w:szCs w:val="24"/>
        </w:rPr>
        <w:t xml:space="preserve">Tabela </w:t>
      </w:r>
      <w:r w:rsidR="00C2402F">
        <w:rPr>
          <w:szCs w:val="24"/>
        </w:rPr>
        <w:t>3</w:t>
      </w:r>
      <w:r w:rsidRPr="00203974">
        <w:rPr>
          <w:szCs w:val="24"/>
        </w:rPr>
        <w:t xml:space="preserve">. </w:t>
      </w:r>
    </w:p>
    <w:p w14:paraId="52D334F5" w14:textId="13DF4B9C" w:rsidR="00D933C5" w:rsidRPr="003C1CDA" w:rsidRDefault="00D933C5" w:rsidP="003C1CDA">
      <w:pPr>
        <w:tabs>
          <w:tab w:val="left" w:pos="142"/>
        </w:tabs>
        <w:ind w:firstLine="0"/>
        <w:rPr>
          <w:b/>
          <w:szCs w:val="24"/>
        </w:rPr>
      </w:pPr>
      <w:r w:rsidRPr="003C1CDA">
        <w:rPr>
          <w:b/>
          <w:szCs w:val="24"/>
        </w:rPr>
        <w:t>Percentual Evolutivo Provisões – Subsetor Bens Industriais</w:t>
      </w:r>
    </w:p>
    <w:tbl>
      <w:tblPr>
        <w:tblW w:w="922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0"/>
        <w:gridCol w:w="940"/>
        <w:gridCol w:w="990"/>
        <w:gridCol w:w="940"/>
        <w:gridCol w:w="940"/>
        <w:gridCol w:w="940"/>
        <w:gridCol w:w="990"/>
        <w:gridCol w:w="940"/>
      </w:tblGrid>
      <w:tr w:rsidR="00C2022D" w:rsidRPr="00C2022D" w14:paraId="26223615" w14:textId="77777777" w:rsidTr="00EC15C5">
        <w:trPr>
          <w:trHeight w:val="259"/>
        </w:trPr>
        <w:tc>
          <w:tcPr>
            <w:tcW w:w="2540" w:type="dxa"/>
            <w:shd w:val="clear" w:color="auto" w:fill="auto"/>
            <w:noWrap/>
            <w:vAlign w:val="center"/>
            <w:hideMark/>
          </w:tcPr>
          <w:p w14:paraId="1E29DDAC" w14:textId="245289C0" w:rsidR="00C2022D" w:rsidRPr="00C2022D" w:rsidRDefault="00C2022D" w:rsidP="00EC15C5">
            <w:pPr>
              <w:widowControl/>
              <w:suppressLineNumbers w:val="0"/>
              <w:suppressAutoHyphens w:val="0"/>
              <w:ind w:firstLine="0"/>
              <w:jc w:val="center"/>
              <w:rPr>
                <w:b/>
                <w:bCs/>
                <w:sz w:val="20"/>
              </w:rPr>
            </w:pPr>
            <w:r w:rsidRPr="00C2022D">
              <w:rPr>
                <w:b/>
                <w:bCs/>
                <w:sz w:val="20"/>
              </w:rPr>
              <w:t>SUBSETOR</w:t>
            </w:r>
          </w:p>
        </w:tc>
        <w:tc>
          <w:tcPr>
            <w:tcW w:w="940" w:type="dxa"/>
            <w:shd w:val="clear" w:color="auto" w:fill="auto"/>
            <w:noWrap/>
            <w:vAlign w:val="center"/>
            <w:hideMark/>
          </w:tcPr>
          <w:p w14:paraId="4729DE9C" w14:textId="77777777" w:rsidR="00C2022D" w:rsidRPr="00C2022D" w:rsidRDefault="00C2022D" w:rsidP="00EC15C5">
            <w:pPr>
              <w:widowControl/>
              <w:suppressLineNumbers w:val="0"/>
              <w:suppressAutoHyphens w:val="0"/>
              <w:ind w:firstLine="0"/>
              <w:jc w:val="center"/>
              <w:rPr>
                <w:b/>
                <w:bCs/>
                <w:sz w:val="20"/>
              </w:rPr>
            </w:pPr>
            <w:r w:rsidRPr="00C2022D">
              <w:rPr>
                <w:b/>
                <w:bCs/>
                <w:sz w:val="20"/>
              </w:rPr>
              <w:t>2015</w:t>
            </w:r>
          </w:p>
        </w:tc>
        <w:tc>
          <w:tcPr>
            <w:tcW w:w="990" w:type="dxa"/>
            <w:shd w:val="clear" w:color="auto" w:fill="auto"/>
            <w:noWrap/>
            <w:vAlign w:val="center"/>
            <w:hideMark/>
          </w:tcPr>
          <w:p w14:paraId="2C4DD952" w14:textId="572141BC" w:rsidR="00C2022D" w:rsidRPr="00C2022D" w:rsidRDefault="00EC15C5" w:rsidP="00EC15C5">
            <w:pPr>
              <w:widowControl/>
              <w:suppressLineNumbers w:val="0"/>
              <w:suppressAutoHyphens w:val="0"/>
              <w:ind w:firstLine="0"/>
              <w:jc w:val="center"/>
              <w:rPr>
                <w:b/>
                <w:bCs/>
                <w:sz w:val="20"/>
              </w:rPr>
            </w:pPr>
            <w:r>
              <w:rPr>
                <w:b/>
                <w:bCs/>
                <w:sz w:val="20"/>
              </w:rPr>
              <w:t>% Evo</w:t>
            </w:r>
          </w:p>
        </w:tc>
        <w:tc>
          <w:tcPr>
            <w:tcW w:w="940" w:type="dxa"/>
            <w:shd w:val="clear" w:color="auto" w:fill="auto"/>
            <w:noWrap/>
            <w:vAlign w:val="center"/>
            <w:hideMark/>
          </w:tcPr>
          <w:p w14:paraId="4196DFAD" w14:textId="77777777" w:rsidR="00C2022D" w:rsidRPr="00C2022D" w:rsidRDefault="00C2022D" w:rsidP="00EC15C5">
            <w:pPr>
              <w:widowControl/>
              <w:suppressLineNumbers w:val="0"/>
              <w:suppressAutoHyphens w:val="0"/>
              <w:ind w:firstLine="0"/>
              <w:jc w:val="center"/>
              <w:rPr>
                <w:b/>
                <w:bCs/>
                <w:sz w:val="20"/>
              </w:rPr>
            </w:pPr>
            <w:r w:rsidRPr="00C2022D">
              <w:rPr>
                <w:b/>
                <w:bCs/>
                <w:sz w:val="20"/>
              </w:rPr>
              <w:t>2016</w:t>
            </w:r>
          </w:p>
        </w:tc>
        <w:tc>
          <w:tcPr>
            <w:tcW w:w="940" w:type="dxa"/>
            <w:shd w:val="clear" w:color="auto" w:fill="auto"/>
            <w:noWrap/>
            <w:vAlign w:val="center"/>
            <w:hideMark/>
          </w:tcPr>
          <w:p w14:paraId="540FD53A" w14:textId="044E99B3" w:rsidR="00C2022D" w:rsidRPr="00C2022D" w:rsidRDefault="00EC15C5" w:rsidP="00EC15C5">
            <w:pPr>
              <w:widowControl/>
              <w:suppressLineNumbers w:val="0"/>
              <w:suppressAutoHyphens w:val="0"/>
              <w:ind w:firstLine="0"/>
              <w:jc w:val="center"/>
              <w:rPr>
                <w:b/>
                <w:bCs/>
                <w:sz w:val="20"/>
              </w:rPr>
            </w:pPr>
            <w:r>
              <w:rPr>
                <w:b/>
                <w:bCs/>
                <w:sz w:val="20"/>
              </w:rPr>
              <w:t>% Evo</w:t>
            </w:r>
          </w:p>
        </w:tc>
        <w:tc>
          <w:tcPr>
            <w:tcW w:w="940" w:type="dxa"/>
            <w:shd w:val="clear" w:color="auto" w:fill="auto"/>
            <w:noWrap/>
            <w:vAlign w:val="center"/>
            <w:hideMark/>
          </w:tcPr>
          <w:p w14:paraId="7E73E2B1" w14:textId="77777777" w:rsidR="00C2022D" w:rsidRPr="00C2022D" w:rsidRDefault="00C2022D" w:rsidP="00EC15C5">
            <w:pPr>
              <w:widowControl/>
              <w:suppressLineNumbers w:val="0"/>
              <w:suppressAutoHyphens w:val="0"/>
              <w:ind w:firstLine="0"/>
              <w:jc w:val="center"/>
              <w:rPr>
                <w:b/>
                <w:bCs/>
                <w:sz w:val="20"/>
              </w:rPr>
            </w:pPr>
            <w:r w:rsidRPr="00C2022D">
              <w:rPr>
                <w:b/>
                <w:bCs/>
                <w:sz w:val="20"/>
              </w:rPr>
              <w:t>2017</w:t>
            </w:r>
          </w:p>
        </w:tc>
        <w:tc>
          <w:tcPr>
            <w:tcW w:w="990" w:type="dxa"/>
            <w:shd w:val="clear" w:color="auto" w:fill="auto"/>
            <w:noWrap/>
            <w:vAlign w:val="center"/>
            <w:hideMark/>
          </w:tcPr>
          <w:p w14:paraId="3ECC8B39" w14:textId="64DA433E" w:rsidR="00C2022D" w:rsidRPr="00C2022D" w:rsidRDefault="00EC15C5" w:rsidP="00EC15C5">
            <w:pPr>
              <w:widowControl/>
              <w:suppressLineNumbers w:val="0"/>
              <w:suppressAutoHyphens w:val="0"/>
              <w:ind w:firstLine="0"/>
              <w:jc w:val="center"/>
              <w:rPr>
                <w:b/>
                <w:bCs/>
                <w:sz w:val="20"/>
              </w:rPr>
            </w:pPr>
            <w:r>
              <w:rPr>
                <w:b/>
                <w:bCs/>
                <w:sz w:val="20"/>
              </w:rPr>
              <w:t>% Evo</w:t>
            </w:r>
          </w:p>
        </w:tc>
        <w:tc>
          <w:tcPr>
            <w:tcW w:w="940" w:type="dxa"/>
            <w:shd w:val="clear" w:color="auto" w:fill="auto"/>
            <w:noWrap/>
            <w:vAlign w:val="center"/>
            <w:hideMark/>
          </w:tcPr>
          <w:p w14:paraId="4805EB57" w14:textId="77777777" w:rsidR="00C2022D" w:rsidRPr="00C2022D" w:rsidRDefault="00C2022D" w:rsidP="00EC15C5">
            <w:pPr>
              <w:widowControl/>
              <w:suppressLineNumbers w:val="0"/>
              <w:suppressAutoHyphens w:val="0"/>
              <w:ind w:firstLine="0"/>
              <w:jc w:val="center"/>
              <w:rPr>
                <w:b/>
                <w:bCs/>
                <w:sz w:val="20"/>
              </w:rPr>
            </w:pPr>
            <w:r w:rsidRPr="00C2022D">
              <w:rPr>
                <w:b/>
                <w:bCs/>
                <w:sz w:val="20"/>
              </w:rPr>
              <w:t>2018</w:t>
            </w:r>
          </w:p>
        </w:tc>
      </w:tr>
      <w:tr w:rsidR="00C2022D" w:rsidRPr="00C2022D" w14:paraId="1D53FC1A" w14:textId="77777777" w:rsidTr="00EC15C5">
        <w:trPr>
          <w:trHeight w:val="259"/>
        </w:trPr>
        <w:tc>
          <w:tcPr>
            <w:tcW w:w="2540" w:type="dxa"/>
            <w:shd w:val="clear" w:color="auto" w:fill="auto"/>
            <w:noWrap/>
            <w:vAlign w:val="center"/>
            <w:hideMark/>
          </w:tcPr>
          <w:p w14:paraId="0981966E" w14:textId="77777777" w:rsidR="00C2022D" w:rsidRPr="00C2022D" w:rsidRDefault="00C2022D" w:rsidP="00C2022D">
            <w:pPr>
              <w:widowControl/>
              <w:suppressLineNumbers w:val="0"/>
              <w:suppressAutoHyphens w:val="0"/>
              <w:ind w:firstLine="0"/>
              <w:jc w:val="left"/>
              <w:rPr>
                <w:b/>
                <w:bCs/>
                <w:sz w:val="20"/>
              </w:rPr>
            </w:pPr>
            <w:r w:rsidRPr="00C2022D">
              <w:rPr>
                <w:b/>
                <w:bCs/>
                <w:sz w:val="20"/>
              </w:rPr>
              <w:t>Construção e Engenharia</w:t>
            </w:r>
          </w:p>
        </w:tc>
        <w:tc>
          <w:tcPr>
            <w:tcW w:w="940" w:type="dxa"/>
            <w:shd w:val="clear" w:color="auto" w:fill="auto"/>
            <w:noWrap/>
            <w:vAlign w:val="bottom"/>
            <w:hideMark/>
          </w:tcPr>
          <w:p w14:paraId="4B74A26C" w14:textId="27B6E984" w:rsidR="00C2022D" w:rsidRPr="00C2022D" w:rsidRDefault="00C2022D" w:rsidP="0053257C">
            <w:pPr>
              <w:widowControl/>
              <w:suppressLineNumbers w:val="0"/>
              <w:suppressAutoHyphens w:val="0"/>
              <w:ind w:firstLine="0"/>
              <w:jc w:val="right"/>
              <w:rPr>
                <w:sz w:val="20"/>
              </w:rPr>
            </w:pPr>
            <w:r w:rsidRPr="00C2022D">
              <w:rPr>
                <w:sz w:val="20"/>
              </w:rPr>
              <w:t xml:space="preserve">     82.027 </w:t>
            </w:r>
          </w:p>
        </w:tc>
        <w:tc>
          <w:tcPr>
            <w:tcW w:w="990" w:type="dxa"/>
            <w:shd w:val="clear" w:color="auto" w:fill="auto"/>
            <w:noWrap/>
            <w:vAlign w:val="bottom"/>
            <w:hideMark/>
          </w:tcPr>
          <w:p w14:paraId="5487E65F" w14:textId="2AB7F21B" w:rsidR="00C2022D" w:rsidRPr="00C2022D" w:rsidRDefault="00A0414A" w:rsidP="0053257C">
            <w:pPr>
              <w:widowControl/>
              <w:suppressLineNumbers w:val="0"/>
              <w:suppressAutoHyphens w:val="0"/>
              <w:ind w:firstLine="0"/>
              <w:jc w:val="right"/>
              <w:rPr>
                <w:b/>
                <w:bCs/>
                <w:sz w:val="20"/>
              </w:rPr>
            </w:pPr>
            <w:r>
              <w:rPr>
                <w:b/>
                <w:bCs/>
                <w:sz w:val="20"/>
              </w:rPr>
              <w:t>-0,99</w:t>
            </w:r>
            <w:r w:rsidR="00C2022D" w:rsidRPr="00C2022D">
              <w:rPr>
                <w:b/>
                <w:bCs/>
                <w:sz w:val="20"/>
              </w:rPr>
              <w:t>%</w:t>
            </w:r>
          </w:p>
        </w:tc>
        <w:tc>
          <w:tcPr>
            <w:tcW w:w="940" w:type="dxa"/>
            <w:shd w:val="clear" w:color="auto" w:fill="auto"/>
            <w:noWrap/>
            <w:vAlign w:val="bottom"/>
            <w:hideMark/>
          </w:tcPr>
          <w:p w14:paraId="7C9D9BE1" w14:textId="77777777" w:rsidR="00C2022D" w:rsidRPr="00C2022D" w:rsidRDefault="00C2022D" w:rsidP="0053257C">
            <w:pPr>
              <w:widowControl/>
              <w:suppressLineNumbers w:val="0"/>
              <w:suppressAutoHyphens w:val="0"/>
              <w:ind w:firstLine="0"/>
              <w:jc w:val="right"/>
              <w:rPr>
                <w:sz w:val="20"/>
              </w:rPr>
            </w:pPr>
            <w:r w:rsidRPr="00C2022D">
              <w:rPr>
                <w:sz w:val="20"/>
              </w:rPr>
              <w:t>81.215</w:t>
            </w:r>
          </w:p>
        </w:tc>
        <w:tc>
          <w:tcPr>
            <w:tcW w:w="940" w:type="dxa"/>
            <w:shd w:val="clear" w:color="auto" w:fill="auto"/>
            <w:noWrap/>
            <w:vAlign w:val="bottom"/>
            <w:hideMark/>
          </w:tcPr>
          <w:p w14:paraId="457210FB" w14:textId="38FF9E1E" w:rsidR="00C2022D" w:rsidRPr="00C2022D" w:rsidRDefault="00A0414A" w:rsidP="0053257C">
            <w:pPr>
              <w:widowControl/>
              <w:suppressLineNumbers w:val="0"/>
              <w:suppressAutoHyphens w:val="0"/>
              <w:ind w:firstLine="0"/>
              <w:jc w:val="right"/>
              <w:rPr>
                <w:b/>
                <w:bCs/>
                <w:sz w:val="20"/>
              </w:rPr>
            </w:pPr>
            <w:r>
              <w:rPr>
                <w:b/>
                <w:bCs/>
                <w:sz w:val="20"/>
              </w:rPr>
              <w:t>12,11</w:t>
            </w:r>
            <w:r w:rsidR="00C2022D" w:rsidRPr="00C2022D">
              <w:rPr>
                <w:b/>
                <w:bCs/>
                <w:sz w:val="20"/>
              </w:rPr>
              <w:t>%</w:t>
            </w:r>
          </w:p>
        </w:tc>
        <w:tc>
          <w:tcPr>
            <w:tcW w:w="940" w:type="dxa"/>
            <w:shd w:val="clear" w:color="auto" w:fill="auto"/>
            <w:noWrap/>
            <w:vAlign w:val="bottom"/>
            <w:hideMark/>
          </w:tcPr>
          <w:p w14:paraId="44024BF8" w14:textId="77777777" w:rsidR="00C2022D" w:rsidRPr="00C2022D" w:rsidRDefault="00C2022D" w:rsidP="0053257C">
            <w:pPr>
              <w:widowControl/>
              <w:suppressLineNumbers w:val="0"/>
              <w:suppressAutoHyphens w:val="0"/>
              <w:ind w:firstLine="0"/>
              <w:jc w:val="right"/>
              <w:rPr>
                <w:sz w:val="20"/>
              </w:rPr>
            </w:pPr>
            <w:r w:rsidRPr="00C2022D">
              <w:rPr>
                <w:sz w:val="20"/>
              </w:rPr>
              <w:t>91.053</w:t>
            </w:r>
          </w:p>
        </w:tc>
        <w:tc>
          <w:tcPr>
            <w:tcW w:w="990" w:type="dxa"/>
            <w:shd w:val="clear" w:color="auto" w:fill="auto"/>
            <w:noWrap/>
            <w:vAlign w:val="bottom"/>
            <w:hideMark/>
          </w:tcPr>
          <w:p w14:paraId="27293A51" w14:textId="450FAFFB" w:rsidR="00C2022D" w:rsidRPr="00C2022D" w:rsidRDefault="00A0414A" w:rsidP="0053257C">
            <w:pPr>
              <w:widowControl/>
              <w:suppressLineNumbers w:val="0"/>
              <w:suppressAutoHyphens w:val="0"/>
              <w:ind w:firstLine="0"/>
              <w:jc w:val="right"/>
              <w:rPr>
                <w:b/>
                <w:bCs/>
                <w:sz w:val="20"/>
              </w:rPr>
            </w:pPr>
            <w:r>
              <w:rPr>
                <w:b/>
                <w:bCs/>
                <w:sz w:val="20"/>
              </w:rPr>
              <w:t>6,10</w:t>
            </w:r>
            <w:r w:rsidR="00C2022D" w:rsidRPr="00C2022D">
              <w:rPr>
                <w:b/>
                <w:bCs/>
                <w:sz w:val="20"/>
              </w:rPr>
              <w:t>%</w:t>
            </w:r>
          </w:p>
        </w:tc>
        <w:tc>
          <w:tcPr>
            <w:tcW w:w="940" w:type="dxa"/>
            <w:shd w:val="clear" w:color="auto" w:fill="auto"/>
            <w:noWrap/>
            <w:vAlign w:val="bottom"/>
            <w:hideMark/>
          </w:tcPr>
          <w:p w14:paraId="73AF0B5E" w14:textId="77777777" w:rsidR="00C2022D" w:rsidRPr="00C2022D" w:rsidRDefault="00C2022D" w:rsidP="0053257C">
            <w:pPr>
              <w:widowControl/>
              <w:suppressLineNumbers w:val="0"/>
              <w:suppressAutoHyphens w:val="0"/>
              <w:ind w:firstLine="0"/>
              <w:jc w:val="right"/>
              <w:rPr>
                <w:sz w:val="20"/>
              </w:rPr>
            </w:pPr>
            <w:r w:rsidRPr="00C2022D">
              <w:rPr>
                <w:sz w:val="20"/>
              </w:rPr>
              <w:t>96.607</w:t>
            </w:r>
          </w:p>
        </w:tc>
      </w:tr>
      <w:tr w:rsidR="00C2022D" w:rsidRPr="00C2022D" w14:paraId="33ED3B7C" w14:textId="77777777" w:rsidTr="00EC15C5">
        <w:trPr>
          <w:trHeight w:val="259"/>
        </w:trPr>
        <w:tc>
          <w:tcPr>
            <w:tcW w:w="2540" w:type="dxa"/>
            <w:shd w:val="clear" w:color="auto" w:fill="auto"/>
            <w:noWrap/>
            <w:vAlign w:val="center"/>
            <w:hideMark/>
          </w:tcPr>
          <w:p w14:paraId="39FB3B1A" w14:textId="77777777" w:rsidR="00C2022D" w:rsidRPr="00C2022D" w:rsidRDefault="00C2022D" w:rsidP="00C2022D">
            <w:pPr>
              <w:widowControl/>
              <w:suppressLineNumbers w:val="0"/>
              <w:suppressAutoHyphens w:val="0"/>
              <w:ind w:firstLine="0"/>
              <w:jc w:val="left"/>
              <w:rPr>
                <w:b/>
                <w:bCs/>
                <w:sz w:val="20"/>
              </w:rPr>
            </w:pPr>
            <w:r w:rsidRPr="00C2022D">
              <w:rPr>
                <w:b/>
                <w:bCs/>
                <w:sz w:val="20"/>
              </w:rPr>
              <w:t>Material de Transporte</w:t>
            </w:r>
          </w:p>
        </w:tc>
        <w:tc>
          <w:tcPr>
            <w:tcW w:w="940" w:type="dxa"/>
            <w:shd w:val="clear" w:color="auto" w:fill="auto"/>
            <w:noWrap/>
            <w:vAlign w:val="bottom"/>
            <w:hideMark/>
          </w:tcPr>
          <w:p w14:paraId="76171D1F" w14:textId="5C7F7793" w:rsidR="00C2022D" w:rsidRPr="00C2022D" w:rsidRDefault="00C2022D" w:rsidP="0053257C">
            <w:pPr>
              <w:widowControl/>
              <w:suppressLineNumbers w:val="0"/>
              <w:suppressAutoHyphens w:val="0"/>
              <w:ind w:firstLine="0"/>
              <w:jc w:val="right"/>
              <w:rPr>
                <w:sz w:val="20"/>
              </w:rPr>
            </w:pPr>
            <w:r w:rsidRPr="00C2022D">
              <w:rPr>
                <w:sz w:val="20"/>
              </w:rPr>
              <w:t xml:space="preserve">   149.903 </w:t>
            </w:r>
          </w:p>
        </w:tc>
        <w:tc>
          <w:tcPr>
            <w:tcW w:w="990" w:type="dxa"/>
            <w:shd w:val="clear" w:color="auto" w:fill="auto"/>
            <w:noWrap/>
            <w:vAlign w:val="bottom"/>
            <w:hideMark/>
          </w:tcPr>
          <w:p w14:paraId="6FC535CE" w14:textId="56BFF799" w:rsidR="00C2022D" w:rsidRPr="00C2022D" w:rsidRDefault="00A0414A" w:rsidP="0053257C">
            <w:pPr>
              <w:widowControl/>
              <w:suppressLineNumbers w:val="0"/>
              <w:suppressAutoHyphens w:val="0"/>
              <w:ind w:firstLine="0"/>
              <w:jc w:val="right"/>
              <w:rPr>
                <w:b/>
                <w:bCs/>
                <w:sz w:val="20"/>
              </w:rPr>
            </w:pPr>
            <w:r>
              <w:rPr>
                <w:b/>
                <w:bCs/>
                <w:sz w:val="20"/>
              </w:rPr>
              <w:t>22,06</w:t>
            </w:r>
            <w:r w:rsidR="00C2022D" w:rsidRPr="00C2022D">
              <w:rPr>
                <w:b/>
                <w:bCs/>
                <w:sz w:val="20"/>
              </w:rPr>
              <w:t>%</w:t>
            </w:r>
          </w:p>
        </w:tc>
        <w:tc>
          <w:tcPr>
            <w:tcW w:w="940" w:type="dxa"/>
            <w:shd w:val="clear" w:color="auto" w:fill="auto"/>
            <w:noWrap/>
            <w:vAlign w:val="bottom"/>
            <w:hideMark/>
          </w:tcPr>
          <w:p w14:paraId="7BAE104D" w14:textId="77777777" w:rsidR="00C2022D" w:rsidRPr="00C2022D" w:rsidRDefault="00C2022D" w:rsidP="0053257C">
            <w:pPr>
              <w:widowControl/>
              <w:suppressLineNumbers w:val="0"/>
              <w:suppressAutoHyphens w:val="0"/>
              <w:ind w:firstLine="0"/>
              <w:jc w:val="right"/>
              <w:rPr>
                <w:sz w:val="20"/>
              </w:rPr>
            </w:pPr>
            <w:r w:rsidRPr="00C2022D">
              <w:rPr>
                <w:sz w:val="20"/>
              </w:rPr>
              <w:t>182.970</w:t>
            </w:r>
          </w:p>
        </w:tc>
        <w:tc>
          <w:tcPr>
            <w:tcW w:w="940" w:type="dxa"/>
            <w:shd w:val="clear" w:color="auto" w:fill="auto"/>
            <w:noWrap/>
            <w:vAlign w:val="bottom"/>
            <w:hideMark/>
          </w:tcPr>
          <w:p w14:paraId="5FB44C89" w14:textId="5E74A39B" w:rsidR="00C2022D" w:rsidRPr="00C2022D" w:rsidRDefault="00A0414A" w:rsidP="0053257C">
            <w:pPr>
              <w:widowControl/>
              <w:suppressLineNumbers w:val="0"/>
              <w:suppressAutoHyphens w:val="0"/>
              <w:ind w:firstLine="0"/>
              <w:jc w:val="right"/>
              <w:rPr>
                <w:b/>
                <w:bCs/>
                <w:sz w:val="20"/>
              </w:rPr>
            </w:pPr>
            <w:r>
              <w:rPr>
                <w:b/>
                <w:bCs/>
                <w:sz w:val="20"/>
              </w:rPr>
              <w:t>27,88</w:t>
            </w:r>
            <w:r w:rsidR="00C2022D" w:rsidRPr="00C2022D">
              <w:rPr>
                <w:b/>
                <w:bCs/>
                <w:sz w:val="20"/>
              </w:rPr>
              <w:t>%</w:t>
            </w:r>
          </w:p>
        </w:tc>
        <w:tc>
          <w:tcPr>
            <w:tcW w:w="940" w:type="dxa"/>
            <w:shd w:val="clear" w:color="auto" w:fill="auto"/>
            <w:noWrap/>
            <w:vAlign w:val="bottom"/>
            <w:hideMark/>
          </w:tcPr>
          <w:p w14:paraId="22E919A2" w14:textId="77777777" w:rsidR="00C2022D" w:rsidRPr="00C2022D" w:rsidRDefault="00C2022D" w:rsidP="0053257C">
            <w:pPr>
              <w:widowControl/>
              <w:suppressLineNumbers w:val="0"/>
              <w:suppressAutoHyphens w:val="0"/>
              <w:ind w:firstLine="0"/>
              <w:jc w:val="right"/>
              <w:rPr>
                <w:sz w:val="20"/>
              </w:rPr>
            </w:pPr>
            <w:r w:rsidRPr="00C2022D">
              <w:rPr>
                <w:sz w:val="20"/>
              </w:rPr>
              <w:t>233.976</w:t>
            </w:r>
          </w:p>
        </w:tc>
        <w:tc>
          <w:tcPr>
            <w:tcW w:w="990" w:type="dxa"/>
            <w:shd w:val="clear" w:color="auto" w:fill="auto"/>
            <w:noWrap/>
            <w:vAlign w:val="bottom"/>
            <w:hideMark/>
          </w:tcPr>
          <w:p w14:paraId="63892AF9" w14:textId="4D5F3F0E" w:rsidR="00C2022D" w:rsidRPr="00C2022D" w:rsidRDefault="0053257C" w:rsidP="0053257C">
            <w:pPr>
              <w:widowControl/>
              <w:suppressLineNumbers w:val="0"/>
              <w:suppressAutoHyphens w:val="0"/>
              <w:ind w:firstLine="0"/>
              <w:jc w:val="right"/>
              <w:rPr>
                <w:b/>
                <w:bCs/>
                <w:sz w:val="20"/>
              </w:rPr>
            </w:pPr>
            <w:r>
              <w:rPr>
                <w:b/>
                <w:bCs/>
                <w:sz w:val="20"/>
              </w:rPr>
              <w:t>36,64</w:t>
            </w:r>
            <w:r w:rsidR="00C2022D" w:rsidRPr="00C2022D">
              <w:rPr>
                <w:b/>
                <w:bCs/>
                <w:sz w:val="20"/>
              </w:rPr>
              <w:t>%</w:t>
            </w:r>
          </w:p>
        </w:tc>
        <w:tc>
          <w:tcPr>
            <w:tcW w:w="940" w:type="dxa"/>
            <w:shd w:val="clear" w:color="auto" w:fill="auto"/>
            <w:noWrap/>
            <w:vAlign w:val="bottom"/>
            <w:hideMark/>
          </w:tcPr>
          <w:p w14:paraId="20428B78" w14:textId="77777777" w:rsidR="00C2022D" w:rsidRPr="00C2022D" w:rsidRDefault="00C2022D" w:rsidP="0053257C">
            <w:pPr>
              <w:widowControl/>
              <w:suppressLineNumbers w:val="0"/>
              <w:suppressAutoHyphens w:val="0"/>
              <w:ind w:firstLine="0"/>
              <w:jc w:val="right"/>
              <w:rPr>
                <w:sz w:val="20"/>
              </w:rPr>
            </w:pPr>
            <w:r w:rsidRPr="00C2022D">
              <w:rPr>
                <w:sz w:val="20"/>
              </w:rPr>
              <w:t>319.705</w:t>
            </w:r>
          </w:p>
        </w:tc>
      </w:tr>
      <w:tr w:rsidR="00C2022D" w:rsidRPr="00C2022D" w14:paraId="793E7C8F" w14:textId="77777777" w:rsidTr="00EC15C5">
        <w:trPr>
          <w:trHeight w:val="259"/>
        </w:trPr>
        <w:tc>
          <w:tcPr>
            <w:tcW w:w="2540" w:type="dxa"/>
            <w:shd w:val="clear" w:color="auto" w:fill="auto"/>
            <w:noWrap/>
            <w:vAlign w:val="center"/>
            <w:hideMark/>
          </w:tcPr>
          <w:p w14:paraId="2F0FC310" w14:textId="77777777" w:rsidR="00C2022D" w:rsidRPr="00C2022D" w:rsidRDefault="00C2022D" w:rsidP="00C2022D">
            <w:pPr>
              <w:widowControl/>
              <w:suppressLineNumbers w:val="0"/>
              <w:suppressAutoHyphens w:val="0"/>
              <w:ind w:firstLine="0"/>
              <w:jc w:val="left"/>
              <w:rPr>
                <w:b/>
                <w:bCs/>
                <w:sz w:val="20"/>
              </w:rPr>
            </w:pPr>
            <w:r w:rsidRPr="00C2022D">
              <w:rPr>
                <w:b/>
                <w:bCs/>
                <w:sz w:val="20"/>
              </w:rPr>
              <w:t>Máquinas e Equipamentos</w:t>
            </w:r>
          </w:p>
        </w:tc>
        <w:tc>
          <w:tcPr>
            <w:tcW w:w="940" w:type="dxa"/>
            <w:shd w:val="clear" w:color="auto" w:fill="auto"/>
            <w:noWrap/>
            <w:vAlign w:val="bottom"/>
            <w:hideMark/>
          </w:tcPr>
          <w:p w14:paraId="0ABB0D70" w14:textId="2895C282" w:rsidR="00C2022D" w:rsidRPr="00C2022D" w:rsidRDefault="00C2022D" w:rsidP="0053257C">
            <w:pPr>
              <w:widowControl/>
              <w:suppressLineNumbers w:val="0"/>
              <w:suppressAutoHyphens w:val="0"/>
              <w:ind w:firstLine="0"/>
              <w:jc w:val="right"/>
              <w:rPr>
                <w:sz w:val="20"/>
              </w:rPr>
            </w:pPr>
            <w:r w:rsidRPr="00C2022D">
              <w:rPr>
                <w:sz w:val="20"/>
              </w:rPr>
              <w:t xml:space="preserve">   382.775 </w:t>
            </w:r>
          </w:p>
        </w:tc>
        <w:tc>
          <w:tcPr>
            <w:tcW w:w="990" w:type="dxa"/>
            <w:shd w:val="clear" w:color="auto" w:fill="auto"/>
            <w:noWrap/>
            <w:vAlign w:val="center"/>
            <w:hideMark/>
          </w:tcPr>
          <w:p w14:paraId="44FF463F" w14:textId="68609C62" w:rsidR="00C2022D" w:rsidRPr="00C2022D" w:rsidRDefault="00A0414A" w:rsidP="0053257C">
            <w:pPr>
              <w:widowControl/>
              <w:suppressLineNumbers w:val="0"/>
              <w:suppressAutoHyphens w:val="0"/>
              <w:ind w:firstLine="0"/>
              <w:jc w:val="right"/>
              <w:rPr>
                <w:b/>
                <w:bCs/>
                <w:sz w:val="20"/>
              </w:rPr>
            </w:pPr>
            <w:r>
              <w:rPr>
                <w:b/>
                <w:bCs/>
                <w:sz w:val="20"/>
              </w:rPr>
              <w:t>19,75</w:t>
            </w:r>
            <w:r w:rsidR="00C2022D" w:rsidRPr="00C2022D">
              <w:rPr>
                <w:b/>
                <w:bCs/>
                <w:sz w:val="20"/>
              </w:rPr>
              <w:t>%</w:t>
            </w:r>
          </w:p>
        </w:tc>
        <w:tc>
          <w:tcPr>
            <w:tcW w:w="940" w:type="dxa"/>
            <w:shd w:val="clear" w:color="auto" w:fill="auto"/>
            <w:noWrap/>
            <w:vAlign w:val="bottom"/>
            <w:hideMark/>
          </w:tcPr>
          <w:p w14:paraId="1036C072" w14:textId="77777777" w:rsidR="00C2022D" w:rsidRPr="00C2022D" w:rsidRDefault="00C2022D" w:rsidP="0053257C">
            <w:pPr>
              <w:widowControl/>
              <w:suppressLineNumbers w:val="0"/>
              <w:suppressAutoHyphens w:val="0"/>
              <w:ind w:firstLine="0"/>
              <w:jc w:val="right"/>
              <w:rPr>
                <w:sz w:val="20"/>
              </w:rPr>
            </w:pPr>
            <w:r w:rsidRPr="00C2022D">
              <w:rPr>
                <w:sz w:val="20"/>
              </w:rPr>
              <w:t>458.385</w:t>
            </w:r>
          </w:p>
        </w:tc>
        <w:tc>
          <w:tcPr>
            <w:tcW w:w="940" w:type="dxa"/>
            <w:shd w:val="clear" w:color="auto" w:fill="auto"/>
            <w:noWrap/>
            <w:vAlign w:val="center"/>
            <w:hideMark/>
          </w:tcPr>
          <w:p w14:paraId="1F819BED" w14:textId="3760E7D6" w:rsidR="00C2022D" w:rsidRPr="00C2022D" w:rsidRDefault="00A0414A" w:rsidP="0053257C">
            <w:pPr>
              <w:widowControl/>
              <w:suppressLineNumbers w:val="0"/>
              <w:suppressAutoHyphens w:val="0"/>
              <w:ind w:firstLine="0"/>
              <w:jc w:val="right"/>
              <w:rPr>
                <w:b/>
                <w:bCs/>
                <w:sz w:val="20"/>
              </w:rPr>
            </w:pPr>
            <w:r>
              <w:rPr>
                <w:b/>
                <w:bCs/>
                <w:sz w:val="20"/>
              </w:rPr>
              <w:t>-12,08</w:t>
            </w:r>
            <w:r w:rsidR="00C2022D" w:rsidRPr="00C2022D">
              <w:rPr>
                <w:b/>
                <w:bCs/>
                <w:sz w:val="20"/>
              </w:rPr>
              <w:t>%</w:t>
            </w:r>
          </w:p>
        </w:tc>
        <w:tc>
          <w:tcPr>
            <w:tcW w:w="940" w:type="dxa"/>
            <w:shd w:val="clear" w:color="auto" w:fill="auto"/>
            <w:noWrap/>
            <w:vAlign w:val="bottom"/>
            <w:hideMark/>
          </w:tcPr>
          <w:p w14:paraId="4A4783A7" w14:textId="77777777" w:rsidR="00C2022D" w:rsidRPr="00C2022D" w:rsidRDefault="00C2022D" w:rsidP="0053257C">
            <w:pPr>
              <w:widowControl/>
              <w:suppressLineNumbers w:val="0"/>
              <w:suppressAutoHyphens w:val="0"/>
              <w:ind w:firstLine="0"/>
              <w:jc w:val="right"/>
              <w:rPr>
                <w:sz w:val="20"/>
              </w:rPr>
            </w:pPr>
            <w:r w:rsidRPr="00C2022D">
              <w:rPr>
                <w:sz w:val="20"/>
              </w:rPr>
              <w:t>403.035</w:t>
            </w:r>
          </w:p>
        </w:tc>
        <w:tc>
          <w:tcPr>
            <w:tcW w:w="990" w:type="dxa"/>
            <w:shd w:val="clear" w:color="auto" w:fill="auto"/>
            <w:noWrap/>
            <w:vAlign w:val="center"/>
            <w:hideMark/>
          </w:tcPr>
          <w:p w14:paraId="34926C1E" w14:textId="387FA629" w:rsidR="00C2022D" w:rsidRPr="00C2022D" w:rsidRDefault="0053257C" w:rsidP="0053257C">
            <w:pPr>
              <w:widowControl/>
              <w:suppressLineNumbers w:val="0"/>
              <w:suppressAutoHyphens w:val="0"/>
              <w:ind w:firstLine="0"/>
              <w:jc w:val="right"/>
              <w:rPr>
                <w:b/>
                <w:bCs/>
                <w:sz w:val="20"/>
              </w:rPr>
            </w:pPr>
            <w:r>
              <w:rPr>
                <w:b/>
                <w:bCs/>
                <w:sz w:val="20"/>
              </w:rPr>
              <w:t>5,47</w:t>
            </w:r>
            <w:r w:rsidR="00C2022D" w:rsidRPr="00C2022D">
              <w:rPr>
                <w:b/>
                <w:bCs/>
                <w:sz w:val="20"/>
              </w:rPr>
              <w:t>%</w:t>
            </w:r>
          </w:p>
        </w:tc>
        <w:tc>
          <w:tcPr>
            <w:tcW w:w="940" w:type="dxa"/>
            <w:shd w:val="clear" w:color="auto" w:fill="auto"/>
            <w:noWrap/>
            <w:vAlign w:val="bottom"/>
            <w:hideMark/>
          </w:tcPr>
          <w:p w14:paraId="704A9B8E" w14:textId="77777777" w:rsidR="00C2022D" w:rsidRPr="00C2022D" w:rsidRDefault="00C2022D" w:rsidP="0053257C">
            <w:pPr>
              <w:widowControl/>
              <w:suppressLineNumbers w:val="0"/>
              <w:suppressAutoHyphens w:val="0"/>
              <w:ind w:firstLine="0"/>
              <w:jc w:val="right"/>
              <w:rPr>
                <w:sz w:val="20"/>
              </w:rPr>
            </w:pPr>
            <w:r w:rsidRPr="00C2022D">
              <w:rPr>
                <w:sz w:val="20"/>
              </w:rPr>
              <w:t>425.070</w:t>
            </w:r>
          </w:p>
        </w:tc>
      </w:tr>
      <w:tr w:rsidR="00C2022D" w:rsidRPr="00C2022D" w14:paraId="37C9ECB3" w14:textId="77777777" w:rsidTr="00EC15C5">
        <w:trPr>
          <w:trHeight w:val="259"/>
        </w:trPr>
        <w:tc>
          <w:tcPr>
            <w:tcW w:w="2540" w:type="dxa"/>
            <w:shd w:val="clear" w:color="auto" w:fill="auto"/>
            <w:noWrap/>
            <w:vAlign w:val="center"/>
            <w:hideMark/>
          </w:tcPr>
          <w:p w14:paraId="6D3D8264" w14:textId="77777777" w:rsidR="00C2022D" w:rsidRPr="00C2022D" w:rsidRDefault="00C2022D" w:rsidP="00C2022D">
            <w:pPr>
              <w:widowControl/>
              <w:suppressLineNumbers w:val="0"/>
              <w:suppressAutoHyphens w:val="0"/>
              <w:ind w:firstLine="0"/>
              <w:jc w:val="left"/>
              <w:rPr>
                <w:b/>
                <w:bCs/>
                <w:sz w:val="20"/>
              </w:rPr>
            </w:pPr>
            <w:r w:rsidRPr="00C2022D">
              <w:rPr>
                <w:b/>
                <w:bCs/>
                <w:sz w:val="20"/>
              </w:rPr>
              <w:t>Transporte</w:t>
            </w:r>
          </w:p>
        </w:tc>
        <w:tc>
          <w:tcPr>
            <w:tcW w:w="940" w:type="dxa"/>
            <w:shd w:val="clear" w:color="auto" w:fill="auto"/>
            <w:noWrap/>
            <w:vAlign w:val="bottom"/>
            <w:hideMark/>
          </w:tcPr>
          <w:p w14:paraId="6BC02DB0" w14:textId="69FD01BB" w:rsidR="00C2022D" w:rsidRPr="00C2022D" w:rsidRDefault="00C2022D" w:rsidP="0053257C">
            <w:pPr>
              <w:widowControl/>
              <w:suppressLineNumbers w:val="0"/>
              <w:suppressAutoHyphens w:val="0"/>
              <w:ind w:firstLine="0"/>
              <w:jc w:val="right"/>
              <w:rPr>
                <w:sz w:val="20"/>
              </w:rPr>
            </w:pPr>
            <w:r w:rsidRPr="00C2022D">
              <w:rPr>
                <w:sz w:val="20"/>
              </w:rPr>
              <w:t xml:space="preserve">1.205.662 </w:t>
            </w:r>
          </w:p>
        </w:tc>
        <w:tc>
          <w:tcPr>
            <w:tcW w:w="990" w:type="dxa"/>
            <w:shd w:val="clear" w:color="auto" w:fill="auto"/>
            <w:noWrap/>
            <w:vAlign w:val="bottom"/>
            <w:hideMark/>
          </w:tcPr>
          <w:p w14:paraId="46A5A06A" w14:textId="39241790" w:rsidR="00C2022D" w:rsidRPr="00C2022D" w:rsidRDefault="00A0414A" w:rsidP="0053257C">
            <w:pPr>
              <w:widowControl/>
              <w:suppressLineNumbers w:val="0"/>
              <w:suppressAutoHyphens w:val="0"/>
              <w:ind w:firstLine="0"/>
              <w:jc w:val="right"/>
              <w:rPr>
                <w:b/>
                <w:bCs/>
                <w:sz w:val="20"/>
              </w:rPr>
            </w:pPr>
            <w:r>
              <w:rPr>
                <w:b/>
                <w:bCs/>
                <w:sz w:val="20"/>
              </w:rPr>
              <w:t>8,19</w:t>
            </w:r>
            <w:r w:rsidR="00C2022D" w:rsidRPr="00C2022D">
              <w:rPr>
                <w:b/>
                <w:bCs/>
                <w:sz w:val="20"/>
              </w:rPr>
              <w:t>%</w:t>
            </w:r>
          </w:p>
        </w:tc>
        <w:tc>
          <w:tcPr>
            <w:tcW w:w="940" w:type="dxa"/>
            <w:shd w:val="clear" w:color="auto" w:fill="auto"/>
            <w:noWrap/>
            <w:vAlign w:val="bottom"/>
            <w:hideMark/>
          </w:tcPr>
          <w:p w14:paraId="5B07D680" w14:textId="77777777" w:rsidR="00C2022D" w:rsidRPr="00C2022D" w:rsidRDefault="00C2022D" w:rsidP="0053257C">
            <w:pPr>
              <w:widowControl/>
              <w:suppressLineNumbers w:val="0"/>
              <w:suppressAutoHyphens w:val="0"/>
              <w:ind w:firstLine="0"/>
              <w:jc w:val="right"/>
              <w:rPr>
                <w:sz w:val="20"/>
              </w:rPr>
            </w:pPr>
            <w:r w:rsidRPr="00C2022D">
              <w:rPr>
                <w:sz w:val="20"/>
              </w:rPr>
              <w:t>1.304.411</w:t>
            </w:r>
          </w:p>
        </w:tc>
        <w:tc>
          <w:tcPr>
            <w:tcW w:w="940" w:type="dxa"/>
            <w:shd w:val="clear" w:color="auto" w:fill="auto"/>
            <w:noWrap/>
            <w:vAlign w:val="bottom"/>
            <w:hideMark/>
          </w:tcPr>
          <w:p w14:paraId="56BCDE17" w14:textId="0327ED1E" w:rsidR="00C2022D" w:rsidRPr="00C2022D" w:rsidRDefault="00A0414A" w:rsidP="0053257C">
            <w:pPr>
              <w:widowControl/>
              <w:suppressLineNumbers w:val="0"/>
              <w:suppressAutoHyphens w:val="0"/>
              <w:ind w:firstLine="0"/>
              <w:jc w:val="right"/>
              <w:rPr>
                <w:b/>
                <w:bCs/>
                <w:sz w:val="20"/>
              </w:rPr>
            </w:pPr>
            <w:r>
              <w:rPr>
                <w:b/>
                <w:bCs/>
                <w:sz w:val="20"/>
              </w:rPr>
              <w:t>4,87</w:t>
            </w:r>
            <w:r w:rsidR="00C2022D" w:rsidRPr="00C2022D">
              <w:rPr>
                <w:b/>
                <w:bCs/>
                <w:sz w:val="20"/>
              </w:rPr>
              <w:t>%</w:t>
            </w:r>
          </w:p>
        </w:tc>
        <w:tc>
          <w:tcPr>
            <w:tcW w:w="940" w:type="dxa"/>
            <w:shd w:val="clear" w:color="auto" w:fill="auto"/>
            <w:noWrap/>
            <w:vAlign w:val="bottom"/>
            <w:hideMark/>
          </w:tcPr>
          <w:p w14:paraId="26A10048" w14:textId="77777777" w:rsidR="00C2022D" w:rsidRPr="00C2022D" w:rsidRDefault="00C2022D" w:rsidP="0053257C">
            <w:pPr>
              <w:widowControl/>
              <w:suppressLineNumbers w:val="0"/>
              <w:suppressAutoHyphens w:val="0"/>
              <w:ind w:firstLine="0"/>
              <w:jc w:val="right"/>
              <w:rPr>
                <w:sz w:val="20"/>
              </w:rPr>
            </w:pPr>
            <w:r w:rsidRPr="00C2022D">
              <w:rPr>
                <w:sz w:val="20"/>
              </w:rPr>
              <w:t>1.367.903</w:t>
            </w:r>
          </w:p>
        </w:tc>
        <w:tc>
          <w:tcPr>
            <w:tcW w:w="990" w:type="dxa"/>
            <w:shd w:val="clear" w:color="auto" w:fill="auto"/>
            <w:noWrap/>
            <w:vAlign w:val="bottom"/>
            <w:hideMark/>
          </w:tcPr>
          <w:p w14:paraId="0994A187" w14:textId="353A491A" w:rsidR="00C2022D" w:rsidRPr="00C2022D" w:rsidRDefault="0053257C" w:rsidP="0053257C">
            <w:pPr>
              <w:widowControl/>
              <w:suppressLineNumbers w:val="0"/>
              <w:suppressAutoHyphens w:val="0"/>
              <w:ind w:firstLine="0"/>
              <w:jc w:val="right"/>
              <w:rPr>
                <w:b/>
                <w:bCs/>
                <w:sz w:val="20"/>
              </w:rPr>
            </w:pPr>
            <w:r>
              <w:rPr>
                <w:b/>
                <w:bCs/>
                <w:sz w:val="20"/>
              </w:rPr>
              <w:t>5,63</w:t>
            </w:r>
            <w:r w:rsidR="00C2022D" w:rsidRPr="00C2022D">
              <w:rPr>
                <w:b/>
                <w:bCs/>
                <w:sz w:val="20"/>
              </w:rPr>
              <w:t>%</w:t>
            </w:r>
          </w:p>
        </w:tc>
        <w:tc>
          <w:tcPr>
            <w:tcW w:w="940" w:type="dxa"/>
            <w:shd w:val="clear" w:color="auto" w:fill="auto"/>
            <w:noWrap/>
            <w:vAlign w:val="bottom"/>
            <w:hideMark/>
          </w:tcPr>
          <w:p w14:paraId="26056394" w14:textId="77777777" w:rsidR="00C2022D" w:rsidRPr="00C2022D" w:rsidRDefault="00C2022D" w:rsidP="0053257C">
            <w:pPr>
              <w:widowControl/>
              <w:suppressLineNumbers w:val="0"/>
              <w:suppressAutoHyphens w:val="0"/>
              <w:ind w:firstLine="0"/>
              <w:jc w:val="right"/>
              <w:rPr>
                <w:sz w:val="20"/>
              </w:rPr>
            </w:pPr>
            <w:r w:rsidRPr="00C2022D">
              <w:rPr>
                <w:sz w:val="20"/>
              </w:rPr>
              <w:t>1.444.980</w:t>
            </w:r>
          </w:p>
        </w:tc>
      </w:tr>
      <w:tr w:rsidR="00C2022D" w:rsidRPr="00C2022D" w14:paraId="48A0C8BC" w14:textId="77777777" w:rsidTr="00EC15C5">
        <w:trPr>
          <w:trHeight w:val="259"/>
        </w:trPr>
        <w:tc>
          <w:tcPr>
            <w:tcW w:w="2540" w:type="dxa"/>
            <w:shd w:val="clear" w:color="auto" w:fill="auto"/>
            <w:noWrap/>
            <w:vAlign w:val="center"/>
            <w:hideMark/>
          </w:tcPr>
          <w:p w14:paraId="588A50E3" w14:textId="77777777" w:rsidR="00C2022D" w:rsidRPr="00C2022D" w:rsidRDefault="00C2022D" w:rsidP="00C2022D">
            <w:pPr>
              <w:widowControl/>
              <w:suppressLineNumbers w:val="0"/>
              <w:suppressAutoHyphens w:val="0"/>
              <w:ind w:firstLine="0"/>
              <w:jc w:val="left"/>
              <w:rPr>
                <w:b/>
                <w:bCs/>
                <w:sz w:val="20"/>
              </w:rPr>
            </w:pPr>
            <w:r w:rsidRPr="00C2022D">
              <w:rPr>
                <w:b/>
                <w:bCs/>
                <w:sz w:val="20"/>
              </w:rPr>
              <w:t>Serviços Diversos</w:t>
            </w:r>
          </w:p>
        </w:tc>
        <w:tc>
          <w:tcPr>
            <w:tcW w:w="940" w:type="dxa"/>
            <w:shd w:val="clear" w:color="auto" w:fill="auto"/>
            <w:noWrap/>
            <w:vAlign w:val="bottom"/>
            <w:hideMark/>
          </w:tcPr>
          <w:p w14:paraId="4D4E07B4" w14:textId="4DEA2249" w:rsidR="00C2022D" w:rsidRPr="00C2022D" w:rsidRDefault="00C2022D" w:rsidP="0053257C">
            <w:pPr>
              <w:widowControl/>
              <w:suppressLineNumbers w:val="0"/>
              <w:suppressAutoHyphens w:val="0"/>
              <w:ind w:firstLine="0"/>
              <w:jc w:val="right"/>
              <w:rPr>
                <w:sz w:val="20"/>
              </w:rPr>
            </w:pPr>
            <w:r w:rsidRPr="00C2022D">
              <w:rPr>
                <w:sz w:val="20"/>
              </w:rPr>
              <w:t xml:space="preserve">     80.422 </w:t>
            </w:r>
          </w:p>
        </w:tc>
        <w:tc>
          <w:tcPr>
            <w:tcW w:w="990" w:type="dxa"/>
            <w:shd w:val="clear" w:color="auto" w:fill="auto"/>
            <w:noWrap/>
            <w:vAlign w:val="center"/>
            <w:hideMark/>
          </w:tcPr>
          <w:p w14:paraId="458A6C2B" w14:textId="3E0BB0E9" w:rsidR="00C2022D" w:rsidRPr="00C2022D" w:rsidRDefault="00A0414A" w:rsidP="0053257C">
            <w:pPr>
              <w:widowControl/>
              <w:suppressLineNumbers w:val="0"/>
              <w:suppressAutoHyphens w:val="0"/>
              <w:ind w:firstLine="0"/>
              <w:jc w:val="right"/>
              <w:rPr>
                <w:b/>
                <w:bCs/>
                <w:sz w:val="20"/>
              </w:rPr>
            </w:pPr>
            <w:r>
              <w:rPr>
                <w:b/>
                <w:bCs/>
                <w:sz w:val="20"/>
              </w:rPr>
              <w:t>39,34</w:t>
            </w:r>
            <w:r w:rsidR="00C2022D" w:rsidRPr="00C2022D">
              <w:rPr>
                <w:b/>
                <w:bCs/>
                <w:sz w:val="20"/>
              </w:rPr>
              <w:t>%</w:t>
            </w:r>
          </w:p>
        </w:tc>
        <w:tc>
          <w:tcPr>
            <w:tcW w:w="940" w:type="dxa"/>
            <w:shd w:val="clear" w:color="auto" w:fill="auto"/>
            <w:noWrap/>
            <w:vAlign w:val="bottom"/>
            <w:hideMark/>
          </w:tcPr>
          <w:p w14:paraId="6A64770C" w14:textId="77777777" w:rsidR="00C2022D" w:rsidRPr="00C2022D" w:rsidRDefault="00C2022D" w:rsidP="0053257C">
            <w:pPr>
              <w:widowControl/>
              <w:suppressLineNumbers w:val="0"/>
              <w:suppressAutoHyphens w:val="0"/>
              <w:ind w:firstLine="0"/>
              <w:jc w:val="right"/>
              <w:rPr>
                <w:sz w:val="20"/>
              </w:rPr>
            </w:pPr>
            <w:r w:rsidRPr="00C2022D">
              <w:rPr>
                <w:sz w:val="20"/>
              </w:rPr>
              <w:t>112.059</w:t>
            </w:r>
          </w:p>
        </w:tc>
        <w:tc>
          <w:tcPr>
            <w:tcW w:w="940" w:type="dxa"/>
            <w:shd w:val="clear" w:color="auto" w:fill="auto"/>
            <w:noWrap/>
            <w:vAlign w:val="center"/>
            <w:hideMark/>
          </w:tcPr>
          <w:p w14:paraId="2B3807DD" w14:textId="438045EA" w:rsidR="00C2022D" w:rsidRPr="00C2022D" w:rsidRDefault="00A0414A" w:rsidP="0053257C">
            <w:pPr>
              <w:widowControl/>
              <w:suppressLineNumbers w:val="0"/>
              <w:suppressAutoHyphens w:val="0"/>
              <w:ind w:firstLine="0"/>
              <w:jc w:val="right"/>
              <w:rPr>
                <w:b/>
                <w:bCs/>
                <w:sz w:val="20"/>
              </w:rPr>
            </w:pPr>
            <w:r>
              <w:rPr>
                <w:b/>
                <w:bCs/>
                <w:sz w:val="20"/>
              </w:rPr>
              <w:t>64,41</w:t>
            </w:r>
            <w:r w:rsidR="00C2022D" w:rsidRPr="00C2022D">
              <w:rPr>
                <w:b/>
                <w:bCs/>
                <w:sz w:val="20"/>
              </w:rPr>
              <w:t>%</w:t>
            </w:r>
          </w:p>
        </w:tc>
        <w:tc>
          <w:tcPr>
            <w:tcW w:w="940" w:type="dxa"/>
            <w:shd w:val="clear" w:color="auto" w:fill="auto"/>
            <w:noWrap/>
            <w:vAlign w:val="bottom"/>
            <w:hideMark/>
          </w:tcPr>
          <w:p w14:paraId="1F927078" w14:textId="77777777" w:rsidR="00C2022D" w:rsidRPr="00C2022D" w:rsidRDefault="00C2022D" w:rsidP="0053257C">
            <w:pPr>
              <w:widowControl/>
              <w:suppressLineNumbers w:val="0"/>
              <w:suppressAutoHyphens w:val="0"/>
              <w:ind w:firstLine="0"/>
              <w:jc w:val="right"/>
              <w:rPr>
                <w:sz w:val="20"/>
              </w:rPr>
            </w:pPr>
            <w:r w:rsidRPr="00C2022D">
              <w:rPr>
                <w:sz w:val="20"/>
              </w:rPr>
              <w:t>184.241</w:t>
            </w:r>
          </w:p>
        </w:tc>
        <w:tc>
          <w:tcPr>
            <w:tcW w:w="990" w:type="dxa"/>
            <w:shd w:val="clear" w:color="auto" w:fill="auto"/>
            <w:noWrap/>
            <w:vAlign w:val="center"/>
            <w:hideMark/>
          </w:tcPr>
          <w:p w14:paraId="4FF17480" w14:textId="33A2F38D" w:rsidR="00C2022D" w:rsidRPr="00C2022D" w:rsidRDefault="0053257C" w:rsidP="0053257C">
            <w:pPr>
              <w:widowControl/>
              <w:suppressLineNumbers w:val="0"/>
              <w:suppressAutoHyphens w:val="0"/>
              <w:ind w:firstLine="0"/>
              <w:jc w:val="right"/>
              <w:rPr>
                <w:b/>
                <w:bCs/>
                <w:sz w:val="20"/>
              </w:rPr>
            </w:pPr>
            <w:r>
              <w:rPr>
                <w:b/>
                <w:bCs/>
                <w:sz w:val="20"/>
              </w:rPr>
              <w:t>11,54</w:t>
            </w:r>
            <w:r w:rsidR="00C2022D" w:rsidRPr="00C2022D">
              <w:rPr>
                <w:b/>
                <w:bCs/>
                <w:sz w:val="20"/>
              </w:rPr>
              <w:t>%</w:t>
            </w:r>
          </w:p>
        </w:tc>
        <w:tc>
          <w:tcPr>
            <w:tcW w:w="940" w:type="dxa"/>
            <w:shd w:val="clear" w:color="auto" w:fill="auto"/>
            <w:noWrap/>
            <w:vAlign w:val="bottom"/>
            <w:hideMark/>
          </w:tcPr>
          <w:p w14:paraId="7D0F2238" w14:textId="77777777" w:rsidR="00C2022D" w:rsidRPr="00C2022D" w:rsidRDefault="00C2022D" w:rsidP="0053257C">
            <w:pPr>
              <w:widowControl/>
              <w:suppressLineNumbers w:val="0"/>
              <w:suppressAutoHyphens w:val="0"/>
              <w:ind w:firstLine="0"/>
              <w:jc w:val="right"/>
              <w:rPr>
                <w:sz w:val="20"/>
              </w:rPr>
            </w:pPr>
            <w:r w:rsidRPr="00C2022D">
              <w:rPr>
                <w:sz w:val="20"/>
              </w:rPr>
              <w:t>205.496</w:t>
            </w:r>
          </w:p>
        </w:tc>
      </w:tr>
      <w:tr w:rsidR="00C2022D" w:rsidRPr="00C2022D" w14:paraId="7FE4057C" w14:textId="77777777" w:rsidTr="00EC15C5">
        <w:trPr>
          <w:trHeight w:val="259"/>
        </w:trPr>
        <w:tc>
          <w:tcPr>
            <w:tcW w:w="2540" w:type="dxa"/>
            <w:shd w:val="clear" w:color="auto" w:fill="auto"/>
            <w:noWrap/>
            <w:vAlign w:val="center"/>
            <w:hideMark/>
          </w:tcPr>
          <w:p w14:paraId="5B41C104" w14:textId="77777777" w:rsidR="00C2022D" w:rsidRPr="00C2022D" w:rsidRDefault="00C2022D" w:rsidP="00C2022D">
            <w:pPr>
              <w:widowControl/>
              <w:suppressLineNumbers w:val="0"/>
              <w:suppressAutoHyphens w:val="0"/>
              <w:ind w:firstLine="0"/>
              <w:jc w:val="left"/>
              <w:rPr>
                <w:b/>
                <w:bCs/>
                <w:sz w:val="20"/>
              </w:rPr>
            </w:pPr>
            <w:r w:rsidRPr="00C2022D">
              <w:rPr>
                <w:b/>
                <w:bCs/>
                <w:sz w:val="20"/>
              </w:rPr>
              <w:t>Comércio</w:t>
            </w:r>
          </w:p>
        </w:tc>
        <w:tc>
          <w:tcPr>
            <w:tcW w:w="940" w:type="dxa"/>
            <w:shd w:val="clear" w:color="auto" w:fill="auto"/>
            <w:noWrap/>
            <w:vAlign w:val="bottom"/>
            <w:hideMark/>
          </w:tcPr>
          <w:p w14:paraId="0496A5CD" w14:textId="6292591B" w:rsidR="00C2022D" w:rsidRPr="00C2022D" w:rsidRDefault="00C2022D" w:rsidP="0053257C">
            <w:pPr>
              <w:widowControl/>
              <w:suppressLineNumbers w:val="0"/>
              <w:suppressAutoHyphens w:val="0"/>
              <w:ind w:firstLine="0"/>
              <w:jc w:val="right"/>
              <w:rPr>
                <w:sz w:val="20"/>
              </w:rPr>
            </w:pPr>
            <w:r w:rsidRPr="00C2022D">
              <w:rPr>
                <w:sz w:val="20"/>
              </w:rPr>
              <w:t xml:space="preserve">          150 </w:t>
            </w:r>
          </w:p>
        </w:tc>
        <w:tc>
          <w:tcPr>
            <w:tcW w:w="990" w:type="dxa"/>
            <w:shd w:val="clear" w:color="auto" w:fill="auto"/>
            <w:noWrap/>
            <w:vAlign w:val="bottom"/>
            <w:hideMark/>
          </w:tcPr>
          <w:p w14:paraId="226359CE" w14:textId="77777777" w:rsidR="00C2022D" w:rsidRPr="00C2022D" w:rsidRDefault="00C2022D" w:rsidP="0053257C">
            <w:pPr>
              <w:widowControl/>
              <w:suppressLineNumbers w:val="0"/>
              <w:suppressAutoHyphens w:val="0"/>
              <w:ind w:firstLine="0"/>
              <w:jc w:val="right"/>
              <w:rPr>
                <w:b/>
                <w:bCs/>
                <w:sz w:val="20"/>
              </w:rPr>
            </w:pPr>
            <w:r w:rsidRPr="00C2022D">
              <w:rPr>
                <w:b/>
                <w:bCs/>
                <w:sz w:val="20"/>
              </w:rPr>
              <w:t>31,33%</w:t>
            </w:r>
          </w:p>
        </w:tc>
        <w:tc>
          <w:tcPr>
            <w:tcW w:w="940" w:type="dxa"/>
            <w:shd w:val="clear" w:color="auto" w:fill="auto"/>
            <w:noWrap/>
            <w:vAlign w:val="bottom"/>
            <w:hideMark/>
          </w:tcPr>
          <w:p w14:paraId="5878ED61" w14:textId="77777777" w:rsidR="00C2022D" w:rsidRPr="00C2022D" w:rsidRDefault="00C2022D" w:rsidP="0053257C">
            <w:pPr>
              <w:widowControl/>
              <w:suppressLineNumbers w:val="0"/>
              <w:suppressAutoHyphens w:val="0"/>
              <w:ind w:firstLine="0"/>
              <w:jc w:val="right"/>
              <w:rPr>
                <w:sz w:val="20"/>
              </w:rPr>
            </w:pPr>
            <w:r w:rsidRPr="00C2022D">
              <w:rPr>
                <w:sz w:val="20"/>
              </w:rPr>
              <w:t>197</w:t>
            </w:r>
          </w:p>
        </w:tc>
        <w:tc>
          <w:tcPr>
            <w:tcW w:w="940" w:type="dxa"/>
            <w:shd w:val="clear" w:color="auto" w:fill="auto"/>
            <w:noWrap/>
            <w:vAlign w:val="bottom"/>
            <w:hideMark/>
          </w:tcPr>
          <w:p w14:paraId="32378F43" w14:textId="77777777" w:rsidR="00C2022D" w:rsidRPr="00C2022D" w:rsidRDefault="00C2022D" w:rsidP="0053257C">
            <w:pPr>
              <w:widowControl/>
              <w:suppressLineNumbers w:val="0"/>
              <w:suppressAutoHyphens w:val="0"/>
              <w:ind w:firstLine="0"/>
              <w:jc w:val="right"/>
              <w:rPr>
                <w:b/>
                <w:bCs/>
                <w:sz w:val="20"/>
              </w:rPr>
            </w:pPr>
            <w:r w:rsidRPr="00C2022D">
              <w:rPr>
                <w:b/>
                <w:bCs/>
                <w:sz w:val="20"/>
              </w:rPr>
              <w:t>-92,39%</w:t>
            </w:r>
          </w:p>
        </w:tc>
        <w:tc>
          <w:tcPr>
            <w:tcW w:w="940" w:type="dxa"/>
            <w:shd w:val="clear" w:color="auto" w:fill="auto"/>
            <w:noWrap/>
            <w:vAlign w:val="bottom"/>
            <w:hideMark/>
          </w:tcPr>
          <w:p w14:paraId="187FBBD5" w14:textId="77777777" w:rsidR="00C2022D" w:rsidRPr="00C2022D" w:rsidRDefault="00C2022D" w:rsidP="0053257C">
            <w:pPr>
              <w:widowControl/>
              <w:suppressLineNumbers w:val="0"/>
              <w:suppressAutoHyphens w:val="0"/>
              <w:ind w:firstLine="0"/>
              <w:jc w:val="right"/>
              <w:rPr>
                <w:sz w:val="20"/>
              </w:rPr>
            </w:pPr>
            <w:r w:rsidRPr="00C2022D">
              <w:rPr>
                <w:sz w:val="20"/>
              </w:rPr>
              <w:t>15</w:t>
            </w:r>
          </w:p>
        </w:tc>
        <w:tc>
          <w:tcPr>
            <w:tcW w:w="990" w:type="dxa"/>
            <w:shd w:val="clear" w:color="auto" w:fill="auto"/>
            <w:noWrap/>
            <w:vAlign w:val="bottom"/>
            <w:hideMark/>
          </w:tcPr>
          <w:p w14:paraId="7755A095" w14:textId="77777777" w:rsidR="00C2022D" w:rsidRPr="00C2022D" w:rsidRDefault="00C2022D" w:rsidP="0053257C">
            <w:pPr>
              <w:widowControl/>
              <w:suppressLineNumbers w:val="0"/>
              <w:suppressAutoHyphens w:val="0"/>
              <w:ind w:firstLine="0"/>
              <w:jc w:val="right"/>
              <w:rPr>
                <w:b/>
                <w:bCs/>
                <w:sz w:val="20"/>
              </w:rPr>
            </w:pPr>
            <w:r w:rsidRPr="00C2022D">
              <w:rPr>
                <w:b/>
                <w:bCs/>
                <w:sz w:val="20"/>
              </w:rPr>
              <w:t>100,00%</w:t>
            </w:r>
          </w:p>
        </w:tc>
        <w:tc>
          <w:tcPr>
            <w:tcW w:w="940" w:type="dxa"/>
            <w:shd w:val="clear" w:color="auto" w:fill="auto"/>
            <w:noWrap/>
            <w:vAlign w:val="bottom"/>
            <w:hideMark/>
          </w:tcPr>
          <w:p w14:paraId="2AFE7BE7" w14:textId="77777777" w:rsidR="00C2022D" w:rsidRPr="00C2022D" w:rsidRDefault="00C2022D" w:rsidP="0053257C">
            <w:pPr>
              <w:widowControl/>
              <w:suppressLineNumbers w:val="0"/>
              <w:suppressAutoHyphens w:val="0"/>
              <w:ind w:firstLine="0"/>
              <w:jc w:val="right"/>
              <w:rPr>
                <w:sz w:val="20"/>
              </w:rPr>
            </w:pPr>
            <w:r w:rsidRPr="00C2022D">
              <w:rPr>
                <w:sz w:val="20"/>
              </w:rPr>
              <w:t>30</w:t>
            </w:r>
          </w:p>
        </w:tc>
      </w:tr>
    </w:tbl>
    <w:p w14:paraId="4009D6A0" w14:textId="4D4E7B4C" w:rsidR="00C2022D" w:rsidRDefault="00EC15C5" w:rsidP="00EC15C5">
      <w:pPr>
        <w:tabs>
          <w:tab w:val="left" w:pos="142"/>
        </w:tabs>
        <w:ind w:firstLine="0"/>
        <w:rPr>
          <w:sz w:val="20"/>
        </w:rPr>
      </w:pPr>
      <w:r w:rsidRPr="00EC15C5">
        <w:rPr>
          <w:sz w:val="20"/>
        </w:rPr>
        <w:t>Legenda: %</w:t>
      </w:r>
      <w:r>
        <w:rPr>
          <w:sz w:val="20"/>
        </w:rPr>
        <w:t xml:space="preserve"> </w:t>
      </w:r>
      <w:r w:rsidRPr="00EC15C5">
        <w:rPr>
          <w:sz w:val="20"/>
        </w:rPr>
        <w:t>Evo = Percentagem de Evolução</w:t>
      </w:r>
    </w:p>
    <w:p w14:paraId="13A29EC9" w14:textId="77777777" w:rsidR="00C2022D" w:rsidRDefault="00C2022D" w:rsidP="00D933C5">
      <w:pPr>
        <w:tabs>
          <w:tab w:val="left" w:pos="142"/>
        </w:tabs>
        <w:rPr>
          <w:b/>
          <w:szCs w:val="24"/>
        </w:rPr>
      </w:pPr>
    </w:p>
    <w:p w14:paraId="588F1E6B" w14:textId="652A2A86" w:rsidR="00D933C5" w:rsidRPr="00D933C5" w:rsidRDefault="00D933C5" w:rsidP="00D933C5">
      <w:pPr>
        <w:tabs>
          <w:tab w:val="left" w:pos="142"/>
        </w:tabs>
        <w:rPr>
          <w:szCs w:val="24"/>
        </w:rPr>
      </w:pPr>
      <w:r w:rsidRPr="00D933C5">
        <w:rPr>
          <w:szCs w:val="24"/>
        </w:rPr>
        <w:t>Observa-s</w:t>
      </w:r>
      <w:r w:rsidR="00C2402F">
        <w:rPr>
          <w:szCs w:val="24"/>
        </w:rPr>
        <w:t xml:space="preserve">e </w:t>
      </w:r>
      <w:r w:rsidR="00C2402F" w:rsidRPr="00B11935">
        <w:rPr>
          <w:szCs w:val="24"/>
        </w:rPr>
        <w:t>conforme exposto na Tabela 3</w:t>
      </w:r>
      <w:r w:rsidRPr="00B11935">
        <w:rPr>
          <w:szCs w:val="24"/>
        </w:rPr>
        <w:t xml:space="preserve"> que todos os subsetores obtiveram aumento nos valores provisionados para as demandas trabalhistas, com exceção do</w:t>
      </w:r>
      <w:r w:rsidR="009973B8" w:rsidRPr="00B11935">
        <w:rPr>
          <w:szCs w:val="24"/>
        </w:rPr>
        <w:t>s</w:t>
      </w:r>
      <w:r w:rsidRPr="00B11935">
        <w:rPr>
          <w:szCs w:val="24"/>
        </w:rPr>
        <w:t xml:space="preserve"> subsetor</w:t>
      </w:r>
      <w:r w:rsidR="009973B8" w:rsidRPr="00B11935">
        <w:rPr>
          <w:szCs w:val="24"/>
        </w:rPr>
        <w:t>es de Construção e Engenharia entre 2015 e 2016 e</w:t>
      </w:r>
      <w:r w:rsidRPr="00B11935">
        <w:rPr>
          <w:szCs w:val="24"/>
        </w:rPr>
        <w:t xml:space="preserve"> Máquinas e Equipamentos </w:t>
      </w:r>
      <w:r w:rsidR="009973B8" w:rsidRPr="00B11935">
        <w:rPr>
          <w:szCs w:val="24"/>
        </w:rPr>
        <w:t>entre 2016 e 2017. Destaca-se ainda</w:t>
      </w:r>
      <w:r w:rsidRPr="00B11935">
        <w:rPr>
          <w:szCs w:val="24"/>
        </w:rPr>
        <w:t xml:space="preserve"> o subsetor de Comér</w:t>
      </w:r>
      <w:r w:rsidR="009973B8" w:rsidRPr="00B11935">
        <w:rPr>
          <w:szCs w:val="24"/>
        </w:rPr>
        <w:t>cio que entre 2016 e 2017 apontou um declínio de 92,39%, indo</w:t>
      </w:r>
      <w:r w:rsidR="00B11935" w:rsidRPr="00B11935">
        <w:rPr>
          <w:szCs w:val="24"/>
        </w:rPr>
        <w:t xml:space="preserve"> de encontro a evolução das provisões do setor, contudo</w:t>
      </w:r>
      <w:r w:rsidR="00B11935">
        <w:rPr>
          <w:szCs w:val="24"/>
        </w:rPr>
        <w:t xml:space="preserve"> o subsetor apresentou aumento no ano seguinte.</w:t>
      </w:r>
    </w:p>
    <w:p w14:paraId="058EC15F" w14:textId="77777777" w:rsidR="00D933C5" w:rsidRPr="00B11935" w:rsidRDefault="00D933C5" w:rsidP="00D933C5">
      <w:pPr>
        <w:tabs>
          <w:tab w:val="left" w:pos="142"/>
        </w:tabs>
        <w:rPr>
          <w:b/>
          <w:szCs w:val="24"/>
        </w:rPr>
      </w:pPr>
      <w:r w:rsidRPr="00D933C5">
        <w:rPr>
          <w:szCs w:val="24"/>
        </w:rPr>
        <w:t xml:space="preserve">Ambas as informações destacadas acima, são decorrentes de reversões, devido a análise e acompanhamento das ações em andamento, realizadas por especialistas de forma interna e/ou </w:t>
      </w:r>
      <w:r w:rsidRPr="00D933C5">
        <w:rPr>
          <w:szCs w:val="24"/>
        </w:rPr>
        <w:lastRenderedPageBreak/>
        <w:t xml:space="preserve">externa a companhia. Farias (2004) destaca no resultado de sua pesquisa que o âmbito trabalhista pode tornar-se bastante oneroso, uma vez que seus preceitos não dependem exclusivamente de ações da empresa, mas resultam da insatisfação de colaboradores com práticas e procedimentos adotados </w:t>
      </w:r>
      <w:r w:rsidRPr="00B11935">
        <w:rPr>
          <w:szCs w:val="24"/>
        </w:rPr>
        <w:t>em diferentes áreas da empresa. Logo essa análise continua de cada processo em andamento é essencial para que os valores provisionados sejam mensurados e reconhecidos de forma mais assertiva e fidedigna possível.</w:t>
      </w:r>
    </w:p>
    <w:p w14:paraId="509D0C76" w14:textId="4A932D2E" w:rsidR="00D933C5" w:rsidRPr="00D933C5" w:rsidRDefault="00D933C5" w:rsidP="00D933C5">
      <w:pPr>
        <w:tabs>
          <w:tab w:val="left" w:pos="142"/>
        </w:tabs>
        <w:rPr>
          <w:szCs w:val="24"/>
        </w:rPr>
      </w:pPr>
      <w:r w:rsidRPr="00B11935">
        <w:rPr>
          <w:szCs w:val="24"/>
        </w:rPr>
        <w:t xml:space="preserve">Quanto ao subsetor de Transporte este obteve </w:t>
      </w:r>
      <w:r w:rsidR="00B11935" w:rsidRPr="00B11935">
        <w:rPr>
          <w:szCs w:val="24"/>
        </w:rPr>
        <w:t>os maiores valores absolutos no setor de bens industriais</w:t>
      </w:r>
      <w:r w:rsidRPr="00B11935">
        <w:rPr>
          <w:szCs w:val="24"/>
        </w:rPr>
        <w:t xml:space="preserve">. Percebe-se que </w:t>
      </w:r>
      <w:r w:rsidR="00B11935" w:rsidRPr="00B11935">
        <w:rPr>
          <w:szCs w:val="24"/>
        </w:rPr>
        <w:t>os valores apresentados são decorrentes</w:t>
      </w:r>
      <w:r w:rsidRPr="00B11935">
        <w:rPr>
          <w:szCs w:val="24"/>
        </w:rPr>
        <w:t xml:space="preserve"> a três </w:t>
      </w:r>
      <w:r w:rsidR="00C2402F" w:rsidRPr="00B11935">
        <w:rPr>
          <w:szCs w:val="24"/>
        </w:rPr>
        <w:t xml:space="preserve">empresas </w:t>
      </w:r>
      <w:r w:rsidRPr="00B11935">
        <w:rPr>
          <w:szCs w:val="24"/>
        </w:rPr>
        <w:t xml:space="preserve">exclusivamente compreendidas no segmento de Exploração de Rodovias, na qual mesmo quando analisadas de </w:t>
      </w:r>
      <w:r w:rsidR="00B11935" w:rsidRPr="00B11935">
        <w:rPr>
          <w:szCs w:val="24"/>
        </w:rPr>
        <w:t>forma isoladas apresentaram esses valores discrepantes</w:t>
      </w:r>
      <w:r w:rsidRPr="00B11935">
        <w:rPr>
          <w:szCs w:val="24"/>
        </w:rPr>
        <w:t xml:space="preserve">, sendo estas empresas: Rod Colinas, RT Bandeiras e </w:t>
      </w:r>
      <w:proofErr w:type="spellStart"/>
      <w:r w:rsidRPr="00B11935">
        <w:rPr>
          <w:szCs w:val="24"/>
        </w:rPr>
        <w:t>Triangulosol</w:t>
      </w:r>
      <w:proofErr w:type="spellEnd"/>
      <w:r w:rsidRPr="00B11935">
        <w:rPr>
          <w:szCs w:val="24"/>
        </w:rPr>
        <w:t xml:space="preserve"> (todas</w:t>
      </w:r>
      <w:r w:rsidRPr="00D933C5">
        <w:rPr>
          <w:szCs w:val="24"/>
        </w:rPr>
        <w:t xml:space="preserve"> listadas com o nome utilizado para pregão).</w:t>
      </w:r>
    </w:p>
    <w:p w14:paraId="33F3F87D" w14:textId="141CD4D3" w:rsidR="00D933C5" w:rsidRPr="00D933C5" w:rsidRDefault="00D933C5" w:rsidP="00D933C5">
      <w:pPr>
        <w:tabs>
          <w:tab w:val="left" w:pos="142"/>
        </w:tabs>
        <w:rPr>
          <w:szCs w:val="24"/>
        </w:rPr>
      </w:pPr>
      <w:r w:rsidRPr="00D933C5">
        <w:rPr>
          <w:szCs w:val="24"/>
        </w:rPr>
        <w:t>Em uma análise mais detalhada nas Notas Explicativas das empresas pesquisadas a companhia Rod Colinas expos um breve resumo sobre as demandas trabalhistas que em sua maioria referem-se a pedidos de empregados diretos ou terceirizados, relativas a horas extras excedentes, adicional de insalubridade entre outros, no entanto notadamente esse aumento significativo verificado no período analisado foi associado as discussões decorrentes do conceito de grupo econômico ao qual a companhia passou a fazer parte.</w:t>
      </w:r>
    </w:p>
    <w:p w14:paraId="5B2403FD" w14:textId="7EDF7690" w:rsidR="008F08C1" w:rsidRDefault="00D933C5" w:rsidP="001F62FE">
      <w:pPr>
        <w:tabs>
          <w:tab w:val="left" w:pos="142"/>
        </w:tabs>
        <w:rPr>
          <w:szCs w:val="24"/>
        </w:rPr>
      </w:pPr>
      <w:r w:rsidRPr="00D933C5">
        <w:rPr>
          <w:szCs w:val="24"/>
        </w:rPr>
        <w:t xml:space="preserve">Nas Notas Explicativas das empresas RT Bandeiras e </w:t>
      </w:r>
      <w:proofErr w:type="spellStart"/>
      <w:r w:rsidRPr="00D933C5">
        <w:rPr>
          <w:szCs w:val="24"/>
        </w:rPr>
        <w:t>Triangulosol</w:t>
      </w:r>
      <w:proofErr w:type="spellEnd"/>
      <w:r w:rsidRPr="00D933C5">
        <w:rPr>
          <w:szCs w:val="24"/>
        </w:rPr>
        <w:t xml:space="preserve"> não foram especificadas as informações sobre processos judiciais em andamento para que fosse possível esclarecer tal evolução, e ambas as empresas assim como a Rod Colinas apresentaram a movimentação dos valores revertidos ou adicionados em cada exercício por meio de tabelas sem maiores informações dos critérios e bases de mensuração utilizados, bem como volume de ações em andamento. </w:t>
      </w:r>
    </w:p>
    <w:p w14:paraId="23AD49AA" w14:textId="76DAC9ED" w:rsidR="00D933C5" w:rsidRPr="00D933C5" w:rsidRDefault="00D933C5" w:rsidP="006C3B98">
      <w:pPr>
        <w:tabs>
          <w:tab w:val="left" w:pos="142"/>
        </w:tabs>
        <w:rPr>
          <w:szCs w:val="24"/>
        </w:rPr>
      </w:pPr>
      <w:r w:rsidRPr="00D933C5">
        <w:rPr>
          <w:szCs w:val="24"/>
        </w:rPr>
        <w:t xml:space="preserve">Verifica-se </w:t>
      </w:r>
      <w:r w:rsidR="001F62FE">
        <w:rPr>
          <w:szCs w:val="24"/>
        </w:rPr>
        <w:t>por fim</w:t>
      </w:r>
      <w:r w:rsidRPr="00D933C5">
        <w:rPr>
          <w:szCs w:val="24"/>
        </w:rPr>
        <w:t xml:space="preserve">, </w:t>
      </w:r>
      <w:r w:rsidR="00B11935">
        <w:rPr>
          <w:szCs w:val="24"/>
        </w:rPr>
        <w:t xml:space="preserve">conforme destacada anteriormente </w:t>
      </w:r>
      <w:r w:rsidRPr="00D933C5">
        <w:rPr>
          <w:szCs w:val="24"/>
        </w:rPr>
        <w:t>que o subsetor de Transporte é o detentor do maior volume de provisões trabalhistas, seguido de Máquinas e Equipamentos e Material de Transporte.</w:t>
      </w:r>
      <w:r w:rsidR="006C3B98">
        <w:rPr>
          <w:szCs w:val="24"/>
        </w:rPr>
        <w:t xml:space="preserve"> </w:t>
      </w:r>
      <w:r w:rsidR="001F62FE">
        <w:rPr>
          <w:szCs w:val="24"/>
        </w:rPr>
        <w:t>A Tabela 4</w:t>
      </w:r>
      <w:r w:rsidRPr="00D933C5">
        <w:rPr>
          <w:szCs w:val="24"/>
        </w:rPr>
        <w:t xml:space="preserve"> demonstra as informações quanto ao reconhecimento das Provisões do subsetor de Consumo Cíclico, seg</w:t>
      </w:r>
      <w:r w:rsidR="00B0212E">
        <w:rPr>
          <w:szCs w:val="24"/>
        </w:rPr>
        <w:t>uindo o mesmo padrão da Tabela</w:t>
      </w:r>
      <w:r w:rsidR="00B11935">
        <w:rPr>
          <w:szCs w:val="24"/>
        </w:rPr>
        <w:t xml:space="preserve"> 3</w:t>
      </w:r>
      <w:r w:rsidRPr="00D933C5">
        <w:rPr>
          <w:szCs w:val="24"/>
        </w:rPr>
        <w:t xml:space="preserve"> no qual estão apresentados os valores provisionados e o percentual evolutivo entre cada exercício.  </w:t>
      </w:r>
    </w:p>
    <w:p w14:paraId="0B390964" w14:textId="77777777" w:rsidR="00B11935" w:rsidRPr="00D933C5" w:rsidRDefault="00B11935" w:rsidP="00D933C5">
      <w:pPr>
        <w:tabs>
          <w:tab w:val="left" w:pos="142"/>
        </w:tabs>
        <w:rPr>
          <w:szCs w:val="24"/>
        </w:rPr>
      </w:pPr>
    </w:p>
    <w:p w14:paraId="7D888EBF" w14:textId="7BE23EB8" w:rsidR="003C1CDA" w:rsidRPr="00203974" w:rsidRDefault="003C1CDA" w:rsidP="003C1CDA">
      <w:pPr>
        <w:pStyle w:val="Corpodetexto"/>
        <w:spacing w:after="0"/>
        <w:ind w:firstLine="0"/>
        <w:rPr>
          <w:szCs w:val="24"/>
        </w:rPr>
      </w:pPr>
      <w:r w:rsidRPr="00203974">
        <w:rPr>
          <w:szCs w:val="24"/>
        </w:rPr>
        <w:t xml:space="preserve">Tabela </w:t>
      </w:r>
      <w:r w:rsidR="001F62FE">
        <w:rPr>
          <w:szCs w:val="24"/>
        </w:rPr>
        <w:t>4</w:t>
      </w:r>
      <w:r w:rsidRPr="00203974">
        <w:rPr>
          <w:szCs w:val="24"/>
        </w:rPr>
        <w:t xml:space="preserve">. </w:t>
      </w:r>
    </w:p>
    <w:p w14:paraId="525E6555" w14:textId="5B375D19" w:rsidR="00EC15C5" w:rsidRDefault="00D933C5" w:rsidP="00EC15C5">
      <w:pPr>
        <w:tabs>
          <w:tab w:val="left" w:pos="142"/>
        </w:tabs>
        <w:ind w:firstLine="0"/>
        <w:rPr>
          <w:sz w:val="20"/>
        </w:rPr>
      </w:pPr>
      <w:r w:rsidRPr="003C1CDA">
        <w:rPr>
          <w:b/>
          <w:szCs w:val="24"/>
        </w:rPr>
        <w:t>Percentual Evolutivo Provisões Trabalhistas – Subsetor Consumo Cíclico</w:t>
      </w:r>
    </w:p>
    <w:tbl>
      <w:tblPr>
        <w:tblW w:w="9209"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0"/>
        <w:gridCol w:w="999"/>
        <w:gridCol w:w="992"/>
        <w:gridCol w:w="851"/>
        <w:gridCol w:w="992"/>
        <w:gridCol w:w="851"/>
        <w:gridCol w:w="992"/>
        <w:gridCol w:w="992"/>
      </w:tblGrid>
      <w:tr w:rsidR="00EC15C5" w:rsidRPr="00EC15C5" w14:paraId="12F3730D" w14:textId="77777777" w:rsidTr="00C2402F">
        <w:trPr>
          <w:trHeight w:val="188"/>
        </w:trPr>
        <w:tc>
          <w:tcPr>
            <w:tcW w:w="2540" w:type="dxa"/>
            <w:shd w:val="clear" w:color="auto" w:fill="auto"/>
            <w:noWrap/>
            <w:vAlign w:val="center"/>
            <w:hideMark/>
          </w:tcPr>
          <w:p w14:paraId="0A625F19" w14:textId="77777777" w:rsidR="00EC15C5" w:rsidRPr="00EC15C5" w:rsidRDefault="00EC15C5" w:rsidP="008D0102">
            <w:pPr>
              <w:widowControl/>
              <w:suppressLineNumbers w:val="0"/>
              <w:suppressAutoHyphens w:val="0"/>
              <w:ind w:firstLine="0"/>
              <w:jc w:val="left"/>
              <w:rPr>
                <w:b/>
                <w:bCs/>
                <w:sz w:val="20"/>
              </w:rPr>
            </w:pPr>
            <w:r w:rsidRPr="00C2022D">
              <w:rPr>
                <w:b/>
                <w:bCs/>
                <w:sz w:val="20"/>
              </w:rPr>
              <w:t>SUBSETOR</w:t>
            </w:r>
          </w:p>
        </w:tc>
        <w:tc>
          <w:tcPr>
            <w:tcW w:w="999" w:type="dxa"/>
            <w:shd w:val="clear" w:color="auto" w:fill="auto"/>
            <w:noWrap/>
            <w:vAlign w:val="center"/>
            <w:hideMark/>
          </w:tcPr>
          <w:p w14:paraId="7AE7072A" w14:textId="77777777" w:rsidR="00EC15C5" w:rsidRPr="00EC15C5" w:rsidRDefault="00EC15C5" w:rsidP="008D0102">
            <w:pPr>
              <w:widowControl/>
              <w:suppressLineNumbers w:val="0"/>
              <w:suppressAutoHyphens w:val="0"/>
              <w:ind w:firstLine="0"/>
              <w:jc w:val="right"/>
              <w:rPr>
                <w:b/>
                <w:bCs/>
                <w:sz w:val="20"/>
              </w:rPr>
            </w:pPr>
            <w:r w:rsidRPr="00EC15C5">
              <w:rPr>
                <w:b/>
                <w:bCs/>
                <w:sz w:val="20"/>
              </w:rPr>
              <w:t>2015</w:t>
            </w:r>
          </w:p>
        </w:tc>
        <w:tc>
          <w:tcPr>
            <w:tcW w:w="992" w:type="dxa"/>
            <w:shd w:val="clear" w:color="auto" w:fill="auto"/>
            <w:noWrap/>
            <w:vAlign w:val="center"/>
            <w:hideMark/>
          </w:tcPr>
          <w:p w14:paraId="0C0AC23C" w14:textId="77777777" w:rsidR="00EC15C5" w:rsidRPr="00EC15C5" w:rsidRDefault="00EC15C5" w:rsidP="008D0102">
            <w:pPr>
              <w:widowControl/>
              <w:suppressLineNumbers w:val="0"/>
              <w:suppressAutoHyphens w:val="0"/>
              <w:ind w:firstLine="0"/>
              <w:jc w:val="right"/>
              <w:rPr>
                <w:b/>
                <w:bCs/>
                <w:sz w:val="20"/>
              </w:rPr>
            </w:pPr>
            <w:r w:rsidRPr="00EC15C5">
              <w:rPr>
                <w:b/>
                <w:bCs/>
                <w:sz w:val="20"/>
              </w:rPr>
              <w:t>% Evo</w:t>
            </w:r>
          </w:p>
        </w:tc>
        <w:tc>
          <w:tcPr>
            <w:tcW w:w="851" w:type="dxa"/>
            <w:shd w:val="clear" w:color="auto" w:fill="auto"/>
            <w:noWrap/>
            <w:vAlign w:val="center"/>
            <w:hideMark/>
          </w:tcPr>
          <w:p w14:paraId="13CA2189" w14:textId="77777777" w:rsidR="00EC15C5" w:rsidRPr="00EC15C5" w:rsidRDefault="00EC15C5" w:rsidP="008D0102">
            <w:pPr>
              <w:widowControl/>
              <w:suppressLineNumbers w:val="0"/>
              <w:suppressAutoHyphens w:val="0"/>
              <w:ind w:firstLine="0"/>
              <w:jc w:val="right"/>
              <w:rPr>
                <w:b/>
                <w:bCs/>
                <w:sz w:val="20"/>
              </w:rPr>
            </w:pPr>
            <w:r w:rsidRPr="00EC15C5">
              <w:rPr>
                <w:b/>
                <w:bCs/>
                <w:sz w:val="20"/>
              </w:rPr>
              <w:t>2016</w:t>
            </w:r>
          </w:p>
        </w:tc>
        <w:tc>
          <w:tcPr>
            <w:tcW w:w="992" w:type="dxa"/>
            <w:shd w:val="clear" w:color="auto" w:fill="auto"/>
            <w:noWrap/>
            <w:vAlign w:val="center"/>
            <w:hideMark/>
          </w:tcPr>
          <w:p w14:paraId="4C753EEA" w14:textId="77777777" w:rsidR="00EC15C5" w:rsidRPr="00EC15C5" w:rsidRDefault="00EC15C5" w:rsidP="008D0102">
            <w:pPr>
              <w:widowControl/>
              <w:suppressLineNumbers w:val="0"/>
              <w:suppressAutoHyphens w:val="0"/>
              <w:ind w:firstLine="0"/>
              <w:jc w:val="right"/>
              <w:rPr>
                <w:b/>
                <w:bCs/>
                <w:sz w:val="20"/>
              </w:rPr>
            </w:pPr>
            <w:r w:rsidRPr="00EC15C5">
              <w:rPr>
                <w:b/>
                <w:bCs/>
                <w:sz w:val="20"/>
              </w:rPr>
              <w:t>% Evo</w:t>
            </w:r>
          </w:p>
        </w:tc>
        <w:tc>
          <w:tcPr>
            <w:tcW w:w="851" w:type="dxa"/>
            <w:shd w:val="clear" w:color="auto" w:fill="auto"/>
            <w:noWrap/>
            <w:vAlign w:val="center"/>
            <w:hideMark/>
          </w:tcPr>
          <w:p w14:paraId="48FB6F0C" w14:textId="77777777" w:rsidR="00EC15C5" w:rsidRPr="00EC15C5" w:rsidRDefault="00EC15C5" w:rsidP="008D0102">
            <w:pPr>
              <w:widowControl/>
              <w:suppressLineNumbers w:val="0"/>
              <w:suppressAutoHyphens w:val="0"/>
              <w:ind w:firstLine="0"/>
              <w:jc w:val="right"/>
              <w:rPr>
                <w:b/>
                <w:bCs/>
                <w:sz w:val="20"/>
              </w:rPr>
            </w:pPr>
            <w:r w:rsidRPr="00EC15C5">
              <w:rPr>
                <w:b/>
                <w:bCs/>
                <w:sz w:val="20"/>
              </w:rPr>
              <w:t>2017</w:t>
            </w:r>
          </w:p>
        </w:tc>
        <w:tc>
          <w:tcPr>
            <w:tcW w:w="992" w:type="dxa"/>
            <w:shd w:val="clear" w:color="auto" w:fill="auto"/>
            <w:noWrap/>
            <w:vAlign w:val="center"/>
            <w:hideMark/>
          </w:tcPr>
          <w:p w14:paraId="70E0099B" w14:textId="77777777" w:rsidR="00EC15C5" w:rsidRPr="00EC15C5" w:rsidRDefault="00EC15C5" w:rsidP="008D0102">
            <w:pPr>
              <w:widowControl/>
              <w:suppressLineNumbers w:val="0"/>
              <w:suppressAutoHyphens w:val="0"/>
              <w:ind w:firstLine="0"/>
              <w:jc w:val="right"/>
              <w:rPr>
                <w:b/>
                <w:bCs/>
                <w:sz w:val="20"/>
              </w:rPr>
            </w:pPr>
            <w:r w:rsidRPr="00EC15C5">
              <w:rPr>
                <w:b/>
                <w:bCs/>
                <w:sz w:val="20"/>
              </w:rPr>
              <w:t>% Evo</w:t>
            </w:r>
          </w:p>
        </w:tc>
        <w:tc>
          <w:tcPr>
            <w:tcW w:w="992" w:type="dxa"/>
            <w:shd w:val="clear" w:color="auto" w:fill="auto"/>
            <w:noWrap/>
            <w:vAlign w:val="center"/>
            <w:hideMark/>
          </w:tcPr>
          <w:p w14:paraId="5DDD6EE0" w14:textId="77777777" w:rsidR="00EC15C5" w:rsidRPr="00EC15C5" w:rsidRDefault="00EC15C5" w:rsidP="008D0102">
            <w:pPr>
              <w:widowControl/>
              <w:suppressLineNumbers w:val="0"/>
              <w:suppressAutoHyphens w:val="0"/>
              <w:ind w:firstLine="0"/>
              <w:jc w:val="right"/>
              <w:rPr>
                <w:b/>
                <w:bCs/>
                <w:sz w:val="20"/>
              </w:rPr>
            </w:pPr>
            <w:r w:rsidRPr="00EC15C5">
              <w:rPr>
                <w:b/>
                <w:bCs/>
                <w:sz w:val="20"/>
              </w:rPr>
              <w:t>2018</w:t>
            </w:r>
          </w:p>
        </w:tc>
      </w:tr>
      <w:tr w:rsidR="00EC15C5" w:rsidRPr="00EC15C5" w14:paraId="0AE8F793" w14:textId="77777777" w:rsidTr="00C2402F">
        <w:trPr>
          <w:trHeight w:val="259"/>
        </w:trPr>
        <w:tc>
          <w:tcPr>
            <w:tcW w:w="2540" w:type="dxa"/>
            <w:shd w:val="clear" w:color="auto" w:fill="auto"/>
            <w:noWrap/>
            <w:vAlign w:val="center"/>
            <w:hideMark/>
          </w:tcPr>
          <w:p w14:paraId="20916DE0" w14:textId="77777777" w:rsidR="00EC15C5" w:rsidRPr="00EC15C5" w:rsidRDefault="00EC15C5" w:rsidP="008D0102">
            <w:pPr>
              <w:widowControl/>
              <w:suppressLineNumbers w:val="0"/>
              <w:suppressAutoHyphens w:val="0"/>
              <w:ind w:firstLine="0"/>
              <w:jc w:val="left"/>
              <w:rPr>
                <w:b/>
                <w:bCs/>
                <w:sz w:val="20"/>
              </w:rPr>
            </w:pPr>
            <w:r w:rsidRPr="00EC15C5">
              <w:rPr>
                <w:b/>
                <w:bCs/>
                <w:sz w:val="20"/>
              </w:rPr>
              <w:t>Construção Civil</w:t>
            </w:r>
          </w:p>
        </w:tc>
        <w:tc>
          <w:tcPr>
            <w:tcW w:w="999" w:type="dxa"/>
            <w:shd w:val="clear" w:color="auto" w:fill="auto"/>
            <w:noWrap/>
            <w:vAlign w:val="bottom"/>
            <w:hideMark/>
          </w:tcPr>
          <w:p w14:paraId="0630EE0A"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415.807 </w:t>
            </w:r>
          </w:p>
        </w:tc>
        <w:tc>
          <w:tcPr>
            <w:tcW w:w="992" w:type="dxa"/>
            <w:shd w:val="clear" w:color="auto" w:fill="auto"/>
            <w:noWrap/>
            <w:vAlign w:val="bottom"/>
            <w:hideMark/>
          </w:tcPr>
          <w:p w14:paraId="1E28A9EF" w14:textId="23667B00" w:rsidR="00EC15C5" w:rsidRPr="00EC15C5" w:rsidRDefault="0053257C" w:rsidP="008D0102">
            <w:pPr>
              <w:widowControl/>
              <w:suppressLineNumbers w:val="0"/>
              <w:suppressAutoHyphens w:val="0"/>
              <w:ind w:firstLine="0"/>
              <w:jc w:val="right"/>
              <w:rPr>
                <w:b/>
                <w:bCs/>
                <w:sz w:val="20"/>
              </w:rPr>
            </w:pPr>
            <w:r>
              <w:rPr>
                <w:b/>
                <w:bCs/>
                <w:sz w:val="20"/>
              </w:rPr>
              <w:t>0,42</w:t>
            </w:r>
            <w:r w:rsidR="00EC15C5" w:rsidRPr="00EC15C5">
              <w:rPr>
                <w:b/>
                <w:bCs/>
                <w:sz w:val="20"/>
              </w:rPr>
              <w:t>%</w:t>
            </w:r>
          </w:p>
        </w:tc>
        <w:tc>
          <w:tcPr>
            <w:tcW w:w="851" w:type="dxa"/>
            <w:shd w:val="clear" w:color="auto" w:fill="auto"/>
            <w:noWrap/>
            <w:vAlign w:val="bottom"/>
            <w:hideMark/>
          </w:tcPr>
          <w:p w14:paraId="190C076D" w14:textId="77777777" w:rsidR="00EC15C5" w:rsidRPr="00EC15C5" w:rsidRDefault="00EC15C5" w:rsidP="008D0102">
            <w:pPr>
              <w:widowControl/>
              <w:suppressLineNumbers w:val="0"/>
              <w:suppressAutoHyphens w:val="0"/>
              <w:ind w:firstLine="0"/>
              <w:jc w:val="right"/>
              <w:rPr>
                <w:sz w:val="20"/>
              </w:rPr>
            </w:pPr>
            <w:r w:rsidRPr="00EC15C5">
              <w:rPr>
                <w:sz w:val="20"/>
              </w:rPr>
              <w:t>417.548</w:t>
            </w:r>
          </w:p>
        </w:tc>
        <w:tc>
          <w:tcPr>
            <w:tcW w:w="992" w:type="dxa"/>
            <w:shd w:val="clear" w:color="auto" w:fill="auto"/>
            <w:noWrap/>
            <w:vAlign w:val="bottom"/>
            <w:hideMark/>
          </w:tcPr>
          <w:p w14:paraId="7D858CA7" w14:textId="5C5DDA8E" w:rsidR="00EC15C5" w:rsidRPr="00EC15C5" w:rsidRDefault="0053257C" w:rsidP="008D0102">
            <w:pPr>
              <w:widowControl/>
              <w:suppressLineNumbers w:val="0"/>
              <w:suppressAutoHyphens w:val="0"/>
              <w:ind w:firstLine="0"/>
              <w:jc w:val="right"/>
              <w:rPr>
                <w:b/>
                <w:bCs/>
                <w:sz w:val="20"/>
              </w:rPr>
            </w:pPr>
            <w:r>
              <w:rPr>
                <w:b/>
                <w:bCs/>
                <w:sz w:val="20"/>
              </w:rPr>
              <w:t>-9,17</w:t>
            </w:r>
            <w:r w:rsidR="00EC15C5" w:rsidRPr="00EC15C5">
              <w:rPr>
                <w:b/>
                <w:bCs/>
                <w:sz w:val="20"/>
              </w:rPr>
              <w:t>%</w:t>
            </w:r>
          </w:p>
        </w:tc>
        <w:tc>
          <w:tcPr>
            <w:tcW w:w="851" w:type="dxa"/>
            <w:shd w:val="clear" w:color="auto" w:fill="auto"/>
            <w:noWrap/>
            <w:vAlign w:val="bottom"/>
            <w:hideMark/>
          </w:tcPr>
          <w:p w14:paraId="0771DB62" w14:textId="77777777" w:rsidR="00EC15C5" w:rsidRPr="00EC15C5" w:rsidRDefault="00EC15C5" w:rsidP="008D0102">
            <w:pPr>
              <w:widowControl/>
              <w:suppressLineNumbers w:val="0"/>
              <w:suppressAutoHyphens w:val="0"/>
              <w:ind w:firstLine="0"/>
              <w:jc w:val="right"/>
              <w:rPr>
                <w:sz w:val="20"/>
              </w:rPr>
            </w:pPr>
            <w:r w:rsidRPr="00EC15C5">
              <w:rPr>
                <w:sz w:val="20"/>
              </w:rPr>
              <w:t>379.278</w:t>
            </w:r>
          </w:p>
        </w:tc>
        <w:tc>
          <w:tcPr>
            <w:tcW w:w="992" w:type="dxa"/>
            <w:shd w:val="clear" w:color="auto" w:fill="auto"/>
            <w:noWrap/>
            <w:vAlign w:val="bottom"/>
            <w:hideMark/>
          </w:tcPr>
          <w:p w14:paraId="35F9E3B1" w14:textId="78182855" w:rsidR="00EC15C5" w:rsidRPr="00EC15C5" w:rsidRDefault="0053257C" w:rsidP="008D0102">
            <w:pPr>
              <w:widowControl/>
              <w:suppressLineNumbers w:val="0"/>
              <w:suppressAutoHyphens w:val="0"/>
              <w:ind w:firstLine="0"/>
              <w:jc w:val="right"/>
              <w:rPr>
                <w:b/>
                <w:bCs/>
                <w:sz w:val="20"/>
              </w:rPr>
            </w:pPr>
            <w:r>
              <w:rPr>
                <w:b/>
                <w:bCs/>
                <w:sz w:val="20"/>
              </w:rPr>
              <w:t>-8,31</w:t>
            </w:r>
            <w:r w:rsidR="00EC15C5" w:rsidRPr="00EC15C5">
              <w:rPr>
                <w:b/>
                <w:bCs/>
                <w:sz w:val="20"/>
              </w:rPr>
              <w:t>%</w:t>
            </w:r>
          </w:p>
        </w:tc>
        <w:tc>
          <w:tcPr>
            <w:tcW w:w="992" w:type="dxa"/>
            <w:shd w:val="clear" w:color="auto" w:fill="auto"/>
            <w:noWrap/>
            <w:vAlign w:val="bottom"/>
            <w:hideMark/>
          </w:tcPr>
          <w:p w14:paraId="4EA0D3C4" w14:textId="77777777" w:rsidR="00EC15C5" w:rsidRPr="00EC15C5" w:rsidRDefault="00EC15C5" w:rsidP="008D0102">
            <w:pPr>
              <w:widowControl/>
              <w:suppressLineNumbers w:val="0"/>
              <w:suppressAutoHyphens w:val="0"/>
              <w:ind w:firstLine="0"/>
              <w:jc w:val="right"/>
              <w:rPr>
                <w:sz w:val="20"/>
              </w:rPr>
            </w:pPr>
            <w:r w:rsidRPr="00EC15C5">
              <w:rPr>
                <w:sz w:val="20"/>
              </w:rPr>
              <w:t>347.770</w:t>
            </w:r>
          </w:p>
        </w:tc>
      </w:tr>
      <w:tr w:rsidR="00EC15C5" w:rsidRPr="00EC15C5" w14:paraId="6EF89536" w14:textId="77777777" w:rsidTr="00C2402F">
        <w:trPr>
          <w:trHeight w:val="259"/>
        </w:trPr>
        <w:tc>
          <w:tcPr>
            <w:tcW w:w="2540" w:type="dxa"/>
            <w:shd w:val="clear" w:color="auto" w:fill="auto"/>
            <w:noWrap/>
            <w:vAlign w:val="center"/>
            <w:hideMark/>
          </w:tcPr>
          <w:p w14:paraId="266E6F10"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Tecidos, Vestuário e Calçados</w:t>
            </w:r>
          </w:p>
        </w:tc>
        <w:tc>
          <w:tcPr>
            <w:tcW w:w="999" w:type="dxa"/>
            <w:shd w:val="clear" w:color="auto" w:fill="auto"/>
            <w:noWrap/>
            <w:vAlign w:val="bottom"/>
            <w:hideMark/>
          </w:tcPr>
          <w:p w14:paraId="75A7762D" w14:textId="77777777" w:rsidR="00EC15C5" w:rsidRPr="00EC15C5" w:rsidRDefault="00EC15C5" w:rsidP="008D0102">
            <w:pPr>
              <w:widowControl/>
              <w:suppressLineNumbers w:val="0"/>
              <w:suppressAutoHyphens w:val="0"/>
              <w:ind w:firstLine="0"/>
              <w:jc w:val="right"/>
              <w:rPr>
                <w:sz w:val="20"/>
              </w:rPr>
            </w:pPr>
            <w:r w:rsidRPr="00EC15C5">
              <w:rPr>
                <w:sz w:val="20"/>
              </w:rPr>
              <w:t xml:space="preserve">145.666 </w:t>
            </w:r>
          </w:p>
        </w:tc>
        <w:tc>
          <w:tcPr>
            <w:tcW w:w="992" w:type="dxa"/>
            <w:shd w:val="clear" w:color="auto" w:fill="auto"/>
            <w:noWrap/>
            <w:vAlign w:val="bottom"/>
            <w:hideMark/>
          </w:tcPr>
          <w:p w14:paraId="346D937C" w14:textId="0D4874D4" w:rsidR="00EC15C5" w:rsidRPr="00EC15C5" w:rsidRDefault="0053257C" w:rsidP="008D0102">
            <w:pPr>
              <w:widowControl/>
              <w:suppressLineNumbers w:val="0"/>
              <w:suppressAutoHyphens w:val="0"/>
              <w:ind w:firstLine="0"/>
              <w:jc w:val="right"/>
              <w:rPr>
                <w:b/>
                <w:bCs/>
                <w:sz w:val="20"/>
              </w:rPr>
            </w:pPr>
            <w:r>
              <w:rPr>
                <w:b/>
                <w:bCs/>
                <w:sz w:val="20"/>
              </w:rPr>
              <w:t>-0,27</w:t>
            </w:r>
            <w:r w:rsidR="00EC15C5" w:rsidRPr="00EC15C5">
              <w:rPr>
                <w:b/>
                <w:bCs/>
                <w:sz w:val="20"/>
              </w:rPr>
              <w:t>%</w:t>
            </w:r>
          </w:p>
        </w:tc>
        <w:tc>
          <w:tcPr>
            <w:tcW w:w="851" w:type="dxa"/>
            <w:shd w:val="clear" w:color="auto" w:fill="auto"/>
            <w:noWrap/>
            <w:vAlign w:val="bottom"/>
            <w:hideMark/>
          </w:tcPr>
          <w:p w14:paraId="6ABFCEB1" w14:textId="77777777" w:rsidR="00EC15C5" w:rsidRPr="00EC15C5" w:rsidRDefault="00EC15C5" w:rsidP="008D0102">
            <w:pPr>
              <w:widowControl/>
              <w:suppressLineNumbers w:val="0"/>
              <w:suppressAutoHyphens w:val="0"/>
              <w:ind w:firstLine="0"/>
              <w:jc w:val="right"/>
              <w:rPr>
                <w:sz w:val="20"/>
              </w:rPr>
            </w:pPr>
            <w:r w:rsidRPr="00EC15C5">
              <w:rPr>
                <w:sz w:val="20"/>
              </w:rPr>
              <w:t>145.274</w:t>
            </w:r>
          </w:p>
        </w:tc>
        <w:tc>
          <w:tcPr>
            <w:tcW w:w="992" w:type="dxa"/>
            <w:shd w:val="clear" w:color="auto" w:fill="auto"/>
            <w:noWrap/>
            <w:vAlign w:val="bottom"/>
            <w:hideMark/>
          </w:tcPr>
          <w:p w14:paraId="5B69438D" w14:textId="17966290" w:rsidR="00EC15C5" w:rsidRPr="00EC15C5" w:rsidRDefault="0053257C" w:rsidP="008D0102">
            <w:pPr>
              <w:widowControl/>
              <w:suppressLineNumbers w:val="0"/>
              <w:suppressAutoHyphens w:val="0"/>
              <w:ind w:firstLine="0"/>
              <w:jc w:val="right"/>
              <w:rPr>
                <w:b/>
                <w:bCs/>
                <w:sz w:val="20"/>
              </w:rPr>
            </w:pPr>
            <w:r>
              <w:rPr>
                <w:b/>
                <w:bCs/>
                <w:sz w:val="20"/>
              </w:rPr>
              <w:t>3,94</w:t>
            </w:r>
            <w:r w:rsidR="00EC15C5" w:rsidRPr="00EC15C5">
              <w:rPr>
                <w:b/>
                <w:bCs/>
                <w:sz w:val="20"/>
              </w:rPr>
              <w:t>%</w:t>
            </w:r>
          </w:p>
        </w:tc>
        <w:tc>
          <w:tcPr>
            <w:tcW w:w="851" w:type="dxa"/>
            <w:shd w:val="clear" w:color="auto" w:fill="auto"/>
            <w:noWrap/>
            <w:vAlign w:val="bottom"/>
            <w:hideMark/>
          </w:tcPr>
          <w:p w14:paraId="70515D99" w14:textId="77777777" w:rsidR="00EC15C5" w:rsidRPr="00EC15C5" w:rsidRDefault="00EC15C5" w:rsidP="008D0102">
            <w:pPr>
              <w:widowControl/>
              <w:suppressLineNumbers w:val="0"/>
              <w:suppressAutoHyphens w:val="0"/>
              <w:ind w:firstLine="0"/>
              <w:jc w:val="right"/>
              <w:rPr>
                <w:sz w:val="20"/>
              </w:rPr>
            </w:pPr>
            <w:r w:rsidRPr="00EC15C5">
              <w:rPr>
                <w:sz w:val="20"/>
              </w:rPr>
              <w:t>151.001</w:t>
            </w:r>
          </w:p>
        </w:tc>
        <w:tc>
          <w:tcPr>
            <w:tcW w:w="992" w:type="dxa"/>
            <w:shd w:val="clear" w:color="auto" w:fill="auto"/>
            <w:noWrap/>
            <w:vAlign w:val="bottom"/>
            <w:hideMark/>
          </w:tcPr>
          <w:p w14:paraId="7C80AD91" w14:textId="3C113E4F" w:rsidR="00EC15C5" w:rsidRPr="00EC15C5" w:rsidRDefault="0053257C" w:rsidP="008D0102">
            <w:pPr>
              <w:widowControl/>
              <w:suppressLineNumbers w:val="0"/>
              <w:suppressAutoHyphens w:val="0"/>
              <w:ind w:firstLine="0"/>
              <w:jc w:val="right"/>
              <w:rPr>
                <w:b/>
                <w:bCs/>
                <w:sz w:val="20"/>
              </w:rPr>
            </w:pPr>
            <w:r>
              <w:rPr>
                <w:b/>
                <w:bCs/>
                <w:sz w:val="20"/>
              </w:rPr>
              <w:t>2,43</w:t>
            </w:r>
            <w:r w:rsidR="00EC15C5" w:rsidRPr="00EC15C5">
              <w:rPr>
                <w:b/>
                <w:bCs/>
                <w:sz w:val="20"/>
              </w:rPr>
              <w:t>%</w:t>
            </w:r>
          </w:p>
        </w:tc>
        <w:tc>
          <w:tcPr>
            <w:tcW w:w="992" w:type="dxa"/>
            <w:shd w:val="clear" w:color="auto" w:fill="auto"/>
            <w:noWrap/>
            <w:vAlign w:val="bottom"/>
            <w:hideMark/>
          </w:tcPr>
          <w:p w14:paraId="6F8F7E99" w14:textId="77777777" w:rsidR="00EC15C5" w:rsidRPr="00EC15C5" w:rsidRDefault="00EC15C5" w:rsidP="008D0102">
            <w:pPr>
              <w:widowControl/>
              <w:suppressLineNumbers w:val="0"/>
              <w:suppressAutoHyphens w:val="0"/>
              <w:ind w:firstLine="0"/>
              <w:jc w:val="right"/>
              <w:rPr>
                <w:sz w:val="20"/>
              </w:rPr>
            </w:pPr>
            <w:r w:rsidRPr="00EC15C5">
              <w:rPr>
                <w:sz w:val="20"/>
              </w:rPr>
              <w:t>154.673</w:t>
            </w:r>
          </w:p>
        </w:tc>
      </w:tr>
      <w:tr w:rsidR="00EC15C5" w:rsidRPr="00EC15C5" w14:paraId="16CF26A7" w14:textId="77777777" w:rsidTr="00C2402F">
        <w:trPr>
          <w:trHeight w:val="259"/>
        </w:trPr>
        <w:tc>
          <w:tcPr>
            <w:tcW w:w="2540" w:type="dxa"/>
            <w:shd w:val="clear" w:color="auto" w:fill="auto"/>
            <w:noWrap/>
            <w:vAlign w:val="center"/>
            <w:hideMark/>
          </w:tcPr>
          <w:p w14:paraId="51812C88"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Utilidades Domésticas</w:t>
            </w:r>
          </w:p>
        </w:tc>
        <w:tc>
          <w:tcPr>
            <w:tcW w:w="999" w:type="dxa"/>
            <w:shd w:val="clear" w:color="auto" w:fill="auto"/>
            <w:noWrap/>
            <w:vAlign w:val="bottom"/>
            <w:hideMark/>
          </w:tcPr>
          <w:p w14:paraId="6396373E"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30.706 </w:t>
            </w:r>
          </w:p>
        </w:tc>
        <w:tc>
          <w:tcPr>
            <w:tcW w:w="992" w:type="dxa"/>
            <w:shd w:val="clear" w:color="auto" w:fill="auto"/>
            <w:noWrap/>
            <w:vAlign w:val="center"/>
            <w:hideMark/>
          </w:tcPr>
          <w:p w14:paraId="14D23D90" w14:textId="0C30F8DA" w:rsidR="00EC15C5" w:rsidRPr="00EC15C5" w:rsidRDefault="0053257C" w:rsidP="008D0102">
            <w:pPr>
              <w:widowControl/>
              <w:suppressLineNumbers w:val="0"/>
              <w:suppressAutoHyphens w:val="0"/>
              <w:ind w:firstLine="0"/>
              <w:jc w:val="right"/>
              <w:rPr>
                <w:b/>
                <w:bCs/>
                <w:sz w:val="20"/>
              </w:rPr>
            </w:pPr>
            <w:r>
              <w:rPr>
                <w:b/>
                <w:bCs/>
                <w:sz w:val="20"/>
              </w:rPr>
              <w:t>38,09</w:t>
            </w:r>
            <w:r w:rsidR="00EC15C5" w:rsidRPr="00EC15C5">
              <w:rPr>
                <w:b/>
                <w:bCs/>
                <w:sz w:val="20"/>
              </w:rPr>
              <w:t>%</w:t>
            </w:r>
          </w:p>
        </w:tc>
        <w:tc>
          <w:tcPr>
            <w:tcW w:w="851" w:type="dxa"/>
            <w:shd w:val="clear" w:color="auto" w:fill="auto"/>
            <w:noWrap/>
            <w:vAlign w:val="bottom"/>
            <w:hideMark/>
          </w:tcPr>
          <w:p w14:paraId="60907056" w14:textId="77777777" w:rsidR="00EC15C5" w:rsidRPr="00EC15C5" w:rsidRDefault="00EC15C5" w:rsidP="008D0102">
            <w:pPr>
              <w:widowControl/>
              <w:suppressLineNumbers w:val="0"/>
              <w:suppressAutoHyphens w:val="0"/>
              <w:ind w:firstLine="0"/>
              <w:jc w:val="right"/>
              <w:rPr>
                <w:sz w:val="20"/>
              </w:rPr>
            </w:pPr>
            <w:r w:rsidRPr="00EC15C5">
              <w:rPr>
                <w:sz w:val="20"/>
              </w:rPr>
              <w:t>42.402</w:t>
            </w:r>
          </w:p>
        </w:tc>
        <w:tc>
          <w:tcPr>
            <w:tcW w:w="992" w:type="dxa"/>
            <w:shd w:val="clear" w:color="auto" w:fill="auto"/>
            <w:noWrap/>
            <w:vAlign w:val="center"/>
            <w:hideMark/>
          </w:tcPr>
          <w:p w14:paraId="203287D5" w14:textId="7F4FF424" w:rsidR="00EC15C5" w:rsidRPr="00EC15C5" w:rsidRDefault="0053257C" w:rsidP="008D0102">
            <w:pPr>
              <w:widowControl/>
              <w:suppressLineNumbers w:val="0"/>
              <w:suppressAutoHyphens w:val="0"/>
              <w:ind w:firstLine="0"/>
              <w:jc w:val="right"/>
              <w:rPr>
                <w:b/>
                <w:bCs/>
                <w:sz w:val="20"/>
              </w:rPr>
            </w:pPr>
            <w:r>
              <w:rPr>
                <w:b/>
                <w:bCs/>
                <w:sz w:val="20"/>
              </w:rPr>
              <w:t>21,17</w:t>
            </w:r>
            <w:r w:rsidR="00EC15C5" w:rsidRPr="00EC15C5">
              <w:rPr>
                <w:b/>
                <w:bCs/>
                <w:sz w:val="20"/>
              </w:rPr>
              <w:t>%</w:t>
            </w:r>
          </w:p>
        </w:tc>
        <w:tc>
          <w:tcPr>
            <w:tcW w:w="851" w:type="dxa"/>
            <w:shd w:val="clear" w:color="auto" w:fill="auto"/>
            <w:noWrap/>
            <w:vAlign w:val="bottom"/>
            <w:hideMark/>
          </w:tcPr>
          <w:p w14:paraId="4D91C222" w14:textId="77777777" w:rsidR="00EC15C5" w:rsidRPr="00EC15C5" w:rsidRDefault="00EC15C5" w:rsidP="008D0102">
            <w:pPr>
              <w:widowControl/>
              <w:suppressLineNumbers w:val="0"/>
              <w:suppressAutoHyphens w:val="0"/>
              <w:ind w:firstLine="0"/>
              <w:jc w:val="right"/>
              <w:rPr>
                <w:sz w:val="20"/>
              </w:rPr>
            </w:pPr>
            <w:r w:rsidRPr="00EC15C5">
              <w:rPr>
                <w:sz w:val="20"/>
              </w:rPr>
              <w:t>51.380</w:t>
            </w:r>
          </w:p>
        </w:tc>
        <w:tc>
          <w:tcPr>
            <w:tcW w:w="992" w:type="dxa"/>
            <w:shd w:val="clear" w:color="auto" w:fill="auto"/>
            <w:noWrap/>
            <w:vAlign w:val="center"/>
            <w:hideMark/>
          </w:tcPr>
          <w:p w14:paraId="6BD15E54" w14:textId="40B1DE86" w:rsidR="00EC15C5" w:rsidRPr="00EC15C5" w:rsidRDefault="0053257C" w:rsidP="008D0102">
            <w:pPr>
              <w:widowControl/>
              <w:suppressLineNumbers w:val="0"/>
              <w:suppressAutoHyphens w:val="0"/>
              <w:ind w:firstLine="0"/>
              <w:jc w:val="right"/>
              <w:rPr>
                <w:b/>
                <w:bCs/>
                <w:sz w:val="20"/>
              </w:rPr>
            </w:pPr>
            <w:r>
              <w:rPr>
                <w:b/>
                <w:bCs/>
                <w:sz w:val="20"/>
              </w:rPr>
              <w:t>-2,40</w:t>
            </w:r>
            <w:r w:rsidR="00EC15C5" w:rsidRPr="00EC15C5">
              <w:rPr>
                <w:b/>
                <w:bCs/>
                <w:sz w:val="20"/>
              </w:rPr>
              <w:t>%</w:t>
            </w:r>
          </w:p>
        </w:tc>
        <w:tc>
          <w:tcPr>
            <w:tcW w:w="992" w:type="dxa"/>
            <w:shd w:val="clear" w:color="auto" w:fill="auto"/>
            <w:noWrap/>
            <w:vAlign w:val="bottom"/>
            <w:hideMark/>
          </w:tcPr>
          <w:p w14:paraId="5A1C9D66" w14:textId="77777777" w:rsidR="00EC15C5" w:rsidRPr="00EC15C5" w:rsidRDefault="00EC15C5" w:rsidP="008D0102">
            <w:pPr>
              <w:widowControl/>
              <w:suppressLineNumbers w:val="0"/>
              <w:suppressAutoHyphens w:val="0"/>
              <w:ind w:firstLine="0"/>
              <w:jc w:val="right"/>
              <w:rPr>
                <w:sz w:val="20"/>
              </w:rPr>
            </w:pPr>
            <w:r w:rsidRPr="00EC15C5">
              <w:rPr>
                <w:sz w:val="20"/>
              </w:rPr>
              <w:t>50.146</w:t>
            </w:r>
          </w:p>
        </w:tc>
      </w:tr>
      <w:tr w:rsidR="00EC15C5" w:rsidRPr="00EC15C5" w14:paraId="50D3D236" w14:textId="77777777" w:rsidTr="00C2402F">
        <w:trPr>
          <w:trHeight w:val="259"/>
        </w:trPr>
        <w:tc>
          <w:tcPr>
            <w:tcW w:w="2540" w:type="dxa"/>
            <w:shd w:val="clear" w:color="auto" w:fill="auto"/>
            <w:noWrap/>
            <w:vAlign w:val="center"/>
            <w:hideMark/>
          </w:tcPr>
          <w:p w14:paraId="240A8AEB"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Automóveis e Motocicletas</w:t>
            </w:r>
          </w:p>
        </w:tc>
        <w:tc>
          <w:tcPr>
            <w:tcW w:w="999" w:type="dxa"/>
            <w:shd w:val="clear" w:color="auto" w:fill="auto"/>
            <w:noWrap/>
            <w:vAlign w:val="bottom"/>
            <w:hideMark/>
          </w:tcPr>
          <w:p w14:paraId="43802054"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268.344 </w:t>
            </w:r>
          </w:p>
        </w:tc>
        <w:tc>
          <w:tcPr>
            <w:tcW w:w="992" w:type="dxa"/>
            <w:shd w:val="clear" w:color="auto" w:fill="auto"/>
            <w:noWrap/>
            <w:vAlign w:val="bottom"/>
            <w:hideMark/>
          </w:tcPr>
          <w:p w14:paraId="256510E2" w14:textId="7B0EB466" w:rsidR="00EC15C5" w:rsidRPr="00EC15C5" w:rsidRDefault="0053257C" w:rsidP="008D0102">
            <w:pPr>
              <w:widowControl/>
              <w:suppressLineNumbers w:val="0"/>
              <w:suppressAutoHyphens w:val="0"/>
              <w:ind w:firstLine="0"/>
              <w:jc w:val="right"/>
              <w:rPr>
                <w:b/>
                <w:bCs/>
                <w:sz w:val="20"/>
              </w:rPr>
            </w:pPr>
            <w:r>
              <w:rPr>
                <w:b/>
                <w:bCs/>
                <w:sz w:val="20"/>
              </w:rPr>
              <w:t>23,06</w:t>
            </w:r>
            <w:r w:rsidR="00EC15C5" w:rsidRPr="00EC15C5">
              <w:rPr>
                <w:b/>
                <w:bCs/>
                <w:sz w:val="20"/>
              </w:rPr>
              <w:t>%</w:t>
            </w:r>
          </w:p>
        </w:tc>
        <w:tc>
          <w:tcPr>
            <w:tcW w:w="851" w:type="dxa"/>
            <w:shd w:val="clear" w:color="auto" w:fill="auto"/>
            <w:noWrap/>
            <w:vAlign w:val="bottom"/>
            <w:hideMark/>
          </w:tcPr>
          <w:p w14:paraId="314563D4" w14:textId="77777777" w:rsidR="00EC15C5" w:rsidRPr="00EC15C5" w:rsidRDefault="00EC15C5" w:rsidP="008D0102">
            <w:pPr>
              <w:widowControl/>
              <w:suppressLineNumbers w:val="0"/>
              <w:suppressAutoHyphens w:val="0"/>
              <w:ind w:firstLine="0"/>
              <w:jc w:val="right"/>
              <w:rPr>
                <w:sz w:val="20"/>
              </w:rPr>
            </w:pPr>
            <w:r w:rsidRPr="00EC15C5">
              <w:rPr>
                <w:sz w:val="20"/>
              </w:rPr>
              <w:t>330.227</w:t>
            </w:r>
          </w:p>
        </w:tc>
        <w:tc>
          <w:tcPr>
            <w:tcW w:w="992" w:type="dxa"/>
            <w:shd w:val="clear" w:color="auto" w:fill="auto"/>
            <w:noWrap/>
            <w:vAlign w:val="bottom"/>
            <w:hideMark/>
          </w:tcPr>
          <w:p w14:paraId="4E13788F" w14:textId="36584DC4" w:rsidR="00EC15C5" w:rsidRPr="00EC15C5" w:rsidRDefault="0053257C" w:rsidP="008D0102">
            <w:pPr>
              <w:widowControl/>
              <w:suppressLineNumbers w:val="0"/>
              <w:suppressAutoHyphens w:val="0"/>
              <w:ind w:firstLine="0"/>
              <w:jc w:val="right"/>
              <w:rPr>
                <w:b/>
                <w:bCs/>
                <w:sz w:val="20"/>
              </w:rPr>
            </w:pPr>
            <w:r>
              <w:rPr>
                <w:b/>
                <w:bCs/>
                <w:sz w:val="20"/>
              </w:rPr>
              <w:t>8,67</w:t>
            </w:r>
            <w:r w:rsidR="00EC15C5" w:rsidRPr="00EC15C5">
              <w:rPr>
                <w:b/>
                <w:bCs/>
                <w:sz w:val="20"/>
              </w:rPr>
              <w:t>%</w:t>
            </w:r>
          </w:p>
        </w:tc>
        <w:tc>
          <w:tcPr>
            <w:tcW w:w="851" w:type="dxa"/>
            <w:shd w:val="clear" w:color="auto" w:fill="auto"/>
            <w:noWrap/>
            <w:vAlign w:val="bottom"/>
            <w:hideMark/>
          </w:tcPr>
          <w:p w14:paraId="5C04D6CC" w14:textId="77777777" w:rsidR="00EC15C5" w:rsidRPr="00EC15C5" w:rsidRDefault="00EC15C5" w:rsidP="008D0102">
            <w:pPr>
              <w:widowControl/>
              <w:suppressLineNumbers w:val="0"/>
              <w:suppressAutoHyphens w:val="0"/>
              <w:ind w:firstLine="0"/>
              <w:jc w:val="right"/>
              <w:rPr>
                <w:sz w:val="20"/>
              </w:rPr>
            </w:pPr>
            <w:r w:rsidRPr="00EC15C5">
              <w:rPr>
                <w:sz w:val="20"/>
              </w:rPr>
              <w:t>358.873</w:t>
            </w:r>
          </w:p>
        </w:tc>
        <w:tc>
          <w:tcPr>
            <w:tcW w:w="992" w:type="dxa"/>
            <w:shd w:val="clear" w:color="auto" w:fill="auto"/>
            <w:noWrap/>
            <w:vAlign w:val="bottom"/>
            <w:hideMark/>
          </w:tcPr>
          <w:p w14:paraId="40B12993" w14:textId="18EFB8DE" w:rsidR="00EC15C5" w:rsidRPr="00EC15C5" w:rsidRDefault="0053257C" w:rsidP="008D0102">
            <w:pPr>
              <w:widowControl/>
              <w:suppressLineNumbers w:val="0"/>
              <w:suppressAutoHyphens w:val="0"/>
              <w:ind w:firstLine="0"/>
              <w:jc w:val="right"/>
              <w:rPr>
                <w:b/>
                <w:bCs/>
                <w:sz w:val="20"/>
              </w:rPr>
            </w:pPr>
            <w:r>
              <w:rPr>
                <w:b/>
                <w:bCs/>
                <w:sz w:val="20"/>
              </w:rPr>
              <w:t>-15,05</w:t>
            </w:r>
            <w:r w:rsidR="00EC15C5" w:rsidRPr="00EC15C5">
              <w:rPr>
                <w:b/>
                <w:bCs/>
                <w:sz w:val="20"/>
              </w:rPr>
              <w:t>%</w:t>
            </w:r>
          </w:p>
        </w:tc>
        <w:tc>
          <w:tcPr>
            <w:tcW w:w="992" w:type="dxa"/>
            <w:shd w:val="clear" w:color="auto" w:fill="auto"/>
            <w:noWrap/>
            <w:vAlign w:val="bottom"/>
            <w:hideMark/>
          </w:tcPr>
          <w:p w14:paraId="6794C198" w14:textId="77777777" w:rsidR="00EC15C5" w:rsidRPr="00EC15C5" w:rsidRDefault="00EC15C5" w:rsidP="008D0102">
            <w:pPr>
              <w:widowControl/>
              <w:suppressLineNumbers w:val="0"/>
              <w:suppressAutoHyphens w:val="0"/>
              <w:ind w:firstLine="0"/>
              <w:jc w:val="right"/>
              <w:rPr>
                <w:sz w:val="20"/>
              </w:rPr>
            </w:pPr>
            <w:r w:rsidRPr="00EC15C5">
              <w:rPr>
                <w:sz w:val="20"/>
              </w:rPr>
              <w:t>304.874</w:t>
            </w:r>
          </w:p>
        </w:tc>
      </w:tr>
      <w:tr w:rsidR="00EC15C5" w:rsidRPr="00EC15C5" w14:paraId="1C823617" w14:textId="77777777" w:rsidTr="00C2402F">
        <w:trPr>
          <w:trHeight w:val="259"/>
        </w:trPr>
        <w:tc>
          <w:tcPr>
            <w:tcW w:w="2540" w:type="dxa"/>
            <w:shd w:val="clear" w:color="auto" w:fill="auto"/>
            <w:noWrap/>
            <w:vAlign w:val="center"/>
            <w:hideMark/>
          </w:tcPr>
          <w:p w14:paraId="69345455"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Mídia</w:t>
            </w:r>
          </w:p>
        </w:tc>
        <w:tc>
          <w:tcPr>
            <w:tcW w:w="999" w:type="dxa"/>
            <w:shd w:val="clear" w:color="auto" w:fill="auto"/>
            <w:noWrap/>
            <w:vAlign w:val="bottom"/>
            <w:hideMark/>
          </w:tcPr>
          <w:p w14:paraId="17941E3E"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141 </w:t>
            </w:r>
          </w:p>
        </w:tc>
        <w:tc>
          <w:tcPr>
            <w:tcW w:w="992" w:type="dxa"/>
            <w:shd w:val="clear" w:color="auto" w:fill="auto"/>
            <w:noWrap/>
            <w:vAlign w:val="center"/>
            <w:hideMark/>
          </w:tcPr>
          <w:p w14:paraId="2858F070" w14:textId="6C5AB207" w:rsidR="00EC15C5" w:rsidRPr="00EC15C5" w:rsidRDefault="0053257C" w:rsidP="008D0102">
            <w:pPr>
              <w:widowControl/>
              <w:suppressLineNumbers w:val="0"/>
              <w:suppressAutoHyphens w:val="0"/>
              <w:ind w:firstLine="0"/>
              <w:jc w:val="right"/>
              <w:rPr>
                <w:b/>
                <w:bCs/>
                <w:sz w:val="20"/>
              </w:rPr>
            </w:pPr>
            <w:r>
              <w:rPr>
                <w:b/>
                <w:bCs/>
                <w:sz w:val="20"/>
              </w:rPr>
              <w:t>45,39</w:t>
            </w:r>
            <w:r w:rsidR="00EC15C5" w:rsidRPr="00EC15C5">
              <w:rPr>
                <w:b/>
                <w:bCs/>
                <w:sz w:val="20"/>
              </w:rPr>
              <w:t>%</w:t>
            </w:r>
          </w:p>
        </w:tc>
        <w:tc>
          <w:tcPr>
            <w:tcW w:w="851" w:type="dxa"/>
            <w:shd w:val="clear" w:color="auto" w:fill="auto"/>
            <w:noWrap/>
            <w:vAlign w:val="bottom"/>
            <w:hideMark/>
          </w:tcPr>
          <w:p w14:paraId="770CD033" w14:textId="77777777" w:rsidR="00EC15C5" w:rsidRPr="00EC15C5" w:rsidRDefault="00EC15C5" w:rsidP="008D0102">
            <w:pPr>
              <w:widowControl/>
              <w:suppressLineNumbers w:val="0"/>
              <w:suppressAutoHyphens w:val="0"/>
              <w:ind w:firstLine="0"/>
              <w:jc w:val="right"/>
              <w:rPr>
                <w:sz w:val="20"/>
              </w:rPr>
            </w:pPr>
            <w:r w:rsidRPr="00EC15C5">
              <w:rPr>
                <w:sz w:val="20"/>
              </w:rPr>
              <w:t>205</w:t>
            </w:r>
          </w:p>
        </w:tc>
        <w:tc>
          <w:tcPr>
            <w:tcW w:w="992" w:type="dxa"/>
            <w:shd w:val="clear" w:color="auto" w:fill="auto"/>
            <w:noWrap/>
            <w:vAlign w:val="center"/>
            <w:hideMark/>
          </w:tcPr>
          <w:p w14:paraId="419C3AB9" w14:textId="08D871E9" w:rsidR="00EC15C5" w:rsidRPr="00EC15C5" w:rsidRDefault="0053257C" w:rsidP="008D0102">
            <w:pPr>
              <w:widowControl/>
              <w:suppressLineNumbers w:val="0"/>
              <w:suppressAutoHyphens w:val="0"/>
              <w:ind w:firstLine="0"/>
              <w:jc w:val="right"/>
              <w:rPr>
                <w:b/>
                <w:bCs/>
                <w:sz w:val="20"/>
              </w:rPr>
            </w:pPr>
            <w:r>
              <w:rPr>
                <w:b/>
                <w:bCs/>
                <w:sz w:val="20"/>
              </w:rPr>
              <w:t>-46,34</w:t>
            </w:r>
            <w:r w:rsidR="00EC15C5" w:rsidRPr="00EC15C5">
              <w:rPr>
                <w:b/>
                <w:bCs/>
                <w:sz w:val="20"/>
              </w:rPr>
              <w:t>%</w:t>
            </w:r>
          </w:p>
        </w:tc>
        <w:tc>
          <w:tcPr>
            <w:tcW w:w="851" w:type="dxa"/>
            <w:shd w:val="clear" w:color="auto" w:fill="auto"/>
            <w:noWrap/>
            <w:vAlign w:val="bottom"/>
            <w:hideMark/>
          </w:tcPr>
          <w:p w14:paraId="2185B156" w14:textId="77777777" w:rsidR="00EC15C5" w:rsidRPr="00EC15C5" w:rsidRDefault="00EC15C5" w:rsidP="008D0102">
            <w:pPr>
              <w:widowControl/>
              <w:suppressLineNumbers w:val="0"/>
              <w:suppressAutoHyphens w:val="0"/>
              <w:ind w:firstLine="0"/>
              <w:jc w:val="right"/>
              <w:rPr>
                <w:sz w:val="20"/>
              </w:rPr>
            </w:pPr>
            <w:r w:rsidRPr="00EC15C5">
              <w:rPr>
                <w:sz w:val="20"/>
              </w:rPr>
              <w:t>110</w:t>
            </w:r>
          </w:p>
        </w:tc>
        <w:tc>
          <w:tcPr>
            <w:tcW w:w="992" w:type="dxa"/>
            <w:shd w:val="clear" w:color="auto" w:fill="auto"/>
            <w:noWrap/>
            <w:vAlign w:val="center"/>
            <w:hideMark/>
          </w:tcPr>
          <w:p w14:paraId="20F0F9D3" w14:textId="28F412A4" w:rsidR="00EC15C5" w:rsidRPr="00EC15C5" w:rsidRDefault="0053257C" w:rsidP="008D0102">
            <w:pPr>
              <w:widowControl/>
              <w:suppressLineNumbers w:val="0"/>
              <w:suppressAutoHyphens w:val="0"/>
              <w:ind w:firstLine="0"/>
              <w:jc w:val="right"/>
              <w:rPr>
                <w:b/>
                <w:bCs/>
                <w:sz w:val="20"/>
              </w:rPr>
            </w:pPr>
            <w:r>
              <w:rPr>
                <w:b/>
                <w:bCs/>
                <w:sz w:val="20"/>
              </w:rPr>
              <w:t>-30,00</w:t>
            </w:r>
            <w:r w:rsidR="00EC15C5" w:rsidRPr="00EC15C5">
              <w:rPr>
                <w:b/>
                <w:bCs/>
                <w:sz w:val="20"/>
              </w:rPr>
              <w:t>%</w:t>
            </w:r>
          </w:p>
        </w:tc>
        <w:tc>
          <w:tcPr>
            <w:tcW w:w="992" w:type="dxa"/>
            <w:shd w:val="clear" w:color="auto" w:fill="auto"/>
            <w:noWrap/>
            <w:vAlign w:val="bottom"/>
            <w:hideMark/>
          </w:tcPr>
          <w:p w14:paraId="57ACD55D" w14:textId="77777777" w:rsidR="00EC15C5" w:rsidRPr="00EC15C5" w:rsidRDefault="00EC15C5" w:rsidP="008D0102">
            <w:pPr>
              <w:widowControl/>
              <w:suppressLineNumbers w:val="0"/>
              <w:suppressAutoHyphens w:val="0"/>
              <w:ind w:firstLine="0"/>
              <w:jc w:val="right"/>
              <w:rPr>
                <w:sz w:val="20"/>
              </w:rPr>
            </w:pPr>
            <w:r w:rsidRPr="00EC15C5">
              <w:rPr>
                <w:sz w:val="20"/>
              </w:rPr>
              <w:t>77</w:t>
            </w:r>
          </w:p>
        </w:tc>
      </w:tr>
      <w:tr w:rsidR="00EC15C5" w:rsidRPr="00EC15C5" w14:paraId="3E3C3969" w14:textId="77777777" w:rsidTr="00C2402F">
        <w:trPr>
          <w:trHeight w:val="259"/>
        </w:trPr>
        <w:tc>
          <w:tcPr>
            <w:tcW w:w="2540" w:type="dxa"/>
            <w:shd w:val="clear" w:color="auto" w:fill="auto"/>
            <w:noWrap/>
            <w:vAlign w:val="center"/>
            <w:hideMark/>
          </w:tcPr>
          <w:p w14:paraId="4A61DA02"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Hotéis e Restaurantes</w:t>
            </w:r>
          </w:p>
        </w:tc>
        <w:tc>
          <w:tcPr>
            <w:tcW w:w="999" w:type="dxa"/>
            <w:shd w:val="clear" w:color="auto" w:fill="auto"/>
            <w:noWrap/>
            <w:vAlign w:val="bottom"/>
            <w:hideMark/>
          </w:tcPr>
          <w:p w14:paraId="26F56DC6"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16.198 </w:t>
            </w:r>
          </w:p>
        </w:tc>
        <w:tc>
          <w:tcPr>
            <w:tcW w:w="992" w:type="dxa"/>
            <w:shd w:val="clear" w:color="auto" w:fill="auto"/>
            <w:noWrap/>
            <w:vAlign w:val="bottom"/>
            <w:hideMark/>
          </w:tcPr>
          <w:p w14:paraId="3080FFC0" w14:textId="375A020B" w:rsidR="00EC15C5" w:rsidRPr="00EC15C5" w:rsidRDefault="0053257C" w:rsidP="008D0102">
            <w:pPr>
              <w:widowControl/>
              <w:suppressLineNumbers w:val="0"/>
              <w:suppressAutoHyphens w:val="0"/>
              <w:ind w:firstLine="0"/>
              <w:jc w:val="right"/>
              <w:rPr>
                <w:b/>
                <w:bCs/>
                <w:sz w:val="20"/>
              </w:rPr>
            </w:pPr>
            <w:r>
              <w:rPr>
                <w:b/>
                <w:bCs/>
                <w:sz w:val="20"/>
              </w:rPr>
              <w:t>78,28</w:t>
            </w:r>
            <w:r w:rsidR="00EC15C5" w:rsidRPr="00EC15C5">
              <w:rPr>
                <w:b/>
                <w:bCs/>
                <w:sz w:val="20"/>
              </w:rPr>
              <w:t>%</w:t>
            </w:r>
          </w:p>
        </w:tc>
        <w:tc>
          <w:tcPr>
            <w:tcW w:w="851" w:type="dxa"/>
            <w:shd w:val="clear" w:color="auto" w:fill="auto"/>
            <w:noWrap/>
            <w:vAlign w:val="bottom"/>
            <w:hideMark/>
          </w:tcPr>
          <w:p w14:paraId="5FE032C7" w14:textId="77777777" w:rsidR="00EC15C5" w:rsidRPr="00EC15C5" w:rsidRDefault="00EC15C5" w:rsidP="008D0102">
            <w:pPr>
              <w:widowControl/>
              <w:suppressLineNumbers w:val="0"/>
              <w:suppressAutoHyphens w:val="0"/>
              <w:ind w:firstLine="0"/>
              <w:jc w:val="right"/>
              <w:rPr>
                <w:sz w:val="20"/>
              </w:rPr>
            </w:pPr>
            <w:r w:rsidRPr="00EC15C5">
              <w:rPr>
                <w:sz w:val="20"/>
              </w:rPr>
              <w:t>28.878</w:t>
            </w:r>
          </w:p>
        </w:tc>
        <w:tc>
          <w:tcPr>
            <w:tcW w:w="992" w:type="dxa"/>
            <w:shd w:val="clear" w:color="auto" w:fill="auto"/>
            <w:noWrap/>
            <w:vAlign w:val="bottom"/>
            <w:hideMark/>
          </w:tcPr>
          <w:p w14:paraId="3708E7D1" w14:textId="4F1C72E8" w:rsidR="00EC15C5" w:rsidRPr="00EC15C5" w:rsidRDefault="0053257C" w:rsidP="008D0102">
            <w:pPr>
              <w:widowControl/>
              <w:suppressLineNumbers w:val="0"/>
              <w:suppressAutoHyphens w:val="0"/>
              <w:ind w:firstLine="0"/>
              <w:jc w:val="right"/>
              <w:rPr>
                <w:b/>
                <w:bCs/>
                <w:sz w:val="20"/>
              </w:rPr>
            </w:pPr>
            <w:r>
              <w:rPr>
                <w:b/>
                <w:bCs/>
                <w:sz w:val="20"/>
              </w:rPr>
              <w:t>-38,40</w:t>
            </w:r>
            <w:r w:rsidR="00EC15C5" w:rsidRPr="00EC15C5">
              <w:rPr>
                <w:b/>
                <w:bCs/>
                <w:sz w:val="20"/>
              </w:rPr>
              <w:t>%</w:t>
            </w:r>
          </w:p>
        </w:tc>
        <w:tc>
          <w:tcPr>
            <w:tcW w:w="851" w:type="dxa"/>
            <w:shd w:val="clear" w:color="auto" w:fill="auto"/>
            <w:noWrap/>
            <w:vAlign w:val="bottom"/>
            <w:hideMark/>
          </w:tcPr>
          <w:p w14:paraId="6BB20980" w14:textId="77777777" w:rsidR="00EC15C5" w:rsidRPr="00EC15C5" w:rsidRDefault="00EC15C5" w:rsidP="008D0102">
            <w:pPr>
              <w:widowControl/>
              <w:suppressLineNumbers w:val="0"/>
              <w:suppressAutoHyphens w:val="0"/>
              <w:ind w:firstLine="0"/>
              <w:jc w:val="right"/>
              <w:rPr>
                <w:sz w:val="20"/>
              </w:rPr>
            </w:pPr>
            <w:r w:rsidRPr="00EC15C5">
              <w:rPr>
                <w:sz w:val="20"/>
              </w:rPr>
              <w:t>17.789</w:t>
            </w:r>
          </w:p>
        </w:tc>
        <w:tc>
          <w:tcPr>
            <w:tcW w:w="992" w:type="dxa"/>
            <w:shd w:val="clear" w:color="auto" w:fill="auto"/>
            <w:noWrap/>
            <w:vAlign w:val="bottom"/>
            <w:hideMark/>
          </w:tcPr>
          <w:p w14:paraId="282365C4" w14:textId="49F29685" w:rsidR="00EC15C5" w:rsidRPr="00EC15C5" w:rsidRDefault="0053257C" w:rsidP="008D0102">
            <w:pPr>
              <w:widowControl/>
              <w:suppressLineNumbers w:val="0"/>
              <w:suppressAutoHyphens w:val="0"/>
              <w:ind w:firstLine="0"/>
              <w:jc w:val="right"/>
              <w:rPr>
                <w:b/>
                <w:bCs/>
                <w:sz w:val="20"/>
              </w:rPr>
            </w:pPr>
            <w:r>
              <w:rPr>
                <w:b/>
                <w:bCs/>
                <w:sz w:val="20"/>
              </w:rPr>
              <w:t>38,32</w:t>
            </w:r>
            <w:r w:rsidR="00EC15C5" w:rsidRPr="00EC15C5">
              <w:rPr>
                <w:b/>
                <w:bCs/>
                <w:sz w:val="20"/>
              </w:rPr>
              <w:t>%</w:t>
            </w:r>
          </w:p>
        </w:tc>
        <w:tc>
          <w:tcPr>
            <w:tcW w:w="992" w:type="dxa"/>
            <w:shd w:val="clear" w:color="auto" w:fill="auto"/>
            <w:noWrap/>
            <w:vAlign w:val="bottom"/>
            <w:hideMark/>
          </w:tcPr>
          <w:p w14:paraId="7103EA30" w14:textId="77777777" w:rsidR="00EC15C5" w:rsidRPr="00EC15C5" w:rsidRDefault="00EC15C5" w:rsidP="008D0102">
            <w:pPr>
              <w:widowControl/>
              <w:suppressLineNumbers w:val="0"/>
              <w:suppressAutoHyphens w:val="0"/>
              <w:ind w:firstLine="0"/>
              <w:jc w:val="right"/>
              <w:rPr>
                <w:sz w:val="20"/>
              </w:rPr>
            </w:pPr>
            <w:r w:rsidRPr="00EC15C5">
              <w:rPr>
                <w:sz w:val="20"/>
              </w:rPr>
              <w:t>24.606</w:t>
            </w:r>
          </w:p>
        </w:tc>
      </w:tr>
      <w:tr w:rsidR="00EC15C5" w:rsidRPr="00EC15C5" w14:paraId="10556C5D" w14:textId="77777777" w:rsidTr="00C2402F">
        <w:trPr>
          <w:trHeight w:val="259"/>
        </w:trPr>
        <w:tc>
          <w:tcPr>
            <w:tcW w:w="2540" w:type="dxa"/>
            <w:shd w:val="clear" w:color="auto" w:fill="auto"/>
            <w:noWrap/>
            <w:vAlign w:val="center"/>
            <w:hideMark/>
          </w:tcPr>
          <w:p w14:paraId="2773424B"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Viagens e Lazer</w:t>
            </w:r>
          </w:p>
        </w:tc>
        <w:tc>
          <w:tcPr>
            <w:tcW w:w="999" w:type="dxa"/>
            <w:shd w:val="clear" w:color="auto" w:fill="auto"/>
            <w:noWrap/>
            <w:vAlign w:val="bottom"/>
            <w:hideMark/>
          </w:tcPr>
          <w:p w14:paraId="0BC30639"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19.721 </w:t>
            </w:r>
          </w:p>
        </w:tc>
        <w:tc>
          <w:tcPr>
            <w:tcW w:w="992" w:type="dxa"/>
            <w:shd w:val="clear" w:color="auto" w:fill="auto"/>
            <w:noWrap/>
            <w:vAlign w:val="bottom"/>
            <w:hideMark/>
          </w:tcPr>
          <w:p w14:paraId="53D27D6A" w14:textId="7EA9EA50" w:rsidR="00EC15C5" w:rsidRPr="00EC15C5" w:rsidRDefault="0053257C" w:rsidP="008D0102">
            <w:pPr>
              <w:widowControl/>
              <w:suppressLineNumbers w:val="0"/>
              <w:suppressAutoHyphens w:val="0"/>
              <w:ind w:firstLine="0"/>
              <w:jc w:val="right"/>
              <w:rPr>
                <w:b/>
                <w:bCs/>
                <w:sz w:val="20"/>
              </w:rPr>
            </w:pPr>
            <w:r>
              <w:rPr>
                <w:b/>
                <w:bCs/>
                <w:sz w:val="20"/>
              </w:rPr>
              <w:t>12,71</w:t>
            </w:r>
            <w:r w:rsidR="00EC15C5" w:rsidRPr="00EC15C5">
              <w:rPr>
                <w:b/>
                <w:bCs/>
                <w:sz w:val="20"/>
              </w:rPr>
              <w:t>%</w:t>
            </w:r>
          </w:p>
        </w:tc>
        <w:tc>
          <w:tcPr>
            <w:tcW w:w="851" w:type="dxa"/>
            <w:shd w:val="clear" w:color="auto" w:fill="auto"/>
            <w:noWrap/>
            <w:vAlign w:val="bottom"/>
            <w:hideMark/>
          </w:tcPr>
          <w:p w14:paraId="4D223B00" w14:textId="77777777" w:rsidR="00EC15C5" w:rsidRPr="00EC15C5" w:rsidRDefault="00EC15C5" w:rsidP="008D0102">
            <w:pPr>
              <w:widowControl/>
              <w:suppressLineNumbers w:val="0"/>
              <w:suppressAutoHyphens w:val="0"/>
              <w:ind w:firstLine="0"/>
              <w:jc w:val="right"/>
              <w:rPr>
                <w:sz w:val="20"/>
              </w:rPr>
            </w:pPr>
            <w:r w:rsidRPr="00EC15C5">
              <w:rPr>
                <w:sz w:val="20"/>
              </w:rPr>
              <w:t>22.227</w:t>
            </w:r>
          </w:p>
        </w:tc>
        <w:tc>
          <w:tcPr>
            <w:tcW w:w="992" w:type="dxa"/>
            <w:shd w:val="clear" w:color="auto" w:fill="auto"/>
            <w:noWrap/>
            <w:vAlign w:val="bottom"/>
            <w:hideMark/>
          </w:tcPr>
          <w:p w14:paraId="353E53A1" w14:textId="38D878DB" w:rsidR="00EC15C5" w:rsidRPr="00EC15C5" w:rsidRDefault="0053257C" w:rsidP="008D0102">
            <w:pPr>
              <w:widowControl/>
              <w:suppressLineNumbers w:val="0"/>
              <w:suppressAutoHyphens w:val="0"/>
              <w:ind w:firstLine="0"/>
              <w:jc w:val="right"/>
              <w:rPr>
                <w:b/>
                <w:bCs/>
                <w:sz w:val="20"/>
              </w:rPr>
            </w:pPr>
            <w:r>
              <w:rPr>
                <w:b/>
                <w:bCs/>
                <w:sz w:val="20"/>
              </w:rPr>
              <w:t>36,31</w:t>
            </w:r>
            <w:r w:rsidR="00EC15C5" w:rsidRPr="00EC15C5">
              <w:rPr>
                <w:b/>
                <w:bCs/>
                <w:sz w:val="20"/>
              </w:rPr>
              <w:t>%</w:t>
            </w:r>
          </w:p>
        </w:tc>
        <w:tc>
          <w:tcPr>
            <w:tcW w:w="851" w:type="dxa"/>
            <w:shd w:val="clear" w:color="auto" w:fill="auto"/>
            <w:noWrap/>
            <w:vAlign w:val="bottom"/>
            <w:hideMark/>
          </w:tcPr>
          <w:p w14:paraId="331B1F28" w14:textId="77777777" w:rsidR="00EC15C5" w:rsidRPr="00EC15C5" w:rsidRDefault="00EC15C5" w:rsidP="008D0102">
            <w:pPr>
              <w:widowControl/>
              <w:suppressLineNumbers w:val="0"/>
              <w:suppressAutoHyphens w:val="0"/>
              <w:ind w:firstLine="0"/>
              <w:jc w:val="right"/>
              <w:rPr>
                <w:sz w:val="20"/>
              </w:rPr>
            </w:pPr>
            <w:r w:rsidRPr="00EC15C5">
              <w:rPr>
                <w:sz w:val="20"/>
              </w:rPr>
              <w:t>30.297</w:t>
            </w:r>
          </w:p>
        </w:tc>
        <w:tc>
          <w:tcPr>
            <w:tcW w:w="992" w:type="dxa"/>
            <w:shd w:val="clear" w:color="auto" w:fill="auto"/>
            <w:noWrap/>
            <w:vAlign w:val="bottom"/>
            <w:hideMark/>
          </w:tcPr>
          <w:p w14:paraId="328708F0" w14:textId="0CBED30A" w:rsidR="00EC15C5" w:rsidRPr="00EC15C5" w:rsidRDefault="0053257C" w:rsidP="008D0102">
            <w:pPr>
              <w:widowControl/>
              <w:suppressLineNumbers w:val="0"/>
              <w:suppressAutoHyphens w:val="0"/>
              <w:ind w:firstLine="0"/>
              <w:jc w:val="right"/>
              <w:rPr>
                <w:b/>
                <w:bCs/>
                <w:sz w:val="20"/>
              </w:rPr>
            </w:pPr>
            <w:r>
              <w:rPr>
                <w:b/>
                <w:bCs/>
                <w:sz w:val="20"/>
              </w:rPr>
              <w:t>36,48</w:t>
            </w:r>
            <w:r w:rsidR="00EC15C5" w:rsidRPr="00EC15C5">
              <w:rPr>
                <w:b/>
                <w:bCs/>
                <w:sz w:val="20"/>
              </w:rPr>
              <w:t>%</w:t>
            </w:r>
          </w:p>
        </w:tc>
        <w:tc>
          <w:tcPr>
            <w:tcW w:w="992" w:type="dxa"/>
            <w:shd w:val="clear" w:color="auto" w:fill="auto"/>
            <w:noWrap/>
            <w:vAlign w:val="bottom"/>
            <w:hideMark/>
          </w:tcPr>
          <w:p w14:paraId="016EBD00" w14:textId="77777777" w:rsidR="00EC15C5" w:rsidRPr="00EC15C5" w:rsidRDefault="00EC15C5" w:rsidP="008D0102">
            <w:pPr>
              <w:widowControl/>
              <w:suppressLineNumbers w:val="0"/>
              <w:suppressAutoHyphens w:val="0"/>
              <w:ind w:firstLine="0"/>
              <w:jc w:val="right"/>
              <w:rPr>
                <w:sz w:val="20"/>
              </w:rPr>
            </w:pPr>
            <w:r w:rsidRPr="00EC15C5">
              <w:rPr>
                <w:sz w:val="20"/>
              </w:rPr>
              <w:t>41.349</w:t>
            </w:r>
          </w:p>
        </w:tc>
      </w:tr>
      <w:tr w:rsidR="00EC15C5" w:rsidRPr="00EC15C5" w14:paraId="06E8D0CF" w14:textId="77777777" w:rsidTr="00C2402F">
        <w:trPr>
          <w:trHeight w:val="259"/>
        </w:trPr>
        <w:tc>
          <w:tcPr>
            <w:tcW w:w="2540" w:type="dxa"/>
            <w:shd w:val="clear" w:color="auto" w:fill="auto"/>
            <w:noWrap/>
            <w:vAlign w:val="center"/>
            <w:hideMark/>
          </w:tcPr>
          <w:p w14:paraId="382AEA94"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Diversos</w:t>
            </w:r>
          </w:p>
        </w:tc>
        <w:tc>
          <w:tcPr>
            <w:tcW w:w="999" w:type="dxa"/>
            <w:shd w:val="clear" w:color="auto" w:fill="auto"/>
            <w:noWrap/>
            <w:vAlign w:val="bottom"/>
            <w:hideMark/>
          </w:tcPr>
          <w:p w14:paraId="6175F6FC"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612.606 </w:t>
            </w:r>
          </w:p>
        </w:tc>
        <w:tc>
          <w:tcPr>
            <w:tcW w:w="992" w:type="dxa"/>
            <w:shd w:val="clear" w:color="auto" w:fill="auto"/>
            <w:noWrap/>
            <w:vAlign w:val="bottom"/>
            <w:hideMark/>
          </w:tcPr>
          <w:p w14:paraId="05910129" w14:textId="0AC7F35A" w:rsidR="00EC15C5" w:rsidRPr="00EC15C5" w:rsidRDefault="0053257C" w:rsidP="008D0102">
            <w:pPr>
              <w:widowControl/>
              <w:suppressLineNumbers w:val="0"/>
              <w:suppressAutoHyphens w:val="0"/>
              <w:ind w:firstLine="0"/>
              <w:jc w:val="right"/>
              <w:rPr>
                <w:b/>
                <w:bCs/>
                <w:sz w:val="20"/>
              </w:rPr>
            </w:pPr>
            <w:r>
              <w:rPr>
                <w:b/>
                <w:bCs/>
                <w:sz w:val="20"/>
              </w:rPr>
              <w:t>-15,64</w:t>
            </w:r>
            <w:r w:rsidR="00EC15C5" w:rsidRPr="00EC15C5">
              <w:rPr>
                <w:b/>
                <w:bCs/>
                <w:sz w:val="20"/>
              </w:rPr>
              <w:t>%</w:t>
            </w:r>
          </w:p>
        </w:tc>
        <w:tc>
          <w:tcPr>
            <w:tcW w:w="851" w:type="dxa"/>
            <w:shd w:val="clear" w:color="auto" w:fill="auto"/>
            <w:noWrap/>
            <w:vAlign w:val="bottom"/>
            <w:hideMark/>
          </w:tcPr>
          <w:p w14:paraId="26E62CAE" w14:textId="77777777" w:rsidR="00EC15C5" w:rsidRPr="00EC15C5" w:rsidRDefault="00EC15C5" w:rsidP="008D0102">
            <w:pPr>
              <w:widowControl/>
              <w:suppressLineNumbers w:val="0"/>
              <w:suppressAutoHyphens w:val="0"/>
              <w:ind w:firstLine="0"/>
              <w:jc w:val="right"/>
              <w:rPr>
                <w:sz w:val="20"/>
              </w:rPr>
            </w:pPr>
            <w:r w:rsidRPr="00EC15C5">
              <w:rPr>
                <w:sz w:val="20"/>
              </w:rPr>
              <w:t>516.774</w:t>
            </w:r>
          </w:p>
        </w:tc>
        <w:tc>
          <w:tcPr>
            <w:tcW w:w="992" w:type="dxa"/>
            <w:shd w:val="clear" w:color="auto" w:fill="auto"/>
            <w:noWrap/>
            <w:vAlign w:val="bottom"/>
            <w:hideMark/>
          </w:tcPr>
          <w:p w14:paraId="674CDE2F" w14:textId="33CF864F" w:rsidR="00EC15C5" w:rsidRPr="00EC15C5" w:rsidRDefault="0053257C" w:rsidP="008D0102">
            <w:pPr>
              <w:widowControl/>
              <w:suppressLineNumbers w:val="0"/>
              <w:suppressAutoHyphens w:val="0"/>
              <w:ind w:firstLine="0"/>
              <w:jc w:val="right"/>
              <w:rPr>
                <w:b/>
                <w:bCs/>
                <w:sz w:val="20"/>
              </w:rPr>
            </w:pPr>
            <w:r>
              <w:rPr>
                <w:b/>
                <w:bCs/>
                <w:sz w:val="20"/>
              </w:rPr>
              <w:t>-15,42</w:t>
            </w:r>
            <w:r w:rsidR="00EC15C5" w:rsidRPr="00EC15C5">
              <w:rPr>
                <w:b/>
                <w:bCs/>
                <w:sz w:val="20"/>
              </w:rPr>
              <w:t>%</w:t>
            </w:r>
          </w:p>
        </w:tc>
        <w:tc>
          <w:tcPr>
            <w:tcW w:w="851" w:type="dxa"/>
            <w:shd w:val="clear" w:color="auto" w:fill="auto"/>
            <w:noWrap/>
            <w:vAlign w:val="bottom"/>
            <w:hideMark/>
          </w:tcPr>
          <w:p w14:paraId="0AF49C26" w14:textId="77777777" w:rsidR="00EC15C5" w:rsidRPr="00EC15C5" w:rsidRDefault="00EC15C5" w:rsidP="008D0102">
            <w:pPr>
              <w:widowControl/>
              <w:suppressLineNumbers w:val="0"/>
              <w:suppressAutoHyphens w:val="0"/>
              <w:ind w:firstLine="0"/>
              <w:jc w:val="right"/>
              <w:rPr>
                <w:sz w:val="20"/>
              </w:rPr>
            </w:pPr>
            <w:r w:rsidRPr="00EC15C5">
              <w:rPr>
                <w:sz w:val="20"/>
              </w:rPr>
              <w:t>437.102</w:t>
            </w:r>
          </w:p>
        </w:tc>
        <w:tc>
          <w:tcPr>
            <w:tcW w:w="992" w:type="dxa"/>
            <w:shd w:val="clear" w:color="auto" w:fill="auto"/>
            <w:noWrap/>
            <w:vAlign w:val="bottom"/>
            <w:hideMark/>
          </w:tcPr>
          <w:p w14:paraId="651726EF" w14:textId="5A272433" w:rsidR="00EC15C5" w:rsidRPr="00EC15C5" w:rsidRDefault="0053257C" w:rsidP="008D0102">
            <w:pPr>
              <w:widowControl/>
              <w:suppressLineNumbers w:val="0"/>
              <w:suppressAutoHyphens w:val="0"/>
              <w:ind w:firstLine="0"/>
              <w:jc w:val="right"/>
              <w:rPr>
                <w:b/>
                <w:bCs/>
                <w:sz w:val="20"/>
              </w:rPr>
            </w:pPr>
            <w:r>
              <w:rPr>
                <w:b/>
                <w:bCs/>
                <w:sz w:val="20"/>
              </w:rPr>
              <w:t>-6,59</w:t>
            </w:r>
            <w:r w:rsidR="00EC15C5" w:rsidRPr="00EC15C5">
              <w:rPr>
                <w:b/>
                <w:bCs/>
                <w:sz w:val="20"/>
              </w:rPr>
              <w:t>%</w:t>
            </w:r>
          </w:p>
        </w:tc>
        <w:tc>
          <w:tcPr>
            <w:tcW w:w="992" w:type="dxa"/>
            <w:shd w:val="clear" w:color="auto" w:fill="auto"/>
            <w:noWrap/>
            <w:vAlign w:val="bottom"/>
            <w:hideMark/>
          </w:tcPr>
          <w:p w14:paraId="443D8374" w14:textId="77777777" w:rsidR="00EC15C5" w:rsidRPr="00EC15C5" w:rsidRDefault="00EC15C5" w:rsidP="008D0102">
            <w:pPr>
              <w:widowControl/>
              <w:suppressLineNumbers w:val="0"/>
              <w:suppressAutoHyphens w:val="0"/>
              <w:ind w:firstLine="0"/>
              <w:jc w:val="right"/>
              <w:rPr>
                <w:sz w:val="20"/>
              </w:rPr>
            </w:pPr>
            <w:r w:rsidRPr="00EC15C5">
              <w:rPr>
                <w:sz w:val="20"/>
              </w:rPr>
              <w:t>408.279</w:t>
            </w:r>
          </w:p>
        </w:tc>
      </w:tr>
      <w:tr w:rsidR="00EC15C5" w:rsidRPr="00EC15C5" w14:paraId="339B7A6E" w14:textId="77777777" w:rsidTr="00C2402F">
        <w:trPr>
          <w:trHeight w:val="259"/>
        </w:trPr>
        <w:tc>
          <w:tcPr>
            <w:tcW w:w="2540" w:type="dxa"/>
            <w:shd w:val="clear" w:color="auto" w:fill="auto"/>
            <w:noWrap/>
            <w:vAlign w:val="center"/>
            <w:hideMark/>
          </w:tcPr>
          <w:p w14:paraId="2C9F5C9B" w14:textId="77777777" w:rsidR="00EC15C5" w:rsidRPr="00EC15C5" w:rsidRDefault="00EC15C5" w:rsidP="008D0102">
            <w:pPr>
              <w:widowControl/>
              <w:suppressLineNumbers w:val="0"/>
              <w:suppressAutoHyphens w:val="0"/>
              <w:ind w:firstLine="0"/>
              <w:jc w:val="left"/>
              <w:rPr>
                <w:b/>
                <w:bCs/>
                <w:color w:val="000000"/>
                <w:sz w:val="20"/>
              </w:rPr>
            </w:pPr>
            <w:r w:rsidRPr="00EC15C5">
              <w:rPr>
                <w:b/>
                <w:bCs/>
                <w:color w:val="000000"/>
                <w:sz w:val="20"/>
              </w:rPr>
              <w:t>Comércio</w:t>
            </w:r>
          </w:p>
        </w:tc>
        <w:tc>
          <w:tcPr>
            <w:tcW w:w="999" w:type="dxa"/>
            <w:shd w:val="clear" w:color="auto" w:fill="auto"/>
            <w:noWrap/>
            <w:vAlign w:val="bottom"/>
            <w:hideMark/>
          </w:tcPr>
          <w:p w14:paraId="78B0841E" w14:textId="77777777" w:rsidR="00EC15C5" w:rsidRPr="00EC15C5" w:rsidRDefault="00EC15C5" w:rsidP="008D0102">
            <w:pPr>
              <w:widowControl/>
              <w:suppressLineNumbers w:val="0"/>
              <w:suppressAutoHyphens w:val="0"/>
              <w:ind w:firstLine="0"/>
              <w:jc w:val="right"/>
              <w:rPr>
                <w:sz w:val="20"/>
              </w:rPr>
            </w:pPr>
            <w:r>
              <w:rPr>
                <w:sz w:val="20"/>
              </w:rPr>
              <w:t xml:space="preserve">    </w:t>
            </w:r>
            <w:r w:rsidRPr="00EC15C5">
              <w:rPr>
                <w:sz w:val="20"/>
              </w:rPr>
              <w:t xml:space="preserve">395.273 </w:t>
            </w:r>
          </w:p>
        </w:tc>
        <w:tc>
          <w:tcPr>
            <w:tcW w:w="992" w:type="dxa"/>
            <w:shd w:val="clear" w:color="auto" w:fill="auto"/>
            <w:noWrap/>
            <w:vAlign w:val="bottom"/>
            <w:hideMark/>
          </w:tcPr>
          <w:p w14:paraId="26C95CA0" w14:textId="060E97A5" w:rsidR="00EC15C5" w:rsidRPr="00EC15C5" w:rsidRDefault="0053257C" w:rsidP="008D0102">
            <w:pPr>
              <w:widowControl/>
              <w:suppressLineNumbers w:val="0"/>
              <w:suppressAutoHyphens w:val="0"/>
              <w:ind w:firstLine="0"/>
              <w:jc w:val="right"/>
              <w:rPr>
                <w:b/>
                <w:bCs/>
                <w:sz w:val="20"/>
              </w:rPr>
            </w:pPr>
            <w:r>
              <w:rPr>
                <w:b/>
                <w:bCs/>
                <w:sz w:val="20"/>
              </w:rPr>
              <w:t>-16,81</w:t>
            </w:r>
            <w:r w:rsidR="00EC15C5" w:rsidRPr="00EC15C5">
              <w:rPr>
                <w:b/>
                <w:bCs/>
                <w:sz w:val="20"/>
              </w:rPr>
              <w:t>%</w:t>
            </w:r>
          </w:p>
        </w:tc>
        <w:tc>
          <w:tcPr>
            <w:tcW w:w="851" w:type="dxa"/>
            <w:shd w:val="clear" w:color="auto" w:fill="auto"/>
            <w:noWrap/>
            <w:vAlign w:val="bottom"/>
            <w:hideMark/>
          </w:tcPr>
          <w:p w14:paraId="15F324FE" w14:textId="77777777" w:rsidR="00EC15C5" w:rsidRPr="00EC15C5" w:rsidRDefault="00EC15C5" w:rsidP="008D0102">
            <w:pPr>
              <w:widowControl/>
              <w:suppressLineNumbers w:val="0"/>
              <w:suppressAutoHyphens w:val="0"/>
              <w:ind w:firstLine="0"/>
              <w:jc w:val="right"/>
              <w:rPr>
                <w:sz w:val="20"/>
              </w:rPr>
            </w:pPr>
            <w:r w:rsidRPr="00EC15C5">
              <w:rPr>
                <w:sz w:val="20"/>
              </w:rPr>
              <w:t>328.827</w:t>
            </w:r>
          </w:p>
        </w:tc>
        <w:tc>
          <w:tcPr>
            <w:tcW w:w="992" w:type="dxa"/>
            <w:shd w:val="clear" w:color="auto" w:fill="auto"/>
            <w:noWrap/>
            <w:vAlign w:val="bottom"/>
            <w:hideMark/>
          </w:tcPr>
          <w:p w14:paraId="2BDEE6F6" w14:textId="34CD6E50" w:rsidR="00EC15C5" w:rsidRPr="00EC15C5" w:rsidRDefault="0053257C" w:rsidP="008D0102">
            <w:pPr>
              <w:widowControl/>
              <w:suppressLineNumbers w:val="0"/>
              <w:suppressAutoHyphens w:val="0"/>
              <w:ind w:firstLine="0"/>
              <w:jc w:val="right"/>
              <w:rPr>
                <w:b/>
                <w:bCs/>
                <w:sz w:val="20"/>
              </w:rPr>
            </w:pPr>
            <w:r>
              <w:rPr>
                <w:b/>
                <w:bCs/>
                <w:sz w:val="20"/>
              </w:rPr>
              <w:t>6,20</w:t>
            </w:r>
            <w:r w:rsidR="00EC15C5" w:rsidRPr="00EC15C5">
              <w:rPr>
                <w:b/>
                <w:bCs/>
                <w:sz w:val="20"/>
              </w:rPr>
              <w:t>%</w:t>
            </w:r>
          </w:p>
        </w:tc>
        <w:tc>
          <w:tcPr>
            <w:tcW w:w="851" w:type="dxa"/>
            <w:shd w:val="clear" w:color="auto" w:fill="auto"/>
            <w:noWrap/>
            <w:vAlign w:val="bottom"/>
            <w:hideMark/>
          </w:tcPr>
          <w:p w14:paraId="214F382C" w14:textId="77777777" w:rsidR="00EC15C5" w:rsidRPr="00EC15C5" w:rsidRDefault="00EC15C5" w:rsidP="008D0102">
            <w:pPr>
              <w:widowControl/>
              <w:suppressLineNumbers w:val="0"/>
              <w:suppressAutoHyphens w:val="0"/>
              <w:ind w:firstLine="0"/>
              <w:jc w:val="right"/>
              <w:rPr>
                <w:sz w:val="20"/>
              </w:rPr>
            </w:pPr>
            <w:r w:rsidRPr="00EC15C5">
              <w:rPr>
                <w:sz w:val="20"/>
              </w:rPr>
              <w:t>349.208</w:t>
            </w:r>
          </w:p>
        </w:tc>
        <w:tc>
          <w:tcPr>
            <w:tcW w:w="992" w:type="dxa"/>
            <w:shd w:val="clear" w:color="auto" w:fill="auto"/>
            <w:noWrap/>
            <w:vAlign w:val="bottom"/>
            <w:hideMark/>
          </w:tcPr>
          <w:p w14:paraId="772AAA6D" w14:textId="53219B1C" w:rsidR="00EC15C5" w:rsidRPr="00EC15C5" w:rsidRDefault="0053257C" w:rsidP="008D0102">
            <w:pPr>
              <w:widowControl/>
              <w:suppressLineNumbers w:val="0"/>
              <w:suppressAutoHyphens w:val="0"/>
              <w:ind w:firstLine="0"/>
              <w:jc w:val="right"/>
              <w:rPr>
                <w:b/>
                <w:bCs/>
                <w:sz w:val="20"/>
              </w:rPr>
            </w:pPr>
            <w:r>
              <w:rPr>
                <w:b/>
                <w:bCs/>
                <w:sz w:val="20"/>
              </w:rPr>
              <w:t>-10,49</w:t>
            </w:r>
            <w:r w:rsidR="00EC15C5" w:rsidRPr="00EC15C5">
              <w:rPr>
                <w:b/>
                <w:bCs/>
                <w:sz w:val="20"/>
              </w:rPr>
              <w:t>%</w:t>
            </w:r>
          </w:p>
        </w:tc>
        <w:tc>
          <w:tcPr>
            <w:tcW w:w="992" w:type="dxa"/>
            <w:shd w:val="clear" w:color="auto" w:fill="auto"/>
            <w:noWrap/>
            <w:vAlign w:val="bottom"/>
            <w:hideMark/>
          </w:tcPr>
          <w:p w14:paraId="3AD90B83" w14:textId="77777777" w:rsidR="00EC15C5" w:rsidRPr="00EC15C5" w:rsidRDefault="00EC15C5" w:rsidP="008D0102">
            <w:pPr>
              <w:widowControl/>
              <w:suppressLineNumbers w:val="0"/>
              <w:suppressAutoHyphens w:val="0"/>
              <w:ind w:firstLine="0"/>
              <w:jc w:val="right"/>
              <w:rPr>
                <w:sz w:val="20"/>
              </w:rPr>
            </w:pPr>
            <w:r w:rsidRPr="00EC15C5">
              <w:rPr>
                <w:sz w:val="20"/>
              </w:rPr>
              <w:t>312.564</w:t>
            </w:r>
          </w:p>
        </w:tc>
      </w:tr>
    </w:tbl>
    <w:p w14:paraId="6EB49FA1" w14:textId="77777777" w:rsidR="00EC15C5" w:rsidRPr="00EC15C5" w:rsidRDefault="00EC15C5" w:rsidP="00EC15C5">
      <w:pPr>
        <w:tabs>
          <w:tab w:val="left" w:pos="142"/>
        </w:tabs>
        <w:ind w:firstLine="0"/>
        <w:rPr>
          <w:sz w:val="20"/>
        </w:rPr>
      </w:pPr>
      <w:r w:rsidRPr="00EC15C5">
        <w:rPr>
          <w:sz w:val="20"/>
        </w:rPr>
        <w:t>Legenda: %</w:t>
      </w:r>
      <w:r>
        <w:rPr>
          <w:sz w:val="20"/>
        </w:rPr>
        <w:t xml:space="preserve"> </w:t>
      </w:r>
      <w:r w:rsidRPr="00EC15C5">
        <w:rPr>
          <w:sz w:val="20"/>
        </w:rPr>
        <w:t>Evo = Percentagem de Evolução</w:t>
      </w:r>
    </w:p>
    <w:p w14:paraId="4E1AADE1" w14:textId="77777777" w:rsidR="00D933C5" w:rsidRDefault="00D933C5" w:rsidP="00D933C5">
      <w:pPr>
        <w:tabs>
          <w:tab w:val="left" w:pos="142"/>
        </w:tabs>
        <w:rPr>
          <w:szCs w:val="24"/>
        </w:rPr>
      </w:pPr>
    </w:p>
    <w:p w14:paraId="708D688D" w14:textId="487A78A3" w:rsidR="00D933C5" w:rsidRPr="00D933C5" w:rsidRDefault="00D933C5" w:rsidP="00D933C5">
      <w:pPr>
        <w:tabs>
          <w:tab w:val="left" w:pos="142"/>
        </w:tabs>
        <w:rPr>
          <w:szCs w:val="24"/>
        </w:rPr>
      </w:pPr>
      <w:r w:rsidRPr="00D933C5">
        <w:rPr>
          <w:szCs w:val="24"/>
        </w:rPr>
        <w:t xml:space="preserve">De forma contrária ao observado no subsetor de Bens Industriais, neste subsetor </w:t>
      </w:r>
      <w:r w:rsidR="00B11935">
        <w:rPr>
          <w:szCs w:val="24"/>
        </w:rPr>
        <w:t xml:space="preserve">houveram maiores quedas nos </w:t>
      </w:r>
      <w:r w:rsidRPr="00D933C5">
        <w:rPr>
          <w:szCs w:val="24"/>
        </w:rPr>
        <w:t>valores reconhecidos como Provisões Trabalhistas no que compete ao período analisado, sendo identificado inclusive essa diminuição nos montantes provisionados com maior declínio entre os exercícios de 2017 e 2018.</w:t>
      </w:r>
    </w:p>
    <w:p w14:paraId="638B541A" w14:textId="62A28165" w:rsidR="00D933C5" w:rsidRPr="00D933C5" w:rsidRDefault="00B11935" w:rsidP="00B11935">
      <w:pPr>
        <w:tabs>
          <w:tab w:val="left" w:pos="142"/>
        </w:tabs>
        <w:rPr>
          <w:szCs w:val="24"/>
        </w:rPr>
      </w:pPr>
      <w:r>
        <w:rPr>
          <w:szCs w:val="24"/>
        </w:rPr>
        <w:t>O</w:t>
      </w:r>
      <w:r w:rsidR="00D933C5" w:rsidRPr="00D933C5">
        <w:rPr>
          <w:szCs w:val="24"/>
        </w:rPr>
        <w:t xml:space="preserve"> seguimento de Construção Civil que entre 2</w:t>
      </w:r>
      <w:r>
        <w:rPr>
          <w:szCs w:val="24"/>
        </w:rPr>
        <w:t>016 a 2018 apresentou uma queda nos valores provisionados</w:t>
      </w:r>
      <w:r w:rsidR="00D933C5" w:rsidRPr="00D933C5">
        <w:rPr>
          <w:szCs w:val="24"/>
        </w:rPr>
        <w:t>, na análise</w:t>
      </w:r>
      <w:r>
        <w:rPr>
          <w:szCs w:val="24"/>
        </w:rPr>
        <w:t xml:space="preserve"> individual das empresa encontrou um dado discrepante</w:t>
      </w:r>
      <w:r w:rsidR="00D933C5" w:rsidRPr="00D933C5">
        <w:rPr>
          <w:szCs w:val="24"/>
        </w:rPr>
        <w:t xml:space="preserve"> a companhia </w:t>
      </w:r>
      <w:proofErr w:type="spellStart"/>
      <w:r w:rsidR="00D933C5" w:rsidRPr="00D933C5">
        <w:rPr>
          <w:szCs w:val="24"/>
        </w:rPr>
        <w:t>Helbor</w:t>
      </w:r>
      <w:proofErr w:type="spellEnd"/>
      <w:r w:rsidR="00D933C5" w:rsidRPr="00D933C5">
        <w:rPr>
          <w:szCs w:val="24"/>
        </w:rPr>
        <w:t xml:space="preserve"> que de </w:t>
      </w:r>
      <w:r>
        <w:rPr>
          <w:szCs w:val="24"/>
        </w:rPr>
        <w:t xml:space="preserve">forma isolada obteve um aumento no período relacionado. </w:t>
      </w:r>
      <w:r w:rsidR="00D933C5" w:rsidRPr="00D933C5">
        <w:rPr>
          <w:szCs w:val="24"/>
        </w:rPr>
        <w:t>Ao verificar a nota explicativa da companhia foi identificado que conforme divulgado pela administração as demandas judiciais são acompanhadas e analisadas por assessores jurídicos que constituem provisões para as perdas prováveis de ações ainda em curso, ao qual destacam que essa reversão adicionada é decorrente de ações do curso normal dos negócios, no entanto,  a ausência de maiores informações sobre as ações detentoras de maior relevância ao ponto de justificar o julgamento para o aumento das Provisões constituídas dificultaram a análise.</w:t>
      </w:r>
    </w:p>
    <w:p w14:paraId="73265AF5" w14:textId="4113EDF3" w:rsidR="00D933C5" w:rsidRPr="00AE6424" w:rsidRDefault="00D933C5" w:rsidP="00D933C5">
      <w:pPr>
        <w:tabs>
          <w:tab w:val="left" w:pos="142"/>
        </w:tabs>
        <w:rPr>
          <w:szCs w:val="24"/>
        </w:rPr>
      </w:pPr>
      <w:r w:rsidRPr="00D933C5">
        <w:rPr>
          <w:szCs w:val="24"/>
        </w:rPr>
        <w:t>Seguindo o mesmo padrão outros dois subsetores que demonstraram nível significativo de evolução foram Viagens e Lazer que</w:t>
      </w:r>
      <w:r w:rsidR="003331B1">
        <w:rPr>
          <w:szCs w:val="24"/>
        </w:rPr>
        <w:t xml:space="preserve"> apresentaram aumento nos valores provisionados de 36% em dois períodos seguidos </w:t>
      </w:r>
      <w:r w:rsidRPr="00D933C5">
        <w:rPr>
          <w:szCs w:val="24"/>
        </w:rPr>
        <w:t xml:space="preserve">e </w:t>
      </w:r>
      <w:r w:rsidRPr="00AE6424">
        <w:rPr>
          <w:szCs w:val="24"/>
        </w:rPr>
        <w:t xml:space="preserve">Diversos subsetor que compreende os segmentos de Serviços Educacionais, Aluguel de Carros e Programa de Fidelização, o qual apresentou </w:t>
      </w:r>
      <w:r w:rsidR="003331B1" w:rsidRPr="00AE6424">
        <w:rPr>
          <w:szCs w:val="24"/>
        </w:rPr>
        <w:t>queda nos valores provisionados em todos os per</w:t>
      </w:r>
      <w:r w:rsidR="00912088" w:rsidRPr="00AE6424">
        <w:rPr>
          <w:szCs w:val="24"/>
        </w:rPr>
        <w:t>íodos analisados</w:t>
      </w:r>
      <w:r w:rsidRPr="00AE6424">
        <w:rPr>
          <w:szCs w:val="24"/>
        </w:rPr>
        <w:t xml:space="preserve">. </w:t>
      </w:r>
    </w:p>
    <w:p w14:paraId="217C7054" w14:textId="3FFB007D" w:rsidR="00D933C5" w:rsidRPr="00AE6424" w:rsidRDefault="00D933C5" w:rsidP="00D933C5">
      <w:pPr>
        <w:tabs>
          <w:tab w:val="left" w:pos="142"/>
        </w:tabs>
        <w:rPr>
          <w:szCs w:val="24"/>
        </w:rPr>
      </w:pPr>
      <w:r w:rsidRPr="00AE6424">
        <w:rPr>
          <w:szCs w:val="24"/>
        </w:rPr>
        <w:t>Ao analisar de forma singular identificou-se que no segmento de Viagens e Lazer assim como em Construção Civil, o destaque</w:t>
      </w:r>
      <w:r w:rsidR="00912088" w:rsidRPr="00AE6424">
        <w:rPr>
          <w:szCs w:val="24"/>
        </w:rPr>
        <w:t xml:space="preserve"> de uma das empresas vai de encontro com os números encontrados para o subsetor,</w:t>
      </w:r>
      <w:r w:rsidRPr="00AE6424">
        <w:rPr>
          <w:szCs w:val="24"/>
        </w:rPr>
        <w:t xml:space="preserve"> neste caso a Tectoy que no exerc</w:t>
      </w:r>
      <w:r w:rsidR="00912088" w:rsidRPr="00AE6424">
        <w:rPr>
          <w:szCs w:val="24"/>
        </w:rPr>
        <w:t xml:space="preserve">ício findo em 2016 apresentou </w:t>
      </w:r>
      <w:r w:rsidRPr="00AE6424">
        <w:rPr>
          <w:szCs w:val="24"/>
        </w:rPr>
        <w:t xml:space="preserve"> aumento em suas notas explicativas</w:t>
      </w:r>
      <w:r w:rsidR="00912088" w:rsidRPr="00AE6424">
        <w:rPr>
          <w:szCs w:val="24"/>
        </w:rPr>
        <w:t>, contudo</w:t>
      </w:r>
      <w:r w:rsidRPr="00AE6424">
        <w:rPr>
          <w:szCs w:val="24"/>
        </w:rPr>
        <w:t xml:space="preserve"> não existe qualquer menção há informações para embasar esta oscilação significativa, a companhia Tectoy divulgou por meio de tabela a movimentação dos valores de Provisões com os respectivos saldos iniciais e finais incluindo as adições e reversões do período.</w:t>
      </w:r>
    </w:p>
    <w:p w14:paraId="35F3A626" w14:textId="4590EC74" w:rsidR="001F62FE" w:rsidRDefault="00D933C5" w:rsidP="00D933C5">
      <w:pPr>
        <w:tabs>
          <w:tab w:val="left" w:pos="142"/>
        </w:tabs>
        <w:rPr>
          <w:szCs w:val="24"/>
        </w:rPr>
      </w:pPr>
      <w:r w:rsidRPr="00AE6424">
        <w:rPr>
          <w:szCs w:val="24"/>
        </w:rPr>
        <w:t>No subsetor Diversos a relevância foi constatada no segmento Aluguel de Carros onde a empresa Movida apres</w:t>
      </w:r>
      <w:r w:rsidR="00AE6424" w:rsidRPr="00AE6424">
        <w:rPr>
          <w:szCs w:val="24"/>
        </w:rPr>
        <w:t xml:space="preserve">entou entre 2015 e 2016 </w:t>
      </w:r>
      <w:r w:rsidRPr="00AE6424">
        <w:rPr>
          <w:szCs w:val="24"/>
        </w:rPr>
        <w:t>aumento nos valores provisionados, no exposto em suas notas explicativas a companhia destaca a quantidade de processos judiciais trabalhistas em curso que passou de 14 no ano de 2015 para o total de 158 em 2016, nos demais exercícios não há informações acerca das ações em andamento.</w:t>
      </w:r>
    </w:p>
    <w:p w14:paraId="1B4FB33E" w14:textId="6EE31C62" w:rsidR="00D933C5" w:rsidRPr="00D933C5" w:rsidRDefault="00D933C5" w:rsidP="00D933C5">
      <w:pPr>
        <w:tabs>
          <w:tab w:val="left" w:pos="142"/>
        </w:tabs>
        <w:rPr>
          <w:szCs w:val="24"/>
        </w:rPr>
      </w:pPr>
      <w:r w:rsidRPr="00D933C5">
        <w:rPr>
          <w:szCs w:val="24"/>
        </w:rPr>
        <w:t>N</w:t>
      </w:r>
      <w:r w:rsidR="001F62FE">
        <w:rPr>
          <w:szCs w:val="24"/>
        </w:rPr>
        <w:t>ota-se</w:t>
      </w:r>
      <w:r w:rsidRPr="00D933C5">
        <w:rPr>
          <w:szCs w:val="24"/>
        </w:rPr>
        <w:t xml:space="preserve">, que apesar dos casos isolados destacados anteriormente, ao qual foram identificados uma evolução considerável em certas companhias, o subsetor de Consumo Cíclico </w:t>
      </w:r>
      <w:r w:rsidR="001F62FE">
        <w:rPr>
          <w:szCs w:val="24"/>
        </w:rPr>
        <w:t xml:space="preserve">não </w:t>
      </w:r>
      <w:r w:rsidRPr="00D933C5">
        <w:rPr>
          <w:szCs w:val="24"/>
        </w:rPr>
        <w:t xml:space="preserve">apresentou </w:t>
      </w:r>
      <w:r w:rsidR="001F62FE">
        <w:rPr>
          <w:szCs w:val="24"/>
        </w:rPr>
        <w:t xml:space="preserve">uniformidade para os valores de </w:t>
      </w:r>
      <w:r w:rsidRPr="00D933C5">
        <w:rPr>
          <w:szCs w:val="24"/>
        </w:rPr>
        <w:t>r</w:t>
      </w:r>
      <w:r w:rsidR="001F62FE">
        <w:rPr>
          <w:szCs w:val="24"/>
        </w:rPr>
        <w:t>econhecimento de Provisões, apresentando discrepâncias entre os setores quanto as</w:t>
      </w:r>
      <w:r w:rsidRPr="00D933C5">
        <w:rPr>
          <w:szCs w:val="24"/>
        </w:rPr>
        <w:t xml:space="preserve"> estimativa</w:t>
      </w:r>
      <w:r w:rsidR="001F62FE">
        <w:rPr>
          <w:szCs w:val="24"/>
        </w:rPr>
        <w:t>s</w:t>
      </w:r>
      <w:r w:rsidRPr="00D933C5">
        <w:rPr>
          <w:szCs w:val="24"/>
        </w:rPr>
        <w:t xml:space="preserve"> de perda provável no período em questão.</w:t>
      </w:r>
    </w:p>
    <w:p w14:paraId="5B9C2165" w14:textId="77777777" w:rsidR="00D933C5" w:rsidRPr="00D933C5" w:rsidRDefault="00D933C5" w:rsidP="00D933C5">
      <w:pPr>
        <w:tabs>
          <w:tab w:val="left" w:pos="142"/>
        </w:tabs>
        <w:rPr>
          <w:szCs w:val="24"/>
        </w:rPr>
      </w:pPr>
    </w:p>
    <w:p w14:paraId="0FBA11A9" w14:textId="5A468BE7" w:rsidR="00D933C5" w:rsidRPr="00EF1658" w:rsidRDefault="00EF1658" w:rsidP="00EF1658">
      <w:pPr>
        <w:tabs>
          <w:tab w:val="left" w:pos="142"/>
        </w:tabs>
        <w:suppressAutoHyphens w:val="0"/>
        <w:ind w:firstLine="0"/>
        <w:rPr>
          <w:b/>
          <w:bCs/>
          <w:szCs w:val="24"/>
        </w:rPr>
      </w:pPr>
      <w:r>
        <w:rPr>
          <w:b/>
          <w:bCs/>
          <w:szCs w:val="24"/>
        </w:rPr>
        <w:t xml:space="preserve">4.2 </w:t>
      </w:r>
      <w:r w:rsidRPr="00EF1658">
        <w:rPr>
          <w:b/>
          <w:bCs/>
          <w:szCs w:val="24"/>
        </w:rPr>
        <w:t>Passivo Contingente</w:t>
      </w:r>
    </w:p>
    <w:p w14:paraId="051C1174" w14:textId="09BF796F" w:rsidR="00D933C5" w:rsidRPr="00D933C5" w:rsidRDefault="00D933C5" w:rsidP="00D933C5">
      <w:pPr>
        <w:tabs>
          <w:tab w:val="left" w:pos="142"/>
        </w:tabs>
        <w:rPr>
          <w:szCs w:val="24"/>
        </w:rPr>
      </w:pPr>
      <w:r w:rsidRPr="00D933C5">
        <w:rPr>
          <w:szCs w:val="24"/>
        </w:rPr>
        <w:t>Quanto a divulgação do Passivo Contingente Trabalhista pelas companhias da amostra, o resultado apurado demonstrou que somente 63,58% divulgaram as provisões para contingencias conforme disposto no CPC 25 (2009), ao qual não deve haver provisão, mas somente evidenciação em nota explicativa quando a saída de recurso for considerada possível ou rem</w:t>
      </w:r>
      <w:r w:rsidR="00F20997">
        <w:rPr>
          <w:szCs w:val="24"/>
        </w:rPr>
        <w:t>ota conforme elucidado na Tabela</w:t>
      </w:r>
      <w:r w:rsidRPr="00D933C5">
        <w:rPr>
          <w:szCs w:val="24"/>
        </w:rPr>
        <w:t xml:space="preserve"> 1, assim sendo para não comprometer o resultado da pesquisa  foram </w:t>
      </w:r>
      <w:r w:rsidRPr="00D933C5">
        <w:rPr>
          <w:szCs w:val="24"/>
        </w:rPr>
        <w:lastRenderedPageBreak/>
        <w:t>desconsideradas as companhias que não divulgaram suas contingencias.</w:t>
      </w:r>
    </w:p>
    <w:p w14:paraId="20D63CA0" w14:textId="2E3E9942" w:rsidR="00D933C5" w:rsidRDefault="00D933C5" w:rsidP="00D933C5">
      <w:pPr>
        <w:tabs>
          <w:tab w:val="left" w:pos="142"/>
        </w:tabs>
        <w:rPr>
          <w:szCs w:val="24"/>
        </w:rPr>
      </w:pPr>
      <w:r w:rsidRPr="00D933C5">
        <w:rPr>
          <w:szCs w:val="24"/>
        </w:rPr>
        <w:t>Em ambos os subsetores analisados Bens Industriais e Consumo Cíclico, após os dados referentes as contingencias serem apropriados, em uma análise ampla foi identificado um declínio nos valores divulgados a ca</w:t>
      </w:r>
      <w:r w:rsidR="001F62FE">
        <w:rPr>
          <w:szCs w:val="24"/>
        </w:rPr>
        <w:t>da exercício, abaixo na Tabela 5</w:t>
      </w:r>
      <w:r w:rsidRPr="00D933C5">
        <w:rPr>
          <w:szCs w:val="24"/>
        </w:rPr>
        <w:t xml:space="preserve"> são apresentadas as informações referentes as provisões para Passivos Contingentes Trabalhistas das companhias do subsetor de Bens Industriais.</w:t>
      </w:r>
    </w:p>
    <w:p w14:paraId="0DFA2CA7" w14:textId="77777777" w:rsidR="00AE6424" w:rsidRPr="00D933C5" w:rsidRDefault="00AE6424" w:rsidP="00D933C5">
      <w:pPr>
        <w:tabs>
          <w:tab w:val="left" w:pos="142"/>
        </w:tabs>
        <w:rPr>
          <w:szCs w:val="24"/>
        </w:rPr>
      </w:pPr>
    </w:p>
    <w:p w14:paraId="653F7EBB" w14:textId="6716AF6A" w:rsidR="00EC15C5" w:rsidRDefault="001F62FE" w:rsidP="00EC15C5">
      <w:pPr>
        <w:tabs>
          <w:tab w:val="left" w:pos="142"/>
        </w:tabs>
        <w:ind w:firstLine="0"/>
        <w:rPr>
          <w:szCs w:val="24"/>
        </w:rPr>
      </w:pPr>
      <w:r>
        <w:rPr>
          <w:szCs w:val="24"/>
        </w:rPr>
        <w:t>Tabela 5</w:t>
      </w:r>
      <w:r w:rsidR="000C352D">
        <w:rPr>
          <w:szCs w:val="24"/>
        </w:rPr>
        <w:t>.</w:t>
      </w:r>
      <w:r w:rsidR="00EC15C5">
        <w:rPr>
          <w:szCs w:val="24"/>
        </w:rPr>
        <w:t xml:space="preserve"> </w:t>
      </w:r>
    </w:p>
    <w:p w14:paraId="048AF62D" w14:textId="4FEDAD31" w:rsidR="00D933C5" w:rsidRPr="00EC15C5" w:rsidRDefault="00D933C5" w:rsidP="00EC15C5">
      <w:pPr>
        <w:tabs>
          <w:tab w:val="left" w:pos="142"/>
        </w:tabs>
        <w:ind w:firstLine="0"/>
        <w:rPr>
          <w:b/>
          <w:szCs w:val="24"/>
        </w:rPr>
      </w:pPr>
      <w:r w:rsidRPr="00EC15C5">
        <w:rPr>
          <w:b/>
          <w:szCs w:val="24"/>
        </w:rPr>
        <w:t>Percentual Evolutivo Passivos Contingentes Trabalhista – Subsetor Bens Industriais</w:t>
      </w:r>
    </w:p>
    <w:tbl>
      <w:tblPr>
        <w:tblW w:w="9360" w:type="dxa"/>
        <w:tblInd w:w="-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0"/>
        <w:gridCol w:w="940"/>
        <w:gridCol w:w="1020"/>
        <w:gridCol w:w="940"/>
        <w:gridCol w:w="1020"/>
        <w:gridCol w:w="940"/>
        <w:gridCol w:w="1020"/>
        <w:gridCol w:w="940"/>
      </w:tblGrid>
      <w:tr w:rsidR="00736B14" w:rsidRPr="00736B14" w14:paraId="25B7E80E" w14:textId="77777777" w:rsidTr="00736B14">
        <w:trPr>
          <w:trHeight w:val="259"/>
        </w:trPr>
        <w:tc>
          <w:tcPr>
            <w:tcW w:w="2540" w:type="dxa"/>
            <w:shd w:val="clear" w:color="auto" w:fill="auto"/>
            <w:noWrap/>
            <w:vAlign w:val="center"/>
            <w:hideMark/>
          </w:tcPr>
          <w:p w14:paraId="253B5DAC" w14:textId="5CD81A16" w:rsidR="00736B14" w:rsidRPr="00736B14" w:rsidRDefault="00736B14" w:rsidP="00736B14">
            <w:pPr>
              <w:widowControl/>
              <w:suppressLineNumbers w:val="0"/>
              <w:suppressAutoHyphens w:val="0"/>
              <w:ind w:firstLine="0"/>
              <w:jc w:val="left"/>
              <w:rPr>
                <w:b/>
                <w:bCs/>
                <w:sz w:val="20"/>
              </w:rPr>
            </w:pPr>
            <w:r w:rsidRPr="00736B14">
              <w:rPr>
                <w:b/>
                <w:bCs/>
                <w:sz w:val="20"/>
              </w:rPr>
              <w:t xml:space="preserve">SUBSETOR </w:t>
            </w:r>
          </w:p>
        </w:tc>
        <w:tc>
          <w:tcPr>
            <w:tcW w:w="940" w:type="dxa"/>
            <w:shd w:val="clear" w:color="auto" w:fill="auto"/>
            <w:noWrap/>
            <w:vAlign w:val="center"/>
            <w:hideMark/>
          </w:tcPr>
          <w:p w14:paraId="71854E32" w14:textId="77777777" w:rsidR="00736B14" w:rsidRPr="00736B14" w:rsidRDefault="00736B14" w:rsidP="00736B14">
            <w:pPr>
              <w:widowControl/>
              <w:suppressLineNumbers w:val="0"/>
              <w:suppressAutoHyphens w:val="0"/>
              <w:ind w:firstLine="0"/>
              <w:jc w:val="center"/>
              <w:rPr>
                <w:b/>
                <w:bCs/>
                <w:sz w:val="20"/>
              </w:rPr>
            </w:pPr>
            <w:r w:rsidRPr="00736B14">
              <w:rPr>
                <w:b/>
                <w:bCs/>
                <w:sz w:val="20"/>
              </w:rPr>
              <w:t>2015</w:t>
            </w:r>
          </w:p>
        </w:tc>
        <w:tc>
          <w:tcPr>
            <w:tcW w:w="1020" w:type="dxa"/>
            <w:shd w:val="clear" w:color="auto" w:fill="auto"/>
            <w:noWrap/>
            <w:vAlign w:val="center"/>
            <w:hideMark/>
          </w:tcPr>
          <w:p w14:paraId="2215D5A4" w14:textId="56586B04" w:rsidR="00736B14" w:rsidRPr="00736B14" w:rsidRDefault="00736B14" w:rsidP="00736B14">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3AB1C99F" w14:textId="77777777" w:rsidR="00736B14" w:rsidRPr="00736B14" w:rsidRDefault="00736B14" w:rsidP="00736B14">
            <w:pPr>
              <w:widowControl/>
              <w:suppressLineNumbers w:val="0"/>
              <w:suppressAutoHyphens w:val="0"/>
              <w:ind w:firstLine="0"/>
              <w:jc w:val="center"/>
              <w:rPr>
                <w:b/>
                <w:bCs/>
                <w:sz w:val="20"/>
              </w:rPr>
            </w:pPr>
            <w:r w:rsidRPr="00736B14">
              <w:rPr>
                <w:b/>
                <w:bCs/>
                <w:sz w:val="20"/>
              </w:rPr>
              <w:t>2016</w:t>
            </w:r>
          </w:p>
        </w:tc>
        <w:tc>
          <w:tcPr>
            <w:tcW w:w="1020" w:type="dxa"/>
            <w:shd w:val="clear" w:color="auto" w:fill="auto"/>
            <w:noWrap/>
            <w:vAlign w:val="center"/>
            <w:hideMark/>
          </w:tcPr>
          <w:p w14:paraId="5190B8D2" w14:textId="599C8932" w:rsidR="00736B14" w:rsidRPr="00736B14" w:rsidRDefault="00736B14" w:rsidP="00736B14">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380F24E2" w14:textId="77777777" w:rsidR="00736B14" w:rsidRPr="00736B14" w:rsidRDefault="00736B14" w:rsidP="00736B14">
            <w:pPr>
              <w:widowControl/>
              <w:suppressLineNumbers w:val="0"/>
              <w:suppressAutoHyphens w:val="0"/>
              <w:ind w:firstLine="0"/>
              <w:jc w:val="center"/>
              <w:rPr>
                <w:b/>
                <w:bCs/>
                <w:sz w:val="20"/>
              </w:rPr>
            </w:pPr>
            <w:r w:rsidRPr="00736B14">
              <w:rPr>
                <w:b/>
                <w:bCs/>
                <w:sz w:val="20"/>
              </w:rPr>
              <w:t>2017</w:t>
            </w:r>
          </w:p>
        </w:tc>
        <w:tc>
          <w:tcPr>
            <w:tcW w:w="1020" w:type="dxa"/>
            <w:shd w:val="clear" w:color="auto" w:fill="auto"/>
            <w:noWrap/>
            <w:vAlign w:val="center"/>
            <w:hideMark/>
          </w:tcPr>
          <w:p w14:paraId="3806CEB7" w14:textId="1C9009E3" w:rsidR="00736B14" w:rsidRPr="00736B14" w:rsidRDefault="00736B14" w:rsidP="00736B14">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7835096F" w14:textId="77777777" w:rsidR="00736B14" w:rsidRPr="00736B14" w:rsidRDefault="00736B14" w:rsidP="00736B14">
            <w:pPr>
              <w:widowControl/>
              <w:suppressLineNumbers w:val="0"/>
              <w:suppressAutoHyphens w:val="0"/>
              <w:ind w:firstLine="0"/>
              <w:jc w:val="center"/>
              <w:rPr>
                <w:b/>
                <w:bCs/>
                <w:sz w:val="20"/>
              </w:rPr>
            </w:pPr>
            <w:r w:rsidRPr="00736B14">
              <w:rPr>
                <w:b/>
                <w:bCs/>
                <w:sz w:val="20"/>
              </w:rPr>
              <w:t>2018</w:t>
            </w:r>
          </w:p>
        </w:tc>
      </w:tr>
      <w:tr w:rsidR="00736B14" w:rsidRPr="00736B14" w14:paraId="20783CB9" w14:textId="77777777" w:rsidTr="00736B14">
        <w:trPr>
          <w:trHeight w:val="259"/>
        </w:trPr>
        <w:tc>
          <w:tcPr>
            <w:tcW w:w="2540" w:type="dxa"/>
            <w:shd w:val="clear" w:color="auto" w:fill="auto"/>
            <w:noWrap/>
            <w:vAlign w:val="center"/>
            <w:hideMark/>
          </w:tcPr>
          <w:p w14:paraId="1B4E16F6" w14:textId="77777777" w:rsidR="00736B14" w:rsidRPr="00736B14" w:rsidRDefault="00736B14" w:rsidP="00736B14">
            <w:pPr>
              <w:widowControl/>
              <w:suppressLineNumbers w:val="0"/>
              <w:suppressAutoHyphens w:val="0"/>
              <w:ind w:firstLine="0"/>
              <w:jc w:val="left"/>
              <w:rPr>
                <w:b/>
                <w:bCs/>
                <w:sz w:val="20"/>
              </w:rPr>
            </w:pPr>
            <w:r w:rsidRPr="00736B14">
              <w:rPr>
                <w:b/>
                <w:bCs/>
                <w:sz w:val="20"/>
              </w:rPr>
              <w:t>Construção e Engenharia</w:t>
            </w:r>
          </w:p>
        </w:tc>
        <w:tc>
          <w:tcPr>
            <w:tcW w:w="940" w:type="dxa"/>
            <w:shd w:val="clear" w:color="auto" w:fill="auto"/>
            <w:noWrap/>
            <w:vAlign w:val="bottom"/>
            <w:hideMark/>
          </w:tcPr>
          <w:p w14:paraId="1DD3A5D9" w14:textId="1F4DFA8E" w:rsidR="00736B14" w:rsidRPr="00736B14" w:rsidRDefault="00736B14" w:rsidP="00736B14">
            <w:pPr>
              <w:widowControl/>
              <w:suppressLineNumbers w:val="0"/>
              <w:suppressAutoHyphens w:val="0"/>
              <w:ind w:firstLine="0"/>
              <w:jc w:val="right"/>
              <w:rPr>
                <w:sz w:val="20"/>
              </w:rPr>
            </w:pPr>
            <w:r w:rsidRPr="00736B14">
              <w:rPr>
                <w:sz w:val="20"/>
              </w:rPr>
              <w:t xml:space="preserve">    40.208 </w:t>
            </w:r>
          </w:p>
        </w:tc>
        <w:tc>
          <w:tcPr>
            <w:tcW w:w="1020" w:type="dxa"/>
            <w:shd w:val="clear" w:color="auto" w:fill="auto"/>
            <w:noWrap/>
            <w:vAlign w:val="bottom"/>
            <w:hideMark/>
          </w:tcPr>
          <w:p w14:paraId="5B8E3E70" w14:textId="0C2BD02D" w:rsidR="00736B14" w:rsidRPr="00736B14" w:rsidRDefault="00C52339" w:rsidP="00736B14">
            <w:pPr>
              <w:widowControl/>
              <w:suppressLineNumbers w:val="0"/>
              <w:suppressAutoHyphens w:val="0"/>
              <w:ind w:firstLine="0"/>
              <w:jc w:val="right"/>
              <w:rPr>
                <w:b/>
                <w:bCs/>
                <w:sz w:val="20"/>
              </w:rPr>
            </w:pPr>
            <w:r>
              <w:rPr>
                <w:b/>
                <w:bCs/>
                <w:sz w:val="20"/>
              </w:rPr>
              <w:t>-1,97</w:t>
            </w:r>
            <w:r w:rsidR="00736B14" w:rsidRPr="00736B14">
              <w:rPr>
                <w:b/>
                <w:bCs/>
                <w:sz w:val="20"/>
              </w:rPr>
              <w:t>%</w:t>
            </w:r>
          </w:p>
        </w:tc>
        <w:tc>
          <w:tcPr>
            <w:tcW w:w="940" w:type="dxa"/>
            <w:shd w:val="clear" w:color="auto" w:fill="auto"/>
            <w:noWrap/>
            <w:vAlign w:val="bottom"/>
            <w:hideMark/>
          </w:tcPr>
          <w:p w14:paraId="7AFE28E6" w14:textId="77777777" w:rsidR="00736B14" w:rsidRPr="00736B14" w:rsidRDefault="00736B14" w:rsidP="00736B14">
            <w:pPr>
              <w:widowControl/>
              <w:suppressLineNumbers w:val="0"/>
              <w:suppressAutoHyphens w:val="0"/>
              <w:ind w:firstLine="0"/>
              <w:jc w:val="right"/>
              <w:rPr>
                <w:sz w:val="20"/>
              </w:rPr>
            </w:pPr>
            <w:r w:rsidRPr="00736B14">
              <w:rPr>
                <w:sz w:val="20"/>
              </w:rPr>
              <w:t>39.414</w:t>
            </w:r>
          </w:p>
        </w:tc>
        <w:tc>
          <w:tcPr>
            <w:tcW w:w="1020" w:type="dxa"/>
            <w:shd w:val="clear" w:color="auto" w:fill="auto"/>
            <w:noWrap/>
            <w:vAlign w:val="bottom"/>
            <w:hideMark/>
          </w:tcPr>
          <w:p w14:paraId="0373F412" w14:textId="0AD32491" w:rsidR="00736B14" w:rsidRPr="00736B14" w:rsidRDefault="00C52339" w:rsidP="00736B14">
            <w:pPr>
              <w:widowControl/>
              <w:suppressLineNumbers w:val="0"/>
              <w:suppressAutoHyphens w:val="0"/>
              <w:ind w:firstLine="0"/>
              <w:jc w:val="right"/>
              <w:rPr>
                <w:b/>
                <w:bCs/>
                <w:sz w:val="20"/>
              </w:rPr>
            </w:pPr>
            <w:r>
              <w:rPr>
                <w:b/>
                <w:bCs/>
                <w:sz w:val="20"/>
              </w:rPr>
              <w:t>52,55</w:t>
            </w:r>
            <w:r w:rsidR="00736B14" w:rsidRPr="00736B14">
              <w:rPr>
                <w:b/>
                <w:bCs/>
                <w:sz w:val="20"/>
              </w:rPr>
              <w:t>%</w:t>
            </w:r>
          </w:p>
        </w:tc>
        <w:tc>
          <w:tcPr>
            <w:tcW w:w="940" w:type="dxa"/>
            <w:shd w:val="clear" w:color="auto" w:fill="auto"/>
            <w:noWrap/>
            <w:vAlign w:val="bottom"/>
            <w:hideMark/>
          </w:tcPr>
          <w:p w14:paraId="12671B67" w14:textId="77777777" w:rsidR="00736B14" w:rsidRPr="00736B14" w:rsidRDefault="00736B14" w:rsidP="00736B14">
            <w:pPr>
              <w:widowControl/>
              <w:suppressLineNumbers w:val="0"/>
              <w:suppressAutoHyphens w:val="0"/>
              <w:ind w:firstLine="0"/>
              <w:jc w:val="right"/>
              <w:rPr>
                <w:sz w:val="20"/>
              </w:rPr>
            </w:pPr>
            <w:r w:rsidRPr="00736B14">
              <w:rPr>
                <w:sz w:val="20"/>
              </w:rPr>
              <w:t>60.126</w:t>
            </w:r>
          </w:p>
        </w:tc>
        <w:tc>
          <w:tcPr>
            <w:tcW w:w="1020" w:type="dxa"/>
            <w:shd w:val="clear" w:color="auto" w:fill="auto"/>
            <w:noWrap/>
            <w:vAlign w:val="bottom"/>
            <w:hideMark/>
          </w:tcPr>
          <w:p w14:paraId="1892EF20" w14:textId="5C55E27E" w:rsidR="00736B14" w:rsidRPr="00736B14" w:rsidRDefault="00C52339" w:rsidP="00736B14">
            <w:pPr>
              <w:widowControl/>
              <w:suppressLineNumbers w:val="0"/>
              <w:suppressAutoHyphens w:val="0"/>
              <w:ind w:firstLine="0"/>
              <w:jc w:val="right"/>
              <w:rPr>
                <w:b/>
                <w:bCs/>
                <w:sz w:val="20"/>
              </w:rPr>
            </w:pPr>
            <w:r>
              <w:rPr>
                <w:b/>
                <w:bCs/>
                <w:sz w:val="20"/>
              </w:rPr>
              <w:t>-69,50</w:t>
            </w:r>
            <w:r w:rsidR="00736B14" w:rsidRPr="00736B14">
              <w:rPr>
                <w:b/>
                <w:bCs/>
                <w:sz w:val="20"/>
              </w:rPr>
              <w:t>%</w:t>
            </w:r>
          </w:p>
        </w:tc>
        <w:tc>
          <w:tcPr>
            <w:tcW w:w="940" w:type="dxa"/>
            <w:shd w:val="clear" w:color="auto" w:fill="auto"/>
            <w:noWrap/>
            <w:vAlign w:val="bottom"/>
            <w:hideMark/>
          </w:tcPr>
          <w:p w14:paraId="57EC54A6" w14:textId="77777777" w:rsidR="00736B14" w:rsidRPr="00736B14" w:rsidRDefault="00736B14" w:rsidP="00736B14">
            <w:pPr>
              <w:widowControl/>
              <w:suppressLineNumbers w:val="0"/>
              <w:suppressAutoHyphens w:val="0"/>
              <w:ind w:firstLine="0"/>
              <w:jc w:val="right"/>
              <w:rPr>
                <w:sz w:val="20"/>
              </w:rPr>
            </w:pPr>
            <w:r w:rsidRPr="00736B14">
              <w:rPr>
                <w:sz w:val="20"/>
              </w:rPr>
              <w:t>18.341</w:t>
            </w:r>
          </w:p>
        </w:tc>
      </w:tr>
      <w:tr w:rsidR="00736B14" w:rsidRPr="00736B14" w14:paraId="606596BB" w14:textId="77777777" w:rsidTr="00736B14">
        <w:trPr>
          <w:trHeight w:val="259"/>
        </w:trPr>
        <w:tc>
          <w:tcPr>
            <w:tcW w:w="2540" w:type="dxa"/>
            <w:shd w:val="clear" w:color="auto" w:fill="auto"/>
            <w:noWrap/>
            <w:vAlign w:val="center"/>
            <w:hideMark/>
          </w:tcPr>
          <w:p w14:paraId="3FBE4592" w14:textId="77777777" w:rsidR="00736B14" w:rsidRPr="00736B14" w:rsidRDefault="00736B14" w:rsidP="00736B14">
            <w:pPr>
              <w:widowControl/>
              <w:suppressLineNumbers w:val="0"/>
              <w:suppressAutoHyphens w:val="0"/>
              <w:ind w:firstLine="0"/>
              <w:jc w:val="left"/>
              <w:rPr>
                <w:b/>
                <w:bCs/>
                <w:sz w:val="20"/>
              </w:rPr>
            </w:pPr>
            <w:r w:rsidRPr="00736B14">
              <w:rPr>
                <w:b/>
                <w:bCs/>
                <w:sz w:val="20"/>
              </w:rPr>
              <w:t>Material de Transporte</w:t>
            </w:r>
          </w:p>
        </w:tc>
        <w:tc>
          <w:tcPr>
            <w:tcW w:w="940" w:type="dxa"/>
            <w:shd w:val="clear" w:color="auto" w:fill="auto"/>
            <w:noWrap/>
            <w:vAlign w:val="bottom"/>
            <w:hideMark/>
          </w:tcPr>
          <w:p w14:paraId="017FCD02" w14:textId="3137A529" w:rsidR="00736B14" w:rsidRPr="00736B14" w:rsidRDefault="00736B14" w:rsidP="00736B14">
            <w:pPr>
              <w:widowControl/>
              <w:suppressLineNumbers w:val="0"/>
              <w:suppressAutoHyphens w:val="0"/>
              <w:ind w:firstLine="0"/>
              <w:jc w:val="right"/>
              <w:rPr>
                <w:sz w:val="20"/>
              </w:rPr>
            </w:pPr>
            <w:r w:rsidRPr="00736B14">
              <w:rPr>
                <w:sz w:val="20"/>
              </w:rPr>
              <w:t xml:space="preserve">   154.148 </w:t>
            </w:r>
          </w:p>
        </w:tc>
        <w:tc>
          <w:tcPr>
            <w:tcW w:w="1020" w:type="dxa"/>
            <w:shd w:val="clear" w:color="auto" w:fill="auto"/>
            <w:noWrap/>
            <w:vAlign w:val="bottom"/>
            <w:hideMark/>
          </w:tcPr>
          <w:p w14:paraId="1EE86679" w14:textId="6904A3D3" w:rsidR="00736B14" w:rsidRPr="00736B14" w:rsidRDefault="00C52339" w:rsidP="00736B14">
            <w:pPr>
              <w:widowControl/>
              <w:suppressLineNumbers w:val="0"/>
              <w:suppressAutoHyphens w:val="0"/>
              <w:ind w:firstLine="0"/>
              <w:jc w:val="right"/>
              <w:rPr>
                <w:b/>
                <w:bCs/>
                <w:sz w:val="20"/>
              </w:rPr>
            </w:pPr>
            <w:r>
              <w:rPr>
                <w:b/>
                <w:bCs/>
                <w:sz w:val="20"/>
              </w:rPr>
              <w:t>68,69</w:t>
            </w:r>
            <w:r w:rsidR="00736B14" w:rsidRPr="00736B14">
              <w:rPr>
                <w:b/>
                <w:bCs/>
                <w:sz w:val="20"/>
              </w:rPr>
              <w:t>%</w:t>
            </w:r>
          </w:p>
        </w:tc>
        <w:tc>
          <w:tcPr>
            <w:tcW w:w="940" w:type="dxa"/>
            <w:shd w:val="clear" w:color="auto" w:fill="auto"/>
            <w:noWrap/>
            <w:vAlign w:val="bottom"/>
            <w:hideMark/>
          </w:tcPr>
          <w:p w14:paraId="54AFF1E5" w14:textId="77777777" w:rsidR="00736B14" w:rsidRPr="00736B14" w:rsidRDefault="00736B14" w:rsidP="00736B14">
            <w:pPr>
              <w:widowControl/>
              <w:suppressLineNumbers w:val="0"/>
              <w:suppressAutoHyphens w:val="0"/>
              <w:ind w:firstLine="0"/>
              <w:jc w:val="right"/>
              <w:rPr>
                <w:sz w:val="20"/>
              </w:rPr>
            </w:pPr>
            <w:r w:rsidRPr="00736B14">
              <w:rPr>
                <w:sz w:val="20"/>
              </w:rPr>
              <w:t>260.037</w:t>
            </w:r>
          </w:p>
        </w:tc>
        <w:tc>
          <w:tcPr>
            <w:tcW w:w="1020" w:type="dxa"/>
            <w:shd w:val="clear" w:color="auto" w:fill="auto"/>
            <w:noWrap/>
            <w:vAlign w:val="bottom"/>
            <w:hideMark/>
          </w:tcPr>
          <w:p w14:paraId="7CDFBD89" w14:textId="514F37D0" w:rsidR="00736B14" w:rsidRPr="00736B14" w:rsidRDefault="00C52339" w:rsidP="00736B14">
            <w:pPr>
              <w:widowControl/>
              <w:suppressLineNumbers w:val="0"/>
              <w:suppressAutoHyphens w:val="0"/>
              <w:ind w:firstLine="0"/>
              <w:jc w:val="right"/>
              <w:rPr>
                <w:b/>
                <w:bCs/>
                <w:sz w:val="20"/>
              </w:rPr>
            </w:pPr>
            <w:r>
              <w:rPr>
                <w:b/>
                <w:bCs/>
                <w:sz w:val="20"/>
              </w:rPr>
              <w:t>49,52</w:t>
            </w:r>
            <w:r w:rsidR="00736B14" w:rsidRPr="00736B14">
              <w:rPr>
                <w:b/>
                <w:bCs/>
                <w:sz w:val="20"/>
              </w:rPr>
              <w:t>%</w:t>
            </w:r>
          </w:p>
        </w:tc>
        <w:tc>
          <w:tcPr>
            <w:tcW w:w="940" w:type="dxa"/>
            <w:shd w:val="clear" w:color="auto" w:fill="auto"/>
            <w:noWrap/>
            <w:vAlign w:val="bottom"/>
            <w:hideMark/>
          </w:tcPr>
          <w:p w14:paraId="2E77231D" w14:textId="77777777" w:rsidR="00736B14" w:rsidRPr="00736B14" w:rsidRDefault="00736B14" w:rsidP="00736B14">
            <w:pPr>
              <w:widowControl/>
              <w:suppressLineNumbers w:val="0"/>
              <w:suppressAutoHyphens w:val="0"/>
              <w:ind w:firstLine="0"/>
              <w:jc w:val="right"/>
              <w:rPr>
                <w:sz w:val="20"/>
              </w:rPr>
            </w:pPr>
            <w:r w:rsidRPr="00736B14">
              <w:rPr>
                <w:sz w:val="20"/>
              </w:rPr>
              <w:t>388.816</w:t>
            </w:r>
          </w:p>
        </w:tc>
        <w:tc>
          <w:tcPr>
            <w:tcW w:w="1020" w:type="dxa"/>
            <w:shd w:val="clear" w:color="auto" w:fill="auto"/>
            <w:noWrap/>
            <w:vAlign w:val="bottom"/>
            <w:hideMark/>
          </w:tcPr>
          <w:p w14:paraId="2B8ACA35" w14:textId="326D85EC" w:rsidR="00736B14" w:rsidRPr="00736B14" w:rsidRDefault="00C52339" w:rsidP="00736B14">
            <w:pPr>
              <w:widowControl/>
              <w:suppressLineNumbers w:val="0"/>
              <w:suppressAutoHyphens w:val="0"/>
              <w:ind w:firstLine="0"/>
              <w:jc w:val="right"/>
              <w:rPr>
                <w:b/>
                <w:bCs/>
                <w:sz w:val="20"/>
              </w:rPr>
            </w:pPr>
            <w:r>
              <w:rPr>
                <w:b/>
                <w:bCs/>
                <w:sz w:val="20"/>
              </w:rPr>
              <w:t>14,74</w:t>
            </w:r>
            <w:r w:rsidR="00736B14" w:rsidRPr="00736B14">
              <w:rPr>
                <w:b/>
                <w:bCs/>
                <w:sz w:val="20"/>
              </w:rPr>
              <w:t>%</w:t>
            </w:r>
          </w:p>
        </w:tc>
        <w:tc>
          <w:tcPr>
            <w:tcW w:w="940" w:type="dxa"/>
            <w:shd w:val="clear" w:color="auto" w:fill="auto"/>
            <w:noWrap/>
            <w:vAlign w:val="bottom"/>
            <w:hideMark/>
          </w:tcPr>
          <w:p w14:paraId="067C0F5A" w14:textId="77777777" w:rsidR="00736B14" w:rsidRPr="00736B14" w:rsidRDefault="00736B14" w:rsidP="00736B14">
            <w:pPr>
              <w:widowControl/>
              <w:suppressLineNumbers w:val="0"/>
              <w:suppressAutoHyphens w:val="0"/>
              <w:ind w:firstLine="0"/>
              <w:jc w:val="right"/>
              <w:rPr>
                <w:sz w:val="20"/>
              </w:rPr>
            </w:pPr>
            <w:r w:rsidRPr="00736B14">
              <w:rPr>
                <w:sz w:val="20"/>
              </w:rPr>
              <w:t>446.119</w:t>
            </w:r>
          </w:p>
        </w:tc>
      </w:tr>
      <w:tr w:rsidR="00736B14" w:rsidRPr="00736B14" w14:paraId="07FE8A3F" w14:textId="77777777" w:rsidTr="00736B14">
        <w:trPr>
          <w:trHeight w:val="259"/>
        </w:trPr>
        <w:tc>
          <w:tcPr>
            <w:tcW w:w="2540" w:type="dxa"/>
            <w:shd w:val="clear" w:color="auto" w:fill="auto"/>
            <w:noWrap/>
            <w:vAlign w:val="center"/>
            <w:hideMark/>
          </w:tcPr>
          <w:p w14:paraId="34547620" w14:textId="77777777" w:rsidR="00736B14" w:rsidRPr="00736B14" w:rsidRDefault="00736B14" w:rsidP="00736B14">
            <w:pPr>
              <w:widowControl/>
              <w:suppressLineNumbers w:val="0"/>
              <w:suppressAutoHyphens w:val="0"/>
              <w:ind w:firstLine="0"/>
              <w:jc w:val="left"/>
              <w:rPr>
                <w:b/>
                <w:bCs/>
                <w:sz w:val="20"/>
              </w:rPr>
            </w:pPr>
            <w:r w:rsidRPr="00736B14">
              <w:rPr>
                <w:b/>
                <w:bCs/>
                <w:sz w:val="20"/>
              </w:rPr>
              <w:t>Máquinas e Equipamentos</w:t>
            </w:r>
          </w:p>
        </w:tc>
        <w:tc>
          <w:tcPr>
            <w:tcW w:w="940" w:type="dxa"/>
            <w:shd w:val="clear" w:color="auto" w:fill="auto"/>
            <w:noWrap/>
            <w:vAlign w:val="bottom"/>
            <w:hideMark/>
          </w:tcPr>
          <w:p w14:paraId="27447C93" w14:textId="1747B0D8" w:rsidR="00736B14" w:rsidRPr="00736B14" w:rsidRDefault="00736B14" w:rsidP="00736B14">
            <w:pPr>
              <w:widowControl/>
              <w:suppressLineNumbers w:val="0"/>
              <w:suppressAutoHyphens w:val="0"/>
              <w:ind w:firstLine="0"/>
              <w:jc w:val="right"/>
              <w:rPr>
                <w:sz w:val="20"/>
              </w:rPr>
            </w:pPr>
            <w:r w:rsidRPr="00736B14">
              <w:rPr>
                <w:sz w:val="20"/>
              </w:rPr>
              <w:t xml:space="preserve">     90.561 </w:t>
            </w:r>
          </w:p>
        </w:tc>
        <w:tc>
          <w:tcPr>
            <w:tcW w:w="1020" w:type="dxa"/>
            <w:shd w:val="clear" w:color="auto" w:fill="auto"/>
            <w:noWrap/>
            <w:vAlign w:val="center"/>
            <w:hideMark/>
          </w:tcPr>
          <w:p w14:paraId="096BC9CE" w14:textId="15FA9971" w:rsidR="00736B14" w:rsidRPr="00736B14" w:rsidRDefault="00C52339" w:rsidP="00736B14">
            <w:pPr>
              <w:widowControl/>
              <w:suppressLineNumbers w:val="0"/>
              <w:suppressAutoHyphens w:val="0"/>
              <w:ind w:firstLine="0"/>
              <w:jc w:val="right"/>
              <w:rPr>
                <w:b/>
                <w:bCs/>
                <w:sz w:val="20"/>
              </w:rPr>
            </w:pPr>
            <w:r>
              <w:rPr>
                <w:b/>
                <w:bCs/>
                <w:sz w:val="20"/>
              </w:rPr>
              <w:t>28,47</w:t>
            </w:r>
            <w:r w:rsidR="00736B14" w:rsidRPr="00736B14">
              <w:rPr>
                <w:b/>
                <w:bCs/>
                <w:sz w:val="20"/>
              </w:rPr>
              <w:t>%</w:t>
            </w:r>
          </w:p>
        </w:tc>
        <w:tc>
          <w:tcPr>
            <w:tcW w:w="940" w:type="dxa"/>
            <w:shd w:val="clear" w:color="auto" w:fill="auto"/>
            <w:noWrap/>
            <w:vAlign w:val="bottom"/>
            <w:hideMark/>
          </w:tcPr>
          <w:p w14:paraId="0729925F" w14:textId="77777777" w:rsidR="00736B14" w:rsidRPr="00736B14" w:rsidRDefault="00736B14" w:rsidP="00736B14">
            <w:pPr>
              <w:widowControl/>
              <w:suppressLineNumbers w:val="0"/>
              <w:suppressAutoHyphens w:val="0"/>
              <w:ind w:firstLine="0"/>
              <w:jc w:val="right"/>
              <w:rPr>
                <w:sz w:val="20"/>
              </w:rPr>
            </w:pPr>
            <w:r w:rsidRPr="00736B14">
              <w:rPr>
                <w:sz w:val="20"/>
              </w:rPr>
              <w:t>116.348</w:t>
            </w:r>
          </w:p>
        </w:tc>
        <w:tc>
          <w:tcPr>
            <w:tcW w:w="1020" w:type="dxa"/>
            <w:shd w:val="clear" w:color="auto" w:fill="auto"/>
            <w:noWrap/>
            <w:vAlign w:val="center"/>
            <w:hideMark/>
          </w:tcPr>
          <w:p w14:paraId="60E0F245" w14:textId="5EA26138" w:rsidR="00736B14" w:rsidRPr="00736B14" w:rsidRDefault="00C52339" w:rsidP="00736B14">
            <w:pPr>
              <w:widowControl/>
              <w:suppressLineNumbers w:val="0"/>
              <w:suppressAutoHyphens w:val="0"/>
              <w:ind w:firstLine="0"/>
              <w:jc w:val="right"/>
              <w:rPr>
                <w:b/>
                <w:bCs/>
                <w:sz w:val="20"/>
              </w:rPr>
            </w:pPr>
            <w:r>
              <w:rPr>
                <w:b/>
                <w:bCs/>
                <w:sz w:val="20"/>
              </w:rPr>
              <w:t>5,48</w:t>
            </w:r>
            <w:r w:rsidR="00736B14" w:rsidRPr="00736B14">
              <w:rPr>
                <w:b/>
                <w:bCs/>
                <w:sz w:val="20"/>
              </w:rPr>
              <w:t>%</w:t>
            </w:r>
          </w:p>
        </w:tc>
        <w:tc>
          <w:tcPr>
            <w:tcW w:w="940" w:type="dxa"/>
            <w:shd w:val="clear" w:color="auto" w:fill="auto"/>
            <w:noWrap/>
            <w:vAlign w:val="bottom"/>
            <w:hideMark/>
          </w:tcPr>
          <w:p w14:paraId="30BB1DE7" w14:textId="77777777" w:rsidR="00736B14" w:rsidRPr="00736B14" w:rsidRDefault="00736B14" w:rsidP="00736B14">
            <w:pPr>
              <w:widowControl/>
              <w:suppressLineNumbers w:val="0"/>
              <w:suppressAutoHyphens w:val="0"/>
              <w:ind w:firstLine="0"/>
              <w:jc w:val="right"/>
              <w:rPr>
                <w:sz w:val="20"/>
              </w:rPr>
            </w:pPr>
            <w:r w:rsidRPr="00736B14">
              <w:rPr>
                <w:sz w:val="20"/>
              </w:rPr>
              <w:t>122.726</w:t>
            </w:r>
          </w:p>
        </w:tc>
        <w:tc>
          <w:tcPr>
            <w:tcW w:w="1020" w:type="dxa"/>
            <w:shd w:val="clear" w:color="auto" w:fill="auto"/>
            <w:noWrap/>
            <w:vAlign w:val="center"/>
            <w:hideMark/>
          </w:tcPr>
          <w:p w14:paraId="157702C8" w14:textId="4F6CFEB0" w:rsidR="00736B14" w:rsidRPr="00736B14" w:rsidRDefault="00C52339" w:rsidP="00736B14">
            <w:pPr>
              <w:widowControl/>
              <w:suppressLineNumbers w:val="0"/>
              <w:suppressAutoHyphens w:val="0"/>
              <w:ind w:firstLine="0"/>
              <w:jc w:val="right"/>
              <w:rPr>
                <w:b/>
                <w:bCs/>
                <w:sz w:val="20"/>
              </w:rPr>
            </w:pPr>
            <w:r>
              <w:rPr>
                <w:b/>
                <w:bCs/>
                <w:sz w:val="20"/>
              </w:rPr>
              <w:t>28,37</w:t>
            </w:r>
            <w:r w:rsidR="00736B14" w:rsidRPr="00736B14">
              <w:rPr>
                <w:b/>
                <w:bCs/>
                <w:sz w:val="20"/>
              </w:rPr>
              <w:t>%</w:t>
            </w:r>
          </w:p>
        </w:tc>
        <w:tc>
          <w:tcPr>
            <w:tcW w:w="940" w:type="dxa"/>
            <w:shd w:val="clear" w:color="auto" w:fill="auto"/>
            <w:noWrap/>
            <w:vAlign w:val="bottom"/>
            <w:hideMark/>
          </w:tcPr>
          <w:p w14:paraId="11B280A9" w14:textId="77777777" w:rsidR="00736B14" w:rsidRPr="00736B14" w:rsidRDefault="00736B14" w:rsidP="00736B14">
            <w:pPr>
              <w:widowControl/>
              <w:suppressLineNumbers w:val="0"/>
              <w:suppressAutoHyphens w:val="0"/>
              <w:ind w:firstLine="0"/>
              <w:jc w:val="right"/>
              <w:rPr>
                <w:sz w:val="20"/>
              </w:rPr>
            </w:pPr>
            <w:r w:rsidRPr="00736B14">
              <w:rPr>
                <w:sz w:val="20"/>
              </w:rPr>
              <w:t>157.547</w:t>
            </w:r>
          </w:p>
        </w:tc>
      </w:tr>
      <w:tr w:rsidR="00736B14" w:rsidRPr="00736B14" w14:paraId="203ED929" w14:textId="77777777" w:rsidTr="00736B14">
        <w:trPr>
          <w:trHeight w:val="259"/>
        </w:trPr>
        <w:tc>
          <w:tcPr>
            <w:tcW w:w="2540" w:type="dxa"/>
            <w:shd w:val="clear" w:color="auto" w:fill="auto"/>
            <w:noWrap/>
            <w:vAlign w:val="center"/>
            <w:hideMark/>
          </w:tcPr>
          <w:p w14:paraId="4B0A44DD" w14:textId="77777777" w:rsidR="00736B14" w:rsidRPr="00736B14" w:rsidRDefault="00736B14" w:rsidP="00736B14">
            <w:pPr>
              <w:widowControl/>
              <w:suppressLineNumbers w:val="0"/>
              <w:suppressAutoHyphens w:val="0"/>
              <w:ind w:firstLine="0"/>
              <w:jc w:val="left"/>
              <w:rPr>
                <w:b/>
                <w:bCs/>
                <w:sz w:val="20"/>
              </w:rPr>
            </w:pPr>
            <w:r w:rsidRPr="00736B14">
              <w:rPr>
                <w:b/>
                <w:bCs/>
                <w:sz w:val="20"/>
              </w:rPr>
              <w:t>Transporte</w:t>
            </w:r>
          </w:p>
        </w:tc>
        <w:tc>
          <w:tcPr>
            <w:tcW w:w="940" w:type="dxa"/>
            <w:shd w:val="clear" w:color="auto" w:fill="auto"/>
            <w:noWrap/>
            <w:vAlign w:val="bottom"/>
            <w:hideMark/>
          </w:tcPr>
          <w:p w14:paraId="6400B20B" w14:textId="3457FD60" w:rsidR="00736B14" w:rsidRPr="00736B14" w:rsidRDefault="00736B14" w:rsidP="00736B14">
            <w:pPr>
              <w:widowControl/>
              <w:suppressLineNumbers w:val="0"/>
              <w:suppressAutoHyphens w:val="0"/>
              <w:ind w:firstLine="0"/>
              <w:jc w:val="right"/>
              <w:rPr>
                <w:sz w:val="20"/>
              </w:rPr>
            </w:pPr>
            <w:r w:rsidRPr="00736B14">
              <w:rPr>
                <w:sz w:val="20"/>
              </w:rPr>
              <w:t xml:space="preserve">2.865.197 </w:t>
            </w:r>
          </w:p>
        </w:tc>
        <w:tc>
          <w:tcPr>
            <w:tcW w:w="1020" w:type="dxa"/>
            <w:shd w:val="clear" w:color="auto" w:fill="auto"/>
            <w:noWrap/>
            <w:vAlign w:val="bottom"/>
            <w:hideMark/>
          </w:tcPr>
          <w:p w14:paraId="09BB2F15" w14:textId="4A28DF5D" w:rsidR="00736B14" w:rsidRPr="00736B14" w:rsidRDefault="00C52339" w:rsidP="00736B14">
            <w:pPr>
              <w:widowControl/>
              <w:suppressLineNumbers w:val="0"/>
              <w:suppressAutoHyphens w:val="0"/>
              <w:ind w:firstLine="0"/>
              <w:jc w:val="right"/>
              <w:rPr>
                <w:b/>
                <w:bCs/>
                <w:sz w:val="20"/>
              </w:rPr>
            </w:pPr>
            <w:r>
              <w:rPr>
                <w:b/>
                <w:bCs/>
                <w:sz w:val="20"/>
              </w:rPr>
              <w:t>30,27</w:t>
            </w:r>
            <w:r w:rsidR="00736B14" w:rsidRPr="00736B14">
              <w:rPr>
                <w:b/>
                <w:bCs/>
                <w:sz w:val="20"/>
              </w:rPr>
              <w:t>%</w:t>
            </w:r>
          </w:p>
        </w:tc>
        <w:tc>
          <w:tcPr>
            <w:tcW w:w="940" w:type="dxa"/>
            <w:shd w:val="clear" w:color="auto" w:fill="auto"/>
            <w:noWrap/>
            <w:vAlign w:val="bottom"/>
            <w:hideMark/>
          </w:tcPr>
          <w:p w14:paraId="6D09FF5C" w14:textId="77777777" w:rsidR="00736B14" w:rsidRPr="00736B14" w:rsidRDefault="00736B14" w:rsidP="00736B14">
            <w:pPr>
              <w:widowControl/>
              <w:suppressLineNumbers w:val="0"/>
              <w:suppressAutoHyphens w:val="0"/>
              <w:ind w:firstLine="0"/>
              <w:jc w:val="right"/>
              <w:rPr>
                <w:sz w:val="20"/>
              </w:rPr>
            </w:pPr>
            <w:r w:rsidRPr="00736B14">
              <w:rPr>
                <w:sz w:val="20"/>
              </w:rPr>
              <w:t>3.732.597</w:t>
            </w:r>
          </w:p>
        </w:tc>
        <w:tc>
          <w:tcPr>
            <w:tcW w:w="1020" w:type="dxa"/>
            <w:shd w:val="clear" w:color="auto" w:fill="auto"/>
            <w:noWrap/>
            <w:vAlign w:val="bottom"/>
            <w:hideMark/>
          </w:tcPr>
          <w:p w14:paraId="3396583F" w14:textId="27A76569" w:rsidR="00736B14" w:rsidRPr="00736B14" w:rsidRDefault="00C52339" w:rsidP="00736B14">
            <w:pPr>
              <w:widowControl/>
              <w:suppressLineNumbers w:val="0"/>
              <w:suppressAutoHyphens w:val="0"/>
              <w:ind w:firstLine="0"/>
              <w:jc w:val="right"/>
              <w:rPr>
                <w:b/>
                <w:bCs/>
                <w:sz w:val="20"/>
              </w:rPr>
            </w:pPr>
            <w:r>
              <w:rPr>
                <w:b/>
                <w:bCs/>
                <w:sz w:val="20"/>
              </w:rPr>
              <w:t>19,64</w:t>
            </w:r>
            <w:r w:rsidR="00736B14" w:rsidRPr="00736B14">
              <w:rPr>
                <w:b/>
                <w:bCs/>
                <w:sz w:val="20"/>
              </w:rPr>
              <w:t>%</w:t>
            </w:r>
          </w:p>
        </w:tc>
        <w:tc>
          <w:tcPr>
            <w:tcW w:w="940" w:type="dxa"/>
            <w:shd w:val="clear" w:color="auto" w:fill="auto"/>
            <w:noWrap/>
            <w:vAlign w:val="bottom"/>
            <w:hideMark/>
          </w:tcPr>
          <w:p w14:paraId="29C42B0D" w14:textId="77777777" w:rsidR="00736B14" w:rsidRPr="00736B14" w:rsidRDefault="00736B14" w:rsidP="00736B14">
            <w:pPr>
              <w:widowControl/>
              <w:suppressLineNumbers w:val="0"/>
              <w:suppressAutoHyphens w:val="0"/>
              <w:ind w:firstLine="0"/>
              <w:jc w:val="right"/>
              <w:rPr>
                <w:sz w:val="20"/>
              </w:rPr>
            </w:pPr>
            <w:r w:rsidRPr="00736B14">
              <w:rPr>
                <w:sz w:val="20"/>
              </w:rPr>
              <w:t>4.465.534</w:t>
            </w:r>
          </w:p>
        </w:tc>
        <w:tc>
          <w:tcPr>
            <w:tcW w:w="1020" w:type="dxa"/>
            <w:shd w:val="clear" w:color="auto" w:fill="auto"/>
            <w:noWrap/>
            <w:vAlign w:val="bottom"/>
            <w:hideMark/>
          </w:tcPr>
          <w:p w14:paraId="65B4541B" w14:textId="245B000A" w:rsidR="00736B14" w:rsidRPr="00736B14" w:rsidRDefault="00C52339" w:rsidP="00736B14">
            <w:pPr>
              <w:widowControl/>
              <w:suppressLineNumbers w:val="0"/>
              <w:suppressAutoHyphens w:val="0"/>
              <w:ind w:firstLine="0"/>
              <w:jc w:val="right"/>
              <w:rPr>
                <w:b/>
                <w:bCs/>
                <w:sz w:val="20"/>
              </w:rPr>
            </w:pPr>
            <w:r>
              <w:rPr>
                <w:b/>
                <w:bCs/>
                <w:sz w:val="20"/>
              </w:rPr>
              <w:t>-1,69</w:t>
            </w:r>
            <w:r w:rsidR="00736B14" w:rsidRPr="00736B14">
              <w:rPr>
                <w:b/>
                <w:bCs/>
                <w:sz w:val="20"/>
              </w:rPr>
              <w:t>%</w:t>
            </w:r>
          </w:p>
        </w:tc>
        <w:tc>
          <w:tcPr>
            <w:tcW w:w="940" w:type="dxa"/>
            <w:shd w:val="clear" w:color="auto" w:fill="auto"/>
            <w:noWrap/>
            <w:vAlign w:val="bottom"/>
            <w:hideMark/>
          </w:tcPr>
          <w:p w14:paraId="520B8D76" w14:textId="77777777" w:rsidR="00736B14" w:rsidRPr="00736B14" w:rsidRDefault="00736B14" w:rsidP="00736B14">
            <w:pPr>
              <w:widowControl/>
              <w:suppressLineNumbers w:val="0"/>
              <w:suppressAutoHyphens w:val="0"/>
              <w:ind w:firstLine="0"/>
              <w:jc w:val="right"/>
              <w:rPr>
                <w:sz w:val="20"/>
              </w:rPr>
            </w:pPr>
            <w:r w:rsidRPr="00736B14">
              <w:rPr>
                <w:sz w:val="20"/>
              </w:rPr>
              <w:t>4.390.048</w:t>
            </w:r>
          </w:p>
        </w:tc>
      </w:tr>
      <w:tr w:rsidR="00736B14" w:rsidRPr="00736B14" w14:paraId="4B9736CA" w14:textId="77777777" w:rsidTr="00736B14">
        <w:trPr>
          <w:trHeight w:val="259"/>
        </w:trPr>
        <w:tc>
          <w:tcPr>
            <w:tcW w:w="2540" w:type="dxa"/>
            <w:shd w:val="clear" w:color="auto" w:fill="auto"/>
            <w:noWrap/>
            <w:vAlign w:val="center"/>
            <w:hideMark/>
          </w:tcPr>
          <w:p w14:paraId="261DC5F3" w14:textId="77777777" w:rsidR="00736B14" w:rsidRPr="00736B14" w:rsidRDefault="00736B14" w:rsidP="00736B14">
            <w:pPr>
              <w:widowControl/>
              <w:suppressLineNumbers w:val="0"/>
              <w:suppressAutoHyphens w:val="0"/>
              <w:ind w:firstLine="0"/>
              <w:jc w:val="left"/>
              <w:rPr>
                <w:b/>
                <w:bCs/>
                <w:sz w:val="20"/>
              </w:rPr>
            </w:pPr>
            <w:r w:rsidRPr="00736B14">
              <w:rPr>
                <w:b/>
                <w:bCs/>
                <w:sz w:val="20"/>
              </w:rPr>
              <w:t>Serviços Diversos</w:t>
            </w:r>
          </w:p>
        </w:tc>
        <w:tc>
          <w:tcPr>
            <w:tcW w:w="940" w:type="dxa"/>
            <w:shd w:val="clear" w:color="auto" w:fill="auto"/>
            <w:noWrap/>
            <w:vAlign w:val="bottom"/>
            <w:hideMark/>
          </w:tcPr>
          <w:p w14:paraId="5F3FBCC3" w14:textId="4F24828D" w:rsidR="00736B14" w:rsidRPr="00736B14" w:rsidRDefault="00736B14" w:rsidP="00736B14">
            <w:pPr>
              <w:widowControl/>
              <w:suppressLineNumbers w:val="0"/>
              <w:suppressAutoHyphens w:val="0"/>
              <w:ind w:firstLine="0"/>
              <w:jc w:val="right"/>
              <w:rPr>
                <w:sz w:val="20"/>
              </w:rPr>
            </w:pPr>
            <w:r w:rsidRPr="00736B14">
              <w:rPr>
                <w:sz w:val="20"/>
              </w:rPr>
              <w:t xml:space="preserve">   367.544 </w:t>
            </w:r>
          </w:p>
        </w:tc>
        <w:tc>
          <w:tcPr>
            <w:tcW w:w="1020" w:type="dxa"/>
            <w:shd w:val="clear" w:color="auto" w:fill="auto"/>
            <w:noWrap/>
            <w:vAlign w:val="center"/>
            <w:hideMark/>
          </w:tcPr>
          <w:p w14:paraId="2B397B9A" w14:textId="38278880" w:rsidR="00736B14" w:rsidRPr="00736B14" w:rsidRDefault="00C52339" w:rsidP="00736B14">
            <w:pPr>
              <w:widowControl/>
              <w:suppressLineNumbers w:val="0"/>
              <w:suppressAutoHyphens w:val="0"/>
              <w:ind w:firstLine="0"/>
              <w:jc w:val="right"/>
              <w:rPr>
                <w:b/>
                <w:bCs/>
                <w:sz w:val="20"/>
              </w:rPr>
            </w:pPr>
            <w:r>
              <w:rPr>
                <w:b/>
                <w:bCs/>
                <w:sz w:val="20"/>
              </w:rPr>
              <w:t>-2,05</w:t>
            </w:r>
            <w:r w:rsidR="00736B14" w:rsidRPr="00736B14">
              <w:rPr>
                <w:b/>
                <w:bCs/>
                <w:sz w:val="20"/>
              </w:rPr>
              <w:t>%</w:t>
            </w:r>
          </w:p>
        </w:tc>
        <w:tc>
          <w:tcPr>
            <w:tcW w:w="940" w:type="dxa"/>
            <w:shd w:val="clear" w:color="auto" w:fill="auto"/>
            <w:noWrap/>
            <w:vAlign w:val="bottom"/>
            <w:hideMark/>
          </w:tcPr>
          <w:p w14:paraId="574798F6" w14:textId="77777777" w:rsidR="00736B14" w:rsidRPr="00736B14" w:rsidRDefault="00736B14" w:rsidP="00736B14">
            <w:pPr>
              <w:widowControl/>
              <w:suppressLineNumbers w:val="0"/>
              <w:suppressAutoHyphens w:val="0"/>
              <w:ind w:firstLine="0"/>
              <w:jc w:val="right"/>
              <w:rPr>
                <w:sz w:val="20"/>
              </w:rPr>
            </w:pPr>
            <w:r w:rsidRPr="00736B14">
              <w:rPr>
                <w:sz w:val="20"/>
              </w:rPr>
              <w:t>360.007</w:t>
            </w:r>
          </w:p>
        </w:tc>
        <w:tc>
          <w:tcPr>
            <w:tcW w:w="1020" w:type="dxa"/>
            <w:shd w:val="clear" w:color="auto" w:fill="auto"/>
            <w:noWrap/>
            <w:vAlign w:val="center"/>
            <w:hideMark/>
          </w:tcPr>
          <w:p w14:paraId="70C40349" w14:textId="441CB574" w:rsidR="00736B14" w:rsidRPr="00736B14" w:rsidRDefault="00C52339" w:rsidP="00736B14">
            <w:pPr>
              <w:widowControl/>
              <w:suppressLineNumbers w:val="0"/>
              <w:suppressAutoHyphens w:val="0"/>
              <w:ind w:firstLine="0"/>
              <w:jc w:val="right"/>
              <w:rPr>
                <w:b/>
                <w:bCs/>
                <w:sz w:val="20"/>
              </w:rPr>
            </w:pPr>
            <w:r>
              <w:rPr>
                <w:b/>
                <w:bCs/>
                <w:sz w:val="20"/>
              </w:rPr>
              <w:t>-33,63</w:t>
            </w:r>
            <w:r w:rsidR="00736B14" w:rsidRPr="00736B14">
              <w:rPr>
                <w:b/>
                <w:bCs/>
                <w:sz w:val="20"/>
              </w:rPr>
              <w:t>%</w:t>
            </w:r>
          </w:p>
        </w:tc>
        <w:tc>
          <w:tcPr>
            <w:tcW w:w="940" w:type="dxa"/>
            <w:shd w:val="clear" w:color="auto" w:fill="auto"/>
            <w:noWrap/>
            <w:vAlign w:val="bottom"/>
            <w:hideMark/>
          </w:tcPr>
          <w:p w14:paraId="2ABEF345" w14:textId="77777777" w:rsidR="00736B14" w:rsidRPr="00736B14" w:rsidRDefault="00736B14" w:rsidP="00736B14">
            <w:pPr>
              <w:widowControl/>
              <w:suppressLineNumbers w:val="0"/>
              <w:suppressAutoHyphens w:val="0"/>
              <w:ind w:firstLine="0"/>
              <w:jc w:val="right"/>
              <w:rPr>
                <w:sz w:val="20"/>
              </w:rPr>
            </w:pPr>
            <w:r w:rsidRPr="00736B14">
              <w:rPr>
                <w:sz w:val="20"/>
              </w:rPr>
              <w:t>238.919</w:t>
            </w:r>
          </w:p>
        </w:tc>
        <w:tc>
          <w:tcPr>
            <w:tcW w:w="1020" w:type="dxa"/>
            <w:shd w:val="clear" w:color="auto" w:fill="auto"/>
            <w:noWrap/>
            <w:vAlign w:val="center"/>
            <w:hideMark/>
          </w:tcPr>
          <w:p w14:paraId="7A875955" w14:textId="49017F85" w:rsidR="00736B14" w:rsidRPr="00736B14" w:rsidRDefault="00C52339" w:rsidP="00736B14">
            <w:pPr>
              <w:widowControl/>
              <w:suppressLineNumbers w:val="0"/>
              <w:suppressAutoHyphens w:val="0"/>
              <w:ind w:firstLine="0"/>
              <w:jc w:val="right"/>
              <w:rPr>
                <w:b/>
                <w:bCs/>
                <w:sz w:val="20"/>
              </w:rPr>
            </w:pPr>
            <w:r>
              <w:rPr>
                <w:b/>
                <w:bCs/>
                <w:sz w:val="20"/>
              </w:rPr>
              <w:t>11,21</w:t>
            </w:r>
            <w:r w:rsidR="00736B14" w:rsidRPr="00736B14">
              <w:rPr>
                <w:b/>
                <w:bCs/>
                <w:sz w:val="20"/>
              </w:rPr>
              <w:t>%</w:t>
            </w:r>
          </w:p>
        </w:tc>
        <w:tc>
          <w:tcPr>
            <w:tcW w:w="940" w:type="dxa"/>
            <w:shd w:val="clear" w:color="auto" w:fill="auto"/>
            <w:noWrap/>
            <w:vAlign w:val="bottom"/>
            <w:hideMark/>
          </w:tcPr>
          <w:p w14:paraId="357B05B8" w14:textId="77777777" w:rsidR="00736B14" w:rsidRPr="00736B14" w:rsidRDefault="00736B14" w:rsidP="00736B14">
            <w:pPr>
              <w:widowControl/>
              <w:suppressLineNumbers w:val="0"/>
              <w:suppressAutoHyphens w:val="0"/>
              <w:ind w:firstLine="0"/>
              <w:jc w:val="right"/>
              <w:rPr>
                <w:sz w:val="20"/>
              </w:rPr>
            </w:pPr>
            <w:r w:rsidRPr="00736B14">
              <w:rPr>
                <w:sz w:val="20"/>
              </w:rPr>
              <w:t>265.694</w:t>
            </w:r>
          </w:p>
        </w:tc>
      </w:tr>
      <w:tr w:rsidR="00736B14" w:rsidRPr="00736B14" w14:paraId="3403FB89" w14:textId="77777777" w:rsidTr="00736B14">
        <w:trPr>
          <w:trHeight w:val="259"/>
        </w:trPr>
        <w:tc>
          <w:tcPr>
            <w:tcW w:w="2540" w:type="dxa"/>
            <w:shd w:val="clear" w:color="auto" w:fill="auto"/>
            <w:noWrap/>
            <w:vAlign w:val="center"/>
            <w:hideMark/>
          </w:tcPr>
          <w:p w14:paraId="031DC026" w14:textId="77777777" w:rsidR="00736B14" w:rsidRPr="00736B14" w:rsidRDefault="00736B14" w:rsidP="00736B14">
            <w:pPr>
              <w:widowControl/>
              <w:suppressLineNumbers w:val="0"/>
              <w:suppressAutoHyphens w:val="0"/>
              <w:ind w:firstLine="0"/>
              <w:jc w:val="left"/>
              <w:rPr>
                <w:b/>
                <w:bCs/>
                <w:sz w:val="20"/>
              </w:rPr>
            </w:pPr>
            <w:r w:rsidRPr="00736B14">
              <w:rPr>
                <w:b/>
                <w:bCs/>
                <w:sz w:val="20"/>
              </w:rPr>
              <w:t>Comércio</w:t>
            </w:r>
          </w:p>
        </w:tc>
        <w:tc>
          <w:tcPr>
            <w:tcW w:w="940" w:type="dxa"/>
            <w:shd w:val="clear" w:color="auto" w:fill="auto"/>
            <w:noWrap/>
            <w:vAlign w:val="bottom"/>
            <w:hideMark/>
          </w:tcPr>
          <w:p w14:paraId="27612056" w14:textId="17E2F1C3" w:rsidR="00736B14" w:rsidRPr="00736B14" w:rsidRDefault="00736B14" w:rsidP="00736B14">
            <w:pPr>
              <w:widowControl/>
              <w:suppressLineNumbers w:val="0"/>
              <w:suppressAutoHyphens w:val="0"/>
              <w:ind w:firstLine="0"/>
              <w:jc w:val="right"/>
              <w:rPr>
                <w:sz w:val="20"/>
              </w:rPr>
            </w:pPr>
            <w:r w:rsidRPr="00736B14">
              <w:rPr>
                <w:sz w:val="20"/>
              </w:rPr>
              <w:t xml:space="preserve">       4.538 </w:t>
            </w:r>
          </w:p>
        </w:tc>
        <w:tc>
          <w:tcPr>
            <w:tcW w:w="1020" w:type="dxa"/>
            <w:shd w:val="clear" w:color="auto" w:fill="auto"/>
            <w:noWrap/>
            <w:vAlign w:val="bottom"/>
            <w:hideMark/>
          </w:tcPr>
          <w:p w14:paraId="5422555D" w14:textId="75530BCB" w:rsidR="00736B14" w:rsidRPr="00736B14" w:rsidRDefault="00C52339" w:rsidP="00736B14">
            <w:pPr>
              <w:widowControl/>
              <w:suppressLineNumbers w:val="0"/>
              <w:suppressAutoHyphens w:val="0"/>
              <w:ind w:firstLine="0"/>
              <w:jc w:val="right"/>
              <w:rPr>
                <w:b/>
                <w:bCs/>
                <w:sz w:val="20"/>
              </w:rPr>
            </w:pPr>
            <w:r>
              <w:rPr>
                <w:b/>
                <w:bCs/>
                <w:sz w:val="20"/>
              </w:rPr>
              <w:t>-62,83</w:t>
            </w:r>
            <w:r w:rsidR="00736B14" w:rsidRPr="00736B14">
              <w:rPr>
                <w:b/>
                <w:bCs/>
                <w:sz w:val="20"/>
              </w:rPr>
              <w:t>%</w:t>
            </w:r>
          </w:p>
        </w:tc>
        <w:tc>
          <w:tcPr>
            <w:tcW w:w="940" w:type="dxa"/>
            <w:shd w:val="clear" w:color="auto" w:fill="auto"/>
            <w:noWrap/>
            <w:vAlign w:val="bottom"/>
            <w:hideMark/>
          </w:tcPr>
          <w:p w14:paraId="4431C4A0" w14:textId="77777777" w:rsidR="00736B14" w:rsidRPr="00736B14" w:rsidRDefault="00736B14" w:rsidP="00736B14">
            <w:pPr>
              <w:widowControl/>
              <w:suppressLineNumbers w:val="0"/>
              <w:suppressAutoHyphens w:val="0"/>
              <w:ind w:firstLine="0"/>
              <w:jc w:val="right"/>
              <w:rPr>
                <w:sz w:val="20"/>
              </w:rPr>
            </w:pPr>
            <w:r w:rsidRPr="00736B14">
              <w:rPr>
                <w:sz w:val="20"/>
              </w:rPr>
              <w:t>1.687</w:t>
            </w:r>
          </w:p>
        </w:tc>
        <w:tc>
          <w:tcPr>
            <w:tcW w:w="1020" w:type="dxa"/>
            <w:shd w:val="clear" w:color="auto" w:fill="auto"/>
            <w:noWrap/>
            <w:vAlign w:val="bottom"/>
            <w:hideMark/>
          </w:tcPr>
          <w:p w14:paraId="445100EC" w14:textId="29E151EF" w:rsidR="00736B14" w:rsidRPr="00736B14" w:rsidRDefault="00C52339" w:rsidP="00736B14">
            <w:pPr>
              <w:widowControl/>
              <w:suppressLineNumbers w:val="0"/>
              <w:suppressAutoHyphens w:val="0"/>
              <w:ind w:firstLine="0"/>
              <w:jc w:val="right"/>
              <w:rPr>
                <w:b/>
                <w:bCs/>
                <w:sz w:val="20"/>
              </w:rPr>
            </w:pPr>
            <w:r>
              <w:rPr>
                <w:b/>
                <w:bCs/>
                <w:sz w:val="20"/>
              </w:rPr>
              <w:t>109,54</w:t>
            </w:r>
            <w:r w:rsidR="00736B14" w:rsidRPr="00736B14">
              <w:rPr>
                <w:b/>
                <w:bCs/>
                <w:sz w:val="20"/>
              </w:rPr>
              <w:t>%</w:t>
            </w:r>
          </w:p>
        </w:tc>
        <w:tc>
          <w:tcPr>
            <w:tcW w:w="940" w:type="dxa"/>
            <w:shd w:val="clear" w:color="auto" w:fill="auto"/>
            <w:noWrap/>
            <w:vAlign w:val="bottom"/>
            <w:hideMark/>
          </w:tcPr>
          <w:p w14:paraId="729D2C8E" w14:textId="77777777" w:rsidR="00736B14" w:rsidRPr="00736B14" w:rsidRDefault="00736B14" w:rsidP="00736B14">
            <w:pPr>
              <w:widowControl/>
              <w:suppressLineNumbers w:val="0"/>
              <w:suppressAutoHyphens w:val="0"/>
              <w:ind w:firstLine="0"/>
              <w:jc w:val="right"/>
              <w:rPr>
                <w:sz w:val="20"/>
              </w:rPr>
            </w:pPr>
            <w:r w:rsidRPr="00736B14">
              <w:rPr>
                <w:sz w:val="20"/>
              </w:rPr>
              <w:t>3.535</w:t>
            </w:r>
          </w:p>
        </w:tc>
        <w:tc>
          <w:tcPr>
            <w:tcW w:w="1020" w:type="dxa"/>
            <w:shd w:val="clear" w:color="auto" w:fill="auto"/>
            <w:noWrap/>
            <w:vAlign w:val="bottom"/>
            <w:hideMark/>
          </w:tcPr>
          <w:p w14:paraId="12C34717" w14:textId="019E0F14" w:rsidR="00736B14" w:rsidRPr="00736B14" w:rsidRDefault="00C52339" w:rsidP="00736B14">
            <w:pPr>
              <w:widowControl/>
              <w:suppressLineNumbers w:val="0"/>
              <w:suppressAutoHyphens w:val="0"/>
              <w:ind w:firstLine="0"/>
              <w:jc w:val="right"/>
              <w:rPr>
                <w:b/>
                <w:bCs/>
                <w:sz w:val="20"/>
              </w:rPr>
            </w:pPr>
            <w:r>
              <w:rPr>
                <w:b/>
                <w:bCs/>
                <w:sz w:val="20"/>
              </w:rPr>
              <w:t>-46,53</w:t>
            </w:r>
            <w:r w:rsidR="00736B14" w:rsidRPr="00736B14">
              <w:rPr>
                <w:b/>
                <w:bCs/>
                <w:sz w:val="20"/>
              </w:rPr>
              <w:t>%</w:t>
            </w:r>
          </w:p>
        </w:tc>
        <w:tc>
          <w:tcPr>
            <w:tcW w:w="940" w:type="dxa"/>
            <w:shd w:val="clear" w:color="auto" w:fill="auto"/>
            <w:noWrap/>
            <w:vAlign w:val="bottom"/>
            <w:hideMark/>
          </w:tcPr>
          <w:p w14:paraId="688AE870" w14:textId="77777777" w:rsidR="00736B14" w:rsidRPr="00736B14" w:rsidRDefault="00736B14" w:rsidP="00736B14">
            <w:pPr>
              <w:widowControl/>
              <w:suppressLineNumbers w:val="0"/>
              <w:suppressAutoHyphens w:val="0"/>
              <w:ind w:firstLine="0"/>
              <w:jc w:val="right"/>
              <w:rPr>
                <w:sz w:val="20"/>
              </w:rPr>
            </w:pPr>
            <w:r w:rsidRPr="00736B14">
              <w:rPr>
                <w:sz w:val="20"/>
              </w:rPr>
              <w:t>1.890</w:t>
            </w:r>
          </w:p>
        </w:tc>
      </w:tr>
    </w:tbl>
    <w:p w14:paraId="2D9A532F" w14:textId="77777777" w:rsidR="00736B14" w:rsidRDefault="00736B14" w:rsidP="00736B14">
      <w:pPr>
        <w:tabs>
          <w:tab w:val="left" w:pos="142"/>
        </w:tabs>
        <w:ind w:firstLine="0"/>
        <w:rPr>
          <w:sz w:val="20"/>
        </w:rPr>
      </w:pPr>
      <w:r w:rsidRPr="00EC15C5">
        <w:rPr>
          <w:sz w:val="20"/>
        </w:rPr>
        <w:t>Legenda: %</w:t>
      </w:r>
      <w:r>
        <w:rPr>
          <w:sz w:val="20"/>
        </w:rPr>
        <w:t xml:space="preserve"> </w:t>
      </w:r>
      <w:r w:rsidRPr="00EC15C5">
        <w:rPr>
          <w:sz w:val="20"/>
        </w:rPr>
        <w:t>Evo = Percentagem de Evolução</w:t>
      </w:r>
    </w:p>
    <w:p w14:paraId="71088D35" w14:textId="77777777" w:rsidR="00B337B9" w:rsidRDefault="00B337B9" w:rsidP="00736B14">
      <w:pPr>
        <w:tabs>
          <w:tab w:val="left" w:pos="142"/>
        </w:tabs>
        <w:ind w:firstLine="0"/>
        <w:rPr>
          <w:sz w:val="20"/>
        </w:rPr>
      </w:pPr>
    </w:p>
    <w:p w14:paraId="79D70A16" w14:textId="77777777" w:rsidR="001F62FE" w:rsidRPr="00D933C5" w:rsidRDefault="001F62FE" w:rsidP="001F62FE">
      <w:pPr>
        <w:tabs>
          <w:tab w:val="left" w:pos="142"/>
        </w:tabs>
        <w:rPr>
          <w:szCs w:val="24"/>
        </w:rPr>
      </w:pPr>
      <w:r w:rsidRPr="00D933C5">
        <w:rPr>
          <w:szCs w:val="24"/>
        </w:rPr>
        <w:t>Observa-se um aumento significativo no subsetor de Construção e Engenharia entre os anos de 2016 e 2017, de forma isolada o aumento é ligado a empresa Mendes Jr incluída no seguimento de Construção Pesada, que divulgou um aumento no passivo contingente de possível ocor</w:t>
      </w:r>
      <w:r>
        <w:rPr>
          <w:szCs w:val="24"/>
        </w:rPr>
        <w:t>rência no ano de 2017,</w:t>
      </w:r>
      <w:r w:rsidRPr="00D933C5">
        <w:rPr>
          <w:szCs w:val="24"/>
        </w:rPr>
        <w:t xml:space="preserve"> a companhia em suas notas explicativas informa somente que a necessidade ou não da constituição da provisão é analisada periodicamente pelos seus consultores jurídicos, julgando não ser necessária maiores informações a respeito, pois acredita que as eventuais saídas de caixa não irão afetar a posição financeira da companhia.</w:t>
      </w:r>
    </w:p>
    <w:p w14:paraId="3AE4C5CB" w14:textId="2827E0F7" w:rsidR="00D933C5" w:rsidRPr="00D933C5" w:rsidRDefault="00D933C5" w:rsidP="00D933C5">
      <w:pPr>
        <w:tabs>
          <w:tab w:val="left" w:pos="142"/>
        </w:tabs>
        <w:rPr>
          <w:szCs w:val="24"/>
        </w:rPr>
      </w:pPr>
      <w:r w:rsidRPr="00D933C5">
        <w:rPr>
          <w:szCs w:val="24"/>
        </w:rPr>
        <w:t xml:space="preserve">No subsetor de </w:t>
      </w:r>
      <w:r w:rsidR="00912088">
        <w:rPr>
          <w:szCs w:val="24"/>
        </w:rPr>
        <w:t xml:space="preserve">Material de </w:t>
      </w:r>
      <w:r w:rsidRPr="00D933C5">
        <w:rPr>
          <w:szCs w:val="24"/>
        </w:rPr>
        <w:t>Transporte houve também de maneira expressiva uma evolução mais elevada em comparação as demais companhias, esta refere-se a empresa Rod Tiete que apresentou do ano de 2016 para 2017 um aumento de 309,89% em suas contingências trabalhistas, adicionalmente em suas notas explicativas.</w:t>
      </w:r>
    </w:p>
    <w:p w14:paraId="166D299C" w14:textId="47070734" w:rsidR="00B337B9" w:rsidRDefault="00D933C5" w:rsidP="00B337B9">
      <w:pPr>
        <w:tabs>
          <w:tab w:val="left" w:pos="142"/>
        </w:tabs>
        <w:rPr>
          <w:szCs w:val="24"/>
        </w:rPr>
      </w:pPr>
      <w:r w:rsidRPr="00D933C5">
        <w:rPr>
          <w:szCs w:val="24"/>
        </w:rPr>
        <w:t xml:space="preserve">Além das informações de suas provisões foi incluído o montante referentes </w:t>
      </w:r>
      <w:r w:rsidR="00912088" w:rsidRPr="00D933C5">
        <w:rPr>
          <w:szCs w:val="24"/>
        </w:rPr>
        <w:t>às</w:t>
      </w:r>
      <w:r w:rsidRPr="00D933C5">
        <w:rPr>
          <w:szCs w:val="24"/>
        </w:rPr>
        <w:t xml:space="preserve"> demandas trabalhistas em andamento, sendo 527 em 2017 e 302 no ano de 2016, também evidência os valores correspondentes a depósitos judiciais do início e final de cada período e destaca que o incremento nos valores provisionados se referem ao entendimento do judiciário que classificou a companhia como integrante de um grupo econômico, sendo este polo passivo perante a vara do trabalho, a companhia refuta tal entendimento e está tomando as medidas cabíveis, no entanto não acredita na ocorrência de perdas econômicas ligadas a este cenário. </w:t>
      </w:r>
    </w:p>
    <w:p w14:paraId="548540AB" w14:textId="3B1F6154" w:rsidR="00D933C5" w:rsidRDefault="00D933C5" w:rsidP="00D933C5">
      <w:pPr>
        <w:tabs>
          <w:tab w:val="left" w:pos="142"/>
        </w:tabs>
        <w:rPr>
          <w:szCs w:val="24"/>
        </w:rPr>
      </w:pPr>
      <w:r w:rsidRPr="00D933C5">
        <w:rPr>
          <w:szCs w:val="24"/>
        </w:rPr>
        <w:t>Neste cenário o subsetor de Transporte assim como mencionado na divulgação de Provisões com saída provável de recursos da entidade, se mantém como segmento detentor do maior volume de contingencias aqui reconhecidas como possíveis ou remotas de ocorrência. As contingências informadas pela subsetor de Consumo Cíc</w:t>
      </w:r>
      <w:r w:rsidR="001F62FE">
        <w:rPr>
          <w:szCs w:val="24"/>
        </w:rPr>
        <w:t>lico estão dispostas na Tabela 6</w:t>
      </w:r>
      <w:r w:rsidRPr="00D933C5">
        <w:rPr>
          <w:szCs w:val="24"/>
        </w:rPr>
        <w:t>, assim como seu comportamento quanto a evolução do período.</w:t>
      </w:r>
    </w:p>
    <w:p w14:paraId="2010D97F" w14:textId="77777777" w:rsidR="001F62FE" w:rsidRPr="00D933C5" w:rsidRDefault="001F62FE" w:rsidP="00D933C5">
      <w:pPr>
        <w:tabs>
          <w:tab w:val="left" w:pos="142"/>
        </w:tabs>
        <w:rPr>
          <w:szCs w:val="24"/>
        </w:rPr>
      </w:pPr>
    </w:p>
    <w:p w14:paraId="0C6AB9E6" w14:textId="2EE4F17B" w:rsidR="003C1CDA" w:rsidRPr="00203974" w:rsidRDefault="003C1CDA" w:rsidP="003C1CDA">
      <w:pPr>
        <w:pStyle w:val="Corpodetexto"/>
        <w:spacing w:after="0"/>
        <w:ind w:firstLine="0"/>
        <w:rPr>
          <w:szCs w:val="24"/>
        </w:rPr>
      </w:pPr>
      <w:r w:rsidRPr="00203974">
        <w:rPr>
          <w:szCs w:val="24"/>
        </w:rPr>
        <w:lastRenderedPageBreak/>
        <w:t xml:space="preserve">Tabela </w:t>
      </w:r>
      <w:r w:rsidR="001F62FE">
        <w:rPr>
          <w:szCs w:val="24"/>
        </w:rPr>
        <w:t>6</w:t>
      </w:r>
      <w:r w:rsidRPr="00203974">
        <w:rPr>
          <w:szCs w:val="24"/>
        </w:rPr>
        <w:t xml:space="preserve">. </w:t>
      </w:r>
    </w:p>
    <w:p w14:paraId="2A688AE5" w14:textId="4565FB21" w:rsidR="00D933C5" w:rsidRPr="003C1CDA" w:rsidRDefault="00D933C5" w:rsidP="003C1CDA">
      <w:pPr>
        <w:tabs>
          <w:tab w:val="left" w:pos="142"/>
        </w:tabs>
        <w:ind w:firstLine="0"/>
        <w:rPr>
          <w:b/>
          <w:szCs w:val="24"/>
        </w:rPr>
      </w:pPr>
      <w:r w:rsidRPr="003C1CDA">
        <w:rPr>
          <w:b/>
          <w:szCs w:val="24"/>
        </w:rPr>
        <w:t>Percentual Evolutivo Passivos Contingentes Trabalhista – Consumo Cíclico</w:t>
      </w:r>
    </w:p>
    <w:tbl>
      <w:tblPr>
        <w:tblW w:w="9360" w:type="dxa"/>
        <w:tblInd w:w="-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0"/>
        <w:gridCol w:w="940"/>
        <w:gridCol w:w="1020"/>
        <w:gridCol w:w="940"/>
        <w:gridCol w:w="1020"/>
        <w:gridCol w:w="940"/>
        <w:gridCol w:w="1020"/>
        <w:gridCol w:w="940"/>
      </w:tblGrid>
      <w:tr w:rsidR="00B337B9" w:rsidRPr="00B337B9" w14:paraId="28F15EDB" w14:textId="77777777" w:rsidTr="00A837D0">
        <w:trPr>
          <w:trHeight w:val="259"/>
        </w:trPr>
        <w:tc>
          <w:tcPr>
            <w:tcW w:w="2540" w:type="dxa"/>
            <w:shd w:val="clear" w:color="auto" w:fill="auto"/>
            <w:noWrap/>
            <w:vAlign w:val="center"/>
            <w:hideMark/>
          </w:tcPr>
          <w:p w14:paraId="29AA2A3D" w14:textId="77777777" w:rsidR="00B337B9" w:rsidRPr="00B337B9" w:rsidRDefault="00B337B9" w:rsidP="00A837D0">
            <w:pPr>
              <w:widowControl/>
              <w:suppressLineNumbers w:val="0"/>
              <w:suppressAutoHyphens w:val="0"/>
              <w:ind w:firstLine="0"/>
              <w:jc w:val="left"/>
              <w:rPr>
                <w:b/>
                <w:bCs/>
                <w:sz w:val="20"/>
              </w:rPr>
            </w:pPr>
            <w:r w:rsidRPr="00B337B9">
              <w:rPr>
                <w:b/>
                <w:bCs/>
                <w:sz w:val="20"/>
              </w:rPr>
              <w:t xml:space="preserve">SUBSETOR </w:t>
            </w:r>
          </w:p>
        </w:tc>
        <w:tc>
          <w:tcPr>
            <w:tcW w:w="940" w:type="dxa"/>
            <w:shd w:val="clear" w:color="auto" w:fill="auto"/>
            <w:noWrap/>
            <w:vAlign w:val="center"/>
            <w:hideMark/>
          </w:tcPr>
          <w:p w14:paraId="00232734" w14:textId="77777777" w:rsidR="00B337B9" w:rsidRPr="00B337B9" w:rsidRDefault="00B337B9" w:rsidP="00A837D0">
            <w:pPr>
              <w:widowControl/>
              <w:suppressLineNumbers w:val="0"/>
              <w:suppressAutoHyphens w:val="0"/>
              <w:ind w:firstLine="0"/>
              <w:jc w:val="center"/>
              <w:rPr>
                <w:b/>
                <w:bCs/>
                <w:sz w:val="20"/>
              </w:rPr>
            </w:pPr>
            <w:r w:rsidRPr="00B337B9">
              <w:rPr>
                <w:b/>
                <w:bCs/>
                <w:sz w:val="20"/>
              </w:rPr>
              <w:t>2015</w:t>
            </w:r>
          </w:p>
        </w:tc>
        <w:tc>
          <w:tcPr>
            <w:tcW w:w="1020" w:type="dxa"/>
            <w:shd w:val="clear" w:color="auto" w:fill="auto"/>
            <w:noWrap/>
            <w:vAlign w:val="center"/>
            <w:hideMark/>
          </w:tcPr>
          <w:p w14:paraId="5FA39C7A" w14:textId="77777777" w:rsidR="00B337B9" w:rsidRPr="00B337B9" w:rsidRDefault="00B337B9" w:rsidP="00A837D0">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22B6E311" w14:textId="77777777" w:rsidR="00B337B9" w:rsidRPr="00B337B9" w:rsidRDefault="00B337B9" w:rsidP="00A837D0">
            <w:pPr>
              <w:widowControl/>
              <w:suppressLineNumbers w:val="0"/>
              <w:suppressAutoHyphens w:val="0"/>
              <w:ind w:firstLine="0"/>
              <w:jc w:val="center"/>
              <w:rPr>
                <w:b/>
                <w:bCs/>
                <w:sz w:val="20"/>
              </w:rPr>
            </w:pPr>
            <w:r w:rsidRPr="00B337B9">
              <w:rPr>
                <w:b/>
                <w:bCs/>
                <w:sz w:val="20"/>
              </w:rPr>
              <w:t>2016</w:t>
            </w:r>
          </w:p>
        </w:tc>
        <w:tc>
          <w:tcPr>
            <w:tcW w:w="1020" w:type="dxa"/>
            <w:shd w:val="clear" w:color="auto" w:fill="auto"/>
            <w:noWrap/>
            <w:vAlign w:val="center"/>
            <w:hideMark/>
          </w:tcPr>
          <w:p w14:paraId="5D31D6DF" w14:textId="77777777" w:rsidR="00B337B9" w:rsidRPr="00B337B9" w:rsidRDefault="00B337B9" w:rsidP="00A837D0">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5C0CFEBA" w14:textId="77777777" w:rsidR="00B337B9" w:rsidRPr="00B337B9" w:rsidRDefault="00B337B9" w:rsidP="00A837D0">
            <w:pPr>
              <w:widowControl/>
              <w:suppressLineNumbers w:val="0"/>
              <w:suppressAutoHyphens w:val="0"/>
              <w:ind w:firstLine="0"/>
              <w:jc w:val="center"/>
              <w:rPr>
                <w:b/>
                <w:bCs/>
                <w:sz w:val="20"/>
              </w:rPr>
            </w:pPr>
            <w:r w:rsidRPr="00B337B9">
              <w:rPr>
                <w:b/>
                <w:bCs/>
                <w:sz w:val="20"/>
              </w:rPr>
              <w:t>2017</w:t>
            </w:r>
          </w:p>
        </w:tc>
        <w:tc>
          <w:tcPr>
            <w:tcW w:w="1020" w:type="dxa"/>
            <w:shd w:val="clear" w:color="auto" w:fill="auto"/>
            <w:noWrap/>
            <w:vAlign w:val="center"/>
            <w:hideMark/>
          </w:tcPr>
          <w:p w14:paraId="79951DFA" w14:textId="77777777" w:rsidR="00B337B9" w:rsidRPr="00B337B9" w:rsidRDefault="00B337B9" w:rsidP="00A837D0">
            <w:pPr>
              <w:widowControl/>
              <w:suppressLineNumbers w:val="0"/>
              <w:suppressAutoHyphens w:val="0"/>
              <w:ind w:firstLine="0"/>
              <w:jc w:val="center"/>
              <w:rPr>
                <w:b/>
                <w:bCs/>
                <w:sz w:val="20"/>
              </w:rPr>
            </w:pPr>
            <w:r w:rsidRPr="00EC15C5">
              <w:rPr>
                <w:b/>
                <w:bCs/>
                <w:sz w:val="20"/>
              </w:rPr>
              <w:t>% Evo</w:t>
            </w:r>
          </w:p>
        </w:tc>
        <w:tc>
          <w:tcPr>
            <w:tcW w:w="940" w:type="dxa"/>
            <w:shd w:val="clear" w:color="auto" w:fill="auto"/>
            <w:noWrap/>
            <w:vAlign w:val="center"/>
            <w:hideMark/>
          </w:tcPr>
          <w:p w14:paraId="68ABFC0D" w14:textId="77777777" w:rsidR="00B337B9" w:rsidRPr="00B337B9" w:rsidRDefault="00B337B9" w:rsidP="00A837D0">
            <w:pPr>
              <w:widowControl/>
              <w:suppressLineNumbers w:val="0"/>
              <w:suppressAutoHyphens w:val="0"/>
              <w:ind w:firstLine="0"/>
              <w:jc w:val="center"/>
              <w:rPr>
                <w:b/>
                <w:bCs/>
                <w:sz w:val="20"/>
              </w:rPr>
            </w:pPr>
            <w:r w:rsidRPr="00B337B9">
              <w:rPr>
                <w:b/>
                <w:bCs/>
                <w:sz w:val="20"/>
              </w:rPr>
              <w:t>2018</w:t>
            </w:r>
          </w:p>
        </w:tc>
      </w:tr>
      <w:tr w:rsidR="00B337B9" w:rsidRPr="00B337B9" w14:paraId="06DB2AED" w14:textId="77777777" w:rsidTr="00A837D0">
        <w:trPr>
          <w:trHeight w:val="259"/>
        </w:trPr>
        <w:tc>
          <w:tcPr>
            <w:tcW w:w="2540" w:type="dxa"/>
            <w:shd w:val="clear" w:color="auto" w:fill="auto"/>
            <w:noWrap/>
            <w:vAlign w:val="center"/>
            <w:hideMark/>
          </w:tcPr>
          <w:p w14:paraId="4ED0D31F" w14:textId="77777777" w:rsidR="00B337B9" w:rsidRPr="00B337B9" w:rsidRDefault="00B337B9" w:rsidP="00A837D0">
            <w:pPr>
              <w:widowControl/>
              <w:suppressLineNumbers w:val="0"/>
              <w:suppressAutoHyphens w:val="0"/>
              <w:ind w:firstLine="0"/>
              <w:jc w:val="left"/>
              <w:rPr>
                <w:b/>
                <w:bCs/>
                <w:sz w:val="20"/>
              </w:rPr>
            </w:pPr>
            <w:r w:rsidRPr="00B337B9">
              <w:rPr>
                <w:b/>
                <w:bCs/>
                <w:sz w:val="20"/>
              </w:rPr>
              <w:t>Construção Civil</w:t>
            </w:r>
          </w:p>
        </w:tc>
        <w:tc>
          <w:tcPr>
            <w:tcW w:w="940" w:type="dxa"/>
            <w:shd w:val="clear" w:color="auto" w:fill="auto"/>
            <w:noWrap/>
            <w:vAlign w:val="bottom"/>
            <w:hideMark/>
          </w:tcPr>
          <w:p w14:paraId="3C4024C1"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443.695 </w:t>
            </w:r>
          </w:p>
        </w:tc>
        <w:tc>
          <w:tcPr>
            <w:tcW w:w="1020" w:type="dxa"/>
            <w:shd w:val="clear" w:color="auto" w:fill="auto"/>
            <w:noWrap/>
            <w:vAlign w:val="bottom"/>
            <w:hideMark/>
          </w:tcPr>
          <w:p w14:paraId="03CEC773" w14:textId="143134D7" w:rsidR="00B337B9" w:rsidRPr="00B337B9" w:rsidRDefault="006B738F" w:rsidP="006B738F">
            <w:pPr>
              <w:widowControl/>
              <w:suppressLineNumbers w:val="0"/>
              <w:suppressAutoHyphens w:val="0"/>
              <w:ind w:firstLine="0"/>
              <w:jc w:val="right"/>
              <w:rPr>
                <w:b/>
                <w:bCs/>
                <w:sz w:val="20"/>
              </w:rPr>
            </w:pPr>
            <w:r>
              <w:rPr>
                <w:b/>
                <w:bCs/>
                <w:sz w:val="20"/>
              </w:rPr>
              <w:t>50,52</w:t>
            </w:r>
            <w:r w:rsidR="00B337B9" w:rsidRPr="00B337B9">
              <w:rPr>
                <w:b/>
                <w:bCs/>
                <w:sz w:val="20"/>
              </w:rPr>
              <w:t>%</w:t>
            </w:r>
          </w:p>
        </w:tc>
        <w:tc>
          <w:tcPr>
            <w:tcW w:w="940" w:type="dxa"/>
            <w:shd w:val="clear" w:color="auto" w:fill="auto"/>
            <w:noWrap/>
            <w:vAlign w:val="bottom"/>
            <w:hideMark/>
          </w:tcPr>
          <w:p w14:paraId="2EC63742" w14:textId="77777777" w:rsidR="00B337B9" w:rsidRPr="00B337B9" w:rsidRDefault="00B337B9" w:rsidP="006B738F">
            <w:pPr>
              <w:widowControl/>
              <w:suppressLineNumbers w:val="0"/>
              <w:suppressAutoHyphens w:val="0"/>
              <w:ind w:firstLine="0"/>
              <w:jc w:val="right"/>
              <w:rPr>
                <w:sz w:val="20"/>
              </w:rPr>
            </w:pPr>
            <w:r w:rsidRPr="00B337B9">
              <w:rPr>
                <w:sz w:val="20"/>
              </w:rPr>
              <w:t>667.855</w:t>
            </w:r>
          </w:p>
        </w:tc>
        <w:tc>
          <w:tcPr>
            <w:tcW w:w="1020" w:type="dxa"/>
            <w:shd w:val="clear" w:color="auto" w:fill="auto"/>
            <w:noWrap/>
            <w:vAlign w:val="bottom"/>
            <w:hideMark/>
          </w:tcPr>
          <w:p w14:paraId="0542A676" w14:textId="0CD63990" w:rsidR="00B337B9" w:rsidRPr="00B337B9" w:rsidRDefault="006B738F" w:rsidP="006B738F">
            <w:pPr>
              <w:widowControl/>
              <w:suppressLineNumbers w:val="0"/>
              <w:suppressAutoHyphens w:val="0"/>
              <w:ind w:firstLine="0"/>
              <w:jc w:val="right"/>
              <w:rPr>
                <w:b/>
                <w:bCs/>
                <w:sz w:val="20"/>
              </w:rPr>
            </w:pPr>
            <w:r>
              <w:rPr>
                <w:b/>
                <w:bCs/>
                <w:sz w:val="20"/>
              </w:rPr>
              <w:t>11,67</w:t>
            </w:r>
            <w:r w:rsidR="00B337B9" w:rsidRPr="00B337B9">
              <w:rPr>
                <w:b/>
                <w:bCs/>
                <w:sz w:val="20"/>
              </w:rPr>
              <w:t>%</w:t>
            </w:r>
          </w:p>
        </w:tc>
        <w:tc>
          <w:tcPr>
            <w:tcW w:w="940" w:type="dxa"/>
            <w:shd w:val="clear" w:color="auto" w:fill="auto"/>
            <w:noWrap/>
            <w:vAlign w:val="bottom"/>
            <w:hideMark/>
          </w:tcPr>
          <w:p w14:paraId="68F8BB48" w14:textId="77777777" w:rsidR="00B337B9" w:rsidRPr="00B337B9" w:rsidRDefault="00B337B9" w:rsidP="006B738F">
            <w:pPr>
              <w:widowControl/>
              <w:suppressLineNumbers w:val="0"/>
              <w:suppressAutoHyphens w:val="0"/>
              <w:ind w:firstLine="0"/>
              <w:jc w:val="right"/>
              <w:rPr>
                <w:sz w:val="20"/>
              </w:rPr>
            </w:pPr>
            <w:r w:rsidRPr="00B337B9">
              <w:rPr>
                <w:sz w:val="20"/>
              </w:rPr>
              <w:t>745.785</w:t>
            </w:r>
          </w:p>
        </w:tc>
        <w:tc>
          <w:tcPr>
            <w:tcW w:w="1020" w:type="dxa"/>
            <w:shd w:val="clear" w:color="auto" w:fill="auto"/>
            <w:noWrap/>
            <w:vAlign w:val="bottom"/>
            <w:hideMark/>
          </w:tcPr>
          <w:p w14:paraId="29359EC3" w14:textId="54F65BD9" w:rsidR="00B337B9" w:rsidRPr="00B337B9" w:rsidRDefault="006B738F" w:rsidP="006B738F">
            <w:pPr>
              <w:widowControl/>
              <w:suppressLineNumbers w:val="0"/>
              <w:suppressAutoHyphens w:val="0"/>
              <w:ind w:firstLine="0"/>
              <w:jc w:val="right"/>
              <w:rPr>
                <w:b/>
                <w:bCs/>
                <w:sz w:val="20"/>
              </w:rPr>
            </w:pPr>
            <w:r>
              <w:rPr>
                <w:b/>
                <w:bCs/>
                <w:sz w:val="20"/>
              </w:rPr>
              <w:t>-29,31</w:t>
            </w:r>
            <w:r w:rsidR="00B337B9" w:rsidRPr="00B337B9">
              <w:rPr>
                <w:b/>
                <w:bCs/>
                <w:sz w:val="20"/>
              </w:rPr>
              <w:t>%</w:t>
            </w:r>
          </w:p>
        </w:tc>
        <w:tc>
          <w:tcPr>
            <w:tcW w:w="940" w:type="dxa"/>
            <w:shd w:val="clear" w:color="auto" w:fill="auto"/>
            <w:noWrap/>
            <w:vAlign w:val="bottom"/>
            <w:hideMark/>
          </w:tcPr>
          <w:p w14:paraId="09185E02" w14:textId="77777777" w:rsidR="00B337B9" w:rsidRPr="00B337B9" w:rsidRDefault="00B337B9" w:rsidP="006B738F">
            <w:pPr>
              <w:widowControl/>
              <w:suppressLineNumbers w:val="0"/>
              <w:suppressAutoHyphens w:val="0"/>
              <w:ind w:firstLine="0"/>
              <w:jc w:val="right"/>
              <w:rPr>
                <w:sz w:val="20"/>
              </w:rPr>
            </w:pPr>
            <w:r w:rsidRPr="00B337B9">
              <w:rPr>
                <w:sz w:val="20"/>
              </w:rPr>
              <w:t>527.175</w:t>
            </w:r>
          </w:p>
        </w:tc>
      </w:tr>
      <w:tr w:rsidR="00B337B9" w:rsidRPr="00B337B9" w14:paraId="6566BCA0" w14:textId="77777777" w:rsidTr="00A837D0">
        <w:trPr>
          <w:trHeight w:val="259"/>
        </w:trPr>
        <w:tc>
          <w:tcPr>
            <w:tcW w:w="2540" w:type="dxa"/>
            <w:shd w:val="clear" w:color="auto" w:fill="auto"/>
            <w:noWrap/>
            <w:vAlign w:val="center"/>
            <w:hideMark/>
          </w:tcPr>
          <w:p w14:paraId="210A826B"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Tecidos, Vestuário e Calçados</w:t>
            </w:r>
          </w:p>
        </w:tc>
        <w:tc>
          <w:tcPr>
            <w:tcW w:w="940" w:type="dxa"/>
            <w:shd w:val="clear" w:color="auto" w:fill="auto"/>
            <w:noWrap/>
            <w:vAlign w:val="bottom"/>
            <w:hideMark/>
          </w:tcPr>
          <w:p w14:paraId="2B39FED1" w14:textId="77777777" w:rsidR="00B337B9" w:rsidRPr="00B337B9" w:rsidRDefault="00B337B9" w:rsidP="006B738F">
            <w:pPr>
              <w:widowControl/>
              <w:suppressLineNumbers w:val="0"/>
              <w:suppressAutoHyphens w:val="0"/>
              <w:ind w:firstLine="0"/>
              <w:jc w:val="right"/>
              <w:rPr>
                <w:sz w:val="20"/>
              </w:rPr>
            </w:pPr>
            <w:r w:rsidRPr="00B337B9">
              <w:rPr>
                <w:sz w:val="20"/>
              </w:rPr>
              <w:t xml:space="preserve">91.387 </w:t>
            </w:r>
          </w:p>
        </w:tc>
        <w:tc>
          <w:tcPr>
            <w:tcW w:w="1020" w:type="dxa"/>
            <w:shd w:val="clear" w:color="auto" w:fill="auto"/>
            <w:noWrap/>
            <w:vAlign w:val="bottom"/>
            <w:hideMark/>
          </w:tcPr>
          <w:p w14:paraId="6AF15763" w14:textId="1FBE1468" w:rsidR="00B337B9" w:rsidRPr="00B337B9" w:rsidRDefault="006B738F" w:rsidP="006B738F">
            <w:pPr>
              <w:widowControl/>
              <w:suppressLineNumbers w:val="0"/>
              <w:suppressAutoHyphens w:val="0"/>
              <w:ind w:firstLine="0"/>
              <w:jc w:val="right"/>
              <w:rPr>
                <w:b/>
                <w:bCs/>
                <w:sz w:val="20"/>
              </w:rPr>
            </w:pPr>
            <w:r>
              <w:rPr>
                <w:b/>
                <w:bCs/>
                <w:sz w:val="20"/>
              </w:rPr>
              <w:t>-9,00</w:t>
            </w:r>
            <w:r w:rsidR="00B337B9" w:rsidRPr="00B337B9">
              <w:rPr>
                <w:b/>
                <w:bCs/>
                <w:sz w:val="20"/>
              </w:rPr>
              <w:t>%</w:t>
            </w:r>
          </w:p>
        </w:tc>
        <w:tc>
          <w:tcPr>
            <w:tcW w:w="940" w:type="dxa"/>
            <w:shd w:val="clear" w:color="auto" w:fill="auto"/>
            <w:noWrap/>
            <w:vAlign w:val="bottom"/>
            <w:hideMark/>
          </w:tcPr>
          <w:p w14:paraId="47B26B66" w14:textId="77777777" w:rsidR="00B337B9" w:rsidRPr="00B337B9" w:rsidRDefault="00B337B9" w:rsidP="006B738F">
            <w:pPr>
              <w:widowControl/>
              <w:suppressLineNumbers w:val="0"/>
              <w:suppressAutoHyphens w:val="0"/>
              <w:ind w:firstLine="0"/>
              <w:jc w:val="right"/>
              <w:rPr>
                <w:sz w:val="20"/>
              </w:rPr>
            </w:pPr>
            <w:r w:rsidRPr="00B337B9">
              <w:rPr>
                <w:sz w:val="20"/>
              </w:rPr>
              <w:t>83.166</w:t>
            </w:r>
          </w:p>
        </w:tc>
        <w:tc>
          <w:tcPr>
            <w:tcW w:w="1020" w:type="dxa"/>
            <w:shd w:val="clear" w:color="auto" w:fill="auto"/>
            <w:noWrap/>
            <w:vAlign w:val="bottom"/>
            <w:hideMark/>
          </w:tcPr>
          <w:p w14:paraId="22CEFA67" w14:textId="511D1B4B" w:rsidR="00B337B9" w:rsidRPr="00B337B9" w:rsidRDefault="006B738F" w:rsidP="006B738F">
            <w:pPr>
              <w:widowControl/>
              <w:suppressLineNumbers w:val="0"/>
              <w:suppressAutoHyphens w:val="0"/>
              <w:ind w:firstLine="0"/>
              <w:jc w:val="right"/>
              <w:rPr>
                <w:b/>
                <w:bCs/>
                <w:sz w:val="20"/>
              </w:rPr>
            </w:pPr>
            <w:r>
              <w:rPr>
                <w:b/>
                <w:bCs/>
                <w:sz w:val="20"/>
              </w:rPr>
              <w:t>19,94</w:t>
            </w:r>
            <w:r w:rsidR="00B337B9" w:rsidRPr="00B337B9">
              <w:rPr>
                <w:b/>
                <w:bCs/>
                <w:sz w:val="20"/>
              </w:rPr>
              <w:t>%</w:t>
            </w:r>
          </w:p>
        </w:tc>
        <w:tc>
          <w:tcPr>
            <w:tcW w:w="940" w:type="dxa"/>
            <w:shd w:val="clear" w:color="auto" w:fill="auto"/>
            <w:noWrap/>
            <w:vAlign w:val="bottom"/>
            <w:hideMark/>
          </w:tcPr>
          <w:p w14:paraId="79690CCB" w14:textId="77777777" w:rsidR="00B337B9" w:rsidRPr="00B337B9" w:rsidRDefault="00B337B9" w:rsidP="006B738F">
            <w:pPr>
              <w:widowControl/>
              <w:suppressLineNumbers w:val="0"/>
              <w:suppressAutoHyphens w:val="0"/>
              <w:ind w:firstLine="0"/>
              <w:jc w:val="right"/>
              <w:rPr>
                <w:sz w:val="20"/>
              </w:rPr>
            </w:pPr>
            <w:r w:rsidRPr="00B337B9">
              <w:rPr>
                <w:sz w:val="20"/>
              </w:rPr>
              <w:t>99.751</w:t>
            </w:r>
          </w:p>
        </w:tc>
        <w:tc>
          <w:tcPr>
            <w:tcW w:w="1020" w:type="dxa"/>
            <w:shd w:val="clear" w:color="auto" w:fill="auto"/>
            <w:noWrap/>
            <w:vAlign w:val="bottom"/>
            <w:hideMark/>
          </w:tcPr>
          <w:p w14:paraId="4E1CBD9C" w14:textId="357F4B23" w:rsidR="00B337B9" w:rsidRPr="00B337B9" w:rsidRDefault="006B738F" w:rsidP="006B738F">
            <w:pPr>
              <w:widowControl/>
              <w:suppressLineNumbers w:val="0"/>
              <w:suppressAutoHyphens w:val="0"/>
              <w:ind w:firstLine="0"/>
              <w:jc w:val="right"/>
              <w:rPr>
                <w:b/>
                <w:bCs/>
                <w:sz w:val="20"/>
              </w:rPr>
            </w:pPr>
            <w:r>
              <w:rPr>
                <w:b/>
                <w:bCs/>
                <w:sz w:val="20"/>
              </w:rPr>
              <w:t>-24,14</w:t>
            </w:r>
            <w:r w:rsidR="00B337B9" w:rsidRPr="00B337B9">
              <w:rPr>
                <w:b/>
                <w:bCs/>
                <w:sz w:val="20"/>
              </w:rPr>
              <w:t>%</w:t>
            </w:r>
          </w:p>
        </w:tc>
        <w:tc>
          <w:tcPr>
            <w:tcW w:w="940" w:type="dxa"/>
            <w:shd w:val="clear" w:color="auto" w:fill="auto"/>
            <w:noWrap/>
            <w:vAlign w:val="bottom"/>
            <w:hideMark/>
          </w:tcPr>
          <w:p w14:paraId="3FA2D8DF" w14:textId="77777777" w:rsidR="00B337B9" w:rsidRPr="00B337B9" w:rsidRDefault="00B337B9" w:rsidP="006B738F">
            <w:pPr>
              <w:widowControl/>
              <w:suppressLineNumbers w:val="0"/>
              <w:suppressAutoHyphens w:val="0"/>
              <w:ind w:firstLine="0"/>
              <w:jc w:val="right"/>
              <w:rPr>
                <w:sz w:val="20"/>
              </w:rPr>
            </w:pPr>
            <w:r w:rsidRPr="00B337B9">
              <w:rPr>
                <w:sz w:val="20"/>
              </w:rPr>
              <w:t>75.674</w:t>
            </w:r>
          </w:p>
        </w:tc>
      </w:tr>
      <w:tr w:rsidR="00B337B9" w:rsidRPr="00B337B9" w14:paraId="10B77592" w14:textId="77777777" w:rsidTr="00A837D0">
        <w:trPr>
          <w:trHeight w:val="259"/>
        </w:trPr>
        <w:tc>
          <w:tcPr>
            <w:tcW w:w="2540" w:type="dxa"/>
            <w:shd w:val="clear" w:color="auto" w:fill="auto"/>
            <w:noWrap/>
            <w:vAlign w:val="center"/>
            <w:hideMark/>
          </w:tcPr>
          <w:p w14:paraId="315F2942"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Utilidades Domésticas</w:t>
            </w:r>
          </w:p>
        </w:tc>
        <w:tc>
          <w:tcPr>
            <w:tcW w:w="940" w:type="dxa"/>
            <w:shd w:val="clear" w:color="auto" w:fill="auto"/>
            <w:noWrap/>
            <w:vAlign w:val="bottom"/>
            <w:hideMark/>
          </w:tcPr>
          <w:p w14:paraId="2ABE885E"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4.142 </w:t>
            </w:r>
          </w:p>
        </w:tc>
        <w:tc>
          <w:tcPr>
            <w:tcW w:w="1020" w:type="dxa"/>
            <w:shd w:val="clear" w:color="auto" w:fill="auto"/>
            <w:noWrap/>
            <w:vAlign w:val="center"/>
            <w:hideMark/>
          </w:tcPr>
          <w:p w14:paraId="6A824B3F" w14:textId="56235867" w:rsidR="00B337B9" w:rsidRPr="00B337B9" w:rsidRDefault="006B738F" w:rsidP="006B738F">
            <w:pPr>
              <w:widowControl/>
              <w:suppressLineNumbers w:val="0"/>
              <w:suppressAutoHyphens w:val="0"/>
              <w:ind w:firstLine="0"/>
              <w:jc w:val="right"/>
              <w:rPr>
                <w:b/>
                <w:bCs/>
                <w:sz w:val="20"/>
              </w:rPr>
            </w:pPr>
            <w:r>
              <w:rPr>
                <w:b/>
                <w:bCs/>
                <w:sz w:val="20"/>
              </w:rPr>
              <w:t>-5,60</w:t>
            </w:r>
            <w:r w:rsidR="00B337B9" w:rsidRPr="00B337B9">
              <w:rPr>
                <w:b/>
                <w:bCs/>
                <w:sz w:val="20"/>
              </w:rPr>
              <w:t>%</w:t>
            </w:r>
          </w:p>
        </w:tc>
        <w:tc>
          <w:tcPr>
            <w:tcW w:w="940" w:type="dxa"/>
            <w:shd w:val="clear" w:color="auto" w:fill="auto"/>
            <w:noWrap/>
            <w:vAlign w:val="bottom"/>
            <w:hideMark/>
          </w:tcPr>
          <w:p w14:paraId="238DAC92" w14:textId="77777777" w:rsidR="00B337B9" w:rsidRPr="00B337B9" w:rsidRDefault="00B337B9" w:rsidP="006B738F">
            <w:pPr>
              <w:widowControl/>
              <w:suppressLineNumbers w:val="0"/>
              <w:suppressAutoHyphens w:val="0"/>
              <w:ind w:firstLine="0"/>
              <w:jc w:val="right"/>
              <w:rPr>
                <w:sz w:val="20"/>
              </w:rPr>
            </w:pPr>
            <w:r w:rsidRPr="00B337B9">
              <w:rPr>
                <w:sz w:val="20"/>
              </w:rPr>
              <w:t>3.910</w:t>
            </w:r>
          </w:p>
        </w:tc>
        <w:tc>
          <w:tcPr>
            <w:tcW w:w="1020" w:type="dxa"/>
            <w:shd w:val="clear" w:color="auto" w:fill="auto"/>
            <w:noWrap/>
            <w:vAlign w:val="center"/>
            <w:hideMark/>
          </w:tcPr>
          <w:p w14:paraId="0D221A1C" w14:textId="5B22C7B6" w:rsidR="00B337B9" w:rsidRPr="00B337B9" w:rsidRDefault="006B738F" w:rsidP="006B738F">
            <w:pPr>
              <w:widowControl/>
              <w:suppressLineNumbers w:val="0"/>
              <w:suppressAutoHyphens w:val="0"/>
              <w:ind w:firstLine="0"/>
              <w:jc w:val="right"/>
              <w:rPr>
                <w:b/>
                <w:bCs/>
                <w:sz w:val="20"/>
              </w:rPr>
            </w:pPr>
            <w:r>
              <w:rPr>
                <w:b/>
                <w:bCs/>
                <w:sz w:val="20"/>
              </w:rPr>
              <w:t>-9,36</w:t>
            </w:r>
            <w:r w:rsidR="00B337B9" w:rsidRPr="00B337B9">
              <w:rPr>
                <w:b/>
                <w:bCs/>
                <w:sz w:val="20"/>
              </w:rPr>
              <w:t>%</w:t>
            </w:r>
          </w:p>
        </w:tc>
        <w:tc>
          <w:tcPr>
            <w:tcW w:w="940" w:type="dxa"/>
            <w:shd w:val="clear" w:color="auto" w:fill="auto"/>
            <w:noWrap/>
            <w:vAlign w:val="bottom"/>
            <w:hideMark/>
          </w:tcPr>
          <w:p w14:paraId="70505912" w14:textId="77777777" w:rsidR="00B337B9" w:rsidRPr="00B337B9" w:rsidRDefault="00B337B9" w:rsidP="006B738F">
            <w:pPr>
              <w:widowControl/>
              <w:suppressLineNumbers w:val="0"/>
              <w:suppressAutoHyphens w:val="0"/>
              <w:ind w:firstLine="0"/>
              <w:jc w:val="right"/>
              <w:rPr>
                <w:sz w:val="20"/>
              </w:rPr>
            </w:pPr>
            <w:r w:rsidRPr="00B337B9">
              <w:rPr>
                <w:sz w:val="20"/>
              </w:rPr>
              <w:t>3.544</w:t>
            </w:r>
          </w:p>
        </w:tc>
        <w:tc>
          <w:tcPr>
            <w:tcW w:w="1020" w:type="dxa"/>
            <w:shd w:val="clear" w:color="auto" w:fill="auto"/>
            <w:noWrap/>
            <w:vAlign w:val="center"/>
            <w:hideMark/>
          </w:tcPr>
          <w:p w14:paraId="5575EA85" w14:textId="0D2BDB94" w:rsidR="00B337B9" w:rsidRPr="00B337B9" w:rsidRDefault="006B738F" w:rsidP="006B738F">
            <w:pPr>
              <w:widowControl/>
              <w:suppressLineNumbers w:val="0"/>
              <w:suppressAutoHyphens w:val="0"/>
              <w:ind w:firstLine="0"/>
              <w:jc w:val="right"/>
              <w:rPr>
                <w:b/>
                <w:bCs/>
                <w:sz w:val="20"/>
              </w:rPr>
            </w:pPr>
            <w:r>
              <w:rPr>
                <w:b/>
                <w:bCs/>
                <w:sz w:val="20"/>
              </w:rPr>
              <w:t>-52,79</w:t>
            </w:r>
            <w:r w:rsidR="00B337B9" w:rsidRPr="00B337B9">
              <w:rPr>
                <w:b/>
                <w:bCs/>
                <w:sz w:val="20"/>
              </w:rPr>
              <w:t>%</w:t>
            </w:r>
          </w:p>
        </w:tc>
        <w:tc>
          <w:tcPr>
            <w:tcW w:w="940" w:type="dxa"/>
            <w:shd w:val="clear" w:color="auto" w:fill="auto"/>
            <w:noWrap/>
            <w:vAlign w:val="bottom"/>
            <w:hideMark/>
          </w:tcPr>
          <w:p w14:paraId="27B2C836" w14:textId="77777777" w:rsidR="00B337B9" w:rsidRPr="00B337B9" w:rsidRDefault="00B337B9" w:rsidP="006B738F">
            <w:pPr>
              <w:widowControl/>
              <w:suppressLineNumbers w:val="0"/>
              <w:suppressAutoHyphens w:val="0"/>
              <w:ind w:firstLine="0"/>
              <w:jc w:val="right"/>
              <w:rPr>
                <w:sz w:val="20"/>
              </w:rPr>
            </w:pPr>
            <w:r w:rsidRPr="00B337B9">
              <w:rPr>
                <w:sz w:val="20"/>
              </w:rPr>
              <w:t>1.673</w:t>
            </w:r>
          </w:p>
        </w:tc>
      </w:tr>
      <w:tr w:rsidR="00B337B9" w:rsidRPr="00B337B9" w14:paraId="47CB65FD" w14:textId="77777777" w:rsidTr="00A837D0">
        <w:trPr>
          <w:trHeight w:val="259"/>
        </w:trPr>
        <w:tc>
          <w:tcPr>
            <w:tcW w:w="2540" w:type="dxa"/>
            <w:shd w:val="clear" w:color="auto" w:fill="auto"/>
            <w:noWrap/>
            <w:vAlign w:val="center"/>
            <w:hideMark/>
          </w:tcPr>
          <w:p w14:paraId="69260D1F"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Automóveis e Motocicletas</w:t>
            </w:r>
          </w:p>
        </w:tc>
        <w:tc>
          <w:tcPr>
            <w:tcW w:w="940" w:type="dxa"/>
            <w:shd w:val="clear" w:color="auto" w:fill="auto"/>
            <w:noWrap/>
            <w:vAlign w:val="bottom"/>
            <w:hideMark/>
          </w:tcPr>
          <w:p w14:paraId="73D2491B"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100.615 </w:t>
            </w:r>
          </w:p>
        </w:tc>
        <w:tc>
          <w:tcPr>
            <w:tcW w:w="1020" w:type="dxa"/>
            <w:shd w:val="clear" w:color="auto" w:fill="auto"/>
            <w:noWrap/>
            <w:vAlign w:val="bottom"/>
            <w:hideMark/>
          </w:tcPr>
          <w:p w14:paraId="654B91C2" w14:textId="0BDC70C5" w:rsidR="00B337B9" w:rsidRPr="00B337B9" w:rsidRDefault="006B738F" w:rsidP="006B738F">
            <w:pPr>
              <w:widowControl/>
              <w:suppressLineNumbers w:val="0"/>
              <w:suppressAutoHyphens w:val="0"/>
              <w:ind w:firstLine="0"/>
              <w:jc w:val="right"/>
              <w:rPr>
                <w:b/>
                <w:bCs/>
                <w:sz w:val="20"/>
              </w:rPr>
            </w:pPr>
            <w:r>
              <w:rPr>
                <w:b/>
                <w:bCs/>
                <w:sz w:val="20"/>
              </w:rPr>
              <w:t>45,33</w:t>
            </w:r>
            <w:r w:rsidR="00B337B9" w:rsidRPr="00B337B9">
              <w:rPr>
                <w:b/>
                <w:bCs/>
                <w:sz w:val="20"/>
              </w:rPr>
              <w:t>%</w:t>
            </w:r>
          </w:p>
        </w:tc>
        <w:tc>
          <w:tcPr>
            <w:tcW w:w="940" w:type="dxa"/>
            <w:shd w:val="clear" w:color="auto" w:fill="auto"/>
            <w:noWrap/>
            <w:vAlign w:val="bottom"/>
            <w:hideMark/>
          </w:tcPr>
          <w:p w14:paraId="1F23B08C" w14:textId="77777777" w:rsidR="00B337B9" w:rsidRPr="00B337B9" w:rsidRDefault="00B337B9" w:rsidP="006B738F">
            <w:pPr>
              <w:widowControl/>
              <w:suppressLineNumbers w:val="0"/>
              <w:suppressAutoHyphens w:val="0"/>
              <w:ind w:firstLine="0"/>
              <w:jc w:val="right"/>
              <w:rPr>
                <w:sz w:val="20"/>
              </w:rPr>
            </w:pPr>
            <w:r w:rsidRPr="00B337B9">
              <w:rPr>
                <w:sz w:val="20"/>
              </w:rPr>
              <w:t>146.224</w:t>
            </w:r>
          </w:p>
        </w:tc>
        <w:tc>
          <w:tcPr>
            <w:tcW w:w="1020" w:type="dxa"/>
            <w:shd w:val="clear" w:color="auto" w:fill="auto"/>
            <w:noWrap/>
            <w:vAlign w:val="bottom"/>
            <w:hideMark/>
          </w:tcPr>
          <w:p w14:paraId="3738A202" w14:textId="22500267" w:rsidR="00B337B9" w:rsidRPr="00B337B9" w:rsidRDefault="006B738F" w:rsidP="006B738F">
            <w:pPr>
              <w:widowControl/>
              <w:suppressLineNumbers w:val="0"/>
              <w:suppressAutoHyphens w:val="0"/>
              <w:ind w:firstLine="0"/>
              <w:jc w:val="right"/>
              <w:rPr>
                <w:b/>
                <w:bCs/>
                <w:sz w:val="20"/>
              </w:rPr>
            </w:pPr>
            <w:r>
              <w:rPr>
                <w:b/>
                <w:bCs/>
                <w:sz w:val="20"/>
              </w:rPr>
              <w:t>71,84</w:t>
            </w:r>
            <w:r w:rsidR="00B337B9" w:rsidRPr="00B337B9">
              <w:rPr>
                <w:b/>
                <w:bCs/>
                <w:sz w:val="20"/>
              </w:rPr>
              <w:t>%</w:t>
            </w:r>
          </w:p>
        </w:tc>
        <w:tc>
          <w:tcPr>
            <w:tcW w:w="940" w:type="dxa"/>
            <w:shd w:val="clear" w:color="auto" w:fill="auto"/>
            <w:noWrap/>
            <w:vAlign w:val="bottom"/>
            <w:hideMark/>
          </w:tcPr>
          <w:p w14:paraId="12ABF495" w14:textId="77777777" w:rsidR="00B337B9" w:rsidRPr="00B337B9" w:rsidRDefault="00B337B9" w:rsidP="006B738F">
            <w:pPr>
              <w:widowControl/>
              <w:suppressLineNumbers w:val="0"/>
              <w:suppressAutoHyphens w:val="0"/>
              <w:ind w:firstLine="0"/>
              <w:jc w:val="right"/>
              <w:rPr>
                <w:sz w:val="20"/>
              </w:rPr>
            </w:pPr>
            <w:r w:rsidRPr="00B337B9">
              <w:rPr>
                <w:sz w:val="20"/>
              </w:rPr>
              <w:t>251.266</w:t>
            </w:r>
          </w:p>
        </w:tc>
        <w:tc>
          <w:tcPr>
            <w:tcW w:w="1020" w:type="dxa"/>
            <w:shd w:val="clear" w:color="auto" w:fill="auto"/>
            <w:noWrap/>
            <w:vAlign w:val="bottom"/>
            <w:hideMark/>
          </w:tcPr>
          <w:p w14:paraId="69D2A10A" w14:textId="3F406379" w:rsidR="00B337B9" w:rsidRPr="00B337B9" w:rsidRDefault="006B738F" w:rsidP="006B738F">
            <w:pPr>
              <w:widowControl/>
              <w:suppressLineNumbers w:val="0"/>
              <w:suppressAutoHyphens w:val="0"/>
              <w:ind w:firstLine="0"/>
              <w:jc w:val="right"/>
              <w:rPr>
                <w:b/>
                <w:bCs/>
                <w:sz w:val="20"/>
              </w:rPr>
            </w:pPr>
            <w:r>
              <w:rPr>
                <w:b/>
                <w:bCs/>
                <w:sz w:val="20"/>
              </w:rPr>
              <w:t>4,91</w:t>
            </w:r>
            <w:r w:rsidR="00B337B9" w:rsidRPr="00B337B9">
              <w:rPr>
                <w:b/>
                <w:bCs/>
                <w:sz w:val="20"/>
              </w:rPr>
              <w:t>%</w:t>
            </w:r>
          </w:p>
        </w:tc>
        <w:tc>
          <w:tcPr>
            <w:tcW w:w="940" w:type="dxa"/>
            <w:shd w:val="clear" w:color="auto" w:fill="auto"/>
            <w:noWrap/>
            <w:vAlign w:val="bottom"/>
            <w:hideMark/>
          </w:tcPr>
          <w:p w14:paraId="5078DD37" w14:textId="77777777" w:rsidR="00B337B9" w:rsidRPr="00B337B9" w:rsidRDefault="00B337B9" w:rsidP="006B738F">
            <w:pPr>
              <w:widowControl/>
              <w:suppressLineNumbers w:val="0"/>
              <w:suppressAutoHyphens w:val="0"/>
              <w:ind w:firstLine="0"/>
              <w:jc w:val="right"/>
              <w:rPr>
                <w:sz w:val="20"/>
              </w:rPr>
            </w:pPr>
            <w:r w:rsidRPr="00B337B9">
              <w:rPr>
                <w:sz w:val="20"/>
              </w:rPr>
              <w:t>263.615</w:t>
            </w:r>
          </w:p>
        </w:tc>
      </w:tr>
      <w:tr w:rsidR="00B337B9" w:rsidRPr="00B337B9" w14:paraId="30AD6805" w14:textId="77777777" w:rsidTr="00A837D0">
        <w:trPr>
          <w:trHeight w:val="259"/>
        </w:trPr>
        <w:tc>
          <w:tcPr>
            <w:tcW w:w="2540" w:type="dxa"/>
            <w:shd w:val="clear" w:color="auto" w:fill="auto"/>
            <w:noWrap/>
            <w:vAlign w:val="center"/>
            <w:hideMark/>
          </w:tcPr>
          <w:p w14:paraId="61148109"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Mídia</w:t>
            </w:r>
          </w:p>
        </w:tc>
        <w:tc>
          <w:tcPr>
            <w:tcW w:w="940" w:type="dxa"/>
            <w:shd w:val="clear" w:color="auto" w:fill="auto"/>
            <w:noWrap/>
            <w:vAlign w:val="bottom"/>
            <w:hideMark/>
          </w:tcPr>
          <w:p w14:paraId="6AA72636"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45 </w:t>
            </w:r>
          </w:p>
        </w:tc>
        <w:tc>
          <w:tcPr>
            <w:tcW w:w="1020" w:type="dxa"/>
            <w:shd w:val="clear" w:color="auto" w:fill="auto"/>
            <w:noWrap/>
            <w:vAlign w:val="center"/>
            <w:hideMark/>
          </w:tcPr>
          <w:p w14:paraId="2971CDB2" w14:textId="5BB92703" w:rsidR="00B337B9" w:rsidRPr="00B337B9" w:rsidRDefault="006B738F" w:rsidP="006B738F">
            <w:pPr>
              <w:widowControl/>
              <w:suppressLineNumbers w:val="0"/>
              <w:suppressAutoHyphens w:val="0"/>
              <w:ind w:firstLine="0"/>
              <w:jc w:val="right"/>
              <w:rPr>
                <w:b/>
                <w:bCs/>
                <w:sz w:val="20"/>
              </w:rPr>
            </w:pPr>
            <w:r>
              <w:rPr>
                <w:b/>
                <w:bCs/>
                <w:sz w:val="20"/>
              </w:rPr>
              <w:t>-8,89</w:t>
            </w:r>
            <w:r w:rsidR="00B337B9" w:rsidRPr="00B337B9">
              <w:rPr>
                <w:b/>
                <w:bCs/>
                <w:sz w:val="20"/>
              </w:rPr>
              <w:t>%</w:t>
            </w:r>
          </w:p>
        </w:tc>
        <w:tc>
          <w:tcPr>
            <w:tcW w:w="940" w:type="dxa"/>
            <w:shd w:val="clear" w:color="auto" w:fill="auto"/>
            <w:noWrap/>
            <w:vAlign w:val="bottom"/>
            <w:hideMark/>
          </w:tcPr>
          <w:p w14:paraId="0DECE49B" w14:textId="77777777" w:rsidR="00B337B9" w:rsidRPr="00B337B9" w:rsidRDefault="00B337B9" w:rsidP="006B738F">
            <w:pPr>
              <w:widowControl/>
              <w:suppressLineNumbers w:val="0"/>
              <w:suppressAutoHyphens w:val="0"/>
              <w:ind w:firstLine="0"/>
              <w:jc w:val="right"/>
              <w:rPr>
                <w:sz w:val="20"/>
              </w:rPr>
            </w:pPr>
            <w:r w:rsidRPr="00B337B9">
              <w:rPr>
                <w:sz w:val="20"/>
              </w:rPr>
              <w:t>41</w:t>
            </w:r>
          </w:p>
        </w:tc>
        <w:tc>
          <w:tcPr>
            <w:tcW w:w="1020" w:type="dxa"/>
            <w:shd w:val="clear" w:color="auto" w:fill="auto"/>
            <w:noWrap/>
            <w:vAlign w:val="center"/>
            <w:hideMark/>
          </w:tcPr>
          <w:p w14:paraId="540AD7F6" w14:textId="2265C75D" w:rsidR="00B337B9" w:rsidRPr="00B337B9" w:rsidRDefault="006B738F" w:rsidP="006B738F">
            <w:pPr>
              <w:widowControl/>
              <w:suppressLineNumbers w:val="0"/>
              <w:suppressAutoHyphens w:val="0"/>
              <w:ind w:firstLine="0"/>
              <w:jc w:val="right"/>
              <w:rPr>
                <w:b/>
                <w:bCs/>
                <w:sz w:val="20"/>
              </w:rPr>
            </w:pPr>
            <w:r>
              <w:rPr>
                <w:b/>
                <w:bCs/>
                <w:sz w:val="20"/>
              </w:rPr>
              <w:t>14,63</w:t>
            </w:r>
            <w:r w:rsidR="00B337B9" w:rsidRPr="00B337B9">
              <w:rPr>
                <w:b/>
                <w:bCs/>
                <w:sz w:val="20"/>
              </w:rPr>
              <w:t>%</w:t>
            </w:r>
          </w:p>
        </w:tc>
        <w:tc>
          <w:tcPr>
            <w:tcW w:w="940" w:type="dxa"/>
            <w:shd w:val="clear" w:color="auto" w:fill="auto"/>
            <w:noWrap/>
            <w:vAlign w:val="bottom"/>
            <w:hideMark/>
          </w:tcPr>
          <w:p w14:paraId="3F0BE769" w14:textId="77777777" w:rsidR="00B337B9" w:rsidRPr="00B337B9" w:rsidRDefault="00B337B9" w:rsidP="006B738F">
            <w:pPr>
              <w:widowControl/>
              <w:suppressLineNumbers w:val="0"/>
              <w:suppressAutoHyphens w:val="0"/>
              <w:ind w:firstLine="0"/>
              <w:jc w:val="right"/>
              <w:rPr>
                <w:sz w:val="20"/>
              </w:rPr>
            </w:pPr>
            <w:r w:rsidRPr="00B337B9">
              <w:rPr>
                <w:sz w:val="20"/>
              </w:rPr>
              <w:t>47</w:t>
            </w:r>
          </w:p>
        </w:tc>
        <w:tc>
          <w:tcPr>
            <w:tcW w:w="1020" w:type="dxa"/>
            <w:shd w:val="clear" w:color="auto" w:fill="auto"/>
            <w:noWrap/>
            <w:vAlign w:val="center"/>
            <w:hideMark/>
          </w:tcPr>
          <w:p w14:paraId="46B98854" w14:textId="20307851" w:rsidR="00B337B9" w:rsidRPr="00B337B9" w:rsidRDefault="006B738F" w:rsidP="006B738F">
            <w:pPr>
              <w:widowControl/>
              <w:suppressLineNumbers w:val="0"/>
              <w:suppressAutoHyphens w:val="0"/>
              <w:ind w:firstLine="0"/>
              <w:jc w:val="right"/>
              <w:rPr>
                <w:b/>
                <w:bCs/>
                <w:sz w:val="20"/>
              </w:rPr>
            </w:pPr>
            <w:r>
              <w:rPr>
                <w:b/>
                <w:bCs/>
                <w:sz w:val="20"/>
              </w:rPr>
              <w:t>8,51</w:t>
            </w:r>
            <w:r w:rsidR="00B337B9" w:rsidRPr="00B337B9">
              <w:rPr>
                <w:b/>
                <w:bCs/>
                <w:sz w:val="20"/>
              </w:rPr>
              <w:t>%</w:t>
            </w:r>
          </w:p>
        </w:tc>
        <w:tc>
          <w:tcPr>
            <w:tcW w:w="940" w:type="dxa"/>
            <w:shd w:val="clear" w:color="auto" w:fill="auto"/>
            <w:noWrap/>
            <w:vAlign w:val="bottom"/>
            <w:hideMark/>
          </w:tcPr>
          <w:p w14:paraId="56AFC88B" w14:textId="77777777" w:rsidR="00B337B9" w:rsidRPr="00B337B9" w:rsidRDefault="00B337B9" w:rsidP="006B738F">
            <w:pPr>
              <w:widowControl/>
              <w:suppressLineNumbers w:val="0"/>
              <w:suppressAutoHyphens w:val="0"/>
              <w:ind w:firstLine="0"/>
              <w:jc w:val="right"/>
              <w:rPr>
                <w:sz w:val="20"/>
              </w:rPr>
            </w:pPr>
            <w:r w:rsidRPr="00B337B9">
              <w:rPr>
                <w:sz w:val="20"/>
              </w:rPr>
              <w:t>51</w:t>
            </w:r>
          </w:p>
        </w:tc>
      </w:tr>
      <w:tr w:rsidR="00B337B9" w:rsidRPr="00B337B9" w14:paraId="6C04B803" w14:textId="77777777" w:rsidTr="00A837D0">
        <w:trPr>
          <w:trHeight w:val="259"/>
        </w:trPr>
        <w:tc>
          <w:tcPr>
            <w:tcW w:w="2540" w:type="dxa"/>
            <w:shd w:val="clear" w:color="auto" w:fill="auto"/>
            <w:noWrap/>
            <w:vAlign w:val="center"/>
            <w:hideMark/>
          </w:tcPr>
          <w:p w14:paraId="077C5466"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Hotéis e Restaurantes</w:t>
            </w:r>
          </w:p>
        </w:tc>
        <w:tc>
          <w:tcPr>
            <w:tcW w:w="940" w:type="dxa"/>
            <w:shd w:val="clear" w:color="auto" w:fill="auto"/>
            <w:noWrap/>
            <w:vAlign w:val="bottom"/>
            <w:hideMark/>
          </w:tcPr>
          <w:p w14:paraId="47BE7298"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24.992 </w:t>
            </w:r>
          </w:p>
        </w:tc>
        <w:tc>
          <w:tcPr>
            <w:tcW w:w="1020" w:type="dxa"/>
            <w:shd w:val="clear" w:color="auto" w:fill="auto"/>
            <w:noWrap/>
            <w:vAlign w:val="bottom"/>
            <w:hideMark/>
          </w:tcPr>
          <w:p w14:paraId="703F0B21" w14:textId="3AD05098" w:rsidR="00B337B9" w:rsidRPr="00B337B9" w:rsidRDefault="006B738F" w:rsidP="006B738F">
            <w:pPr>
              <w:widowControl/>
              <w:suppressLineNumbers w:val="0"/>
              <w:suppressAutoHyphens w:val="0"/>
              <w:ind w:firstLine="0"/>
              <w:jc w:val="right"/>
              <w:rPr>
                <w:b/>
                <w:bCs/>
                <w:sz w:val="20"/>
              </w:rPr>
            </w:pPr>
            <w:r>
              <w:rPr>
                <w:b/>
                <w:bCs/>
                <w:sz w:val="20"/>
              </w:rPr>
              <w:t>30,51</w:t>
            </w:r>
            <w:r w:rsidR="00B337B9" w:rsidRPr="00B337B9">
              <w:rPr>
                <w:b/>
                <w:bCs/>
                <w:sz w:val="20"/>
              </w:rPr>
              <w:t>%</w:t>
            </w:r>
          </w:p>
        </w:tc>
        <w:tc>
          <w:tcPr>
            <w:tcW w:w="940" w:type="dxa"/>
            <w:shd w:val="clear" w:color="auto" w:fill="auto"/>
            <w:noWrap/>
            <w:vAlign w:val="bottom"/>
            <w:hideMark/>
          </w:tcPr>
          <w:p w14:paraId="3D9AEFFE" w14:textId="77777777" w:rsidR="00B337B9" w:rsidRPr="00B337B9" w:rsidRDefault="00B337B9" w:rsidP="006B738F">
            <w:pPr>
              <w:widowControl/>
              <w:suppressLineNumbers w:val="0"/>
              <w:suppressAutoHyphens w:val="0"/>
              <w:ind w:firstLine="0"/>
              <w:jc w:val="right"/>
              <w:rPr>
                <w:sz w:val="20"/>
              </w:rPr>
            </w:pPr>
            <w:r w:rsidRPr="00B337B9">
              <w:rPr>
                <w:sz w:val="20"/>
              </w:rPr>
              <w:t>32.616</w:t>
            </w:r>
          </w:p>
        </w:tc>
        <w:tc>
          <w:tcPr>
            <w:tcW w:w="1020" w:type="dxa"/>
            <w:shd w:val="clear" w:color="auto" w:fill="auto"/>
            <w:noWrap/>
            <w:vAlign w:val="bottom"/>
            <w:hideMark/>
          </w:tcPr>
          <w:p w14:paraId="7BF5B89D" w14:textId="0B259FD6" w:rsidR="00B337B9" w:rsidRPr="00B337B9" w:rsidRDefault="006B738F" w:rsidP="006B738F">
            <w:pPr>
              <w:widowControl/>
              <w:suppressLineNumbers w:val="0"/>
              <w:suppressAutoHyphens w:val="0"/>
              <w:ind w:firstLine="0"/>
              <w:jc w:val="right"/>
              <w:rPr>
                <w:b/>
                <w:bCs/>
                <w:sz w:val="20"/>
              </w:rPr>
            </w:pPr>
            <w:r>
              <w:rPr>
                <w:b/>
                <w:bCs/>
                <w:sz w:val="20"/>
              </w:rPr>
              <w:t>81,28</w:t>
            </w:r>
            <w:r w:rsidR="00B337B9" w:rsidRPr="00B337B9">
              <w:rPr>
                <w:b/>
                <w:bCs/>
                <w:sz w:val="20"/>
              </w:rPr>
              <w:t>%</w:t>
            </w:r>
          </w:p>
        </w:tc>
        <w:tc>
          <w:tcPr>
            <w:tcW w:w="940" w:type="dxa"/>
            <w:shd w:val="clear" w:color="auto" w:fill="auto"/>
            <w:noWrap/>
            <w:vAlign w:val="bottom"/>
            <w:hideMark/>
          </w:tcPr>
          <w:p w14:paraId="1CB85AF8" w14:textId="77777777" w:rsidR="00B337B9" w:rsidRPr="00B337B9" w:rsidRDefault="00B337B9" w:rsidP="006B738F">
            <w:pPr>
              <w:widowControl/>
              <w:suppressLineNumbers w:val="0"/>
              <w:suppressAutoHyphens w:val="0"/>
              <w:ind w:firstLine="0"/>
              <w:jc w:val="right"/>
              <w:rPr>
                <w:sz w:val="20"/>
              </w:rPr>
            </w:pPr>
            <w:r w:rsidRPr="00B337B9">
              <w:rPr>
                <w:sz w:val="20"/>
              </w:rPr>
              <w:t>59.125</w:t>
            </w:r>
          </w:p>
        </w:tc>
        <w:tc>
          <w:tcPr>
            <w:tcW w:w="1020" w:type="dxa"/>
            <w:shd w:val="clear" w:color="auto" w:fill="auto"/>
            <w:noWrap/>
            <w:vAlign w:val="bottom"/>
            <w:hideMark/>
          </w:tcPr>
          <w:p w14:paraId="6786A05A" w14:textId="3A855B3F" w:rsidR="00B337B9" w:rsidRPr="00B337B9" w:rsidRDefault="006B738F" w:rsidP="006B738F">
            <w:pPr>
              <w:widowControl/>
              <w:suppressLineNumbers w:val="0"/>
              <w:suppressAutoHyphens w:val="0"/>
              <w:ind w:firstLine="0"/>
              <w:jc w:val="right"/>
              <w:rPr>
                <w:b/>
                <w:bCs/>
                <w:sz w:val="20"/>
              </w:rPr>
            </w:pPr>
            <w:r>
              <w:rPr>
                <w:b/>
                <w:bCs/>
                <w:sz w:val="20"/>
              </w:rPr>
              <w:t>8,30</w:t>
            </w:r>
            <w:r w:rsidR="00B337B9" w:rsidRPr="00B337B9">
              <w:rPr>
                <w:b/>
                <w:bCs/>
                <w:sz w:val="20"/>
              </w:rPr>
              <w:t>%</w:t>
            </w:r>
          </w:p>
        </w:tc>
        <w:tc>
          <w:tcPr>
            <w:tcW w:w="940" w:type="dxa"/>
            <w:shd w:val="clear" w:color="auto" w:fill="auto"/>
            <w:noWrap/>
            <w:vAlign w:val="bottom"/>
            <w:hideMark/>
          </w:tcPr>
          <w:p w14:paraId="32C288BE" w14:textId="77777777" w:rsidR="00B337B9" w:rsidRPr="00B337B9" w:rsidRDefault="00B337B9" w:rsidP="006B738F">
            <w:pPr>
              <w:widowControl/>
              <w:suppressLineNumbers w:val="0"/>
              <w:suppressAutoHyphens w:val="0"/>
              <w:ind w:firstLine="0"/>
              <w:jc w:val="right"/>
              <w:rPr>
                <w:sz w:val="20"/>
              </w:rPr>
            </w:pPr>
            <w:r w:rsidRPr="00B337B9">
              <w:rPr>
                <w:sz w:val="20"/>
              </w:rPr>
              <w:t>64.030</w:t>
            </w:r>
          </w:p>
        </w:tc>
      </w:tr>
      <w:tr w:rsidR="00B337B9" w:rsidRPr="00B337B9" w14:paraId="02CD4B82" w14:textId="77777777" w:rsidTr="00A837D0">
        <w:trPr>
          <w:trHeight w:val="259"/>
        </w:trPr>
        <w:tc>
          <w:tcPr>
            <w:tcW w:w="2540" w:type="dxa"/>
            <w:shd w:val="clear" w:color="auto" w:fill="auto"/>
            <w:noWrap/>
            <w:vAlign w:val="center"/>
            <w:hideMark/>
          </w:tcPr>
          <w:p w14:paraId="0C1446E0"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Viagens e Lazer</w:t>
            </w:r>
          </w:p>
        </w:tc>
        <w:tc>
          <w:tcPr>
            <w:tcW w:w="940" w:type="dxa"/>
            <w:shd w:val="clear" w:color="auto" w:fill="auto"/>
            <w:noWrap/>
            <w:vAlign w:val="bottom"/>
            <w:hideMark/>
          </w:tcPr>
          <w:p w14:paraId="00EFB58D"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38.824 </w:t>
            </w:r>
          </w:p>
        </w:tc>
        <w:tc>
          <w:tcPr>
            <w:tcW w:w="1020" w:type="dxa"/>
            <w:shd w:val="clear" w:color="auto" w:fill="auto"/>
            <w:noWrap/>
            <w:vAlign w:val="bottom"/>
            <w:hideMark/>
          </w:tcPr>
          <w:p w14:paraId="0714A237" w14:textId="6962DFAC" w:rsidR="00B337B9" w:rsidRPr="00B337B9" w:rsidRDefault="006B738F" w:rsidP="006B738F">
            <w:pPr>
              <w:widowControl/>
              <w:suppressLineNumbers w:val="0"/>
              <w:suppressAutoHyphens w:val="0"/>
              <w:ind w:firstLine="0"/>
              <w:jc w:val="right"/>
              <w:rPr>
                <w:b/>
                <w:bCs/>
                <w:sz w:val="20"/>
              </w:rPr>
            </w:pPr>
            <w:r>
              <w:rPr>
                <w:b/>
                <w:bCs/>
                <w:sz w:val="20"/>
              </w:rPr>
              <w:t>-50,83</w:t>
            </w:r>
            <w:r w:rsidR="00B337B9" w:rsidRPr="00B337B9">
              <w:rPr>
                <w:b/>
                <w:bCs/>
                <w:sz w:val="20"/>
              </w:rPr>
              <w:t>%</w:t>
            </w:r>
          </w:p>
        </w:tc>
        <w:tc>
          <w:tcPr>
            <w:tcW w:w="940" w:type="dxa"/>
            <w:shd w:val="clear" w:color="auto" w:fill="auto"/>
            <w:noWrap/>
            <w:vAlign w:val="bottom"/>
            <w:hideMark/>
          </w:tcPr>
          <w:p w14:paraId="3D9FD01A" w14:textId="77777777" w:rsidR="00B337B9" w:rsidRPr="00B337B9" w:rsidRDefault="00B337B9" w:rsidP="006B738F">
            <w:pPr>
              <w:widowControl/>
              <w:suppressLineNumbers w:val="0"/>
              <w:suppressAutoHyphens w:val="0"/>
              <w:ind w:firstLine="0"/>
              <w:jc w:val="right"/>
              <w:rPr>
                <w:sz w:val="20"/>
              </w:rPr>
            </w:pPr>
            <w:r w:rsidRPr="00B337B9">
              <w:rPr>
                <w:sz w:val="20"/>
              </w:rPr>
              <w:t>19.089</w:t>
            </w:r>
          </w:p>
        </w:tc>
        <w:tc>
          <w:tcPr>
            <w:tcW w:w="1020" w:type="dxa"/>
            <w:shd w:val="clear" w:color="auto" w:fill="auto"/>
            <w:noWrap/>
            <w:vAlign w:val="bottom"/>
            <w:hideMark/>
          </w:tcPr>
          <w:p w14:paraId="36FF5CA9" w14:textId="4949C995" w:rsidR="00B337B9" w:rsidRPr="00B337B9" w:rsidRDefault="006B738F" w:rsidP="006B738F">
            <w:pPr>
              <w:widowControl/>
              <w:suppressLineNumbers w:val="0"/>
              <w:suppressAutoHyphens w:val="0"/>
              <w:ind w:firstLine="0"/>
              <w:jc w:val="right"/>
              <w:rPr>
                <w:b/>
                <w:bCs/>
                <w:sz w:val="20"/>
              </w:rPr>
            </w:pPr>
            <w:r>
              <w:rPr>
                <w:b/>
                <w:bCs/>
                <w:sz w:val="20"/>
              </w:rPr>
              <w:t>-30,81</w:t>
            </w:r>
            <w:r w:rsidR="00B337B9" w:rsidRPr="00B337B9">
              <w:rPr>
                <w:b/>
                <w:bCs/>
                <w:sz w:val="20"/>
              </w:rPr>
              <w:t>%</w:t>
            </w:r>
          </w:p>
        </w:tc>
        <w:tc>
          <w:tcPr>
            <w:tcW w:w="940" w:type="dxa"/>
            <w:shd w:val="clear" w:color="auto" w:fill="auto"/>
            <w:noWrap/>
            <w:vAlign w:val="bottom"/>
            <w:hideMark/>
          </w:tcPr>
          <w:p w14:paraId="7D928E11" w14:textId="77777777" w:rsidR="00B337B9" w:rsidRPr="00B337B9" w:rsidRDefault="00B337B9" w:rsidP="006B738F">
            <w:pPr>
              <w:widowControl/>
              <w:suppressLineNumbers w:val="0"/>
              <w:suppressAutoHyphens w:val="0"/>
              <w:ind w:firstLine="0"/>
              <w:jc w:val="right"/>
              <w:rPr>
                <w:sz w:val="20"/>
              </w:rPr>
            </w:pPr>
            <w:r w:rsidRPr="00B337B9">
              <w:rPr>
                <w:sz w:val="20"/>
              </w:rPr>
              <w:t>13.207</w:t>
            </w:r>
          </w:p>
        </w:tc>
        <w:tc>
          <w:tcPr>
            <w:tcW w:w="1020" w:type="dxa"/>
            <w:shd w:val="clear" w:color="auto" w:fill="auto"/>
            <w:noWrap/>
            <w:vAlign w:val="bottom"/>
            <w:hideMark/>
          </w:tcPr>
          <w:p w14:paraId="7A6117BC" w14:textId="09ABAE14" w:rsidR="00B337B9" w:rsidRPr="00B337B9" w:rsidRDefault="006B738F" w:rsidP="006B738F">
            <w:pPr>
              <w:widowControl/>
              <w:suppressLineNumbers w:val="0"/>
              <w:suppressAutoHyphens w:val="0"/>
              <w:ind w:firstLine="0"/>
              <w:jc w:val="right"/>
              <w:rPr>
                <w:b/>
                <w:bCs/>
                <w:sz w:val="20"/>
              </w:rPr>
            </w:pPr>
            <w:r>
              <w:rPr>
                <w:b/>
                <w:bCs/>
                <w:sz w:val="20"/>
              </w:rPr>
              <w:t>11,72</w:t>
            </w:r>
            <w:r w:rsidR="00B337B9" w:rsidRPr="00B337B9">
              <w:rPr>
                <w:b/>
                <w:bCs/>
                <w:sz w:val="20"/>
              </w:rPr>
              <w:t>%</w:t>
            </w:r>
          </w:p>
        </w:tc>
        <w:tc>
          <w:tcPr>
            <w:tcW w:w="940" w:type="dxa"/>
            <w:shd w:val="clear" w:color="auto" w:fill="auto"/>
            <w:noWrap/>
            <w:vAlign w:val="bottom"/>
            <w:hideMark/>
          </w:tcPr>
          <w:p w14:paraId="79D88759" w14:textId="77777777" w:rsidR="00B337B9" w:rsidRPr="00B337B9" w:rsidRDefault="00B337B9" w:rsidP="006B738F">
            <w:pPr>
              <w:widowControl/>
              <w:suppressLineNumbers w:val="0"/>
              <w:suppressAutoHyphens w:val="0"/>
              <w:ind w:firstLine="0"/>
              <w:jc w:val="right"/>
              <w:rPr>
                <w:sz w:val="20"/>
              </w:rPr>
            </w:pPr>
            <w:r w:rsidRPr="00B337B9">
              <w:rPr>
                <w:sz w:val="20"/>
              </w:rPr>
              <w:t>14.755</w:t>
            </w:r>
          </w:p>
        </w:tc>
      </w:tr>
      <w:tr w:rsidR="00B337B9" w:rsidRPr="00B337B9" w14:paraId="59D8BDB8" w14:textId="77777777" w:rsidTr="00A837D0">
        <w:trPr>
          <w:trHeight w:val="259"/>
        </w:trPr>
        <w:tc>
          <w:tcPr>
            <w:tcW w:w="2540" w:type="dxa"/>
            <w:shd w:val="clear" w:color="auto" w:fill="auto"/>
            <w:noWrap/>
            <w:vAlign w:val="center"/>
            <w:hideMark/>
          </w:tcPr>
          <w:p w14:paraId="18D67C8A"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Diversos</w:t>
            </w:r>
          </w:p>
        </w:tc>
        <w:tc>
          <w:tcPr>
            <w:tcW w:w="940" w:type="dxa"/>
            <w:shd w:val="clear" w:color="auto" w:fill="auto"/>
            <w:noWrap/>
            <w:vAlign w:val="bottom"/>
            <w:hideMark/>
          </w:tcPr>
          <w:p w14:paraId="77748A75"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123.027 </w:t>
            </w:r>
          </w:p>
        </w:tc>
        <w:tc>
          <w:tcPr>
            <w:tcW w:w="1020" w:type="dxa"/>
            <w:shd w:val="clear" w:color="auto" w:fill="auto"/>
            <w:noWrap/>
            <w:vAlign w:val="bottom"/>
            <w:hideMark/>
          </w:tcPr>
          <w:p w14:paraId="4CF0908E" w14:textId="53BDA676" w:rsidR="00B337B9" w:rsidRPr="00B337B9" w:rsidRDefault="006B738F" w:rsidP="006B738F">
            <w:pPr>
              <w:widowControl/>
              <w:suppressLineNumbers w:val="0"/>
              <w:suppressAutoHyphens w:val="0"/>
              <w:ind w:firstLine="0"/>
              <w:jc w:val="right"/>
              <w:rPr>
                <w:b/>
                <w:bCs/>
                <w:sz w:val="20"/>
              </w:rPr>
            </w:pPr>
            <w:r>
              <w:rPr>
                <w:b/>
                <w:bCs/>
                <w:sz w:val="20"/>
              </w:rPr>
              <w:t>112,60</w:t>
            </w:r>
            <w:r w:rsidR="00B337B9" w:rsidRPr="00B337B9">
              <w:rPr>
                <w:b/>
                <w:bCs/>
                <w:sz w:val="20"/>
              </w:rPr>
              <w:t>%</w:t>
            </w:r>
          </w:p>
        </w:tc>
        <w:tc>
          <w:tcPr>
            <w:tcW w:w="940" w:type="dxa"/>
            <w:shd w:val="clear" w:color="auto" w:fill="auto"/>
            <w:noWrap/>
            <w:vAlign w:val="bottom"/>
            <w:hideMark/>
          </w:tcPr>
          <w:p w14:paraId="43E680B6" w14:textId="77777777" w:rsidR="00B337B9" w:rsidRPr="00B337B9" w:rsidRDefault="00B337B9" w:rsidP="006B738F">
            <w:pPr>
              <w:widowControl/>
              <w:suppressLineNumbers w:val="0"/>
              <w:suppressAutoHyphens w:val="0"/>
              <w:ind w:firstLine="0"/>
              <w:jc w:val="right"/>
              <w:rPr>
                <w:sz w:val="20"/>
              </w:rPr>
            </w:pPr>
            <w:r w:rsidRPr="00B337B9">
              <w:rPr>
                <w:sz w:val="20"/>
              </w:rPr>
              <w:t>261.557</w:t>
            </w:r>
          </w:p>
        </w:tc>
        <w:tc>
          <w:tcPr>
            <w:tcW w:w="1020" w:type="dxa"/>
            <w:shd w:val="clear" w:color="auto" w:fill="auto"/>
            <w:noWrap/>
            <w:vAlign w:val="bottom"/>
            <w:hideMark/>
          </w:tcPr>
          <w:p w14:paraId="7CE499E2" w14:textId="2B1224BC" w:rsidR="00B337B9" w:rsidRPr="00B337B9" w:rsidRDefault="006B738F" w:rsidP="006B738F">
            <w:pPr>
              <w:widowControl/>
              <w:suppressLineNumbers w:val="0"/>
              <w:suppressAutoHyphens w:val="0"/>
              <w:ind w:firstLine="0"/>
              <w:jc w:val="right"/>
              <w:rPr>
                <w:b/>
                <w:bCs/>
                <w:sz w:val="20"/>
              </w:rPr>
            </w:pPr>
            <w:r>
              <w:rPr>
                <w:b/>
                <w:bCs/>
                <w:sz w:val="20"/>
              </w:rPr>
              <w:t>55,99</w:t>
            </w:r>
            <w:r w:rsidR="00B337B9" w:rsidRPr="00B337B9">
              <w:rPr>
                <w:b/>
                <w:bCs/>
                <w:sz w:val="20"/>
              </w:rPr>
              <w:t>%</w:t>
            </w:r>
          </w:p>
        </w:tc>
        <w:tc>
          <w:tcPr>
            <w:tcW w:w="940" w:type="dxa"/>
            <w:shd w:val="clear" w:color="auto" w:fill="auto"/>
            <w:noWrap/>
            <w:vAlign w:val="bottom"/>
            <w:hideMark/>
          </w:tcPr>
          <w:p w14:paraId="68F07626" w14:textId="77777777" w:rsidR="00B337B9" w:rsidRPr="00B337B9" w:rsidRDefault="00B337B9" w:rsidP="006B738F">
            <w:pPr>
              <w:widowControl/>
              <w:suppressLineNumbers w:val="0"/>
              <w:suppressAutoHyphens w:val="0"/>
              <w:ind w:firstLine="0"/>
              <w:jc w:val="right"/>
              <w:rPr>
                <w:sz w:val="20"/>
              </w:rPr>
            </w:pPr>
            <w:r w:rsidRPr="00B337B9">
              <w:rPr>
                <w:sz w:val="20"/>
              </w:rPr>
              <w:t>408.012</w:t>
            </w:r>
          </w:p>
        </w:tc>
        <w:tc>
          <w:tcPr>
            <w:tcW w:w="1020" w:type="dxa"/>
            <w:shd w:val="clear" w:color="auto" w:fill="auto"/>
            <w:noWrap/>
            <w:vAlign w:val="bottom"/>
            <w:hideMark/>
          </w:tcPr>
          <w:p w14:paraId="6BF1842A" w14:textId="6DF7CDC7" w:rsidR="00B337B9" w:rsidRPr="00B337B9" w:rsidRDefault="006B738F" w:rsidP="006B738F">
            <w:pPr>
              <w:widowControl/>
              <w:suppressLineNumbers w:val="0"/>
              <w:suppressAutoHyphens w:val="0"/>
              <w:ind w:firstLine="0"/>
              <w:jc w:val="right"/>
              <w:rPr>
                <w:b/>
                <w:bCs/>
                <w:sz w:val="20"/>
              </w:rPr>
            </w:pPr>
            <w:r>
              <w:rPr>
                <w:b/>
                <w:bCs/>
                <w:sz w:val="20"/>
              </w:rPr>
              <w:t>17,74</w:t>
            </w:r>
            <w:r w:rsidR="00B337B9" w:rsidRPr="00B337B9">
              <w:rPr>
                <w:b/>
                <w:bCs/>
                <w:sz w:val="20"/>
              </w:rPr>
              <w:t>%</w:t>
            </w:r>
          </w:p>
        </w:tc>
        <w:tc>
          <w:tcPr>
            <w:tcW w:w="940" w:type="dxa"/>
            <w:shd w:val="clear" w:color="auto" w:fill="auto"/>
            <w:noWrap/>
            <w:vAlign w:val="bottom"/>
            <w:hideMark/>
          </w:tcPr>
          <w:p w14:paraId="2B6842D5" w14:textId="77777777" w:rsidR="00B337B9" w:rsidRPr="00B337B9" w:rsidRDefault="00B337B9" w:rsidP="006B738F">
            <w:pPr>
              <w:widowControl/>
              <w:suppressLineNumbers w:val="0"/>
              <w:suppressAutoHyphens w:val="0"/>
              <w:ind w:firstLine="0"/>
              <w:jc w:val="right"/>
              <w:rPr>
                <w:sz w:val="20"/>
              </w:rPr>
            </w:pPr>
            <w:r w:rsidRPr="00B337B9">
              <w:rPr>
                <w:sz w:val="20"/>
              </w:rPr>
              <w:t>480.403</w:t>
            </w:r>
          </w:p>
        </w:tc>
      </w:tr>
      <w:tr w:rsidR="00B337B9" w:rsidRPr="00B337B9" w14:paraId="091FC99D" w14:textId="77777777" w:rsidTr="00A837D0">
        <w:trPr>
          <w:trHeight w:val="259"/>
        </w:trPr>
        <w:tc>
          <w:tcPr>
            <w:tcW w:w="2540" w:type="dxa"/>
            <w:shd w:val="clear" w:color="auto" w:fill="auto"/>
            <w:noWrap/>
            <w:vAlign w:val="center"/>
            <w:hideMark/>
          </w:tcPr>
          <w:p w14:paraId="6AF31B9A" w14:textId="77777777" w:rsidR="00B337B9" w:rsidRPr="00B337B9" w:rsidRDefault="00B337B9" w:rsidP="00A837D0">
            <w:pPr>
              <w:widowControl/>
              <w:suppressLineNumbers w:val="0"/>
              <w:suppressAutoHyphens w:val="0"/>
              <w:ind w:firstLine="0"/>
              <w:jc w:val="left"/>
              <w:rPr>
                <w:b/>
                <w:bCs/>
                <w:color w:val="000000"/>
                <w:sz w:val="20"/>
              </w:rPr>
            </w:pPr>
            <w:r w:rsidRPr="00B337B9">
              <w:rPr>
                <w:b/>
                <w:bCs/>
                <w:color w:val="000000"/>
                <w:sz w:val="20"/>
              </w:rPr>
              <w:t>Comércio</w:t>
            </w:r>
          </w:p>
        </w:tc>
        <w:tc>
          <w:tcPr>
            <w:tcW w:w="940" w:type="dxa"/>
            <w:shd w:val="clear" w:color="auto" w:fill="auto"/>
            <w:noWrap/>
            <w:vAlign w:val="bottom"/>
            <w:hideMark/>
          </w:tcPr>
          <w:p w14:paraId="0B76C208" w14:textId="77777777" w:rsidR="00B337B9" w:rsidRPr="00B337B9" w:rsidRDefault="00B337B9" w:rsidP="006B738F">
            <w:pPr>
              <w:widowControl/>
              <w:suppressLineNumbers w:val="0"/>
              <w:suppressAutoHyphens w:val="0"/>
              <w:ind w:firstLine="0"/>
              <w:jc w:val="right"/>
              <w:rPr>
                <w:sz w:val="20"/>
              </w:rPr>
            </w:pPr>
            <w:r>
              <w:rPr>
                <w:sz w:val="20"/>
              </w:rPr>
              <w:t xml:space="preserve">     </w:t>
            </w:r>
            <w:r w:rsidRPr="00B337B9">
              <w:rPr>
                <w:sz w:val="20"/>
              </w:rPr>
              <w:t xml:space="preserve">40.318 </w:t>
            </w:r>
          </w:p>
        </w:tc>
        <w:tc>
          <w:tcPr>
            <w:tcW w:w="1020" w:type="dxa"/>
            <w:shd w:val="clear" w:color="auto" w:fill="auto"/>
            <w:noWrap/>
            <w:vAlign w:val="bottom"/>
            <w:hideMark/>
          </w:tcPr>
          <w:p w14:paraId="65FE73B6" w14:textId="195DC104" w:rsidR="00B337B9" w:rsidRPr="00B337B9" w:rsidRDefault="006B738F" w:rsidP="006B738F">
            <w:pPr>
              <w:widowControl/>
              <w:suppressLineNumbers w:val="0"/>
              <w:suppressAutoHyphens w:val="0"/>
              <w:ind w:firstLine="0"/>
              <w:jc w:val="right"/>
              <w:rPr>
                <w:b/>
                <w:bCs/>
                <w:sz w:val="20"/>
              </w:rPr>
            </w:pPr>
            <w:r>
              <w:rPr>
                <w:b/>
                <w:bCs/>
                <w:sz w:val="20"/>
              </w:rPr>
              <w:t>210,81</w:t>
            </w:r>
            <w:r w:rsidR="00B337B9" w:rsidRPr="00B337B9">
              <w:rPr>
                <w:b/>
                <w:bCs/>
                <w:sz w:val="20"/>
              </w:rPr>
              <w:t>%</w:t>
            </w:r>
          </w:p>
        </w:tc>
        <w:tc>
          <w:tcPr>
            <w:tcW w:w="940" w:type="dxa"/>
            <w:shd w:val="clear" w:color="auto" w:fill="auto"/>
            <w:noWrap/>
            <w:vAlign w:val="bottom"/>
            <w:hideMark/>
          </w:tcPr>
          <w:p w14:paraId="6DA9FFE8" w14:textId="77777777" w:rsidR="00B337B9" w:rsidRPr="00B337B9" w:rsidRDefault="00B337B9" w:rsidP="006B738F">
            <w:pPr>
              <w:widowControl/>
              <w:suppressLineNumbers w:val="0"/>
              <w:suppressAutoHyphens w:val="0"/>
              <w:ind w:firstLine="0"/>
              <w:jc w:val="right"/>
              <w:rPr>
                <w:sz w:val="20"/>
              </w:rPr>
            </w:pPr>
            <w:r w:rsidRPr="00B337B9">
              <w:rPr>
                <w:sz w:val="20"/>
              </w:rPr>
              <w:t>125.313</w:t>
            </w:r>
          </w:p>
        </w:tc>
        <w:tc>
          <w:tcPr>
            <w:tcW w:w="1020" w:type="dxa"/>
            <w:shd w:val="clear" w:color="auto" w:fill="auto"/>
            <w:noWrap/>
            <w:vAlign w:val="bottom"/>
            <w:hideMark/>
          </w:tcPr>
          <w:p w14:paraId="2DCB4B9D" w14:textId="1CAD7C12" w:rsidR="00B337B9" w:rsidRPr="00B337B9" w:rsidRDefault="006B738F" w:rsidP="006B738F">
            <w:pPr>
              <w:widowControl/>
              <w:suppressLineNumbers w:val="0"/>
              <w:suppressAutoHyphens w:val="0"/>
              <w:ind w:firstLine="0"/>
              <w:jc w:val="right"/>
              <w:rPr>
                <w:b/>
                <w:bCs/>
                <w:sz w:val="20"/>
              </w:rPr>
            </w:pPr>
            <w:r>
              <w:rPr>
                <w:b/>
                <w:bCs/>
                <w:sz w:val="20"/>
              </w:rPr>
              <w:t>8,92</w:t>
            </w:r>
            <w:r w:rsidR="00B337B9" w:rsidRPr="00B337B9">
              <w:rPr>
                <w:b/>
                <w:bCs/>
                <w:sz w:val="20"/>
              </w:rPr>
              <w:t>%</w:t>
            </w:r>
          </w:p>
        </w:tc>
        <w:tc>
          <w:tcPr>
            <w:tcW w:w="940" w:type="dxa"/>
            <w:shd w:val="clear" w:color="auto" w:fill="auto"/>
            <w:noWrap/>
            <w:vAlign w:val="bottom"/>
            <w:hideMark/>
          </w:tcPr>
          <w:p w14:paraId="6B2081E7" w14:textId="77777777" w:rsidR="00B337B9" w:rsidRPr="00B337B9" w:rsidRDefault="00B337B9" w:rsidP="006B738F">
            <w:pPr>
              <w:widowControl/>
              <w:suppressLineNumbers w:val="0"/>
              <w:suppressAutoHyphens w:val="0"/>
              <w:ind w:firstLine="0"/>
              <w:jc w:val="right"/>
              <w:rPr>
                <w:sz w:val="20"/>
              </w:rPr>
            </w:pPr>
            <w:r w:rsidRPr="00B337B9">
              <w:rPr>
                <w:sz w:val="20"/>
              </w:rPr>
              <w:t>136.491</w:t>
            </w:r>
          </w:p>
        </w:tc>
        <w:tc>
          <w:tcPr>
            <w:tcW w:w="1020" w:type="dxa"/>
            <w:shd w:val="clear" w:color="auto" w:fill="auto"/>
            <w:noWrap/>
            <w:vAlign w:val="bottom"/>
            <w:hideMark/>
          </w:tcPr>
          <w:p w14:paraId="592459C7" w14:textId="11391F18" w:rsidR="00B337B9" w:rsidRPr="00B337B9" w:rsidRDefault="006B738F" w:rsidP="006B738F">
            <w:pPr>
              <w:widowControl/>
              <w:suppressLineNumbers w:val="0"/>
              <w:suppressAutoHyphens w:val="0"/>
              <w:ind w:firstLine="0"/>
              <w:jc w:val="right"/>
              <w:rPr>
                <w:b/>
                <w:bCs/>
                <w:sz w:val="20"/>
              </w:rPr>
            </w:pPr>
            <w:r>
              <w:rPr>
                <w:b/>
                <w:bCs/>
                <w:sz w:val="20"/>
              </w:rPr>
              <w:t>-50,37</w:t>
            </w:r>
            <w:r w:rsidR="00B337B9" w:rsidRPr="00B337B9">
              <w:rPr>
                <w:b/>
                <w:bCs/>
                <w:sz w:val="20"/>
              </w:rPr>
              <w:t>%</w:t>
            </w:r>
          </w:p>
        </w:tc>
        <w:tc>
          <w:tcPr>
            <w:tcW w:w="940" w:type="dxa"/>
            <w:shd w:val="clear" w:color="auto" w:fill="auto"/>
            <w:noWrap/>
            <w:vAlign w:val="bottom"/>
            <w:hideMark/>
          </w:tcPr>
          <w:p w14:paraId="6294FFA2" w14:textId="77777777" w:rsidR="00B337B9" w:rsidRPr="00B337B9" w:rsidRDefault="00B337B9" w:rsidP="006B738F">
            <w:pPr>
              <w:widowControl/>
              <w:suppressLineNumbers w:val="0"/>
              <w:suppressAutoHyphens w:val="0"/>
              <w:ind w:firstLine="0"/>
              <w:jc w:val="right"/>
              <w:rPr>
                <w:sz w:val="20"/>
              </w:rPr>
            </w:pPr>
            <w:r w:rsidRPr="00B337B9">
              <w:rPr>
                <w:sz w:val="20"/>
              </w:rPr>
              <w:t>67.737</w:t>
            </w:r>
          </w:p>
        </w:tc>
      </w:tr>
    </w:tbl>
    <w:p w14:paraId="238644C2" w14:textId="77777777" w:rsidR="00B337B9" w:rsidRDefault="00B337B9" w:rsidP="00B337B9">
      <w:pPr>
        <w:tabs>
          <w:tab w:val="left" w:pos="142"/>
        </w:tabs>
        <w:ind w:firstLine="0"/>
        <w:rPr>
          <w:sz w:val="20"/>
        </w:rPr>
      </w:pPr>
      <w:r w:rsidRPr="00EC15C5">
        <w:rPr>
          <w:sz w:val="20"/>
        </w:rPr>
        <w:t>Legenda: %</w:t>
      </w:r>
      <w:r>
        <w:rPr>
          <w:sz w:val="20"/>
        </w:rPr>
        <w:t xml:space="preserve"> </w:t>
      </w:r>
      <w:r w:rsidRPr="00EC15C5">
        <w:rPr>
          <w:sz w:val="20"/>
        </w:rPr>
        <w:t>Evo = Percentagem de Evolução</w:t>
      </w:r>
    </w:p>
    <w:p w14:paraId="4A9F83FA" w14:textId="77777777" w:rsidR="00D933C5" w:rsidRPr="00D933C5" w:rsidRDefault="00D933C5" w:rsidP="00D933C5">
      <w:pPr>
        <w:tabs>
          <w:tab w:val="left" w:pos="142"/>
        </w:tabs>
        <w:rPr>
          <w:b/>
          <w:szCs w:val="24"/>
        </w:rPr>
      </w:pPr>
    </w:p>
    <w:p w14:paraId="41C1C4C7" w14:textId="0DFFE41B" w:rsidR="00912088" w:rsidRDefault="001F62FE" w:rsidP="00912088">
      <w:pPr>
        <w:tabs>
          <w:tab w:val="left" w:pos="142"/>
        </w:tabs>
        <w:rPr>
          <w:szCs w:val="24"/>
        </w:rPr>
      </w:pPr>
      <w:r>
        <w:rPr>
          <w:szCs w:val="24"/>
        </w:rPr>
        <w:t>D</w:t>
      </w:r>
      <w:r w:rsidR="00D933C5" w:rsidRPr="00D933C5">
        <w:rPr>
          <w:szCs w:val="24"/>
        </w:rPr>
        <w:t xml:space="preserve">estacam-se o significativo percentual de aumento os subsetores de </w:t>
      </w:r>
      <w:r w:rsidR="00912088">
        <w:rPr>
          <w:szCs w:val="24"/>
        </w:rPr>
        <w:t xml:space="preserve">Construção Civil obtendo 50,52 </w:t>
      </w:r>
      <w:r w:rsidR="00D933C5" w:rsidRPr="00D933C5">
        <w:rPr>
          <w:szCs w:val="24"/>
        </w:rPr>
        <w:t>%</w:t>
      </w:r>
      <w:r>
        <w:rPr>
          <w:szCs w:val="24"/>
        </w:rPr>
        <w:t xml:space="preserve"> entre os anos de 2015 e 2016,</w:t>
      </w:r>
      <w:r w:rsidR="00D933C5" w:rsidRPr="00D933C5">
        <w:rPr>
          <w:szCs w:val="24"/>
        </w:rPr>
        <w:t xml:space="preserve"> o subsetor Diversos que entre 2015 e 201</w:t>
      </w:r>
      <w:r w:rsidR="00912088">
        <w:rPr>
          <w:szCs w:val="24"/>
        </w:rPr>
        <w:t xml:space="preserve">6 apresentou evolução de 112,60 </w:t>
      </w:r>
      <w:r w:rsidR="00D933C5" w:rsidRPr="00D933C5">
        <w:rPr>
          <w:szCs w:val="24"/>
        </w:rPr>
        <w:t>% e no exercício findo em 2017 o</w:t>
      </w:r>
      <w:r w:rsidR="00912088">
        <w:rPr>
          <w:szCs w:val="24"/>
        </w:rPr>
        <w:t>bteve um acréscimo de 55,99%. E os subsetores de Automóveis e Motocicletas e Hotéis e Restaurantes que apresentaram um aumento destacado entre os anos de 2016 e 2017.</w:t>
      </w:r>
    </w:p>
    <w:p w14:paraId="0CDD4916" w14:textId="74D00654" w:rsidR="00D933C5" w:rsidRPr="00D933C5" w:rsidRDefault="00D933C5" w:rsidP="00912088">
      <w:pPr>
        <w:tabs>
          <w:tab w:val="left" w:pos="142"/>
        </w:tabs>
        <w:rPr>
          <w:szCs w:val="24"/>
        </w:rPr>
      </w:pPr>
      <w:r w:rsidRPr="00D933C5">
        <w:rPr>
          <w:szCs w:val="24"/>
        </w:rPr>
        <w:t xml:space="preserve">Quanto ao subsetor de Construção Civil, a significância foi identificada na companhia João Fortes do seguimento de Incorporações, que individualmente apresentou o aumento de 569,72%, nas notas explicativas não foram especificados informações quanto as ações de natureza trabalhista em curso, entretanto, na análise das notas explicativas foi identificado que a companhia demanda maior relevância aos processos de natureza Cíveis, haja vista que para este cenário foi exposto um levantamento detalhado das ações de maior representatividade para a companhia. </w:t>
      </w:r>
    </w:p>
    <w:p w14:paraId="20498BAA" w14:textId="6F9CD77E" w:rsidR="00D933C5" w:rsidRPr="00AE6424" w:rsidRDefault="00D933C5" w:rsidP="00D933C5">
      <w:pPr>
        <w:tabs>
          <w:tab w:val="left" w:pos="142"/>
        </w:tabs>
        <w:rPr>
          <w:szCs w:val="24"/>
        </w:rPr>
      </w:pPr>
      <w:r w:rsidRPr="00D933C5">
        <w:rPr>
          <w:szCs w:val="24"/>
        </w:rPr>
        <w:t xml:space="preserve">Na análise do subsetor Diversos, foi constatado duas empresas que se sobressaíram demonstrando de forma individual um aumento expressivo na divulgação de seus passivos contingentes, sendo </w:t>
      </w:r>
      <w:proofErr w:type="spellStart"/>
      <w:r w:rsidRPr="00D933C5">
        <w:rPr>
          <w:szCs w:val="24"/>
        </w:rPr>
        <w:t>Estacio</w:t>
      </w:r>
      <w:proofErr w:type="spellEnd"/>
      <w:r w:rsidRPr="00D933C5">
        <w:rPr>
          <w:szCs w:val="24"/>
        </w:rPr>
        <w:t xml:space="preserve"> </w:t>
      </w:r>
      <w:proofErr w:type="spellStart"/>
      <w:r w:rsidRPr="00D933C5">
        <w:rPr>
          <w:szCs w:val="24"/>
        </w:rPr>
        <w:t>Part</w:t>
      </w:r>
      <w:proofErr w:type="spellEnd"/>
      <w:r w:rsidRPr="00D933C5">
        <w:rPr>
          <w:szCs w:val="24"/>
        </w:rPr>
        <w:t xml:space="preserve"> do </w:t>
      </w:r>
      <w:r w:rsidRPr="00AE6424">
        <w:rPr>
          <w:szCs w:val="24"/>
        </w:rPr>
        <w:t xml:space="preserve">seguimento de Serviços Educacionais e a Localiza incluída no seguimento de Aluguel de Carros. </w:t>
      </w:r>
    </w:p>
    <w:p w14:paraId="407FB4DA" w14:textId="6BB75487" w:rsidR="00D933C5" w:rsidRPr="00D933C5" w:rsidRDefault="00D933C5" w:rsidP="00D933C5">
      <w:pPr>
        <w:tabs>
          <w:tab w:val="left" w:pos="142"/>
        </w:tabs>
        <w:rPr>
          <w:szCs w:val="24"/>
        </w:rPr>
      </w:pPr>
      <w:r w:rsidRPr="00AE6424">
        <w:rPr>
          <w:szCs w:val="24"/>
        </w:rPr>
        <w:t xml:space="preserve">A </w:t>
      </w:r>
      <w:proofErr w:type="spellStart"/>
      <w:r w:rsidRPr="00AE6424">
        <w:rPr>
          <w:szCs w:val="24"/>
        </w:rPr>
        <w:t>Estacio</w:t>
      </w:r>
      <w:proofErr w:type="spellEnd"/>
      <w:r w:rsidRPr="00AE6424">
        <w:rPr>
          <w:szCs w:val="24"/>
        </w:rPr>
        <w:t xml:space="preserve"> </w:t>
      </w:r>
      <w:proofErr w:type="spellStart"/>
      <w:r w:rsidRPr="00AE6424">
        <w:rPr>
          <w:szCs w:val="24"/>
        </w:rPr>
        <w:t>Pa</w:t>
      </w:r>
      <w:r w:rsidR="00AE6424" w:rsidRPr="00AE6424">
        <w:rPr>
          <w:szCs w:val="24"/>
        </w:rPr>
        <w:t>rt</w:t>
      </w:r>
      <w:proofErr w:type="spellEnd"/>
      <w:r w:rsidR="00AE6424" w:rsidRPr="00AE6424">
        <w:rPr>
          <w:szCs w:val="24"/>
        </w:rPr>
        <w:t xml:space="preserve"> apresentou um crescimento </w:t>
      </w:r>
      <w:r w:rsidRPr="00AE6424">
        <w:rPr>
          <w:szCs w:val="24"/>
        </w:rPr>
        <w:t xml:space="preserve">entre 2015 e 2016, em suas notas explicativas foi identificado </w:t>
      </w:r>
      <w:r w:rsidR="00AE6424" w:rsidRPr="00AE6424">
        <w:rPr>
          <w:szCs w:val="24"/>
        </w:rPr>
        <w:t>por meio</w:t>
      </w:r>
      <w:r w:rsidRPr="00AE6424">
        <w:rPr>
          <w:szCs w:val="24"/>
        </w:rPr>
        <w:t xml:space="preserve"> de tabela com os respectivos valores das contingências classificadas pela natureza de cada obrigação, de forma contributiva também foi exposto em completude as informações das ações mais relevantes e seus valores, ao qual conforme avaliação não necessitam constituir provisões, estas foram apresentadas</w:t>
      </w:r>
      <w:r w:rsidRPr="00D933C5">
        <w:rPr>
          <w:szCs w:val="24"/>
        </w:rPr>
        <w:t xml:space="preserve"> de forma segregadas, tendo maior relevância neste exercício as reclamatórias de diferenças salariais, horas extras, cota previdenciária e outros, vale ressaltar que nos exercício futuros a proporcionalidade de aumento declinou de forma bastante expressiva.</w:t>
      </w:r>
    </w:p>
    <w:p w14:paraId="2F5ECAD0" w14:textId="4CDDAEFD" w:rsidR="00D933C5" w:rsidRPr="00D933C5" w:rsidRDefault="00D933C5" w:rsidP="001F62FE">
      <w:pPr>
        <w:tabs>
          <w:tab w:val="left" w:pos="142"/>
        </w:tabs>
        <w:rPr>
          <w:b/>
          <w:szCs w:val="24"/>
        </w:rPr>
      </w:pPr>
      <w:r w:rsidRPr="00D933C5">
        <w:rPr>
          <w:szCs w:val="24"/>
        </w:rPr>
        <w:t>A análise restrita a companhi</w:t>
      </w:r>
      <w:r w:rsidR="00AE6424">
        <w:rPr>
          <w:szCs w:val="24"/>
        </w:rPr>
        <w:t xml:space="preserve">a Localiza apontou acréscimo </w:t>
      </w:r>
      <w:r w:rsidRPr="00D933C5">
        <w:rPr>
          <w:szCs w:val="24"/>
        </w:rPr>
        <w:t>em 2015 em comparação ao Passivo Contingente Trabalhista di</w:t>
      </w:r>
      <w:r w:rsidR="00AE6424">
        <w:rPr>
          <w:szCs w:val="24"/>
        </w:rPr>
        <w:t xml:space="preserve">vulgado no exercício anterior e </w:t>
      </w:r>
      <w:r w:rsidRPr="00D933C5">
        <w:rPr>
          <w:szCs w:val="24"/>
        </w:rPr>
        <w:t xml:space="preserve">no ano de 2017, a composição e o movimentação desta contingencia foi apresentado de forma segregada entre Passivos Contingentes com risco de perda possível e remota. As movimentações foram demonstradas em </w:t>
      </w:r>
      <w:r w:rsidRPr="00D933C5">
        <w:rPr>
          <w:szCs w:val="24"/>
        </w:rPr>
        <w:lastRenderedPageBreak/>
        <w:t>tabela</w:t>
      </w:r>
      <w:r w:rsidR="001F62FE">
        <w:rPr>
          <w:szCs w:val="24"/>
        </w:rPr>
        <w:t>s</w:t>
      </w:r>
      <w:r w:rsidRPr="00D933C5">
        <w:rPr>
          <w:szCs w:val="24"/>
        </w:rPr>
        <w:t xml:space="preserve"> com os respectivos saldos do início e final de cada exercício, sendo incluídos também a quantidade de processos relevantes em andamento ao qual a empresa faz parte como polo passivo, no qual passou de 5 processos em 2015 para 56 ao final de 2017.</w:t>
      </w:r>
      <w:r>
        <w:rPr>
          <w:szCs w:val="24"/>
        </w:rPr>
        <w:t xml:space="preserve"> </w:t>
      </w:r>
    </w:p>
    <w:p w14:paraId="629750C5" w14:textId="1A1904E6" w:rsidR="00D933C5" w:rsidRDefault="00D933C5" w:rsidP="00D933C5">
      <w:pPr>
        <w:tabs>
          <w:tab w:val="left" w:pos="142"/>
        </w:tabs>
        <w:rPr>
          <w:szCs w:val="24"/>
        </w:rPr>
      </w:pPr>
      <w:r w:rsidRPr="00D933C5">
        <w:rPr>
          <w:szCs w:val="24"/>
        </w:rPr>
        <w:t xml:space="preserve">Em concordância ao que foi destacado anteriormente e evidenciado </w:t>
      </w:r>
      <w:r w:rsidR="001F62FE">
        <w:rPr>
          <w:szCs w:val="24"/>
        </w:rPr>
        <w:t>na Tabela 6</w:t>
      </w:r>
      <w:r w:rsidRPr="00D933C5">
        <w:rPr>
          <w:szCs w:val="24"/>
        </w:rPr>
        <w:t xml:space="preserve">, os subsetores de </w:t>
      </w:r>
      <w:r w:rsidR="001F62FE">
        <w:rPr>
          <w:szCs w:val="24"/>
        </w:rPr>
        <w:t>Automóveis e Motocicletas, Hotéis e Restaurantes</w:t>
      </w:r>
      <w:r w:rsidRPr="00D933C5">
        <w:rPr>
          <w:szCs w:val="24"/>
        </w:rPr>
        <w:t xml:space="preserve"> e Diversos, apresentaram de modo geral um aumento na divulgação das provisões baseadas em julgamentos ao qual a saída de recursos econômicos da entidade foi considerada po</w:t>
      </w:r>
      <w:r w:rsidR="001A306A">
        <w:rPr>
          <w:szCs w:val="24"/>
        </w:rPr>
        <w:t>ssível ou remota de ocorrência.</w:t>
      </w:r>
    </w:p>
    <w:p w14:paraId="0F3988E4" w14:textId="77777777" w:rsidR="001A306A" w:rsidRDefault="001A306A" w:rsidP="001A306A">
      <w:pPr>
        <w:tabs>
          <w:tab w:val="left" w:pos="142"/>
        </w:tabs>
        <w:ind w:firstLine="0"/>
        <w:rPr>
          <w:szCs w:val="24"/>
        </w:rPr>
      </w:pPr>
    </w:p>
    <w:p w14:paraId="2D454E06" w14:textId="5EA6F0DA" w:rsidR="001A306A" w:rsidRPr="001A306A" w:rsidRDefault="001A306A" w:rsidP="001A306A">
      <w:pPr>
        <w:tabs>
          <w:tab w:val="left" w:pos="142"/>
        </w:tabs>
        <w:ind w:firstLine="0"/>
        <w:rPr>
          <w:b/>
          <w:szCs w:val="24"/>
        </w:rPr>
      </w:pPr>
      <w:r w:rsidRPr="001A306A">
        <w:rPr>
          <w:b/>
          <w:szCs w:val="24"/>
        </w:rPr>
        <w:t>4.3 Comparabilidade dos Setores</w:t>
      </w:r>
    </w:p>
    <w:p w14:paraId="62029325" w14:textId="74752645" w:rsidR="00D933C5" w:rsidRDefault="00D933C5" w:rsidP="00D933C5">
      <w:pPr>
        <w:tabs>
          <w:tab w:val="left" w:pos="142"/>
        </w:tabs>
        <w:rPr>
          <w:szCs w:val="24"/>
        </w:rPr>
      </w:pPr>
      <w:r w:rsidRPr="00D933C5">
        <w:rPr>
          <w:szCs w:val="24"/>
        </w:rPr>
        <w:t>Com relação a comparabilidade entre os seguimentos analisados, no que tange o reconhecimento de Provisões com saída provável de natureza Trabalhista, foi identificado uma evolução nos valores provisionados pelas companhias listadas na categoria de Bens Industriais, em c</w:t>
      </w:r>
      <w:r w:rsidR="00A837D0">
        <w:rPr>
          <w:szCs w:val="24"/>
        </w:rPr>
        <w:t>ontrapartida houve uma queda</w:t>
      </w:r>
      <w:r w:rsidRPr="00D933C5">
        <w:rPr>
          <w:szCs w:val="24"/>
        </w:rPr>
        <w:t xml:space="preserve"> nos valores apresentados pelo seguimento de Consumo Cíclico, conforme disposto </w:t>
      </w:r>
      <w:r w:rsidR="005F5382">
        <w:rPr>
          <w:szCs w:val="24"/>
        </w:rPr>
        <w:t>na Figura</w:t>
      </w:r>
      <w:r w:rsidR="000C352D">
        <w:rPr>
          <w:szCs w:val="24"/>
        </w:rPr>
        <w:t xml:space="preserve"> 1</w:t>
      </w:r>
      <w:r w:rsidRPr="00D933C5">
        <w:rPr>
          <w:szCs w:val="24"/>
        </w:rPr>
        <w:t>.</w:t>
      </w:r>
    </w:p>
    <w:p w14:paraId="4572D002" w14:textId="77777777" w:rsidR="001A306A" w:rsidRDefault="001A306A" w:rsidP="00D933C5">
      <w:pPr>
        <w:tabs>
          <w:tab w:val="left" w:pos="142"/>
        </w:tabs>
        <w:rPr>
          <w:szCs w:val="24"/>
        </w:rPr>
      </w:pPr>
    </w:p>
    <w:p w14:paraId="5189786F" w14:textId="2824E2F7" w:rsidR="00BD6784" w:rsidRDefault="00BD6784" w:rsidP="00BD6784">
      <w:pPr>
        <w:tabs>
          <w:tab w:val="left" w:pos="142"/>
        </w:tabs>
        <w:ind w:firstLine="0"/>
        <w:rPr>
          <w:szCs w:val="24"/>
        </w:rPr>
      </w:pPr>
      <w:r>
        <w:rPr>
          <w:noProof/>
        </w:rPr>
        <w:drawing>
          <wp:inline distT="0" distB="0" distL="0" distR="0" wp14:anchorId="2A23EE5B" wp14:editId="589139AD">
            <wp:extent cx="5972175" cy="1701800"/>
            <wp:effectExtent l="0" t="0" r="0" b="0"/>
            <wp:docPr id="1" name="Gráfico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858A733-64FE-4653-90CA-8D253E6E0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466C88" w14:textId="69CC1089" w:rsidR="003C1CDA" w:rsidRPr="00203974" w:rsidRDefault="000C352D" w:rsidP="003C1CDA">
      <w:pPr>
        <w:pStyle w:val="Corpodetexto"/>
        <w:spacing w:after="0"/>
        <w:ind w:firstLine="0"/>
        <w:rPr>
          <w:szCs w:val="24"/>
        </w:rPr>
      </w:pPr>
      <w:r>
        <w:rPr>
          <w:b/>
          <w:bCs/>
          <w:szCs w:val="24"/>
        </w:rPr>
        <w:t>Figura 1</w:t>
      </w:r>
      <w:r w:rsidR="003C1CDA" w:rsidRPr="00203974">
        <w:rPr>
          <w:b/>
          <w:bCs/>
          <w:szCs w:val="24"/>
        </w:rPr>
        <w:t>.</w:t>
      </w:r>
      <w:r w:rsidR="003C1CDA" w:rsidRPr="00203974">
        <w:rPr>
          <w:szCs w:val="24"/>
        </w:rPr>
        <w:t xml:space="preserve"> </w:t>
      </w:r>
      <w:r w:rsidR="003C1CDA" w:rsidRPr="00D933C5">
        <w:rPr>
          <w:szCs w:val="24"/>
        </w:rPr>
        <w:t>Comparabilidade das Provisões Trabalhistas</w:t>
      </w:r>
    </w:p>
    <w:p w14:paraId="6AA822A8" w14:textId="77777777" w:rsidR="00D933C5" w:rsidRPr="00D933C5" w:rsidRDefault="00D933C5" w:rsidP="00D933C5">
      <w:pPr>
        <w:tabs>
          <w:tab w:val="left" w:pos="142"/>
        </w:tabs>
        <w:rPr>
          <w:b/>
          <w:szCs w:val="24"/>
        </w:rPr>
      </w:pPr>
    </w:p>
    <w:p w14:paraId="4F467314" w14:textId="3F4489B4" w:rsidR="00D933C5" w:rsidRPr="00D933C5" w:rsidRDefault="00D933C5" w:rsidP="00D933C5">
      <w:pPr>
        <w:tabs>
          <w:tab w:val="left" w:pos="142"/>
        </w:tabs>
        <w:rPr>
          <w:szCs w:val="24"/>
        </w:rPr>
      </w:pPr>
      <w:r w:rsidRPr="00D933C5">
        <w:rPr>
          <w:szCs w:val="24"/>
        </w:rPr>
        <w:t>Considerando as infor</w:t>
      </w:r>
      <w:r w:rsidR="00A837D0">
        <w:rPr>
          <w:szCs w:val="24"/>
        </w:rPr>
        <w:t>mações apresentadas na Figura 1</w:t>
      </w:r>
      <w:r w:rsidRPr="00D933C5">
        <w:rPr>
          <w:szCs w:val="24"/>
        </w:rPr>
        <w:t>, o subsetor de Consumo Cíclico em comparação ao subsetor de Bens Industriais, aprese</w:t>
      </w:r>
      <w:r w:rsidR="00A837D0">
        <w:rPr>
          <w:szCs w:val="24"/>
        </w:rPr>
        <w:t>ntou de modo geral uma queda mais expressiva</w:t>
      </w:r>
      <w:r w:rsidRPr="00D933C5">
        <w:rPr>
          <w:szCs w:val="24"/>
        </w:rPr>
        <w:t xml:space="preserve"> nos valores divulgados, sendo observado uma maior queda neste seguimento entre os exercícios de 2017 e 2018 </w:t>
      </w:r>
      <w:r w:rsidR="00A837D0">
        <w:rPr>
          <w:szCs w:val="24"/>
        </w:rPr>
        <w:t>apresentando uma queda de 7,36%.</w:t>
      </w:r>
      <w:r w:rsidRPr="00D933C5">
        <w:rPr>
          <w:szCs w:val="24"/>
        </w:rPr>
        <w:t xml:space="preserve"> </w:t>
      </w:r>
    </w:p>
    <w:p w14:paraId="5CB99D42" w14:textId="455D9C96" w:rsidR="00D933C5" w:rsidRDefault="00D933C5" w:rsidP="00D933C5">
      <w:pPr>
        <w:tabs>
          <w:tab w:val="left" w:pos="142"/>
        </w:tabs>
        <w:rPr>
          <w:szCs w:val="24"/>
        </w:rPr>
      </w:pPr>
      <w:r w:rsidRPr="00D933C5">
        <w:rPr>
          <w:szCs w:val="24"/>
        </w:rPr>
        <w:t xml:space="preserve">Na sequência, a análise comparativa dos segmentos quanto a divulgação em Notas Explicativas dos Passivos Contingentes Trabalhistas quando classificados de ocorrência possível ou remota estão apresentados </w:t>
      </w:r>
      <w:r w:rsidR="005F5382">
        <w:rPr>
          <w:szCs w:val="24"/>
        </w:rPr>
        <w:t>na Figura</w:t>
      </w:r>
      <w:r w:rsidR="000C352D">
        <w:rPr>
          <w:szCs w:val="24"/>
        </w:rPr>
        <w:t xml:space="preserve"> 2</w:t>
      </w:r>
      <w:r w:rsidRPr="00D933C5">
        <w:rPr>
          <w:szCs w:val="24"/>
        </w:rPr>
        <w:t>.</w:t>
      </w:r>
    </w:p>
    <w:p w14:paraId="382D7EC9" w14:textId="77777777" w:rsidR="00BD6784" w:rsidRDefault="00BD6784" w:rsidP="00D933C5">
      <w:pPr>
        <w:tabs>
          <w:tab w:val="left" w:pos="142"/>
        </w:tabs>
        <w:rPr>
          <w:szCs w:val="24"/>
        </w:rPr>
      </w:pPr>
    </w:p>
    <w:p w14:paraId="41E4F803" w14:textId="2446CFAC" w:rsidR="00BD6784" w:rsidRPr="00D933C5" w:rsidRDefault="00BD6784" w:rsidP="00BD6784">
      <w:pPr>
        <w:tabs>
          <w:tab w:val="left" w:pos="142"/>
        </w:tabs>
        <w:ind w:firstLine="0"/>
        <w:rPr>
          <w:szCs w:val="24"/>
        </w:rPr>
      </w:pPr>
      <w:r>
        <w:rPr>
          <w:noProof/>
        </w:rPr>
        <w:lastRenderedPageBreak/>
        <w:drawing>
          <wp:inline distT="0" distB="0" distL="0" distR="0" wp14:anchorId="4B99BD5E" wp14:editId="2A54F942">
            <wp:extent cx="5972175" cy="1684655"/>
            <wp:effectExtent l="0" t="0" r="0" b="0"/>
            <wp:docPr id="13" name="Gráfico 1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DC3135A-9EDB-415A-9BEC-908866424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F5138E" w14:textId="15148F71" w:rsidR="00D933C5" w:rsidRDefault="000C352D" w:rsidP="003C1CDA">
      <w:pPr>
        <w:tabs>
          <w:tab w:val="left" w:pos="142"/>
        </w:tabs>
        <w:ind w:firstLine="0"/>
        <w:rPr>
          <w:szCs w:val="24"/>
        </w:rPr>
      </w:pPr>
      <w:r>
        <w:rPr>
          <w:b/>
          <w:bCs/>
          <w:szCs w:val="24"/>
        </w:rPr>
        <w:t>Figura 2</w:t>
      </w:r>
      <w:r w:rsidR="003C1CDA" w:rsidRPr="00203974">
        <w:rPr>
          <w:b/>
          <w:bCs/>
          <w:szCs w:val="24"/>
        </w:rPr>
        <w:t>.</w:t>
      </w:r>
      <w:r w:rsidR="003C1CDA" w:rsidRPr="00203974">
        <w:rPr>
          <w:szCs w:val="24"/>
        </w:rPr>
        <w:t xml:space="preserve"> </w:t>
      </w:r>
      <w:r w:rsidR="003C1CDA" w:rsidRPr="00D933C5">
        <w:rPr>
          <w:szCs w:val="24"/>
        </w:rPr>
        <w:t>Comparabilidade dos Passivos Contingentes Trabalhistas</w:t>
      </w:r>
    </w:p>
    <w:p w14:paraId="57551F03" w14:textId="77777777" w:rsidR="003C1CDA" w:rsidRPr="00D933C5" w:rsidRDefault="003C1CDA" w:rsidP="003C1CDA">
      <w:pPr>
        <w:tabs>
          <w:tab w:val="left" w:pos="142"/>
        </w:tabs>
        <w:ind w:firstLine="0"/>
        <w:rPr>
          <w:b/>
          <w:szCs w:val="24"/>
        </w:rPr>
      </w:pPr>
    </w:p>
    <w:p w14:paraId="78FC1503" w14:textId="76C5CDC6" w:rsidR="00D933C5" w:rsidRPr="00D933C5" w:rsidRDefault="00D933C5" w:rsidP="00D933C5">
      <w:pPr>
        <w:tabs>
          <w:tab w:val="left" w:pos="142"/>
        </w:tabs>
        <w:rPr>
          <w:szCs w:val="24"/>
        </w:rPr>
      </w:pPr>
      <w:r w:rsidRPr="00D933C5">
        <w:rPr>
          <w:szCs w:val="24"/>
        </w:rPr>
        <w:t>De modo significativo no reconhecimento nas contingências em suas Notas Explicativas, ambos os setores analisados apresentaram acréscimos nos exercícios de 2015 a 2017, no entan</w:t>
      </w:r>
      <w:r w:rsidR="00A837D0">
        <w:rPr>
          <w:szCs w:val="24"/>
        </w:rPr>
        <w:t>to obtiveram declínio</w:t>
      </w:r>
      <w:r w:rsidRPr="00D933C5">
        <w:rPr>
          <w:szCs w:val="24"/>
        </w:rPr>
        <w:t xml:space="preserve"> nos montantes divulgados de 2017 </w:t>
      </w:r>
      <w:r w:rsidR="00AE6424">
        <w:rPr>
          <w:szCs w:val="24"/>
        </w:rPr>
        <w:t>para 2018.</w:t>
      </w:r>
    </w:p>
    <w:p w14:paraId="79BEF99D" w14:textId="626DDE39" w:rsidR="00D933C5" w:rsidRPr="00D933C5" w:rsidRDefault="00D933C5" w:rsidP="00D933C5">
      <w:pPr>
        <w:tabs>
          <w:tab w:val="left" w:pos="142"/>
        </w:tabs>
        <w:rPr>
          <w:szCs w:val="24"/>
        </w:rPr>
      </w:pPr>
      <w:r w:rsidRPr="00D933C5">
        <w:rPr>
          <w:szCs w:val="24"/>
        </w:rPr>
        <w:t xml:space="preserve">Por fim, por meio das análises apresentadas percebe-se uma disparidade entre os montantes divulgados para Provisões e Passivos Contingentes Trabalhistas nos balanços e notas explicativas em ambas as companhias. Nogueira (2016) em sua pesquisa ressalta que a ocorrência de uma má avaliação do passivo judicial trabalhista, tende a impactar negativamente e de maneira significativa na disponibilidade financeira da empresa e inclusive na continuidade de suas atividades. Neste contexto, foi verificado que entre as alterações mais expressivas identificadas na pesquisa, somente a companhia </w:t>
      </w:r>
      <w:proofErr w:type="spellStart"/>
      <w:r w:rsidRPr="00D933C5">
        <w:rPr>
          <w:szCs w:val="24"/>
        </w:rPr>
        <w:t>Estacio</w:t>
      </w:r>
      <w:proofErr w:type="spellEnd"/>
      <w:r w:rsidRPr="00D933C5">
        <w:rPr>
          <w:szCs w:val="24"/>
        </w:rPr>
        <w:t xml:space="preserve"> </w:t>
      </w:r>
      <w:proofErr w:type="spellStart"/>
      <w:r w:rsidRPr="00D933C5">
        <w:rPr>
          <w:szCs w:val="24"/>
        </w:rPr>
        <w:t>Part</w:t>
      </w:r>
      <w:proofErr w:type="spellEnd"/>
      <w:r w:rsidRPr="00D933C5">
        <w:rPr>
          <w:szCs w:val="24"/>
        </w:rPr>
        <w:t xml:space="preserve"> apresentou informações com clareza em suas notas explicativas para justificar o acréscim</w:t>
      </w:r>
      <w:r w:rsidR="00AB6D7B">
        <w:rPr>
          <w:szCs w:val="24"/>
        </w:rPr>
        <w:t>o na divulgação de suas contingê</w:t>
      </w:r>
      <w:r w:rsidRPr="00D933C5">
        <w:rPr>
          <w:szCs w:val="24"/>
        </w:rPr>
        <w:t>ncias.</w:t>
      </w:r>
    </w:p>
    <w:p w14:paraId="2E7B0109" w14:textId="77777777" w:rsidR="00D933C5" w:rsidRPr="00D933C5" w:rsidRDefault="00D933C5" w:rsidP="00D933C5">
      <w:pPr>
        <w:tabs>
          <w:tab w:val="left" w:pos="142"/>
        </w:tabs>
        <w:rPr>
          <w:szCs w:val="24"/>
        </w:rPr>
      </w:pPr>
    </w:p>
    <w:p w14:paraId="3FE379A1" w14:textId="77F35D43" w:rsidR="00D933C5" w:rsidRPr="00D933C5" w:rsidRDefault="00D933C5" w:rsidP="00D933C5">
      <w:pPr>
        <w:tabs>
          <w:tab w:val="left" w:pos="142"/>
        </w:tabs>
        <w:suppressAutoHyphens w:val="0"/>
        <w:ind w:firstLine="0"/>
        <w:rPr>
          <w:b/>
          <w:szCs w:val="24"/>
        </w:rPr>
      </w:pPr>
      <w:r>
        <w:rPr>
          <w:b/>
          <w:szCs w:val="24"/>
        </w:rPr>
        <w:t xml:space="preserve">5. </w:t>
      </w:r>
      <w:r w:rsidRPr="00D933C5">
        <w:rPr>
          <w:b/>
          <w:szCs w:val="24"/>
        </w:rPr>
        <w:t>Considerações Finais</w:t>
      </w:r>
    </w:p>
    <w:p w14:paraId="574547A8" w14:textId="1B09C9A0" w:rsidR="00D933C5" w:rsidRPr="00D933C5" w:rsidRDefault="00D933C5" w:rsidP="00D933C5">
      <w:pPr>
        <w:tabs>
          <w:tab w:val="left" w:pos="142"/>
        </w:tabs>
        <w:rPr>
          <w:szCs w:val="24"/>
        </w:rPr>
      </w:pPr>
      <w:r w:rsidRPr="00D933C5">
        <w:rPr>
          <w:szCs w:val="24"/>
        </w:rPr>
        <w:t>O objetivo desta pesquisa foi analisar a evolução das provisões e passivos contingentes trabalhistas nas empresas incluídas nos setores de bens industriais e consumo cíclico que negociam suas ações na B3. Para isso, foi realizado uma pesquisa de caráter descritiva a partir dos dados coletados nas notas explicativas das companhias que compuseram a análise.</w:t>
      </w:r>
    </w:p>
    <w:p w14:paraId="17DAEF52" w14:textId="3273ADE5" w:rsidR="00D933C5" w:rsidRPr="00D933C5" w:rsidRDefault="00D933C5" w:rsidP="00D933C5">
      <w:pPr>
        <w:tabs>
          <w:tab w:val="left" w:pos="142"/>
        </w:tabs>
        <w:rPr>
          <w:szCs w:val="24"/>
        </w:rPr>
      </w:pPr>
      <w:r w:rsidRPr="00D933C5">
        <w:rPr>
          <w:szCs w:val="24"/>
        </w:rPr>
        <w:t>Inicialmente, fugindo do</w:t>
      </w:r>
      <w:r w:rsidR="009973B8">
        <w:rPr>
          <w:szCs w:val="24"/>
        </w:rPr>
        <w:t xml:space="preserve"> escopo da pesquisa, mas de</w:t>
      </w:r>
      <w:r w:rsidRPr="00D933C5">
        <w:rPr>
          <w:szCs w:val="24"/>
        </w:rPr>
        <w:t xml:space="preserve"> importância a ser destacado, são as dificuldades encontradas pela falta de padronização e completude de informação nas notas explicativas das companhias, corroborando assim com os resultados obtidos na pesquisa de </w:t>
      </w:r>
      <w:r w:rsidR="00CD2CB2">
        <w:rPr>
          <w:szCs w:val="24"/>
        </w:rPr>
        <w:t>Nogueira (2016</w:t>
      </w:r>
      <w:r w:rsidRPr="00D933C5">
        <w:rPr>
          <w:szCs w:val="24"/>
        </w:rPr>
        <w:t>) que constataram que as informações divulgadas em sua maioria são insuficientes e não seguem as exigências estabelecidas no CPC 25.</w:t>
      </w:r>
    </w:p>
    <w:p w14:paraId="451BD6DC" w14:textId="080D0971" w:rsidR="00D933C5" w:rsidRPr="00D933C5" w:rsidRDefault="00D933C5" w:rsidP="00D933C5">
      <w:pPr>
        <w:tabs>
          <w:tab w:val="left" w:pos="142"/>
        </w:tabs>
        <w:rPr>
          <w:b/>
          <w:szCs w:val="24"/>
        </w:rPr>
      </w:pPr>
      <w:r w:rsidRPr="00D933C5">
        <w:rPr>
          <w:szCs w:val="24"/>
        </w:rPr>
        <w:t>Com relação aos resultados obtidos na análise das Provisões Trabalhistas constituídas e reconhecidas pelas companhias, foi identificado que há uma evolução porém não uma tendência no desenvolvimento desses valores em nenhum dos subsetores analisados, isto pode ser justificado em parte devido a abertura proporcionada pela CLT para a reclamatória de diretos trabalhistas e pela morosidade do sistema judiciário quanto ao resultado final das ações em andamento que podem convergir no dispêndio de recursos financeiro pela companhia, assim como em um acordo entre as partes.</w:t>
      </w:r>
    </w:p>
    <w:p w14:paraId="580E86FE" w14:textId="03E616D0" w:rsidR="00D933C5" w:rsidRPr="00D933C5" w:rsidRDefault="00D933C5" w:rsidP="00D933C5">
      <w:pPr>
        <w:tabs>
          <w:tab w:val="left" w:pos="142"/>
        </w:tabs>
        <w:rPr>
          <w:szCs w:val="24"/>
        </w:rPr>
      </w:pPr>
      <w:r w:rsidRPr="00D933C5">
        <w:rPr>
          <w:szCs w:val="24"/>
        </w:rPr>
        <w:t xml:space="preserve">Quanto ao declínio observado na evolução dos Passivos Contingentes de natureza </w:t>
      </w:r>
      <w:r w:rsidRPr="00D933C5">
        <w:rPr>
          <w:szCs w:val="24"/>
        </w:rPr>
        <w:lastRenderedPageBreak/>
        <w:t>Trabalhista, divulgado pelas companhias no exercício findo em 2018, pode ser em parte relacionado a Reforma Trabalhista sancionada em julho de 2017 pela Lei 13.467/2017, passando a vigorar em novembro de 2017. Aplicando diversas alterações na CLT a Reforma Trabalhista trouxe mudanças para o empregador que acionar judicialmente contra seu empregador, o processo que anteriormente seria beneficiário da justiça gratuita com ocorrência favorável ou não ao empregado, com a Reforma Trabalhista impõe a parte vencida o pagamento de honorários de sucumbência a outra parte, impedindo assim pedidos sem procedência.</w:t>
      </w:r>
    </w:p>
    <w:p w14:paraId="405DACA5" w14:textId="565C4A87" w:rsidR="00D933C5" w:rsidRPr="00D933C5" w:rsidRDefault="00D933C5" w:rsidP="00D933C5">
      <w:pPr>
        <w:tabs>
          <w:tab w:val="left" w:pos="142"/>
        </w:tabs>
        <w:rPr>
          <w:szCs w:val="24"/>
        </w:rPr>
      </w:pPr>
      <w:r w:rsidRPr="00D933C5">
        <w:rPr>
          <w:szCs w:val="24"/>
        </w:rPr>
        <w:t>Essa mudança conforme dados divulgados pelo Tribunal Superior do Trabalho – TST em novembro de 2018 reduziu pela metade o recebimento de novas reclamatórias trabalhistas na Varas de Trabalho em todo o país, isto comparado com o mesmo período do ano anterior. Os reflexos dessas mudanças corroboram com o declínio identificado na divulgação do Passivos Contingentes no exercício de 2018 pela amostra, porém não alteram de forma significativa as ações já em curso e para as quais foram constituídas e reconhecidas Provisões.</w:t>
      </w:r>
    </w:p>
    <w:p w14:paraId="64B4FEC5" w14:textId="05969589" w:rsidR="00D933C5" w:rsidRPr="00D933C5" w:rsidRDefault="00D933C5" w:rsidP="00D933C5">
      <w:pPr>
        <w:tabs>
          <w:tab w:val="left" w:pos="142"/>
        </w:tabs>
        <w:rPr>
          <w:szCs w:val="24"/>
        </w:rPr>
      </w:pPr>
      <w:r w:rsidRPr="00D933C5">
        <w:rPr>
          <w:szCs w:val="24"/>
        </w:rPr>
        <w:t>Por fim, respondendo à questão da pesquisa foram apresentadas as análises quanto a evolução das Provisões e Passivos Contingentes Trabalhista correspondente a amostra, objetivando atribuir importância referentes a divulgação destas informações do âmbito trabalhista, sugere-se a realização de novas pesquisas com ênfase nas Provisões e Passivos Contingentes de natureza Trabalhista, para que seja obtidas novas informações quanto a relevância da Reforma Trabalhista nas informações contábeis geradas pelas companhias.</w:t>
      </w:r>
    </w:p>
    <w:p w14:paraId="0E9EBAB0" w14:textId="21A4D1DA" w:rsidR="00D933C5" w:rsidRDefault="00D933C5" w:rsidP="00D933C5">
      <w:pPr>
        <w:tabs>
          <w:tab w:val="left" w:pos="142"/>
        </w:tabs>
        <w:rPr>
          <w:szCs w:val="24"/>
        </w:rPr>
      </w:pPr>
      <w:r w:rsidRPr="00D933C5">
        <w:rPr>
          <w:szCs w:val="24"/>
        </w:rPr>
        <w:t>Percebe-se como limitação da pesquisa a amostra delimitada entre as companhias integrantes de apenas dois subsetores da B3, podendo ser ampliada para outros seguimentos em pesquisas futuras, assim como o período correspondente a análise.</w:t>
      </w:r>
    </w:p>
    <w:p w14:paraId="3737AC7B" w14:textId="77777777" w:rsidR="00D933C5" w:rsidRPr="00D933C5" w:rsidRDefault="00D933C5" w:rsidP="00D933C5">
      <w:pPr>
        <w:tabs>
          <w:tab w:val="left" w:pos="142"/>
        </w:tabs>
        <w:rPr>
          <w:b/>
          <w:szCs w:val="24"/>
        </w:rPr>
      </w:pPr>
    </w:p>
    <w:p w14:paraId="6DE0B04A" w14:textId="15737319" w:rsidR="00D933C5" w:rsidRPr="00EF1658" w:rsidRDefault="006C3B98" w:rsidP="00EF1658">
      <w:pPr>
        <w:tabs>
          <w:tab w:val="left" w:pos="142"/>
        </w:tabs>
        <w:suppressAutoHyphens w:val="0"/>
        <w:ind w:firstLine="0"/>
        <w:rPr>
          <w:b/>
          <w:szCs w:val="24"/>
        </w:rPr>
      </w:pPr>
      <w:r w:rsidRPr="00EF1658">
        <w:rPr>
          <w:b/>
          <w:szCs w:val="24"/>
        </w:rPr>
        <w:t>Referências</w:t>
      </w:r>
    </w:p>
    <w:p w14:paraId="5D0F2B78" w14:textId="488E433E" w:rsidR="00D933C5" w:rsidRPr="006C3B98" w:rsidRDefault="00973A2B" w:rsidP="006C3B98">
      <w:pPr>
        <w:tabs>
          <w:tab w:val="left" w:pos="142"/>
        </w:tabs>
        <w:ind w:left="709" w:hanging="709"/>
        <w:rPr>
          <w:b/>
          <w:szCs w:val="24"/>
        </w:rPr>
      </w:pPr>
      <w:proofErr w:type="spellStart"/>
      <w:r w:rsidRPr="006C3B98">
        <w:rPr>
          <w:szCs w:val="24"/>
          <w:shd w:val="clear" w:color="auto" w:fill="FFFFFF"/>
        </w:rPr>
        <w:t>Baldoino</w:t>
      </w:r>
      <w:proofErr w:type="spellEnd"/>
      <w:r w:rsidRPr="006C3B98">
        <w:rPr>
          <w:szCs w:val="24"/>
          <w:shd w:val="clear" w:color="auto" w:fill="FFFFFF"/>
        </w:rPr>
        <w:t>, E., &amp; Borba, J. A. (2015). Passivos contingentes na bolsa de valores de Nova York: uma análise comparativa entre as empresas estrangeiras. </w:t>
      </w:r>
      <w:r w:rsidRPr="006C3B98">
        <w:rPr>
          <w:i/>
          <w:iCs/>
          <w:szCs w:val="24"/>
          <w:shd w:val="clear" w:color="auto" w:fill="FFFFFF"/>
        </w:rPr>
        <w:t>Revista de Contabilidade e Organizações</w:t>
      </w:r>
      <w:r w:rsidRPr="006C3B98">
        <w:rPr>
          <w:szCs w:val="24"/>
          <w:shd w:val="clear" w:color="auto" w:fill="FFFFFF"/>
        </w:rPr>
        <w:t>, </w:t>
      </w:r>
      <w:r w:rsidRPr="006C3B98">
        <w:rPr>
          <w:i/>
          <w:iCs/>
          <w:szCs w:val="24"/>
          <w:shd w:val="clear" w:color="auto" w:fill="FFFFFF"/>
        </w:rPr>
        <w:t>9</w:t>
      </w:r>
      <w:r w:rsidRPr="006C3B98">
        <w:rPr>
          <w:szCs w:val="24"/>
          <w:shd w:val="clear" w:color="auto" w:fill="FFFFFF"/>
        </w:rPr>
        <w:t>(23), 58-81.</w:t>
      </w:r>
    </w:p>
    <w:p w14:paraId="64037C0F" w14:textId="7128D1AE" w:rsidR="00D933C5" w:rsidRPr="006C3B98" w:rsidRDefault="00973A2B" w:rsidP="006C3B98">
      <w:pPr>
        <w:tabs>
          <w:tab w:val="left" w:pos="142"/>
        </w:tabs>
        <w:ind w:left="709" w:hanging="709"/>
        <w:rPr>
          <w:b/>
          <w:szCs w:val="24"/>
        </w:rPr>
      </w:pPr>
      <w:r w:rsidRPr="006C3B98">
        <w:rPr>
          <w:szCs w:val="24"/>
          <w:shd w:val="clear" w:color="auto" w:fill="FFFFFF"/>
        </w:rPr>
        <w:t xml:space="preserve">Caetano, T. P., Silva, T. B., </w:t>
      </w:r>
      <w:proofErr w:type="spellStart"/>
      <w:r w:rsidRPr="006C3B98">
        <w:rPr>
          <w:szCs w:val="24"/>
          <w:shd w:val="clear" w:color="auto" w:fill="FFFFFF"/>
        </w:rPr>
        <w:t>Biesdorf</w:t>
      </w:r>
      <w:proofErr w:type="spellEnd"/>
      <w:r w:rsidRPr="006C3B98">
        <w:rPr>
          <w:szCs w:val="24"/>
          <w:shd w:val="clear" w:color="auto" w:fill="FFFFFF"/>
        </w:rPr>
        <w:t>, S., &amp; Leal, E. A. (2010). Evidenciação do passivo contingencial nas demonstrações contábeis: um estudo nas empresas de papel e celulose. In </w:t>
      </w:r>
      <w:r w:rsidRPr="006C3B98">
        <w:rPr>
          <w:i/>
          <w:iCs/>
          <w:szCs w:val="24"/>
          <w:shd w:val="clear" w:color="auto" w:fill="FFFFFF"/>
        </w:rPr>
        <w:t>Congresso USP de Controladoria e contabilidade</w:t>
      </w:r>
      <w:r w:rsidRPr="006C3B98">
        <w:rPr>
          <w:szCs w:val="24"/>
          <w:shd w:val="clear" w:color="auto" w:fill="FFFFFF"/>
        </w:rPr>
        <w:t> (Vol. 10, p. 2010).</w:t>
      </w:r>
    </w:p>
    <w:p w14:paraId="5FC34B83" w14:textId="77777777" w:rsidR="00973A2B" w:rsidRPr="006C3B98" w:rsidRDefault="00973A2B" w:rsidP="006C3B98">
      <w:pPr>
        <w:tabs>
          <w:tab w:val="left" w:pos="142"/>
        </w:tabs>
        <w:ind w:left="709" w:hanging="709"/>
        <w:rPr>
          <w:b/>
          <w:szCs w:val="24"/>
        </w:rPr>
      </w:pPr>
      <w:proofErr w:type="spellStart"/>
      <w:r w:rsidRPr="006C3B98">
        <w:rPr>
          <w:szCs w:val="24"/>
          <w:shd w:val="clear" w:color="auto" w:fill="FFFFFF"/>
        </w:rPr>
        <w:t>Cístolo</w:t>
      </w:r>
      <w:proofErr w:type="spellEnd"/>
      <w:r w:rsidRPr="006C3B98">
        <w:rPr>
          <w:szCs w:val="24"/>
          <w:shd w:val="clear" w:color="auto" w:fill="FFFFFF"/>
        </w:rPr>
        <w:t xml:space="preserve"> Ribeiro, A., de Souza Ribeiro, M., &amp; Weffort, E. F. J. (2013). Provisões, Contingências e o Pronunciamento CPC 25: as Percepções dos Protagonistas Envolvidos. </w:t>
      </w:r>
      <w:r w:rsidRPr="006C3B98">
        <w:rPr>
          <w:i/>
          <w:iCs/>
          <w:szCs w:val="24"/>
          <w:shd w:val="clear" w:color="auto" w:fill="FFFFFF"/>
        </w:rPr>
        <w:t>Revista Universo Contábil</w:t>
      </w:r>
      <w:r w:rsidRPr="006C3B98">
        <w:rPr>
          <w:szCs w:val="24"/>
          <w:shd w:val="clear" w:color="auto" w:fill="FFFFFF"/>
        </w:rPr>
        <w:t>, </w:t>
      </w:r>
      <w:r w:rsidRPr="006C3B98">
        <w:rPr>
          <w:i/>
          <w:iCs/>
          <w:szCs w:val="24"/>
          <w:shd w:val="clear" w:color="auto" w:fill="FFFFFF"/>
        </w:rPr>
        <w:t>9</w:t>
      </w:r>
      <w:r w:rsidRPr="006C3B98">
        <w:rPr>
          <w:szCs w:val="24"/>
          <w:shd w:val="clear" w:color="auto" w:fill="FFFFFF"/>
        </w:rPr>
        <w:t>(3), 38-54.</w:t>
      </w:r>
    </w:p>
    <w:p w14:paraId="74BB4368" w14:textId="50FAC850" w:rsidR="00D933C5" w:rsidRPr="006C3B98" w:rsidRDefault="000F2E58" w:rsidP="006C3B98">
      <w:pPr>
        <w:autoSpaceDE w:val="0"/>
        <w:autoSpaceDN w:val="0"/>
        <w:adjustRightInd w:val="0"/>
        <w:ind w:left="709" w:hanging="709"/>
        <w:rPr>
          <w:szCs w:val="24"/>
        </w:rPr>
      </w:pPr>
      <w:r w:rsidRPr="006C3B98">
        <w:rPr>
          <w:szCs w:val="24"/>
          <w:shd w:val="clear" w:color="auto" w:fill="FFFFFF"/>
        </w:rPr>
        <w:t xml:space="preserve">Comitê, </w:t>
      </w:r>
      <w:r w:rsidR="00973A2B" w:rsidRPr="006C3B98">
        <w:rPr>
          <w:szCs w:val="24"/>
          <w:shd w:val="clear" w:color="auto" w:fill="FFFFFF"/>
        </w:rPr>
        <w:t>D. P. C. (2014). Pronunciamento Técnico CPC 25-Provisões, Passivos Contingentes e Ativos Contingentes.</w:t>
      </w:r>
    </w:p>
    <w:p w14:paraId="34CAB78F" w14:textId="1784FEB4" w:rsidR="00D933C5" w:rsidRPr="006C3B98" w:rsidRDefault="000F2E58" w:rsidP="006C3B98">
      <w:pPr>
        <w:tabs>
          <w:tab w:val="left" w:pos="142"/>
        </w:tabs>
        <w:ind w:left="709" w:hanging="709"/>
        <w:rPr>
          <w:b/>
          <w:szCs w:val="24"/>
        </w:rPr>
      </w:pPr>
      <w:r w:rsidRPr="006C3B98">
        <w:rPr>
          <w:szCs w:val="24"/>
          <w:shd w:val="clear" w:color="auto" w:fill="FFFFFF"/>
        </w:rPr>
        <w:t>Comitê</w:t>
      </w:r>
      <w:r w:rsidR="00973A2B" w:rsidRPr="006C3B98">
        <w:rPr>
          <w:szCs w:val="24"/>
          <w:shd w:val="clear" w:color="auto" w:fill="FFFFFF"/>
        </w:rPr>
        <w:t>, D. P. C. (2017). Pronunciamento Técnico CPC 00: Estrutura Conceitual para Elaboração e Divulgação de Relatório Contábil-Financeiro. 2011.</w:t>
      </w:r>
    </w:p>
    <w:p w14:paraId="3E6D8A90" w14:textId="5F81DE2E" w:rsidR="00D933C5" w:rsidRPr="006C3B98" w:rsidRDefault="00973A2B" w:rsidP="006C3B98">
      <w:pPr>
        <w:tabs>
          <w:tab w:val="left" w:pos="142"/>
        </w:tabs>
        <w:ind w:left="709" w:hanging="709"/>
        <w:rPr>
          <w:b/>
          <w:szCs w:val="24"/>
        </w:rPr>
      </w:pPr>
      <w:r w:rsidRPr="006C3B98">
        <w:rPr>
          <w:szCs w:val="24"/>
          <w:shd w:val="clear" w:color="auto" w:fill="FFFFFF"/>
        </w:rPr>
        <w:t>Farias, M. R. S. (2004). </w:t>
      </w:r>
      <w:r w:rsidRPr="006C3B98">
        <w:rPr>
          <w:i/>
          <w:iCs/>
          <w:szCs w:val="24"/>
          <w:shd w:val="clear" w:color="auto" w:fill="FFFFFF"/>
        </w:rPr>
        <w:t>Divulgação do passivo: um enfoque sobre o passivo contingente no setor químico e petroquímico brasileiro</w:t>
      </w:r>
      <w:r w:rsidRPr="006C3B98">
        <w:rPr>
          <w:szCs w:val="24"/>
          <w:shd w:val="clear" w:color="auto" w:fill="FFFFFF"/>
        </w:rPr>
        <w:t> (</w:t>
      </w:r>
      <w:proofErr w:type="spellStart"/>
      <w:r w:rsidRPr="006C3B98">
        <w:rPr>
          <w:szCs w:val="24"/>
          <w:shd w:val="clear" w:color="auto" w:fill="FFFFFF"/>
        </w:rPr>
        <w:t>Doctoral</w:t>
      </w:r>
      <w:proofErr w:type="spellEnd"/>
      <w:r w:rsidRPr="006C3B98">
        <w:rPr>
          <w:szCs w:val="24"/>
          <w:shd w:val="clear" w:color="auto" w:fill="FFFFFF"/>
        </w:rPr>
        <w:t xml:space="preserve"> </w:t>
      </w:r>
      <w:proofErr w:type="spellStart"/>
      <w:r w:rsidRPr="006C3B98">
        <w:rPr>
          <w:szCs w:val="24"/>
          <w:shd w:val="clear" w:color="auto" w:fill="FFFFFF"/>
        </w:rPr>
        <w:t>dissertation</w:t>
      </w:r>
      <w:proofErr w:type="spellEnd"/>
      <w:r w:rsidRPr="006C3B98">
        <w:rPr>
          <w:szCs w:val="24"/>
          <w:shd w:val="clear" w:color="auto" w:fill="FFFFFF"/>
        </w:rPr>
        <w:t>, Universidade de São Paulo</w:t>
      </w:r>
      <w:proofErr w:type="gramStart"/>
      <w:r w:rsidRPr="006C3B98">
        <w:rPr>
          <w:szCs w:val="24"/>
          <w:shd w:val="clear" w:color="auto" w:fill="FFFFFF"/>
        </w:rPr>
        <w:t>).</w:t>
      </w:r>
      <w:r w:rsidR="00D933C5" w:rsidRPr="006C3B98">
        <w:rPr>
          <w:szCs w:val="24"/>
          <w:shd w:val="clear" w:color="auto" w:fill="FFFFFF"/>
        </w:rPr>
        <w:t>.</w:t>
      </w:r>
      <w:proofErr w:type="gramEnd"/>
    </w:p>
    <w:p w14:paraId="267890ED" w14:textId="0A753D28" w:rsidR="00D933C5" w:rsidRPr="006C3B98" w:rsidRDefault="00973A2B" w:rsidP="006C3B98">
      <w:pPr>
        <w:tabs>
          <w:tab w:val="left" w:pos="142"/>
        </w:tabs>
        <w:ind w:left="709" w:hanging="709"/>
        <w:rPr>
          <w:szCs w:val="24"/>
          <w:shd w:val="clear" w:color="auto" w:fill="FFFFFF"/>
        </w:rPr>
      </w:pPr>
      <w:r w:rsidRPr="006C3B98">
        <w:rPr>
          <w:szCs w:val="24"/>
          <w:shd w:val="clear" w:color="auto" w:fill="FFFFFF"/>
        </w:rPr>
        <w:t>Gil, A. C. (2008). </w:t>
      </w:r>
      <w:r w:rsidRPr="006C3B98">
        <w:rPr>
          <w:i/>
          <w:iCs/>
          <w:szCs w:val="24"/>
          <w:shd w:val="clear" w:color="auto" w:fill="FFFFFF"/>
        </w:rPr>
        <w:t>Métodos e técnicas de pesquisa social</w:t>
      </w:r>
      <w:r w:rsidRPr="006C3B98">
        <w:rPr>
          <w:szCs w:val="24"/>
          <w:shd w:val="clear" w:color="auto" w:fill="FFFFFF"/>
        </w:rPr>
        <w:t xml:space="preserve">. 6. ed. </w:t>
      </w:r>
      <w:proofErr w:type="spellStart"/>
      <w:r w:rsidRPr="006C3B98">
        <w:rPr>
          <w:szCs w:val="24"/>
          <w:shd w:val="clear" w:color="auto" w:fill="FFFFFF"/>
        </w:rPr>
        <w:t>Ediitora</w:t>
      </w:r>
      <w:proofErr w:type="spellEnd"/>
      <w:r w:rsidRPr="006C3B98">
        <w:rPr>
          <w:szCs w:val="24"/>
          <w:shd w:val="clear" w:color="auto" w:fill="FFFFFF"/>
        </w:rPr>
        <w:t xml:space="preserve"> Atlas SA.</w:t>
      </w:r>
    </w:p>
    <w:p w14:paraId="7A5C98A7" w14:textId="6754EFE9" w:rsidR="00D933C5" w:rsidRPr="006C3B98" w:rsidRDefault="00973A2B" w:rsidP="006C3B98">
      <w:pPr>
        <w:tabs>
          <w:tab w:val="left" w:pos="142"/>
        </w:tabs>
        <w:ind w:left="709" w:hanging="709"/>
        <w:rPr>
          <w:b/>
          <w:szCs w:val="24"/>
        </w:rPr>
      </w:pPr>
      <w:proofErr w:type="spellStart"/>
      <w:r w:rsidRPr="006C3B98">
        <w:rPr>
          <w:szCs w:val="24"/>
        </w:rPr>
        <w:t>Iudícibus</w:t>
      </w:r>
      <w:proofErr w:type="spellEnd"/>
      <w:r w:rsidR="00D933C5" w:rsidRPr="006C3B98">
        <w:rPr>
          <w:szCs w:val="24"/>
        </w:rPr>
        <w:t>, S. D.</w:t>
      </w:r>
      <w:r w:rsidRPr="006C3B98">
        <w:rPr>
          <w:szCs w:val="24"/>
        </w:rPr>
        <w:t xml:space="preserve"> </w:t>
      </w:r>
      <w:r w:rsidRPr="006C3B98">
        <w:rPr>
          <w:szCs w:val="24"/>
          <w:shd w:val="clear" w:color="auto" w:fill="FFFFFF"/>
        </w:rPr>
        <w:t>(2004). </w:t>
      </w:r>
      <w:r w:rsidR="00D933C5" w:rsidRPr="006C3B98">
        <w:rPr>
          <w:szCs w:val="24"/>
        </w:rPr>
        <w:t xml:space="preserve"> </w:t>
      </w:r>
      <w:r w:rsidR="00D933C5" w:rsidRPr="006C3B98">
        <w:rPr>
          <w:i/>
          <w:iCs/>
          <w:szCs w:val="24"/>
          <w:shd w:val="clear" w:color="auto" w:fill="FFFFFF"/>
        </w:rPr>
        <w:t xml:space="preserve">Teoria da contabilidade. </w:t>
      </w:r>
      <w:r w:rsidRPr="006C3B98">
        <w:rPr>
          <w:szCs w:val="24"/>
        </w:rPr>
        <w:t>7. ed. São Paulo: Atlas SA</w:t>
      </w:r>
      <w:r w:rsidR="00D933C5" w:rsidRPr="006C3B98">
        <w:rPr>
          <w:szCs w:val="24"/>
        </w:rPr>
        <w:t>.</w:t>
      </w:r>
    </w:p>
    <w:p w14:paraId="160CE772" w14:textId="373FC625" w:rsidR="00D933C5" w:rsidRPr="006C3B98" w:rsidRDefault="00973A2B" w:rsidP="006C3B98">
      <w:pPr>
        <w:tabs>
          <w:tab w:val="left" w:pos="142"/>
        </w:tabs>
        <w:ind w:left="709" w:hanging="709"/>
        <w:rPr>
          <w:b/>
          <w:szCs w:val="24"/>
        </w:rPr>
      </w:pPr>
      <w:r w:rsidRPr="006C3B98">
        <w:rPr>
          <w:szCs w:val="24"/>
          <w:shd w:val="clear" w:color="auto" w:fill="FFFFFF"/>
        </w:rPr>
        <w:t xml:space="preserve">Martins, V. A., </w:t>
      </w:r>
      <w:proofErr w:type="spellStart"/>
      <w:r w:rsidRPr="006C3B98">
        <w:rPr>
          <w:szCs w:val="24"/>
          <w:shd w:val="clear" w:color="auto" w:fill="FFFFFF"/>
        </w:rPr>
        <w:t>Brun</w:t>
      </w:r>
      <w:proofErr w:type="spellEnd"/>
      <w:r w:rsidRPr="006C3B98">
        <w:rPr>
          <w:szCs w:val="24"/>
          <w:shd w:val="clear" w:color="auto" w:fill="FFFFFF"/>
        </w:rPr>
        <w:t xml:space="preserve">, A. L., </w:t>
      </w:r>
      <w:proofErr w:type="spellStart"/>
      <w:r w:rsidRPr="006C3B98">
        <w:rPr>
          <w:szCs w:val="24"/>
          <w:shd w:val="clear" w:color="auto" w:fill="FFFFFF"/>
        </w:rPr>
        <w:t>Lazzarotto</w:t>
      </w:r>
      <w:proofErr w:type="spellEnd"/>
      <w:r w:rsidRPr="006C3B98">
        <w:rPr>
          <w:szCs w:val="24"/>
          <w:shd w:val="clear" w:color="auto" w:fill="FFFFFF"/>
        </w:rPr>
        <w:t xml:space="preserve">, A., Coelho, J. L. M., &amp; SILVA, S. C. (2009). A importância </w:t>
      </w:r>
      <w:r w:rsidRPr="006C3B98">
        <w:rPr>
          <w:szCs w:val="24"/>
          <w:shd w:val="clear" w:color="auto" w:fill="FFFFFF"/>
        </w:rPr>
        <w:lastRenderedPageBreak/>
        <w:t>de conhecer e evitar o passivo trabalhista. </w:t>
      </w:r>
      <w:r w:rsidRPr="006C3B98">
        <w:rPr>
          <w:i/>
          <w:iCs/>
          <w:szCs w:val="24"/>
          <w:shd w:val="clear" w:color="auto" w:fill="FFFFFF"/>
        </w:rPr>
        <w:t>Junho de</w:t>
      </w:r>
      <w:r w:rsidRPr="006C3B98">
        <w:rPr>
          <w:szCs w:val="24"/>
          <w:shd w:val="clear" w:color="auto" w:fill="FFFFFF"/>
        </w:rPr>
        <w:t>.</w:t>
      </w:r>
    </w:p>
    <w:p w14:paraId="133162EA" w14:textId="5E014CE3" w:rsidR="00D933C5" w:rsidRPr="006C3B98" w:rsidRDefault="00973A2B" w:rsidP="006C3B98">
      <w:pPr>
        <w:tabs>
          <w:tab w:val="left" w:pos="142"/>
        </w:tabs>
        <w:ind w:left="709" w:hanging="709"/>
        <w:rPr>
          <w:b/>
          <w:szCs w:val="24"/>
        </w:rPr>
      </w:pPr>
      <w:r w:rsidRPr="006C3B98">
        <w:rPr>
          <w:szCs w:val="24"/>
          <w:shd w:val="clear" w:color="auto" w:fill="FFFFFF"/>
        </w:rPr>
        <w:t>Nogueira, M. F. </w:t>
      </w:r>
      <w:r w:rsidRPr="006C3B98">
        <w:rPr>
          <w:i/>
          <w:iCs/>
          <w:szCs w:val="24"/>
          <w:shd w:val="clear" w:color="auto" w:fill="FFFFFF"/>
        </w:rPr>
        <w:t>Reconhecimento, mensuração e evidenciação do passivo judicial trabalhista</w:t>
      </w:r>
      <w:r w:rsidRPr="006C3B98">
        <w:rPr>
          <w:szCs w:val="24"/>
          <w:shd w:val="clear" w:color="auto" w:fill="FFFFFF"/>
        </w:rPr>
        <w:t> (</w:t>
      </w:r>
      <w:proofErr w:type="spellStart"/>
      <w:r w:rsidRPr="006C3B98">
        <w:rPr>
          <w:szCs w:val="24"/>
          <w:shd w:val="clear" w:color="auto" w:fill="FFFFFF"/>
        </w:rPr>
        <w:t>Doctoral</w:t>
      </w:r>
      <w:proofErr w:type="spellEnd"/>
      <w:r w:rsidRPr="006C3B98">
        <w:rPr>
          <w:szCs w:val="24"/>
          <w:shd w:val="clear" w:color="auto" w:fill="FFFFFF"/>
        </w:rPr>
        <w:t xml:space="preserve"> </w:t>
      </w:r>
      <w:proofErr w:type="spellStart"/>
      <w:r w:rsidRPr="006C3B98">
        <w:rPr>
          <w:szCs w:val="24"/>
          <w:shd w:val="clear" w:color="auto" w:fill="FFFFFF"/>
        </w:rPr>
        <w:t>dissertation</w:t>
      </w:r>
      <w:proofErr w:type="spellEnd"/>
      <w:r w:rsidRPr="006C3B98">
        <w:rPr>
          <w:szCs w:val="24"/>
          <w:shd w:val="clear" w:color="auto" w:fill="FFFFFF"/>
        </w:rPr>
        <w:t>, Universidade de São Paulo).</w:t>
      </w:r>
    </w:p>
    <w:p w14:paraId="310ACB82" w14:textId="6A78FCA8" w:rsidR="00D933C5" w:rsidRPr="006C3B98" w:rsidRDefault="00973A2B" w:rsidP="006C3B98">
      <w:pPr>
        <w:tabs>
          <w:tab w:val="left" w:pos="142"/>
        </w:tabs>
        <w:ind w:left="709" w:hanging="709"/>
        <w:rPr>
          <w:b/>
          <w:szCs w:val="24"/>
        </w:rPr>
      </w:pPr>
      <w:proofErr w:type="spellStart"/>
      <w:r w:rsidRPr="006C3B98">
        <w:rPr>
          <w:szCs w:val="24"/>
          <w:shd w:val="clear" w:color="auto" w:fill="FFFFFF"/>
        </w:rPr>
        <w:t>Paoletti</w:t>
      </w:r>
      <w:proofErr w:type="spellEnd"/>
      <w:r w:rsidRPr="006C3B98">
        <w:rPr>
          <w:szCs w:val="24"/>
          <w:shd w:val="clear" w:color="auto" w:fill="FFFFFF"/>
        </w:rPr>
        <w:t>, M. R. (2010). Critérios para formação de provisões para riscos tributários, cíveis e trabalhistas.</w:t>
      </w:r>
    </w:p>
    <w:p w14:paraId="2DD383BC" w14:textId="018F9B58" w:rsidR="00D933C5" w:rsidRPr="006C3B98" w:rsidRDefault="006C3B98" w:rsidP="006C3B98">
      <w:pPr>
        <w:tabs>
          <w:tab w:val="left" w:pos="142"/>
        </w:tabs>
        <w:ind w:left="709" w:hanging="709"/>
        <w:rPr>
          <w:szCs w:val="24"/>
          <w:shd w:val="clear" w:color="auto" w:fill="FFFFFF"/>
        </w:rPr>
      </w:pPr>
      <w:r w:rsidRPr="006C3B98">
        <w:rPr>
          <w:szCs w:val="24"/>
          <w:shd w:val="clear" w:color="auto" w:fill="FFFFFF"/>
        </w:rPr>
        <w:t>Pastore, J. (2006). Reforma Trabalhista: O que pode ser feito. </w:t>
      </w:r>
      <w:r w:rsidRPr="006C3B98">
        <w:rPr>
          <w:i/>
          <w:iCs/>
          <w:szCs w:val="24"/>
          <w:shd w:val="clear" w:color="auto" w:fill="FFFFFF"/>
        </w:rPr>
        <w:t>Cadernos de Economia da FECOMERCIO</w:t>
      </w:r>
      <w:r w:rsidRPr="006C3B98">
        <w:rPr>
          <w:szCs w:val="24"/>
          <w:shd w:val="clear" w:color="auto" w:fill="FFFFFF"/>
        </w:rPr>
        <w:t>.</w:t>
      </w:r>
    </w:p>
    <w:p w14:paraId="6AA9D2CE" w14:textId="658B4BD8" w:rsidR="00D933C5" w:rsidRPr="006C3B98" w:rsidRDefault="006C3B98" w:rsidP="006C3B98">
      <w:pPr>
        <w:tabs>
          <w:tab w:val="left" w:pos="142"/>
        </w:tabs>
        <w:ind w:left="709" w:hanging="709"/>
        <w:rPr>
          <w:szCs w:val="24"/>
          <w:shd w:val="clear" w:color="auto" w:fill="FFFFFF"/>
        </w:rPr>
      </w:pPr>
      <w:r w:rsidRPr="006C3B98">
        <w:rPr>
          <w:szCs w:val="24"/>
          <w:shd w:val="clear" w:color="auto" w:fill="FFFFFF"/>
        </w:rPr>
        <w:t>Pereira, S. D. V. (2008). A importância da gestão do risco do passivo trabalhista nas finanças das organizações. </w:t>
      </w:r>
      <w:r w:rsidRPr="006C3B98">
        <w:rPr>
          <w:i/>
          <w:iCs/>
          <w:szCs w:val="24"/>
          <w:shd w:val="clear" w:color="auto" w:fill="FFFFFF"/>
        </w:rPr>
        <w:t>Revista Novas Ideias</w:t>
      </w:r>
      <w:r w:rsidRPr="006C3B98">
        <w:rPr>
          <w:szCs w:val="24"/>
          <w:shd w:val="clear" w:color="auto" w:fill="FFFFFF"/>
        </w:rPr>
        <w:t>, </w:t>
      </w:r>
      <w:r w:rsidRPr="006C3B98">
        <w:rPr>
          <w:i/>
          <w:iCs/>
          <w:szCs w:val="24"/>
          <w:shd w:val="clear" w:color="auto" w:fill="FFFFFF"/>
        </w:rPr>
        <w:t>1</w:t>
      </w:r>
      <w:r w:rsidRPr="006C3B98">
        <w:rPr>
          <w:szCs w:val="24"/>
          <w:shd w:val="clear" w:color="auto" w:fill="FFFFFF"/>
        </w:rPr>
        <w:t>(1), 93-112.</w:t>
      </w:r>
    </w:p>
    <w:p w14:paraId="48A68B41" w14:textId="4F33877F" w:rsidR="00D933C5" w:rsidRPr="006C3B98" w:rsidRDefault="006C3B98" w:rsidP="006C3B98">
      <w:pPr>
        <w:tabs>
          <w:tab w:val="left" w:pos="142"/>
        </w:tabs>
        <w:ind w:left="709" w:hanging="709"/>
        <w:rPr>
          <w:szCs w:val="24"/>
          <w:shd w:val="clear" w:color="auto" w:fill="FFFFFF"/>
        </w:rPr>
      </w:pPr>
      <w:r w:rsidRPr="006C3B98">
        <w:rPr>
          <w:szCs w:val="24"/>
          <w:shd w:val="clear" w:color="auto" w:fill="FFFFFF"/>
        </w:rPr>
        <w:t xml:space="preserve">Raupp, F. M., &amp; </w:t>
      </w:r>
      <w:proofErr w:type="spellStart"/>
      <w:r w:rsidRPr="006C3B98">
        <w:rPr>
          <w:szCs w:val="24"/>
          <w:shd w:val="clear" w:color="auto" w:fill="FFFFFF"/>
        </w:rPr>
        <w:t>Beuren</w:t>
      </w:r>
      <w:proofErr w:type="spellEnd"/>
      <w:r w:rsidRPr="006C3B98">
        <w:rPr>
          <w:szCs w:val="24"/>
          <w:shd w:val="clear" w:color="auto" w:fill="FFFFFF"/>
        </w:rPr>
        <w:t>, I. M. (2006). Metodologia da Pesquisa Aplicável às Ciências. </w:t>
      </w:r>
      <w:r w:rsidRPr="006C3B98">
        <w:rPr>
          <w:i/>
          <w:iCs/>
          <w:szCs w:val="24"/>
          <w:shd w:val="clear" w:color="auto" w:fill="FFFFFF"/>
        </w:rPr>
        <w:t>Como elaborar trabalhos monográficos em contabilidade: teoria e prática. São Paulo: Atlas</w:t>
      </w:r>
      <w:r w:rsidRPr="006C3B98">
        <w:rPr>
          <w:szCs w:val="24"/>
          <w:shd w:val="clear" w:color="auto" w:fill="FFFFFF"/>
        </w:rPr>
        <w:t>.</w:t>
      </w:r>
    </w:p>
    <w:p w14:paraId="035E17F4" w14:textId="05727F21" w:rsidR="00D933C5" w:rsidRPr="006C3B98" w:rsidRDefault="006C3B98" w:rsidP="006C3B98">
      <w:pPr>
        <w:tabs>
          <w:tab w:val="left" w:pos="142"/>
        </w:tabs>
        <w:ind w:left="709" w:hanging="709"/>
        <w:rPr>
          <w:b/>
          <w:szCs w:val="24"/>
        </w:rPr>
      </w:pPr>
      <w:r w:rsidRPr="006C3B98">
        <w:rPr>
          <w:szCs w:val="24"/>
          <w:shd w:val="clear" w:color="auto" w:fill="FFFFFF"/>
        </w:rPr>
        <w:t>Ribeiro, A. D. C. (2012). </w:t>
      </w:r>
      <w:r w:rsidRPr="006C3B98">
        <w:rPr>
          <w:i/>
          <w:iCs/>
          <w:szCs w:val="24"/>
          <w:shd w:val="clear" w:color="auto" w:fill="FFFFFF"/>
        </w:rPr>
        <w:t>Provisões, contingências e normas contábeis: um estudo de gerenciamento de resultados com contencioso legal no Brasil</w:t>
      </w:r>
      <w:r w:rsidRPr="006C3B98">
        <w:rPr>
          <w:szCs w:val="24"/>
          <w:shd w:val="clear" w:color="auto" w:fill="FFFFFF"/>
        </w:rPr>
        <w:t> (</w:t>
      </w:r>
      <w:proofErr w:type="spellStart"/>
      <w:r w:rsidRPr="006C3B98">
        <w:rPr>
          <w:szCs w:val="24"/>
          <w:shd w:val="clear" w:color="auto" w:fill="FFFFFF"/>
        </w:rPr>
        <w:t>Doctoral</w:t>
      </w:r>
      <w:proofErr w:type="spellEnd"/>
      <w:r w:rsidRPr="006C3B98">
        <w:rPr>
          <w:szCs w:val="24"/>
          <w:shd w:val="clear" w:color="auto" w:fill="FFFFFF"/>
        </w:rPr>
        <w:t xml:space="preserve"> </w:t>
      </w:r>
      <w:proofErr w:type="spellStart"/>
      <w:r w:rsidRPr="006C3B98">
        <w:rPr>
          <w:szCs w:val="24"/>
          <w:shd w:val="clear" w:color="auto" w:fill="FFFFFF"/>
        </w:rPr>
        <w:t>dissertation</w:t>
      </w:r>
      <w:proofErr w:type="spellEnd"/>
      <w:r w:rsidRPr="006C3B98">
        <w:rPr>
          <w:szCs w:val="24"/>
          <w:shd w:val="clear" w:color="auto" w:fill="FFFFFF"/>
        </w:rPr>
        <w:t>, Universidade de São Paulo).</w:t>
      </w:r>
    </w:p>
    <w:p w14:paraId="0E0FF46C" w14:textId="18C630ED" w:rsidR="00D933C5" w:rsidRPr="006D2F81" w:rsidRDefault="006C3B98" w:rsidP="006C3B98">
      <w:pPr>
        <w:tabs>
          <w:tab w:val="left" w:pos="142"/>
        </w:tabs>
        <w:ind w:left="709" w:hanging="709"/>
        <w:rPr>
          <w:b/>
          <w:szCs w:val="24"/>
        </w:rPr>
      </w:pPr>
      <w:r w:rsidRPr="006C3B98">
        <w:rPr>
          <w:szCs w:val="24"/>
          <w:shd w:val="clear" w:color="auto" w:fill="FFFFFF"/>
        </w:rPr>
        <w:t>Rosa, B. B</w:t>
      </w:r>
      <w:r w:rsidRPr="006D2F81">
        <w:rPr>
          <w:szCs w:val="24"/>
          <w:shd w:val="clear" w:color="auto" w:fill="FFFFFF"/>
        </w:rPr>
        <w:t>. D. (2017). Representatividade e nível de evidenciação das provisões e passivos contingentes fiscais nas companhias de capital aberto brasileiras.</w:t>
      </w:r>
    </w:p>
    <w:p w14:paraId="33CA5F16" w14:textId="1B9D6A76" w:rsidR="00C271A6" w:rsidRPr="006D2F81" w:rsidRDefault="006D2F81" w:rsidP="00FA07BA">
      <w:pPr>
        <w:ind w:firstLine="0"/>
        <w:rPr>
          <w:szCs w:val="24"/>
        </w:rPr>
      </w:pPr>
      <w:r w:rsidRPr="006D2F81">
        <w:rPr>
          <w:szCs w:val="24"/>
          <w:shd w:val="clear" w:color="auto" w:fill="FFFFFF"/>
        </w:rPr>
        <w:t xml:space="preserve">Suave, R., </w:t>
      </w:r>
      <w:proofErr w:type="spellStart"/>
      <w:r w:rsidRPr="006D2F81">
        <w:rPr>
          <w:szCs w:val="24"/>
          <w:shd w:val="clear" w:color="auto" w:fill="FFFFFF"/>
        </w:rPr>
        <w:t>Codesso</w:t>
      </w:r>
      <w:proofErr w:type="spellEnd"/>
      <w:r w:rsidRPr="006D2F81">
        <w:rPr>
          <w:szCs w:val="24"/>
          <w:shd w:val="clear" w:color="auto" w:fill="FFFFFF"/>
        </w:rPr>
        <w:t xml:space="preserve">, M. M., de Moraes Pinto, H., Vicente, E. F. R., &amp; </w:t>
      </w:r>
      <w:proofErr w:type="spellStart"/>
      <w:r w:rsidRPr="006D2F81">
        <w:rPr>
          <w:szCs w:val="24"/>
          <w:shd w:val="clear" w:color="auto" w:fill="FFFFFF"/>
        </w:rPr>
        <w:t>Lunkes</w:t>
      </w:r>
      <w:proofErr w:type="spellEnd"/>
      <w:r w:rsidRPr="006D2F81">
        <w:rPr>
          <w:szCs w:val="24"/>
          <w:shd w:val="clear" w:color="auto" w:fill="FFFFFF"/>
        </w:rPr>
        <w:t xml:space="preserve">, R. J. (2013). Divulgação de passivos contingentes nas empresas mais líquidas da </w:t>
      </w:r>
      <w:proofErr w:type="spellStart"/>
      <w:r w:rsidRPr="006D2F81">
        <w:rPr>
          <w:szCs w:val="24"/>
          <w:shd w:val="clear" w:color="auto" w:fill="FFFFFF"/>
        </w:rPr>
        <w:t>BM&amp;FBovespa</w:t>
      </w:r>
      <w:proofErr w:type="spellEnd"/>
      <w:r w:rsidRPr="006D2F81">
        <w:rPr>
          <w:szCs w:val="24"/>
          <w:shd w:val="clear" w:color="auto" w:fill="FFFFFF"/>
        </w:rPr>
        <w:t>. </w:t>
      </w:r>
      <w:r w:rsidRPr="006D2F81">
        <w:rPr>
          <w:i/>
          <w:iCs/>
          <w:szCs w:val="24"/>
          <w:shd w:val="clear" w:color="auto" w:fill="FFFFFF"/>
        </w:rPr>
        <w:t>Revista da UNIFEBE</w:t>
      </w:r>
      <w:r w:rsidRPr="006D2F81">
        <w:rPr>
          <w:szCs w:val="24"/>
          <w:shd w:val="clear" w:color="auto" w:fill="FFFFFF"/>
        </w:rPr>
        <w:t>, </w:t>
      </w:r>
      <w:r w:rsidRPr="006D2F81">
        <w:rPr>
          <w:i/>
          <w:iCs/>
          <w:szCs w:val="24"/>
          <w:shd w:val="clear" w:color="auto" w:fill="FFFFFF"/>
        </w:rPr>
        <w:t>1</w:t>
      </w:r>
      <w:r w:rsidRPr="006D2F81">
        <w:rPr>
          <w:szCs w:val="24"/>
          <w:shd w:val="clear" w:color="auto" w:fill="FFFFFF"/>
        </w:rPr>
        <w:t>(11).</w:t>
      </w:r>
    </w:p>
    <w:sectPr w:rsidR="00C271A6" w:rsidRPr="006D2F81" w:rsidSect="00C271A6">
      <w:headerReference w:type="default" r:id="rId10"/>
      <w:footerReference w:type="default" r:id="rId11"/>
      <w:pgSz w:w="12240" w:h="15840" w:code="119"/>
      <w:pgMar w:top="1701" w:right="1134" w:bottom="1701" w:left="1701" w:header="142" w:footer="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726D6F" w16cid:durableId="20BF5C15"/>
  <w16cid:commentId w16cid:paraId="28E95FF2" w16cid:durableId="20BF61FC"/>
  <w16cid:commentId w16cid:paraId="0B4BD8E9" w16cid:durableId="20BF624B"/>
  <w16cid:commentId w16cid:paraId="0700620F" w16cid:durableId="20BF631F"/>
  <w16cid:commentId w16cid:paraId="4E020F5B" w16cid:durableId="20BF6547"/>
  <w16cid:commentId w16cid:paraId="35AFA5CB" w16cid:durableId="20BF654F"/>
  <w16cid:commentId w16cid:paraId="35FC7222" w16cid:durableId="20BF6566"/>
  <w16cid:commentId w16cid:paraId="44FA0E01" w16cid:durableId="20BF65E4"/>
  <w16cid:commentId w16cid:paraId="04C26725" w16cid:durableId="20BF65DC"/>
  <w16cid:commentId w16cid:paraId="74376208" w16cid:durableId="20BF6605"/>
  <w16cid:commentId w16cid:paraId="5A73E232" w16cid:durableId="20BF200F"/>
  <w16cid:commentId w16cid:paraId="7032DF54" w16cid:durableId="20BF20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A66FB" w14:textId="77777777" w:rsidR="00E828CB" w:rsidRDefault="00E828CB" w:rsidP="005840EF">
      <w:r>
        <w:separator/>
      </w:r>
    </w:p>
  </w:endnote>
  <w:endnote w:type="continuationSeparator" w:id="0">
    <w:p w14:paraId="532300A1" w14:textId="77777777" w:rsidR="00E828CB" w:rsidRDefault="00E828CB"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D1593" w14:textId="77777777" w:rsidR="009973B8" w:rsidRPr="00F05FBB" w:rsidRDefault="009973B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82269">
      <w:rPr>
        <w:noProof/>
        <w:sz w:val="20"/>
      </w:rPr>
      <w:t>1</w:t>
    </w:r>
    <w:r w:rsidRPr="00F05FBB">
      <w:rPr>
        <w:sz w:val="20"/>
      </w:rPr>
      <w:fldChar w:fldCharType="end"/>
    </w:r>
  </w:p>
  <w:p w14:paraId="2D61635F" w14:textId="77777777" w:rsidR="009973B8" w:rsidRPr="00862FD2" w:rsidRDefault="009973B8" w:rsidP="004E0B39">
    <w:pPr>
      <w:pStyle w:val="Rodap"/>
      <w:ind w:firstLine="0"/>
      <w:jc w:val="center"/>
    </w:pPr>
    <w:r>
      <w:rPr>
        <w:noProof/>
        <w:lang w:val="pt-BR" w:eastAsia="pt-BR"/>
      </w:rPr>
      <w:drawing>
        <wp:inline distT="0" distB="0" distL="0" distR="0" wp14:anchorId="3BD762F3" wp14:editId="50FBE0D0">
          <wp:extent cx="3895725" cy="971550"/>
          <wp:effectExtent l="0" t="0" r="9525" b="0"/>
          <wp:docPr id="5" name="Imagem 5"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CA470" w14:textId="77777777" w:rsidR="00E828CB" w:rsidRDefault="00E828CB" w:rsidP="005840EF">
      <w:r>
        <w:separator/>
      </w:r>
    </w:p>
  </w:footnote>
  <w:footnote w:type="continuationSeparator" w:id="0">
    <w:p w14:paraId="6D9A7BFC" w14:textId="77777777" w:rsidR="00E828CB" w:rsidRDefault="00E828CB"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2D93" w14:textId="77777777" w:rsidR="009973B8" w:rsidRPr="004E0B39" w:rsidRDefault="009973B8" w:rsidP="004E0B39">
    <w:pPr>
      <w:pStyle w:val="Cabealho"/>
      <w:ind w:firstLine="0"/>
      <w:jc w:val="center"/>
    </w:pPr>
    <w:r>
      <w:rPr>
        <w:noProof/>
      </w:rPr>
      <w:drawing>
        <wp:inline distT="0" distB="0" distL="0" distR="0" wp14:anchorId="591E2345" wp14:editId="743BF949">
          <wp:extent cx="6010275" cy="1485900"/>
          <wp:effectExtent l="0" t="0" r="9525" b="0"/>
          <wp:docPr id="4" name="Imagem 4"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345A2300"/>
    <w:multiLevelType w:val="multilevel"/>
    <w:tmpl w:val="88D26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314AF7"/>
    <w:multiLevelType w:val="hybridMultilevel"/>
    <w:tmpl w:val="67AA60A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7"/>
  </w:num>
  <w:num w:numId="4">
    <w:abstractNumId w:val="12"/>
  </w:num>
  <w:num w:numId="5">
    <w:abstractNumId w:val="4"/>
  </w:num>
  <w:num w:numId="6">
    <w:abstractNumId w:val="1"/>
  </w:num>
  <w:num w:numId="7">
    <w:abstractNumId w:val="0"/>
  </w:num>
  <w:num w:numId="8">
    <w:abstractNumId w:val="2"/>
  </w:num>
  <w:num w:numId="9">
    <w:abstractNumId w:val="2"/>
  </w:num>
  <w:num w:numId="10">
    <w:abstractNumId w:val="9"/>
  </w:num>
  <w:num w:numId="11">
    <w:abstractNumId w:val="11"/>
  </w:num>
  <w:num w:numId="12">
    <w:abstractNumId w:val="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pt-BR" w:vendorID="64" w:dllVersion="131078" w:nlCheck="1" w:checkStyle="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6261D"/>
    <w:rsid w:val="000720BF"/>
    <w:rsid w:val="00082269"/>
    <w:rsid w:val="000A743D"/>
    <w:rsid w:val="000C352D"/>
    <w:rsid w:val="000C47D8"/>
    <w:rsid w:val="000D2E41"/>
    <w:rsid w:val="000D7722"/>
    <w:rsid w:val="000F0530"/>
    <w:rsid w:val="000F223A"/>
    <w:rsid w:val="000F2E58"/>
    <w:rsid w:val="00103B86"/>
    <w:rsid w:val="001117DD"/>
    <w:rsid w:val="001457BE"/>
    <w:rsid w:val="00160E08"/>
    <w:rsid w:val="001A306A"/>
    <w:rsid w:val="001B2644"/>
    <w:rsid w:val="001C03BC"/>
    <w:rsid w:val="001C3586"/>
    <w:rsid w:val="001C4CDC"/>
    <w:rsid w:val="001E18B4"/>
    <w:rsid w:val="001E2E6C"/>
    <w:rsid w:val="001F105A"/>
    <w:rsid w:val="001F62FE"/>
    <w:rsid w:val="0020354A"/>
    <w:rsid w:val="00203974"/>
    <w:rsid w:val="002056D7"/>
    <w:rsid w:val="002136AE"/>
    <w:rsid w:val="0021715F"/>
    <w:rsid w:val="00226064"/>
    <w:rsid w:val="00244401"/>
    <w:rsid w:val="00244C0A"/>
    <w:rsid w:val="0024618A"/>
    <w:rsid w:val="002566DC"/>
    <w:rsid w:val="00263CEF"/>
    <w:rsid w:val="002826C0"/>
    <w:rsid w:val="0029412E"/>
    <w:rsid w:val="002A3FFA"/>
    <w:rsid w:val="002B78FC"/>
    <w:rsid w:val="002C2717"/>
    <w:rsid w:val="002C7235"/>
    <w:rsid w:val="002E1909"/>
    <w:rsid w:val="002E2E00"/>
    <w:rsid w:val="00303C6F"/>
    <w:rsid w:val="003331B1"/>
    <w:rsid w:val="00350D4E"/>
    <w:rsid w:val="00354A83"/>
    <w:rsid w:val="00371DFF"/>
    <w:rsid w:val="00373652"/>
    <w:rsid w:val="003866AD"/>
    <w:rsid w:val="0039181C"/>
    <w:rsid w:val="003923C3"/>
    <w:rsid w:val="00395244"/>
    <w:rsid w:val="003A3639"/>
    <w:rsid w:val="003C1CDA"/>
    <w:rsid w:val="003F7BBA"/>
    <w:rsid w:val="00406C08"/>
    <w:rsid w:val="00423365"/>
    <w:rsid w:val="004251EF"/>
    <w:rsid w:val="0044251D"/>
    <w:rsid w:val="00446FE4"/>
    <w:rsid w:val="00472EE1"/>
    <w:rsid w:val="0048579A"/>
    <w:rsid w:val="0049262F"/>
    <w:rsid w:val="00494674"/>
    <w:rsid w:val="004B0492"/>
    <w:rsid w:val="004E0B39"/>
    <w:rsid w:val="00523BAB"/>
    <w:rsid w:val="00531A76"/>
    <w:rsid w:val="0053257C"/>
    <w:rsid w:val="0055088A"/>
    <w:rsid w:val="005840EF"/>
    <w:rsid w:val="005B2AFC"/>
    <w:rsid w:val="005B594A"/>
    <w:rsid w:val="005C5901"/>
    <w:rsid w:val="005D0785"/>
    <w:rsid w:val="005D711E"/>
    <w:rsid w:val="005F5382"/>
    <w:rsid w:val="00606F36"/>
    <w:rsid w:val="0063432D"/>
    <w:rsid w:val="006450F2"/>
    <w:rsid w:val="00646C92"/>
    <w:rsid w:val="006750E6"/>
    <w:rsid w:val="0067608F"/>
    <w:rsid w:val="00677AED"/>
    <w:rsid w:val="00683BE5"/>
    <w:rsid w:val="006B738F"/>
    <w:rsid w:val="006C284A"/>
    <w:rsid w:val="006C3B98"/>
    <w:rsid w:val="006C46A1"/>
    <w:rsid w:val="006D02CA"/>
    <w:rsid w:val="006D2F81"/>
    <w:rsid w:val="006D340F"/>
    <w:rsid w:val="006D5D70"/>
    <w:rsid w:val="006F252F"/>
    <w:rsid w:val="00710D8D"/>
    <w:rsid w:val="00714245"/>
    <w:rsid w:val="00727B65"/>
    <w:rsid w:val="00736B14"/>
    <w:rsid w:val="007610C6"/>
    <w:rsid w:val="00761153"/>
    <w:rsid w:val="00772B30"/>
    <w:rsid w:val="0079716C"/>
    <w:rsid w:val="007B4D35"/>
    <w:rsid w:val="007C0C2C"/>
    <w:rsid w:val="007F1447"/>
    <w:rsid w:val="007F20D9"/>
    <w:rsid w:val="0081086B"/>
    <w:rsid w:val="00822578"/>
    <w:rsid w:val="00836BC3"/>
    <w:rsid w:val="008457A6"/>
    <w:rsid w:val="00862FD2"/>
    <w:rsid w:val="00865A23"/>
    <w:rsid w:val="00866591"/>
    <w:rsid w:val="008822C8"/>
    <w:rsid w:val="008902BE"/>
    <w:rsid w:val="00890548"/>
    <w:rsid w:val="008A1488"/>
    <w:rsid w:val="008B126F"/>
    <w:rsid w:val="008B21BE"/>
    <w:rsid w:val="008D0102"/>
    <w:rsid w:val="008E2AA3"/>
    <w:rsid w:val="008F08C1"/>
    <w:rsid w:val="008F1B7C"/>
    <w:rsid w:val="008F67F7"/>
    <w:rsid w:val="00903BA0"/>
    <w:rsid w:val="00912088"/>
    <w:rsid w:val="0092413C"/>
    <w:rsid w:val="00943459"/>
    <w:rsid w:val="00952306"/>
    <w:rsid w:val="0095282A"/>
    <w:rsid w:val="00956CFC"/>
    <w:rsid w:val="00957B52"/>
    <w:rsid w:val="009724D8"/>
    <w:rsid w:val="00973A2B"/>
    <w:rsid w:val="00981EA0"/>
    <w:rsid w:val="0098325B"/>
    <w:rsid w:val="009973B8"/>
    <w:rsid w:val="009976D2"/>
    <w:rsid w:val="009B11E7"/>
    <w:rsid w:val="009B3488"/>
    <w:rsid w:val="009C7DFA"/>
    <w:rsid w:val="009D68AF"/>
    <w:rsid w:val="009E76D7"/>
    <w:rsid w:val="009F248F"/>
    <w:rsid w:val="009F7DDF"/>
    <w:rsid w:val="00A01395"/>
    <w:rsid w:val="00A0414A"/>
    <w:rsid w:val="00A16D53"/>
    <w:rsid w:val="00A5101F"/>
    <w:rsid w:val="00A80641"/>
    <w:rsid w:val="00A837D0"/>
    <w:rsid w:val="00AA496C"/>
    <w:rsid w:val="00AA54EF"/>
    <w:rsid w:val="00AB5527"/>
    <w:rsid w:val="00AB6D7B"/>
    <w:rsid w:val="00AC2A99"/>
    <w:rsid w:val="00AC61AF"/>
    <w:rsid w:val="00AC64C7"/>
    <w:rsid w:val="00AC7E25"/>
    <w:rsid w:val="00AD3BC1"/>
    <w:rsid w:val="00AD3DD0"/>
    <w:rsid w:val="00AE6424"/>
    <w:rsid w:val="00B0212E"/>
    <w:rsid w:val="00B11935"/>
    <w:rsid w:val="00B12485"/>
    <w:rsid w:val="00B169EE"/>
    <w:rsid w:val="00B25FFE"/>
    <w:rsid w:val="00B337B9"/>
    <w:rsid w:val="00B36A6A"/>
    <w:rsid w:val="00B6710F"/>
    <w:rsid w:val="00B801AB"/>
    <w:rsid w:val="00B85198"/>
    <w:rsid w:val="00BA734A"/>
    <w:rsid w:val="00BC4277"/>
    <w:rsid w:val="00BC543E"/>
    <w:rsid w:val="00BD6784"/>
    <w:rsid w:val="00BD78C5"/>
    <w:rsid w:val="00BE769E"/>
    <w:rsid w:val="00C01F1F"/>
    <w:rsid w:val="00C2022D"/>
    <w:rsid w:val="00C204A5"/>
    <w:rsid w:val="00C22A7A"/>
    <w:rsid w:val="00C2402F"/>
    <w:rsid w:val="00C271A6"/>
    <w:rsid w:val="00C52339"/>
    <w:rsid w:val="00C64F9D"/>
    <w:rsid w:val="00C671EC"/>
    <w:rsid w:val="00C67C32"/>
    <w:rsid w:val="00C84F71"/>
    <w:rsid w:val="00CD2CB2"/>
    <w:rsid w:val="00CE0058"/>
    <w:rsid w:val="00CE451B"/>
    <w:rsid w:val="00CF0D35"/>
    <w:rsid w:val="00CF2148"/>
    <w:rsid w:val="00D2342D"/>
    <w:rsid w:val="00D73145"/>
    <w:rsid w:val="00D86B5F"/>
    <w:rsid w:val="00D933C5"/>
    <w:rsid w:val="00D94E67"/>
    <w:rsid w:val="00DA32EE"/>
    <w:rsid w:val="00DA5E5B"/>
    <w:rsid w:val="00DD7E58"/>
    <w:rsid w:val="00DE1E14"/>
    <w:rsid w:val="00DE631D"/>
    <w:rsid w:val="00DE75F7"/>
    <w:rsid w:val="00E05AD3"/>
    <w:rsid w:val="00E1786F"/>
    <w:rsid w:val="00E24E18"/>
    <w:rsid w:val="00E75770"/>
    <w:rsid w:val="00E828CB"/>
    <w:rsid w:val="00E82BBA"/>
    <w:rsid w:val="00E87193"/>
    <w:rsid w:val="00E94A5E"/>
    <w:rsid w:val="00EC15C5"/>
    <w:rsid w:val="00EC6EDB"/>
    <w:rsid w:val="00ED1328"/>
    <w:rsid w:val="00ED6578"/>
    <w:rsid w:val="00EF1658"/>
    <w:rsid w:val="00EF213A"/>
    <w:rsid w:val="00EF31B5"/>
    <w:rsid w:val="00F05FBB"/>
    <w:rsid w:val="00F20997"/>
    <w:rsid w:val="00F268D1"/>
    <w:rsid w:val="00F66CBD"/>
    <w:rsid w:val="00F70D09"/>
    <w:rsid w:val="00FA07BA"/>
    <w:rsid w:val="00FC1C75"/>
    <w:rsid w:val="00FE4B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EDA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unhideWhenUsed/>
    <w:rsid w:val="002C2717"/>
    <w:pPr>
      <w:spacing w:after="120"/>
    </w:pPr>
  </w:style>
  <w:style w:type="character" w:customStyle="1" w:styleId="CorpodetextoChar">
    <w:name w:val="Corpo de texto Char"/>
    <w:basedOn w:val="Fontepargpadro"/>
    <w:link w:val="Corpodetexto"/>
    <w:uiPriority w:val="99"/>
    <w:rsid w:val="002C2717"/>
    <w:rPr>
      <w:sz w:val="24"/>
    </w:rPr>
  </w:style>
  <w:style w:type="character" w:styleId="nfase">
    <w:name w:val="Emphasis"/>
    <w:uiPriority w:val="20"/>
    <w:qFormat/>
    <w:rsid w:val="002C2717"/>
    <w:rPr>
      <w:i/>
      <w:iCs/>
    </w:rPr>
  </w:style>
  <w:style w:type="character" w:customStyle="1" w:styleId="st1">
    <w:name w:val="st1"/>
    <w:rsid w:val="002C2717"/>
  </w:style>
  <w:style w:type="paragraph" w:customStyle="1" w:styleId="QuadrosTabelaseGrficos">
    <w:name w:val="Quadros Tabelas e Gráficos"/>
    <w:qFormat/>
    <w:rsid w:val="002C2717"/>
    <w:rPr>
      <w:rFonts w:eastAsia="Calibri"/>
      <w:szCs w:val="22"/>
      <w:lang w:eastAsia="en-US"/>
    </w:rPr>
  </w:style>
  <w:style w:type="paragraph" w:styleId="PargrafodaLista">
    <w:name w:val="List Paragraph"/>
    <w:basedOn w:val="Normal"/>
    <w:uiPriority w:val="34"/>
    <w:qFormat/>
    <w:rsid w:val="000C47D8"/>
    <w:pPr>
      <w:widowControl/>
      <w:suppressLineNumbers w:val="0"/>
      <w:ind w:left="720" w:firstLine="0"/>
      <w:contextualSpacing/>
      <w:jc w:val="left"/>
    </w:pPr>
    <w:rPr>
      <w:sz w:val="20"/>
    </w:rPr>
  </w:style>
  <w:style w:type="character" w:customStyle="1" w:styleId="UnresolvedMention">
    <w:name w:val="Unresolved Mention"/>
    <w:basedOn w:val="Fontepargpadro"/>
    <w:uiPriority w:val="99"/>
    <w:semiHidden/>
    <w:unhideWhenUsed/>
    <w:rsid w:val="00FA07BA"/>
    <w:rPr>
      <w:color w:val="605E5C"/>
      <w:shd w:val="clear" w:color="auto" w:fill="E1DFDD"/>
    </w:rPr>
  </w:style>
  <w:style w:type="character" w:customStyle="1" w:styleId="A14">
    <w:name w:val="A14"/>
    <w:uiPriority w:val="99"/>
    <w:rsid w:val="00EF31B5"/>
    <w:rPr>
      <w:rFonts w:cs="Myriad Pro"/>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242">
      <w:bodyDiv w:val="1"/>
      <w:marLeft w:val="0"/>
      <w:marRight w:val="0"/>
      <w:marTop w:val="0"/>
      <w:marBottom w:val="0"/>
      <w:divBdr>
        <w:top w:val="none" w:sz="0" w:space="0" w:color="auto"/>
        <w:left w:val="none" w:sz="0" w:space="0" w:color="auto"/>
        <w:bottom w:val="none" w:sz="0" w:space="0" w:color="auto"/>
        <w:right w:val="none" w:sz="0" w:space="0" w:color="auto"/>
      </w:divBdr>
    </w:div>
    <w:div w:id="50157837">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408120709">
      <w:bodyDiv w:val="1"/>
      <w:marLeft w:val="0"/>
      <w:marRight w:val="0"/>
      <w:marTop w:val="0"/>
      <w:marBottom w:val="0"/>
      <w:divBdr>
        <w:top w:val="none" w:sz="0" w:space="0" w:color="auto"/>
        <w:left w:val="none" w:sz="0" w:space="0" w:color="auto"/>
        <w:bottom w:val="none" w:sz="0" w:space="0" w:color="auto"/>
        <w:right w:val="none" w:sz="0" w:space="0" w:color="auto"/>
      </w:divBdr>
    </w:div>
    <w:div w:id="433937388">
      <w:bodyDiv w:val="1"/>
      <w:marLeft w:val="0"/>
      <w:marRight w:val="0"/>
      <w:marTop w:val="0"/>
      <w:marBottom w:val="0"/>
      <w:divBdr>
        <w:top w:val="none" w:sz="0" w:space="0" w:color="auto"/>
        <w:left w:val="none" w:sz="0" w:space="0" w:color="auto"/>
        <w:bottom w:val="none" w:sz="0" w:space="0" w:color="auto"/>
        <w:right w:val="none" w:sz="0" w:space="0" w:color="auto"/>
      </w:divBdr>
    </w:div>
    <w:div w:id="442041868">
      <w:bodyDiv w:val="1"/>
      <w:marLeft w:val="0"/>
      <w:marRight w:val="0"/>
      <w:marTop w:val="0"/>
      <w:marBottom w:val="0"/>
      <w:divBdr>
        <w:top w:val="none" w:sz="0" w:space="0" w:color="auto"/>
        <w:left w:val="none" w:sz="0" w:space="0" w:color="auto"/>
        <w:bottom w:val="none" w:sz="0" w:space="0" w:color="auto"/>
        <w:right w:val="none" w:sz="0" w:space="0" w:color="auto"/>
      </w:divBdr>
    </w:div>
    <w:div w:id="461386750">
      <w:bodyDiv w:val="1"/>
      <w:marLeft w:val="0"/>
      <w:marRight w:val="0"/>
      <w:marTop w:val="0"/>
      <w:marBottom w:val="0"/>
      <w:divBdr>
        <w:top w:val="none" w:sz="0" w:space="0" w:color="auto"/>
        <w:left w:val="none" w:sz="0" w:space="0" w:color="auto"/>
        <w:bottom w:val="none" w:sz="0" w:space="0" w:color="auto"/>
        <w:right w:val="none" w:sz="0" w:space="0" w:color="auto"/>
      </w:divBdr>
    </w:div>
    <w:div w:id="469637960">
      <w:bodyDiv w:val="1"/>
      <w:marLeft w:val="0"/>
      <w:marRight w:val="0"/>
      <w:marTop w:val="0"/>
      <w:marBottom w:val="0"/>
      <w:divBdr>
        <w:top w:val="none" w:sz="0" w:space="0" w:color="auto"/>
        <w:left w:val="none" w:sz="0" w:space="0" w:color="auto"/>
        <w:bottom w:val="none" w:sz="0" w:space="0" w:color="auto"/>
        <w:right w:val="none" w:sz="0" w:space="0" w:color="auto"/>
      </w:divBdr>
    </w:div>
    <w:div w:id="514004001">
      <w:bodyDiv w:val="1"/>
      <w:marLeft w:val="0"/>
      <w:marRight w:val="0"/>
      <w:marTop w:val="0"/>
      <w:marBottom w:val="0"/>
      <w:divBdr>
        <w:top w:val="none" w:sz="0" w:space="0" w:color="auto"/>
        <w:left w:val="none" w:sz="0" w:space="0" w:color="auto"/>
        <w:bottom w:val="none" w:sz="0" w:space="0" w:color="auto"/>
        <w:right w:val="none" w:sz="0" w:space="0" w:color="auto"/>
      </w:divBdr>
    </w:div>
    <w:div w:id="701706952">
      <w:bodyDiv w:val="1"/>
      <w:marLeft w:val="0"/>
      <w:marRight w:val="0"/>
      <w:marTop w:val="0"/>
      <w:marBottom w:val="0"/>
      <w:divBdr>
        <w:top w:val="none" w:sz="0" w:space="0" w:color="auto"/>
        <w:left w:val="none" w:sz="0" w:space="0" w:color="auto"/>
        <w:bottom w:val="none" w:sz="0" w:space="0" w:color="auto"/>
        <w:right w:val="none" w:sz="0" w:space="0" w:color="auto"/>
      </w:divBdr>
    </w:div>
    <w:div w:id="1146048344">
      <w:bodyDiv w:val="1"/>
      <w:marLeft w:val="0"/>
      <w:marRight w:val="0"/>
      <w:marTop w:val="0"/>
      <w:marBottom w:val="0"/>
      <w:divBdr>
        <w:top w:val="none" w:sz="0" w:space="0" w:color="auto"/>
        <w:left w:val="none" w:sz="0" w:space="0" w:color="auto"/>
        <w:bottom w:val="none" w:sz="0" w:space="0" w:color="auto"/>
        <w:right w:val="none" w:sz="0" w:space="0" w:color="auto"/>
      </w:divBdr>
    </w:div>
    <w:div w:id="1183206323">
      <w:bodyDiv w:val="1"/>
      <w:marLeft w:val="0"/>
      <w:marRight w:val="0"/>
      <w:marTop w:val="0"/>
      <w:marBottom w:val="0"/>
      <w:divBdr>
        <w:top w:val="none" w:sz="0" w:space="0" w:color="auto"/>
        <w:left w:val="none" w:sz="0" w:space="0" w:color="auto"/>
        <w:bottom w:val="none" w:sz="0" w:space="0" w:color="auto"/>
        <w:right w:val="none" w:sz="0" w:space="0" w:color="auto"/>
      </w:divBdr>
    </w:div>
    <w:div w:id="1290475877">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80970">
      <w:bodyDiv w:val="1"/>
      <w:marLeft w:val="0"/>
      <w:marRight w:val="0"/>
      <w:marTop w:val="0"/>
      <w:marBottom w:val="0"/>
      <w:divBdr>
        <w:top w:val="none" w:sz="0" w:space="0" w:color="auto"/>
        <w:left w:val="none" w:sz="0" w:space="0" w:color="auto"/>
        <w:bottom w:val="none" w:sz="0" w:space="0" w:color="auto"/>
        <w:right w:val="none" w:sz="0" w:space="0" w:color="auto"/>
      </w:divBdr>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421633090">
      <w:bodyDiv w:val="1"/>
      <w:marLeft w:val="0"/>
      <w:marRight w:val="0"/>
      <w:marTop w:val="0"/>
      <w:marBottom w:val="0"/>
      <w:divBdr>
        <w:top w:val="none" w:sz="0" w:space="0" w:color="auto"/>
        <w:left w:val="none" w:sz="0" w:space="0" w:color="auto"/>
        <w:bottom w:val="none" w:sz="0" w:space="0" w:color="auto"/>
        <w:right w:val="none" w:sz="0" w:space="0" w:color="auto"/>
      </w:divBdr>
    </w:div>
    <w:div w:id="1466778560">
      <w:bodyDiv w:val="1"/>
      <w:marLeft w:val="0"/>
      <w:marRight w:val="0"/>
      <w:marTop w:val="0"/>
      <w:marBottom w:val="0"/>
      <w:divBdr>
        <w:top w:val="none" w:sz="0" w:space="0" w:color="auto"/>
        <w:left w:val="none" w:sz="0" w:space="0" w:color="auto"/>
        <w:bottom w:val="none" w:sz="0" w:space="0" w:color="auto"/>
        <w:right w:val="none" w:sz="0" w:space="0" w:color="auto"/>
      </w:divBdr>
    </w:div>
    <w:div w:id="1497761940">
      <w:bodyDiv w:val="1"/>
      <w:marLeft w:val="0"/>
      <w:marRight w:val="0"/>
      <w:marTop w:val="0"/>
      <w:marBottom w:val="0"/>
      <w:divBdr>
        <w:top w:val="none" w:sz="0" w:space="0" w:color="auto"/>
        <w:left w:val="none" w:sz="0" w:space="0" w:color="auto"/>
        <w:bottom w:val="none" w:sz="0" w:space="0" w:color="auto"/>
        <w:right w:val="none" w:sz="0" w:space="0" w:color="auto"/>
      </w:divBdr>
    </w:div>
    <w:div w:id="1506093115">
      <w:bodyDiv w:val="1"/>
      <w:marLeft w:val="0"/>
      <w:marRight w:val="0"/>
      <w:marTop w:val="0"/>
      <w:marBottom w:val="0"/>
      <w:divBdr>
        <w:top w:val="none" w:sz="0" w:space="0" w:color="auto"/>
        <w:left w:val="none" w:sz="0" w:space="0" w:color="auto"/>
        <w:bottom w:val="none" w:sz="0" w:space="0" w:color="auto"/>
        <w:right w:val="none" w:sz="0" w:space="0" w:color="auto"/>
      </w:divBdr>
    </w:div>
    <w:div w:id="1571382233">
      <w:bodyDiv w:val="1"/>
      <w:marLeft w:val="0"/>
      <w:marRight w:val="0"/>
      <w:marTop w:val="0"/>
      <w:marBottom w:val="0"/>
      <w:divBdr>
        <w:top w:val="none" w:sz="0" w:space="0" w:color="auto"/>
        <w:left w:val="none" w:sz="0" w:space="0" w:color="auto"/>
        <w:bottom w:val="none" w:sz="0" w:space="0" w:color="auto"/>
        <w:right w:val="none" w:sz="0" w:space="0" w:color="auto"/>
      </w:divBdr>
    </w:div>
    <w:div w:id="1594508030">
      <w:bodyDiv w:val="1"/>
      <w:marLeft w:val="0"/>
      <w:marRight w:val="0"/>
      <w:marTop w:val="0"/>
      <w:marBottom w:val="0"/>
      <w:divBdr>
        <w:top w:val="none" w:sz="0" w:space="0" w:color="auto"/>
        <w:left w:val="none" w:sz="0" w:space="0" w:color="auto"/>
        <w:bottom w:val="none" w:sz="0" w:space="0" w:color="auto"/>
        <w:right w:val="none" w:sz="0" w:space="0" w:color="auto"/>
      </w:divBdr>
    </w:div>
    <w:div w:id="1642727257">
      <w:bodyDiv w:val="1"/>
      <w:marLeft w:val="0"/>
      <w:marRight w:val="0"/>
      <w:marTop w:val="0"/>
      <w:marBottom w:val="0"/>
      <w:divBdr>
        <w:top w:val="none" w:sz="0" w:space="0" w:color="auto"/>
        <w:left w:val="none" w:sz="0" w:space="0" w:color="auto"/>
        <w:bottom w:val="none" w:sz="0" w:space="0" w:color="auto"/>
        <w:right w:val="none" w:sz="0" w:space="0" w:color="auto"/>
      </w:divBdr>
    </w:div>
    <w:div w:id="1647976660">
      <w:bodyDiv w:val="1"/>
      <w:marLeft w:val="0"/>
      <w:marRight w:val="0"/>
      <w:marTop w:val="0"/>
      <w:marBottom w:val="0"/>
      <w:divBdr>
        <w:top w:val="none" w:sz="0" w:space="0" w:color="auto"/>
        <w:left w:val="none" w:sz="0" w:space="0" w:color="auto"/>
        <w:bottom w:val="none" w:sz="0" w:space="0" w:color="auto"/>
        <w:right w:val="none" w:sz="0" w:space="0" w:color="auto"/>
      </w:divBdr>
    </w:div>
    <w:div w:id="1669672474">
      <w:bodyDiv w:val="1"/>
      <w:marLeft w:val="0"/>
      <w:marRight w:val="0"/>
      <w:marTop w:val="0"/>
      <w:marBottom w:val="0"/>
      <w:divBdr>
        <w:top w:val="none" w:sz="0" w:space="0" w:color="auto"/>
        <w:left w:val="none" w:sz="0" w:space="0" w:color="auto"/>
        <w:bottom w:val="none" w:sz="0" w:space="0" w:color="auto"/>
        <w:right w:val="none" w:sz="0" w:space="0" w:color="auto"/>
      </w:divBdr>
    </w:div>
    <w:div w:id="1720737911">
      <w:bodyDiv w:val="1"/>
      <w:marLeft w:val="0"/>
      <w:marRight w:val="0"/>
      <w:marTop w:val="0"/>
      <w:marBottom w:val="0"/>
      <w:divBdr>
        <w:top w:val="none" w:sz="0" w:space="0" w:color="auto"/>
        <w:left w:val="none" w:sz="0" w:space="0" w:color="auto"/>
        <w:bottom w:val="none" w:sz="0" w:space="0" w:color="auto"/>
        <w:right w:val="none" w:sz="0" w:space="0" w:color="auto"/>
      </w:divBdr>
    </w:div>
    <w:div w:id="1725761230">
      <w:bodyDiv w:val="1"/>
      <w:marLeft w:val="0"/>
      <w:marRight w:val="0"/>
      <w:marTop w:val="0"/>
      <w:marBottom w:val="0"/>
      <w:divBdr>
        <w:top w:val="none" w:sz="0" w:space="0" w:color="auto"/>
        <w:left w:val="none" w:sz="0" w:space="0" w:color="auto"/>
        <w:bottom w:val="none" w:sz="0" w:space="0" w:color="auto"/>
        <w:right w:val="none" w:sz="0" w:space="0" w:color="auto"/>
      </w:divBdr>
    </w:div>
    <w:div w:id="1789665608">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915773458">
      <w:bodyDiv w:val="1"/>
      <w:marLeft w:val="0"/>
      <w:marRight w:val="0"/>
      <w:marTop w:val="0"/>
      <w:marBottom w:val="0"/>
      <w:divBdr>
        <w:top w:val="none" w:sz="0" w:space="0" w:color="auto"/>
        <w:left w:val="none" w:sz="0" w:space="0" w:color="auto"/>
        <w:bottom w:val="none" w:sz="0" w:space="0" w:color="auto"/>
        <w:right w:val="none" w:sz="0" w:space="0" w:color="auto"/>
      </w:divBdr>
    </w:div>
    <w:div w:id="20436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pere\Downloads\Provis&#245;es%20e%20Passivos%20Trabalhistas%20-%20Coleta%20de%20Dados%20e%20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pere\Downloads\Provis&#245;es%20e%20Passivos%20Trabalhistas%20-%20Coleta%20de%20Dados%20e%20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'[Provisões e Passivos Trabalhistas - Coleta de Dados e resultados.xlsx]Provisões X P. Contingentes'!$L$6</c:f>
              <c:strCache>
                <c:ptCount val="1"/>
                <c:pt idx="0">
                  <c:v>Bens Industriais</c:v>
                </c:pt>
              </c:strCache>
            </c:strRef>
          </c:tx>
          <c:spPr>
            <a:solidFill>
              <a:schemeClr val="tx1"/>
            </a:solidFill>
            <a:ln>
              <a:noFill/>
            </a:ln>
            <a:effectLst/>
          </c:spPr>
          <c:invertIfNegative val="0"/>
          <c:dLbls>
            <c:dLbl>
              <c:idx val="0"/>
              <c:layout>
                <c:manualLayout>
                  <c:x val="0"/>
                  <c:y val="-4.6296296296295869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1C75-47C8-8E1D-CB93EF300B20}"/>
                </c:ext>
                <c:ext xmlns:c15="http://schemas.microsoft.com/office/drawing/2012/chart" uri="{CE6537A1-D6FC-4f65-9D91-7224C49458BB}"/>
              </c:extLst>
            </c:dLbl>
            <c:dLbl>
              <c:idx val="1"/>
              <c:layout>
                <c:manualLayout>
                  <c:x val="2.7777777777777267E-3"/>
                  <c:y val="4.6296296296296294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1C75-47C8-8E1D-CB93EF300B20}"/>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'[Provisões e Passivos Trabalhistas - Coleta de Dados e resultados.xlsx]Provisões X P. Contingentes'!$M$5:$P$5</c:f>
              <c:numCache>
                <c:formatCode>General</c:formatCode>
                <c:ptCount val="4"/>
                <c:pt idx="0">
                  <c:v>2015</c:v>
                </c:pt>
                <c:pt idx="1">
                  <c:v>2016</c:v>
                </c:pt>
                <c:pt idx="2">
                  <c:v>2017</c:v>
                </c:pt>
                <c:pt idx="3">
                  <c:v>2018</c:v>
                </c:pt>
              </c:numCache>
            </c:numRef>
          </c:cat>
          <c:val>
            <c:numRef>
              <c:f>'[Provisões e Passivos Trabalhistas - Coleta de Dados e resultados.xlsx]Provisões X P. Contingentes'!$M$6:$P$6</c:f>
              <c:numCache>
                <c:formatCode>_-* #,##0_-;\-* #,##0_-;_-* "-"??_-;_-@_-</c:formatCode>
                <c:ptCount val="4"/>
                <c:pt idx="0">
                  <c:v>1900939</c:v>
                </c:pt>
                <c:pt idx="1">
                  <c:v>2139237</c:v>
                </c:pt>
                <c:pt idx="2">
                  <c:v>2280223</c:v>
                </c:pt>
                <c:pt idx="3">
                  <c:v>2491888</c:v>
                </c:pt>
              </c:numCache>
            </c:numRef>
          </c:val>
          <c:extLst xmlns:c16r2="http://schemas.microsoft.com/office/drawing/2015/06/chart">
            <c:ext xmlns:c16="http://schemas.microsoft.com/office/drawing/2014/chart" uri="{C3380CC4-5D6E-409C-BE32-E72D297353CC}">
              <c16:uniqueId val="{00000000-1C75-47C8-8E1D-CB93EF300B20}"/>
            </c:ext>
          </c:extLst>
        </c:ser>
        <c:ser>
          <c:idx val="1"/>
          <c:order val="1"/>
          <c:tx>
            <c:strRef>
              <c:f>'[Provisões e Passivos Trabalhistas - Coleta de Dados e resultados.xlsx]Provisões X P. Contingentes'!$L$7</c:f>
              <c:strCache>
                <c:ptCount val="1"/>
                <c:pt idx="0">
                  <c:v>Consumo Cíclico</c:v>
                </c:pt>
              </c:strCache>
            </c:strRef>
          </c:tx>
          <c:spPr>
            <a:solidFill>
              <a:schemeClr val="bg1">
                <a:lumMod val="65000"/>
              </a:schemeClr>
            </a:solidFill>
            <a:ln>
              <a:noFill/>
            </a:ln>
            <a:effectLst/>
          </c:spPr>
          <c:invertIfNegative val="0"/>
          <c:dLbls>
            <c:dLbl>
              <c:idx val="0"/>
              <c:layout>
                <c:manualLayout>
                  <c:x val="3.8888861289815113E-2"/>
                  <c:y val="8.6028592795973028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1C75-47C8-8E1D-CB93EF300B20}"/>
                </c:ext>
                <c:ext xmlns:c15="http://schemas.microsoft.com/office/drawing/2012/chart" uri="{CE6537A1-D6FC-4f65-9D91-7224C49458BB}"/>
              </c:extLst>
            </c:dLbl>
            <c:dLbl>
              <c:idx val="1"/>
              <c:layout>
                <c:manualLayout>
                  <c:x val="1.9207796186359986E-2"/>
                  <c:y val="3.9735179632220553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1C75-47C8-8E1D-CB93EF300B20}"/>
                </c:ext>
                <c:ext xmlns:c15="http://schemas.microsoft.com/office/drawing/2012/chart" uri="{CE6537A1-D6FC-4f65-9D91-7224C49458BB}"/>
              </c:extLst>
            </c:dLbl>
            <c:dLbl>
              <c:idx val="2"/>
              <c:layout>
                <c:manualLayout>
                  <c:x val="4.4444389246296893E-2"/>
                  <c:y val="-1.0024728398198304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1C75-47C8-8E1D-CB93EF300B20}"/>
                </c:ext>
                <c:ext xmlns:c15="http://schemas.microsoft.com/office/drawing/2012/chart" uri="{CE6537A1-D6FC-4f65-9D91-7224C49458BB}"/>
              </c:extLst>
            </c:dLbl>
            <c:dLbl>
              <c:idx val="3"/>
              <c:layout>
                <c:manualLayout>
                  <c:x val="3.888886128981496E-2"/>
                  <c:y val="-5.2857157815899133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1C75-47C8-8E1D-CB93EF300B20}"/>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'[Provisões e Passivos Trabalhistas - Coleta de Dados e resultados.xlsx]Provisões X P. Contingentes'!$M$5:$P$5</c:f>
              <c:numCache>
                <c:formatCode>General</c:formatCode>
                <c:ptCount val="4"/>
                <c:pt idx="0">
                  <c:v>2015</c:v>
                </c:pt>
                <c:pt idx="1">
                  <c:v>2016</c:v>
                </c:pt>
                <c:pt idx="2">
                  <c:v>2017</c:v>
                </c:pt>
                <c:pt idx="3">
                  <c:v>2018</c:v>
                </c:pt>
              </c:numCache>
            </c:numRef>
          </c:cat>
          <c:val>
            <c:numRef>
              <c:f>'[Provisões e Passivos Trabalhistas - Coleta de Dados e resultados.xlsx]Provisões X P. Contingentes'!$M$7:$P$7</c:f>
              <c:numCache>
                <c:formatCode>_-* #,##0_-;\-* #,##0_-;_-* "-"??_-;_-@_-</c:formatCode>
                <c:ptCount val="4"/>
                <c:pt idx="0">
                  <c:v>1904462</c:v>
                </c:pt>
                <c:pt idx="1">
                  <c:v>1832362</c:v>
                </c:pt>
                <c:pt idx="2">
                  <c:v>1775038</c:v>
                </c:pt>
                <c:pt idx="3">
                  <c:v>1644338</c:v>
                </c:pt>
              </c:numCache>
            </c:numRef>
          </c:val>
          <c:extLst xmlns:c16r2="http://schemas.microsoft.com/office/drawing/2015/06/chart">
            <c:ext xmlns:c16="http://schemas.microsoft.com/office/drawing/2014/chart" uri="{C3380CC4-5D6E-409C-BE32-E72D297353CC}">
              <c16:uniqueId val="{00000001-1C75-47C8-8E1D-CB93EF300B20}"/>
            </c:ext>
          </c:extLst>
        </c:ser>
        <c:dLbls>
          <c:dLblPos val="outEnd"/>
          <c:showLegendKey val="0"/>
          <c:showVal val="1"/>
          <c:showCatName val="0"/>
          <c:showSerName val="0"/>
          <c:showPercent val="0"/>
          <c:showBubbleSize val="0"/>
        </c:dLbls>
        <c:gapWidth val="219"/>
        <c:overlap val="-27"/>
        <c:axId val="998357888"/>
        <c:axId val="998369312"/>
      </c:barChart>
      <c:catAx>
        <c:axId val="99835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998369312"/>
        <c:crosses val="autoZero"/>
        <c:auto val="1"/>
        <c:lblAlgn val="ctr"/>
        <c:lblOffset val="100"/>
        <c:noMultiLvlLbl val="0"/>
      </c:catAx>
      <c:valAx>
        <c:axId val="99836931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99835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'[Provisões e Passivos Trabalhistas - Coleta de Dados e resultados.xlsx]Provisões X P. Contingentes'!$L$48</c:f>
              <c:strCache>
                <c:ptCount val="1"/>
                <c:pt idx="0">
                  <c:v>Bens Industriais</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'[Provisões e Passivos Trabalhistas - Coleta de Dados e resultados.xlsx]Provisões X P. Contingentes'!$M$47:$P$47</c:f>
              <c:numCache>
                <c:formatCode>General</c:formatCode>
                <c:ptCount val="4"/>
                <c:pt idx="0">
                  <c:v>2015</c:v>
                </c:pt>
                <c:pt idx="1">
                  <c:v>2016</c:v>
                </c:pt>
                <c:pt idx="2">
                  <c:v>2017</c:v>
                </c:pt>
                <c:pt idx="3">
                  <c:v>2018</c:v>
                </c:pt>
              </c:numCache>
            </c:numRef>
          </c:cat>
          <c:val>
            <c:numRef>
              <c:f>'[Provisões e Passivos Trabalhistas - Coleta de Dados e resultados.xlsx]Provisões X P. Contingentes'!$M$48:$P$48</c:f>
              <c:numCache>
                <c:formatCode>_-* #,##0_-;\-* #,##0_-;_-* "-"??_-;_-@_-</c:formatCode>
                <c:ptCount val="4"/>
                <c:pt idx="0">
                  <c:v>3522196</c:v>
                </c:pt>
                <c:pt idx="1">
                  <c:v>4510090</c:v>
                </c:pt>
                <c:pt idx="2">
                  <c:v>5279656</c:v>
                </c:pt>
                <c:pt idx="3">
                  <c:v>5279639</c:v>
                </c:pt>
              </c:numCache>
            </c:numRef>
          </c:val>
          <c:extLst xmlns:c16r2="http://schemas.microsoft.com/office/drawing/2015/06/chart">
            <c:ext xmlns:c16="http://schemas.microsoft.com/office/drawing/2014/chart" uri="{C3380CC4-5D6E-409C-BE32-E72D297353CC}">
              <c16:uniqueId val="{00000000-C1BA-439B-A0B8-6328C1B917D3}"/>
            </c:ext>
          </c:extLst>
        </c:ser>
        <c:ser>
          <c:idx val="1"/>
          <c:order val="1"/>
          <c:tx>
            <c:strRef>
              <c:f>'[Provisões e Passivos Trabalhistas - Coleta de Dados e resultados.xlsx]Provisões X P. Contingentes'!$L$49</c:f>
              <c:strCache>
                <c:ptCount val="1"/>
                <c:pt idx="0">
                  <c:v>Consumo Cíclico</c:v>
                </c:pt>
              </c:strCache>
            </c:strRef>
          </c:tx>
          <c:spPr>
            <a:solidFill>
              <a:schemeClr val="bg1">
                <a:lumMod val="50000"/>
              </a:schemeClr>
            </a:solidFill>
            <a:ln>
              <a:noFill/>
            </a:ln>
            <a:effectLst/>
          </c:spPr>
          <c:invertIfNegative val="0"/>
          <c:dLbls>
            <c:dLbl>
              <c:idx val="0"/>
              <c:layout>
                <c:manualLayout>
                  <c:x val="2.7777777777777776E-2"/>
                  <c:y val="-5.29100308669621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C1BA-439B-A0B8-6328C1B917D3}"/>
                </c:ext>
                <c:ext xmlns:c15="http://schemas.microsoft.com/office/drawing/2012/chart" uri="{CE6537A1-D6FC-4f65-9D91-7224C49458BB}"/>
              </c:extLst>
            </c:dLbl>
            <c:dLbl>
              <c:idx val="1"/>
              <c:layout>
                <c:manualLayout>
                  <c:x val="3.6111111111111108E-2"/>
                  <c:y val="5.29100308669621E-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C1BA-439B-A0B8-6328C1B917D3}"/>
                </c:ext>
                <c:ext xmlns:c15="http://schemas.microsoft.com/office/drawing/2012/chart" uri="{CE6537A1-D6FC-4f65-9D91-7224C49458BB}"/>
              </c:extLst>
            </c:dLbl>
            <c:dLbl>
              <c:idx val="2"/>
              <c:layout>
                <c:manualLayout>
                  <c:x val="4.1666666666666567E-2"/>
                  <c:y val="0"/>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C1BA-439B-A0B8-6328C1B917D3}"/>
                </c:ext>
                <c:ext xmlns:c15="http://schemas.microsoft.com/office/drawing/2012/chart" uri="{CE6537A1-D6FC-4f65-9D91-7224C49458BB}"/>
              </c:extLst>
            </c:dLbl>
            <c:dLbl>
              <c:idx val="3"/>
              <c:layout>
                <c:manualLayout>
                  <c:x val="2.2222222222222223E-2"/>
                  <c:y val="1.058200617339242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C1BA-439B-A0B8-6328C1B917D3}"/>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'[Provisões e Passivos Trabalhistas - Coleta de Dados e resultados.xlsx]Provisões X P. Contingentes'!$M$47:$P$47</c:f>
              <c:numCache>
                <c:formatCode>General</c:formatCode>
                <c:ptCount val="4"/>
                <c:pt idx="0">
                  <c:v>2015</c:v>
                </c:pt>
                <c:pt idx="1">
                  <c:v>2016</c:v>
                </c:pt>
                <c:pt idx="2">
                  <c:v>2017</c:v>
                </c:pt>
                <c:pt idx="3">
                  <c:v>2018</c:v>
                </c:pt>
              </c:numCache>
            </c:numRef>
          </c:cat>
          <c:val>
            <c:numRef>
              <c:f>'[Provisões e Passivos Trabalhistas - Coleta de Dados e resultados.xlsx]Provisões X P. Contingentes'!$M$49:$P$49</c:f>
              <c:numCache>
                <c:formatCode>_-* #,##0_-;\-* #,##0_-;_-* "-"??_-;_-@_-</c:formatCode>
                <c:ptCount val="4"/>
                <c:pt idx="0">
                  <c:v>867045</c:v>
                </c:pt>
                <c:pt idx="1">
                  <c:v>1339771</c:v>
                </c:pt>
                <c:pt idx="2">
                  <c:v>1717228</c:v>
                </c:pt>
                <c:pt idx="3">
                  <c:v>1495113</c:v>
                </c:pt>
              </c:numCache>
            </c:numRef>
          </c:val>
          <c:extLst xmlns:c16r2="http://schemas.microsoft.com/office/drawing/2015/06/chart">
            <c:ext xmlns:c16="http://schemas.microsoft.com/office/drawing/2014/chart" uri="{C3380CC4-5D6E-409C-BE32-E72D297353CC}">
              <c16:uniqueId val="{00000001-C1BA-439B-A0B8-6328C1B917D3}"/>
            </c:ext>
          </c:extLst>
        </c:ser>
        <c:dLbls>
          <c:dLblPos val="outEnd"/>
          <c:showLegendKey val="0"/>
          <c:showVal val="1"/>
          <c:showCatName val="0"/>
          <c:showSerName val="0"/>
          <c:showPercent val="0"/>
          <c:showBubbleSize val="0"/>
        </c:dLbls>
        <c:gapWidth val="219"/>
        <c:overlap val="-27"/>
        <c:axId val="998369856"/>
        <c:axId val="998366592"/>
      </c:barChart>
      <c:catAx>
        <c:axId val="99836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998366592"/>
        <c:crosses val="autoZero"/>
        <c:auto val="1"/>
        <c:lblAlgn val="ctr"/>
        <c:lblOffset val="100"/>
        <c:noMultiLvlLbl val="0"/>
      </c:catAx>
      <c:valAx>
        <c:axId val="99836659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99836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D22EE-8B11-428F-9811-D7411DAB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7238</Words>
  <Characters>39088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2019-07-08T21:10:00Z</dcterms:created>
  <dcterms:modified xsi:type="dcterms:W3CDTF">2019-07-08T21:18:00Z</dcterms:modified>
</cp:coreProperties>
</file>