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2C914" w14:textId="77777777" w:rsidR="00A80641" w:rsidRDefault="00A80641" w:rsidP="002826C0">
      <w:pPr>
        <w:jc w:val="center"/>
        <w:rPr>
          <w:b/>
        </w:rPr>
      </w:pPr>
    </w:p>
    <w:p w14:paraId="0144BD8C" w14:textId="7702C871" w:rsidR="00736B7D" w:rsidRPr="007859FC" w:rsidRDefault="00736B7D" w:rsidP="00736B7D">
      <w:pPr>
        <w:jc w:val="center"/>
        <w:rPr>
          <w:b/>
          <w:color w:val="000000" w:themeColor="text1"/>
          <w:szCs w:val="24"/>
        </w:rPr>
      </w:pPr>
      <w:r w:rsidRPr="00736B7D">
        <w:rPr>
          <w:b/>
          <w:color w:val="000000" w:themeColor="text1"/>
          <w:szCs w:val="24"/>
        </w:rPr>
        <w:t>Análise da Opinião dos Auditores das Demonstrações Contábeis d</w:t>
      </w:r>
      <w:r>
        <w:rPr>
          <w:b/>
          <w:color w:val="000000" w:themeColor="text1"/>
          <w:szCs w:val="24"/>
        </w:rPr>
        <w:t>e</w:t>
      </w:r>
      <w:r w:rsidRPr="00736B7D">
        <w:rPr>
          <w:b/>
          <w:color w:val="000000" w:themeColor="text1"/>
          <w:szCs w:val="24"/>
        </w:rPr>
        <w:t xml:space="preserve"> Empresas Envolvidas na Operação </w:t>
      </w:r>
      <w:r w:rsidR="004D3095">
        <w:rPr>
          <w:b/>
          <w:color w:val="000000" w:themeColor="text1"/>
          <w:szCs w:val="24"/>
        </w:rPr>
        <w:t>Lava Jato</w:t>
      </w:r>
    </w:p>
    <w:p w14:paraId="1EE1ED46" w14:textId="7D648B25" w:rsidR="00C271A6" w:rsidRDefault="00C271A6" w:rsidP="00C271A6">
      <w:pPr>
        <w:jc w:val="center"/>
        <w:rPr>
          <w:b/>
          <w:szCs w:val="24"/>
        </w:rPr>
      </w:pPr>
    </w:p>
    <w:p w14:paraId="5E1C0386" w14:textId="77777777" w:rsidR="00736B7D" w:rsidRPr="00736B7D" w:rsidRDefault="00736B7D" w:rsidP="00736B7D">
      <w:pPr>
        <w:ind w:left="709"/>
        <w:contextualSpacing/>
        <w:jc w:val="right"/>
        <w:rPr>
          <w:b/>
          <w:bCs/>
          <w:color w:val="000000" w:themeColor="text1"/>
          <w:szCs w:val="24"/>
        </w:rPr>
      </w:pPr>
      <w:r w:rsidRPr="00736B7D">
        <w:rPr>
          <w:b/>
          <w:bCs/>
          <w:color w:val="000000" w:themeColor="text1"/>
          <w:szCs w:val="24"/>
        </w:rPr>
        <w:t xml:space="preserve">Joana </w:t>
      </w:r>
      <w:proofErr w:type="spellStart"/>
      <w:r w:rsidRPr="00736B7D">
        <w:rPr>
          <w:b/>
          <w:bCs/>
          <w:color w:val="000000" w:themeColor="text1"/>
          <w:szCs w:val="24"/>
        </w:rPr>
        <w:t>Anguleri</w:t>
      </w:r>
      <w:proofErr w:type="spellEnd"/>
    </w:p>
    <w:p w14:paraId="7AA8C9AD" w14:textId="77777777" w:rsidR="00736B7D" w:rsidRPr="00736B7D" w:rsidRDefault="00736B7D" w:rsidP="00736B7D">
      <w:pPr>
        <w:jc w:val="right"/>
        <w:rPr>
          <w:b/>
          <w:bCs/>
          <w:i/>
          <w:szCs w:val="24"/>
        </w:rPr>
      </w:pPr>
      <w:proofErr w:type="spellStart"/>
      <w:r w:rsidRPr="00736B7D">
        <w:rPr>
          <w:b/>
          <w:bCs/>
          <w:szCs w:val="24"/>
        </w:rPr>
        <w:t>Unochapecó</w:t>
      </w:r>
      <w:proofErr w:type="spellEnd"/>
    </w:p>
    <w:p w14:paraId="73C01028" w14:textId="1DAB382B" w:rsidR="00736B7D" w:rsidRPr="00736B7D" w:rsidRDefault="00736B7D" w:rsidP="00736B7D">
      <w:pPr>
        <w:ind w:left="360"/>
        <w:jc w:val="right"/>
        <w:rPr>
          <w:b/>
          <w:bCs/>
          <w:i/>
          <w:color w:val="000000" w:themeColor="text1"/>
          <w:szCs w:val="24"/>
          <w:lang w:val="en-US"/>
        </w:rPr>
      </w:pPr>
      <w:r>
        <w:rPr>
          <w:b/>
          <w:i/>
          <w:szCs w:val="24"/>
        </w:rPr>
        <w:t>E</w:t>
      </w:r>
      <w:r w:rsidRPr="00736B7D">
        <w:rPr>
          <w:b/>
          <w:i/>
          <w:szCs w:val="24"/>
        </w:rPr>
        <w:t xml:space="preserve">-mail: </w:t>
      </w:r>
      <w:proofErr w:type="spellStart"/>
      <w:r w:rsidRPr="00736B7D">
        <w:rPr>
          <w:b/>
          <w:bCs/>
          <w:i/>
          <w:color w:val="000000" w:themeColor="text1"/>
          <w:szCs w:val="24"/>
        </w:rPr>
        <w:t>anguleri</w:t>
      </w:r>
      <w:proofErr w:type="spellEnd"/>
      <w:r w:rsidRPr="00736B7D">
        <w:rPr>
          <w:b/>
          <w:bCs/>
          <w:i/>
        </w:rPr>
        <w:fldChar w:fldCharType="begin"/>
      </w:r>
      <w:r w:rsidRPr="00736B7D">
        <w:rPr>
          <w:b/>
          <w:bCs/>
          <w:i/>
        </w:rPr>
        <w:instrText xml:space="preserve"> HYPERLINK "mailto:mussum@unochapeco.edu.br" </w:instrText>
      </w:r>
      <w:r w:rsidRPr="00736B7D">
        <w:rPr>
          <w:b/>
          <w:bCs/>
          <w:i/>
        </w:rPr>
        <w:fldChar w:fldCharType="separate"/>
      </w:r>
      <w:r w:rsidRPr="00736B7D">
        <w:rPr>
          <w:rStyle w:val="Hyperlink"/>
          <w:b/>
          <w:bCs/>
          <w:i/>
          <w:color w:val="000000" w:themeColor="text1"/>
          <w:szCs w:val="24"/>
          <w:u w:val="none"/>
          <w:lang w:val="en-US"/>
        </w:rPr>
        <w:t>@unochapeco.edu.br</w:t>
      </w:r>
      <w:r w:rsidRPr="00736B7D">
        <w:rPr>
          <w:rStyle w:val="Hyperlink"/>
          <w:b/>
          <w:bCs/>
          <w:i/>
          <w:color w:val="000000" w:themeColor="text1"/>
          <w:szCs w:val="24"/>
          <w:u w:val="none"/>
          <w:lang w:val="en-US"/>
        </w:rPr>
        <w:fldChar w:fldCharType="end"/>
      </w:r>
    </w:p>
    <w:p w14:paraId="5DF5CFC6" w14:textId="77777777" w:rsidR="00736B7D" w:rsidRDefault="00736B7D" w:rsidP="00736B7D">
      <w:pPr>
        <w:jc w:val="right"/>
        <w:rPr>
          <w:b/>
          <w:szCs w:val="24"/>
        </w:rPr>
      </w:pPr>
    </w:p>
    <w:p w14:paraId="35842F4E" w14:textId="2A38BEA0" w:rsidR="00736B7D" w:rsidRDefault="00736B7D" w:rsidP="00736B7D">
      <w:pPr>
        <w:jc w:val="right"/>
        <w:rPr>
          <w:b/>
          <w:szCs w:val="24"/>
        </w:rPr>
      </w:pPr>
      <w:r>
        <w:rPr>
          <w:b/>
          <w:szCs w:val="24"/>
        </w:rPr>
        <w:t>Silvana Dalmutt Kruger</w:t>
      </w:r>
    </w:p>
    <w:p w14:paraId="2B178E91" w14:textId="77777777" w:rsidR="00736B7D" w:rsidRDefault="00736B7D" w:rsidP="00736B7D">
      <w:pPr>
        <w:jc w:val="right"/>
        <w:rPr>
          <w:b/>
          <w:i/>
          <w:szCs w:val="24"/>
        </w:rPr>
      </w:pPr>
      <w:proofErr w:type="spellStart"/>
      <w:r>
        <w:rPr>
          <w:b/>
          <w:szCs w:val="24"/>
        </w:rPr>
        <w:t>Unochapecó</w:t>
      </w:r>
      <w:proofErr w:type="spellEnd"/>
    </w:p>
    <w:p w14:paraId="41C5123D" w14:textId="77777777" w:rsidR="00736B7D" w:rsidRDefault="00736B7D" w:rsidP="00736B7D">
      <w:pPr>
        <w:jc w:val="right"/>
        <w:rPr>
          <w:b/>
          <w:i/>
          <w:szCs w:val="24"/>
        </w:rPr>
      </w:pPr>
      <w:r>
        <w:rPr>
          <w:b/>
          <w:i/>
          <w:szCs w:val="24"/>
        </w:rPr>
        <w:t xml:space="preserve">E-mail: </w:t>
      </w:r>
      <w:r w:rsidRPr="00336D01">
        <w:rPr>
          <w:b/>
          <w:i/>
          <w:szCs w:val="24"/>
        </w:rPr>
        <w:t>silvanak</w:t>
      </w:r>
      <w:r>
        <w:rPr>
          <w:b/>
          <w:i/>
          <w:szCs w:val="24"/>
        </w:rPr>
        <w:t>@unochapeco.edu.br</w:t>
      </w:r>
    </w:p>
    <w:p w14:paraId="40598587" w14:textId="77777777" w:rsidR="00736B7D" w:rsidRDefault="00736B7D" w:rsidP="00736B7D">
      <w:pPr>
        <w:jc w:val="right"/>
        <w:rPr>
          <w:b/>
          <w:i/>
          <w:szCs w:val="24"/>
        </w:rPr>
      </w:pPr>
    </w:p>
    <w:p w14:paraId="45645DF1" w14:textId="77777777" w:rsidR="00736B7D" w:rsidRDefault="00736B7D" w:rsidP="00736B7D">
      <w:pPr>
        <w:jc w:val="right"/>
        <w:rPr>
          <w:b/>
          <w:szCs w:val="24"/>
        </w:rPr>
      </w:pPr>
      <w:r>
        <w:rPr>
          <w:b/>
          <w:szCs w:val="24"/>
        </w:rPr>
        <w:t>Daniela Dal-</w:t>
      </w:r>
      <w:proofErr w:type="spellStart"/>
      <w:r>
        <w:rPr>
          <w:b/>
          <w:szCs w:val="24"/>
        </w:rPr>
        <w:t>Cin</w:t>
      </w:r>
      <w:proofErr w:type="spellEnd"/>
    </w:p>
    <w:p w14:paraId="3674AE7C" w14:textId="77777777" w:rsidR="00736B7D" w:rsidRDefault="00736B7D" w:rsidP="00736B7D">
      <w:pPr>
        <w:jc w:val="right"/>
        <w:rPr>
          <w:b/>
          <w:i/>
          <w:szCs w:val="24"/>
        </w:rPr>
      </w:pPr>
      <w:proofErr w:type="spellStart"/>
      <w:r>
        <w:rPr>
          <w:b/>
          <w:szCs w:val="24"/>
        </w:rPr>
        <w:t>Unochapecó</w:t>
      </w:r>
      <w:proofErr w:type="spellEnd"/>
    </w:p>
    <w:p w14:paraId="2DBED25F" w14:textId="33603161" w:rsidR="00160E08" w:rsidRDefault="00736B7D" w:rsidP="002F79A6">
      <w:pPr>
        <w:jc w:val="right"/>
        <w:rPr>
          <w:b/>
          <w:szCs w:val="24"/>
        </w:rPr>
      </w:pPr>
      <w:r>
        <w:rPr>
          <w:b/>
          <w:i/>
          <w:szCs w:val="24"/>
        </w:rPr>
        <w:t>E-mail: danieladc@unochapeco.edu.br</w:t>
      </w:r>
    </w:p>
    <w:p w14:paraId="0C994CCC" w14:textId="77777777" w:rsidR="00160E08" w:rsidRDefault="00160E08" w:rsidP="00C271A6">
      <w:pPr>
        <w:jc w:val="center"/>
        <w:rPr>
          <w:b/>
          <w:szCs w:val="24"/>
        </w:rPr>
      </w:pPr>
    </w:p>
    <w:p w14:paraId="7023F01E" w14:textId="77777777" w:rsidR="00160E08" w:rsidRDefault="00160E08" w:rsidP="00C271A6">
      <w:pPr>
        <w:jc w:val="center"/>
        <w:rPr>
          <w:b/>
          <w:color w:val="999999"/>
        </w:rPr>
      </w:pPr>
    </w:p>
    <w:p w14:paraId="094FC1A4" w14:textId="77777777" w:rsidR="00736B7D" w:rsidRPr="007859FC" w:rsidRDefault="00736B7D" w:rsidP="00736B7D">
      <w:pPr>
        <w:ind w:firstLine="0"/>
        <w:rPr>
          <w:b/>
          <w:szCs w:val="24"/>
        </w:rPr>
      </w:pPr>
      <w:r w:rsidRPr="007859FC">
        <w:rPr>
          <w:b/>
          <w:szCs w:val="24"/>
        </w:rPr>
        <w:t>Resumo</w:t>
      </w:r>
    </w:p>
    <w:p w14:paraId="53C46879" w14:textId="3AA0FD12" w:rsidR="00736B7D" w:rsidRPr="007859FC" w:rsidRDefault="00736B7D" w:rsidP="00736B7D">
      <w:pPr>
        <w:ind w:firstLine="0"/>
        <w:rPr>
          <w:color w:val="000000" w:themeColor="text1"/>
          <w:szCs w:val="24"/>
        </w:rPr>
      </w:pPr>
      <w:r w:rsidRPr="007859FC">
        <w:rPr>
          <w:szCs w:val="24"/>
        </w:rPr>
        <w:t xml:space="preserve">O estudo teve por objetivo </w:t>
      </w:r>
      <w:r w:rsidRPr="007859FC">
        <w:rPr>
          <w:color w:val="000000" w:themeColor="text1"/>
          <w:szCs w:val="24"/>
        </w:rPr>
        <w:t xml:space="preserve">analisar a opinião dos auditores das demonstrações contábeis das empresas envolvidas na Operação </w:t>
      </w:r>
      <w:r w:rsidR="004D3095">
        <w:rPr>
          <w:color w:val="000000" w:themeColor="text1"/>
          <w:szCs w:val="24"/>
        </w:rPr>
        <w:t>Lava Jato</w:t>
      </w:r>
      <w:r w:rsidRPr="007859FC">
        <w:rPr>
          <w:color w:val="000000" w:themeColor="text1"/>
          <w:szCs w:val="24"/>
        </w:rPr>
        <w:t xml:space="preserve">. A pesquisa caracteriza-se como um estudo descritivo, realizado a partir de </w:t>
      </w:r>
      <w:proofErr w:type="spellStart"/>
      <w:r w:rsidRPr="007859FC">
        <w:rPr>
          <w:color w:val="000000" w:themeColor="text1"/>
          <w:szCs w:val="24"/>
        </w:rPr>
        <w:t>multicasos</w:t>
      </w:r>
      <w:proofErr w:type="spellEnd"/>
      <w:r w:rsidRPr="007859FC">
        <w:rPr>
          <w:color w:val="000000" w:themeColor="text1"/>
          <w:szCs w:val="24"/>
        </w:rPr>
        <w:t xml:space="preserve">, com análise documental e de cunho </w:t>
      </w:r>
      <w:r w:rsidRPr="007859FC">
        <w:rPr>
          <w:color w:val="000000" w:themeColor="text1"/>
          <w:szCs w:val="24"/>
          <w:shd w:val="clear" w:color="auto" w:fill="FFFFFF"/>
        </w:rPr>
        <w:t>qualitativo</w:t>
      </w:r>
      <w:r w:rsidRPr="007859FC">
        <w:rPr>
          <w:color w:val="000000" w:themeColor="text1"/>
          <w:szCs w:val="24"/>
        </w:rPr>
        <w:t xml:space="preserve">, das 10 maiores empresas listadas na Bolsa de Valores Brasileira (B3) que estavam envolvidas na operação Lava-Jato no período de 2010 a 2018. Os resultados indicam quanto à opinião dos auditores que 72% dos relatórios foram realizados pelas empresas pertencentes ao grupo de auditoria das </w:t>
      </w:r>
      <w:r w:rsidRPr="007859FC">
        <w:rPr>
          <w:i/>
          <w:color w:val="000000" w:themeColor="text1"/>
          <w:szCs w:val="24"/>
        </w:rPr>
        <w:t>Big Four.</w:t>
      </w:r>
      <w:r w:rsidRPr="007859FC">
        <w:rPr>
          <w:color w:val="000000" w:themeColor="text1"/>
          <w:szCs w:val="24"/>
        </w:rPr>
        <w:t xml:space="preserve"> Observou-se pareceres com ressalvas nas empresas Andrade Gutierrez, </w:t>
      </w:r>
      <w:proofErr w:type="spellStart"/>
      <w:r>
        <w:rPr>
          <w:color w:val="000000" w:themeColor="text1"/>
          <w:szCs w:val="24"/>
        </w:rPr>
        <w:t>Brasken</w:t>
      </w:r>
      <w:proofErr w:type="spellEnd"/>
      <w:r w:rsidRPr="007859FC">
        <w:rPr>
          <w:color w:val="000000" w:themeColor="text1"/>
          <w:szCs w:val="24"/>
        </w:rPr>
        <w:t xml:space="preserve">, Inepar, JBS, e </w:t>
      </w:r>
      <w:r>
        <w:rPr>
          <w:color w:val="000000" w:themeColor="text1"/>
          <w:szCs w:val="24"/>
        </w:rPr>
        <w:t>Petrobras</w:t>
      </w:r>
      <w:r w:rsidR="00955252">
        <w:rPr>
          <w:color w:val="000000" w:themeColor="text1"/>
          <w:szCs w:val="24"/>
        </w:rPr>
        <w:t xml:space="preserve">, </w:t>
      </w:r>
      <w:r w:rsidRPr="007859FC">
        <w:rPr>
          <w:color w:val="000000" w:themeColor="text1"/>
          <w:szCs w:val="24"/>
        </w:rPr>
        <w:t xml:space="preserve">houve abstenção de opinião </w:t>
      </w:r>
      <w:r w:rsidR="00955252">
        <w:rPr>
          <w:color w:val="000000" w:themeColor="text1"/>
          <w:szCs w:val="24"/>
        </w:rPr>
        <w:t xml:space="preserve">dos auditores </w:t>
      </w:r>
      <w:r w:rsidRPr="007859FC">
        <w:rPr>
          <w:color w:val="000000" w:themeColor="text1"/>
          <w:szCs w:val="24"/>
        </w:rPr>
        <w:t>nas empresas Inepar e Mendes Junior</w:t>
      </w:r>
      <w:r w:rsidR="00955252">
        <w:rPr>
          <w:color w:val="000000" w:themeColor="text1"/>
          <w:szCs w:val="24"/>
        </w:rPr>
        <w:t xml:space="preserve">. </w:t>
      </w:r>
      <w:proofErr w:type="spellStart"/>
      <w:r w:rsidR="00955252">
        <w:rPr>
          <w:color w:val="000000" w:themeColor="text1"/>
          <w:szCs w:val="24"/>
        </w:rPr>
        <w:t>O</w:t>
      </w:r>
      <w:r w:rsidRPr="007859FC">
        <w:rPr>
          <w:color w:val="000000" w:themeColor="text1"/>
          <w:szCs w:val="24"/>
        </w:rPr>
        <w:t xml:space="preserve">s </w:t>
      </w:r>
      <w:proofErr w:type="spellEnd"/>
      <w:r w:rsidRPr="007859FC">
        <w:rPr>
          <w:color w:val="000000" w:themeColor="text1"/>
          <w:szCs w:val="24"/>
        </w:rPr>
        <w:t>principais motivos para a opinião com ressalva ou p</w:t>
      </w:r>
      <w:r w:rsidR="002505DA">
        <w:rPr>
          <w:color w:val="000000" w:themeColor="text1"/>
          <w:szCs w:val="24"/>
        </w:rPr>
        <w:t>ara a</w:t>
      </w:r>
      <w:r w:rsidRPr="007859FC">
        <w:rPr>
          <w:color w:val="000000" w:themeColor="text1"/>
          <w:szCs w:val="24"/>
        </w:rPr>
        <w:t xml:space="preserve"> abstenção de opinião </w:t>
      </w:r>
      <w:r w:rsidR="002505DA">
        <w:rPr>
          <w:color w:val="000000" w:themeColor="text1"/>
          <w:szCs w:val="24"/>
        </w:rPr>
        <w:t>foi</w:t>
      </w:r>
      <w:r>
        <w:rPr>
          <w:color w:val="000000" w:themeColor="text1"/>
          <w:szCs w:val="24"/>
        </w:rPr>
        <w:t xml:space="preserve"> decorrente d</w:t>
      </w:r>
      <w:r w:rsidRPr="007859FC">
        <w:rPr>
          <w:color w:val="000000" w:themeColor="text1"/>
          <w:szCs w:val="24"/>
        </w:rPr>
        <w:t>a não comprovação de saldos</w:t>
      </w:r>
      <w:r>
        <w:rPr>
          <w:color w:val="000000" w:themeColor="text1"/>
          <w:szCs w:val="24"/>
        </w:rPr>
        <w:t xml:space="preserve"> ou pela </w:t>
      </w:r>
      <w:r w:rsidRPr="007859FC">
        <w:rPr>
          <w:color w:val="000000" w:themeColor="text1"/>
          <w:szCs w:val="24"/>
        </w:rPr>
        <w:t xml:space="preserve">incerteza sobre </w:t>
      </w:r>
      <w:r w:rsidR="00955252">
        <w:rPr>
          <w:color w:val="000000" w:themeColor="text1"/>
          <w:szCs w:val="24"/>
        </w:rPr>
        <w:t xml:space="preserve">a </w:t>
      </w:r>
      <w:r w:rsidRPr="007859FC">
        <w:rPr>
          <w:color w:val="000000" w:themeColor="text1"/>
          <w:szCs w:val="24"/>
        </w:rPr>
        <w:t>origem de valores e das informações</w:t>
      </w:r>
      <w:r w:rsidRPr="002505DA">
        <w:rPr>
          <w:color w:val="000000" w:themeColor="text1"/>
          <w:szCs w:val="24"/>
        </w:rPr>
        <w:t xml:space="preserve">. Os auditores das empresas </w:t>
      </w:r>
      <w:proofErr w:type="spellStart"/>
      <w:r w:rsidRPr="002505DA">
        <w:rPr>
          <w:color w:val="000000" w:themeColor="text1"/>
          <w:szCs w:val="24"/>
        </w:rPr>
        <w:t>Eletrobras</w:t>
      </w:r>
      <w:proofErr w:type="spellEnd"/>
      <w:r w:rsidRPr="002505DA">
        <w:rPr>
          <w:color w:val="000000" w:themeColor="text1"/>
          <w:szCs w:val="24"/>
        </w:rPr>
        <w:t>, Queiroz Galvão e Vale S.A.</w:t>
      </w:r>
      <w:r w:rsidR="002505DA">
        <w:rPr>
          <w:color w:val="000000" w:themeColor="text1"/>
          <w:szCs w:val="24"/>
        </w:rPr>
        <w:t xml:space="preserve">, </w:t>
      </w:r>
      <w:r w:rsidRPr="002505DA">
        <w:rPr>
          <w:color w:val="000000" w:themeColor="text1"/>
          <w:szCs w:val="24"/>
        </w:rPr>
        <w:t>não divulgaram informações no relatório da opinião da auditoria</w:t>
      </w:r>
      <w:r w:rsidR="002505DA">
        <w:rPr>
          <w:color w:val="000000" w:themeColor="text1"/>
          <w:szCs w:val="24"/>
        </w:rPr>
        <w:t xml:space="preserve"> </w:t>
      </w:r>
      <w:r w:rsidRPr="002505DA">
        <w:rPr>
          <w:color w:val="000000" w:themeColor="text1"/>
          <w:szCs w:val="24"/>
        </w:rPr>
        <w:t xml:space="preserve">sobre o envolvimento na operação </w:t>
      </w:r>
      <w:r w:rsidR="004D3095">
        <w:rPr>
          <w:color w:val="000000" w:themeColor="text1"/>
          <w:szCs w:val="24"/>
        </w:rPr>
        <w:t>Lava Jato</w:t>
      </w:r>
      <w:r w:rsidRPr="002505DA">
        <w:rPr>
          <w:color w:val="000000" w:themeColor="text1"/>
          <w:szCs w:val="24"/>
        </w:rPr>
        <w:t xml:space="preserve">. </w:t>
      </w:r>
      <w:r w:rsidR="00867A50" w:rsidRPr="002505DA">
        <w:rPr>
          <w:color w:val="000000" w:themeColor="text1"/>
          <w:szCs w:val="24"/>
        </w:rPr>
        <w:t>De</w:t>
      </w:r>
      <w:r w:rsidR="00955252" w:rsidRPr="002505DA">
        <w:rPr>
          <w:color w:val="000000" w:themeColor="text1"/>
          <w:szCs w:val="24"/>
        </w:rPr>
        <w:t xml:space="preserve"> forma geral, a análise destaca a relevância d</w:t>
      </w:r>
      <w:r w:rsidR="002505DA" w:rsidRPr="002505DA">
        <w:rPr>
          <w:color w:val="000000" w:themeColor="text1"/>
          <w:szCs w:val="24"/>
        </w:rPr>
        <w:t xml:space="preserve">a opinião dos auditores, especialmente quanto ao </w:t>
      </w:r>
      <w:proofErr w:type="spellStart"/>
      <w:r w:rsidR="002505DA" w:rsidRPr="002505DA">
        <w:rPr>
          <w:i/>
          <w:iCs/>
          <w:color w:val="000000" w:themeColor="text1"/>
          <w:szCs w:val="24"/>
        </w:rPr>
        <w:t>disclosure</w:t>
      </w:r>
      <w:proofErr w:type="spellEnd"/>
      <w:r w:rsidR="002505DA" w:rsidRPr="002505DA">
        <w:rPr>
          <w:color w:val="000000" w:themeColor="text1"/>
          <w:szCs w:val="24"/>
        </w:rPr>
        <w:t xml:space="preserve"> e as características qualitativas da informação contábil, visando preservar a imagem e o compromisso com os usuários da informação contábil.</w:t>
      </w:r>
      <w:r w:rsidR="002505DA">
        <w:rPr>
          <w:color w:val="000000" w:themeColor="text1"/>
          <w:szCs w:val="24"/>
        </w:rPr>
        <w:t xml:space="preserve"> </w:t>
      </w:r>
      <w:r w:rsidR="00867A50">
        <w:rPr>
          <w:color w:val="000000" w:themeColor="text1"/>
          <w:szCs w:val="24"/>
        </w:rPr>
        <w:t xml:space="preserve"> </w:t>
      </w:r>
    </w:p>
    <w:p w14:paraId="34162C43" w14:textId="77777777" w:rsidR="00736B7D" w:rsidRDefault="00736B7D" w:rsidP="00736B7D">
      <w:pPr>
        <w:ind w:firstLine="0"/>
        <w:rPr>
          <w:b/>
          <w:szCs w:val="24"/>
        </w:rPr>
      </w:pPr>
    </w:p>
    <w:p w14:paraId="30E8D721" w14:textId="3CF43986" w:rsidR="00736B7D" w:rsidRPr="007859FC" w:rsidRDefault="00736B7D" w:rsidP="00736B7D">
      <w:pPr>
        <w:ind w:firstLine="0"/>
        <w:rPr>
          <w:szCs w:val="24"/>
        </w:rPr>
      </w:pPr>
      <w:r w:rsidRPr="007859FC">
        <w:rPr>
          <w:b/>
          <w:szCs w:val="24"/>
        </w:rPr>
        <w:t xml:space="preserve">Palavras-chave: </w:t>
      </w:r>
      <w:r w:rsidR="002505DA" w:rsidRPr="002505DA">
        <w:rPr>
          <w:bCs/>
          <w:szCs w:val="24"/>
        </w:rPr>
        <w:t>Auditoria.</w:t>
      </w:r>
      <w:r w:rsidR="002505DA">
        <w:rPr>
          <w:b/>
          <w:szCs w:val="24"/>
        </w:rPr>
        <w:t xml:space="preserve"> </w:t>
      </w:r>
      <w:proofErr w:type="spellStart"/>
      <w:r w:rsidRPr="007859FC">
        <w:rPr>
          <w:i/>
          <w:color w:val="000000" w:themeColor="text1"/>
          <w:szCs w:val="24"/>
          <w:shd w:val="clear" w:color="auto" w:fill="FFFFFF"/>
        </w:rPr>
        <w:t>Disclosure</w:t>
      </w:r>
      <w:proofErr w:type="spellEnd"/>
      <w:r w:rsidR="002505DA">
        <w:rPr>
          <w:szCs w:val="24"/>
        </w:rPr>
        <w:t xml:space="preserve">. </w:t>
      </w:r>
      <w:r w:rsidRPr="007859FC">
        <w:rPr>
          <w:szCs w:val="24"/>
        </w:rPr>
        <w:t xml:space="preserve">Operação </w:t>
      </w:r>
      <w:r w:rsidR="002505DA">
        <w:rPr>
          <w:szCs w:val="24"/>
        </w:rPr>
        <w:t>L</w:t>
      </w:r>
      <w:r w:rsidRPr="007859FC">
        <w:rPr>
          <w:szCs w:val="24"/>
        </w:rPr>
        <w:t>ava-jato.</w:t>
      </w:r>
    </w:p>
    <w:p w14:paraId="1792EAEC" w14:textId="77777777" w:rsidR="00E92C38" w:rsidRDefault="00E92C38" w:rsidP="00E92C38">
      <w:pPr>
        <w:ind w:firstLine="0"/>
        <w:rPr>
          <w:b/>
          <w:szCs w:val="24"/>
        </w:rPr>
      </w:pPr>
    </w:p>
    <w:p w14:paraId="51ACC9A0" w14:textId="1F7AABCF" w:rsidR="00736B7D" w:rsidRPr="0036377D" w:rsidRDefault="00736B7D" w:rsidP="00E92C38">
      <w:pPr>
        <w:ind w:firstLine="0"/>
        <w:rPr>
          <w:szCs w:val="24"/>
        </w:rPr>
      </w:pPr>
      <w:bookmarkStart w:id="0" w:name="_Hlk12807270"/>
      <w:r>
        <w:rPr>
          <w:b/>
          <w:szCs w:val="24"/>
        </w:rPr>
        <w:t xml:space="preserve">Linha Temática: </w:t>
      </w:r>
      <w:bookmarkStart w:id="1" w:name="_Hlk12820926"/>
      <w:r w:rsidR="00E92C38">
        <w:rPr>
          <w:rStyle w:val="Forte"/>
          <w:b w:val="0"/>
          <w:bCs w:val="0"/>
          <w:szCs w:val="24"/>
          <w:shd w:val="clear" w:color="auto" w:fill="FFFFFF"/>
        </w:rPr>
        <w:t>Ou</w:t>
      </w:r>
      <w:r w:rsidR="00E92C38" w:rsidRPr="00E92C38">
        <w:rPr>
          <w:rStyle w:val="Forte"/>
          <w:b w:val="0"/>
          <w:bCs w:val="0"/>
          <w:szCs w:val="24"/>
          <w:shd w:val="clear" w:color="auto" w:fill="FFFFFF"/>
        </w:rPr>
        <w:t>tros temas relevantes em contabilidade</w:t>
      </w:r>
      <w:r w:rsidR="00E92C38">
        <w:rPr>
          <w:rStyle w:val="Forte"/>
          <w:b w:val="0"/>
          <w:bCs w:val="0"/>
          <w:szCs w:val="24"/>
          <w:shd w:val="clear" w:color="auto" w:fill="FFFFFF"/>
        </w:rPr>
        <w:t>.</w:t>
      </w:r>
      <w:bookmarkEnd w:id="1"/>
    </w:p>
    <w:bookmarkEnd w:id="0"/>
    <w:p w14:paraId="494E9BD6" w14:textId="0C5314F5" w:rsidR="00736B7D" w:rsidRDefault="00736B7D" w:rsidP="00736B7D">
      <w:pPr>
        <w:rPr>
          <w:b/>
          <w:color w:val="000000" w:themeColor="text1"/>
          <w:szCs w:val="24"/>
        </w:rPr>
      </w:pPr>
    </w:p>
    <w:p w14:paraId="6A57AFC0" w14:textId="40FE5428" w:rsidR="002F79A6" w:rsidRDefault="002F79A6" w:rsidP="00736B7D">
      <w:pPr>
        <w:rPr>
          <w:b/>
          <w:color w:val="000000" w:themeColor="text1"/>
          <w:szCs w:val="24"/>
        </w:rPr>
      </w:pPr>
    </w:p>
    <w:p w14:paraId="77EF6296" w14:textId="77777777" w:rsidR="002F79A6" w:rsidRPr="007859FC" w:rsidRDefault="002F79A6" w:rsidP="00736B7D">
      <w:pPr>
        <w:rPr>
          <w:b/>
          <w:color w:val="000000" w:themeColor="text1"/>
          <w:szCs w:val="24"/>
        </w:rPr>
      </w:pPr>
    </w:p>
    <w:p w14:paraId="6A2962F9" w14:textId="28B52B2E" w:rsidR="00E92C38" w:rsidRDefault="00E92C38" w:rsidP="00E92C38">
      <w:pPr>
        <w:ind w:firstLine="0"/>
        <w:rPr>
          <w:b/>
          <w:color w:val="000000" w:themeColor="text1"/>
          <w:szCs w:val="24"/>
        </w:rPr>
      </w:pPr>
    </w:p>
    <w:p w14:paraId="494641FA" w14:textId="77777777" w:rsidR="002505DA" w:rsidRDefault="002505DA" w:rsidP="00E92C38">
      <w:pPr>
        <w:ind w:firstLine="0"/>
        <w:rPr>
          <w:b/>
          <w:color w:val="000000" w:themeColor="text1"/>
          <w:szCs w:val="24"/>
        </w:rPr>
      </w:pPr>
    </w:p>
    <w:p w14:paraId="67BD42F9" w14:textId="2C08DFBF" w:rsidR="00736B7D" w:rsidRPr="007859FC" w:rsidRDefault="00E92C38" w:rsidP="00E92C38">
      <w:pPr>
        <w:ind w:firstLine="0"/>
        <w:rPr>
          <w:b/>
          <w:color w:val="000000" w:themeColor="text1"/>
          <w:szCs w:val="24"/>
        </w:rPr>
      </w:pPr>
      <w:r w:rsidRPr="007859FC">
        <w:rPr>
          <w:b/>
          <w:color w:val="000000" w:themeColor="text1"/>
          <w:szCs w:val="24"/>
        </w:rPr>
        <w:lastRenderedPageBreak/>
        <w:t>1 Introdução</w:t>
      </w:r>
    </w:p>
    <w:p w14:paraId="2E7509B2" w14:textId="61C38BC8" w:rsidR="00C02F8B" w:rsidRDefault="00736B7D" w:rsidP="00C02F8B">
      <w:pPr>
        <w:rPr>
          <w:color w:val="000000" w:themeColor="text1"/>
          <w:szCs w:val="24"/>
        </w:rPr>
      </w:pPr>
      <w:r w:rsidRPr="0048208D">
        <w:rPr>
          <w:color w:val="000000" w:themeColor="text1"/>
          <w:szCs w:val="24"/>
        </w:rPr>
        <w:t>As informações presentes nas demonstrações contábeis reportam fatos que ocorreram no passado, mas que produzem reflexos no futuro e para que essas informações contábeis sejam úteis às partes interessadas é necessário que sejam relevantes (</w:t>
      </w:r>
      <w:r w:rsidR="00B605CA" w:rsidRPr="0048208D">
        <w:rPr>
          <w:color w:val="000000" w:themeColor="text1"/>
          <w:szCs w:val="24"/>
        </w:rPr>
        <w:t>Batista</w:t>
      </w:r>
      <w:r w:rsidR="00B605CA">
        <w:rPr>
          <w:color w:val="000000" w:themeColor="text1"/>
          <w:szCs w:val="24"/>
        </w:rPr>
        <w:t>,</w:t>
      </w:r>
      <w:r w:rsidR="00B605CA" w:rsidRPr="0048208D">
        <w:rPr>
          <w:color w:val="000000" w:themeColor="text1"/>
          <w:szCs w:val="24"/>
        </w:rPr>
        <w:t xml:space="preserve"> Oliveira</w:t>
      </w:r>
      <w:r w:rsidR="00B605CA">
        <w:rPr>
          <w:color w:val="000000" w:themeColor="text1"/>
          <w:szCs w:val="24"/>
        </w:rPr>
        <w:t xml:space="preserve">, &amp; </w:t>
      </w:r>
      <w:r w:rsidR="00B605CA" w:rsidRPr="0048208D">
        <w:rPr>
          <w:color w:val="000000" w:themeColor="text1"/>
          <w:szCs w:val="24"/>
        </w:rPr>
        <w:t xml:space="preserve">Macedo, </w:t>
      </w:r>
      <w:r w:rsidRPr="0048208D">
        <w:rPr>
          <w:color w:val="000000" w:themeColor="text1"/>
          <w:szCs w:val="24"/>
        </w:rPr>
        <w:t>2017</w:t>
      </w:r>
      <w:r w:rsidR="00C02F8B">
        <w:rPr>
          <w:color w:val="000000" w:themeColor="text1"/>
          <w:szCs w:val="24"/>
        </w:rPr>
        <w:t xml:space="preserve">). </w:t>
      </w:r>
      <w:r w:rsidRPr="0048208D">
        <w:rPr>
          <w:color w:val="000000" w:themeColor="text1"/>
          <w:szCs w:val="24"/>
        </w:rPr>
        <w:t>A contabilidade busca gerar informações</w:t>
      </w:r>
      <w:r w:rsidR="00C02F8B">
        <w:rPr>
          <w:color w:val="000000" w:themeColor="text1"/>
          <w:szCs w:val="24"/>
        </w:rPr>
        <w:t xml:space="preserve">, </w:t>
      </w:r>
      <w:r w:rsidRPr="0048208D">
        <w:rPr>
          <w:color w:val="000000" w:themeColor="text1"/>
          <w:szCs w:val="24"/>
        </w:rPr>
        <w:t xml:space="preserve">que sejam úteis para a adequada interpretação da situação econômico-financeira da entidade, tornando fundamental o </w:t>
      </w:r>
      <w:proofErr w:type="spellStart"/>
      <w:r w:rsidRPr="0048208D">
        <w:rPr>
          <w:i/>
          <w:color w:val="000000" w:themeColor="text1"/>
          <w:szCs w:val="24"/>
        </w:rPr>
        <w:t>disclosure</w:t>
      </w:r>
      <w:proofErr w:type="spellEnd"/>
      <w:r w:rsidRPr="0048208D">
        <w:rPr>
          <w:color w:val="000000" w:themeColor="text1"/>
          <w:szCs w:val="24"/>
        </w:rPr>
        <w:t xml:space="preserve"> </w:t>
      </w:r>
      <w:r w:rsidR="00C02F8B">
        <w:rPr>
          <w:color w:val="000000" w:themeColor="text1"/>
          <w:szCs w:val="24"/>
        </w:rPr>
        <w:t>de</w:t>
      </w:r>
      <w:r w:rsidRPr="0048208D">
        <w:rPr>
          <w:color w:val="000000" w:themeColor="text1"/>
          <w:szCs w:val="24"/>
        </w:rPr>
        <w:t xml:space="preserve"> informações qualitativas e quantitativas</w:t>
      </w:r>
      <w:r w:rsidR="00C02F8B">
        <w:rPr>
          <w:color w:val="000000" w:themeColor="text1"/>
          <w:szCs w:val="24"/>
        </w:rPr>
        <w:t xml:space="preserve">, </w:t>
      </w:r>
      <w:r w:rsidRPr="0048208D">
        <w:rPr>
          <w:color w:val="000000" w:themeColor="text1"/>
          <w:szCs w:val="24"/>
        </w:rPr>
        <w:t>para que os usuários possam compreender e analisar a relevância, os riscos e as atividades desenvolvidas pelas organizações (</w:t>
      </w:r>
      <w:r w:rsidR="00C02F8B" w:rsidRPr="00CD5938">
        <w:rPr>
          <w:color w:val="000000" w:themeColor="text1"/>
          <w:shd w:val="clear" w:color="auto" w:fill="FFFFFF"/>
        </w:rPr>
        <w:t xml:space="preserve">Dantas, </w:t>
      </w:r>
      <w:proofErr w:type="spellStart"/>
      <w:r w:rsidR="00C02F8B" w:rsidRPr="00CD5938">
        <w:rPr>
          <w:color w:val="000000" w:themeColor="text1"/>
          <w:shd w:val="clear" w:color="auto" w:fill="FFFFFF"/>
        </w:rPr>
        <w:t>Zendersky</w:t>
      </w:r>
      <w:proofErr w:type="spellEnd"/>
      <w:r w:rsidR="00C02F8B" w:rsidRPr="00CD5938">
        <w:rPr>
          <w:color w:val="000000" w:themeColor="text1"/>
          <w:shd w:val="clear" w:color="auto" w:fill="FFFFFF"/>
        </w:rPr>
        <w:t>, Santos,</w:t>
      </w:r>
      <w:r w:rsidR="00C02F8B">
        <w:rPr>
          <w:color w:val="000000" w:themeColor="text1"/>
          <w:shd w:val="clear" w:color="auto" w:fill="FFFFFF"/>
        </w:rPr>
        <w:t xml:space="preserve"> &amp;</w:t>
      </w:r>
      <w:r w:rsidR="00C02F8B" w:rsidRPr="00CD5938">
        <w:rPr>
          <w:color w:val="000000" w:themeColor="text1"/>
          <w:shd w:val="clear" w:color="auto" w:fill="FFFFFF"/>
        </w:rPr>
        <w:t xml:space="preserve"> </w:t>
      </w:r>
      <w:proofErr w:type="spellStart"/>
      <w:r w:rsidR="00C02F8B" w:rsidRPr="00CD5938">
        <w:rPr>
          <w:color w:val="000000" w:themeColor="text1"/>
          <w:shd w:val="clear" w:color="auto" w:fill="FFFFFF"/>
        </w:rPr>
        <w:t>Niyama</w:t>
      </w:r>
      <w:proofErr w:type="spellEnd"/>
      <w:r w:rsidR="00C02F8B" w:rsidRPr="00CD5938">
        <w:rPr>
          <w:color w:val="000000" w:themeColor="text1"/>
          <w:shd w:val="clear" w:color="auto" w:fill="FFFFFF"/>
        </w:rPr>
        <w:t xml:space="preserve">, </w:t>
      </w:r>
      <w:r w:rsidRPr="0048208D">
        <w:rPr>
          <w:color w:val="000000" w:themeColor="text1"/>
          <w:szCs w:val="24"/>
        </w:rPr>
        <w:t>20</w:t>
      </w:r>
      <w:r w:rsidR="00C02F8B">
        <w:rPr>
          <w:color w:val="000000" w:themeColor="text1"/>
          <w:szCs w:val="24"/>
        </w:rPr>
        <w:t>05</w:t>
      </w:r>
      <w:r w:rsidRPr="0048208D">
        <w:rPr>
          <w:color w:val="000000" w:themeColor="text1"/>
          <w:szCs w:val="24"/>
        </w:rPr>
        <w:t>).</w:t>
      </w:r>
      <w:r w:rsidR="00C02F8B" w:rsidRPr="00C02F8B">
        <w:rPr>
          <w:color w:val="000000" w:themeColor="text1"/>
          <w:szCs w:val="24"/>
        </w:rPr>
        <w:t xml:space="preserve"> </w:t>
      </w:r>
    </w:p>
    <w:p w14:paraId="5B01CFD9" w14:textId="193E74DA" w:rsidR="00C02F8B" w:rsidRDefault="00120CA3" w:rsidP="00C02F8B">
      <w:pPr>
        <w:rPr>
          <w:color w:val="000000" w:themeColor="text1"/>
          <w:szCs w:val="24"/>
        </w:rPr>
      </w:pPr>
      <w:r>
        <w:rPr>
          <w:color w:val="000000" w:themeColor="text1"/>
          <w:szCs w:val="24"/>
          <w:shd w:val="clear" w:color="auto" w:fill="FFFFFF"/>
        </w:rPr>
        <w:t>M</w:t>
      </w:r>
      <w:r w:rsidRPr="00CD5938">
        <w:rPr>
          <w:color w:val="000000" w:themeColor="text1"/>
          <w:szCs w:val="24"/>
          <w:shd w:val="clear" w:color="auto" w:fill="FFFFFF"/>
        </w:rPr>
        <w:t xml:space="preserve">oura, </w:t>
      </w:r>
      <w:proofErr w:type="spellStart"/>
      <w:r w:rsidRPr="00CD5938">
        <w:rPr>
          <w:color w:val="000000" w:themeColor="text1"/>
          <w:szCs w:val="24"/>
          <w:shd w:val="clear" w:color="auto" w:fill="FFFFFF"/>
        </w:rPr>
        <w:t>Zanchi</w:t>
      </w:r>
      <w:proofErr w:type="spellEnd"/>
      <w:r w:rsidRPr="00CD5938">
        <w:rPr>
          <w:color w:val="000000" w:themeColor="text1"/>
          <w:szCs w:val="24"/>
          <w:shd w:val="clear" w:color="auto" w:fill="FFFFFF"/>
        </w:rPr>
        <w:t xml:space="preserve">, </w:t>
      </w:r>
      <w:proofErr w:type="spellStart"/>
      <w:r w:rsidRPr="00CD5938">
        <w:rPr>
          <w:color w:val="000000" w:themeColor="text1"/>
          <w:szCs w:val="24"/>
          <w:shd w:val="clear" w:color="auto" w:fill="FFFFFF"/>
        </w:rPr>
        <w:t>Mazzioni</w:t>
      </w:r>
      <w:proofErr w:type="spellEnd"/>
      <w:r w:rsidRPr="00CD5938">
        <w:rPr>
          <w:color w:val="000000" w:themeColor="text1"/>
          <w:szCs w:val="24"/>
          <w:shd w:val="clear" w:color="auto" w:fill="FFFFFF"/>
        </w:rPr>
        <w:t>, Macêdo</w:t>
      </w:r>
      <w:r>
        <w:rPr>
          <w:color w:val="000000" w:themeColor="text1"/>
          <w:szCs w:val="24"/>
          <w:shd w:val="clear" w:color="auto" w:fill="FFFFFF"/>
        </w:rPr>
        <w:t xml:space="preserve"> e</w:t>
      </w:r>
      <w:r w:rsidRPr="00CD5938">
        <w:rPr>
          <w:color w:val="000000" w:themeColor="text1"/>
          <w:szCs w:val="24"/>
          <w:shd w:val="clear" w:color="auto" w:fill="FFFFFF"/>
        </w:rPr>
        <w:t xml:space="preserve"> Kruger</w:t>
      </w:r>
      <w:r w:rsidRPr="0048208D">
        <w:rPr>
          <w:color w:val="000000" w:themeColor="text1"/>
          <w:szCs w:val="24"/>
        </w:rPr>
        <w:t xml:space="preserve"> </w:t>
      </w:r>
      <w:r w:rsidR="00C02F8B" w:rsidRPr="0048208D">
        <w:rPr>
          <w:color w:val="000000" w:themeColor="text1"/>
          <w:szCs w:val="24"/>
        </w:rPr>
        <w:t xml:space="preserve">(2017), </w:t>
      </w:r>
      <w:r w:rsidR="00C02F8B">
        <w:rPr>
          <w:color w:val="000000" w:themeColor="text1"/>
          <w:szCs w:val="24"/>
        </w:rPr>
        <w:t>evidencia</w:t>
      </w:r>
      <w:r>
        <w:rPr>
          <w:color w:val="000000" w:themeColor="text1"/>
          <w:szCs w:val="24"/>
        </w:rPr>
        <w:t>m</w:t>
      </w:r>
      <w:r w:rsidR="00C02F8B">
        <w:rPr>
          <w:color w:val="000000" w:themeColor="text1"/>
          <w:szCs w:val="24"/>
        </w:rPr>
        <w:t xml:space="preserve"> que </w:t>
      </w:r>
      <w:r w:rsidR="00C02F8B" w:rsidRPr="0048208D">
        <w:rPr>
          <w:color w:val="000000" w:themeColor="text1"/>
          <w:szCs w:val="24"/>
        </w:rPr>
        <w:t>as empresas que têm maior qualidade das informações contábeis divulgadas</w:t>
      </w:r>
      <w:r w:rsidR="00C02F8B">
        <w:rPr>
          <w:color w:val="000000" w:themeColor="text1"/>
          <w:szCs w:val="24"/>
        </w:rPr>
        <w:t xml:space="preserve">, </w:t>
      </w:r>
      <w:r w:rsidR="00C02F8B" w:rsidRPr="0048208D">
        <w:rPr>
          <w:color w:val="000000" w:themeColor="text1"/>
          <w:szCs w:val="24"/>
        </w:rPr>
        <w:t>também possuem maior participação acionária de investidores institucionais, que geralmente possuem grandes percentuais de ações e movimentam valores significativos de dinheiro em cada investimento. O conteúdo das demonstrações contábeis impacta no mercado de capitais</w:t>
      </w:r>
      <w:r w:rsidR="00C02F8B">
        <w:rPr>
          <w:color w:val="000000" w:themeColor="text1"/>
          <w:szCs w:val="24"/>
        </w:rPr>
        <w:t xml:space="preserve">, </w:t>
      </w:r>
      <w:r w:rsidR="00C02F8B" w:rsidRPr="0048208D">
        <w:rPr>
          <w:color w:val="000000" w:themeColor="text1"/>
          <w:szCs w:val="24"/>
        </w:rPr>
        <w:t>fazendo com que as informações disponíveis e relevantes divulgadas pelas empresas, reajam diretamente alterando o preço das ações disponíveis no mercado (</w:t>
      </w:r>
      <w:proofErr w:type="spellStart"/>
      <w:r w:rsidRPr="0048208D">
        <w:rPr>
          <w:color w:val="000000" w:themeColor="text1"/>
          <w:szCs w:val="24"/>
        </w:rPr>
        <w:t>Kos</w:t>
      </w:r>
      <w:proofErr w:type="spellEnd"/>
      <w:r>
        <w:rPr>
          <w:color w:val="000000" w:themeColor="text1"/>
          <w:szCs w:val="24"/>
        </w:rPr>
        <w:t>,</w:t>
      </w:r>
      <w:r w:rsidRPr="0048208D">
        <w:rPr>
          <w:color w:val="000000" w:themeColor="text1"/>
          <w:szCs w:val="24"/>
        </w:rPr>
        <w:t xml:space="preserve"> Scarpin</w:t>
      </w:r>
      <w:r>
        <w:rPr>
          <w:color w:val="000000" w:themeColor="text1"/>
          <w:szCs w:val="24"/>
        </w:rPr>
        <w:t xml:space="preserve">, &amp; </w:t>
      </w:r>
      <w:proofErr w:type="spellStart"/>
      <w:r w:rsidRPr="0048208D">
        <w:rPr>
          <w:color w:val="000000" w:themeColor="text1"/>
          <w:szCs w:val="24"/>
        </w:rPr>
        <w:t>Kabucussa</w:t>
      </w:r>
      <w:proofErr w:type="spellEnd"/>
      <w:r w:rsidR="00C02F8B" w:rsidRPr="0048208D">
        <w:rPr>
          <w:color w:val="000000" w:themeColor="text1"/>
          <w:szCs w:val="24"/>
        </w:rPr>
        <w:t xml:space="preserve">, 2017). </w:t>
      </w:r>
    </w:p>
    <w:p w14:paraId="6FE14EAB" w14:textId="7C06F044" w:rsidR="00736B7D" w:rsidRPr="0048208D" w:rsidRDefault="00736B7D" w:rsidP="00736B7D">
      <w:pPr>
        <w:rPr>
          <w:color w:val="000000" w:themeColor="text1"/>
          <w:szCs w:val="24"/>
        </w:rPr>
      </w:pPr>
      <w:r w:rsidRPr="0048208D">
        <w:rPr>
          <w:color w:val="000000" w:themeColor="text1"/>
          <w:szCs w:val="24"/>
        </w:rPr>
        <w:t xml:space="preserve">Depois dos acontecimentos das fraudes evidenciadas nos anos 90, em grandes empresas multinacionais como o caso da americana Enron e da italiana Parmalat, que juntamente com as empresas de auditoria manipulavam as informações de seus resultados contábeis, ocasionando aos seus acionistas grandes prejuízos financeiros, foram criadas leis, como a </w:t>
      </w:r>
      <w:r w:rsidR="00120CA3">
        <w:rPr>
          <w:color w:val="000000" w:themeColor="text1"/>
          <w:szCs w:val="24"/>
        </w:rPr>
        <w:t>L</w:t>
      </w:r>
      <w:r w:rsidRPr="0048208D">
        <w:rPr>
          <w:color w:val="000000" w:themeColor="text1"/>
          <w:szCs w:val="24"/>
        </w:rPr>
        <w:t xml:space="preserve">ei </w:t>
      </w:r>
      <w:r w:rsidR="00120CA3">
        <w:rPr>
          <w:color w:val="000000" w:themeColor="text1"/>
          <w:szCs w:val="24"/>
        </w:rPr>
        <w:t>A</w:t>
      </w:r>
      <w:r w:rsidRPr="0048208D">
        <w:rPr>
          <w:color w:val="000000" w:themeColor="text1"/>
          <w:szCs w:val="24"/>
        </w:rPr>
        <w:t xml:space="preserve">mericana </w:t>
      </w:r>
      <w:proofErr w:type="spellStart"/>
      <w:r w:rsidRPr="0048208D">
        <w:rPr>
          <w:i/>
          <w:color w:val="000000" w:themeColor="text1"/>
          <w:szCs w:val="24"/>
        </w:rPr>
        <w:t>Sarbanes-Oxley</w:t>
      </w:r>
      <w:proofErr w:type="spellEnd"/>
      <w:r w:rsidRPr="0048208D">
        <w:rPr>
          <w:color w:val="000000" w:themeColor="text1"/>
          <w:szCs w:val="24"/>
        </w:rPr>
        <w:t xml:space="preserve"> (SOX)</w:t>
      </w:r>
      <w:r w:rsidRPr="0048208D">
        <w:rPr>
          <w:i/>
          <w:color w:val="000000" w:themeColor="text1"/>
          <w:szCs w:val="24"/>
        </w:rPr>
        <w:t>.</w:t>
      </w:r>
      <w:r w:rsidRPr="0048208D">
        <w:rPr>
          <w:color w:val="000000" w:themeColor="text1"/>
          <w:szCs w:val="24"/>
        </w:rPr>
        <w:t xml:space="preserve">  Já no Brasil a Lei n° 10.406, de janeiro de 2002, </w:t>
      </w:r>
      <w:r w:rsidR="00C02F8B">
        <w:rPr>
          <w:color w:val="000000" w:themeColor="text1"/>
          <w:szCs w:val="24"/>
        </w:rPr>
        <w:t>visa</w:t>
      </w:r>
      <w:r w:rsidRPr="0048208D">
        <w:rPr>
          <w:color w:val="000000" w:themeColor="text1"/>
          <w:szCs w:val="24"/>
        </w:rPr>
        <w:t xml:space="preserve"> combater as fraudes e destaca a responsabilidade dos profissionais de </w:t>
      </w:r>
      <w:r w:rsidRPr="008343F2">
        <w:rPr>
          <w:color w:val="000000" w:themeColor="text1"/>
          <w:szCs w:val="24"/>
        </w:rPr>
        <w:t>contabilidade quanto à escrituração contábil e fiscal, tornando-se responsáveis caso algum ato ocasione danos a terceiros em suas operações (</w:t>
      </w:r>
      <w:r w:rsidR="008343F2" w:rsidRPr="008343F2">
        <w:rPr>
          <w:color w:val="000000" w:themeColor="text1"/>
          <w:szCs w:val="24"/>
          <w:shd w:val="clear" w:color="auto" w:fill="FFFFFF"/>
        </w:rPr>
        <w:t xml:space="preserve">Silva, </w:t>
      </w:r>
      <w:proofErr w:type="spellStart"/>
      <w:r w:rsidR="008343F2" w:rsidRPr="008343F2">
        <w:rPr>
          <w:color w:val="000000" w:themeColor="text1"/>
          <w:szCs w:val="24"/>
          <w:shd w:val="clear" w:color="auto" w:fill="FFFFFF"/>
        </w:rPr>
        <w:t>Drumond</w:t>
      </w:r>
      <w:proofErr w:type="spellEnd"/>
      <w:r w:rsidR="008343F2" w:rsidRPr="008343F2">
        <w:rPr>
          <w:color w:val="000000" w:themeColor="text1"/>
          <w:szCs w:val="24"/>
          <w:shd w:val="clear" w:color="auto" w:fill="FFFFFF"/>
        </w:rPr>
        <w:t>, Silva, Pereira, &amp; Freitas</w:t>
      </w:r>
      <w:r w:rsidR="008343F2" w:rsidRPr="008343F2">
        <w:rPr>
          <w:color w:val="000000" w:themeColor="text1"/>
          <w:szCs w:val="24"/>
        </w:rPr>
        <w:t xml:space="preserve">, </w:t>
      </w:r>
      <w:r w:rsidRPr="008343F2">
        <w:rPr>
          <w:color w:val="000000" w:themeColor="text1"/>
          <w:szCs w:val="24"/>
        </w:rPr>
        <w:t>2016).</w:t>
      </w:r>
    </w:p>
    <w:p w14:paraId="3193E278" w14:textId="64C73B43" w:rsidR="00736B7D" w:rsidRPr="0048208D" w:rsidRDefault="00736B7D" w:rsidP="00736B7D">
      <w:pPr>
        <w:rPr>
          <w:color w:val="000000" w:themeColor="text1"/>
          <w:szCs w:val="24"/>
        </w:rPr>
      </w:pPr>
      <w:r w:rsidRPr="0048208D">
        <w:rPr>
          <w:color w:val="000000" w:themeColor="text1"/>
          <w:szCs w:val="24"/>
        </w:rPr>
        <w:t xml:space="preserve">Em 2014 o cenário econômico do Brasil passou a enfrentar diversos desafios, devido à investigação criminal denominada </w:t>
      </w:r>
      <w:r w:rsidR="00120CA3">
        <w:rPr>
          <w:color w:val="000000" w:themeColor="text1"/>
          <w:szCs w:val="24"/>
        </w:rPr>
        <w:t>“</w:t>
      </w:r>
      <w:r w:rsidRPr="0048208D">
        <w:rPr>
          <w:color w:val="000000" w:themeColor="text1"/>
          <w:szCs w:val="24"/>
        </w:rPr>
        <w:t xml:space="preserve">Operação </w:t>
      </w:r>
      <w:r w:rsidR="004D3095">
        <w:rPr>
          <w:color w:val="000000" w:themeColor="text1"/>
          <w:szCs w:val="24"/>
        </w:rPr>
        <w:t>Lava Jato</w:t>
      </w:r>
      <w:r w:rsidR="00120CA3">
        <w:rPr>
          <w:color w:val="000000" w:themeColor="text1"/>
          <w:szCs w:val="24"/>
        </w:rPr>
        <w:t>”</w:t>
      </w:r>
      <w:r w:rsidRPr="0048208D">
        <w:rPr>
          <w:color w:val="000000" w:themeColor="text1"/>
          <w:szCs w:val="24"/>
        </w:rPr>
        <w:t>, conduzida pela Polícia Federal (PF) e do Ministério Público Federal (MPF)</w:t>
      </w:r>
      <w:r w:rsidR="00120CA3">
        <w:rPr>
          <w:color w:val="000000" w:themeColor="text1"/>
          <w:szCs w:val="24"/>
        </w:rPr>
        <w:t xml:space="preserve">, </w:t>
      </w:r>
      <w:r w:rsidRPr="0048208D">
        <w:rPr>
          <w:color w:val="000000" w:themeColor="text1"/>
          <w:szCs w:val="24"/>
        </w:rPr>
        <w:t xml:space="preserve">que apurou um esquema de corrupção entre os agentes públicos, que por meio do </w:t>
      </w:r>
      <w:r w:rsidRPr="00887D3E">
        <w:rPr>
          <w:color w:val="000000" w:themeColor="text1"/>
          <w:szCs w:val="24"/>
        </w:rPr>
        <w:t>recebimento de propinas facilitavam que determinada empresa obtivesse êxito em processos licitatórios com contratos superfaturados (</w:t>
      </w:r>
      <w:r w:rsidR="00887D3E" w:rsidRPr="00887D3E">
        <w:rPr>
          <w:color w:val="000000" w:themeColor="text1"/>
          <w:szCs w:val="24"/>
        </w:rPr>
        <w:t xml:space="preserve">Araújo, Rodrigues, </w:t>
      </w:r>
      <w:proofErr w:type="spellStart"/>
      <w:r w:rsidR="00887D3E" w:rsidRPr="00887D3E">
        <w:rPr>
          <w:color w:val="000000" w:themeColor="text1"/>
          <w:szCs w:val="24"/>
        </w:rPr>
        <w:t>Monte-Mor</w:t>
      </w:r>
      <w:proofErr w:type="spellEnd"/>
      <w:r w:rsidR="00887D3E" w:rsidRPr="00887D3E">
        <w:rPr>
          <w:color w:val="000000" w:themeColor="text1"/>
          <w:szCs w:val="24"/>
        </w:rPr>
        <w:t>, &amp; Correia, 20</w:t>
      </w:r>
      <w:r w:rsidRPr="00887D3E">
        <w:rPr>
          <w:color w:val="000000" w:themeColor="text1"/>
          <w:szCs w:val="24"/>
        </w:rPr>
        <w:t>18).</w:t>
      </w:r>
    </w:p>
    <w:p w14:paraId="1163E240" w14:textId="16D0DF83" w:rsidR="00736B7D" w:rsidRPr="002F79A6" w:rsidRDefault="00736B7D" w:rsidP="00736B7D">
      <w:pPr>
        <w:rPr>
          <w:color w:val="000000" w:themeColor="text1"/>
          <w:szCs w:val="24"/>
        </w:rPr>
      </w:pPr>
      <w:r w:rsidRPr="0048208D">
        <w:rPr>
          <w:color w:val="000000" w:themeColor="text1"/>
          <w:szCs w:val="24"/>
        </w:rPr>
        <w:t xml:space="preserve">A operação </w:t>
      </w:r>
      <w:r w:rsidR="004D3095">
        <w:rPr>
          <w:color w:val="000000" w:themeColor="text1"/>
          <w:szCs w:val="24"/>
        </w:rPr>
        <w:t>Lava Jato</w:t>
      </w:r>
      <w:r w:rsidRPr="0048208D">
        <w:rPr>
          <w:color w:val="000000" w:themeColor="text1"/>
          <w:szCs w:val="24"/>
        </w:rPr>
        <w:t xml:space="preserve"> tornou-se símbolo de esperança para os brasileiros, pois ela começou a desmantelar um grande esquema de corrupção que ocorria no Brasil e pela primeira vez no país, estavam sendo executados processos de investigação contra grandes empresas corruptoras, que eram beneficiadas em troca de propina (</w:t>
      </w:r>
      <w:r w:rsidR="00120CA3" w:rsidRPr="002F79A6">
        <w:rPr>
          <w:color w:val="000000" w:themeColor="text1"/>
          <w:szCs w:val="24"/>
          <w:shd w:val="clear" w:color="auto" w:fill="FFFFFF"/>
        </w:rPr>
        <w:t xml:space="preserve">Oliveira, Monteiro, Goulart, &amp; </w:t>
      </w:r>
      <w:proofErr w:type="spellStart"/>
      <w:r w:rsidR="00120CA3" w:rsidRPr="002F79A6">
        <w:rPr>
          <w:color w:val="000000" w:themeColor="text1"/>
          <w:szCs w:val="24"/>
          <w:shd w:val="clear" w:color="auto" w:fill="FFFFFF"/>
        </w:rPr>
        <w:t>Vanali</w:t>
      </w:r>
      <w:proofErr w:type="spellEnd"/>
      <w:r w:rsidR="00120CA3" w:rsidRPr="002F79A6">
        <w:rPr>
          <w:color w:val="000000" w:themeColor="text1"/>
          <w:szCs w:val="24"/>
          <w:shd w:val="clear" w:color="auto" w:fill="FFFFFF"/>
        </w:rPr>
        <w:t xml:space="preserve">, </w:t>
      </w:r>
      <w:r w:rsidRPr="002F79A6">
        <w:rPr>
          <w:color w:val="000000" w:themeColor="text1"/>
          <w:szCs w:val="24"/>
        </w:rPr>
        <w:t>2017).</w:t>
      </w:r>
    </w:p>
    <w:p w14:paraId="3FEB5DC2" w14:textId="56122228" w:rsidR="00736B7D" w:rsidRPr="002F79A6" w:rsidRDefault="00736B7D" w:rsidP="00736B7D">
      <w:pPr>
        <w:rPr>
          <w:color w:val="000000" w:themeColor="text1"/>
          <w:szCs w:val="24"/>
        </w:rPr>
      </w:pPr>
      <w:r w:rsidRPr="002F79A6">
        <w:rPr>
          <w:color w:val="000000" w:themeColor="text1"/>
          <w:szCs w:val="24"/>
        </w:rPr>
        <w:t xml:space="preserve">Neste sentido, a problemática norteadora da pesquisa visa responder: Qual o comportamento da opinião dos auditores das demonstrações contábeis das empresas envolvidas na Operação </w:t>
      </w:r>
      <w:r w:rsidR="004D3095" w:rsidRPr="002F79A6">
        <w:rPr>
          <w:color w:val="000000" w:themeColor="text1"/>
          <w:szCs w:val="24"/>
        </w:rPr>
        <w:t>Lava Jato</w:t>
      </w:r>
      <w:r w:rsidRPr="002F79A6">
        <w:rPr>
          <w:color w:val="000000" w:themeColor="text1"/>
          <w:szCs w:val="24"/>
        </w:rPr>
        <w:t>? Com o objetivo de analisar os pareceres d</w:t>
      </w:r>
      <w:r w:rsidR="002F79A6" w:rsidRPr="002F79A6">
        <w:rPr>
          <w:color w:val="000000" w:themeColor="text1"/>
          <w:szCs w:val="24"/>
        </w:rPr>
        <w:t>e</w:t>
      </w:r>
      <w:r w:rsidRPr="002F79A6">
        <w:rPr>
          <w:color w:val="000000" w:themeColor="text1"/>
          <w:szCs w:val="24"/>
        </w:rPr>
        <w:t xml:space="preserve"> opinião dos auditores das demonstrações contábeis das empresas envolvidas na Operação </w:t>
      </w:r>
      <w:r w:rsidR="004D3095" w:rsidRPr="002F79A6">
        <w:rPr>
          <w:color w:val="000000" w:themeColor="text1"/>
          <w:szCs w:val="24"/>
        </w:rPr>
        <w:t>Lava Jato</w:t>
      </w:r>
      <w:r w:rsidRPr="002F79A6">
        <w:rPr>
          <w:color w:val="000000" w:themeColor="text1"/>
          <w:szCs w:val="24"/>
        </w:rPr>
        <w:t xml:space="preserve">. </w:t>
      </w:r>
    </w:p>
    <w:p w14:paraId="4378B145" w14:textId="51743B6A" w:rsidR="00736B7D" w:rsidRPr="0048208D" w:rsidRDefault="00736B7D" w:rsidP="00736B7D">
      <w:pPr>
        <w:rPr>
          <w:color w:val="000000" w:themeColor="text1"/>
          <w:szCs w:val="24"/>
        </w:rPr>
      </w:pPr>
      <w:r w:rsidRPr="002F79A6">
        <w:rPr>
          <w:color w:val="000000" w:themeColor="text1"/>
          <w:szCs w:val="24"/>
        </w:rPr>
        <w:t xml:space="preserve">A qualidade das informações contábeis das empresas investigadas na Operação </w:t>
      </w:r>
      <w:r w:rsidR="004D3095" w:rsidRPr="002F79A6">
        <w:rPr>
          <w:color w:val="000000" w:themeColor="text1"/>
          <w:szCs w:val="24"/>
        </w:rPr>
        <w:t>Lava Jato</w:t>
      </w:r>
      <w:r w:rsidRPr="002F79A6">
        <w:rPr>
          <w:color w:val="000000" w:themeColor="text1"/>
          <w:szCs w:val="24"/>
        </w:rPr>
        <w:t>, torna-se essencial para analisar se as informações divulgadas por estas empresas, tiveram práticas ilícitas ou se houve impacto destas ações aos usuários das informações contábeis (</w:t>
      </w:r>
      <w:proofErr w:type="spellStart"/>
      <w:r w:rsidR="00120CA3" w:rsidRPr="002F79A6">
        <w:rPr>
          <w:color w:val="000000" w:themeColor="text1"/>
          <w:szCs w:val="24"/>
          <w:shd w:val="clear" w:color="auto" w:fill="FFFFFF"/>
        </w:rPr>
        <w:t>Haussmann</w:t>
      </w:r>
      <w:proofErr w:type="spellEnd"/>
      <w:r w:rsidR="00120CA3" w:rsidRPr="002F79A6">
        <w:rPr>
          <w:color w:val="000000" w:themeColor="text1"/>
          <w:szCs w:val="24"/>
          <w:shd w:val="clear" w:color="auto" w:fill="FFFFFF"/>
        </w:rPr>
        <w:t xml:space="preserve">, </w:t>
      </w:r>
      <w:proofErr w:type="spellStart"/>
      <w:r w:rsidR="00120CA3" w:rsidRPr="002F79A6">
        <w:rPr>
          <w:color w:val="000000" w:themeColor="text1"/>
          <w:szCs w:val="24"/>
          <w:shd w:val="clear" w:color="auto" w:fill="FFFFFF"/>
        </w:rPr>
        <w:t>Savariz</w:t>
      </w:r>
      <w:proofErr w:type="spellEnd"/>
      <w:r w:rsidR="00120CA3" w:rsidRPr="002F79A6">
        <w:rPr>
          <w:color w:val="000000" w:themeColor="text1"/>
          <w:szCs w:val="24"/>
          <w:shd w:val="clear" w:color="auto" w:fill="FFFFFF"/>
        </w:rPr>
        <w:t xml:space="preserve">, </w:t>
      </w:r>
      <w:proofErr w:type="spellStart"/>
      <w:r w:rsidR="00120CA3" w:rsidRPr="002F79A6">
        <w:rPr>
          <w:color w:val="000000" w:themeColor="text1"/>
          <w:szCs w:val="24"/>
          <w:shd w:val="clear" w:color="auto" w:fill="FFFFFF"/>
        </w:rPr>
        <w:t>Bizatto</w:t>
      </w:r>
      <w:proofErr w:type="spellEnd"/>
      <w:r w:rsidR="00120CA3" w:rsidRPr="002F79A6">
        <w:rPr>
          <w:color w:val="000000" w:themeColor="text1"/>
          <w:szCs w:val="24"/>
          <w:shd w:val="clear" w:color="auto" w:fill="FFFFFF"/>
        </w:rPr>
        <w:t xml:space="preserve">, &amp; </w:t>
      </w:r>
      <w:proofErr w:type="spellStart"/>
      <w:r w:rsidR="00120CA3" w:rsidRPr="002F79A6">
        <w:rPr>
          <w:color w:val="000000" w:themeColor="text1"/>
          <w:szCs w:val="24"/>
          <w:shd w:val="clear" w:color="auto" w:fill="FFFFFF"/>
        </w:rPr>
        <w:t>Klann</w:t>
      </w:r>
      <w:proofErr w:type="spellEnd"/>
      <w:r w:rsidR="00120CA3" w:rsidRPr="002F79A6">
        <w:rPr>
          <w:color w:val="000000" w:themeColor="text1"/>
          <w:szCs w:val="24"/>
          <w:shd w:val="clear" w:color="auto" w:fill="FFFFFF"/>
        </w:rPr>
        <w:t>,</w:t>
      </w:r>
      <w:r w:rsidRPr="002F79A6">
        <w:rPr>
          <w:color w:val="000000" w:themeColor="text1"/>
          <w:szCs w:val="24"/>
        </w:rPr>
        <w:t xml:space="preserve"> 2017). Para Martins e</w:t>
      </w:r>
      <w:r w:rsidRPr="0048208D">
        <w:rPr>
          <w:color w:val="000000" w:themeColor="text1"/>
          <w:szCs w:val="24"/>
        </w:rPr>
        <w:t xml:space="preserve"> Rodrigues (201</w:t>
      </w:r>
      <w:r w:rsidR="00C6606A">
        <w:rPr>
          <w:color w:val="000000" w:themeColor="text1"/>
          <w:szCs w:val="24"/>
        </w:rPr>
        <w:t>5</w:t>
      </w:r>
      <w:r w:rsidRPr="0048208D">
        <w:rPr>
          <w:color w:val="000000" w:themeColor="text1"/>
          <w:szCs w:val="24"/>
        </w:rPr>
        <w:t xml:space="preserve">), é importante comparar as informações obtidas nos indicadores econômicos de determinados períodos contábeis das </w:t>
      </w:r>
      <w:r w:rsidRPr="0048208D">
        <w:rPr>
          <w:color w:val="000000" w:themeColor="text1"/>
          <w:szCs w:val="24"/>
        </w:rPr>
        <w:lastRenderedPageBreak/>
        <w:t>empresas, a</w:t>
      </w:r>
      <w:r w:rsidR="00C6606A">
        <w:rPr>
          <w:color w:val="000000" w:themeColor="text1"/>
          <w:szCs w:val="24"/>
        </w:rPr>
        <w:t xml:space="preserve"> </w:t>
      </w:r>
      <w:r w:rsidRPr="0048208D">
        <w:rPr>
          <w:color w:val="000000" w:themeColor="text1"/>
          <w:szCs w:val="24"/>
        </w:rPr>
        <w:t>fim de evidenciar se as informações contábeis foram demonstradas de forma fidedigna aos usuários das informações contábeis.</w:t>
      </w:r>
    </w:p>
    <w:p w14:paraId="08357D16" w14:textId="77777777" w:rsidR="00736B7D" w:rsidRPr="0048208D" w:rsidRDefault="00736B7D" w:rsidP="00736B7D">
      <w:pPr>
        <w:rPr>
          <w:color w:val="000000" w:themeColor="text1"/>
          <w:szCs w:val="24"/>
        </w:rPr>
      </w:pPr>
      <w:r w:rsidRPr="0048208D">
        <w:rPr>
          <w:color w:val="000000" w:themeColor="text1"/>
          <w:szCs w:val="24"/>
        </w:rPr>
        <w:tab/>
      </w:r>
    </w:p>
    <w:p w14:paraId="070C6061" w14:textId="2B9954EA" w:rsidR="00736B7D" w:rsidRPr="0048208D" w:rsidRDefault="00D91454" w:rsidP="00D91454">
      <w:pPr>
        <w:ind w:firstLine="0"/>
        <w:rPr>
          <w:b/>
          <w:color w:val="000000" w:themeColor="text1"/>
          <w:szCs w:val="24"/>
          <w:shd w:val="clear" w:color="auto" w:fill="FFFFFF"/>
        </w:rPr>
      </w:pPr>
      <w:proofErr w:type="gramStart"/>
      <w:r w:rsidRPr="0048208D">
        <w:rPr>
          <w:b/>
          <w:color w:val="000000" w:themeColor="text1"/>
          <w:szCs w:val="24"/>
          <w:shd w:val="clear" w:color="auto" w:fill="FFFFFF"/>
        </w:rPr>
        <w:t>2  Revisão</w:t>
      </w:r>
      <w:proofErr w:type="gramEnd"/>
      <w:r w:rsidRPr="0048208D">
        <w:rPr>
          <w:b/>
          <w:color w:val="000000" w:themeColor="text1"/>
          <w:szCs w:val="24"/>
          <w:shd w:val="clear" w:color="auto" w:fill="FFFFFF"/>
        </w:rPr>
        <w:t xml:space="preserve"> </w:t>
      </w:r>
      <w:r>
        <w:rPr>
          <w:b/>
          <w:color w:val="000000" w:themeColor="text1"/>
          <w:szCs w:val="24"/>
          <w:shd w:val="clear" w:color="auto" w:fill="FFFFFF"/>
        </w:rPr>
        <w:t>d</w:t>
      </w:r>
      <w:r w:rsidRPr="0048208D">
        <w:rPr>
          <w:b/>
          <w:color w:val="000000" w:themeColor="text1"/>
          <w:szCs w:val="24"/>
          <w:shd w:val="clear" w:color="auto" w:fill="FFFFFF"/>
        </w:rPr>
        <w:t>a Literatura</w:t>
      </w:r>
    </w:p>
    <w:p w14:paraId="00DA233D" w14:textId="0451A3D5" w:rsidR="00736B7D" w:rsidRPr="0048208D" w:rsidRDefault="00736B7D" w:rsidP="00736B7D">
      <w:pPr>
        <w:rPr>
          <w:color w:val="000000" w:themeColor="text1"/>
          <w:szCs w:val="24"/>
          <w:shd w:val="clear" w:color="auto" w:fill="FFFFFF"/>
        </w:rPr>
      </w:pPr>
      <w:r w:rsidRPr="0048208D">
        <w:rPr>
          <w:color w:val="000000" w:themeColor="text1"/>
          <w:szCs w:val="24"/>
          <w:shd w:val="clear" w:color="auto" w:fill="FFFFFF"/>
        </w:rPr>
        <w:t xml:space="preserve">Nesta seção apresenta-se a importância do </w:t>
      </w:r>
      <w:proofErr w:type="spellStart"/>
      <w:r w:rsidRPr="0048208D">
        <w:rPr>
          <w:i/>
          <w:color w:val="000000" w:themeColor="text1"/>
          <w:szCs w:val="24"/>
          <w:shd w:val="clear" w:color="auto" w:fill="FFFFFF"/>
        </w:rPr>
        <w:t>disclosure</w:t>
      </w:r>
      <w:proofErr w:type="spellEnd"/>
      <w:r w:rsidRPr="0048208D">
        <w:rPr>
          <w:color w:val="000000" w:themeColor="text1"/>
          <w:szCs w:val="24"/>
          <w:shd w:val="clear" w:color="auto" w:fill="FFFFFF"/>
        </w:rPr>
        <w:t xml:space="preserve"> no ambiente dos usuários das informações contábeis, bem como o contexto da operação </w:t>
      </w:r>
      <w:r w:rsidR="004D3095">
        <w:rPr>
          <w:color w:val="000000" w:themeColor="text1"/>
          <w:szCs w:val="24"/>
          <w:shd w:val="clear" w:color="auto" w:fill="FFFFFF"/>
        </w:rPr>
        <w:t>Lava Jato</w:t>
      </w:r>
      <w:r w:rsidRPr="0048208D">
        <w:rPr>
          <w:color w:val="000000" w:themeColor="text1"/>
          <w:szCs w:val="24"/>
          <w:shd w:val="clear" w:color="auto" w:fill="FFFFFF"/>
        </w:rPr>
        <w:t xml:space="preserve"> e estudos correlatos ao tema.</w:t>
      </w:r>
    </w:p>
    <w:p w14:paraId="4B867EE7" w14:textId="77777777" w:rsidR="00736B7D" w:rsidRPr="0048208D" w:rsidRDefault="00736B7D" w:rsidP="00736B7D">
      <w:pPr>
        <w:rPr>
          <w:color w:val="000000" w:themeColor="text1"/>
          <w:szCs w:val="24"/>
          <w:shd w:val="clear" w:color="auto" w:fill="FFFFFF"/>
        </w:rPr>
      </w:pPr>
    </w:p>
    <w:p w14:paraId="01BF300D" w14:textId="77777777" w:rsidR="00736B7D" w:rsidRPr="0048208D" w:rsidRDefault="00736B7D" w:rsidP="00D91454">
      <w:pPr>
        <w:ind w:firstLine="0"/>
        <w:rPr>
          <w:b/>
          <w:color w:val="000000" w:themeColor="text1"/>
          <w:szCs w:val="24"/>
          <w:shd w:val="clear" w:color="auto" w:fill="FFFFFF"/>
        </w:rPr>
      </w:pPr>
      <w:r w:rsidRPr="0048208D">
        <w:rPr>
          <w:b/>
          <w:color w:val="000000" w:themeColor="text1"/>
          <w:szCs w:val="24"/>
          <w:shd w:val="clear" w:color="auto" w:fill="FFFFFF"/>
        </w:rPr>
        <w:t>2.1</w:t>
      </w:r>
      <w:r w:rsidRPr="0048208D">
        <w:rPr>
          <w:b/>
          <w:i/>
          <w:color w:val="000000" w:themeColor="text1"/>
          <w:szCs w:val="24"/>
          <w:shd w:val="clear" w:color="auto" w:fill="FFFFFF"/>
        </w:rPr>
        <w:t xml:space="preserve"> </w:t>
      </w:r>
      <w:proofErr w:type="spellStart"/>
      <w:r w:rsidRPr="0048208D">
        <w:rPr>
          <w:b/>
          <w:i/>
          <w:color w:val="000000" w:themeColor="text1"/>
          <w:szCs w:val="24"/>
          <w:shd w:val="clear" w:color="auto" w:fill="FFFFFF"/>
        </w:rPr>
        <w:t>Disclosure</w:t>
      </w:r>
      <w:proofErr w:type="spellEnd"/>
      <w:r w:rsidRPr="0048208D">
        <w:rPr>
          <w:b/>
          <w:color w:val="000000" w:themeColor="text1"/>
          <w:szCs w:val="24"/>
          <w:shd w:val="clear" w:color="auto" w:fill="FFFFFF"/>
        </w:rPr>
        <w:t xml:space="preserve"> </w:t>
      </w:r>
    </w:p>
    <w:p w14:paraId="1EA31048" w14:textId="3BECD850" w:rsidR="00736B7D" w:rsidRPr="0048208D" w:rsidRDefault="00736B7D" w:rsidP="00736B7D">
      <w:pPr>
        <w:rPr>
          <w:color w:val="000000" w:themeColor="text1"/>
          <w:szCs w:val="24"/>
          <w:shd w:val="clear" w:color="auto" w:fill="FFFFFF"/>
        </w:rPr>
      </w:pPr>
      <w:r w:rsidRPr="0048208D">
        <w:rPr>
          <w:color w:val="000000" w:themeColor="text1"/>
          <w:szCs w:val="24"/>
          <w:shd w:val="clear" w:color="auto" w:fill="FFFFFF"/>
        </w:rPr>
        <w:t xml:space="preserve">O termo contábil </w:t>
      </w:r>
      <w:proofErr w:type="spellStart"/>
      <w:r w:rsidRPr="0048208D">
        <w:rPr>
          <w:i/>
          <w:color w:val="000000" w:themeColor="text1"/>
          <w:szCs w:val="24"/>
          <w:shd w:val="clear" w:color="auto" w:fill="FFFFFF"/>
        </w:rPr>
        <w:t>disclosure</w:t>
      </w:r>
      <w:proofErr w:type="spellEnd"/>
      <w:r w:rsidRPr="0048208D">
        <w:rPr>
          <w:color w:val="000000" w:themeColor="text1"/>
          <w:szCs w:val="24"/>
          <w:shd w:val="clear" w:color="auto" w:fill="FFFFFF"/>
        </w:rPr>
        <w:t xml:space="preserve"> trata do fornecimento e da divulgação publicamente das informações contábeis e financeiras das empresas, com o objetivo de dar mais transparência e confiabilidade na evidenciação destas informações, auxiliando na análise dos dados, na verificação da situação econômico-financeira e social da empresa, que dificilmente seriam percebidas se fossem analisados apenas as informações constantes no balanço patrimonial e demonstração de resultado buscando evidenciar as necessidades dos usuários (</w:t>
      </w:r>
      <w:r w:rsidR="00C6606A">
        <w:rPr>
          <w:color w:val="000000" w:themeColor="text1"/>
          <w:szCs w:val="24"/>
          <w:shd w:val="clear" w:color="auto" w:fill="FFFFFF"/>
        </w:rPr>
        <w:t>Moura et al., 2017)</w:t>
      </w:r>
      <w:r w:rsidRPr="0048208D">
        <w:rPr>
          <w:color w:val="000000" w:themeColor="text1"/>
          <w:szCs w:val="24"/>
          <w:shd w:val="clear" w:color="auto" w:fill="FFFFFF"/>
        </w:rPr>
        <w:t>.</w:t>
      </w:r>
    </w:p>
    <w:p w14:paraId="70B45E6A" w14:textId="6460F8B4" w:rsidR="00736B7D" w:rsidRPr="0048208D" w:rsidRDefault="00736B7D" w:rsidP="00736B7D">
      <w:pPr>
        <w:pStyle w:val="Default"/>
        <w:ind w:firstLine="708"/>
        <w:jc w:val="both"/>
        <w:rPr>
          <w:iCs/>
          <w:color w:val="000000" w:themeColor="text1"/>
        </w:rPr>
      </w:pPr>
      <w:r w:rsidRPr="0048208D">
        <w:rPr>
          <w:color w:val="000000" w:themeColor="text1"/>
        </w:rPr>
        <w:t xml:space="preserve">O </w:t>
      </w:r>
      <w:proofErr w:type="spellStart"/>
      <w:r w:rsidRPr="0048208D">
        <w:rPr>
          <w:i/>
          <w:iCs/>
          <w:color w:val="000000" w:themeColor="text1"/>
        </w:rPr>
        <w:t>disclosure</w:t>
      </w:r>
      <w:proofErr w:type="spellEnd"/>
      <w:r w:rsidRPr="0048208D">
        <w:rPr>
          <w:color w:val="000000" w:themeColor="text1"/>
        </w:rPr>
        <w:t>, também remete à transparência das informações, e está relacionado com a forma que a empresa se comunica com os usuários externos. As demonstrações financeiras são as principais ferramentas de evidenciação da situação econômica, financeira e patrimonial da empresa, para seus gestores, investidores e o mercado, e através desta análise facilita o processo decisório do usuário (</w:t>
      </w:r>
      <w:r w:rsidR="00C6606A" w:rsidRPr="00CD5938">
        <w:rPr>
          <w:color w:val="000000" w:themeColor="text1"/>
        </w:rPr>
        <w:t xml:space="preserve">Dal Magro, </w:t>
      </w:r>
      <w:proofErr w:type="spellStart"/>
      <w:r w:rsidR="00C6606A" w:rsidRPr="00CD5938">
        <w:rPr>
          <w:color w:val="000000" w:themeColor="text1"/>
        </w:rPr>
        <w:t>Manfroi</w:t>
      </w:r>
      <w:proofErr w:type="spellEnd"/>
      <w:r w:rsidR="00C6606A" w:rsidRPr="00CD5938">
        <w:rPr>
          <w:color w:val="000000" w:themeColor="text1"/>
        </w:rPr>
        <w:t>, Cunha,</w:t>
      </w:r>
      <w:r w:rsidR="00C6606A">
        <w:rPr>
          <w:color w:val="000000" w:themeColor="text1"/>
        </w:rPr>
        <w:t xml:space="preserve"> &amp;</w:t>
      </w:r>
      <w:r w:rsidR="00C6606A" w:rsidRPr="00CD5938">
        <w:rPr>
          <w:color w:val="000000" w:themeColor="text1"/>
        </w:rPr>
        <w:t xml:space="preserve"> Nogueira,</w:t>
      </w:r>
      <w:r w:rsidR="00C6606A">
        <w:rPr>
          <w:color w:val="000000" w:themeColor="text1"/>
        </w:rPr>
        <w:t xml:space="preserve"> </w:t>
      </w:r>
      <w:r w:rsidRPr="0048208D">
        <w:rPr>
          <w:color w:val="000000" w:themeColor="text1"/>
        </w:rPr>
        <w:t>2015).</w:t>
      </w:r>
    </w:p>
    <w:p w14:paraId="52970B8E" w14:textId="10B52EC7" w:rsidR="00736B7D" w:rsidRPr="0048208D" w:rsidRDefault="00736B7D" w:rsidP="00736B7D">
      <w:pPr>
        <w:rPr>
          <w:color w:val="000000" w:themeColor="text1"/>
          <w:szCs w:val="24"/>
          <w:shd w:val="clear" w:color="auto" w:fill="FFFFFF"/>
        </w:rPr>
      </w:pPr>
      <w:r w:rsidRPr="0048208D">
        <w:rPr>
          <w:iCs/>
          <w:color w:val="000000" w:themeColor="text1"/>
          <w:szCs w:val="24"/>
        </w:rPr>
        <w:t>O mercado de capitais sofre com o problema das informações assimétricas, uma vez que alguns participantes tem informações privilegiadas e outros não, um investidor minoritário que não tem a intenção de participar da administração da empresa delega a responsabilidade ao investidor majoritário, consequentemente coloca seus investimentos em riscos, podendo o sócio majoritário usar o dinheiro para obter gratificações ou fazer investimentos que seja prejudiciais as partes interessadas. Esses conflitos podem ser facilmente evitados se as empresas divulgarem as informações relevantes para seus investidores, mesmo que estas informações não sejam favoráveis a empresa, pois a divulgação da informação contábil é a chave para a eficiência do mercado (</w:t>
      </w:r>
      <w:r w:rsidR="00C6606A" w:rsidRPr="00CD5938">
        <w:rPr>
          <w:color w:val="000000" w:themeColor="text1"/>
          <w:szCs w:val="24"/>
          <w:shd w:val="clear" w:color="auto" w:fill="FFFFFF"/>
        </w:rPr>
        <w:t xml:space="preserve">Santos, Silva, </w:t>
      </w:r>
      <w:proofErr w:type="spellStart"/>
      <w:r w:rsidR="00C6606A" w:rsidRPr="00CD5938">
        <w:rPr>
          <w:color w:val="000000" w:themeColor="text1"/>
          <w:szCs w:val="24"/>
          <w:shd w:val="clear" w:color="auto" w:fill="FFFFFF"/>
        </w:rPr>
        <w:t>Sheng</w:t>
      </w:r>
      <w:proofErr w:type="spellEnd"/>
      <w:r w:rsidR="00C6606A" w:rsidRPr="00CD5938">
        <w:rPr>
          <w:color w:val="000000" w:themeColor="text1"/>
          <w:szCs w:val="24"/>
          <w:shd w:val="clear" w:color="auto" w:fill="FFFFFF"/>
        </w:rPr>
        <w:t xml:space="preserve">, </w:t>
      </w:r>
      <w:r w:rsidR="00C6606A">
        <w:rPr>
          <w:color w:val="000000" w:themeColor="text1"/>
          <w:szCs w:val="24"/>
          <w:shd w:val="clear" w:color="auto" w:fill="FFFFFF"/>
        </w:rPr>
        <w:t>&amp;</w:t>
      </w:r>
      <w:r w:rsidR="00C6606A" w:rsidRPr="00CD5938">
        <w:rPr>
          <w:color w:val="000000" w:themeColor="text1"/>
          <w:szCs w:val="24"/>
          <w:shd w:val="clear" w:color="auto" w:fill="FFFFFF"/>
        </w:rPr>
        <w:t xml:space="preserve"> </w:t>
      </w:r>
      <w:proofErr w:type="spellStart"/>
      <w:r w:rsidR="00C6606A" w:rsidRPr="00CD5938">
        <w:rPr>
          <w:color w:val="000000" w:themeColor="text1"/>
          <w:szCs w:val="24"/>
          <w:shd w:val="clear" w:color="auto" w:fill="FFFFFF"/>
        </w:rPr>
        <w:t>Lora</w:t>
      </w:r>
      <w:proofErr w:type="spellEnd"/>
      <w:r w:rsidR="00C6606A" w:rsidRPr="00CD5938">
        <w:rPr>
          <w:color w:val="000000" w:themeColor="text1"/>
          <w:szCs w:val="24"/>
          <w:shd w:val="clear" w:color="auto" w:fill="FFFFFF"/>
        </w:rPr>
        <w:t xml:space="preserve">, </w:t>
      </w:r>
      <w:r w:rsidRPr="0048208D">
        <w:rPr>
          <w:iCs/>
          <w:color w:val="000000" w:themeColor="text1"/>
          <w:szCs w:val="24"/>
        </w:rPr>
        <w:t>2018).</w:t>
      </w:r>
    </w:p>
    <w:p w14:paraId="013564B7" w14:textId="376361D8" w:rsidR="00736B7D" w:rsidRPr="0048208D" w:rsidRDefault="00736B7D" w:rsidP="00955252">
      <w:pPr>
        <w:pStyle w:val="Default"/>
        <w:ind w:firstLine="708"/>
        <w:jc w:val="both"/>
        <w:rPr>
          <w:color w:val="000000" w:themeColor="text1"/>
        </w:rPr>
      </w:pPr>
      <w:r w:rsidRPr="0048208D">
        <w:rPr>
          <w:iCs/>
          <w:color w:val="000000" w:themeColor="text1"/>
        </w:rPr>
        <w:t xml:space="preserve">Na análise de </w:t>
      </w:r>
      <w:r w:rsidRPr="0048208D">
        <w:rPr>
          <w:color w:val="000000" w:themeColor="text1"/>
        </w:rPr>
        <w:t xml:space="preserve">Dantas </w:t>
      </w:r>
      <w:r w:rsidRPr="00C02F8B">
        <w:rPr>
          <w:i/>
          <w:iCs/>
          <w:color w:val="000000" w:themeColor="text1"/>
        </w:rPr>
        <w:t>et al.</w:t>
      </w:r>
      <w:r w:rsidRPr="0048208D">
        <w:rPr>
          <w:color w:val="000000" w:themeColor="text1"/>
        </w:rPr>
        <w:t xml:space="preserve"> (20</w:t>
      </w:r>
      <w:r w:rsidR="00C02F8B">
        <w:rPr>
          <w:color w:val="000000" w:themeColor="text1"/>
        </w:rPr>
        <w:t>05</w:t>
      </w:r>
      <w:r w:rsidRPr="0048208D">
        <w:rPr>
          <w:color w:val="000000" w:themeColor="text1"/>
        </w:rPr>
        <w:t xml:space="preserve">), os benefícios do </w:t>
      </w:r>
      <w:proofErr w:type="spellStart"/>
      <w:r w:rsidRPr="0048208D">
        <w:rPr>
          <w:i/>
          <w:iCs/>
          <w:color w:val="000000" w:themeColor="text1"/>
        </w:rPr>
        <w:t>disclosure</w:t>
      </w:r>
      <w:proofErr w:type="spellEnd"/>
      <w:r w:rsidRPr="0048208D">
        <w:rPr>
          <w:i/>
          <w:iCs/>
          <w:color w:val="000000" w:themeColor="text1"/>
        </w:rPr>
        <w:t xml:space="preserve"> </w:t>
      </w:r>
      <w:r w:rsidRPr="0048208D">
        <w:rPr>
          <w:iCs/>
          <w:color w:val="000000" w:themeColor="text1"/>
        </w:rPr>
        <w:t xml:space="preserve">contábil estão relacionados com o desenvolvimento do mercado de capitais e da valorização da entidade, de seus níveis de liquidez e com os custos, bem como que as empresas </w:t>
      </w:r>
      <w:r w:rsidRPr="00A94E99">
        <w:rPr>
          <w:iCs/>
          <w:color w:val="000000" w:themeColor="text1"/>
        </w:rPr>
        <w:t xml:space="preserve">relutam em aumentar o nível de </w:t>
      </w:r>
      <w:proofErr w:type="spellStart"/>
      <w:r w:rsidRPr="00A94E99">
        <w:rPr>
          <w:i/>
          <w:iCs/>
          <w:color w:val="000000" w:themeColor="text1"/>
        </w:rPr>
        <w:t>disclosure</w:t>
      </w:r>
      <w:proofErr w:type="spellEnd"/>
      <w:r w:rsidRPr="00A94E99">
        <w:rPr>
          <w:i/>
          <w:iCs/>
          <w:color w:val="000000" w:themeColor="text1"/>
        </w:rPr>
        <w:t xml:space="preserve"> </w:t>
      </w:r>
      <w:r w:rsidRPr="00A94E99">
        <w:rPr>
          <w:iCs/>
          <w:color w:val="000000" w:themeColor="text1"/>
        </w:rPr>
        <w:t xml:space="preserve">limitando-se às informações que estão regulamentadas. </w:t>
      </w:r>
      <w:r w:rsidRPr="00A94E99">
        <w:rPr>
          <w:color w:val="000000" w:themeColor="text1"/>
          <w:shd w:val="clear" w:color="auto" w:fill="FFFFFF"/>
        </w:rPr>
        <w:t>O CPC 00 (2011), tem o objetivo de servir como fonte dos conceitos básicos e fundamentais para serem utilizados para</w:t>
      </w:r>
      <w:r w:rsidRPr="0048208D">
        <w:rPr>
          <w:color w:val="000000" w:themeColor="text1"/>
          <w:shd w:val="clear" w:color="auto" w:fill="FFFFFF"/>
        </w:rPr>
        <w:t xml:space="preserve"> elaboração e divulgação das informações contábeis, e para que o </w:t>
      </w:r>
      <w:proofErr w:type="spellStart"/>
      <w:r w:rsidRPr="0048208D">
        <w:rPr>
          <w:i/>
          <w:color w:val="000000" w:themeColor="text1"/>
          <w:shd w:val="clear" w:color="auto" w:fill="FFFFFF"/>
        </w:rPr>
        <w:t>disclosure</w:t>
      </w:r>
      <w:proofErr w:type="spellEnd"/>
      <w:r w:rsidRPr="0048208D">
        <w:rPr>
          <w:color w:val="000000" w:themeColor="text1"/>
          <w:shd w:val="clear" w:color="auto" w:fill="FFFFFF"/>
        </w:rPr>
        <w:t xml:space="preserve"> na contabilidade seja feito corretamente, precisa atender as características qualitativas fundamentais das demonstrações contábeis e as caraterísticas qualitativas de melhorias, que auxiliam quando as alternativas equivalentes em termos de relevância e representação fidedigna</w:t>
      </w:r>
      <w:r w:rsidR="00955252">
        <w:rPr>
          <w:color w:val="000000" w:themeColor="text1"/>
          <w:shd w:val="clear" w:color="auto" w:fill="FFFFFF"/>
        </w:rPr>
        <w:t>.</w:t>
      </w:r>
    </w:p>
    <w:p w14:paraId="78656E09" w14:textId="59111DEC" w:rsidR="00736B7D" w:rsidRDefault="00736B7D" w:rsidP="00736B7D">
      <w:pPr>
        <w:autoSpaceDE w:val="0"/>
        <w:autoSpaceDN w:val="0"/>
        <w:adjustRightInd w:val="0"/>
        <w:ind w:firstLine="708"/>
        <w:rPr>
          <w:color w:val="000000" w:themeColor="text1"/>
          <w:szCs w:val="24"/>
        </w:rPr>
      </w:pPr>
      <w:r w:rsidRPr="0048208D">
        <w:rPr>
          <w:color w:val="000000" w:themeColor="text1"/>
          <w:szCs w:val="24"/>
        </w:rPr>
        <w:t>As empresas que estão envolvidas em casos de corrupção, dificilmente divulgam abertamente seu compromisso com as práticas de anticorrupção e a divulgação dessas ações é conhecida como “</w:t>
      </w:r>
      <w:proofErr w:type="spellStart"/>
      <w:r w:rsidRPr="0048208D">
        <w:rPr>
          <w:i/>
          <w:iCs/>
          <w:color w:val="000000" w:themeColor="text1"/>
          <w:szCs w:val="24"/>
        </w:rPr>
        <w:t>disclosure</w:t>
      </w:r>
      <w:proofErr w:type="spellEnd"/>
      <w:r w:rsidRPr="0048208D">
        <w:rPr>
          <w:color w:val="000000" w:themeColor="text1"/>
          <w:szCs w:val="24"/>
        </w:rPr>
        <w:t xml:space="preserve"> anticorrupção” (</w:t>
      </w:r>
      <w:proofErr w:type="spellStart"/>
      <w:r w:rsidR="00C6606A" w:rsidRPr="0048208D">
        <w:rPr>
          <w:color w:val="000000" w:themeColor="text1"/>
          <w:szCs w:val="24"/>
        </w:rPr>
        <w:t>Barkemeyer</w:t>
      </w:r>
      <w:proofErr w:type="spellEnd"/>
      <w:r w:rsidR="00C6606A">
        <w:rPr>
          <w:color w:val="000000" w:themeColor="text1"/>
          <w:szCs w:val="24"/>
        </w:rPr>
        <w:t xml:space="preserve">, </w:t>
      </w:r>
      <w:proofErr w:type="spellStart"/>
      <w:r w:rsidR="00C6606A" w:rsidRPr="0048208D">
        <w:rPr>
          <w:color w:val="000000" w:themeColor="text1"/>
          <w:szCs w:val="24"/>
        </w:rPr>
        <w:t>Preuss</w:t>
      </w:r>
      <w:proofErr w:type="spellEnd"/>
      <w:r w:rsidR="00C6606A">
        <w:rPr>
          <w:color w:val="000000" w:themeColor="text1"/>
          <w:szCs w:val="24"/>
        </w:rPr>
        <w:t>, &amp;</w:t>
      </w:r>
      <w:r w:rsidR="00C6606A" w:rsidRPr="0048208D">
        <w:rPr>
          <w:color w:val="000000" w:themeColor="text1"/>
          <w:szCs w:val="24"/>
        </w:rPr>
        <w:t xml:space="preserve"> Lee, </w:t>
      </w:r>
      <w:r w:rsidRPr="0048208D">
        <w:rPr>
          <w:color w:val="000000" w:themeColor="text1"/>
          <w:szCs w:val="24"/>
        </w:rPr>
        <w:t xml:space="preserve">2015). Após a Operação </w:t>
      </w:r>
      <w:r w:rsidR="004D3095">
        <w:rPr>
          <w:color w:val="000000" w:themeColor="text1"/>
          <w:szCs w:val="24"/>
        </w:rPr>
        <w:t>Lava Jato</w:t>
      </w:r>
      <w:r w:rsidRPr="0048208D">
        <w:rPr>
          <w:color w:val="000000" w:themeColor="text1"/>
          <w:szCs w:val="24"/>
        </w:rPr>
        <w:t xml:space="preserve"> houve mudanças na Lei Anticorrupção no Brasil, incluído o benefício de ter pena e valores de multas reduzidas, se estas empresas demonstrarem que evidenciam políticas internas de </w:t>
      </w:r>
      <w:r w:rsidRPr="0048208D">
        <w:rPr>
          <w:color w:val="000000" w:themeColor="text1"/>
          <w:szCs w:val="24"/>
        </w:rPr>
        <w:lastRenderedPageBreak/>
        <w:t xml:space="preserve">integridade, auditoria, controle de riscos, </w:t>
      </w:r>
      <w:r w:rsidRPr="007629BE">
        <w:rPr>
          <w:color w:val="000000" w:themeColor="text1"/>
          <w:szCs w:val="24"/>
        </w:rPr>
        <w:t>código de ética (</w:t>
      </w:r>
      <w:proofErr w:type="spellStart"/>
      <w:r w:rsidR="007629BE" w:rsidRPr="007629BE">
        <w:rPr>
          <w:color w:val="000000" w:themeColor="text1"/>
          <w:szCs w:val="24"/>
          <w:shd w:val="clear" w:color="auto" w:fill="FFFFFF"/>
        </w:rPr>
        <w:t>Schmitz</w:t>
      </w:r>
      <w:proofErr w:type="spellEnd"/>
      <w:r w:rsidR="007629BE" w:rsidRPr="007629BE">
        <w:rPr>
          <w:color w:val="000000" w:themeColor="text1"/>
          <w:szCs w:val="24"/>
          <w:shd w:val="clear" w:color="auto" w:fill="FFFFFF"/>
        </w:rPr>
        <w:t>, &amp; Rover</w:t>
      </w:r>
      <w:r w:rsidRPr="007629BE">
        <w:rPr>
          <w:color w:val="000000" w:themeColor="text1"/>
          <w:szCs w:val="24"/>
        </w:rPr>
        <w:t>, 2017).</w:t>
      </w:r>
      <w:r w:rsidRPr="0048208D">
        <w:rPr>
          <w:color w:val="000000" w:themeColor="text1"/>
          <w:szCs w:val="24"/>
        </w:rPr>
        <w:t xml:space="preserve"> </w:t>
      </w:r>
      <w:r w:rsidRPr="0048208D">
        <w:rPr>
          <w:color w:val="000000" w:themeColor="text1"/>
          <w:szCs w:val="24"/>
        </w:rPr>
        <w:tab/>
      </w:r>
    </w:p>
    <w:p w14:paraId="539D98F4" w14:textId="77777777" w:rsidR="007629BE" w:rsidRPr="0048208D" w:rsidRDefault="007629BE" w:rsidP="00736B7D">
      <w:pPr>
        <w:autoSpaceDE w:val="0"/>
        <w:autoSpaceDN w:val="0"/>
        <w:adjustRightInd w:val="0"/>
        <w:ind w:firstLine="708"/>
        <w:rPr>
          <w:color w:val="000000" w:themeColor="text1"/>
          <w:szCs w:val="24"/>
        </w:rPr>
      </w:pPr>
    </w:p>
    <w:p w14:paraId="663B39E4" w14:textId="2D4F295C" w:rsidR="00736B7D" w:rsidRPr="0048208D" w:rsidRDefault="00736B7D" w:rsidP="00736B7D">
      <w:pPr>
        <w:pStyle w:val="PargrafodaLista"/>
        <w:numPr>
          <w:ilvl w:val="1"/>
          <w:numId w:val="20"/>
        </w:numPr>
        <w:spacing w:after="0" w:line="240" w:lineRule="auto"/>
        <w:jc w:val="both"/>
        <w:rPr>
          <w:rFonts w:ascii="Times New Roman" w:hAnsi="Times New Roman" w:cs="Times New Roman"/>
          <w:b/>
          <w:color w:val="000000" w:themeColor="text1"/>
          <w:sz w:val="24"/>
          <w:szCs w:val="24"/>
          <w:shd w:val="clear" w:color="auto" w:fill="FFFFFF"/>
        </w:rPr>
      </w:pPr>
      <w:r w:rsidRPr="0048208D">
        <w:rPr>
          <w:rFonts w:ascii="Times New Roman" w:hAnsi="Times New Roman" w:cs="Times New Roman"/>
          <w:b/>
          <w:color w:val="000000" w:themeColor="text1"/>
          <w:sz w:val="24"/>
          <w:szCs w:val="24"/>
          <w:shd w:val="clear" w:color="auto" w:fill="FFFFFF"/>
        </w:rPr>
        <w:t xml:space="preserve">Operação </w:t>
      </w:r>
      <w:r w:rsidR="004D3095">
        <w:rPr>
          <w:rFonts w:ascii="Times New Roman" w:hAnsi="Times New Roman" w:cs="Times New Roman"/>
          <w:b/>
          <w:color w:val="000000" w:themeColor="text1"/>
          <w:sz w:val="24"/>
          <w:szCs w:val="24"/>
          <w:shd w:val="clear" w:color="auto" w:fill="FFFFFF"/>
        </w:rPr>
        <w:t>Lava Jato</w:t>
      </w:r>
    </w:p>
    <w:p w14:paraId="0928D77E" w14:textId="7F40739A" w:rsidR="00736B7D" w:rsidRPr="007859FC" w:rsidRDefault="00736B7D" w:rsidP="00736B7D">
      <w:pPr>
        <w:rPr>
          <w:color w:val="000000" w:themeColor="text1"/>
          <w:szCs w:val="24"/>
          <w:shd w:val="clear" w:color="auto" w:fill="FFFFFF"/>
        </w:rPr>
      </w:pPr>
      <w:r w:rsidRPr="0048208D">
        <w:rPr>
          <w:color w:val="000000" w:themeColor="text1"/>
          <w:szCs w:val="24"/>
          <w:shd w:val="clear" w:color="auto" w:fill="FFFFFF"/>
        </w:rPr>
        <w:t xml:space="preserve">Deflagrada em março de 2014 pelo MPF, a Operação </w:t>
      </w:r>
      <w:r w:rsidR="004D3095">
        <w:rPr>
          <w:color w:val="000000" w:themeColor="text1"/>
          <w:szCs w:val="24"/>
          <w:shd w:val="clear" w:color="auto" w:fill="FFFFFF"/>
        </w:rPr>
        <w:t>Lava Jato</w:t>
      </w:r>
      <w:r w:rsidRPr="0048208D">
        <w:rPr>
          <w:color w:val="000000" w:themeColor="text1"/>
          <w:szCs w:val="24"/>
          <w:shd w:val="clear" w:color="auto" w:fill="FFFFFF"/>
        </w:rPr>
        <w:t xml:space="preserve"> começou com uma investigação em organizações criminosas para apurar crimes financeiros, em operações no mercado paralelo ao mercado de câmbio que estavam sendo comandadas por doleiros, e acabou tornando-se a maior investigação de corrupção e lavagem de dinheiro que o Brasil já teve (</w:t>
      </w:r>
      <w:proofErr w:type="spellStart"/>
      <w:r w:rsidR="00C6606A" w:rsidRPr="0048208D">
        <w:rPr>
          <w:color w:val="000000" w:themeColor="text1"/>
          <w:szCs w:val="24"/>
          <w:shd w:val="clear" w:color="auto" w:fill="FFFFFF"/>
        </w:rPr>
        <w:t>Padula</w:t>
      </w:r>
      <w:proofErr w:type="spellEnd"/>
      <w:r w:rsidR="00C6606A">
        <w:rPr>
          <w:color w:val="000000" w:themeColor="text1"/>
          <w:szCs w:val="24"/>
          <w:shd w:val="clear" w:color="auto" w:fill="FFFFFF"/>
        </w:rPr>
        <w:t>, &amp;</w:t>
      </w:r>
      <w:r w:rsidR="00C6606A" w:rsidRPr="0048208D">
        <w:rPr>
          <w:color w:val="000000" w:themeColor="text1"/>
          <w:szCs w:val="24"/>
          <w:shd w:val="clear" w:color="auto" w:fill="FFFFFF"/>
        </w:rPr>
        <w:t xml:space="preserve"> </w:t>
      </w:r>
      <w:proofErr w:type="spellStart"/>
      <w:r w:rsidR="00C6606A" w:rsidRPr="0048208D">
        <w:rPr>
          <w:color w:val="000000" w:themeColor="text1"/>
          <w:szCs w:val="24"/>
          <w:shd w:val="clear" w:color="auto" w:fill="FFFFFF"/>
        </w:rPr>
        <w:t>Alburquerque</w:t>
      </w:r>
      <w:proofErr w:type="spellEnd"/>
      <w:r w:rsidRPr="0048208D">
        <w:rPr>
          <w:color w:val="000000" w:themeColor="text1"/>
          <w:szCs w:val="24"/>
          <w:shd w:val="clear" w:color="auto" w:fill="FFFFFF"/>
        </w:rPr>
        <w:t>, 2018).</w:t>
      </w:r>
      <w:r w:rsidRPr="007859FC">
        <w:rPr>
          <w:color w:val="000000" w:themeColor="text1"/>
          <w:szCs w:val="24"/>
          <w:shd w:val="clear" w:color="auto" w:fill="FFFFFF"/>
        </w:rPr>
        <w:t xml:space="preserve"> </w:t>
      </w:r>
    </w:p>
    <w:p w14:paraId="7EDFB351" w14:textId="65C58B5A" w:rsidR="00736B7D" w:rsidRPr="00A94E99" w:rsidRDefault="00736B7D" w:rsidP="00736B7D">
      <w:pPr>
        <w:ind w:firstLine="708"/>
        <w:rPr>
          <w:color w:val="000000" w:themeColor="text1"/>
          <w:szCs w:val="24"/>
          <w:shd w:val="clear" w:color="auto" w:fill="FFFFFF"/>
        </w:rPr>
      </w:pPr>
      <w:r w:rsidRPr="0048208D">
        <w:rPr>
          <w:color w:val="000000" w:themeColor="text1"/>
          <w:szCs w:val="24"/>
          <w:shd w:val="clear" w:color="auto" w:fill="FFFFFF"/>
        </w:rPr>
        <w:t xml:space="preserve">O termo </w:t>
      </w:r>
      <w:r w:rsidR="004D3095">
        <w:rPr>
          <w:color w:val="000000" w:themeColor="text1"/>
          <w:szCs w:val="24"/>
          <w:shd w:val="clear" w:color="auto" w:fill="FFFFFF"/>
        </w:rPr>
        <w:t>Lava Jato</w:t>
      </w:r>
      <w:r w:rsidRPr="0048208D">
        <w:rPr>
          <w:color w:val="000000" w:themeColor="text1"/>
          <w:szCs w:val="24"/>
          <w:shd w:val="clear" w:color="auto" w:fill="FFFFFF"/>
        </w:rPr>
        <w:t xml:space="preserve"> surgiu no início da operação devido a uma das empresas envolvidas nas investigações, utilizar empresas de fachada como postos de combustíveis e um</w:t>
      </w:r>
      <w:r w:rsidR="00C6606A">
        <w:rPr>
          <w:color w:val="000000" w:themeColor="text1"/>
          <w:szCs w:val="24"/>
          <w:shd w:val="clear" w:color="auto" w:fill="FFFFFF"/>
        </w:rPr>
        <w:t xml:space="preserve"> </w:t>
      </w:r>
      <w:r w:rsidR="004D3095">
        <w:rPr>
          <w:color w:val="000000" w:themeColor="text1"/>
          <w:szCs w:val="24"/>
          <w:shd w:val="clear" w:color="auto" w:fill="FFFFFF"/>
        </w:rPr>
        <w:t>Lava Jato</w:t>
      </w:r>
      <w:r w:rsidRPr="0048208D">
        <w:rPr>
          <w:color w:val="000000" w:themeColor="text1"/>
          <w:szCs w:val="24"/>
          <w:shd w:val="clear" w:color="auto" w:fill="FFFFFF"/>
        </w:rPr>
        <w:t xml:space="preserve"> de automóveis, as quais movimentavam o dinheiro ilícito que pertencia às organizações criminosas (</w:t>
      </w:r>
      <w:r w:rsidR="00C6606A" w:rsidRPr="0048208D">
        <w:rPr>
          <w:color w:val="000000" w:themeColor="text1"/>
          <w:szCs w:val="24"/>
          <w:shd w:val="clear" w:color="auto" w:fill="FFFFFF"/>
        </w:rPr>
        <w:t>Bastos</w:t>
      </w:r>
      <w:r w:rsidR="00C6606A">
        <w:rPr>
          <w:color w:val="000000" w:themeColor="text1"/>
          <w:szCs w:val="24"/>
          <w:shd w:val="clear" w:color="auto" w:fill="FFFFFF"/>
        </w:rPr>
        <w:t>,</w:t>
      </w:r>
      <w:r w:rsidR="00C6606A" w:rsidRPr="0048208D">
        <w:rPr>
          <w:color w:val="000000" w:themeColor="text1"/>
          <w:szCs w:val="24"/>
          <w:shd w:val="clear" w:color="auto" w:fill="FFFFFF"/>
        </w:rPr>
        <w:t xml:space="preserve"> Rosa</w:t>
      </w:r>
      <w:r w:rsidR="00C6606A">
        <w:rPr>
          <w:color w:val="000000" w:themeColor="text1"/>
          <w:szCs w:val="24"/>
          <w:shd w:val="clear" w:color="auto" w:fill="FFFFFF"/>
        </w:rPr>
        <w:t>, &amp;</w:t>
      </w:r>
      <w:r w:rsidR="00C6606A" w:rsidRPr="0048208D">
        <w:rPr>
          <w:color w:val="000000" w:themeColor="text1"/>
          <w:szCs w:val="24"/>
          <w:shd w:val="clear" w:color="auto" w:fill="FFFFFF"/>
        </w:rPr>
        <w:t xml:space="preserve"> Pimenta, </w:t>
      </w:r>
      <w:r w:rsidRPr="0048208D">
        <w:rPr>
          <w:color w:val="000000" w:themeColor="text1"/>
          <w:szCs w:val="24"/>
          <w:shd w:val="clear" w:color="auto" w:fill="FFFFFF"/>
        </w:rPr>
        <w:t xml:space="preserve">2016). Com o andamento das investigações, o MPF acabou por descobrir que o esquema criminoso de corrupção de </w:t>
      </w:r>
      <w:r w:rsidRPr="00A94E99">
        <w:rPr>
          <w:color w:val="000000" w:themeColor="text1"/>
          <w:szCs w:val="24"/>
          <w:shd w:val="clear" w:color="auto" w:fill="FFFFFF"/>
        </w:rPr>
        <w:t xml:space="preserve">lavagem de dinheiro, fraudes em licitações e pagamento de propinas envolvendo inúmeros partidos políticos e empresas públicas e privadas das mais diversas áreas econômicas do Brasil, como por exemplo: Petrobras, </w:t>
      </w:r>
      <w:proofErr w:type="spellStart"/>
      <w:r w:rsidRPr="00A94E99">
        <w:rPr>
          <w:color w:val="000000" w:themeColor="text1"/>
          <w:szCs w:val="24"/>
          <w:shd w:val="clear" w:color="auto" w:fill="FFFFFF"/>
        </w:rPr>
        <w:t>Eletrobras</w:t>
      </w:r>
      <w:proofErr w:type="spellEnd"/>
      <w:r w:rsidRPr="00A94E99">
        <w:rPr>
          <w:color w:val="000000" w:themeColor="text1"/>
          <w:szCs w:val="24"/>
          <w:shd w:val="clear" w:color="auto" w:fill="FFFFFF"/>
        </w:rPr>
        <w:t>, Vale, J&amp;F, OAS, Odebrecht, Inepar, BTG Pactual, dentre outras (MPF, 2018).</w:t>
      </w:r>
    </w:p>
    <w:p w14:paraId="66EF339E" w14:textId="21BB08FE" w:rsidR="00736B7D" w:rsidRPr="0048208D" w:rsidRDefault="00736B7D" w:rsidP="00736B7D">
      <w:pPr>
        <w:rPr>
          <w:color w:val="000000" w:themeColor="text1"/>
          <w:szCs w:val="24"/>
          <w:shd w:val="clear" w:color="auto" w:fill="FFFFFF"/>
        </w:rPr>
      </w:pPr>
      <w:r w:rsidRPr="00A94E99">
        <w:rPr>
          <w:color w:val="000000" w:themeColor="text1"/>
          <w:szCs w:val="24"/>
          <w:shd w:val="clear" w:color="auto" w:fill="FFFFFF"/>
        </w:rPr>
        <w:t>O esquema de corrupção durou aproximadamente dez anos, onde as empresas organizavam-se em cartel, pagando propina que variava cerca de 1% até 5% sobre os contratos bilionários superfaturados entre as empresas e os altos executivos da Petrobras e agentes públicos, a propina era distribuída através de operadores financeiros do esquema, como os doleiros investigados no início da investigação (</w:t>
      </w:r>
      <w:r w:rsidR="00887D3E" w:rsidRPr="00A94E99">
        <w:rPr>
          <w:color w:val="000000" w:themeColor="text1"/>
          <w:szCs w:val="24"/>
          <w:shd w:val="clear" w:color="auto" w:fill="FFFFFF"/>
        </w:rPr>
        <w:t>Barros</w:t>
      </w:r>
      <w:r w:rsidRPr="00A94E99">
        <w:rPr>
          <w:color w:val="000000" w:themeColor="text1"/>
          <w:szCs w:val="24"/>
          <w:shd w:val="clear" w:color="auto" w:fill="FFFFFF"/>
        </w:rPr>
        <w:t>, 2015).</w:t>
      </w:r>
    </w:p>
    <w:p w14:paraId="019C24B8" w14:textId="1ECDDDDB" w:rsidR="00736B7D" w:rsidRPr="0048208D" w:rsidRDefault="00736B7D" w:rsidP="00736B7D">
      <w:pPr>
        <w:ind w:firstLine="708"/>
        <w:rPr>
          <w:color w:val="000000" w:themeColor="text1"/>
          <w:szCs w:val="24"/>
        </w:rPr>
      </w:pPr>
      <w:r w:rsidRPr="0048208D">
        <w:rPr>
          <w:color w:val="000000" w:themeColor="text1"/>
          <w:szCs w:val="24"/>
          <w:shd w:val="clear" w:color="auto" w:fill="FFFFFF"/>
        </w:rPr>
        <w:t xml:space="preserve">Nas licitações entre as empreiteiras concorreriam entre si, para que a empresa tivesse o contrato assinado deveria ganhar o processo licitatório com o melhor preço para a realização do serviço. Mas as licitações eram fraudadas, as empreiteiras reuniam-se em cartel substituindo a concorrência real por uma concorrência aparente. Os preços oferecidos à Petrobras no processo licitatório eram calculados e ajustados em reuniões secretas, nas quais definiam quem ganharia o contrato e o preço de contratação, assim eram assinados contratos superfaturados, danificando os cofres da Petrobras </w:t>
      </w:r>
      <w:r w:rsidRPr="0048208D">
        <w:rPr>
          <w:color w:val="000000" w:themeColor="text1"/>
          <w:szCs w:val="24"/>
        </w:rPr>
        <w:t>(</w:t>
      </w:r>
      <w:proofErr w:type="spellStart"/>
      <w:r w:rsidR="00887D3E" w:rsidRPr="0048208D">
        <w:rPr>
          <w:color w:val="000000" w:themeColor="text1"/>
          <w:szCs w:val="24"/>
        </w:rPr>
        <w:t>Sallaberry</w:t>
      </w:r>
      <w:proofErr w:type="spellEnd"/>
      <w:r w:rsidR="00887D3E">
        <w:rPr>
          <w:color w:val="000000" w:themeColor="text1"/>
          <w:szCs w:val="24"/>
        </w:rPr>
        <w:t xml:space="preserve">, </w:t>
      </w:r>
      <w:proofErr w:type="spellStart"/>
      <w:r w:rsidR="00887D3E" w:rsidRPr="0048208D">
        <w:rPr>
          <w:color w:val="000000" w:themeColor="text1"/>
          <w:szCs w:val="24"/>
        </w:rPr>
        <w:t>Quaesner</w:t>
      </w:r>
      <w:proofErr w:type="spellEnd"/>
      <w:r w:rsidR="00887D3E">
        <w:rPr>
          <w:color w:val="000000" w:themeColor="text1"/>
          <w:szCs w:val="24"/>
        </w:rPr>
        <w:t>, &amp;</w:t>
      </w:r>
      <w:r w:rsidR="00887D3E" w:rsidRPr="0048208D">
        <w:rPr>
          <w:color w:val="000000" w:themeColor="text1"/>
          <w:szCs w:val="24"/>
        </w:rPr>
        <w:t xml:space="preserve"> Costa, </w:t>
      </w:r>
      <w:r w:rsidRPr="0048208D">
        <w:rPr>
          <w:color w:val="000000" w:themeColor="text1"/>
          <w:szCs w:val="24"/>
        </w:rPr>
        <w:t>2017).</w:t>
      </w:r>
    </w:p>
    <w:p w14:paraId="5E396508" w14:textId="238DFC69" w:rsidR="00736B7D" w:rsidRPr="0048208D" w:rsidRDefault="00736B7D" w:rsidP="00736B7D">
      <w:pPr>
        <w:ind w:firstLine="708"/>
        <w:rPr>
          <w:color w:val="000000" w:themeColor="text1"/>
          <w:szCs w:val="24"/>
        </w:rPr>
      </w:pPr>
      <w:r w:rsidRPr="0048208D">
        <w:rPr>
          <w:color w:val="000000" w:themeColor="text1"/>
          <w:szCs w:val="24"/>
        </w:rPr>
        <w:t xml:space="preserve">Para que o esquema de corrupção funcionasse, era necessário que somente as empresas envolvidas no cartel participassem da licitação, por isso era conveniente para os funcionários restringirem os convidados da licitação, convidando apenas a ganhadora e os participantes do cartel pré-definidos, em um jogo de cartas marcadas. Após o processo licitatório, eram feitas negociações diretas e sem justificativas plausíveis, assinavam contratos e aditivos com valores superfaturados, contratavam obras </w:t>
      </w:r>
      <w:r w:rsidR="007629BE">
        <w:rPr>
          <w:color w:val="000000" w:themeColor="text1"/>
          <w:szCs w:val="24"/>
        </w:rPr>
        <w:t xml:space="preserve">em </w:t>
      </w:r>
      <w:r w:rsidRPr="0048208D">
        <w:rPr>
          <w:color w:val="000000" w:themeColor="text1"/>
          <w:szCs w:val="24"/>
        </w:rPr>
        <w:t>caráter de urgência para elevar o preço da propina (MPF, 2018).</w:t>
      </w:r>
    </w:p>
    <w:p w14:paraId="45D7F421" w14:textId="77777777" w:rsidR="002F79A6" w:rsidRPr="007859FC" w:rsidRDefault="00736B7D" w:rsidP="002F79A6">
      <w:pPr>
        <w:rPr>
          <w:color w:val="000000" w:themeColor="text1"/>
          <w:szCs w:val="24"/>
          <w:shd w:val="clear" w:color="auto" w:fill="FFFFFF"/>
        </w:rPr>
      </w:pPr>
      <w:r w:rsidRPr="0048208D">
        <w:rPr>
          <w:color w:val="000000" w:themeColor="text1"/>
          <w:szCs w:val="24"/>
          <w:shd w:val="clear" w:color="auto" w:fill="FFFFFF"/>
        </w:rPr>
        <w:t xml:space="preserve">As ações da </w:t>
      </w:r>
      <w:r w:rsidR="004D3095">
        <w:rPr>
          <w:color w:val="000000" w:themeColor="text1"/>
          <w:szCs w:val="24"/>
          <w:shd w:val="clear" w:color="auto" w:fill="FFFFFF"/>
        </w:rPr>
        <w:t>Lava Jato</w:t>
      </w:r>
      <w:r w:rsidRPr="0048208D">
        <w:rPr>
          <w:color w:val="000000" w:themeColor="text1"/>
          <w:szCs w:val="24"/>
          <w:shd w:val="clear" w:color="auto" w:fill="FFFFFF"/>
        </w:rPr>
        <w:t xml:space="preserve"> são divididas em fases, conforme apresentado n</w:t>
      </w:r>
      <w:r w:rsidR="00D91454">
        <w:rPr>
          <w:color w:val="000000" w:themeColor="text1"/>
          <w:szCs w:val="24"/>
          <w:shd w:val="clear" w:color="auto" w:fill="FFFFFF"/>
        </w:rPr>
        <w:t>a Tabela</w:t>
      </w:r>
      <w:r w:rsidRPr="0048208D">
        <w:rPr>
          <w:color w:val="000000" w:themeColor="text1"/>
          <w:szCs w:val="24"/>
          <w:shd w:val="clear" w:color="auto" w:fill="FFFFFF"/>
        </w:rPr>
        <w:t xml:space="preserve"> </w:t>
      </w:r>
      <w:r w:rsidR="00955252">
        <w:rPr>
          <w:color w:val="000000" w:themeColor="text1"/>
          <w:szCs w:val="24"/>
          <w:shd w:val="clear" w:color="auto" w:fill="FFFFFF"/>
        </w:rPr>
        <w:t>1</w:t>
      </w:r>
      <w:r w:rsidRPr="0048208D">
        <w:rPr>
          <w:color w:val="000000" w:themeColor="text1"/>
          <w:szCs w:val="24"/>
          <w:shd w:val="clear" w:color="auto" w:fill="FFFFFF"/>
        </w:rPr>
        <w:t xml:space="preserve">, desde o início da operação em 2014 até dezembro de 2018, </w:t>
      </w:r>
      <w:r w:rsidR="00887D3E">
        <w:rPr>
          <w:color w:val="000000" w:themeColor="text1"/>
          <w:szCs w:val="24"/>
          <w:shd w:val="clear" w:color="auto" w:fill="FFFFFF"/>
        </w:rPr>
        <w:t>as etapas</w:t>
      </w:r>
      <w:r w:rsidRPr="0048208D">
        <w:rPr>
          <w:color w:val="000000" w:themeColor="text1"/>
          <w:szCs w:val="24"/>
          <w:shd w:val="clear" w:color="auto" w:fill="FFFFFF"/>
        </w:rPr>
        <w:t xml:space="preserve"> est</w:t>
      </w:r>
      <w:r w:rsidR="00887D3E">
        <w:rPr>
          <w:color w:val="000000" w:themeColor="text1"/>
          <w:szCs w:val="24"/>
          <w:shd w:val="clear" w:color="auto" w:fill="FFFFFF"/>
        </w:rPr>
        <w:t>ão</w:t>
      </w:r>
      <w:r w:rsidRPr="0048208D">
        <w:rPr>
          <w:color w:val="000000" w:themeColor="text1"/>
          <w:szCs w:val="24"/>
          <w:shd w:val="clear" w:color="auto" w:fill="FFFFFF"/>
        </w:rPr>
        <w:t xml:space="preserve"> diretamente </w:t>
      </w:r>
      <w:r w:rsidR="00887D3E">
        <w:rPr>
          <w:color w:val="000000" w:themeColor="text1"/>
          <w:szCs w:val="24"/>
          <w:shd w:val="clear" w:color="auto" w:fill="FFFFFF"/>
        </w:rPr>
        <w:t>relacionadas</w:t>
      </w:r>
      <w:r w:rsidRPr="0048208D">
        <w:rPr>
          <w:color w:val="000000" w:themeColor="text1"/>
          <w:szCs w:val="24"/>
          <w:shd w:val="clear" w:color="auto" w:fill="FFFFFF"/>
        </w:rPr>
        <w:t xml:space="preserve"> às investigações de fraudes, lavagem de dinheiro, pagamento de propinas, formação de cartel, os envolvidos nos escândalos e outros desdobramentos da operação</w:t>
      </w:r>
      <w:r w:rsidRPr="007859FC">
        <w:rPr>
          <w:color w:val="000000" w:themeColor="text1"/>
          <w:szCs w:val="24"/>
          <w:shd w:val="clear" w:color="auto" w:fill="FFFFFF"/>
        </w:rPr>
        <w:t xml:space="preserve">. </w:t>
      </w:r>
      <w:r w:rsidR="002F79A6" w:rsidRPr="007859FC">
        <w:rPr>
          <w:color w:val="000000" w:themeColor="text1"/>
          <w:szCs w:val="24"/>
          <w:shd w:val="clear" w:color="auto" w:fill="FFFFFF"/>
        </w:rPr>
        <w:t>A operação que iniciou investigando crimes financeiros com doleiros, e identificou movimentação de dinheiro ilícito com a Petrobras, ao aprofundar as investigações descobriu um vasto esquema de corrupção, com empreiteiras e empresas de outros setores (MPF, 2018).</w:t>
      </w:r>
    </w:p>
    <w:p w14:paraId="1ECAA86A" w14:textId="527A4B91" w:rsidR="00736B7D" w:rsidRPr="007859FC" w:rsidRDefault="00736B7D" w:rsidP="00736B7D">
      <w:pPr>
        <w:rPr>
          <w:color w:val="000000" w:themeColor="text1"/>
          <w:szCs w:val="24"/>
          <w:shd w:val="clear" w:color="auto" w:fill="FFFFFF"/>
        </w:rPr>
      </w:pPr>
    </w:p>
    <w:p w14:paraId="5FABA0AE" w14:textId="1CB27699" w:rsidR="00736B7D" w:rsidRPr="007859FC" w:rsidRDefault="00D91454" w:rsidP="00D91454">
      <w:pPr>
        <w:spacing w:before="120"/>
        <w:ind w:firstLine="0"/>
        <w:rPr>
          <w:b/>
          <w:color w:val="000000" w:themeColor="text1"/>
          <w:sz w:val="20"/>
          <w:szCs w:val="24"/>
          <w:shd w:val="clear" w:color="auto" w:fill="FFFFFF"/>
        </w:rPr>
      </w:pPr>
      <w:r>
        <w:rPr>
          <w:b/>
          <w:color w:val="000000" w:themeColor="text1"/>
          <w:sz w:val="20"/>
          <w:szCs w:val="24"/>
          <w:shd w:val="clear" w:color="auto" w:fill="FFFFFF"/>
        </w:rPr>
        <w:lastRenderedPageBreak/>
        <w:t>Tabela</w:t>
      </w:r>
      <w:r w:rsidR="00736B7D" w:rsidRPr="007859FC">
        <w:rPr>
          <w:b/>
          <w:color w:val="000000" w:themeColor="text1"/>
          <w:sz w:val="20"/>
          <w:szCs w:val="24"/>
          <w:shd w:val="clear" w:color="auto" w:fill="FFFFFF"/>
        </w:rPr>
        <w:t xml:space="preserve"> </w:t>
      </w:r>
      <w:r w:rsidR="00955252">
        <w:rPr>
          <w:b/>
          <w:color w:val="000000" w:themeColor="text1"/>
          <w:sz w:val="20"/>
          <w:szCs w:val="24"/>
          <w:shd w:val="clear" w:color="auto" w:fill="FFFFFF"/>
        </w:rPr>
        <w:t>1</w:t>
      </w:r>
      <w:r w:rsidR="00736B7D" w:rsidRPr="007859FC">
        <w:rPr>
          <w:b/>
          <w:color w:val="000000" w:themeColor="text1"/>
          <w:sz w:val="20"/>
          <w:szCs w:val="24"/>
          <w:shd w:val="clear" w:color="auto" w:fill="FFFFFF"/>
        </w:rPr>
        <w:t xml:space="preserve">: Linha do tempo Operação </w:t>
      </w:r>
      <w:r w:rsidR="004D3095">
        <w:rPr>
          <w:b/>
          <w:color w:val="000000" w:themeColor="text1"/>
          <w:sz w:val="20"/>
          <w:szCs w:val="24"/>
          <w:shd w:val="clear" w:color="auto" w:fill="FFFFFF"/>
        </w:rPr>
        <w:t>Lava Jato</w:t>
      </w:r>
    </w:p>
    <w:tbl>
      <w:tblPr>
        <w:tblStyle w:val="Tabelacomgrade"/>
        <w:tblW w:w="9351" w:type="dxa"/>
        <w:tblLook w:val="04A0" w:firstRow="1" w:lastRow="0" w:firstColumn="1" w:lastColumn="0" w:noHBand="0" w:noVBand="1"/>
      </w:tblPr>
      <w:tblGrid>
        <w:gridCol w:w="704"/>
        <w:gridCol w:w="8647"/>
      </w:tblGrid>
      <w:tr w:rsidR="00736B7D" w:rsidRPr="007D58F1" w14:paraId="456378D2" w14:textId="77777777" w:rsidTr="00DC4CF5">
        <w:tc>
          <w:tcPr>
            <w:tcW w:w="704" w:type="dxa"/>
          </w:tcPr>
          <w:p w14:paraId="56401990" w14:textId="77777777" w:rsidR="00736B7D" w:rsidRPr="007D58F1" w:rsidRDefault="00736B7D" w:rsidP="00D91454">
            <w:pPr>
              <w:ind w:firstLine="0"/>
              <w:rPr>
                <w:rFonts w:ascii="Times New Roman" w:hAnsi="Times New Roman"/>
                <w:b/>
                <w:color w:val="000000" w:themeColor="text1"/>
                <w:sz w:val="20"/>
                <w:shd w:val="clear" w:color="auto" w:fill="FFFFFF"/>
              </w:rPr>
            </w:pPr>
            <w:r w:rsidRPr="007D58F1">
              <w:rPr>
                <w:rFonts w:ascii="Times New Roman" w:hAnsi="Times New Roman"/>
                <w:b/>
                <w:color w:val="000000" w:themeColor="text1"/>
                <w:sz w:val="20"/>
                <w:shd w:val="clear" w:color="auto" w:fill="FFFFFF"/>
              </w:rPr>
              <w:t>Ano</w:t>
            </w:r>
          </w:p>
        </w:tc>
        <w:tc>
          <w:tcPr>
            <w:tcW w:w="8647" w:type="dxa"/>
          </w:tcPr>
          <w:p w14:paraId="742187CB" w14:textId="77777777" w:rsidR="00736B7D" w:rsidRPr="007D58F1" w:rsidRDefault="00736B7D" w:rsidP="00E92C38">
            <w:pPr>
              <w:jc w:val="center"/>
              <w:rPr>
                <w:rFonts w:ascii="Times New Roman" w:hAnsi="Times New Roman"/>
                <w:b/>
                <w:color w:val="000000" w:themeColor="text1"/>
                <w:sz w:val="20"/>
                <w:shd w:val="clear" w:color="auto" w:fill="FFFFFF"/>
              </w:rPr>
            </w:pPr>
            <w:r w:rsidRPr="007D58F1">
              <w:rPr>
                <w:rFonts w:ascii="Times New Roman" w:hAnsi="Times New Roman"/>
                <w:b/>
                <w:color w:val="000000" w:themeColor="text1"/>
                <w:sz w:val="20"/>
                <w:shd w:val="clear" w:color="auto" w:fill="FFFFFF"/>
              </w:rPr>
              <w:t>Principais Acontecimentos</w:t>
            </w:r>
          </w:p>
        </w:tc>
      </w:tr>
      <w:tr w:rsidR="00736B7D" w:rsidRPr="007D58F1" w14:paraId="10F93851" w14:textId="77777777" w:rsidTr="00DC4CF5">
        <w:tc>
          <w:tcPr>
            <w:tcW w:w="704" w:type="dxa"/>
          </w:tcPr>
          <w:p w14:paraId="141EF6B8" w14:textId="77777777" w:rsidR="00736B7D" w:rsidRPr="007D58F1" w:rsidRDefault="00736B7D" w:rsidP="00D91454">
            <w:pPr>
              <w:ind w:firstLine="0"/>
              <w:rPr>
                <w:rFonts w:ascii="Times New Roman" w:hAnsi="Times New Roman"/>
                <w:color w:val="000000" w:themeColor="text1"/>
                <w:sz w:val="20"/>
                <w:shd w:val="clear" w:color="auto" w:fill="FFFFFF"/>
              </w:rPr>
            </w:pPr>
            <w:r w:rsidRPr="007D58F1">
              <w:rPr>
                <w:rFonts w:ascii="Times New Roman" w:hAnsi="Times New Roman"/>
                <w:color w:val="000000" w:themeColor="text1"/>
                <w:sz w:val="20"/>
                <w:shd w:val="clear" w:color="auto" w:fill="FFFFFF"/>
              </w:rPr>
              <w:t>2014</w:t>
            </w:r>
          </w:p>
        </w:tc>
        <w:tc>
          <w:tcPr>
            <w:tcW w:w="8647" w:type="dxa"/>
          </w:tcPr>
          <w:p w14:paraId="02EBAFF0" w14:textId="77777777" w:rsidR="00736B7D" w:rsidRPr="007D58F1" w:rsidRDefault="00736B7D" w:rsidP="00D91454">
            <w:pPr>
              <w:ind w:firstLine="0"/>
              <w:rPr>
                <w:rFonts w:ascii="Times New Roman" w:hAnsi="Times New Roman"/>
                <w:b/>
                <w:color w:val="000000" w:themeColor="text1"/>
                <w:sz w:val="20"/>
                <w:shd w:val="clear" w:color="auto" w:fill="FFFFFF"/>
              </w:rPr>
            </w:pPr>
            <w:r w:rsidRPr="007D58F1">
              <w:rPr>
                <w:rFonts w:ascii="Times New Roman" w:hAnsi="Times New Roman"/>
                <w:b/>
                <w:color w:val="000000" w:themeColor="text1"/>
                <w:sz w:val="20"/>
                <w:shd w:val="clear" w:color="auto" w:fill="FFFFFF"/>
              </w:rPr>
              <w:t xml:space="preserve">Fases de investigações: 1° à 7°. </w:t>
            </w:r>
          </w:p>
          <w:p w14:paraId="26C93B6B" w14:textId="3A4EC94D" w:rsidR="00736B7D" w:rsidRPr="007D58F1" w:rsidRDefault="00736B7D" w:rsidP="00D91454">
            <w:pPr>
              <w:ind w:firstLine="0"/>
              <w:rPr>
                <w:rFonts w:ascii="Times New Roman" w:hAnsi="Times New Roman"/>
                <w:color w:val="000000" w:themeColor="text1"/>
                <w:sz w:val="20"/>
                <w:shd w:val="clear" w:color="auto" w:fill="FFFFFF"/>
              </w:rPr>
            </w:pPr>
            <w:r w:rsidRPr="007D58F1">
              <w:rPr>
                <w:rFonts w:ascii="Times New Roman" w:hAnsi="Times New Roman"/>
                <w:color w:val="000000" w:themeColor="text1"/>
                <w:sz w:val="20"/>
                <w:shd w:val="clear" w:color="auto" w:fill="FFFFFF"/>
              </w:rPr>
              <w:t xml:space="preserve">Início da operação. </w:t>
            </w:r>
            <w:r w:rsidR="00DC4CF5">
              <w:rPr>
                <w:rFonts w:ascii="Times New Roman" w:hAnsi="Times New Roman"/>
                <w:color w:val="000000" w:themeColor="text1"/>
                <w:sz w:val="20"/>
                <w:shd w:val="clear" w:color="auto" w:fill="FFFFFF"/>
              </w:rPr>
              <w:t>I</w:t>
            </w:r>
            <w:r w:rsidRPr="007D58F1">
              <w:rPr>
                <w:rFonts w:ascii="Times New Roman" w:hAnsi="Times New Roman"/>
                <w:color w:val="000000" w:themeColor="text1"/>
                <w:sz w:val="20"/>
                <w:shd w:val="clear" w:color="auto" w:fill="FFFFFF"/>
              </w:rPr>
              <w:t xml:space="preserve"> instalada a CPI da Petrobras. Inicia</w:t>
            </w:r>
            <w:r w:rsidR="00DC4CF5">
              <w:rPr>
                <w:rFonts w:ascii="Times New Roman" w:hAnsi="Times New Roman"/>
                <w:color w:val="000000" w:themeColor="text1"/>
                <w:sz w:val="20"/>
                <w:shd w:val="clear" w:color="auto" w:fill="FFFFFF"/>
              </w:rPr>
              <w:t>m</w:t>
            </w:r>
            <w:r w:rsidRPr="007D58F1">
              <w:rPr>
                <w:rFonts w:ascii="Times New Roman" w:hAnsi="Times New Roman"/>
                <w:color w:val="000000" w:themeColor="text1"/>
                <w:sz w:val="20"/>
                <w:shd w:val="clear" w:color="auto" w:fill="FFFFFF"/>
              </w:rPr>
              <w:t xml:space="preserve"> as primeiras delações premiadas</w:t>
            </w:r>
            <w:r w:rsidR="00DC4CF5">
              <w:rPr>
                <w:rFonts w:ascii="Times New Roman" w:hAnsi="Times New Roman"/>
                <w:color w:val="000000" w:themeColor="text1"/>
                <w:sz w:val="20"/>
                <w:shd w:val="clear" w:color="auto" w:fill="FFFFFF"/>
              </w:rPr>
              <w:t xml:space="preserve">. </w:t>
            </w:r>
            <w:r w:rsidRPr="007D58F1">
              <w:rPr>
                <w:rFonts w:ascii="Times New Roman" w:hAnsi="Times New Roman"/>
                <w:color w:val="000000" w:themeColor="text1"/>
                <w:sz w:val="20"/>
                <w:shd w:val="clear" w:color="auto" w:fill="FFFFFF"/>
              </w:rPr>
              <w:t>As empresas Camargo Corrêa, OAS, Queiroz Galvão e Odebrecht passam a ser investigadas por formação de cartel e desvio de recursos públicos.</w:t>
            </w:r>
          </w:p>
        </w:tc>
      </w:tr>
      <w:tr w:rsidR="00736B7D" w:rsidRPr="007D58F1" w14:paraId="1B073A72" w14:textId="77777777" w:rsidTr="00DC4CF5">
        <w:tc>
          <w:tcPr>
            <w:tcW w:w="704" w:type="dxa"/>
          </w:tcPr>
          <w:p w14:paraId="43F227A2" w14:textId="77777777" w:rsidR="00736B7D" w:rsidRPr="007D58F1" w:rsidRDefault="00736B7D" w:rsidP="00D91454">
            <w:pPr>
              <w:ind w:firstLine="0"/>
              <w:rPr>
                <w:rFonts w:ascii="Times New Roman" w:hAnsi="Times New Roman"/>
                <w:color w:val="000000" w:themeColor="text1"/>
                <w:sz w:val="20"/>
                <w:shd w:val="clear" w:color="auto" w:fill="FFFFFF"/>
              </w:rPr>
            </w:pPr>
            <w:r w:rsidRPr="007D58F1">
              <w:rPr>
                <w:rFonts w:ascii="Times New Roman" w:hAnsi="Times New Roman"/>
                <w:color w:val="000000" w:themeColor="text1"/>
                <w:sz w:val="20"/>
                <w:shd w:val="clear" w:color="auto" w:fill="FFFFFF"/>
              </w:rPr>
              <w:t>2015</w:t>
            </w:r>
          </w:p>
        </w:tc>
        <w:tc>
          <w:tcPr>
            <w:tcW w:w="8647" w:type="dxa"/>
          </w:tcPr>
          <w:p w14:paraId="3BE75223" w14:textId="77777777" w:rsidR="00736B7D" w:rsidRPr="007D58F1" w:rsidRDefault="00736B7D" w:rsidP="00D91454">
            <w:pPr>
              <w:ind w:firstLine="0"/>
              <w:rPr>
                <w:rFonts w:ascii="Times New Roman" w:hAnsi="Times New Roman"/>
                <w:b/>
                <w:color w:val="000000" w:themeColor="text1"/>
                <w:sz w:val="20"/>
                <w:shd w:val="clear" w:color="auto" w:fill="FFFFFF"/>
              </w:rPr>
            </w:pPr>
            <w:r w:rsidRPr="007D58F1">
              <w:rPr>
                <w:rFonts w:ascii="Times New Roman" w:hAnsi="Times New Roman"/>
                <w:b/>
                <w:color w:val="000000" w:themeColor="text1"/>
                <w:sz w:val="20"/>
                <w:shd w:val="clear" w:color="auto" w:fill="FFFFFF"/>
              </w:rPr>
              <w:t xml:space="preserve">Fases de investigações: 8° à 21°. </w:t>
            </w:r>
          </w:p>
          <w:p w14:paraId="3446CBDA" w14:textId="49399EA1" w:rsidR="00736B7D" w:rsidRPr="007D58F1" w:rsidRDefault="00736B7D" w:rsidP="00D91454">
            <w:pPr>
              <w:ind w:firstLine="0"/>
              <w:rPr>
                <w:rFonts w:ascii="Times New Roman" w:hAnsi="Times New Roman"/>
                <w:color w:val="000000" w:themeColor="text1"/>
                <w:sz w:val="20"/>
                <w:shd w:val="clear" w:color="auto" w:fill="FFFFFF"/>
              </w:rPr>
            </w:pPr>
            <w:r w:rsidRPr="007D58F1">
              <w:rPr>
                <w:rFonts w:ascii="Times New Roman" w:hAnsi="Times New Roman"/>
                <w:color w:val="000000" w:themeColor="text1"/>
                <w:sz w:val="20"/>
                <w:shd w:val="clear" w:color="auto" w:fill="FFFFFF"/>
              </w:rPr>
              <w:t>Petrobras</w:t>
            </w:r>
            <w:r w:rsidR="00DC4CF5">
              <w:rPr>
                <w:rFonts w:ascii="Times New Roman" w:hAnsi="Times New Roman"/>
                <w:color w:val="000000" w:themeColor="text1"/>
                <w:sz w:val="20"/>
                <w:shd w:val="clear" w:color="auto" w:fill="FFFFFF"/>
              </w:rPr>
              <w:t xml:space="preserve"> </w:t>
            </w:r>
            <w:r w:rsidRPr="007D58F1">
              <w:rPr>
                <w:rFonts w:ascii="Times New Roman" w:hAnsi="Times New Roman"/>
                <w:color w:val="000000" w:themeColor="text1"/>
                <w:sz w:val="20"/>
                <w:shd w:val="clear" w:color="auto" w:fill="FFFFFF"/>
              </w:rPr>
              <w:t xml:space="preserve">anuncia perda de R$ 88,6 milhões devido a corrupção. </w:t>
            </w:r>
            <w:r w:rsidR="00DC4CF5">
              <w:rPr>
                <w:rFonts w:ascii="Times New Roman" w:hAnsi="Times New Roman"/>
                <w:color w:val="000000" w:themeColor="text1"/>
                <w:sz w:val="20"/>
                <w:shd w:val="clear" w:color="auto" w:fill="FFFFFF"/>
              </w:rPr>
              <w:t xml:space="preserve">A empresa </w:t>
            </w:r>
            <w:r w:rsidRPr="007D58F1">
              <w:rPr>
                <w:rFonts w:ascii="Times New Roman" w:hAnsi="Times New Roman"/>
                <w:color w:val="000000" w:themeColor="text1"/>
                <w:sz w:val="20"/>
                <w:shd w:val="clear" w:color="auto" w:fill="FFFFFF"/>
              </w:rPr>
              <w:t xml:space="preserve">Camargo Corrêa, admite </w:t>
            </w:r>
            <w:r w:rsidR="00DC4CF5">
              <w:rPr>
                <w:rFonts w:ascii="Times New Roman" w:hAnsi="Times New Roman"/>
                <w:color w:val="000000" w:themeColor="text1"/>
                <w:sz w:val="20"/>
                <w:shd w:val="clear" w:color="auto" w:fill="FFFFFF"/>
              </w:rPr>
              <w:t>que</w:t>
            </w:r>
            <w:r w:rsidRPr="007D58F1">
              <w:rPr>
                <w:rFonts w:ascii="Times New Roman" w:hAnsi="Times New Roman"/>
                <w:color w:val="000000" w:themeColor="text1"/>
                <w:sz w:val="20"/>
                <w:shd w:val="clear" w:color="auto" w:fill="FFFFFF"/>
              </w:rPr>
              <w:t xml:space="preserve"> pagou R$ 110 milhões em propinas juntamente com a Petrobras e fecha acordo para delação premiada. Prisão dos presidentes das empresas Odebrecht e Andrade Gutierrez, suspeitos de corrupção e fraudes em licitações na Petrobras. Investigação do pagamento de propina a empregados da estatal Eletronuclear.</w:t>
            </w:r>
          </w:p>
        </w:tc>
      </w:tr>
      <w:tr w:rsidR="00736B7D" w:rsidRPr="007D58F1" w14:paraId="2AD9A9B0" w14:textId="77777777" w:rsidTr="00DC4CF5">
        <w:tc>
          <w:tcPr>
            <w:tcW w:w="704" w:type="dxa"/>
          </w:tcPr>
          <w:p w14:paraId="7F59EF7E" w14:textId="77777777" w:rsidR="00736B7D" w:rsidRPr="007D58F1" w:rsidRDefault="00736B7D" w:rsidP="00DC4CF5">
            <w:pPr>
              <w:ind w:firstLine="0"/>
              <w:rPr>
                <w:rFonts w:ascii="Times New Roman" w:hAnsi="Times New Roman"/>
                <w:color w:val="000000" w:themeColor="text1"/>
                <w:sz w:val="20"/>
                <w:shd w:val="clear" w:color="auto" w:fill="FFFFFF"/>
              </w:rPr>
            </w:pPr>
            <w:r w:rsidRPr="007D58F1">
              <w:rPr>
                <w:rFonts w:ascii="Times New Roman" w:hAnsi="Times New Roman"/>
                <w:color w:val="000000" w:themeColor="text1"/>
                <w:sz w:val="20"/>
                <w:shd w:val="clear" w:color="auto" w:fill="FFFFFF"/>
              </w:rPr>
              <w:t>2016</w:t>
            </w:r>
          </w:p>
        </w:tc>
        <w:tc>
          <w:tcPr>
            <w:tcW w:w="8647" w:type="dxa"/>
          </w:tcPr>
          <w:p w14:paraId="3845AAF0" w14:textId="77777777" w:rsidR="00736B7D" w:rsidRPr="007D58F1" w:rsidRDefault="00736B7D" w:rsidP="00D91454">
            <w:pPr>
              <w:ind w:firstLine="0"/>
              <w:rPr>
                <w:rFonts w:ascii="Times New Roman" w:hAnsi="Times New Roman"/>
                <w:b/>
                <w:color w:val="000000" w:themeColor="text1"/>
                <w:sz w:val="20"/>
                <w:shd w:val="clear" w:color="auto" w:fill="FFFFFF"/>
              </w:rPr>
            </w:pPr>
            <w:r w:rsidRPr="007D58F1">
              <w:rPr>
                <w:rFonts w:ascii="Times New Roman" w:hAnsi="Times New Roman"/>
                <w:b/>
                <w:color w:val="000000" w:themeColor="text1"/>
                <w:sz w:val="20"/>
                <w:shd w:val="clear" w:color="auto" w:fill="FFFFFF"/>
              </w:rPr>
              <w:t xml:space="preserve">Fases de investigações: 22° à 37°. </w:t>
            </w:r>
          </w:p>
          <w:p w14:paraId="63BB7DE5" w14:textId="46A82FD4" w:rsidR="00736B7D" w:rsidRPr="007D58F1" w:rsidRDefault="00736B7D" w:rsidP="00D91454">
            <w:pPr>
              <w:ind w:firstLine="0"/>
              <w:rPr>
                <w:rFonts w:ascii="Times New Roman" w:hAnsi="Times New Roman"/>
                <w:color w:val="000000" w:themeColor="text1"/>
                <w:sz w:val="20"/>
                <w:shd w:val="clear" w:color="auto" w:fill="FFFFFF"/>
              </w:rPr>
            </w:pPr>
            <w:r w:rsidRPr="007D58F1">
              <w:rPr>
                <w:rFonts w:ascii="Times New Roman" w:hAnsi="Times New Roman"/>
                <w:color w:val="000000" w:themeColor="text1"/>
                <w:sz w:val="20"/>
                <w:shd w:val="clear" w:color="auto" w:fill="FFFFFF"/>
              </w:rPr>
              <w:t xml:space="preserve">Começam as investigações das empresas </w:t>
            </w:r>
            <w:proofErr w:type="spellStart"/>
            <w:r w:rsidRPr="007D58F1">
              <w:rPr>
                <w:rFonts w:ascii="Times New Roman" w:hAnsi="Times New Roman"/>
                <w:i/>
                <w:color w:val="000000" w:themeColor="text1"/>
                <w:sz w:val="20"/>
                <w:shd w:val="clear" w:color="auto" w:fill="FFFFFF"/>
              </w:rPr>
              <w:t>offshores</w:t>
            </w:r>
            <w:proofErr w:type="spellEnd"/>
            <w:r w:rsidRPr="007D58F1">
              <w:rPr>
                <w:rFonts w:ascii="Times New Roman" w:hAnsi="Times New Roman"/>
                <w:i/>
                <w:color w:val="000000" w:themeColor="text1"/>
                <w:sz w:val="20"/>
                <w:shd w:val="clear" w:color="auto" w:fill="FFFFFF"/>
              </w:rPr>
              <w:t xml:space="preserve"> </w:t>
            </w:r>
            <w:r w:rsidRPr="007D58F1">
              <w:rPr>
                <w:rFonts w:ascii="Times New Roman" w:hAnsi="Times New Roman"/>
                <w:color w:val="000000" w:themeColor="text1"/>
                <w:sz w:val="20"/>
                <w:shd w:val="clear" w:color="auto" w:fill="FFFFFF"/>
              </w:rPr>
              <w:t xml:space="preserve">e de contas no exterior destinadas a disfarçar o pagamento de propinas. Odebrecht passa a ser investigada por pagamento de propinas a servidores públicos. A Justiça Federal homologa acordo de leniência entre a Andrade Gutierrez, devendo a empreiteira pagar 1 bilhão à União. </w:t>
            </w:r>
            <w:proofErr w:type="spellStart"/>
            <w:r w:rsidRPr="007D58F1">
              <w:rPr>
                <w:rFonts w:ascii="Times New Roman" w:hAnsi="Times New Roman"/>
                <w:color w:val="000000" w:themeColor="text1"/>
                <w:sz w:val="20"/>
                <w:shd w:val="clear" w:color="auto" w:fill="FFFFFF"/>
              </w:rPr>
              <w:t>Brasken</w:t>
            </w:r>
            <w:proofErr w:type="spellEnd"/>
            <w:r w:rsidRPr="007D58F1">
              <w:rPr>
                <w:rFonts w:ascii="Times New Roman" w:hAnsi="Times New Roman"/>
                <w:color w:val="000000" w:themeColor="text1"/>
                <w:sz w:val="20"/>
                <w:shd w:val="clear" w:color="auto" w:fill="FFFFFF"/>
              </w:rPr>
              <w:t xml:space="preserve">, assina contrato de leniência de R$ 3,1 bilhões. </w:t>
            </w:r>
          </w:p>
        </w:tc>
      </w:tr>
      <w:tr w:rsidR="00736B7D" w:rsidRPr="007D58F1" w14:paraId="671E429C" w14:textId="77777777" w:rsidTr="00DC4CF5">
        <w:tc>
          <w:tcPr>
            <w:tcW w:w="704" w:type="dxa"/>
          </w:tcPr>
          <w:p w14:paraId="7B4F8333" w14:textId="77777777" w:rsidR="00736B7D" w:rsidRPr="007D58F1" w:rsidRDefault="00736B7D" w:rsidP="00DC4CF5">
            <w:pPr>
              <w:ind w:firstLine="0"/>
              <w:rPr>
                <w:rFonts w:ascii="Times New Roman" w:hAnsi="Times New Roman"/>
                <w:color w:val="000000" w:themeColor="text1"/>
                <w:sz w:val="20"/>
                <w:shd w:val="clear" w:color="auto" w:fill="FFFFFF"/>
              </w:rPr>
            </w:pPr>
            <w:r w:rsidRPr="007D58F1">
              <w:rPr>
                <w:rFonts w:ascii="Times New Roman" w:hAnsi="Times New Roman"/>
                <w:color w:val="000000" w:themeColor="text1"/>
                <w:sz w:val="20"/>
                <w:shd w:val="clear" w:color="auto" w:fill="FFFFFF"/>
              </w:rPr>
              <w:t>2017</w:t>
            </w:r>
          </w:p>
        </w:tc>
        <w:tc>
          <w:tcPr>
            <w:tcW w:w="8647" w:type="dxa"/>
          </w:tcPr>
          <w:p w14:paraId="3469398F" w14:textId="77777777" w:rsidR="00736B7D" w:rsidRPr="007D58F1" w:rsidRDefault="00736B7D" w:rsidP="00D91454">
            <w:pPr>
              <w:ind w:firstLine="0"/>
              <w:rPr>
                <w:rFonts w:ascii="Times New Roman" w:hAnsi="Times New Roman"/>
                <w:b/>
                <w:color w:val="000000" w:themeColor="text1"/>
                <w:sz w:val="20"/>
                <w:shd w:val="clear" w:color="auto" w:fill="FFFFFF"/>
              </w:rPr>
            </w:pPr>
            <w:r w:rsidRPr="007D58F1">
              <w:rPr>
                <w:rFonts w:ascii="Times New Roman" w:hAnsi="Times New Roman"/>
                <w:b/>
                <w:color w:val="000000" w:themeColor="text1"/>
                <w:sz w:val="20"/>
                <w:shd w:val="clear" w:color="auto" w:fill="FFFFFF"/>
              </w:rPr>
              <w:t xml:space="preserve">Fases de investigações: 37° à 47°. </w:t>
            </w:r>
          </w:p>
          <w:p w14:paraId="43D1EA81" w14:textId="354CB97C" w:rsidR="00736B7D" w:rsidRPr="007D58F1" w:rsidRDefault="002505DA" w:rsidP="00D91454">
            <w:pPr>
              <w:ind w:firstLine="0"/>
              <w:rPr>
                <w:rFonts w:ascii="Times New Roman" w:hAnsi="Times New Roman"/>
                <w:color w:val="000000" w:themeColor="text1"/>
                <w:sz w:val="20"/>
                <w:shd w:val="clear" w:color="auto" w:fill="FFFFFF"/>
              </w:rPr>
            </w:pPr>
            <w:r>
              <w:rPr>
                <w:rFonts w:ascii="Times New Roman" w:hAnsi="Times New Roman"/>
                <w:color w:val="000000" w:themeColor="text1"/>
                <w:sz w:val="20"/>
                <w:shd w:val="clear" w:color="auto" w:fill="FFFFFF"/>
              </w:rPr>
              <w:t xml:space="preserve">Houve </w:t>
            </w:r>
            <w:r w:rsidR="00736B7D" w:rsidRPr="007D58F1">
              <w:rPr>
                <w:rFonts w:ascii="Times New Roman" w:hAnsi="Times New Roman"/>
                <w:color w:val="000000" w:themeColor="text1"/>
                <w:sz w:val="20"/>
                <w:shd w:val="clear" w:color="auto" w:fill="FFFFFF"/>
              </w:rPr>
              <w:t>homologa</w:t>
            </w:r>
            <w:r>
              <w:rPr>
                <w:rFonts w:ascii="Times New Roman" w:hAnsi="Times New Roman"/>
                <w:color w:val="000000" w:themeColor="text1"/>
                <w:sz w:val="20"/>
                <w:shd w:val="clear" w:color="auto" w:fill="FFFFFF"/>
              </w:rPr>
              <w:t>ção de</w:t>
            </w:r>
            <w:r w:rsidR="00736B7D" w:rsidRPr="007D58F1">
              <w:rPr>
                <w:rFonts w:ascii="Times New Roman" w:hAnsi="Times New Roman"/>
                <w:color w:val="000000" w:themeColor="text1"/>
                <w:sz w:val="20"/>
                <w:shd w:val="clear" w:color="auto" w:fill="FFFFFF"/>
              </w:rPr>
              <w:t xml:space="preserve"> 77 delações de executivos e </w:t>
            </w:r>
            <w:proofErr w:type="spellStart"/>
            <w:r w:rsidR="00736B7D" w:rsidRPr="007D58F1">
              <w:rPr>
                <w:rFonts w:ascii="Times New Roman" w:hAnsi="Times New Roman"/>
                <w:color w:val="000000" w:themeColor="text1"/>
                <w:sz w:val="20"/>
                <w:shd w:val="clear" w:color="auto" w:fill="FFFFFF"/>
              </w:rPr>
              <w:t>ex-executivos</w:t>
            </w:r>
            <w:proofErr w:type="spellEnd"/>
            <w:r w:rsidR="00736B7D" w:rsidRPr="007D58F1">
              <w:rPr>
                <w:rFonts w:ascii="Times New Roman" w:hAnsi="Times New Roman"/>
                <w:color w:val="000000" w:themeColor="text1"/>
                <w:sz w:val="20"/>
                <w:shd w:val="clear" w:color="auto" w:fill="FFFFFF"/>
              </w:rPr>
              <w:t xml:space="preserve"> da construtora Odebrecht. São investigados dois operadores ligados ao PMDB e apura o pagamento de US$ 40 milhões de propinas durante 10 anos, incluindo os gerentes da Petrobras. A PF investiga três ex-gerentes da Petrobras suspeitos de receberem mais de R$ 100 milhões em propinas de empreiteiras contratadas pela estatal. Investigação nos transportes do Rio de Janeiro. O MPF apura a suspeita de compra de voto para a escolha do Rio de Janeiro como sede da Olimpíada de 2016. Aponta pagamentos ilícitos no valor de R$ 95 milhões dos projetos de Petroquisa, braço petroquímico da Petrobras, e contratos envolvendo o navio-sonda Vitória. </w:t>
            </w:r>
          </w:p>
        </w:tc>
      </w:tr>
      <w:tr w:rsidR="00736B7D" w:rsidRPr="007D58F1" w14:paraId="763B8ED7" w14:textId="77777777" w:rsidTr="00DC4CF5">
        <w:tc>
          <w:tcPr>
            <w:tcW w:w="704" w:type="dxa"/>
          </w:tcPr>
          <w:p w14:paraId="0EEE3C28" w14:textId="77777777" w:rsidR="00736B7D" w:rsidRPr="007D58F1" w:rsidRDefault="00736B7D" w:rsidP="00DC4CF5">
            <w:pPr>
              <w:ind w:firstLine="0"/>
              <w:rPr>
                <w:rFonts w:ascii="Times New Roman" w:hAnsi="Times New Roman"/>
                <w:color w:val="000000" w:themeColor="text1"/>
                <w:sz w:val="20"/>
                <w:shd w:val="clear" w:color="auto" w:fill="FFFFFF"/>
              </w:rPr>
            </w:pPr>
            <w:r w:rsidRPr="007D58F1">
              <w:rPr>
                <w:rFonts w:ascii="Times New Roman" w:hAnsi="Times New Roman"/>
                <w:color w:val="000000" w:themeColor="text1"/>
                <w:sz w:val="20"/>
                <w:shd w:val="clear" w:color="auto" w:fill="FFFFFF"/>
              </w:rPr>
              <w:t>2018</w:t>
            </w:r>
          </w:p>
        </w:tc>
        <w:tc>
          <w:tcPr>
            <w:tcW w:w="8647" w:type="dxa"/>
          </w:tcPr>
          <w:p w14:paraId="64868A12" w14:textId="77777777" w:rsidR="00736B7D" w:rsidRPr="007D58F1" w:rsidRDefault="00736B7D" w:rsidP="00D91454">
            <w:pPr>
              <w:ind w:firstLine="0"/>
              <w:rPr>
                <w:rFonts w:ascii="Times New Roman" w:hAnsi="Times New Roman"/>
                <w:b/>
                <w:color w:val="000000" w:themeColor="text1"/>
                <w:sz w:val="20"/>
                <w:shd w:val="clear" w:color="auto" w:fill="FFFFFF"/>
              </w:rPr>
            </w:pPr>
            <w:r w:rsidRPr="007D58F1">
              <w:rPr>
                <w:rFonts w:ascii="Times New Roman" w:hAnsi="Times New Roman"/>
                <w:b/>
                <w:color w:val="000000" w:themeColor="text1"/>
                <w:sz w:val="20"/>
                <w:shd w:val="clear" w:color="auto" w:fill="FFFFFF"/>
              </w:rPr>
              <w:t xml:space="preserve">Fases de investigações: 47° à 55°. </w:t>
            </w:r>
          </w:p>
          <w:p w14:paraId="186BAF94" w14:textId="5115522B" w:rsidR="00736B7D" w:rsidRPr="007D58F1" w:rsidRDefault="00736B7D" w:rsidP="00D91454">
            <w:pPr>
              <w:ind w:firstLine="0"/>
              <w:rPr>
                <w:rFonts w:ascii="Times New Roman" w:hAnsi="Times New Roman"/>
                <w:color w:val="000000" w:themeColor="text1"/>
                <w:sz w:val="20"/>
                <w:shd w:val="clear" w:color="auto" w:fill="FFFFFF"/>
              </w:rPr>
            </w:pPr>
            <w:r w:rsidRPr="007D58F1">
              <w:rPr>
                <w:rFonts w:ascii="Times New Roman" w:hAnsi="Times New Roman"/>
                <w:color w:val="000000" w:themeColor="text1"/>
                <w:sz w:val="20"/>
                <w:shd w:val="clear" w:color="auto" w:fill="FFFFFF"/>
              </w:rPr>
              <w:t xml:space="preserve">As investigações apontam o pagamento de propina no valor de R$ 135 milhões em obras que envolveram a construção da Usina Belo Monte, no Pará. A PF investiga propina de R$ 200 milhões </w:t>
            </w:r>
            <w:r w:rsidR="00DC4CF5">
              <w:rPr>
                <w:rFonts w:ascii="Times New Roman" w:hAnsi="Times New Roman"/>
                <w:color w:val="000000" w:themeColor="text1"/>
                <w:sz w:val="20"/>
                <w:shd w:val="clear" w:color="auto" w:fill="FFFFFF"/>
              </w:rPr>
              <w:t>e um</w:t>
            </w:r>
            <w:r w:rsidRPr="007D58F1">
              <w:rPr>
                <w:rFonts w:ascii="Times New Roman" w:hAnsi="Times New Roman"/>
                <w:color w:val="000000" w:themeColor="text1"/>
                <w:sz w:val="20"/>
                <w:shd w:val="clear" w:color="auto" w:fill="FFFFFF"/>
              </w:rPr>
              <w:t xml:space="preserve"> contrato fraudulento de mais de US$ 825 milhões, firmado em 2010 pela Petrobras com a Odebrecht. Investigação de um possível esquema de evasão de divisas e de sonegação fiscal envolvendo pedras preciosas de uma empresa que movimentou R$ 44 milhões no banco paralelo. A PF cumpre 92 mandados em cidades do Paraná, Santa Catarina, Rio de Janeiro e São Paulo. A investigação mira os crimes relacionados à administração das rodovias federais no Paraná que fazem parte do chamado Anel da Integração. JBS</w:t>
            </w:r>
            <w:r w:rsidR="00DC4CF5">
              <w:rPr>
                <w:rFonts w:ascii="Times New Roman" w:hAnsi="Times New Roman"/>
                <w:color w:val="000000" w:themeColor="text1"/>
                <w:sz w:val="20"/>
                <w:shd w:val="clear" w:color="auto" w:fill="FFFFFF"/>
              </w:rPr>
              <w:t xml:space="preserve"> </w:t>
            </w:r>
            <w:r w:rsidRPr="007D58F1">
              <w:rPr>
                <w:rFonts w:ascii="Times New Roman" w:hAnsi="Times New Roman"/>
                <w:color w:val="000000" w:themeColor="text1"/>
                <w:sz w:val="20"/>
                <w:shd w:val="clear" w:color="auto" w:fill="FFFFFF"/>
              </w:rPr>
              <w:t>é investigada</w:t>
            </w:r>
            <w:r w:rsidR="00DC4CF5">
              <w:rPr>
                <w:rFonts w:ascii="Times New Roman" w:hAnsi="Times New Roman"/>
                <w:color w:val="000000" w:themeColor="text1"/>
                <w:sz w:val="20"/>
                <w:shd w:val="clear" w:color="auto" w:fill="FFFFFF"/>
              </w:rPr>
              <w:t xml:space="preserve"> e </w:t>
            </w:r>
            <w:r w:rsidRPr="007D58F1">
              <w:rPr>
                <w:rFonts w:ascii="Times New Roman" w:hAnsi="Times New Roman"/>
                <w:color w:val="000000" w:themeColor="text1"/>
                <w:sz w:val="20"/>
                <w:shd w:val="clear" w:color="auto" w:fill="FFFFFF"/>
              </w:rPr>
              <w:t xml:space="preserve">empresas internacionais de </w:t>
            </w:r>
            <w:r w:rsidRPr="00DC4CF5">
              <w:rPr>
                <w:rFonts w:ascii="Times New Roman" w:hAnsi="Times New Roman"/>
                <w:i/>
                <w:iCs/>
                <w:color w:val="000000" w:themeColor="text1"/>
                <w:sz w:val="20"/>
                <w:shd w:val="clear" w:color="auto" w:fill="FFFFFF"/>
              </w:rPr>
              <w:t>trading</w:t>
            </w:r>
            <w:r w:rsidRPr="007D58F1">
              <w:rPr>
                <w:rFonts w:ascii="Times New Roman" w:hAnsi="Times New Roman"/>
                <w:color w:val="000000" w:themeColor="text1"/>
                <w:sz w:val="20"/>
                <w:shd w:val="clear" w:color="auto" w:fill="FFFFFF"/>
              </w:rPr>
              <w:t xml:space="preserve"> que pagaram cerca de US$ 31 milhões de propina à funcionários da Petrobras entre 2009 e 2014. </w:t>
            </w:r>
          </w:p>
        </w:tc>
      </w:tr>
    </w:tbl>
    <w:p w14:paraId="65E3B248" w14:textId="77777777" w:rsidR="00736B7D" w:rsidRPr="007859FC" w:rsidRDefault="00736B7D" w:rsidP="00D91454">
      <w:pPr>
        <w:spacing w:after="120"/>
        <w:ind w:firstLine="0"/>
        <w:rPr>
          <w:color w:val="000000" w:themeColor="text1"/>
          <w:sz w:val="20"/>
          <w:szCs w:val="24"/>
          <w:shd w:val="clear" w:color="auto" w:fill="FFFFFF"/>
        </w:rPr>
      </w:pPr>
      <w:r w:rsidRPr="007D58F1">
        <w:rPr>
          <w:color w:val="000000" w:themeColor="text1"/>
          <w:sz w:val="20"/>
          <w:szCs w:val="24"/>
          <w:shd w:val="clear" w:color="auto" w:fill="FFFFFF"/>
        </w:rPr>
        <w:t>Fonte: Adaptado de MPF (2018).</w:t>
      </w:r>
      <w:r w:rsidRPr="007859FC">
        <w:rPr>
          <w:color w:val="000000" w:themeColor="text1"/>
          <w:szCs w:val="24"/>
          <w:shd w:val="clear" w:color="auto" w:fill="FFFFFF"/>
        </w:rPr>
        <w:t xml:space="preserve"> </w:t>
      </w:r>
    </w:p>
    <w:p w14:paraId="621708A9" w14:textId="6E0B62BE" w:rsidR="00736B7D" w:rsidRPr="007859FC" w:rsidRDefault="00736B7D" w:rsidP="00736B7D">
      <w:pPr>
        <w:rPr>
          <w:color w:val="000000" w:themeColor="text1"/>
          <w:szCs w:val="24"/>
          <w:shd w:val="clear" w:color="auto" w:fill="FFFFFF"/>
        </w:rPr>
      </w:pPr>
      <w:r w:rsidRPr="007859FC">
        <w:rPr>
          <w:color w:val="000000" w:themeColor="text1"/>
          <w:szCs w:val="24"/>
          <w:shd w:val="clear" w:color="auto" w:fill="FFFFFF"/>
        </w:rPr>
        <w:t xml:space="preserve">Atualmente a operação </w:t>
      </w:r>
      <w:r w:rsidR="002F79A6">
        <w:rPr>
          <w:color w:val="000000" w:themeColor="text1"/>
          <w:szCs w:val="24"/>
          <w:shd w:val="clear" w:color="auto" w:fill="FFFFFF"/>
        </w:rPr>
        <w:t xml:space="preserve">Lava Jato </w:t>
      </w:r>
      <w:r w:rsidRPr="007859FC">
        <w:rPr>
          <w:color w:val="000000" w:themeColor="text1"/>
          <w:szCs w:val="24"/>
          <w:shd w:val="clear" w:color="auto" w:fill="FFFFFF"/>
        </w:rPr>
        <w:t>está em sua 55° fase, e no decorrer das investigações foram instaurados mais de mil mandados de busca e apreensão, 176 acordos de colaboração premiada, 11 acordos de leniência, 215 condenações, 9 acusações de improbidade administrativa contra 50 pessoas físicas e 16 empresas por corrupção, crimes contra o sistema financeiro internacional, tráfico internacional de drogas, formação de organização criminosa e lavagem de ativos, sendo solicitado o ressarcimento de R$ 38,1 bilhões de reais incluindo multas (MPF, 2018).</w:t>
      </w:r>
    </w:p>
    <w:p w14:paraId="28B43933" w14:textId="77777777" w:rsidR="00736B7D" w:rsidRPr="007859FC" w:rsidRDefault="00736B7D" w:rsidP="00736B7D">
      <w:pPr>
        <w:rPr>
          <w:color w:val="000000" w:themeColor="text1"/>
          <w:szCs w:val="24"/>
          <w:shd w:val="clear" w:color="auto" w:fill="FFFFFF"/>
        </w:rPr>
      </w:pPr>
    </w:p>
    <w:p w14:paraId="25033265" w14:textId="77777777" w:rsidR="00736B7D" w:rsidRPr="007D58F1" w:rsidRDefault="00736B7D" w:rsidP="00D91454">
      <w:pPr>
        <w:ind w:firstLine="0"/>
        <w:rPr>
          <w:b/>
          <w:color w:val="000000" w:themeColor="text1"/>
          <w:szCs w:val="24"/>
          <w:shd w:val="clear" w:color="auto" w:fill="FFFFFF"/>
        </w:rPr>
      </w:pPr>
      <w:r w:rsidRPr="007D58F1">
        <w:rPr>
          <w:b/>
          <w:color w:val="000000" w:themeColor="text1"/>
          <w:szCs w:val="24"/>
          <w:shd w:val="clear" w:color="auto" w:fill="FFFFFF"/>
        </w:rPr>
        <w:t xml:space="preserve">2.3 Estudos correlatos </w:t>
      </w:r>
    </w:p>
    <w:p w14:paraId="06B11081" w14:textId="14934F15" w:rsidR="00736B7D" w:rsidRPr="007D58F1" w:rsidRDefault="00736B7D" w:rsidP="00736B7D">
      <w:pPr>
        <w:rPr>
          <w:color w:val="000000" w:themeColor="text1"/>
          <w:szCs w:val="24"/>
          <w:shd w:val="clear" w:color="auto" w:fill="FFFFFF"/>
        </w:rPr>
      </w:pPr>
      <w:r w:rsidRPr="007D58F1">
        <w:rPr>
          <w:color w:val="000000" w:themeColor="text1"/>
          <w:szCs w:val="24"/>
          <w:shd w:val="clear" w:color="auto" w:fill="FFFFFF"/>
        </w:rPr>
        <w:t xml:space="preserve">Os estudos correlatos evidenciam a importância da divulgação e da qualidade das informações contábeis bem como buscam verificar os impactos que as empresas tiveram após a divulgação dos escândalos de corrupção da Operação </w:t>
      </w:r>
      <w:r w:rsidR="004D3095">
        <w:rPr>
          <w:color w:val="000000" w:themeColor="text1"/>
          <w:szCs w:val="24"/>
          <w:shd w:val="clear" w:color="auto" w:fill="FFFFFF"/>
        </w:rPr>
        <w:t>Lava Jato</w:t>
      </w:r>
      <w:r w:rsidRPr="007D58F1">
        <w:rPr>
          <w:color w:val="000000" w:themeColor="text1"/>
          <w:szCs w:val="24"/>
          <w:shd w:val="clear" w:color="auto" w:fill="FFFFFF"/>
        </w:rPr>
        <w:t xml:space="preserve">. </w:t>
      </w:r>
    </w:p>
    <w:p w14:paraId="51D2E719" w14:textId="4831E466" w:rsidR="00736B7D" w:rsidRPr="007D58F1" w:rsidRDefault="00736B7D" w:rsidP="00736B7D">
      <w:pPr>
        <w:pStyle w:val="Default"/>
        <w:ind w:firstLine="708"/>
        <w:jc w:val="both"/>
        <w:rPr>
          <w:iCs/>
          <w:color w:val="000000" w:themeColor="text1"/>
        </w:rPr>
      </w:pPr>
      <w:proofErr w:type="spellStart"/>
      <w:r w:rsidRPr="007D58F1">
        <w:rPr>
          <w:iCs/>
          <w:color w:val="000000" w:themeColor="text1"/>
        </w:rPr>
        <w:lastRenderedPageBreak/>
        <w:t>Malacrida</w:t>
      </w:r>
      <w:proofErr w:type="spellEnd"/>
      <w:r w:rsidRPr="007D58F1">
        <w:rPr>
          <w:iCs/>
          <w:color w:val="000000" w:themeColor="text1"/>
        </w:rPr>
        <w:t xml:space="preserve"> e Yamamoto (2006) identificaram que os diferentes níveis de evidenciação influenciam diretamente na volatilidade média do retorno das ações, e as empresas que obtiveram maior percentual de evidenciação apresentaram maior retorno das ações, enquanto as empresas que apresentam menor evidenciação obtiveram menor retorno nas ações, confirmando a importância </w:t>
      </w:r>
      <w:r w:rsidR="004D3095">
        <w:rPr>
          <w:iCs/>
          <w:color w:val="000000" w:themeColor="text1"/>
        </w:rPr>
        <w:t>da</w:t>
      </w:r>
      <w:r w:rsidRPr="007D58F1">
        <w:rPr>
          <w:iCs/>
          <w:color w:val="000000" w:themeColor="text1"/>
        </w:rPr>
        <w:t xml:space="preserve"> evidenciação das demonstrações</w:t>
      </w:r>
      <w:r w:rsidR="004D3095">
        <w:rPr>
          <w:iCs/>
          <w:color w:val="000000" w:themeColor="text1"/>
        </w:rPr>
        <w:t xml:space="preserve">, da </w:t>
      </w:r>
      <w:r w:rsidRPr="007D58F1">
        <w:rPr>
          <w:iCs/>
          <w:color w:val="000000" w:themeColor="text1"/>
        </w:rPr>
        <w:t xml:space="preserve">transparência e </w:t>
      </w:r>
      <w:r w:rsidR="004D3095">
        <w:rPr>
          <w:iCs/>
          <w:color w:val="000000" w:themeColor="text1"/>
        </w:rPr>
        <w:t xml:space="preserve">da </w:t>
      </w:r>
      <w:r w:rsidRPr="007D58F1">
        <w:rPr>
          <w:iCs/>
          <w:color w:val="000000" w:themeColor="text1"/>
        </w:rPr>
        <w:t>confiabilidade</w:t>
      </w:r>
      <w:r w:rsidR="004D3095">
        <w:rPr>
          <w:iCs/>
          <w:color w:val="000000" w:themeColor="text1"/>
        </w:rPr>
        <w:t xml:space="preserve"> das informações.</w:t>
      </w:r>
      <w:r w:rsidRPr="007D58F1">
        <w:rPr>
          <w:iCs/>
          <w:color w:val="000000" w:themeColor="text1"/>
        </w:rPr>
        <w:t xml:space="preserve"> </w:t>
      </w:r>
    </w:p>
    <w:p w14:paraId="22F899CD" w14:textId="22DCA6CE" w:rsidR="00736B7D" w:rsidRPr="007D58F1" w:rsidRDefault="00736B7D" w:rsidP="00736B7D">
      <w:pPr>
        <w:pStyle w:val="Default"/>
        <w:jc w:val="both"/>
        <w:rPr>
          <w:iCs/>
          <w:color w:val="000000" w:themeColor="text1"/>
        </w:rPr>
      </w:pPr>
      <w:r w:rsidRPr="007D58F1">
        <w:rPr>
          <w:color w:val="000000" w:themeColor="text1"/>
          <w:shd w:val="clear" w:color="auto" w:fill="FFFFFF"/>
        </w:rPr>
        <w:tab/>
      </w:r>
      <w:proofErr w:type="spellStart"/>
      <w:r w:rsidRPr="007D58F1">
        <w:rPr>
          <w:color w:val="000000" w:themeColor="text1"/>
          <w:shd w:val="clear" w:color="auto" w:fill="FFFFFF"/>
        </w:rPr>
        <w:t>Schmitz</w:t>
      </w:r>
      <w:proofErr w:type="spellEnd"/>
      <w:r w:rsidRPr="007D58F1">
        <w:rPr>
          <w:color w:val="000000" w:themeColor="text1"/>
          <w:shd w:val="clear" w:color="auto" w:fill="FFFFFF"/>
        </w:rPr>
        <w:t xml:space="preserve"> e Rover (2017), </w:t>
      </w:r>
      <w:r w:rsidRPr="007D58F1">
        <w:rPr>
          <w:color w:val="000000" w:themeColor="text1"/>
        </w:rPr>
        <w:t xml:space="preserve">compararam o nível de </w:t>
      </w:r>
      <w:proofErr w:type="spellStart"/>
      <w:r w:rsidRPr="007D58F1">
        <w:rPr>
          <w:i/>
          <w:iCs/>
          <w:color w:val="000000" w:themeColor="text1"/>
        </w:rPr>
        <w:t>disclosure</w:t>
      </w:r>
      <w:proofErr w:type="spellEnd"/>
      <w:r w:rsidRPr="007D58F1">
        <w:rPr>
          <w:i/>
          <w:iCs/>
          <w:color w:val="000000" w:themeColor="text1"/>
        </w:rPr>
        <w:t xml:space="preserve"> </w:t>
      </w:r>
      <w:r w:rsidRPr="007D58F1">
        <w:rPr>
          <w:color w:val="000000" w:themeColor="text1"/>
        </w:rPr>
        <w:t xml:space="preserve">anticorrupção de 25 empresas do ramo empreiteiro que atuam no Brasil, baseado no </w:t>
      </w:r>
      <w:r w:rsidRPr="007D58F1">
        <w:rPr>
          <w:i/>
          <w:color w:val="000000" w:themeColor="text1"/>
        </w:rPr>
        <w:t>ranking</w:t>
      </w:r>
      <w:r w:rsidRPr="007D58F1">
        <w:rPr>
          <w:color w:val="000000" w:themeColor="text1"/>
        </w:rPr>
        <w:t xml:space="preserve"> da revista “O Empreiteiro” e após dividiram em dois grupos de empresas: investigas e não Investigadas na operação </w:t>
      </w:r>
      <w:r w:rsidR="004D3095">
        <w:rPr>
          <w:color w:val="000000" w:themeColor="text1"/>
        </w:rPr>
        <w:t>Lava Jato</w:t>
      </w:r>
      <w:r w:rsidRPr="007D58F1">
        <w:rPr>
          <w:color w:val="000000" w:themeColor="text1"/>
        </w:rPr>
        <w:t xml:space="preserve">. Analisaram as informações divulgadas pelas empresas em seus sites e na bolsa de valores. Os resultados indicam que as empresas investigadas possuem maior aderência ao </w:t>
      </w:r>
      <w:proofErr w:type="spellStart"/>
      <w:r w:rsidRPr="007D58F1">
        <w:rPr>
          <w:i/>
          <w:iCs/>
          <w:color w:val="000000" w:themeColor="text1"/>
        </w:rPr>
        <w:t>disclosure</w:t>
      </w:r>
      <w:proofErr w:type="spellEnd"/>
      <w:r w:rsidRPr="007D58F1">
        <w:rPr>
          <w:i/>
          <w:iCs/>
          <w:color w:val="000000" w:themeColor="text1"/>
        </w:rPr>
        <w:t xml:space="preserve"> </w:t>
      </w:r>
      <w:r w:rsidRPr="007D58F1">
        <w:rPr>
          <w:iCs/>
          <w:color w:val="000000" w:themeColor="text1"/>
        </w:rPr>
        <w:t xml:space="preserve">anticorrupção, comparadas com as empresas que não estavam sendo investigadas. No entanto, destacam que este resultado pode ter influência ao fato das empresas que apresentarem maiores níveis de </w:t>
      </w:r>
      <w:proofErr w:type="spellStart"/>
      <w:r w:rsidRPr="007D58F1">
        <w:rPr>
          <w:i/>
          <w:iCs/>
          <w:color w:val="000000" w:themeColor="text1"/>
        </w:rPr>
        <w:t>disclosure</w:t>
      </w:r>
      <w:proofErr w:type="spellEnd"/>
      <w:r w:rsidRPr="007D58F1">
        <w:rPr>
          <w:i/>
          <w:iCs/>
          <w:color w:val="000000" w:themeColor="text1"/>
        </w:rPr>
        <w:t xml:space="preserve"> </w:t>
      </w:r>
      <w:r w:rsidRPr="007D58F1">
        <w:rPr>
          <w:iCs/>
          <w:color w:val="000000" w:themeColor="text1"/>
        </w:rPr>
        <w:t>e de</w:t>
      </w:r>
      <w:r w:rsidRPr="007D58F1">
        <w:rPr>
          <w:i/>
          <w:iCs/>
          <w:color w:val="000000" w:themeColor="text1"/>
        </w:rPr>
        <w:t xml:space="preserve"> </w:t>
      </w:r>
      <w:proofErr w:type="spellStart"/>
      <w:r w:rsidRPr="007D58F1">
        <w:rPr>
          <w:i/>
          <w:iCs/>
          <w:color w:val="000000" w:themeColor="text1"/>
        </w:rPr>
        <w:t>compliance</w:t>
      </w:r>
      <w:proofErr w:type="spellEnd"/>
      <w:r w:rsidRPr="007D58F1">
        <w:rPr>
          <w:i/>
          <w:iCs/>
          <w:color w:val="000000" w:themeColor="text1"/>
        </w:rPr>
        <w:t xml:space="preserve"> </w:t>
      </w:r>
      <w:r w:rsidRPr="007D58F1">
        <w:rPr>
          <w:iCs/>
          <w:color w:val="000000" w:themeColor="text1"/>
        </w:rPr>
        <w:t>serem beneficiadas com redução de multas e benefícios de delações, caso sejam investigadas por corrupção.</w:t>
      </w:r>
    </w:p>
    <w:p w14:paraId="363120A5" w14:textId="11B5AB1E" w:rsidR="00736B7D" w:rsidRPr="007D58F1" w:rsidRDefault="00736B7D" w:rsidP="00736B7D">
      <w:pPr>
        <w:pStyle w:val="Default"/>
        <w:jc w:val="both"/>
        <w:rPr>
          <w:color w:val="000000" w:themeColor="text1"/>
        </w:rPr>
      </w:pPr>
      <w:r w:rsidRPr="007D58F1">
        <w:rPr>
          <w:color w:val="000000" w:themeColor="text1"/>
        </w:rPr>
        <w:tab/>
        <w:t xml:space="preserve">O estudo de </w:t>
      </w:r>
      <w:proofErr w:type="spellStart"/>
      <w:r w:rsidRPr="007D58F1">
        <w:rPr>
          <w:color w:val="000000" w:themeColor="text1"/>
        </w:rPr>
        <w:t>Haussmann</w:t>
      </w:r>
      <w:proofErr w:type="spellEnd"/>
      <w:r w:rsidRPr="007D58F1">
        <w:rPr>
          <w:color w:val="000000" w:themeColor="text1"/>
        </w:rPr>
        <w:t xml:space="preserve"> </w:t>
      </w:r>
      <w:r w:rsidRPr="00120CA3">
        <w:rPr>
          <w:i/>
          <w:iCs/>
          <w:color w:val="000000" w:themeColor="text1"/>
        </w:rPr>
        <w:t>et al.</w:t>
      </w:r>
      <w:r w:rsidRPr="007D58F1">
        <w:rPr>
          <w:color w:val="000000" w:themeColor="text1"/>
        </w:rPr>
        <w:t xml:space="preserve"> (2017), analisaram a qualidade das informações contábeis afim de verificar se as empresas manipularam informações, com o objetivo de mascarar seu possível envolvimento em práticas ilegais das empresas do ramos da construção civil envolvidas na Operação </w:t>
      </w:r>
      <w:r w:rsidR="004D3095">
        <w:rPr>
          <w:color w:val="000000" w:themeColor="text1"/>
        </w:rPr>
        <w:t>Lava Jato</w:t>
      </w:r>
      <w:r w:rsidRPr="007D58F1">
        <w:rPr>
          <w:color w:val="000000" w:themeColor="text1"/>
        </w:rPr>
        <w:t xml:space="preserve">, através da análise das informações contábeis dos períodos de 2010 à 2015. Os resultados gerais da pesquisa apontam que após a deflagração da operação os resultados contábeis foram diferentes, indicando que as empresas manipularam informações para elevar os lucros, visando transparecer uma visão positiva da organização. </w:t>
      </w:r>
    </w:p>
    <w:p w14:paraId="15BE253F" w14:textId="198BE2D8" w:rsidR="00736B7D" w:rsidRPr="008343F2" w:rsidRDefault="00736B7D" w:rsidP="00736B7D">
      <w:pPr>
        <w:pStyle w:val="Default"/>
        <w:jc w:val="both"/>
        <w:rPr>
          <w:color w:val="000000" w:themeColor="text1"/>
          <w:shd w:val="clear" w:color="auto" w:fill="FFFFFF"/>
        </w:rPr>
      </w:pPr>
      <w:r w:rsidRPr="007D58F1">
        <w:rPr>
          <w:color w:val="000000" w:themeColor="text1"/>
          <w:shd w:val="clear" w:color="auto" w:fill="FFFFFF"/>
        </w:rPr>
        <w:tab/>
        <w:t xml:space="preserve">A pesquisa de Araújo </w:t>
      </w:r>
      <w:r w:rsidRPr="00887D3E">
        <w:rPr>
          <w:i/>
          <w:iCs/>
          <w:color w:val="000000" w:themeColor="text1"/>
          <w:shd w:val="clear" w:color="auto" w:fill="FFFFFF"/>
        </w:rPr>
        <w:t>et al.</w:t>
      </w:r>
      <w:r w:rsidRPr="007D58F1">
        <w:rPr>
          <w:color w:val="000000" w:themeColor="text1"/>
          <w:shd w:val="clear" w:color="auto" w:fill="FFFFFF"/>
        </w:rPr>
        <w:t xml:space="preserve"> (2018), investigaram os efeitos causados pela divulgação de eventos de corrupção sobre o valor de mercado das empresas listadas na Bolsa de Valores brasileira, buscando verificar a influência da Operação </w:t>
      </w:r>
      <w:r w:rsidR="004D3095">
        <w:rPr>
          <w:color w:val="000000" w:themeColor="text1"/>
          <w:shd w:val="clear" w:color="auto" w:fill="FFFFFF"/>
        </w:rPr>
        <w:t>Lava Jato</w:t>
      </w:r>
      <w:r w:rsidRPr="007D58F1">
        <w:rPr>
          <w:color w:val="000000" w:themeColor="text1"/>
          <w:shd w:val="clear" w:color="auto" w:fill="FFFFFF"/>
        </w:rPr>
        <w:t xml:space="preserve"> sobre o retorno destas companhias. Os resultados evidenciam que depois de deflagrada a operação, reduziu-se os valores de mercado das empresas diretamente envolvidas</w:t>
      </w:r>
      <w:r w:rsidR="004D3095">
        <w:rPr>
          <w:color w:val="000000" w:themeColor="text1"/>
          <w:shd w:val="clear" w:color="auto" w:fill="FFFFFF"/>
        </w:rPr>
        <w:t xml:space="preserve"> </w:t>
      </w:r>
      <w:r w:rsidRPr="007D58F1">
        <w:rPr>
          <w:color w:val="000000" w:themeColor="text1"/>
          <w:shd w:val="clear" w:color="auto" w:fill="FFFFFF"/>
        </w:rPr>
        <w:t>nos escândalos</w:t>
      </w:r>
      <w:r w:rsidR="004D3095">
        <w:rPr>
          <w:color w:val="000000" w:themeColor="text1"/>
          <w:shd w:val="clear" w:color="auto" w:fill="FFFFFF"/>
        </w:rPr>
        <w:t xml:space="preserve">, </w:t>
      </w:r>
      <w:r w:rsidRPr="007D58F1">
        <w:rPr>
          <w:color w:val="000000" w:themeColor="text1"/>
          <w:shd w:val="clear" w:color="auto" w:fill="FFFFFF"/>
        </w:rPr>
        <w:t xml:space="preserve">e que houve aumento no valor de mercado das companhias do mesmo segmento que não estavam envolvidas nos </w:t>
      </w:r>
      <w:r w:rsidRPr="008343F2">
        <w:rPr>
          <w:color w:val="000000" w:themeColor="text1"/>
          <w:shd w:val="clear" w:color="auto" w:fill="FFFFFF"/>
        </w:rPr>
        <w:t>escândalos de corrupção, destacando que os investidores reagem as informações contábeis e a qualidade destas.</w:t>
      </w:r>
    </w:p>
    <w:p w14:paraId="3AA7AA6B" w14:textId="253BCA8E" w:rsidR="00736B7D" w:rsidRPr="008343F2" w:rsidRDefault="00736B7D" w:rsidP="00736B7D">
      <w:pPr>
        <w:pStyle w:val="Default"/>
        <w:jc w:val="both"/>
        <w:rPr>
          <w:iCs/>
          <w:color w:val="000000" w:themeColor="text1"/>
        </w:rPr>
      </w:pPr>
      <w:r w:rsidRPr="008343F2">
        <w:rPr>
          <w:color w:val="000000" w:themeColor="text1"/>
          <w:shd w:val="clear" w:color="auto" w:fill="FFFFFF"/>
        </w:rPr>
        <w:tab/>
        <w:t xml:space="preserve">O estudo realizado por Almeida, Silva e Peixoto (2019), analisa a percepção da população quanto a responsabilidade do auditor independente na detecção de fraudes. O estudo foi realizado aplicando questionários em rede social, com </w:t>
      </w:r>
      <w:r w:rsidR="00887D3E" w:rsidRPr="008343F2">
        <w:rPr>
          <w:color w:val="000000" w:themeColor="text1"/>
          <w:shd w:val="clear" w:color="auto" w:fill="FFFFFF"/>
        </w:rPr>
        <w:t>um</w:t>
      </w:r>
      <w:r w:rsidRPr="008343F2">
        <w:rPr>
          <w:color w:val="000000" w:themeColor="text1"/>
          <w:shd w:val="clear" w:color="auto" w:fill="FFFFFF"/>
        </w:rPr>
        <w:t>a amostra de 94 pessoas</w:t>
      </w:r>
      <w:r w:rsidR="008343F2" w:rsidRPr="008343F2">
        <w:rPr>
          <w:color w:val="000000" w:themeColor="text1"/>
          <w:shd w:val="clear" w:color="auto" w:fill="FFFFFF"/>
        </w:rPr>
        <w:t xml:space="preserve">. Os resultados </w:t>
      </w:r>
      <w:r w:rsidRPr="008343F2">
        <w:rPr>
          <w:color w:val="000000" w:themeColor="text1"/>
          <w:shd w:val="clear" w:color="auto" w:fill="FFFFFF"/>
        </w:rPr>
        <w:t>demonstr</w:t>
      </w:r>
      <w:r w:rsidR="008343F2" w:rsidRPr="008343F2">
        <w:rPr>
          <w:color w:val="000000" w:themeColor="text1"/>
          <w:shd w:val="clear" w:color="auto" w:fill="FFFFFF"/>
        </w:rPr>
        <w:t>am</w:t>
      </w:r>
      <w:r w:rsidRPr="008343F2">
        <w:rPr>
          <w:color w:val="000000" w:themeColor="text1"/>
          <w:shd w:val="clear" w:color="auto" w:fill="FFFFFF"/>
        </w:rPr>
        <w:t xml:space="preserve"> que as principais empresas de auditorias lembradas </w:t>
      </w:r>
      <w:r w:rsidR="008343F2" w:rsidRPr="008343F2">
        <w:rPr>
          <w:color w:val="000000" w:themeColor="text1"/>
          <w:shd w:val="clear" w:color="auto" w:fill="FFFFFF"/>
        </w:rPr>
        <w:t>foram</w:t>
      </w:r>
      <w:r w:rsidRPr="008343F2">
        <w:rPr>
          <w:color w:val="000000" w:themeColor="text1"/>
          <w:shd w:val="clear" w:color="auto" w:fill="FFFFFF"/>
        </w:rPr>
        <w:t xml:space="preserve"> as empresas pertencentes ao grupo das </w:t>
      </w:r>
      <w:r w:rsidRPr="008343F2">
        <w:rPr>
          <w:i/>
          <w:color w:val="000000" w:themeColor="text1"/>
          <w:shd w:val="clear" w:color="auto" w:fill="FFFFFF"/>
        </w:rPr>
        <w:t>Big Four</w:t>
      </w:r>
      <w:r w:rsidRPr="008343F2">
        <w:rPr>
          <w:color w:val="000000" w:themeColor="text1"/>
          <w:shd w:val="clear" w:color="auto" w:fill="FFFFFF"/>
        </w:rPr>
        <w:t xml:space="preserve"> de auditoria, 62% dos entrevistados acreditam que o auditor tem responsabilidade pela elaboração das demonstrações contábeis e 60% acreditam que os auditores são responsáveis pela detecção das fraudes nas demonstrações contábeis.</w:t>
      </w:r>
    </w:p>
    <w:p w14:paraId="4D419E1E" w14:textId="4014B6BA" w:rsidR="00736B7D" w:rsidRPr="007859FC" w:rsidRDefault="00736B7D" w:rsidP="00736B7D">
      <w:pPr>
        <w:pStyle w:val="Default"/>
        <w:jc w:val="both"/>
        <w:rPr>
          <w:iCs/>
          <w:color w:val="000000" w:themeColor="text1"/>
        </w:rPr>
      </w:pPr>
      <w:r w:rsidRPr="008343F2">
        <w:rPr>
          <w:iCs/>
          <w:color w:val="000000" w:themeColor="text1"/>
        </w:rPr>
        <w:tab/>
        <w:t xml:space="preserve">De forma geral, os estudos correlatos destacam a importância </w:t>
      </w:r>
      <w:proofErr w:type="gramStart"/>
      <w:r w:rsidRPr="008343F2">
        <w:rPr>
          <w:iCs/>
          <w:color w:val="000000" w:themeColor="text1"/>
        </w:rPr>
        <w:t>da</w:t>
      </w:r>
      <w:proofErr w:type="gramEnd"/>
      <w:r w:rsidRPr="008343F2">
        <w:rPr>
          <w:iCs/>
          <w:color w:val="000000" w:themeColor="text1"/>
        </w:rPr>
        <w:t xml:space="preserve"> evidenciação das informações contábeis serem realizadas de forma fidedigna pelas empresas e </w:t>
      </w:r>
      <w:r w:rsidR="008343F2">
        <w:rPr>
          <w:iCs/>
          <w:color w:val="000000" w:themeColor="text1"/>
        </w:rPr>
        <w:t xml:space="preserve">pelos </w:t>
      </w:r>
      <w:r w:rsidRPr="008343F2">
        <w:rPr>
          <w:iCs/>
          <w:color w:val="000000" w:themeColor="text1"/>
        </w:rPr>
        <w:t xml:space="preserve">auditores, e que os usuários dessas informações </w:t>
      </w:r>
      <w:r w:rsidR="008343F2">
        <w:rPr>
          <w:iCs/>
          <w:color w:val="000000" w:themeColor="text1"/>
        </w:rPr>
        <w:t xml:space="preserve">são dependentes e </w:t>
      </w:r>
      <w:r w:rsidR="000E3935">
        <w:rPr>
          <w:iCs/>
          <w:color w:val="000000" w:themeColor="text1"/>
        </w:rPr>
        <w:t>d</w:t>
      </w:r>
      <w:r w:rsidRPr="008343F2">
        <w:rPr>
          <w:iCs/>
          <w:color w:val="000000" w:themeColor="text1"/>
        </w:rPr>
        <w:t>a qualidade d</w:t>
      </w:r>
      <w:r w:rsidR="008343F2">
        <w:rPr>
          <w:iCs/>
          <w:color w:val="000000" w:themeColor="text1"/>
        </w:rPr>
        <w:t>a</w:t>
      </w:r>
      <w:r w:rsidRPr="008343F2">
        <w:rPr>
          <w:iCs/>
          <w:color w:val="000000" w:themeColor="text1"/>
        </w:rPr>
        <w:t xml:space="preserve">s informações. </w:t>
      </w:r>
      <w:r>
        <w:rPr>
          <w:iCs/>
          <w:color w:val="000000" w:themeColor="text1"/>
        </w:rPr>
        <w:t xml:space="preserve">   </w:t>
      </w:r>
      <w:r w:rsidRPr="007859FC">
        <w:rPr>
          <w:iCs/>
          <w:color w:val="000000" w:themeColor="text1"/>
        </w:rPr>
        <w:t xml:space="preserve"> </w:t>
      </w:r>
    </w:p>
    <w:p w14:paraId="695BB72B" w14:textId="77777777" w:rsidR="00736B7D" w:rsidRPr="007859FC" w:rsidRDefault="00736B7D" w:rsidP="00736B7D">
      <w:pPr>
        <w:rPr>
          <w:b/>
          <w:color w:val="000000" w:themeColor="text1"/>
          <w:szCs w:val="24"/>
          <w:shd w:val="clear" w:color="auto" w:fill="FFFFFF"/>
        </w:rPr>
      </w:pPr>
    </w:p>
    <w:p w14:paraId="7E8ED764" w14:textId="0DF48D34" w:rsidR="00736B7D" w:rsidRPr="00D91454" w:rsidRDefault="00D91454" w:rsidP="00D91454">
      <w:pPr>
        <w:ind w:firstLine="0"/>
        <w:rPr>
          <w:b/>
          <w:color w:val="000000" w:themeColor="text1"/>
          <w:szCs w:val="24"/>
          <w:shd w:val="clear" w:color="auto" w:fill="FFFFFF"/>
        </w:rPr>
      </w:pPr>
      <w:r>
        <w:rPr>
          <w:b/>
          <w:color w:val="000000" w:themeColor="text1"/>
          <w:szCs w:val="24"/>
          <w:shd w:val="clear" w:color="auto" w:fill="FFFFFF"/>
        </w:rPr>
        <w:t xml:space="preserve">3 </w:t>
      </w:r>
      <w:r w:rsidRPr="00D91454">
        <w:rPr>
          <w:b/>
          <w:color w:val="000000" w:themeColor="text1"/>
          <w:szCs w:val="24"/>
          <w:shd w:val="clear" w:color="auto" w:fill="FFFFFF"/>
        </w:rPr>
        <w:t>Procedimentos Metodológicos</w:t>
      </w:r>
      <w:r w:rsidRPr="00D91454">
        <w:rPr>
          <w:color w:val="000000" w:themeColor="text1"/>
          <w:szCs w:val="24"/>
        </w:rPr>
        <w:t xml:space="preserve"> </w:t>
      </w:r>
    </w:p>
    <w:p w14:paraId="587BF06D" w14:textId="1E20BBF4" w:rsidR="00736B7D" w:rsidRPr="007859FC" w:rsidRDefault="00736B7D" w:rsidP="00D91454">
      <w:pPr>
        <w:rPr>
          <w:color w:val="000000" w:themeColor="text1"/>
          <w:szCs w:val="24"/>
        </w:rPr>
      </w:pPr>
      <w:r w:rsidRPr="008343F2">
        <w:rPr>
          <w:color w:val="000000" w:themeColor="text1"/>
          <w:szCs w:val="24"/>
        </w:rPr>
        <w:t xml:space="preserve">Metodologicamente, o estudo é caracterizado como descritivo, realizado a partir de </w:t>
      </w:r>
      <w:proofErr w:type="spellStart"/>
      <w:r w:rsidRPr="008343F2">
        <w:rPr>
          <w:color w:val="000000" w:themeColor="text1"/>
          <w:szCs w:val="24"/>
        </w:rPr>
        <w:t>multicasos</w:t>
      </w:r>
      <w:proofErr w:type="spellEnd"/>
      <w:r w:rsidRPr="008343F2">
        <w:rPr>
          <w:color w:val="000000" w:themeColor="text1"/>
          <w:szCs w:val="24"/>
        </w:rPr>
        <w:t xml:space="preserve">, com análise documental e de cunho </w:t>
      </w:r>
      <w:r w:rsidRPr="008343F2">
        <w:rPr>
          <w:color w:val="000000" w:themeColor="text1"/>
          <w:szCs w:val="24"/>
          <w:shd w:val="clear" w:color="auto" w:fill="FFFFFF"/>
        </w:rPr>
        <w:t>qualitativa</w:t>
      </w:r>
      <w:r w:rsidRPr="008343F2">
        <w:rPr>
          <w:color w:val="000000" w:themeColor="text1"/>
          <w:szCs w:val="24"/>
        </w:rPr>
        <w:t xml:space="preserve">. Com o objetivo de analisar a opinião </w:t>
      </w:r>
      <w:r w:rsidRPr="008343F2">
        <w:rPr>
          <w:color w:val="000000" w:themeColor="text1"/>
          <w:szCs w:val="24"/>
        </w:rPr>
        <w:lastRenderedPageBreak/>
        <w:t xml:space="preserve">dos auditores das demonstrações contábeis das empresas envolvidas na Operação </w:t>
      </w:r>
      <w:r w:rsidR="004D3095">
        <w:rPr>
          <w:color w:val="000000" w:themeColor="text1"/>
          <w:szCs w:val="24"/>
        </w:rPr>
        <w:t>Lava Jato</w:t>
      </w:r>
      <w:r w:rsidRPr="008343F2">
        <w:rPr>
          <w:color w:val="000000" w:themeColor="text1"/>
          <w:szCs w:val="24"/>
        </w:rPr>
        <w:t>, no período de 2010 à 2018, buscando analisar os pareces da opinião dos auditores e as notas explicativas do período</w:t>
      </w:r>
      <w:r w:rsidRPr="007859FC">
        <w:rPr>
          <w:color w:val="000000" w:themeColor="text1"/>
          <w:szCs w:val="24"/>
        </w:rPr>
        <w:t xml:space="preserve"> anterior e durante as investigações da operação das 10 maiores empresas listadas na Bolsa de Valores Brasileira (B3), conforme apresenta </w:t>
      </w:r>
      <w:r w:rsidR="00D91454">
        <w:rPr>
          <w:color w:val="000000" w:themeColor="text1"/>
          <w:szCs w:val="24"/>
        </w:rPr>
        <w:t>a Tabela</w:t>
      </w:r>
      <w:r w:rsidRPr="007859FC">
        <w:rPr>
          <w:color w:val="000000" w:themeColor="text1"/>
          <w:szCs w:val="24"/>
        </w:rPr>
        <w:t xml:space="preserve"> 2:</w:t>
      </w:r>
    </w:p>
    <w:p w14:paraId="25C3691B" w14:textId="49075B0E" w:rsidR="00736B7D" w:rsidRPr="007859FC" w:rsidRDefault="00D91454" w:rsidP="00D91454">
      <w:pPr>
        <w:spacing w:before="120"/>
        <w:ind w:firstLine="0"/>
        <w:rPr>
          <w:b/>
          <w:color w:val="000000" w:themeColor="text1"/>
          <w:sz w:val="20"/>
          <w:szCs w:val="24"/>
          <w:shd w:val="clear" w:color="auto" w:fill="FFFFFF"/>
        </w:rPr>
      </w:pPr>
      <w:r>
        <w:rPr>
          <w:b/>
          <w:color w:val="000000" w:themeColor="text1"/>
          <w:sz w:val="20"/>
          <w:szCs w:val="24"/>
          <w:shd w:val="clear" w:color="auto" w:fill="FFFFFF"/>
        </w:rPr>
        <w:t>Tabela</w:t>
      </w:r>
      <w:r w:rsidR="00736B7D" w:rsidRPr="007859FC">
        <w:rPr>
          <w:b/>
          <w:color w:val="000000" w:themeColor="text1"/>
          <w:sz w:val="20"/>
          <w:szCs w:val="24"/>
          <w:shd w:val="clear" w:color="auto" w:fill="FFFFFF"/>
        </w:rPr>
        <w:t xml:space="preserve"> 2: </w:t>
      </w:r>
      <w:proofErr w:type="spellStart"/>
      <w:r w:rsidR="00736B7D" w:rsidRPr="007859FC">
        <w:rPr>
          <w:b/>
          <w:i/>
          <w:color w:val="000000" w:themeColor="text1"/>
          <w:sz w:val="20"/>
          <w:szCs w:val="24"/>
          <w:shd w:val="clear" w:color="auto" w:fill="FFFFFF"/>
        </w:rPr>
        <w:t>Check</w:t>
      </w:r>
      <w:proofErr w:type="spellEnd"/>
      <w:r w:rsidR="00736B7D" w:rsidRPr="007859FC">
        <w:rPr>
          <w:b/>
          <w:i/>
          <w:color w:val="000000" w:themeColor="text1"/>
          <w:sz w:val="20"/>
          <w:szCs w:val="24"/>
          <w:shd w:val="clear" w:color="auto" w:fill="FFFFFF"/>
        </w:rPr>
        <w:t xml:space="preserve"> </w:t>
      </w:r>
      <w:proofErr w:type="spellStart"/>
      <w:r w:rsidR="00736B7D" w:rsidRPr="007859FC">
        <w:rPr>
          <w:b/>
          <w:i/>
          <w:color w:val="000000" w:themeColor="text1"/>
          <w:sz w:val="20"/>
          <w:szCs w:val="24"/>
          <w:shd w:val="clear" w:color="auto" w:fill="FFFFFF"/>
        </w:rPr>
        <w:t>list</w:t>
      </w:r>
      <w:proofErr w:type="spellEnd"/>
      <w:r w:rsidR="00736B7D" w:rsidRPr="007859FC">
        <w:rPr>
          <w:b/>
          <w:color w:val="000000" w:themeColor="text1"/>
          <w:sz w:val="20"/>
          <w:szCs w:val="24"/>
          <w:shd w:val="clear" w:color="auto" w:fill="FFFFFF"/>
        </w:rPr>
        <w:t xml:space="preserve"> para a coleta e análise dos dados</w:t>
      </w:r>
    </w:p>
    <w:tbl>
      <w:tblPr>
        <w:tblW w:w="9356" w:type="dxa"/>
        <w:tblInd w:w="-5" w:type="dxa"/>
        <w:tblCellMar>
          <w:left w:w="70" w:type="dxa"/>
          <w:right w:w="70" w:type="dxa"/>
        </w:tblCellMar>
        <w:tblLook w:val="04A0" w:firstRow="1" w:lastRow="0" w:firstColumn="1" w:lastColumn="0" w:noHBand="0" w:noVBand="1"/>
      </w:tblPr>
      <w:tblGrid>
        <w:gridCol w:w="1701"/>
        <w:gridCol w:w="567"/>
        <w:gridCol w:w="7088"/>
      </w:tblGrid>
      <w:tr w:rsidR="00736B7D" w:rsidRPr="007859FC" w14:paraId="0D47CFBD" w14:textId="77777777" w:rsidTr="004D3095">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3ECAD" w14:textId="6D5B5A72" w:rsidR="00736B7D" w:rsidRPr="007859FC" w:rsidRDefault="004D3095" w:rsidP="004D3095">
            <w:pPr>
              <w:ind w:firstLine="0"/>
              <w:rPr>
                <w:b/>
                <w:bCs/>
                <w:color w:val="000000"/>
                <w:sz w:val="20"/>
                <w:szCs w:val="24"/>
              </w:rPr>
            </w:pPr>
            <w:r>
              <w:rPr>
                <w:b/>
                <w:bCs/>
                <w:color w:val="000000"/>
                <w:sz w:val="20"/>
                <w:szCs w:val="24"/>
              </w:rPr>
              <w:t>E</w:t>
            </w:r>
            <w:r w:rsidRPr="007859FC">
              <w:rPr>
                <w:b/>
                <w:bCs/>
                <w:color w:val="000000"/>
                <w:sz w:val="20"/>
                <w:szCs w:val="24"/>
              </w:rPr>
              <w:t>mpresas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FBB87B5" w14:textId="5C4B38F6" w:rsidR="00736B7D" w:rsidRPr="007859FC" w:rsidRDefault="004D3095" w:rsidP="00736B7D">
            <w:pPr>
              <w:ind w:firstLine="0"/>
              <w:rPr>
                <w:b/>
                <w:bCs/>
                <w:color w:val="000000"/>
                <w:sz w:val="20"/>
                <w:szCs w:val="24"/>
              </w:rPr>
            </w:pPr>
            <w:r w:rsidRPr="007859FC">
              <w:rPr>
                <w:b/>
                <w:bCs/>
                <w:color w:val="000000"/>
                <w:sz w:val="20"/>
                <w:szCs w:val="24"/>
              </w:rPr>
              <w:t>Sigla</w:t>
            </w:r>
          </w:p>
        </w:tc>
        <w:tc>
          <w:tcPr>
            <w:tcW w:w="7088" w:type="dxa"/>
            <w:tcBorders>
              <w:top w:val="single" w:sz="4" w:space="0" w:color="auto"/>
              <w:left w:val="nil"/>
              <w:bottom w:val="single" w:sz="4" w:space="0" w:color="auto"/>
              <w:right w:val="single" w:sz="4" w:space="0" w:color="auto"/>
            </w:tcBorders>
            <w:shd w:val="clear" w:color="auto" w:fill="auto"/>
            <w:noWrap/>
            <w:vAlign w:val="bottom"/>
            <w:hideMark/>
          </w:tcPr>
          <w:p w14:paraId="485202F2" w14:textId="226DAC09" w:rsidR="00736B7D" w:rsidRPr="007859FC" w:rsidRDefault="004D3095" w:rsidP="00736B7D">
            <w:pPr>
              <w:rPr>
                <w:b/>
                <w:bCs/>
                <w:color w:val="000000"/>
                <w:sz w:val="20"/>
                <w:szCs w:val="24"/>
              </w:rPr>
            </w:pPr>
            <w:r w:rsidRPr="007859FC">
              <w:rPr>
                <w:b/>
                <w:bCs/>
                <w:color w:val="000000"/>
                <w:sz w:val="20"/>
                <w:szCs w:val="24"/>
              </w:rPr>
              <w:t xml:space="preserve">Ligação </w:t>
            </w:r>
            <w:r>
              <w:rPr>
                <w:b/>
                <w:bCs/>
                <w:color w:val="000000"/>
                <w:sz w:val="20"/>
                <w:szCs w:val="24"/>
              </w:rPr>
              <w:t>c</w:t>
            </w:r>
            <w:r w:rsidRPr="007859FC">
              <w:rPr>
                <w:b/>
                <w:bCs/>
                <w:color w:val="000000"/>
                <w:sz w:val="20"/>
                <w:szCs w:val="24"/>
              </w:rPr>
              <w:t xml:space="preserve">om </w:t>
            </w:r>
            <w:r>
              <w:rPr>
                <w:b/>
                <w:bCs/>
                <w:color w:val="000000"/>
                <w:sz w:val="20"/>
                <w:szCs w:val="24"/>
              </w:rPr>
              <w:t>a</w:t>
            </w:r>
            <w:r w:rsidRPr="007859FC">
              <w:rPr>
                <w:b/>
                <w:bCs/>
                <w:color w:val="000000"/>
                <w:sz w:val="20"/>
                <w:szCs w:val="24"/>
              </w:rPr>
              <w:t xml:space="preserve"> </w:t>
            </w:r>
            <w:r>
              <w:rPr>
                <w:b/>
                <w:bCs/>
                <w:color w:val="000000"/>
                <w:sz w:val="20"/>
                <w:szCs w:val="24"/>
              </w:rPr>
              <w:t>Lava Jato</w:t>
            </w:r>
          </w:p>
        </w:tc>
      </w:tr>
      <w:tr w:rsidR="00736B7D" w:rsidRPr="007859FC" w14:paraId="0B3015DC" w14:textId="77777777" w:rsidTr="004D3095">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16F946A0" w14:textId="0C03CC91" w:rsidR="00736B7D" w:rsidRPr="007859FC" w:rsidRDefault="004D3095" w:rsidP="00736B7D">
            <w:pPr>
              <w:ind w:firstLine="0"/>
              <w:jc w:val="left"/>
              <w:rPr>
                <w:color w:val="000000"/>
                <w:sz w:val="20"/>
                <w:szCs w:val="24"/>
              </w:rPr>
            </w:pPr>
            <w:r w:rsidRPr="007859FC">
              <w:rPr>
                <w:color w:val="000000"/>
                <w:sz w:val="20"/>
                <w:szCs w:val="24"/>
              </w:rPr>
              <w:t>Andrade Gutierres</w:t>
            </w:r>
          </w:p>
        </w:tc>
        <w:tc>
          <w:tcPr>
            <w:tcW w:w="567" w:type="dxa"/>
            <w:tcBorders>
              <w:top w:val="nil"/>
              <w:left w:val="nil"/>
              <w:bottom w:val="single" w:sz="4" w:space="0" w:color="auto"/>
              <w:right w:val="single" w:sz="4" w:space="0" w:color="auto"/>
            </w:tcBorders>
            <w:shd w:val="clear" w:color="auto" w:fill="auto"/>
            <w:noWrap/>
            <w:vAlign w:val="center"/>
            <w:hideMark/>
          </w:tcPr>
          <w:p w14:paraId="74172E1B" w14:textId="77777777" w:rsidR="00736B7D" w:rsidRPr="007859FC" w:rsidRDefault="00736B7D" w:rsidP="00736B7D">
            <w:pPr>
              <w:ind w:firstLine="0"/>
              <w:rPr>
                <w:color w:val="000000"/>
                <w:sz w:val="20"/>
                <w:szCs w:val="24"/>
              </w:rPr>
            </w:pPr>
            <w:r w:rsidRPr="007859FC">
              <w:rPr>
                <w:color w:val="000000"/>
                <w:sz w:val="20"/>
                <w:szCs w:val="24"/>
              </w:rPr>
              <w:t>AG</w:t>
            </w:r>
          </w:p>
        </w:tc>
        <w:tc>
          <w:tcPr>
            <w:tcW w:w="7088" w:type="dxa"/>
            <w:tcBorders>
              <w:top w:val="nil"/>
              <w:left w:val="nil"/>
              <w:bottom w:val="single" w:sz="4" w:space="0" w:color="auto"/>
              <w:right w:val="single" w:sz="4" w:space="0" w:color="auto"/>
            </w:tcBorders>
            <w:shd w:val="clear" w:color="auto" w:fill="auto"/>
            <w:vAlign w:val="bottom"/>
            <w:hideMark/>
          </w:tcPr>
          <w:p w14:paraId="3850B4AD" w14:textId="77777777" w:rsidR="00736B7D" w:rsidRPr="007859FC" w:rsidRDefault="00736B7D" w:rsidP="00736B7D">
            <w:pPr>
              <w:ind w:firstLine="0"/>
              <w:rPr>
                <w:color w:val="000000"/>
                <w:sz w:val="20"/>
                <w:szCs w:val="24"/>
              </w:rPr>
            </w:pPr>
            <w:r w:rsidRPr="007859FC">
              <w:rPr>
                <w:color w:val="000000"/>
                <w:sz w:val="20"/>
                <w:szCs w:val="24"/>
              </w:rPr>
              <w:t xml:space="preserve">Empreiteira participante do cartel e direcionamento de licitações e pagamentos de propina a diretores e executivos da Petrobras. </w:t>
            </w:r>
          </w:p>
        </w:tc>
      </w:tr>
      <w:tr w:rsidR="00736B7D" w:rsidRPr="007859FC" w14:paraId="1F2A17CF" w14:textId="77777777" w:rsidTr="004D3095">
        <w:trPr>
          <w:trHeight w:val="493"/>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4EC35790" w14:textId="01C7FFA1" w:rsidR="00736B7D" w:rsidRPr="007859FC" w:rsidRDefault="004D3095" w:rsidP="00736B7D">
            <w:pPr>
              <w:ind w:firstLine="0"/>
              <w:jc w:val="left"/>
              <w:rPr>
                <w:color w:val="000000"/>
                <w:sz w:val="20"/>
                <w:szCs w:val="24"/>
              </w:rPr>
            </w:pPr>
            <w:proofErr w:type="spellStart"/>
            <w:r w:rsidRPr="007859FC">
              <w:rPr>
                <w:color w:val="000000"/>
                <w:sz w:val="20"/>
                <w:szCs w:val="24"/>
              </w:rPr>
              <w:t>Brasken</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14:paraId="37030375" w14:textId="77777777" w:rsidR="00736B7D" w:rsidRPr="007859FC" w:rsidRDefault="00736B7D" w:rsidP="00736B7D">
            <w:pPr>
              <w:ind w:firstLine="0"/>
              <w:rPr>
                <w:color w:val="000000"/>
                <w:sz w:val="20"/>
                <w:szCs w:val="24"/>
              </w:rPr>
            </w:pPr>
            <w:r w:rsidRPr="007859FC">
              <w:rPr>
                <w:color w:val="000000"/>
                <w:sz w:val="20"/>
                <w:szCs w:val="24"/>
              </w:rPr>
              <w:t>BRA</w:t>
            </w:r>
          </w:p>
        </w:tc>
        <w:tc>
          <w:tcPr>
            <w:tcW w:w="7088" w:type="dxa"/>
            <w:tcBorders>
              <w:top w:val="nil"/>
              <w:left w:val="nil"/>
              <w:bottom w:val="single" w:sz="4" w:space="0" w:color="auto"/>
              <w:right w:val="single" w:sz="4" w:space="0" w:color="auto"/>
            </w:tcBorders>
            <w:shd w:val="clear" w:color="auto" w:fill="auto"/>
            <w:vAlign w:val="bottom"/>
            <w:hideMark/>
          </w:tcPr>
          <w:p w14:paraId="09A878AC" w14:textId="77777777" w:rsidR="00736B7D" w:rsidRPr="007859FC" w:rsidRDefault="00736B7D" w:rsidP="00736B7D">
            <w:pPr>
              <w:ind w:firstLine="0"/>
              <w:rPr>
                <w:color w:val="000000"/>
                <w:sz w:val="20"/>
                <w:szCs w:val="24"/>
              </w:rPr>
            </w:pPr>
            <w:r w:rsidRPr="007859FC">
              <w:rPr>
                <w:color w:val="000000"/>
                <w:sz w:val="20"/>
                <w:szCs w:val="24"/>
              </w:rPr>
              <w:t xml:space="preserve">Controlada pela </w:t>
            </w:r>
            <w:proofErr w:type="spellStart"/>
            <w:r w:rsidRPr="007859FC">
              <w:rPr>
                <w:color w:val="000000"/>
                <w:sz w:val="20"/>
                <w:szCs w:val="24"/>
              </w:rPr>
              <w:t>Odebrescht</w:t>
            </w:r>
            <w:proofErr w:type="spellEnd"/>
            <w:r w:rsidRPr="007859FC">
              <w:rPr>
                <w:color w:val="000000"/>
                <w:sz w:val="20"/>
                <w:szCs w:val="24"/>
              </w:rPr>
              <w:t xml:space="preserve"> e a Petrobrás. Acusada de pagar propina a políticos e executivo da Petrobras.</w:t>
            </w:r>
          </w:p>
        </w:tc>
      </w:tr>
      <w:tr w:rsidR="00736B7D" w:rsidRPr="007859FC" w14:paraId="4DA89151" w14:textId="77777777" w:rsidTr="004D3095">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2CE011F4" w14:textId="3F9E7757" w:rsidR="00736B7D" w:rsidRPr="007859FC" w:rsidRDefault="004D3095" w:rsidP="00736B7D">
            <w:pPr>
              <w:ind w:firstLine="0"/>
              <w:jc w:val="left"/>
              <w:rPr>
                <w:color w:val="000000"/>
                <w:sz w:val="20"/>
                <w:szCs w:val="24"/>
              </w:rPr>
            </w:pPr>
            <w:proofErr w:type="spellStart"/>
            <w:r w:rsidRPr="007859FC">
              <w:rPr>
                <w:color w:val="000000"/>
                <w:sz w:val="20"/>
                <w:szCs w:val="24"/>
              </w:rPr>
              <w:t>Btg</w:t>
            </w:r>
            <w:proofErr w:type="spellEnd"/>
            <w:r w:rsidRPr="007859FC">
              <w:rPr>
                <w:color w:val="000000"/>
                <w:sz w:val="20"/>
                <w:szCs w:val="24"/>
              </w:rPr>
              <w:t xml:space="preserve"> Pactual</w:t>
            </w:r>
          </w:p>
        </w:tc>
        <w:tc>
          <w:tcPr>
            <w:tcW w:w="567" w:type="dxa"/>
            <w:tcBorders>
              <w:top w:val="nil"/>
              <w:left w:val="nil"/>
              <w:bottom w:val="single" w:sz="4" w:space="0" w:color="auto"/>
              <w:right w:val="single" w:sz="4" w:space="0" w:color="auto"/>
            </w:tcBorders>
            <w:shd w:val="clear" w:color="auto" w:fill="auto"/>
            <w:noWrap/>
            <w:vAlign w:val="center"/>
            <w:hideMark/>
          </w:tcPr>
          <w:p w14:paraId="2B1D887F" w14:textId="77777777" w:rsidR="00736B7D" w:rsidRPr="007859FC" w:rsidRDefault="00736B7D" w:rsidP="00736B7D">
            <w:pPr>
              <w:ind w:firstLine="0"/>
              <w:rPr>
                <w:color w:val="000000"/>
                <w:sz w:val="20"/>
                <w:szCs w:val="24"/>
              </w:rPr>
            </w:pPr>
            <w:r w:rsidRPr="007859FC">
              <w:rPr>
                <w:color w:val="000000"/>
                <w:sz w:val="20"/>
                <w:szCs w:val="24"/>
              </w:rPr>
              <w:t>BTG</w:t>
            </w:r>
          </w:p>
        </w:tc>
        <w:tc>
          <w:tcPr>
            <w:tcW w:w="7088" w:type="dxa"/>
            <w:tcBorders>
              <w:top w:val="nil"/>
              <w:left w:val="nil"/>
              <w:bottom w:val="single" w:sz="4" w:space="0" w:color="auto"/>
              <w:right w:val="single" w:sz="4" w:space="0" w:color="auto"/>
            </w:tcBorders>
            <w:shd w:val="clear" w:color="auto" w:fill="auto"/>
            <w:vAlign w:val="bottom"/>
            <w:hideMark/>
          </w:tcPr>
          <w:p w14:paraId="270A3539" w14:textId="5A406C41" w:rsidR="00736B7D" w:rsidRPr="007859FC" w:rsidRDefault="00736B7D" w:rsidP="00736B7D">
            <w:pPr>
              <w:ind w:firstLine="0"/>
              <w:rPr>
                <w:color w:val="000000"/>
                <w:sz w:val="20"/>
                <w:szCs w:val="24"/>
              </w:rPr>
            </w:pPr>
            <w:r w:rsidRPr="007859FC">
              <w:rPr>
                <w:color w:val="000000" w:themeColor="text1"/>
                <w:sz w:val="20"/>
                <w:szCs w:val="24"/>
              </w:rPr>
              <w:t xml:space="preserve">Seu maior acionista, André Esteves foi preso acusado de planejar obstruir as investigações da Operação </w:t>
            </w:r>
            <w:r w:rsidR="004D3095">
              <w:rPr>
                <w:color w:val="000000" w:themeColor="text1"/>
                <w:sz w:val="20"/>
                <w:szCs w:val="24"/>
              </w:rPr>
              <w:t>Lava Jato</w:t>
            </w:r>
          </w:p>
        </w:tc>
      </w:tr>
      <w:tr w:rsidR="00736B7D" w:rsidRPr="007859FC" w14:paraId="7B7BA45D" w14:textId="77777777" w:rsidTr="004D3095">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6DBA073" w14:textId="0715FABA" w:rsidR="00736B7D" w:rsidRPr="007859FC" w:rsidRDefault="004D3095" w:rsidP="00736B7D">
            <w:pPr>
              <w:ind w:firstLine="0"/>
              <w:jc w:val="left"/>
              <w:rPr>
                <w:color w:val="000000"/>
                <w:sz w:val="20"/>
                <w:szCs w:val="24"/>
              </w:rPr>
            </w:pPr>
            <w:proofErr w:type="spellStart"/>
            <w:r w:rsidRPr="007859FC">
              <w:rPr>
                <w:color w:val="000000"/>
                <w:sz w:val="20"/>
                <w:szCs w:val="24"/>
              </w:rPr>
              <w:t>Eletrobras</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14:paraId="42A73551" w14:textId="77777777" w:rsidR="00736B7D" w:rsidRPr="007859FC" w:rsidRDefault="00736B7D" w:rsidP="00736B7D">
            <w:pPr>
              <w:ind w:firstLine="0"/>
              <w:rPr>
                <w:color w:val="000000"/>
                <w:sz w:val="20"/>
                <w:szCs w:val="24"/>
              </w:rPr>
            </w:pPr>
            <w:r w:rsidRPr="007859FC">
              <w:rPr>
                <w:color w:val="000000"/>
                <w:sz w:val="20"/>
                <w:szCs w:val="24"/>
              </w:rPr>
              <w:t>ETB</w:t>
            </w:r>
          </w:p>
        </w:tc>
        <w:tc>
          <w:tcPr>
            <w:tcW w:w="7088" w:type="dxa"/>
            <w:tcBorders>
              <w:top w:val="nil"/>
              <w:left w:val="nil"/>
              <w:bottom w:val="single" w:sz="4" w:space="0" w:color="auto"/>
              <w:right w:val="single" w:sz="4" w:space="0" w:color="auto"/>
            </w:tcBorders>
            <w:shd w:val="clear" w:color="auto" w:fill="auto"/>
            <w:vAlign w:val="bottom"/>
            <w:hideMark/>
          </w:tcPr>
          <w:p w14:paraId="23B54097" w14:textId="77777777" w:rsidR="00736B7D" w:rsidRPr="007859FC" w:rsidRDefault="00736B7D" w:rsidP="00736B7D">
            <w:pPr>
              <w:ind w:firstLine="0"/>
              <w:rPr>
                <w:color w:val="000000"/>
                <w:sz w:val="20"/>
                <w:szCs w:val="24"/>
              </w:rPr>
            </w:pPr>
            <w:r w:rsidRPr="007859FC">
              <w:rPr>
                <w:color w:val="000000"/>
                <w:sz w:val="20"/>
                <w:szCs w:val="24"/>
              </w:rPr>
              <w:t>A empresa é acusada de fraudes em licitações, corrupção e lavagem de dinheiro.</w:t>
            </w:r>
          </w:p>
        </w:tc>
      </w:tr>
      <w:tr w:rsidR="00736B7D" w:rsidRPr="007859FC" w14:paraId="607AA40E" w14:textId="77777777" w:rsidTr="004D3095">
        <w:trPr>
          <w:trHeight w:val="431"/>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15D76E0" w14:textId="4CEA609E" w:rsidR="00736B7D" w:rsidRPr="007859FC" w:rsidRDefault="004D3095" w:rsidP="00736B7D">
            <w:pPr>
              <w:ind w:firstLine="0"/>
              <w:jc w:val="left"/>
              <w:rPr>
                <w:color w:val="000000"/>
                <w:sz w:val="20"/>
                <w:szCs w:val="24"/>
              </w:rPr>
            </w:pPr>
            <w:r w:rsidRPr="007859FC">
              <w:rPr>
                <w:color w:val="000000"/>
                <w:sz w:val="20"/>
                <w:szCs w:val="24"/>
              </w:rPr>
              <w:t>Inepar</w:t>
            </w:r>
          </w:p>
        </w:tc>
        <w:tc>
          <w:tcPr>
            <w:tcW w:w="567" w:type="dxa"/>
            <w:tcBorders>
              <w:top w:val="nil"/>
              <w:left w:val="nil"/>
              <w:bottom w:val="single" w:sz="4" w:space="0" w:color="auto"/>
              <w:right w:val="single" w:sz="4" w:space="0" w:color="auto"/>
            </w:tcBorders>
            <w:shd w:val="clear" w:color="auto" w:fill="auto"/>
            <w:noWrap/>
            <w:vAlign w:val="center"/>
            <w:hideMark/>
          </w:tcPr>
          <w:p w14:paraId="09A64938" w14:textId="77777777" w:rsidR="00736B7D" w:rsidRPr="007859FC" w:rsidRDefault="00736B7D" w:rsidP="00736B7D">
            <w:pPr>
              <w:ind w:firstLine="0"/>
              <w:rPr>
                <w:color w:val="000000"/>
                <w:sz w:val="20"/>
                <w:szCs w:val="24"/>
              </w:rPr>
            </w:pPr>
            <w:r w:rsidRPr="007859FC">
              <w:rPr>
                <w:color w:val="000000"/>
                <w:sz w:val="20"/>
                <w:szCs w:val="24"/>
              </w:rPr>
              <w:t>INP</w:t>
            </w:r>
          </w:p>
        </w:tc>
        <w:tc>
          <w:tcPr>
            <w:tcW w:w="7088" w:type="dxa"/>
            <w:tcBorders>
              <w:top w:val="nil"/>
              <w:left w:val="nil"/>
              <w:bottom w:val="single" w:sz="4" w:space="0" w:color="auto"/>
              <w:right w:val="single" w:sz="4" w:space="0" w:color="auto"/>
            </w:tcBorders>
            <w:shd w:val="clear" w:color="auto" w:fill="auto"/>
            <w:vAlign w:val="bottom"/>
            <w:hideMark/>
          </w:tcPr>
          <w:p w14:paraId="4B5394A7" w14:textId="77777777" w:rsidR="00736B7D" w:rsidRPr="007859FC" w:rsidRDefault="00736B7D" w:rsidP="00736B7D">
            <w:pPr>
              <w:ind w:firstLine="0"/>
              <w:rPr>
                <w:color w:val="000000"/>
                <w:sz w:val="20"/>
                <w:szCs w:val="24"/>
              </w:rPr>
            </w:pPr>
            <w:r w:rsidRPr="007859FC">
              <w:rPr>
                <w:color w:val="000000"/>
                <w:sz w:val="20"/>
                <w:szCs w:val="24"/>
              </w:rPr>
              <w:t>Grupo controlador da IESA, empresa investigada por contratos superfaturados de plataformas de petróleo.</w:t>
            </w:r>
          </w:p>
        </w:tc>
      </w:tr>
      <w:tr w:rsidR="00736B7D" w:rsidRPr="007859FC" w14:paraId="161FDE9F" w14:textId="77777777" w:rsidTr="004D3095">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BF4A1AC" w14:textId="73BFB8FF" w:rsidR="00736B7D" w:rsidRPr="007859FC" w:rsidRDefault="004D3095" w:rsidP="00736B7D">
            <w:pPr>
              <w:ind w:firstLine="0"/>
              <w:jc w:val="left"/>
              <w:rPr>
                <w:color w:val="000000"/>
                <w:sz w:val="20"/>
                <w:szCs w:val="24"/>
              </w:rPr>
            </w:pPr>
            <w:proofErr w:type="spellStart"/>
            <w:r w:rsidRPr="007859FC">
              <w:rPr>
                <w:color w:val="000000"/>
                <w:sz w:val="20"/>
                <w:szCs w:val="24"/>
              </w:rPr>
              <w:t>Jbs</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14:paraId="52EB3599" w14:textId="77777777" w:rsidR="00736B7D" w:rsidRPr="007859FC" w:rsidRDefault="00736B7D" w:rsidP="00736B7D">
            <w:pPr>
              <w:ind w:firstLine="0"/>
              <w:rPr>
                <w:color w:val="000000"/>
                <w:sz w:val="20"/>
                <w:szCs w:val="24"/>
              </w:rPr>
            </w:pPr>
            <w:r w:rsidRPr="007859FC">
              <w:rPr>
                <w:color w:val="000000"/>
                <w:sz w:val="20"/>
                <w:szCs w:val="24"/>
              </w:rPr>
              <w:t>JBS</w:t>
            </w:r>
          </w:p>
        </w:tc>
        <w:tc>
          <w:tcPr>
            <w:tcW w:w="7088" w:type="dxa"/>
            <w:tcBorders>
              <w:top w:val="nil"/>
              <w:left w:val="nil"/>
              <w:bottom w:val="single" w:sz="4" w:space="0" w:color="auto"/>
              <w:right w:val="single" w:sz="4" w:space="0" w:color="auto"/>
            </w:tcBorders>
            <w:shd w:val="clear" w:color="auto" w:fill="auto"/>
            <w:vAlign w:val="bottom"/>
            <w:hideMark/>
          </w:tcPr>
          <w:p w14:paraId="247420ED" w14:textId="77777777" w:rsidR="00736B7D" w:rsidRPr="007859FC" w:rsidRDefault="00736B7D" w:rsidP="00736B7D">
            <w:pPr>
              <w:ind w:firstLine="0"/>
              <w:rPr>
                <w:color w:val="000000"/>
                <w:sz w:val="20"/>
                <w:szCs w:val="24"/>
              </w:rPr>
            </w:pPr>
            <w:r w:rsidRPr="007859FC">
              <w:rPr>
                <w:color w:val="000000"/>
                <w:sz w:val="20"/>
                <w:szCs w:val="24"/>
              </w:rPr>
              <w:t xml:space="preserve">Controlada pelo grupo J&amp;F, acusada de pagamento de propinas a políticos e fraudes nos fundos de pensões. </w:t>
            </w:r>
          </w:p>
        </w:tc>
      </w:tr>
      <w:tr w:rsidR="00736B7D" w:rsidRPr="007859FC" w14:paraId="72FE8764" w14:textId="77777777" w:rsidTr="004D3095">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FAC27EA" w14:textId="4A9B6651" w:rsidR="00736B7D" w:rsidRPr="007859FC" w:rsidRDefault="004D3095" w:rsidP="00736B7D">
            <w:pPr>
              <w:ind w:firstLine="0"/>
              <w:jc w:val="left"/>
              <w:rPr>
                <w:color w:val="000000"/>
                <w:sz w:val="20"/>
                <w:szCs w:val="24"/>
              </w:rPr>
            </w:pPr>
            <w:r w:rsidRPr="007859FC">
              <w:rPr>
                <w:color w:val="000000"/>
                <w:sz w:val="20"/>
                <w:szCs w:val="24"/>
              </w:rPr>
              <w:t>Mendes Junior</w:t>
            </w:r>
          </w:p>
        </w:tc>
        <w:tc>
          <w:tcPr>
            <w:tcW w:w="567" w:type="dxa"/>
            <w:tcBorders>
              <w:top w:val="nil"/>
              <w:left w:val="nil"/>
              <w:bottom w:val="single" w:sz="4" w:space="0" w:color="auto"/>
              <w:right w:val="single" w:sz="4" w:space="0" w:color="auto"/>
            </w:tcBorders>
            <w:shd w:val="clear" w:color="auto" w:fill="auto"/>
            <w:noWrap/>
            <w:vAlign w:val="center"/>
            <w:hideMark/>
          </w:tcPr>
          <w:p w14:paraId="6A843803" w14:textId="77777777" w:rsidR="00736B7D" w:rsidRPr="007859FC" w:rsidRDefault="00736B7D" w:rsidP="00736B7D">
            <w:pPr>
              <w:ind w:firstLine="0"/>
              <w:rPr>
                <w:color w:val="000000"/>
                <w:sz w:val="20"/>
                <w:szCs w:val="24"/>
              </w:rPr>
            </w:pPr>
            <w:r w:rsidRPr="007859FC">
              <w:rPr>
                <w:color w:val="000000"/>
                <w:sz w:val="20"/>
                <w:szCs w:val="24"/>
              </w:rPr>
              <w:t>MJ</w:t>
            </w:r>
          </w:p>
        </w:tc>
        <w:tc>
          <w:tcPr>
            <w:tcW w:w="7088" w:type="dxa"/>
            <w:tcBorders>
              <w:top w:val="nil"/>
              <w:left w:val="nil"/>
              <w:bottom w:val="single" w:sz="4" w:space="0" w:color="auto"/>
              <w:right w:val="single" w:sz="4" w:space="0" w:color="auto"/>
            </w:tcBorders>
            <w:shd w:val="clear" w:color="auto" w:fill="auto"/>
            <w:vAlign w:val="bottom"/>
            <w:hideMark/>
          </w:tcPr>
          <w:p w14:paraId="6D65BC87" w14:textId="77777777" w:rsidR="00736B7D" w:rsidRPr="007859FC" w:rsidRDefault="00736B7D" w:rsidP="00736B7D">
            <w:pPr>
              <w:ind w:firstLine="0"/>
              <w:rPr>
                <w:color w:val="000000"/>
                <w:sz w:val="20"/>
                <w:szCs w:val="24"/>
              </w:rPr>
            </w:pPr>
            <w:r w:rsidRPr="007859FC">
              <w:rPr>
                <w:color w:val="000000"/>
                <w:sz w:val="20"/>
                <w:szCs w:val="24"/>
              </w:rPr>
              <w:t>Primeira empreiteira a ser declarada como inidônea, condenada por fraudar licitações e pagamento de propinas a agentes públicos.</w:t>
            </w:r>
          </w:p>
        </w:tc>
      </w:tr>
      <w:tr w:rsidR="00736B7D" w:rsidRPr="007859FC" w14:paraId="58BF7AF6" w14:textId="77777777" w:rsidTr="004D3095">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299D0D60" w14:textId="14263D8E" w:rsidR="00736B7D" w:rsidRPr="007859FC" w:rsidRDefault="004D3095" w:rsidP="00736B7D">
            <w:pPr>
              <w:ind w:firstLine="0"/>
              <w:jc w:val="left"/>
              <w:rPr>
                <w:color w:val="000000"/>
                <w:sz w:val="20"/>
                <w:szCs w:val="24"/>
              </w:rPr>
            </w:pPr>
            <w:r w:rsidRPr="007859FC">
              <w:rPr>
                <w:color w:val="000000"/>
                <w:sz w:val="20"/>
                <w:szCs w:val="24"/>
              </w:rPr>
              <w:t>Petrobras</w:t>
            </w:r>
          </w:p>
        </w:tc>
        <w:tc>
          <w:tcPr>
            <w:tcW w:w="567" w:type="dxa"/>
            <w:tcBorders>
              <w:top w:val="nil"/>
              <w:left w:val="nil"/>
              <w:bottom w:val="single" w:sz="4" w:space="0" w:color="auto"/>
              <w:right w:val="single" w:sz="4" w:space="0" w:color="auto"/>
            </w:tcBorders>
            <w:shd w:val="clear" w:color="auto" w:fill="auto"/>
            <w:noWrap/>
            <w:vAlign w:val="center"/>
            <w:hideMark/>
          </w:tcPr>
          <w:p w14:paraId="0916F412" w14:textId="77777777" w:rsidR="00736B7D" w:rsidRPr="007859FC" w:rsidRDefault="00736B7D" w:rsidP="00736B7D">
            <w:pPr>
              <w:ind w:firstLine="0"/>
              <w:rPr>
                <w:color w:val="000000"/>
                <w:sz w:val="20"/>
                <w:szCs w:val="24"/>
              </w:rPr>
            </w:pPr>
            <w:r w:rsidRPr="007859FC">
              <w:rPr>
                <w:color w:val="000000"/>
                <w:sz w:val="20"/>
                <w:szCs w:val="24"/>
              </w:rPr>
              <w:t>PTR</w:t>
            </w:r>
          </w:p>
        </w:tc>
        <w:tc>
          <w:tcPr>
            <w:tcW w:w="7088" w:type="dxa"/>
            <w:tcBorders>
              <w:top w:val="nil"/>
              <w:left w:val="nil"/>
              <w:bottom w:val="single" w:sz="4" w:space="0" w:color="auto"/>
              <w:right w:val="single" w:sz="4" w:space="0" w:color="auto"/>
            </w:tcBorders>
            <w:shd w:val="clear" w:color="auto" w:fill="auto"/>
            <w:vAlign w:val="bottom"/>
            <w:hideMark/>
          </w:tcPr>
          <w:p w14:paraId="509E01FF" w14:textId="77777777" w:rsidR="00736B7D" w:rsidRPr="007859FC" w:rsidRDefault="00736B7D" w:rsidP="00736B7D">
            <w:pPr>
              <w:ind w:firstLine="0"/>
              <w:rPr>
                <w:color w:val="000000"/>
                <w:sz w:val="20"/>
                <w:szCs w:val="24"/>
              </w:rPr>
            </w:pPr>
            <w:r w:rsidRPr="007859FC">
              <w:rPr>
                <w:color w:val="000000"/>
                <w:sz w:val="20"/>
                <w:szCs w:val="24"/>
              </w:rPr>
              <w:t xml:space="preserve">Maior participante do esquema de pagamento de propina para as empreiteiras e políticos através de licitações fraudulentas e contratos superfaturados. </w:t>
            </w:r>
          </w:p>
        </w:tc>
      </w:tr>
      <w:tr w:rsidR="00736B7D" w:rsidRPr="007859FC" w14:paraId="1F0033B9" w14:textId="77777777" w:rsidTr="004D3095">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44DD1BB7" w14:textId="130E5C19" w:rsidR="00736B7D" w:rsidRPr="007859FC" w:rsidRDefault="004D3095" w:rsidP="00736B7D">
            <w:pPr>
              <w:ind w:firstLine="0"/>
              <w:jc w:val="left"/>
              <w:rPr>
                <w:color w:val="000000"/>
                <w:sz w:val="20"/>
                <w:szCs w:val="24"/>
              </w:rPr>
            </w:pPr>
            <w:r w:rsidRPr="007859FC">
              <w:rPr>
                <w:color w:val="000000"/>
                <w:sz w:val="20"/>
                <w:szCs w:val="24"/>
              </w:rPr>
              <w:t>Queiroz Galvão</w:t>
            </w:r>
          </w:p>
        </w:tc>
        <w:tc>
          <w:tcPr>
            <w:tcW w:w="567" w:type="dxa"/>
            <w:tcBorders>
              <w:top w:val="nil"/>
              <w:left w:val="nil"/>
              <w:bottom w:val="single" w:sz="4" w:space="0" w:color="auto"/>
              <w:right w:val="single" w:sz="4" w:space="0" w:color="auto"/>
            </w:tcBorders>
            <w:shd w:val="clear" w:color="auto" w:fill="auto"/>
            <w:noWrap/>
            <w:vAlign w:val="center"/>
            <w:hideMark/>
          </w:tcPr>
          <w:p w14:paraId="717D07FB" w14:textId="77777777" w:rsidR="00736B7D" w:rsidRPr="007859FC" w:rsidRDefault="00736B7D" w:rsidP="00736B7D">
            <w:pPr>
              <w:ind w:firstLine="0"/>
              <w:rPr>
                <w:color w:val="000000"/>
                <w:sz w:val="20"/>
                <w:szCs w:val="24"/>
              </w:rPr>
            </w:pPr>
            <w:r w:rsidRPr="007859FC">
              <w:rPr>
                <w:color w:val="000000"/>
                <w:sz w:val="20"/>
                <w:szCs w:val="24"/>
              </w:rPr>
              <w:t>QG</w:t>
            </w:r>
          </w:p>
        </w:tc>
        <w:tc>
          <w:tcPr>
            <w:tcW w:w="7088" w:type="dxa"/>
            <w:tcBorders>
              <w:top w:val="nil"/>
              <w:left w:val="nil"/>
              <w:bottom w:val="single" w:sz="4" w:space="0" w:color="auto"/>
              <w:right w:val="single" w:sz="4" w:space="0" w:color="auto"/>
            </w:tcBorders>
            <w:shd w:val="clear" w:color="auto" w:fill="auto"/>
            <w:vAlign w:val="bottom"/>
            <w:hideMark/>
          </w:tcPr>
          <w:p w14:paraId="64A8137B" w14:textId="77777777" w:rsidR="00736B7D" w:rsidRPr="007859FC" w:rsidRDefault="00736B7D" w:rsidP="00736B7D">
            <w:pPr>
              <w:ind w:firstLine="0"/>
              <w:rPr>
                <w:color w:val="000000"/>
                <w:sz w:val="20"/>
                <w:szCs w:val="24"/>
              </w:rPr>
            </w:pPr>
            <w:r w:rsidRPr="007859FC">
              <w:rPr>
                <w:color w:val="000000"/>
                <w:sz w:val="20"/>
                <w:szCs w:val="24"/>
              </w:rPr>
              <w:t>Acusada de fraude em contratos de licitação com a Petrobras e pagamento de propinas a políticos.</w:t>
            </w:r>
          </w:p>
        </w:tc>
      </w:tr>
      <w:tr w:rsidR="00736B7D" w:rsidRPr="007859FC" w14:paraId="398921C3" w14:textId="77777777" w:rsidTr="004D3095">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65CCF21B" w14:textId="1667B80B" w:rsidR="00736B7D" w:rsidRPr="007859FC" w:rsidRDefault="004D3095" w:rsidP="00736B7D">
            <w:pPr>
              <w:ind w:firstLine="0"/>
              <w:jc w:val="left"/>
              <w:rPr>
                <w:color w:val="000000"/>
                <w:sz w:val="20"/>
                <w:szCs w:val="24"/>
              </w:rPr>
            </w:pPr>
            <w:r w:rsidRPr="007859FC">
              <w:rPr>
                <w:color w:val="000000"/>
                <w:sz w:val="20"/>
                <w:szCs w:val="24"/>
              </w:rPr>
              <w:t>Vale</w:t>
            </w:r>
          </w:p>
        </w:tc>
        <w:tc>
          <w:tcPr>
            <w:tcW w:w="567" w:type="dxa"/>
            <w:tcBorders>
              <w:top w:val="nil"/>
              <w:left w:val="nil"/>
              <w:bottom w:val="single" w:sz="4" w:space="0" w:color="auto"/>
              <w:right w:val="single" w:sz="4" w:space="0" w:color="auto"/>
            </w:tcBorders>
            <w:shd w:val="clear" w:color="auto" w:fill="auto"/>
            <w:noWrap/>
            <w:vAlign w:val="center"/>
            <w:hideMark/>
          </w:tcPr>
          <w:p w14:paraId="0270F4F7" w14:textId="77777777" w:rsidR="00736B7D" w:rsidRPr="007859FC" w:rsidRDefault="00736B7D" w:rsidP="00736B7D">
            <w:pPr>
              <w:ind w:firstLine="0"/>
              <w:rPr>
                <w:color w:val="000000"/>
                <w:sz w:val="20"/>
                <w:szCs w:val="24"/>
              </w:rPr>
            </w:pPr>
            <w:r w:rsidRPr="007859FC">
              <w:rPr>
                <w:color w:val="000000"/>
                <w:sz w:val="20"/>
                <w:szCs w:val="24"/>
              </w:rPr>
              <w:t>VL</w:t>
            </w:r>
          </w:p>
        </w:tc>
        <w:tc>
          <w:tcPr>
            <w:tcW w:w="7088" w:type="dxa"/>
            <w:tcBorders>
              <w:top w:val="nil"/>
              <w:left w:val="nil"/>
              <w:bottom w:val="single" w:sz="4" w:space="0" w:color="auto"/>
              <w:right w:val="single" w:sz="4" w:space="0" w:color="auto"/>
            </w:tcBorders>
            <w:shd w:val="clear" w:color="auto" w:fill="auto"/>
            <w:vAlign w:val="bottom"/>
            <w:hideMark/>
          </w:tcPr>
          <w:p w14:paraId="42726493" w14:textId="77777777" w:rsidR="00736B7D" w:rsidRPr="007859FC" w:rsidRDefault="00736B7D" w:rsidP="00736B7D">
            <w:pPr>
              <w:ind w:firstLine="0"/>
              <w:rPr>
                <w:color w:val="000000"/>
                <w:sz w:val="20"/>
                <w:szCs w:val="24"/>
              </w:rPr>
            </w:pPr>
            <w:r w:rsidRPr="007859FC">
              <w:rPr>
                <w:color w:val="000000"/>
                <w:sz w:val="20"/>
                <w:szCs w:val="24"/>
              </w:rPr>
              <w:t>Empresa acusada de lobby com governo e de pagar corrupção em Royalties de mineração.</w:t>
            </w:r>
          </w:p>
        </w:tc>
      </w:tr>
    </w:tbl>
    <w:p w14:paraId="5CE115D2" w14:textId="005555B8" w:rsidR="00736B7D" w:rsidRPr="007859FC" w:rsidRDefault="00736B7D" w:rsidP="00736B7D">
      <w:pPr>
        <w:spacing w:after="120"/>
        <w:ind w:firstLine="0"/>
        <w:rPr>
          <w:color w:val="000000" w:themeColor="text1"/>
          <w:sz w:val="20"/>
          <w:szCs w:val="24"/>
          <w:shd w:val="clear" w:color="auto" w:fill="FFFFFF"/>
        </w:rPr>
      </w:pPr>
      <w:r w:rsidRPr="007859FC">
        <w:rPr>
          <w:color w:val="000000" w:themeColor="text1"/>
          <w:sz w:val="20"/>
          <w:szCs w:val="24"/>
          <w:shd w:val="clear" w:color="auto" w:fill="FFFFFF"/>
        </w:rPr>
        <w:t xml:space="preserve">Fonte: Elaborado </w:t>
      </w:r>
      <w:r>
        <w:rPr>
          <w:color w:val="000000" w:themeColor="text1"/>
          <w:sz w:val="20"/>
          <w:szCs w:val="24"/>
          <w:shd w:val="clear" w:color="auto" w:fill="FFFFFF"/>
        </w:rPr>
        <w:t>pelos autores</w:t>
      </w:r>
      <w:r w:rsidRPr="007859FC">
        <w:rPr>
          <w:color w:val="000000" w:themeColor="text1"/>
          <w:sz w:val="20"/>
          <w:szCs w:val="24"/>
          <w:shd w:val="clear" w:color="auto" w:fill="FFFFFF"/>
        </w:rPr>
        <w:t>.</w:t>
      </w:r>
    </w:p>
    <w:p w14:paraId="282599D8" w14:textId="4F162367" w:rsidR="00736B7D" w:rsidRPr="008343F2" w:rsidRDefault="00736B7D" w:rsidP="00736B7D">
      <w:pPr>
        <w:ind w:firstLine="708"/>
        <w:rPr>
          <w:color w:val="000000" w:themeColor="text1"/>
          <w:szCs w:val="24"/>
          <w:shd w:val="clear" w:color="auto" w:fill="FFFFFF"/>
        </w:rPr>
      </w:pPr>
      <w:r w:rsidRPr="008343F2">
        <w:rPr>
          <w:color w:val="000000" w:themeColor="text1"/>
          <w:szCs w:val="24"/>
          <w:shd w:val="clear" w:color="auto" w:fill="FFFFFF"/>
        </w:rPr>
        <w:t>As informações foram coletadas nas notas explicativas (NE), no Balanço Patrimonial (BP), Demonstração de Resultado (DRE) e no relatório da opinião dos auditores, visando identificar se as empresas de auditoria do período observado, apresentaram no</w:t>
      </w:r>
      <w:r w:rsidR="008343F2">
        <w:rPr>
          <w:color w:val="000000" w:themeColor="text1"/>
          <w:szCs w:val="24"/>
          <w:shd w:val="clear" w:color="auto" w:fill="FFFFFF"/>
        </w:rPr>
        <w:t>s</w:t>
      </w:r>
      <w:r w:rsidRPr="008343F2">
        <w:rPr>
          <w:color w:val="000000" w:themeColor="text1"/>
          <w:szCs w:val="24"/>
          <w:shd w:val="clear" w:color="auto" w:fill="FFFFFF"/>
        </w:rPr>
        <w:t xml:space="preserve"> parecer</w:t>
      </w:r>
      <w:r w:rsidR="008343F2">
        <w:rPr>
          <w:color w:val="000000" w:themeColor="text1"/>
          <w:szCs w:val="24"/>
          <w:shd w:val="clear" w:color="auto" w:fill="FFFFFF"/>
        </w:rPr>
        <w:t>es</w:t>
      </w:r>
      <w:r w:rsidRPr="008343F2">
        <w:rPr>
          <w:color w:val="000000" w:themeColor="text1"/>
          <w:szCs w:val="24"/>
          <w:shd w:val="clear" w:color="auto" w:fill="FFFFFF"/>
        </w:rPr>
        <w:t xml:space="preserve"> ressalva</w:t>
      </w:r>
      <w:r w:rsidR="008343F2">
        <w:rPr>
          <w:color w:val="000000" w:themeColor="text1"/>
          <w:szCs w:val="24"/>
          <w:shd w:val="clear" w:color="auto" w:fill="FFFFFF"/>
        </w:rPr>
        <w:t xml:space="preserve">, bem como, </w:t>
      </w:r>
      <w:r w:rsidRPr="008343F2">
        <w:rPr>
          <w:color w:val="000000" w:themeColor="text1"/>
          <w:szCs w:val="24"/>
          <w:shd w:val="clear" w:color="auto" w:fill="FFFFFF"/>
        </w:rPr>
        <w:t>se h</w:t>
      </w:r>
      <w:r w:rsidR="008343F2">
        <w:rPr>
          <w:color w:val="000000" w:themeColor="text1"/>
          <w:szCs w:val="24"/>
          <w:shd w:val="clear" w:color="auto" w:fill="FFFFFF"/>
        </w:rPr>
        <w:t>ouve</w:t>
      </w:r>
      <w:r w:rsidRPr="008343F2">
        <w:rPr>
          <w:color w:val="000000" w:themeColor="text1"/>
          <w:szCs w:val="24"/>
          <w:shd w:val="clear" w:color="auto" w:fill="FFFFFF"/>
        </w:rPr>
        <w:t xml:space="preserve"> evidenciação de valores desembolsados com multas ou acordos  decorrentes da Operação </w:t>
      </w:r>
      <w:r w:rsidR="004D3095">
        <w:rPr>
          <w:color w:val="000000" w:themeColor="text1"/>
          <w:szCs w:val="24"/>
          <w:shd w:val="clear" w:color="auto" w:fill="FFFFFF"/>
        </w:rPr>
        <w:t>Lava Jato</w:t>
      </w:r>
      <w:r w:rsidRPr="008343F2">
        <w:rPr>
          <w:color w:val="000000" w:themeColor="text1"/>
          <w:szCs w:val="24"/>
          <w:shd w:val="clear" w:color="auto" w:fill="FFFFFF"/>
        </w:rPr>
        <w:t xml:space="preserve"> e se os fatos sobre as investigações foram destacados pelos auditores </w:t>
      </w:r>
      <w:r w:rsidR="008343F2">
        <w:rPr>
          <w:color w:val="000000" w:themeColor="text1"/>
          <w:szCs w:val="24"/>
          <w:shd w:val="clear" w:color="auto" w:fill="FFFFFF"/>
        </w:rPr>
        <w:t>ou</w:t>
      </w:r>
      <w:r w:rsidRPr="008343F2">
        <w:rPr>
          <w:color w:val="000000" w:themeColor="text1"/>
          <w:szCs w:val="24"/>
          <w:shd w:val="clear" w:color="auto" w:fill="FFFFFF"/>
        </w:rPr>
        <w:t xml:space="preserve"> pelas empresas </w:t>
      </w:r>
      <w:r w:rsidR="008343F2">
        <w:rPr>
          <w:color w:val="000000" w:themeColor="text1"/>
          <w:szCs w:val="24"/>
          <w:shd w:val="clear" w:color="auto" w:fill="FFFFFF"/>
        </w:rPr>
        <w:t>nas</w:t>
      </w:r>
      <w:r w:rsidRPr="008343F2">
        <w:rPr>
          <w:color w:val="000000" w:themeColor="text1"/>
          <w:szCs w:val="24"/>
          <w:shd w:val="clear" w:color="auto" w:fill="FFFFFF"/>
        </w:rPr>
        <w:t xml:space="preserve"> notas explicativas. A</w:t>
      </w:r>
      <w:r w:rsidRPr="007859FC">
        <w:rPr>
          <w:color w:val="000000" w:themeColor="text1"/>
          <w:szCs w:val="24"/>
          <w:shd w:val="clear" w:color="auto" w:fill="FFFFFF"/>
        </w:rPr>
        <w:t xml:space="preserve"> coleta de dados foi extraída das demonstrações contábeis divulgadas na B3, no período de 2010 </w:t>
      </w:r>
      <w:proofErr w:type="gramStart"/>
      <w:r w:rsidRPr="007859FC">
        <w:rPr>
          <w:color w:val="000000" w:themeColor="text1"/>
          <w:szCs w:val="24"/>
          <w:shd w:val="clear" w:color="auto" w:fill="FFFFFF"/>
        </w:rPr>
        <w:t>à</w:t>
      </w:r>
      <w:proofErr w:type="gramEnd"/>
      <w:r w:rsidRPr="007859FC">
        <w:rPr>
          <w:color w:val="000000" w:themeColor="text1"/>
          <w:szCs w:val="24"/>
          <w:shd w:val="clear" w:color="auto" w:fill="FFFFFF"/>
        </w:rPr>
        <w:t xml:space="preserve"> 2018, exceto da empresa Inepar referente as demonstrações contábeis do </w:t>
      </w:r>
      <w:r w:rsidRPr="008343F2">
        <w:rPr>
          <w:color w:val="000000" w:themeColor="text1"/>
          <w:szCs w:val="24"/>
          <w:shd w:val="clear" w:color="auto" w:fill="FFFFFF"/>
        </w:rPr>
        <w:t>período de 2018, devido a não publicação das demonstrações até encerramento do presente estudo.</w:t>
      </w:r>
    </w:p>
    <w:p w14:paraId="253BA02D" w14:textId="77777777" w:rsidR="00736B7D" w:rsidRPr="008343F2" w:rsidRDefault="00736B7D" w:rsidP="00736B7D">
      <w:pPr>
        <w:ind w:firstLine="0"/>
        <w:rPr>
          <w:b/>
          <w:szCs w:val="24"/>
        </w:rPr>
      </w:pPr>
    </w:p>
    <w:p w14:paraId="458BC30B" w14:textId="0419EF43" w:rsidR="00736B7D" w:rsidRPr="008343F2" w:rsidRDefault="00736B7D" w:rsidP="00736B7D">
      <w:pPr>
        <w:ind w:firstLine="0"/>
        <w:rPr>
          <w:b/>
          <w:szCs w:val="24"/>
        </w:rPr>
      </w:pPr>
      <w:r w:rsidRPr="008343F2">
        <w:rPr>
          <w:b/>
          <w:szCs w:val="24"/>
        </w:rPr>
        <w:t>4 Análise e Interpretação dos Resultados</w:t>
      </w:r>
    </w:p>
    <w:p w14:paraId="1DC65317" w14:textId="1DAB09BD" w:rsidR="00736B7D" w:rsidRPr="008343F2" w:rsidRDefault="00736B7D" w:rsidP="00736B7D">
      <w:pPr>
        <w:ind w:firstLine="708"/>
        <w:rPr>
          <w:color w:val="000000" w:themeColor="text1"/>
          <w:szCs w:val="24"/>
          <w:shd w:val="clear" w:color="auto" w:fill="FFFFFF"/>
        </w:rPr>
      </w:pPr>
      <w:r w:rsidRPr="008343F2">
        <w:rPr>
          <w:color w:val="000000" w:themeColor="text1"/>
          <w:szCs w:val="24"/>
          <w:shd w:val="clear" w:color="auto" w:fill="FFFFFF"/>
        </w:rPr>
        <w:t>Inicialmente foi verificado as principais mudanças nas reapresentações das demonstrações contábeis divulgadas pelas empresas divulgadas na B3, após foi verificado os relatórios das opiniões dos auditores e das notas explicativas, exceto da empresa Inepar referente às demonstrações contábeis d</w:t>
      </w:r>
      <w:r w:rsidR="002F79A6">
        <w:rPr>
          <w:color w:val="000000" w:themeColor="text1"/>
          <w:szCs w:val="24"/>
          <w:shd w:val="clear" w:color="auto" w:fill="FFFFFF"/>
        </w:rPr>
        <w:t>e</w:t>
      </w:r>
      <w:r w:rsidRPr="008343F2">
        <w:rPr>
          <w:color w:val="000000" w:themeColor="text1"/>
          <w:szCs w:val="24"/>
          <w:shd w:val="clear" w:color="auto" w:fill="FFFFFF"/>
        </w:rPr>
        <w:t xml:space="preserve"> 2018, devido a não divulgação até 31 de maio de 2019.</w:t>
      </w:r>
    </w:p>
    <w:p w14:paraId="5C6E67E1" w14:textId="77777777" w:rsidR="00736B7D" w:rsidRPr="007859FC" w:rsidRDefault="00736B7D" w:rsidP="00736B7D">
      <w:pPr>
        <w:ind w:firstLine="708"/>
        <w:rPr>
          <w:color w:val="000000" w:themeColor="text1"/>
          <w:szCs w:val="24"/>
          <w:shd w:val="clear" w:color="auto" w:fill="FFFFFF"/>
        </w:rPr>
      </w:pPr>
      <w:r w:rsidRPr="008343F2">
        <w:rPr>
          <w:color w:val="000000" w:themeColor="text1"/>
          <w:szCs w:val="24"/>
          <w:shd w:val="clear" w:color="auto" w:fill="FFFFFF"/>
        </w:rPr>
        <w:t>Na análise dos resultados obtidos identificou-se que muitas empresas modificaram e reapresentaram os</w:t>
      </w:r>
      <w:r w:rsidRPr="007859FC">
        <w:rPr>
          <w:color w:val="000000" w:themeColor="text1"/>
          <w:szCs w:val="24"/>
          <w:shd w:val="clear" w:color="auto" w:fill="FFFFFF"/>
        </w:rPr>
        <w:t xml:space="preserve"> resultados das suas demonstrações contábeis durante o período analisado, dentre as principais mudanças destacam-se:</w:t>
      </w:r>
    </w:p>
    <w:p w14:paraId="12940A5E" w14:textId="5AE3FA46" w:rsidR="00736B7D" w:rsidRPr="007859FC" w:rsidRDefault="00D91454" w:rsidP="00D91454">
      <w:pPr>
        <w:spacing w:before="120"/>
        <w:ind w:firstLine="0"/>
        <w:rPr>
          <w:b/>
          <w:bCs/>
          <w:color w:val="000000" w:themeColor="text1"/>
          <w:sz w:val="20"/>
          <w:shd w:val="clear" w:color="auto" w:fill="FFFFFF"/>
        </w:rPr>
      </w:pPr>
      <w:r>
        <w:rPr>
          <w:b/>
          <w:bCs/>
          <w:color w:val="000000" w:themeColor="text1"/>
          <w:sz w:val="20"/>
          <w:shd w:val="clear" w:color="auto" w:fill="FFFFFF"/>
        </w:rPr>
        <w:lastRenderedPageBreak/>
        <w:t>Tabela</w:t>
      </w:r>
      <w:r w:rsidR="00736B7D" w:rsidRPr="007859FC">
        <w:rPr>
          <w:b/>
          <w:bCs/>
          <w:color w:val="000000" w:themeColor="text1"/>
          <w:sz w:val="20"/>
          <w:shd w:val="clear" w:color="auto" w:fill="FFFFFF"/>
        </w:rPr>
        <w:t xml:space="preserve"> </w:t>
      </w:r>
      <w:r w:rsidR="00B605CA">
        <w:rPr>
          <w:b/>
          <w:bCs/>
          <w:color w:val="000000" w:themeColor="text1"/>
          <w:sz w:val="20"/>
          <w:shd w:val="clear" w:color="auto" w:fill="FFFFFF"/>
        </w:rPr>
        <w:t>3</w:t>
      </w:r>
      <w:r w:rsidR="00736B7D" w:rsidRPr="007859FC">
        <w:rPr>
          <w:b/>
          <w:bCs/>
          <w:color w:val="000000" w:themeColor="text1"/>
          <w:sz w:val="20"/>
          <w:shd w:val="clear" w:color="auto" w:fill="FFFFFF"/>
        </w:rPr>
        <w:t>: Análise das empresas que realizaram ajustes contábeis</w:t>
      </w:r>
    </w:p>
    <w:tbl>
      <w:tblPr>
        <w:tblW w:w="9415" w:type="dxa"/>
        <w:tblInd w:w="-20" w:type="dxa"/>
        <w:tblCellMar>
          <w:left w:w="70" w:type="dxa"/>
          <w:right w:w="70" w:type="dxa"/>
        </w:tblCellMar>
        <w:tblLook w:val="04A0" w:firstRow="1" w:lastRow="0" w:firstColumn="1" w:lastColumn="0" w:noHBand="0" w:noVBand="1"/>
      </w:tblPr>
      <w:tblGrid>
        <w:gridCol w:w="1272"/>
        <w:gridCol w:w="708"/>
        <w:gridCol w:w="1240"/>
        <w:gridCol w:w="1405"/>
        <w:gridCol w:w="1702"/>
        <w:gridCol w:w="918"/>
        <w:gridCol w:w="2170"/>
      </w:tblGrid>
      <w:tr w:rsidR="00D91454" w:rsidRPr="007859FC" w14:paraId="3872A84E" w14:textId="77777777" w:rsidTr="004D3095">
        <w:trPr>
          <w:trHeight w:val="315"/>
        </w:trPr>
        <w:tc>
          <w:tcPr>
            <w:tcW w:w="12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E73A4" w14:textId="77777777" w:rsidR="00736B7D" w:rsidRPr="007859FC" w:rsidRDefault="00736B7D" w:rsidP="00867A50">
            <w:pPr>
              <w:ind w:firstLine="0"/>
              <w:rPr>
                <w:b/>
                <w:bCs/>
                <w:color w:val="000000"/>
                <w:sz w:val="20"/>
              </w:rPr>
            </w:pPr>
            <w:r w:rsidRPr="007859FC">
              <w:rPr>
                <w:b/>
                <w:bCs/>
                <w:color w:val="000000"/>
                <w:sz w:val="20"/>
              </w:rPr>
              <w:t>Empresa</w:t>
            </w:r>
          </w:p>
        </w:tc>
        <w:tc>
          <w:tcPr>
            <w:tcW w:w="708" w:type="dxa"/>
            <w:tcBorders>
              <w:top w:val="single" w:sz="4" w:space="0" w:color="auto"/>
              <w:left w:val="nil"/>
              <w:bottom w:val="single" w:sz="4" w:space="0" w:color="auto"/>
              <w:right w:val="single" w:sz="4" w:space="0" w:color="auto"/>
            </w:tcBorders>
            <w:shd w:val="clear" w:color="auto" w:fill="auto"/>
            <w:vAlign w:val="center"/>
            <w:hideMark/>
          </w:tcPr>
          <w:p w14:paraId="46873CF5" w14:textId="77777777" w:rsidR="00736B7D" w:rsidRPr="007859FC" w:rsidRDefault="00736B7D" w:rsidP="00867A50">
            <w:pPr>
              <w:ind w:firstLine="0"/>
              <w:rPr>
                <w:b/>
                <w:bCs/>
                <w:color w:val="000000"/>
                <w:sz w:val="20"/>
              </w:rPr>
            </w:pPr>
            <w:r w:rsidRPr="007859FC">
              <w:rPr>
                <w:b/>
                <w:bCs/>
                <w:color w:val="000000"/>
                <w:sz w:val="20"/>
              </w:rPr>
              <w:t>Ano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D3A6FCD" w14:textId="77777777" w:rsidR="00736B7D" w:rsidRPr="007859FC" w:rsidRDefault="00736B7D" w:rsidP="00867A50">
            <w:pPr>
              <w:ind w:firstLine="0"/>
              <w:rPr>
                <w:b/>
                <w:bCs/>
                <w:color w:val="000000"/>
                <w:sz w:val="20"/>
              </w:rPr>
            </w:pPr>
            <w:r w:rsidRPr="007859FC">
              <w:rPr>
                <w:b/>
                <w:bCs/>
                <w:color w:val="000000"/>
                <w:sz w:val="20"/>
              </w:rPr>
              <w:t>Conta</w:t>
            </w:r>
          </w:p>
        </w:tc>
        <w:tc>
          <w:tcPr>
            <w:tcW w:w="1405" w:type="dxa"/>
            <w:tcBorders>
              <w:top w:val="single" w:sz="4" w:space="0" w:color="auto"/>
              <w:left w:val="nil"/>
              <w:bottom w:val="single" w:sz="4" w:space="0" w:color="auto"/>
              <w:right w:val="single" w:sz="4" w:space="0" w:color="auto"/>
            </w:tcBorders>
            <w:shd w:val="clear" w:color="auto" w:fill="auto"/>
            <w:vAlign w:val="center"/>
            <w:hideMark/>
          </w:tcPr>
          <w:p w14:paraId="55DFDB6C" w14:textId="77777777" w:rsidR="00736B7D" w:rsidRPr="007859FC" w:rsidRDefault="00736B7D" w:rsidP="00D91454">
            <w:pPr>
              <w:ind w:firstLine="0"/>
              <w:rPr>
                <w:b/>
                <w:bCs/>
                <w:color w:val="000000"/>
                <w:sz w:val="20"/>
              </w:rPr>
            </w:pPr>
            <w:r w:rsidRPr="007859FC">
              <w:rPr>
                <w:b/>
                <w:bCs/>
                <w:color w:val="000000"/>
                <w:sz w:val="20"/>
              </w:rPr>
              <w:t>Valor R$ (milhares)</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14:paraId="07F190CF" w14:textId="77777777" w:rsidR="00736B7D" w:rsidRPr="007859FC" w:rsidRDefault="00736B7D" w:rsidP="00D91454">
            <w:pPr>
              <w:ind w:firstLine="0"/>
              <w:rPr>
                <w:b/>
                <w:bCs/>
                <w:color w:val="000000"/>
                <w:sz w:val="20"/>
              </w:rPr>
            </w:pPr>
            <w:r w:rsidRPr="007859FC">
              <w:rPr>
                <w:b/>
                <w:bCs/>
                <w:color w:val="000000"/>
                <w:sz w:val="20"/>
              </w:rPr>
              <w:t>Reapresentado R$ (milhares)</w:t>
            </w:r>
          </w:p>
        </w:tc>
        <w:tc>
          <w:tcPr>
            <w:tcW w:w="898" w:type="dxa"/>
            <w:tcBorders>
              <w:top w:val="single" w:sz="4" w:space="0" w:color="auto"/>
              <w:left w:val="nil"/>
              <w:bottom w:val="single" w:sz="4" w:space="0" w:color="auto"/>
              <w:right w:val="single" w:sz="4" w:space="0" w:color="auto"/>
            </w:tcBorders>
            <w:shd w:val="clear" w:color="auto" w:fill="auto"/>
            <w:vAlign w:val="center"/>
            <w:hideMark/>
          </w:tcPr>
          <w:p w14:paraId="594D0F1E" w14:textId="77777777" w:rsidR="00736B7D" w:rsidRPr="007859FC" w:rsidRDefault="00736B7D" w:rsidP="004D3095">
            <w:pPr>
              <w:ind w:firstLine="0"/>
              <w:jc w:val="center"/>
              <w:rPr>
                <w:b/>
                <w:bCs/>
                <w:color w:val="000000"/>
                <w:sz w:val="20"/>
              </w:rPr>
            </w:pPr>
            <w:r w:rsidRPr="007859FC">
              <w:rPr>
                <w:b/>
                <w:bCs/>
                <w:color w:val="000000"/>
                <w:sz w:val="20"/>
              </w:rPr>
              <w:t>Variação %</w:t>
            </w:r>
          </w:p>
        </w:tc>
        <w:tc>
          <w:tcPr>
            <w:tcW w:w="2170" w:type="dxa"/>
            <w:tcBorders>
              <w:top w:val="single" w:sz="4" w:space="0" w:color="auto"/>
              <w:left w:val="nil"/>
              <w:bottom w:val="single" w:sz="4" w:space="0" w:color="auto"/>
              <w:right w:val="single" w:sz="4" w:space="0" w:color="auto"/>
            </w:tcBorders>
            <w:shd w:val="clear" w:color="auto" w:fill="auto"/>
            <w:vAlign w:val="center"/>
            <w:hideMark/>
          </w:tcPr>
          <w:p w14:paraId="7C49DB65" w14:textId="77777777" w:rsidR="00736B7D" w:rsidRPr="007859FC" w:rsidRDefault="00736B7D" w:rsidP="00E92C38">
            <w:pPr>
              <w:jc w:val="center"/>
              <w:rPr>
                <w:b/>
                <w:bCs/>
                <w:color w:val="000000"/>
                <w:sz w:val="20"/>
              </w:rPr>
            </w:pPr>
            <w:r w:rsidRPr="007859FC">
              <w:rPr>
                <w:b/>
                <w:bCs/>
                <w:color w:val="000000"/>
                <w:sz w:val="20"/>
              </w:rPr>
              <w:t>Motivo</w:t>
            </w:r>
          </w:p>
        </w:tc>
      </w:tr>
      <w:tr w:rsidR="00D91454" w:rsidRPr="007859FC" w14:paraId="647FA43E" w14:textId="77777777" w:rsidTr="004D3095">
        <w:trPr>
          <w:trHeight w:val="315"/>
        </w:trPr>
        <w:tc>
          <w:tcPr>
            <w:tcW w:w="1292" w:type="dxa"/>
            <w:tcBorders>
              <w:top w:val="single" w:sz="4" w:space="0" w:color="auto"/>
              <w:left w:val="single" w:sz="4" w:space="0" w:color="auto"/>
              <w:bottom w:val="single" w:sz="4" w:space="0" w:color="auto"/>
              <w:right w:val="single" w:sz="4" w:space="0" w:color="auto"/>
            </w:tcBorders>
            <w:shd w:val="clear" w:color="auto" w:fill="auto"/>
            <w:vAlign w:val="center"/>
          </w:tcPr>
          <w:p w14:paraId="21AF807E" w14:textId="77777777" w:rsidR="00736B7D" w:rsidRPr="007859FC" w:rsidRDefault="00736B7D" w:rsidP="00867A50">
            <w:pPr>
              <w:ind w:firstLine="0"/>
              <w:rPr>
                <w:color w:val="000000"/>
                <w:sz w:val="20"/>
              </w:rPr>
            </w:pPr>
            <w:r w:rsidRPr="007859FC">
              <w:rPr>
                <w:color w:val="000000"/>
                <w:sz w:val="20"/>
              </w:rPr>
              <w:t>Andrade Gutierrez</w:t>
            </w:r>
          </w:p>
        </w:tc>
        <w:tc>
          <w:tcPr>
            <w:tcW w:w="708" w:type="dxa"/>
            <w:tcBorders>
              <w:top w:val="single" w:sz="4" w:space="0" w:color="auto"/>
              <w:left w:val="nil"/>
              <w:bottom w:val="single" w:sz="4" w:space="0" w:color="auto"/>
              <w:right w:val="single" w:sz="4" w:space="0" w:color="auto"/>
            </w:tcBorders>
            <w:shd w:val="clear" w:color="auto" w:fill="auto"/>
            <w:vAlign w:val="center"/>
          </w:tcPr>
          <w:p w14:paraId="64E1388A" w14:textId="77777777" w:rsidR="00736B7D" w:rsidRPr="007859FC" w:rsidRDefault="00736B7D" w:rsidP="00867A50">
            <w:pPr>
              <w:ind w:firstLine="0"/>
              <w:rPr>
                <w:color w:val="000000"/>
                <w:sz w:val="20"/>
              </w:rPr>
            </w:pPr>
            <w:r w:rsidRPr="007859FC">
              <w:rPr>
                <w:color w:val="000000"/>
                <w:sz w:val="20"/>
              </w:rPr>
              <w:t>2012</w:t>
            </w:r>
          </w:p>
        </w:tc>
        <w:tc>
          <w:tcPr>
            <w:tcW w:w="1240" w:type="dxa"/>
            <w:tcBorders>
              <w:top w:val="single" w:sz="4" w:space="0" w:color="auto"/>
              <w:left w:val="nil"/>
              <w:bottom w:val="single" w:sz="4" w:space="0" w:color="auto"/>
              <w:right w:val="single" w:sz="4" w:space="0" w:color="auto"/>
            </w:tcBorders>
            <w:shd w:val="clear" w:color="auto" w:fill="auto"/>
            <w:vAlign w:val="center"/>
          </w:tcPr>
          <w:p w14:paraId="2F42ED03" w14:textId="77777777" w:rsidR="00736B7D" w:rsidRPr="007859FC" w:rsidRDefault="00736B7D" w:rsidP="00867A50">
            <w:pPr>
              <w:ind w:firstLine="0"/>
              <w:rPr>
                <w:color w:val="000000"/>
                <w:sz w:val="20"/>
              </w:rPr>
            </w:pPr>
            <w:r w:rsidRPr="007859FC">
              <w:rPr>
                <w:color w:val="000000"/>
                <w:sz w:val="20"/>
              </w:rPr>
              <w:t>Passivo Total</w:t>
            </w:r>
          </w:p>
        </w:tc>
        <w:tc>
          <w:tcPr>
            <w:tcW w:w="1405" w:type="dxa"/>
            <w:tcBorders>
              <w:top w:val="single" w:sz="4" w:space="0" w:color="auto"/>
              <w:left w:val="nil"/>
              <w:bottom w:val="single" w:sz="4" w:space="0" w:color="auto"/>
              <w:right w:val="single" w:sz="4" w:space="0" w:color="auto"/>
            </w:tcBorders>
            <w:shd w:val="clear" w:color="auto" w:fill="auto"/>
            <w:vAlign w:val="center"/>
          </w:tcPr>
          <w:p w14:paraId="358B4EA1" w14:textId="77777777" w:rsidR="00736B7D" w:rsidRPr="007859FC" w:rsidRDefault="00736B7D" w:rsidP="00D91454">
            <w:pPr>
              <w:ind w:firstLine="0"/>
              <w:jc w:val="center"/>
              <w:rPr>
                <w:color w:val="000000"/>
                <w:sz w:val="20"/>
              </w:rPr>
            </w:pPr>
            <w:r w:rsidRPr="007859FC">
              <w:rPr>
                <w:color w:val="000000"/>
                <w:sz w:val="20"/>
              </w:rPr>
              <w:t>6.659.705</w:t>
            </w:r>
          </w:p>
        </w:tc>
        <w:tc>
          <w:tcPr>
            <w:tcW w:w="1702" w:type="dxa"/>
            <w:tcBorders>
              <w:top w:val="single" w:sz="4" w:space="0" w:color="auto"/>
              <w:left w:val="nil"/>
              <w:bottom w:val="single" w:sz="4" w:space="0" w:color="auto"/>
              <w:right w:val="single" w:sz="4" w:space="0" w:color="auto"/>
            </w:tcBorders>
            <w:shd w:val="clear" w:color="auto" w:fill="auto"/>
            <w:vAlign w:val="center"/>
          </w:tcPr>
          <w:p w14:paraId="3C54355B" w14:textId="77777777" w:rsidR="00736B7D" w:rsidRPr="007859FC" w:rsidRDefault="00736B7D" w:rsidP="00D91454">
            <w:pPr>
              <w:ind w:firstLine="0"/>
              <w:jc w:val="center"/>
              <w:rPr>
                <w:color w:val="000000"/>
                <w:sz w:val="20"/>
              </w:rPr>
            </w:pPr>
            <w:r w:rsidRPr="007859FC">
              <w:rPr>
                <w:color w:val="000000"/>
                <w:sz w:val="20"/>
              </w:rPr>
              <w:t>3.049.856</w:t>
            </w:r>
          </w:p>
        </w:tc>
        <w:tc>
          <w:tcPr>
            <w:tcW w:w="898" w:type="dxa"/>
            <w:tcBorders>
              <w:top w:val="single" w:sz="4" w:space="0" w:color="auto"/>
              <w:left w:val="nil"/>
              <w:bottom w:val="single" w:sz="4" w:space="0" w:color="auto"/>
              <w:right w:val="single" w:sz="4" w:space="0" w:color="auto"/>
            </w:tcBorders>
            <w:shd w:val="clear" w:color="auto" w:fill="auto"/>
            <w:vAlign w:val="center"/>
          </w:tcPr>
          <w:p w14:paraId="058FA6C0" w14:textId="77777777" w:rsidR="00736B7D" w:rsidRPr="007859FC" w:rsidRDefault="00736B7D" w:rsidP="00955252">
            <w:pPr>
              <w:ind w:firstLine="0"/>
              <w:jc w:val="center"/>
              <w:rPr>
                <w:color w:val="000000"/>
                <w:sz w:val="20"/>
              </w:rPr>
            </w:pPr>
            <w:r w:rsidRPr="007859FC">
              <w:rPr>
                <w:color w:val="000000"/>
                <w:sz w:val="20"/>
              </w:rPr>
              <w:t>54%</w:t>
            </w:r>
          </w:p>
        </w:tc>
        <w:tc>
          <w:tcPr>
            <w:tcW w:w="2170" w:type="dxa"/>
            <w:vMerge w:val="restart"/>
            <w:tcBorders>
              <w:top w:val="nil"/>
              <w:left w:val="nil"/>
              <w:right w:val="single" w:sz="4" w:space="0" w:color="auto"/>
            </w:tcBorders>
            <w:shd w:val="clear" w:color="auto" w:fill="auto"/>
            <w:vAlign w:val="center"/>
            <w:hideMark/>
          </w:tcPr>
          <w:p w14:paraId="72FCBA2F" w14:textId="77777777" w:rsidR="00736B7D" w:rsidRPr="007859FC" w:rsidRDefault="00736B7D" w:rsidP="00D91454">
            <w:pPr>
              <w:ind w:firstLine="0"/>
              <w:rPr>
                <w:color w:val="000000"/>
                <w:sz w:val="20"/>
              </w:rPr>
            </w:pPr>
            <w:r w:rsidRPr="007859FC">
              <w:rPr>
                <w:color w:val="000000"/>
                <w:sz w:val="20"/>
              </w:rPr>
              <w:t>Reapresentação das demonstrações de investidas, CCR e Sanepar</w:t>
            </w:r>
          </w:p>
        </w:tc>
      </w:tr>
      <w:tr w:rsidR="00D91454" w:rsidRPr="007859FC" w14:paraId="6F6F1146" w14:textId="77777777" w:rsidTr="004D3095">
        <w:trPr>
          <w:trHeight w:val="315"/>
        </w:trPr>
        <w:tc>
          <w:tcPr>
            <w:tcW w:w="1292" w:type="dxa"/>
            <w:tcBorders>
              <w:top w:val="nil"/>
              <w:left w:val="single" w:sz="4" w:space="0" w:color="auto"/>
              <w:bottom w:val="single" w:sz="4" w:space="0" w:color="auto"/>
              <w:right w:val="single" w:sz="4" w:space="0" w:color="auto"/>
            </w:tcBorders>
            <w:shd w:val="clear" w:color="auto" w:fill="auto"/>
            <w:vAlign w:val="center"/>
          </w:tcPr>
          <w:p w14:paraId="0FCCD271" w14:textId="77777777" w:rsidR="00736B7D" w:rsidRPr="007859FC" w:rsidRDefault="00736B7D" w:rsidP="00867A50">
            <w:pPr>
              <w:ind w:firstLine="0"/>
              <w:rPr>
                <w:color w:val="000000"/>
                <w:sz w:val="20"/>
              </w:rPr>
            </w:pPr>
            <w:r w:rsidRPr="007859FC">
              <w:rPr>
                <w:color w:val="000000"/>
                <w:sz w:val="20"/>
              </w:rPr>
              <w:t>Andrade Gutierrez</w:t>
            </w:r>
          </w:p>
        </w:tc>
        <w:tc>
          <w:tcPr>
            <w:tcW w:w="708" w:type="dxa"/>
            <w:tcBorders>
              <w:top w:val="nil"/>
              <w:left w:val="nil"/>
              <w:bottom w:val="single" w:sz="4" w:space="0" w:color="auto"/>
              <w:right w:val="single" w:sz="4" w:space="0" w:color="auto"/>
            </w:tcBorders>
            <w:shd w:val="clear" w:color="auto" w:fill="auto"/>
            <w:vAlign w:val="center"/>
          </w:tcPr>
          <w:p w14:paraId="3FB1EC74" w14:textId="77777777" w:rsidR="00736B7D" w:rsidRPr="007859FC" w:rsidRDefault="00736B7D" w:rsidP="00867A50">
            <w:pPr>
              <w:ind w:firstLine="0"/>
              <w:rPr>
                <w:color w:val="000000"/>
                <w:sz w:val="20"/>
              </w:rPr>
            </w:pPr>
            <w:r w:rsidRPr="007859FC">
              <w:rPr>
                <w:color w:val="000000"/>
                <w:sz w:val="20"/>
              </w:rPr>
              <w:t>2012</w:t>
            </w:r>
          </w:p>
        </w:tc>
        <w:tc>
          <w:tcPr>
            <w:tcW w:w="1240" w:type="dxa"/>
            <w:tcBorders>
              <w:top w:val="nil"/>
              <w:left w:val="nil"/>
              <w:bottom w:val="single" w:sz="4" w:space="0" w:color="auto"/>
              <w:right w:val="single" w:sz="4" w:space="0" w:color="auto"/>
            </w:tcBorders>
            <w:shd w:val="clear" w:color="auto" w:fill="auto"/>
            <w:vAlign w:val="center"/>
          </w:tcPr>
          <w:p w14:paraId="27C8E8D9" w14:textId="77777777" w:rsidR="00736B7D" w:rsidRPr="007859FC" w:rsidRDefault="00736B7D" w:rsidP="00955252">
            <w:pPr>
              <w:ind w:firstLine="0"/>
              <w:rPr>
                <w:color w:val="000000"/>
                <w:sz w:val="20"/>
              </w:rPr>
            </w:pPr>
            <w:r w:rsidRPr="007859FC">
              <w:rPr>
                <w:color w:val="000000"/>
                <w:sz w:val="20"/>
              </w:rPr>
              <w:t>Receita</w:t>
            </w:r>
          </w:p>
        </w:tc>
        <w:tc>
          <w:tcPr>
            <w:tcW w:w="1405" w:type="dxa"/>
            <w:tcBorders>
              <w:top w:val="nil"/>
              <w:left w:val="nil"/>
              <w:bottom w:val="single" w:sz="4" w:space="0" w:color="auto"/>
              <w:right w:val="single" w:sz="4" w:space="0" w:color="auto"/>
            </w:tcBorders>
            <w:shd w:val="clear" w:color="auto" w:fill="auto"/>
            <w:vAlign w:val="center"/>
          </w:tcPr>
          <w:p w14:paraId="619983FA" w14:textId="77777777" w:rsidR="00736B7D" w:rsidRPr="007859FC" w:rsidRDefault="00736B7D" w:rsidP="00D91454">
            <w:pPr>
              <w:ind w:firstLine="0"/>
              <w:jc w:val="center"/>
              <w:rPr>
                <w:color w:val="000000"/>
                <w:sz w:val="20"/>
                <w:highlight w:val="yellow"/>
              </w:rPr>
            </w:pPr>
            <w:r w:rsidRPr="007859FC">
              <w:rPr>
                <w:color w:val="000000"/>
                <w:sz w:val="20"/>
              </w:rPr>
              <w:t>1.325.012</w:t>
            </w:r>
          </w:p>
        </w:tc>
        <w:tc>
          <w:tcPr>
            <w:tcW w:w="1702" w:type="dxa"/>
            <w:tcBorders>
              <w:top w:val="nil"/>
              <w:left w:val="nil"/>
              <w:bottom w:val="single" w:sz="4" w:space="0" w:color="auto"/>
              <w:right w:val="single" w:sz="4" w:space="0" w:color="auto"/>
            </w:tcBorders>
            <w:shd w:val="clear" w:color="auto" w:fill="auto"/>
            <w:vAlign w:val="center"/>
          </w:tcPr>
          <w:p w14:paraId="59690208" w14:textId="77777777" w:rsidR="00736B7D" w:rsidRPr="007859FC" w:rsidRDefault="00736B7D" w:rsidP="00D91454">
            <w:pPr>
              <w:ind w:firstLine="0"/>
              <w:jc w:val="center"/>
              <w:rPr>
                <w:color w:val="000000"/>
                <w:sz w:val="20"/>
                <w:highlight w:val="yellow"/>
              </w:rPr>
            </w:pPr>
            <w:r w:rsidRPr="007859FC">
              <w:rPr>
                <w:color w:val="000000"/>
                <w:sz w:val="20"/>
              </w:rPr>
              <w:t>63.418</w:t>
            </w:r>
          </w:p>
        </w:tc>
        <w:tc>
          <w:tcPr>
            <w:tcW w:w="898" w:type="dxa"/>
            <w:tcBorders>
              <w:top w:val="nil"/>
              <w:left w:val="nil"/>
              <w:bottom w:val="single" w:sz="4" w:space="0" w:color="auto"/>
              <w:right w:val="single" w:sz="4" w:space="0" w:color="auto"/>
            </w:tcBorders>
            <w:shd w:val="clear" w:color="auto" w:fill="auto"/>
            <w:vAlign w:val="center"/>
          </w:tcPr>
          <w:p w14:paraId="2C7FE28C" w14:textId="77777777" w:rsidR="00736B7D" w:rsidRPr="007859FC" w:rsidRDefault="00736B7D" w:rsidP="00955252">
            <w:pPr>
              <w:ind w:firstLine="0"/>
              <w:jc w:val="center"/>
              <w:rPr>
                <w:color w:val="000000"/>
                <w:sz w:val="20"/>
                <w:highlight w:val="yellow"/>
              </w:rPr>
            </w:pPr>
            <w:r w:rsidRPr="007859FC">
              <w:rPr>
                <w:color w:val="000000"/>
                <w:sz w:val="20"/>
              </w:rPr>
              <w:t>95%</w:t>
            </w:r>
          </w:p>
        </w:tc>
        <w:tc>
          <w:tcPr>
            <w:tcW w:w="2170" w:type="dxa"/>
            <w:vMerge/>
            <w:tcBorders>
              <w:left w:val="nil"/>
              <w:bottom w:val="single" w:sz="4" w:space="0" w:color="auto"/>
              <w:right w:val="single" w:sz="4" w:space="0" w:color="auto"/>
            </w:tcBorders>
            <w:shd w:val="clear" w:color="auto" w:fill="auto"/>
            <w:vAlign w:val="center"/>
            <w:hideMark/>
          </w:tcPr>
          <w:p w14:paraId="4122CF14" w14:textId="77777777" w:rsidR="00736B7D" w:rsidRPr="007859FC" w:rsidRDefault="00736B7D" w:rsidP="00E92C38">
            <w:pPr>
              <w:rPr>
                <w:color w:val="000000"/>
                <w:sz w:val="20"/>
              </w:rPr>
            </w:pPr>
          </w:p>
        </w:tc>
      </w:tr>
      <w:tr w:rsidR="00D91454" w:rsidRPr="007859FC" w14:paraId="3B99D99C" w14:textId="77777777" w:rsidTr="004D3095">
        <w:trPr>
          <w:trHeight w:val="315"/>
        </w:trPr>
        <w:tc>
          <w:tcPr>
            <w:tcW w:w="1292" w:type="dxa"/>
            <w:tcBorders>
              <w:top w:val="nil"/>
              <w:left w:val="single" w:sz="4" w:space="0" w:color="auto"/>
              <w:bottom w:val="single" w:sz="4" w:space="0" w:color="auto"/>
              <w:right w:val="single" w:sz="4" w:space="0" w:color="auto"/>
            </w:tcBorders>
            <w:shd w:val="clear" w:color="auto" w:fill="auto"/>
            <w:vAlign w:val="center"/>
          </w:tcPr>
          <w:p w14:paraId="12F6908F" w14:textId="77777777" w:rsidR="00736B7D" w:rsidRPr="007859FC" w:rsidRDefault="00736B7D" w:rsidP="00867A50">
            <w:pPr>
              <w:ind w:firstLine="0"/>
              <w:rPr>
                <w:color w:val="000000"/>
                <w:sz w:val="20"/>
              </w:rPr>
            </w:pPr>
            <w:proofErr w:type="spellStart"/>
            <w:r w:rsidRPr="007859FC">
              <w:rPr>
                <w:color w:val="000000"/>
                <w:sz w:val="20"/>
              </w:rPr>
              <w:t>Brasken</w:t>
            </w:r>
            <w:proofErr w:type="spellEnd"/>
          </w:p>
        </w:tc>
        <w:tc>
          <w:tcPr>
            <w:tcW w:w="708" w:type="dxa"/>
            <w:tcBorders>
              <w:top w:val="nil"/>
              <w:left w:val="nil"/>
              <w:bottom w:val="single" w:sz="4" w:space="0" w:color="auto"/>
              <w:right w:val="single" w:sz="4" w:space="0" w:color="auto"/>
            </w:tcBorders>
            <w:shd w:val="clear" w:color="auto" w:fill="auto"/>
            <w:vAlign w:val="center"/>
          </w:tcPr>
          <w:p w14:paraId="1814879B" w14:textId="77777777" w:rsidR="00736B7D" w:rsidRPr="007859FC" w:rsidRDefault="00736B7D" w:rsidP="00867A50">
            <w:pPr>
              <w:ind w:firstLine="0"/>
              <w:rPr>
                <w:color w:val="000000"/>
                <w:sz w:val="20"/>
              </w:rPr>
            </w:pPr>
            <w:r w:rsidRPr="007859FC">
              <w:rPr>
                <w:color w:val="000000"/>
                <w:sz w:val="20"/>
              </w:rPr>
              <w:t>2015</w:t>
            </w:r>
          </w:p>
        </w:tc>
        <w:tc>
          <w:tcPr>
            <w:tcW w:w="1240" w:type="dxa"/>
            <w:tcBorders>
              <w:top w:val="nil"/>
              <w:left w:val="nil"/>
              <w:bottom w:val="single" w:sz="4" w:space="0" w:color="auto"/>
              <w:right w:val="single" w:sz="4" w:space="0" w:color="auto"/>
            </w:tcBorders>
            <w:shd w:val="clear" w:color="auto" w:fill="auto"/>
            <w:vAlign w:val="center"/>
          </w:tcPr>
          <w:p w14:paraId="66A30DFD" w14:textId="77777777" w:rsidR="00736B7D" w:rsidRPr="007859FC" w:rsidRDefault="00736B7D" w:rsidP="00955252">
            <w:pPr>
              <w:ind w:firstLine="0"/>
              <w:rPr>
                <w:color w:val="000000"/>
                <w:sz w:val="20"/>
              </w:rPr>
            </w:pPr>
            <w:r w:rsidRPr="007859FC">
              <w:rPr>
                <w:color w:val="000000"/>
                <w:sz w:val="20"/>
              </w:rPr>
              <w:t>Passivo Total</w:t>
            </w:r>
          </w:p>
        </w:tc>
        <w:tc>
          <w:tcPr>
            <w:tcW w:w="1405" w:type="dxa"/>
            <w:tcBorders>
              <w:top w:val="nil"/>
              <w:left w:val="nil"/>
              <w:bottom w:val="single" w:sz="4" w:space="0" w:color="auto"/>
              <w:right w:val="single" w:sz="4" w:space="0" w:color="auto"/>
            </w:tcBorders>
            <w:shd w:val="clear" w:color="auto" w:fill="auto"/>
            <w:vAlign w:val="center"/>
          </w:tcPr>
          <w:p w14:paraId="185C8418" w14:textId="77777777" w:rsidR="00736B7D" w:rsidRPr="007859FC" w:rsidRDefault="00736B7D" w:rsidP="00D91454">
            <w:pPr>
              <w:ind w:firstLine="0"/>
              <w:jc w:val="center"/>
              <w:rPr>
                <w:color w:val="000000"/>
                <w:sz w:val="20"/>
              </w:rPr>
            </w:pPr>
            <w:r w:rsidRPr="007859FC">
              <w:rPr>
                <w:color w:val="000000"/>
                <w:sz w:val="20"/>
              </w:rPr>
              <w:t>58.623.583</w:t>
            </w:r>
          </w:p>
        </w:tc>
        <w:tc>
          <w:tcPr>
            <w:tcW w:w="1702" w:type="dxa"/>
            <w:tcBorders>
              <w:top w:val="nil"/>
              <w:left w:val="nil"/>
              <w:bottom w:val="single" w:sz="4" w:space="0" w:color="auto"/>
              <w:right w:val="single" w:sz="4" w:space="0" w:color="auto"/>
            </w:tcBorders>
            <w:shd w:val="clear" w:color="auto" w:fill="auto"/>
            <w:vAlign w:val="center"/>
          </w:tcPr>
          <w:p w14:paraId="304456C0" w14:textId="77777777" w:rsidR="00736B7D" w:rsidRPr="007859FC" w:rsidRDefault="00736B7D" w:rsidP="00D91454">
            <w:pPr>
              <w:ind w:firstLine="0"/>
              <w:jc w:val="center"/>
              <w:rPr>
                <w:color w:val="000000"/>
                <w:sz w:val="20"/>
              </w:rPr>
            </w:pPr>
            <w:r w:rsidRPr="007859FC">
              <w:rPr>
                <w:color w:val="000000"/>
                <w:sz w:val="20"/>
              </w:rPr>
              <w:t>59.681.411</w:t>
            </w:r>
          </w:p>
        </w:tc>
        <w:tc>
          <w:tcPr>
            <w:tcW w:w="898" w:type="dxa"/>
            <w:tcBorders>
              <w:top w:val="nil"/>
              <w:left w:val="nil"/>
              <w:bottom w:val="single" w:sz="4" w:space="0" w:color="auto"/>
              <w:right w:val="single" w:sz="4" w:space="0" w:color="auto"/>
            </w:tcBorders>
            <w:shd w:val="clear" w:color="auto" w:fill="auto"/>
            <w:vAlign w:val="center"/>
          </w:tcPr>
          <w:p w14:paraId="48C0C8E9" w14:textId="77777777" w:rsidR="00736B7D" w:rsidRPr="007859FC" w:rsidRDefault="00736B7D" w:rsidP="00955252">
            <w:pPr>
              <w:ind w:firstLine="0"/>
              <w:jc w:val="center"/>
              <w:rPr>
                <w:color w:val="000000"/>
                <w:sz w:val="20"/>
              </w:rPr>
            </w:pPr>
            <w:r w:rsidRPr="007859FC">
              <w:rPr>
                <w:color w:val="000000"/>
                <w:sz w:val="20"/>
              </w:rPr>
              <w:t>-2%</w:t>
            </w:r>
          </w:p>
        </w:tc>
        <w:tc>
          <w:tcPr>
            <w:tcW w:w="2170" w:type="dxa"/>
            <w:tcBorders>
              <w:top w:val="nil"/>
              <w:left w:val="nil"/>
              <w:bottom w:val="single" w:sz="4" w:space="0" w:color="auto"/>
              <w:right w:val="single" w:sz="4" w:space="0" w:color="auto"/>
            </w:tcBorders>
            <w:shd w:val="clear" w:color="auto" w:fill="auto"/>
            <w:vAlign w:val="center"/>
            <w:hideMark/>
          </w:tcPr>
          <w:p w14:paraId="26E85F39" w14:textId="77777777" w:rsidR="00736B7D" w:rsidRPr="007859FC" w:rsidRDefault="00736B7D" w:rsidP="00D91454">
            <w:pPr>
              <w:ind w:firstLine="0"/>
              <w:rPr>
                <w:color w:val="000000"/>
                <w:sz w:val="20"/>
              </w:rPr>
            </w:pPr>
            <w:r w:rsidRPr="007859FC">
              <w:rPr>
                <w:color w:val="000000"/>
                <w:sz w:val="20"/>
              </w:rPr>
              <w:t>Reapresentação decorrente de tributos reconhecidos de forma extemporânea.</w:t>
            </w:r>
          </w:p>
        </w:tc>
      </w:tr>
      <w:tr w:rsidR="00D91454" w:rsidRPr="007859FC" w14:paraId="05608D3B" w14:textId="77777777" w:rsidTr="004D3095">
        <w:trPr>
          <w:trHeight w:val="315"/>
        </w:trPr>
        <w:tc>
          <w:tcPr>
            <w:tcW w:w="1292" w:type="dxa"/>
            <w:tcBorders>
              <w:top w:val="nil"/>
              <w:left w:val="single" w:sz="4" w:space="0" w:color="auto"/>
              <w:bottom w:val="single" w:sz="4" w:space="0" w:color="auto"/>
              <w:right w:val="single" w:sz="4" w:space="0" w:color="auto"/>
            </w:tcBorders>
            <w:shd w:val="clear" w:color="auto" w:fill="auto"/>
            <w:vAlign w:val="center"/>
          </w:tcPr>
          <w:p w14:paraId="183E0F97" w14:textId="77777777" w:rsidR="00736B7D" w:rsidRPr="007859FC" w:rsidRDefault="00736B7D" w:rsidP="00D91454">
            <w:pPr>
              <w:ind w:firstLine="0"/>
              <w:rPr>
                <w:color w:val="000000"/>
                <w:sz w:val="20"/>
              </w:rPr>
            </w:pPr>
            <w:proofErr w:type="spellStart"/>
            <w:r w:rsidRPr="007859FC">
              <w:rPr>
                <w:color w:val="000000"/>
                <w:sz w:val="20"/>
              </w:rPr>
              <w:t>Brasken</w:t>
            </w:r>
            <w:proofErr w:type="spellEnd"/>
          </w:p>
        </w:tc>
        <w:tc>
          <w:tcPr>
            <w:tcW w:w="708" w:type="dxa"/>
            <w:tcBorders>
              <w:top w:val="nil"/>
              <w:left w:val="nil"/>
              <w:bottom w:val="single" w:sz="4" w:space="0" w:color="auto"/>
              <w:right w:val="single" w:sz="4" w:space="0" w:color="auto"/>
            </w:tcBorders>
            <w:shd w:val="clear" w:color="auto" w:fill="auto"/>
            <w:vAlign w:val="center"/>
          </w:tcPr>
          <w:p w14:paraId="1FE8C622" w14:textId="77777777" w:rsidR="00736B7D" w:rsidRPr="007859FC" w:rsidRDefault="00736B7D" w:rsidP="00867A50">
            <w:pPr>
              <w:ind w:firstLine="0"/>
              <w:rPr>
                <w:color w:val="000000"/>
                <w:sz w:val="20"/>
              </w:rPr>
            </w:pPr>
            <w:r w:rsidRPr="007859FC">
              <w:rPr>
                <w:color w:val="000000"/>
                <w:sz w:val="20"/>
              </w:rPr>
              <w:t>2016</w:t>
            </w:r>
          </w:p>
        </w:tc>
        <w:tc>
          <w:tcPr>
            <w:tcW w:w="1240" w:type="dxa"/>
            <w:tcBorders>
              <w:top w:val="nil"/>
              <w:left w:val="nil"/>
              <w:bottom w:val="single" w:sz="4" w:space="0" w:color="auto"/>
              <w:right w:val="single" w:sz="4" w:space="0" w:color="auto"/>
            </w:tcBorders>
            <w:shd w:val="clear" w:color="auto" w:fill="auto"/>
            <w:vAlign w:val="center"/>
          </w:tcPr>
          <w:p w14:paraId="4005DB9F" w14:textId="77777777" w:rsidR="00736B7D" w:rsidRPr="007859FC" w:rsidRDefault="00736B7D" w:rsidP="00867A50">
            <w:pPr>
              <w:ind w:firstLine="0"/>
              <w:rPr>
                <w:color w:val="000000"/>
                <w:sz w:val="20"/>
              </w:rPr>
            </w:pPr>
            <w:r w:rsidRPr="007859FC">
              <w:rPr>
                <w:color w:val="000000"/>
                <w:sz w:val="20"/>
              </w:rPr>
              <w:t>Ativo Total</w:t>
            </w:r>
          </w:p>
        </w:tc>
        <w:tc>
          <w:tcPr>
            <w:tcW w:w="1405" w:type="dxa"/>
            <w:tcBorders>
              <w:top w:val="nil"/>
              <w:left w:val="nil"/>
              <w:bottom w:val="single" w:sz="4" w:space="0" w:color="auto"/>
              <w:right w:val="single" w:sz="4" w:space="0" w:color="auto"/>
            </w:tcBorders>
            <w:shd w:val="clear" w:color="auto" w:fill="auto"/>
            <w:vAlign w:val="center"/>
          </w:tcPr>
          <w:p w14:paraId="3BC7315D" w14:textId="77777777" w:rsidR="00736B7D" w:rsidRPr="007859FC" w:rsidRDefault="00736B7D" w:rsidP="00D91454">
            <w:pPr>
              <w:ind w:firstLine="0"/>
              <w:jc w:val="center"/>
              <w:rPr>
                <w:color w:val="000000"/>
                <w:sz w:val="20"/>
              </w:rPr>
            </w:pPr>
            <w:r w:rsidRPr="007859FC">
              <w:rPr>
                <w:color w:val="000000"/>
                <w:sz w:val="20"/>
              </w:rPr>
              <w:t>51.821.851</w:t>
            </w:r>
          </w:p>
        </w:tc>
        <w:tc>
          <w:tcPr>
            <w:tcW w:w="1702" w:type="dxa"/>
            <w:tcBorders>
              <w:top w:val="nil"/>
              <w:left w:val="nil"/>
              <w:bottom w:val="single" w:sz="4" w:space="0" w:color="auto"/>
              <w:right w:val="single" w:sz="4" w:space="0" w:color="auto"/>
            </w:tcBorders>
            <w:shd w:val="clear" w:color="auto" w:fill="auto"/>
            <w:vAlign w:val="center"/>
          </w:tcPr>
          <w:p w14:paraId="63BD8504" w14:textId="77777777" w:rsidR="00736B7D" w:rsidRPr="007859FC" w:rsidRDefault="00736B7D" w:rsidP="00D91454">
            <w:pPr>
              <w:ind w:firstLine="0"/>
              <w:jc w:val="center"/>
              <w:rPr>
                <w:color w:val="000000"/>
                <w:sz w:val="20"/>
              </w:rPr>
            </w:pPr>
            <w:r w:rsidRPr="007859FC">
              <w:rPr>
                <w:color w:val="000000"/>
                <w:sz w:val="20"/>
              </w:rPr>
              <w:t>52.351.531</w:t>
            </w:r>
          </w:p>
        </w:tc>
        <w:tc>
          <w:tcPr>
            <w:tcW w:w="898" w:type="dxa"/>
            <w:tcBorders>
              <w:top w:val="nil"/>
              <w:left w:val="nil"/>
              <w:bottom w:val="single" w:sz="4" w:space="0" w:color="auto"/>
              <w:right w:val="single" w:sz="4" w:space="0" w:color="auto"/>
            </w:tcBorders>
            <w:shd w:val="clear" w:color="auto" w:fill="auto"/>
            <w:vAlign w:val="center"/>
          </w:tcPr>
          <w:p w14:paraId="78A4C82F" w14:textId="77777777" w:rsidR="00736B7D" w:rsidRPr="007859FC" w:rsidRDefault="00736B7D" w:rsidP="00955252">
            <w:pPr>
              <w:ind w:firstLine="0"/>
              <w:jc w:val="center"/>
              <w:rPr>
                <w:color w:val="000000"/>
                <w:sz w:val="20"/>
              </w:rPr>
            </w:pPr>
            <w:r w:rsidRPr="007859FC">
              <w:rPr>
                <w:color w:val="000000"/>
                <w:sz w:val="20"/>
              </w:rPr>
              <w:t>-1%</w:t>
            </w:r>
          </w:p>
        </w:tc>
        <w:tc>
          <w:tcPr>
            <w:tcW w:w="2170" w:type="dxa"/>
            <w:tcBorders>
              <w:top w:val="nil"/>
              <w:left w:val="nil"/>
              <w:bottom w:val="single" w:sz="4" w:space="0" w:color="auto"/>
              <w:right w:val="single" w:sz="4" w:space="0" w:color="auto"/>
            </w:tcBorders>
            <w:shd w:val="clear" w:color="auto" w:fill="auto"/>
            <w:vAlign w:val="center"/>
            <w:hideMark/>
          </w:tcPr>
          <w:p w14:paraId="64A0BC31" w14:textId="77777777" w:rsidR="00736B7D" w:rsidRPr="007859FC" w:rsidRDefault="00736B7D" w:rsidP="00D91454">
            <w:pPr>
              <w:ind w:firstLine="0"/>
              <w:rPr>
                <w:color w:val="000000"/>
                <w:sz w:val="20"/>
              </w:rPr>
            </w:pPr>
            <w:r w:rsidRPr="007859FC">
              <w:rPr>
                <w:color w:val="000000"/>
                <w:sz w:val="20"/>
              </w:rPr>
              <w:t>Não informou o motivo da reapresentação.</w:t>
            </w:r>
          </w:p>
        </w:tc>
      </w:tr>
      <w:tr w:rsidR="00D91454" w:rsidRPr="007859FC" w14:paraId="0F3ADE84" w14:textId="77777777" w:rsidTr="004D3095">
        <w:trPr>
          <w:trHeight w:val="315"/>
        </w:trPr>
        <w:tc>
          <w:tcPr>
            <w:tcW w:w="1292" w:type="dxa"/>
            <w:tcBorders>
              <w:top w:val="nil"/>
              <w:left w:val="single" w:sz="4" w:space="0" w:color="auto"/>
              <w:bottom w:val="single" w:sz="4" w:space="0" w:color="auto"/>
              <w:right w:val="single" w:sz="4" w:space="0" w:color="auto"/>
            </w:tcBorders>
            <w:shd w:val="clear" w:color="auto" w:fill="auto"/>
            <w:vAlign w:val="center"/>
          </w:tcPr>
          <w:p w14:paraId="6416B359" w14:textId="77777777" w:rsidR="00736B7D" w:rsidRPr="007859FC" w:rsidRDefault="00736B7D" w:rsidP="00D91454">
            <w:pPr>
              <w:ind w:firstLine="0"/>
              <w:rPr>
                <w:color w:val="000000"/>
                <w:sz w:val="20"/>
              </w:rPr>
            </w:pPr>
            <w:r w:rsidRPr="007859FC">
              <w:rPr>
                <w:color w:val="000000"/>
                <w:sz w:val="20"/>
              </w:rPr>
              <w:t>Inepar</w:t>
            </w:r>
          </w:p>
        </w:tc>
        <w:tc>
          <w:tcPr>
            <w:tcW w:w="708" w:type="dxa"/>
            <w:tcBorders>
              <w:top w:val="nil"/>
              <w:left w:val="nil"/>
              <w:bottom w:val="single" w:sz="4" w:space="0" w:color="auto"/>
              <w:right w:val="single" w:sz="4" w:space="0" w:color="auto"/>
            </w:tcBorders>
            <w:shd w:val="clear" w:color="auto" w:fill="auto"/>
            <w:vAlign w:val="center"/>
          </w:tcPr>
          <w:p w14:paraId="55EB4FE5" w14:textId="77777777" w:rsidR="00736B7D" w:rsidRPr="007859FC" w:rsidRDefault="00736B7D" w:rsidP="00867A50">
            <w:pPr>
              <w:ind w:firstLine="0"/>
              <w:rPr>
                <w:color w:val="000000"/>
                <w:sz w:val="20"/>
              </w:rPr>
            </w:pPr>
            <w:r w:rsidRPr="007859FC">
              <w:rPr>
                <w:color w:val="000000"/>
                <w:sz w:val="20"/>
              </w:rPr>
              <w:t>2012</w:t>
            </w:r>
          </w:p>
        </w:tc>
        <w:tc>
          <w:tcPr>
            <w:tcW w:w="1240" w:type="dxa"/>
            <w:tcBorders>
              <w:top w:val="nil"/>
              <w:left w:val="nil"/>
              <w:bottom w:val="single" w:sz="4" w:space="0" w:color="auto"/>
              <w:right w:val="single" w:sz="4" w:space="0" w:color="auto"/>
            </w:tcBorders>
            <w:shd w:val="clear" w:color="auto" w:fill="auto"/>
            <w:vAlign w:val="center"/>
          </w:tcPr>
          <w:p w14:paraId="3F64F9FB" w14:textId="77777777" w:rsidR="00736B7D" w:rsidRPr="007859FC" w:rsidRDefault="00736B7D" w:rsidP="00867A50">
            <w:pPr>
              <w:ind w:firstLine="0"/>
              <w:rPr>
                <w:color w:val="000000"/>
                <w:sz w:val="20"/>
              </w:rPr>
            </w:pPr>
            <w:r w:rsidRPr="007859FC">
              <w:rPr>
                <w:color w:val="000000"/>
                <w:sz w:val="20"/>
              </w:rPr>
              <w:t>Ativo Total</w:t>
            </w:r>
          </w:p>
        </w:tc>
        <w:tc>
          <w:tcPr>
            <w:tcW w:w="1405" w:type="dxa"/>
            <w:tcBorders>
              <w:top w:val="nil"/>
              <w:left w:val="nil"/>
              <w:bottom w:val="single" w:sz="4" w:space="0" w:color="auto"/>
              <w:right w:val="single" w:sz="4" w:space="0" w:color="auto"/>
            </w:tcBorders>
            <w:shd w:val="clear" w:color="auto" w:fill="auto"/>
            <w:vAlign w:val="center"/>
          </w:tcPr>
          <w:p w14:paraId="1FD6DA58" w14:textId="77777777" w:rsidR="00736B7D" w:rsidRPr="007859FC" w:rsidRDefault="00736B7D" w:rsidP="00D91454">
            <w:pPr>
              <w:ind w:firstLine="0"/>
              <w:jc w:val="center"/>
              <w:rPr>
                <w:color w:val="000000"/>
                <w:sz w:val="20"/>
              </w:rPr>
            </w:pPr>
            <w:r w:rsidRPr="007859FC">
              <w:rPr>
                <w:color w:val="000000"/>
                <w:sz w:val="20"/>
              </w:rPr>
              <w:t>4.331.681</w:t>
            </w:r>
          </w:p>
        </w:tc>
        <w:tc>
          <w:tcPr>
            <w:tcW w:w="1702" w:type="dxa"/>
            <w:tcBorders>
              <w:top w:val="nil"/>
              <w:left w:val="nil"/>
              <w:bottom w:val="single" w:sz="4" w:space="0" w:color="auto"/>
              <w:right w:val="single" w:sz="4" w:space="0" w:color="auto"/>
            </w:tcBorders>
            <w:shd w:val="clear" w:color="auto" w:fill="auto"/>
            <w:vAlign w:val="center"/>
          </w:tcPr>
          <w:p w14:paraId="10831260" w14:textId="77777777" w:rsidR="00736B7D" w:rsidRPr="007859FC" w:rsidRDefault="00736B7D" w:rsidP="00D91454">
            <w:pPr>
              <w:ind w:firstLine="0"/>
              <w:jc w:val="center"/>
              <w:rPr>
                <w:color w:val="000000"/>
                <w:sz w:val="20"/>
              </w:rPr>
            </w:pPr>
            <w:r w:rsidRPr="007859FC">
              <w:rPr>
                <w:color w:val="000000"/>
                <w:sz w:val="20"/>
              </w:rPr>
              <w:t>2.970.018</w:t>
            </w:r>
          </w:p>
        </w:tc>
        <w:tc>
          <w:tcPr>
            <w:tcW w:w="898" w:type="dxa"/>
            <w:tcBorders>
              <w:top w:val="nil"/>
              <w:left w:val="nil"/>
              <w:bottom w:val="single" w:sz="4" w:space="0" w:color="auto"/>
              <w:right w:val="single" w:sz="4" w:space="0" w:color="auto"/>
            </w:tcBorders>
            <w:shd w:val="clear" w:color="auto" w:fill="auto"/>
            <w:vAlign w:val="center"/>
          </w:tcPr>
          <w:p w14:paraId="0F64AD64" w14:textId="77777777" w:rsidR="00736B7D" w:rsidRPr="007859FC" w:rsidRDefault="00736B7D" w:rsidP="00955252">
            <w:pPr>
              <w:ind w:firstLine="0"/>
              <w:jc w:val="center"/>
              <w:rPr>
                <w:color w:val="000000"/>
                <w:sz w:val="20"/>
              </w:rPr>
            </w:pPr>
            <w:r w:rsidRPr="007859FC">
              <w:rPr>
                <w:color w:val="000000"/>
                <w:sz w:val="20"/>
              </w:rPr>
              <w:t>31%</w:t>
            </w:r>
          </w:p>
        </w:tc>
        <w:tc>
          <w:tcPr>
            <w:tcW w:w="2170" w:type="dxa"/>
            <w:tcBorders>
              <w:top w:val="nil"/>
              <w:left w:val="nil"/>
              <w:bottom w:val="single" w:sz="4" w:space="0" w:color="auto"/>
              <w:right w:val="single" w:sz="4" w:space="0" w:color="auto"/>
            </w:tcBorders>
            <w:shd w:val="clear" w:color="auto" w:fill="auto"/>
            <w:vAlign w:val="center"/>
          </w:tcPr>
          <w:p w14:paraId="245C97DE" w14:textId="77777777" w:rsidR="00736B7D" w:rsidRPr="007859FC" w:rsidRDefault="00736B7D" w:rsidP="00D91454">
            <w:pPr>
              <w:ind w:firstLine="0"/>
              <w:rPr>
                <w:color w:val="000000"/>
                <w:sz w:val="20"/>
              </w:rPr>
            </w:pPr>
            <w:r w:rsidRPr="007859FC">
              <w:rPr>
                <w:color w:val="000000"/>
                <w:sz w:val="20"/>
              </w:rPr>
              <w:t>Ajustes contábeis.</w:t>
            </w:r>
          </w:p>
        </w:tc>
      </w:tr>
      <w:tr w:rsidR="00D91454" w:rsidRPr="007859FC" w14:paraId="6174FCD1" w14:textId="77777777" w:rsidTr="004D3095">
        <w:trPr>
          <w:trHeight w:val="315"/>
        </w:trPr>
        <w:tc>
          <w:tcPr>
            <w:tcW w:w="1292" w:type="dxa"/>
            <w:tcBorders>
              <w:top w:val="nil"/>
              <w:left w:val="single" w:sz="4" w:space="0" w:color="auto"/>
              <w:bottom w:val="single" w:sz="4" w:space="0" w:color="auto"/>
              <w:right w:val="single" w:sz="4" w:space="0" w:color="auto"/>
            </w:tcBorders>
            <w:shd w:val="clear" w:color="auto" w:fill="auto"/>
            <w:vAlign w:val="center"/>
          </w:tcPr>
          <w:p w14:paraId="607730A3" w14:textId="77777777" w:rsidR="00736B7D" w:rsidRPr="007859FC" w:rsidRDefault="00736B7D" w:rsidP="00D91454">
            <w:pPr>
              <w:ind w:firstLine="0"/>
              <w:rPr>
                <w:color w:val="000000"/>
                <w:sz w:val="20"/>
              </w:rPr>
            </w:pPr>
            <w:r w:rsidRPr="007859FC">
              <w:rPr>
                <w:color w:val="000000"/>
                <w:sz w:val="20"/>
              </w:rPr>
              <w:t>Inepar</w:t>
            </w:r>
          </w:p>
        </w:tc>
        <w:tc>
          <w:tcPr>
            <w:tcW w:w="708" w:type="dxa"/>
            <w:tcBorders>
              <w:top w:val="nil"/>
              <w:left w:val="nil"/>
              <w:bottom w:val="single" w:sz="4" w:space="0" w:color="auto"/>
              <w:right w:val="single" w:sz="4" w:space="0" w:color="auto"/>
            </w:tcBorders>
            <w:shd w:val="clear" w:color="auto" w:fill="auto"/>
            <w:vAlign w:val="center"/>
          </w:tcPr>
          <w:p w14:paraId="5791D061" w14:textId="77777777" w:rsidR="00736B7D" w:rsidRPr="007859FC" w:rsidRDefault="00736B7D" w:rsidP="00867A50">
            <w:pPr>
              <w:ind w:firstLine="0"/>
              <w:rPr>
                <w:color w:val="000000"/>
                <w:sz w:val="20"/>
              </w:rPr>
            </w:pPr>
            <w:r w:rsidRPr="007859FC">
              <w:rPr>
                <w:color w:val="000000"/>
                <w:sz w:val="20"/>
              </w:rPr>
              <w:t>2014</w:t>
            </w:r>
          </w:p>
        </w:tc>
        <w:tc>
          <w:tcPr>
            <w:tcW w:w="1240" w:type="dxa"/>
            <w:tcBorders>
              <w:top w:val="nil"/>
              <w:left w:val="nil"/>
              <w:bottom w:val="single" w:sz="4" w:space="0" w:color="auto"/>
              <w:right w:val="single" w:sz="4" w:space="0" w:color="auto"/>
            </w:tcBorders>
            <w:shd w:val="clear" w:color="auto" w:fill="auto"/>
            <w:vAlign w:val="center"/>
          </w:tcPr>
          <w:p w14:paraId="0FF3FA0D" w14:textId="77777777" w:rsidR="00736B7D" w:rsidRPr="007859FC" w:rsidRDefault="00736B7D" w:rsidP="00867A50">
            <w:pPr>
              <w:ind w:firstLine="0"/>
              <w:rPr>
                <w:color w:val="000000"/>
                <w:sz w:val="20"/>
              </w:rPr>
            </w:pPr>
            <w:r w:rsidRPr="007859FC">
              <w:rPr>
                <w:color w:val="000000"/>
                <w:sz w:val="20"/>
              </w:rPr>
              <w:t>Passivo Total</w:t>
            </w:r>
          </w:p>
        </w:tc>
        <w:tc>
          <w:tcPr>
            <w:tcW w:w="1405" w:type="dxa"/>
            <w:tcBorders>
              <w:top w:val="nil"/>
              <w:left w:val="nil"/>
              <w:bottom w:val="single" w:sz="4" w:space="0" w:color="auto"/>
              <w:right w:val="single" w:sz="4" w:space="0" w:color="auto"/>
            </w:tcBorders>
            <w:shd w:val="clear" w:color="auto" w:fill="auto"/>
            <w:vAlign w:val="center"/>
          </w:tcPr>
          <w:p w14:paraId="1DCC6BEA" w14:textId="77777777" w:rsidR="00736B7D" w:rsidRPr="007859FC" w:rsidRDefault="00736B7D" w:rsidP="00D91454">
            <w:pPr>
              <w:ind w:firstLine="0"/>
              <w:jc w:val="center"/>
              <w:rPr>
                <w:color w:val="000000"/>
                <w:sz w:val="20"/>
              </w:rPr>
            </w:pPr>
            <w:r w:rsidRPr="007859FC">
              <w:rPr>
                <w:color w:val="000000"/>
                <w:sz w:val="20"/>
              </w:rPr>
              <w:t>3.767.835</w:t>
            </w:r>
          </w:p>
        </w:tc>
        <w:tc>
          <w:tcPr>
            <w:tcW w:w="1702" w:type="dxa"/>
            <w:tcBorders>
              <w:top w:val="nil"/>
              <w:left w:val="nil"/>
              <w:bottom w:val="single" w:sz="4" w:space="0" w:color="auto"/>
              <w:right w:val="single" w:sz="4" w:space="0" w:color="auto"/>
            </w:tcBorders>
            <w:shd w:val="clear" w:color="auto" w:fill="auto"/>
            <w:vAlign w:val="center"/>
          </w:tcPr>
          <w:p w14:paraId="4654A369" w14:textId="77777777" w:rsidR="00736B7D" w:rsidRPr="007859FC" w:rsidRDefault="00736B7D" w:rsidP="00D91454">
            <w:pPr>
              <w:ind w:firstLine="0"/>
              <w:jc w:val="center"/>
              <w:rPr>
                <w:color w:val="000000"/>
                <w:sz w:val="20"/>
              </w:rPr>
            </w:pPr>
            <w:r w:rsidRPr="007859FC">
              <w:rPr>
                <w:color w:val="000000"/>
                <w:sz w:val="20"/>
              </w:rPr>
              <w:t>3.173.631</w:t>
            </w:r>
          </w:p>
        </w:tc>
        <w:tc>
          <w:tcPr>
            <w:tcW w:w="898" w:type="dxa"/>
            <w:tcBorders>
              <w:top w:val="nil"/>
              <w:left w:val="nil"/>
              <w:bottom w:val="single" w:sz="4" w:space="0" w:color="auto"/>
              <w:right w:val="single" w:sz="4" w:space="0" w:color="auto"/>
            </w:tcBorders>
            <w:shd w:val="clear" w:color="auto" w:fill="auto"/>
            <w:vAlign w:val="center"/>
          </w:tcPr>
          <w:p w14:paraId="380DBDD9" w14:textId="77777777" w:rsidR="00736B7D" w:rsidRPr="007859FC" w:rsidRDefault="00736B7D" w:rsidP="00955252">
            <w:pPr>
              <w:ind w:firstLine="0"/>
              <w:jc w:val="center"/>
              <w:rPr>
                <w:color w:val="000000"/>
                <w:sz w:val="20"/>
              </w:rPr>
            </w:pPr>
            <w:r w:rsidRPr="007859FC">
              <w:rPr>
                <w:color w:val="000000"/>
                <w:sz w:val="20"/>
              </w:rPr>
              <w:t>16%</w:t>
            </w:r>
          </w:p>
        </w:tc>
        <w:tc>
          <w:tcPr>
            <w:tcW w:w="2170" w:type="dxa"/>
            <w:tcBorders>
              <w:top w:val="nil"/>
              <w:left w:val="nil"/>
              <w:bottom w:val="single" w:sz="4" w:space="0" w:color="auto"/>
              <w:right w:val="single" w:sz="4" w:space="0" w:color="auto"/>
            </w:tcBorders>
            <w:shd w:val="clear" w:color="auto" w:fill="auto"/>
            <w:vAlign w:val="center"/>
          </w:tcPr>
          <w:p w14:paraId="02390B59" w14:textId="77777777" w:rsidR="00736B7D" w:rsidRPr="007859FC" w:rsidRDefault="00736B7D" w:rsidP="00D91454">
            <w:pPr>
              <w:ind w:firstLine="0"/>
              <w:rPr>
                <w:color w:val="000000"/>
                <w:sz w:val="20"/>
              </w:rPr>
            </w:pPr>
            <w:r w:rsidRPr="007859FC">
              <w:rPr>
                <w:color w:val="000000"/>
                <w:sz w:val="20"/>
              </w:rPr>
              <w:t>Estorno da reversão do passivo realizada de forma inadequada</w:t>
            </w:r>
          </w:p>
        </w:tc>
      </w:tr>
      <w:tr w:rsidR="00D91454" w:rsidRPr="007859FC" w14:paraId="7F7E9DBD" w14:textId="77777777" w:rsidTr="004D3095">
        <w:trPr>
          <w:trHeight w:val="315"/>
        </w:trPr>
        <w:tc>
          <w:tcPr>
            <w:tcW w:w="1292" w:type="dxa"/>
            <w:tcBorders>
              <w:top w:val="nil"/>
              <w:left w:val="single" w:sz="4" w:space="0" w:color="auto"/>
              <w:bottom w:val="single" w:sz="4" w:space="0" w:color="auto"/>
              <w:right w:val="single" w:sz="4" w:space="0" w:color="auto"/>
            </w:tcBorders>
            <w:shd w:val="clear" w:color="auto" w:fill="auto"/>
            <w:vAlign w:val="center"/>
          </w:tcPr>
          <w:p w14:paraId="6013D390" w14:textId="77777777" w:rsidR="00736B7D" w:rsidRPr="007859FC" w:rsidRDefault="00736B7D" w:rsidP="00D91454">
            <w:pPr>
              <w:ind w:firstLine="0"/>
              <w:rPr>
                <w:color w:val="000000"/>
                <w:sz w:val="20"/>
              </w:rPr>
            </w:pPr>
            <w:r w:rsidRPr="007859FC">
              <w:rPr>
                <w:color w:val="000000"/>
                <w:sz w:val="20"/>
              </w:rPr>
              <w:t>JBS</w:t>
            </w:r>
          </w:p>
        </w:tc>
        <w:tc>
          <w:tcPr>
            <w:tcW w:w="708" w:type="dxa"/>
            <w:tcBorders>
              <w:top w:val="nil"/>
              <w:left w:val="nil"/>
              <w:bottom w:val="single" w:sz="4" w:space="0" w:color="auto"/>
              <w:right w:val="single" w:sz="4" w:space="0" w:color="auto"/>
            </w:tcBorders>
            <w:shd w:val="clear" w:color="auto" w:fill="auto"/>
            <w:vAlign w:val="center"/>
          </w:tcPr>
          <w:p w14:paraId="73A832E5" w14:textId="77777777" w:rsidR="00736B7D" w:rsidRPr="007859FC" w:rsidRDefault="00736B7D" w:rsidP="00867A50">
            <w:pPr>
              <w:ind w:firstLine="0"/>
              <w:rPr>
                <w:color w:val="000000"/>
                <w:sz w:val="20"/>
              </w:rPr>
            </w:pPr>
            <w:r w:rsidRPr="007859FC">
              <w:rPr>
                <w:color w:val="000000"/>
                <w:sz w:val="20"/>
              </w:rPr>
              <w:t>2016</w:t>
            </w:r>
          </w:p>
        </w:tc>
        <w:tc>
          <w:tcPr>
            <w:tcW w:w="1240" w:type="dxa"/>
            <w:tcBorders>
              <w:top w:val="nil"/>
              <w:left w:val="nil"/>
              <w:bottom w:val="single" w:sz="4" w:space="0" w:color="auto"/>
              <w:right w:val="single" w:sz="4" w:space="0" w:color="auto"/>
            </w:tcBorders>
            <w:shd w:val="clear" w:color="auto" w:fill="auto"/>
            <w:vAlign w:val="center"/>
          </w:tcPr>
          <w:p w14:paraId="16B57780" w14:textId="77777777" w:rsidR="00736B7D" w:rsidRPr="007859FC" w:rsidRDefault="00736B7D" w:rsidP="00867A50">
            <w:pPr>
              <w:ind w:firstLine="0"/>
              <w:rPr>
                <w:color w:val="000000"/>
                <w:sz w:val="20"/>
              </w:rPr>
            </w:pPr>
            <w:r w:rsidRPr="007859FC">
              <w:rPr>
                <w:color w:val="000000"/>
                <w:sz w:val="20"/>
              </w:rPr>
              <w:t>Patrimônio Líquido</w:t>
            </w:r>
          </w:p>
        </w:tc>
        <w:tc>
          <w:tcPr>
            <w:tcW w:w="1405" w:type="dxa"/>
            <w:tcBorders>
              <w:top w:val="nil"/>
              <w:left w:val="nil"/>
              <w:bottom w:val="single" w:sz="4" w:space="0" w:color="auto"/>
              <w:right w:val="single" w:sz="4" w:space="0" w:color="auto"/>
            </w:tcBorders>
            <w:shd w:val="clear" w:color="auto" w:fill="auto"/>
            <w:vAlign w:val="center"/>
          </w:tcPr>
          <w:p w14:paraId="4AB62A2A" w14:textId="77777777" w:rsidR="00736B7D" w:rsidRPr="007859FC" w:rsidRDefault="00736B7D" w:rsidP="00D91454">
            <w:pPr>
              <w:ind w:firstLine="0"/>
              <w:jc w:val="center"/>
              <w:rPr>
                <w:color w:val="000000"/>
                <w:sz w:val="20"/>
              </w:rPr>
            </w:pPr>
            <w:r w:rsidRPr="007859FC">
              <w:rPr>
                <w:color w:val="000000"/>
                <w:sz w:val="20"/>
              </w:rPr>
              <w:t>24.914.627</w:t>
            </w:r>
          </w:p>
        </w:tc>
        <w:tc>
          <w:tcPr>
            <w:tcW w:w="1702" w:type="dxa"/>
            <w:tcBorders>
              <w:top w:val="nil"/>
              <w:left w:val="nil"/>
              <w:bottom w:val="single" w:sz="4" w:space="0" w:color="auto"/>
              <w:right w:val="single" w:sz="4" w:space="0" w:color="auto"/>
            </w:tcBorders>
            <w:shd w:val="clear" w:color="auto" w:fill="auto"/>
            <w:vAlign w:val="center"/>
          </w:tcPr>
          <w:p w14:paraId="497C5DBB" w14:textId="77777777" w:rsidR="00736B7D" w:rsidRPr="007859FC" w:rsidRDefault="00736B7D" w:rsidP="00D91454">
            <w:pPr>
              <w:ind w:firstLine="0"/>
              <w:jc w:val="center"/>
              <w:rPr>
                <w:color w:val="000000"/>
                <w:sz w:val="20"/>
              </w:rPr>
            </w:pPr>
            <w:r w:rsidRPr="007859FC">
              <w:rPr>
                <w:color w:val="000000"/>
                <w:sz w:val="20"/>
              </w:rPr>
              <w:t>23.517.252</w:t>
            </w:r>
          </w:p>
        </w:tc>
        <w:tc>
          <w:tcPr>
            <w:tcW w:w="898" w:type="dxa"/>
            <w:tcBorders>
              <w:top w:val="nil"/>
              <w:left w:val="nil"/>
              <w:bottom w:val="single" w:sz="4" w:space="0" w:color="auto"/>
              <w:right w:val="single" w:sz="4" w:space="0" w:color="auto"/>
            </w:tcBorders>
            <w:shd w:val="clear" w:color="auto" w:fill="auto"/>
            <w:vAlign w:val="center"/>
          </w:tcPr>
          <w:p w14:paraId="4324ABEB" w14:textId="77777777" w:rsidR="00736B7D" w:rsidRPr="007859FC" w:rsidRDefault="00736B7D" w:rsidP="00955252">
            <w:pPr>
              <w:ind w:firstLine="0"/>
              <w:jc w:val="center"/>
              <w:rPr>
                <w:color w:val="000000"/>
                <w:sz w:val="20"/>
              </w:rPr>
            </w:pPr>
            <w:r w:rsidRPr="007859FC">
              <w:rPr>
                <w:color w:val="000000"/>
                <w:sz w:val="20"/>
              </w:rPr>
              <w:t>6%</w:t>
            </w:r>
          </w:p>
        </w:tc>
        <w:tc>
          <w:tcPr>
            <w:tcW w:w="2170" w:type="dxa"/>
            <w:tcBorders>
              <w:top w:val="nil"/>
              <w:left w:val="nil"/>
              <w:bottom w:val="single" w:sz="4" w:space="0" w:color="auto"/>
              <w:right w:val="single" w:sz="4" w:space="0" w:color="auto"/>
            </w:tcBorders>
            <w:shd w:val="clear" w:color="auto" w:fill="auto"/>
            <w:vAlign w:val="center"/>
            <w:hideMark/>
          </w:tcPr>
          <w:p w14:paraId="70E4402B" w14:textId="77777777" w:rsidR="00736B7D" w:rsidRPr="007859FC" w:rsidRDefault="00736B7D" w:rsidP="00D91454">
            <w:pPr>
              <w:ind w:firstLine="0"/>
              <w:rPr>
                <w:color w:val="000000"/>
                <w:sz w:val="20"/>
              </w:rPr>
            </w:pPr>
            <w:r w:rsidRPr="007859FC">
              <w:rPr>
                <w:color w:val="000000"/>
                <w:sz w:val="20"/>
              </w:rPr>
              <w:t>Reclassificações contábeis.</w:t>
            </w:r>
          </w:p>
        </w:tc>
      </w:tr>
      <w:tr w:rsidR="00D91454" w:rsidRPr="007859FC" w14:paraId="27017D63" w14:textId="77777777" w:rsidTr="004D3095">
        <w:trPr>
          <w:trHeight w:val="315"/>
        </w:trPr>
        <w:tc>
          <w:tcPr>
            <w:tcW w:w="1292" w:type="dxa"/>
            <w:tcBorders>
              <w:top w:val="nil"/>
              <w:left w:val="single" w:sz="4" w:space="0" w:color="auto"/>
              <w:bottom w:val="single" w:sz="4" w:space="0" w:color="auto"/>
              <w:right w:val="single" w:sz="4" w:space="0" w:color="auto"/>
            </w:tcBorders>
            <w:shd w:val="clear" w:color="auto" w:fill="auto"/>
            <w:vAlign w:val="center"/>
          </w:tcPr>
          <w:p w14:paraId="3776600F" w14:textId="77777777" w:rsidR="00736B7D" w:rsidRPr="007859FC" w:rsidRDefault="00736B7D" w:rsidP="00D91454">
            <w:pPr>
              <w:ind w:firstLine="0"/>
              <w:rPr>
                <w:color w:val="000000"/>
                <w:sz w:val="20"/>
              </w:rPr>
            </w:pPr>
            <w:r w:rsidRPr="007859FC">
              <w:rPr>
                <w:color w:val="000000"/>
                <w:sz w:val="20"/>
              </w:rPr>
              <w:t>Mendes Junior</w:t>
            </w:r>
          </w:p>
        </w:tc>
        <w:tc>
          <w:tcPr>
            <w:tcW w:w="708" w:type="dxa"/>
            <w:tcBorders>
              <w:top w:val="nil"/>
              <w:left w:val="nil"/>
              <w:bottom w:val="single" w:sz="4" w:space="0" w:color="auto"/>
              <w:right w:val="single" w:sz="4" w:space="0" w:color="auto"/>
            </w:tcBorders>
            <w:shd w:val="clear" w:color="auto" w:fill="auto"/>
            <w:vAlign w:val="center"/>
          </w:tcPr>
          <w:p w14:paraId="534FF7CA" w14:textId="77777777" w:rsidR="00736B7D" w:rsidRPr="007859FC" w:rsidRDefault="00736B7D" w:rsidP="00867A50">
            <w:pPr>
              <w:ind w:firstLine="0"/>
              <w:rPr>
                <w:color w:val="000000"/>
                <w:sz w:val="20"/>
              </w:rPr>
            </w:pPr>
            <w:r w:rsidRPr="007859FC">
              <w:rPr>
                <w:color w:val="000000"/>
                <w:sz w:val="20"/>
              </w:rPr>
              <w:t>2015</w:t>
            </w:r>
          </w:p>
        </w:tc>
        <w:tc>
          <w:tcPr>
            <w:tcW w:w="1240" w:type="dxa"/>
            <w:tcBorders>
              <w:top w:val="nil"/>
              <w:left w:val="nil"/>
              <w:bottom w:val="single" w:sz="4" w:space="0" w:color="auto"/>
              <w:right w:val="single" w:sz="4" w:space="0" w:color="auto"/>
            </w:tcBorders>
            <w:shd w:val="clear" w:color="auto" w:fill="auto"/>
            <w:vAlign w:val="center"/>
          </w:tcPr>
          <w:p w14:paraId="3DE1E024" w14:textId="77777777" w:rsidR="00736B7D" w:rsidRPr="007859FC" w:rsidRDefault="00736B7D" w:rsidP="00867A50">
            <w:pPr>
              <w:ind w:firstLine="0"/>
              <w:rPr>
                <w:color w:val="000000"/>
                <w:sz w:val="20"/>
              </w:rPr>
            </w:pPr>
            <w:r w:rsidRPr="007859FC">
              <w:rPr>
                <w:color w:val="000000"/>
                <w:sz w:val="20"/>
              </w:rPr>
              <w:t>Ativo Total</w:t>
            </w:r>
          </w:p>
        </w:tc>
        <w:tc>
          <w:tcPr>
            <w:tcW w:w="1405" w:type="dxa"/>
            <w:tcBorders>
              <w:top w:val="nil"/>
              <w:left w:val="nil"/>
              <w:bottom w:val="single" w:sz="4" w:space="0" w:color="auto"/>
              <w:right w:val="single" w:sz="4" w:space="0" w:color="auto"/>
            </w:tcBorders>
            <w:shd w:val="clear" w:color="auto" w:fill="auto"/>
            <w:vAlign w:val="center"/>
          </w:tcPr>
          <w:p w14:paraId="1D60A42A" w14:textId="77777777" w:rsidR="00736B7D" w:rsidRPr="007859FC" w:rsidRDefault="00736B7D" w:rsidP="00D91454">
            <w:pPr>
              <w:ind w:firstLine="0"/>
              <w:jc w:val="center"/>
              <w:rPr>
                <w:color w:val="000000"/>
                <w:sz w:val="20"/>
              </w:rPr>
            </w:pPr>
            <w:r w:rsidRPr="007859FC">
              <w:rPr>
                <w:color w:val="000000"/>
                <w:sz w:val="20"/>
              </w:rPr>
              <w:t>9.414.605</w:t>
            </w:r>
          </w:p>
        </w:tc>
        <w:tc>
          <w:tcPr>
            <w:tcW w:w="1702" w:type="dxa"/>
            <w:tcBorders>
              <w:top w:val="nil"/>
              <w:left w:val="nil"/>
              <w:bottom w:val="single" w:sz="4" w:space="0" w:color="auto"/>
              <w:right w:val="single" w:sz="4" w:space="0" w:color="auto"/>
            </w:tcBorders>
            <w:shd w:val="clear" w:color="auto" w:fill="auto"/>
            <w:vAlign w:val="center"/>
          </w:tcPr>
          <w:p w14:paraId="1F86A5FE" w14:textId="77777777" w:rsidR="00736B7D" w:rsidRPr="007859FC" w:rsidRDefault="00736B7D" w:rsidP="00D91454">
            <w:pPr>
              <w:ind w:firstLine="0"/>
              <w:jc w:val="center"/>
              <w:rPr>
                <w:color w:val="000000"/>
                <w:sz w:val="20"/>
              </w:rPr>
            </w:pPr>
            <w:r w:rsidRPr="007859FC">
              <w:rPr>
                <w:color w:val="000000"/>
                <w:sz w:val="20"/>
              </w:rPr>
              <w:t>938.707</w:t>
            </w:r>
          </w:p>
        </w:tc>
        <w:tc>
          <w:tcPr>
            <w:tcW w:w="898" w:type="dxa"/>
            <w:tcBorders>
              <w:top w:val="nil"/>
              <w:left w:val="nil"/>
              <w:bottom w:val="single" w:sz="4" w:space="0" w:color="auto"/>
              <w:right w:val="single" w:sz="4" w:space="0" w:color="auto"/>
            </w:tcBorders>
            <w:shd w:val="clear" w:color="auto" w:fill="auto"/>
            <w:vAlign w:val="center"/>
          </w:tcPr>
          <w:p w14:paraId="0B9AC6BC" w14:textId="77777777" w:rsidR="00736B7D" w:rsidRPr="007859FC" w:rsidRDefault="00736B7D" w:rsidP="00955252">
            <w:pPr>
              <w:ind w:firstLine="0"/>
              <w:jc w:val="center"/>
              <w:rPr>
                <w:color w:val="000000"/>
                <w:sz w:val="20"/>
              </w:rPr>
            </w:pPr>
            <w:r w:rsidRPr="007859FC">
              <w:rPr>
                <w:color w:val="000000"/>
                <w:sz w:val="20"/>
              </w:rPr>
              <w:t>90%</w:t>
            </w:r>
          </w:p>
        </w:tc>
        <w:tc>
          <w:tcPr>
            <w:tcW w:w="2170" w:type="dxa"/>
            <w:tcBorders>
              <w:top w:val="nil"/>
              <w:left w:val="nil"/>
              <w:bottom w:val="single" w:sz="4" w:space="0" w:color="auto"/>
              <w:right w:val="single" w:sz="4" w:space="0" w:color="auto"/>
            </w:tcBorders>
            <w:shd w:val="clear" w:color="auto" w:fill="auto"/>
            <w:vAlign w:val="center"/>
            <w:hideMark/>
          </w:tcPr>
          <w:p w14:paraId="4BC6DC62" w14:textId="77777777" w:rsidR="00736B7D" w:rsidRPr="007859FC" w:rsidRDefault="00736B7D" w:rsidP="00D91454">
            <w:pPr>
              <w:ind w:firstLine="0"/>
              <w:rPr>
                <w:color w:val="000000"/>
                <w:sz w:val="20"/>
              </w:rPr>
            </w:pPr>
            <w:r w:rsidRPr="007859FC">
              <w:rPr>
                <w:color w:val="000000"/>
                <w:sz w:val="20"/>
              </w:rPr>
              <w:t>Ajustes e reclassificações contábeis.</w:t>
            </w:r>
          </w:p>
        </w:tc>
      </w:tr>
      <w:tr w:rsidR="00D91454" w:rsidRPr="007859FC" w14:paraId="133361F8" w14:textId="77777777" w:rsidTr="004D3095">
        <w:trPr>
          <w:trHeight w:val="315"/>
        </w:trPr>
        <w:tc>
          <w:tcPr>
            <w:tcW w:w="1292" w:type="dxa"/>
            <w:tcBorders>
              <w:top w:val="nil"/>
              <w:left w:val="single" w:sz="4" w:space="0" w:color="auto"/>
              <w:bottom w:val="single" w:sz="4" w:space="0" w:color="auto"/>
              <w:right w:val="single" w:sz="4" w:space="0" w:color="auto"/>
            </w:tcBorders>
            <w:shd w:val="clear" w:color="auto" w:fill="auto"/>
            <w:vAlign w:val="center"/>
          </w:tcPr>
          <w:p w14:paraId="7F33F403" w14:textId="77777777" w:rsidR="00736B7D" w:rsidRPr="007859FC" w:rsidRDefault="00736B7D" w:rsidP="00D91454">
            <w:pPr>
              <w:ind w:firstLine="0"/>
              <w:rPr>
                <w:color w:val="000000"/>
                <w:sz w:val="20"/>
              </w:rPr>
            </w:pPr>
            <w:r w:rsidRPr="007859FC">
              <w:rPr>
                <w:color w:val="000000"/>
                <w:sz w:val="20"/>
              </w:rPr>
              <w:t>Mendes Junior</w:t>
            </w:r>
          </w:p>
        </w:tc>
        <w:tc>
          <w:tcPr>
            <w:tcW w:w="708" w:type="dxa"/>
            <w:tcBorders>
              <w:top w:val="nil"/>
              <w:left w:val="nil"/>
              <w:bottom w:val="single" w:sz="4" w:space="0" w:color="auto"/>
              <w:right w:val="single" w:sz="4" w:space="0" w:color="auto"/>
            </w:tcBorders>
            <w:shd w:val="clear" w:color="auto" w:fill="auto"/>
            <w:vAlign w:val="center"/>
          </w:tcPr>
          <w:p w14:paraId="07250803" w14:textId="77777777" w:rsidR="00736B7D" w:rsidRPr="007859FC" w:rsidRDefault="00736B7D" w:rsidP="00867A50">
            <w:pPr>
              <w:ind w:firstLine="0"/>
              <w:rPr>
                <w:color w:val="000000"/>
                <w:sz w:val="20"/>
              </w:rPr>
            </w:pPr>
            <w:r w:rsidRPr="007859FC">
              <w:rPr>
                <w:color w:val="000000"/>
                <w:sz w:val="20"/>
              </w:rPr>
              <w:t>2015</w:t>
            </w:r>
          </w:p>
        </w:tc>
        <w:tc>
          <w:tcPr>
            <w:tcW w:w="1240" w:type="dxa"/>
            <w:tcBorders>
              <w:top w:val="nil"/>
              <w:left w:val="nil"/>
              <w:bottom w:val="single" w:sz="4" w:space="0" w:color="auto"/>
              <w:right w:val="single" w:sz="4" w:space="0" w:color="auto"/>
            </w:tcBorders>
            <w:shd w:val="clear" w:color="auto" w:fill="auto"/>
            <w:vAlign w:val="center"/>
          </w:tcPr>
          <w:p w14:paraId="32B10460" w14:textId="77777777" w:rsidR="00736B7D" w:rsidRPr="007859FC" w:rsidRDefault="00736B7D" w:rsidP="00867A50">
            <w:pPr>
              <w:ind w:firstLine="0"/>
              <w:rPr>
                <w:color w:val="000000"/>
                <w:sz w:val="20"/>
              </w:rPr>
            </w:pPr>
            <w:r w:rsidRPr="007859FC">
              <w:rPr>
                <w:color w:val="000000"/>
                <w:sz w:val="20"/>
              </w:rPr>
              <w:t>Patrimônio Líquido</w:t>
            </w:r>
          </w:p>
        </w:tc>
        <w:tc>
          <w:tcPr>
            <w:tcW w:w="1405" w:type="dxa"/>
            <w:tcBorders>
              <w:top w:val="nil"/>
              <w:left w:val="nil"/>
              <w:bottom w:val="single" w:sz="4" w:space="0" w:color="auto"/>
              <w:right w:val="single" w:sz="4" w:space="0" w:color="auto"/>
            </w:tcBorders>
            <w:shd w:val="clear" w:color="auto" w:fill="auto"/>
            <w:vAlign w:val="center"/>
          </w:tcPr>
          <w:p w14:paraId="4C01B3EF" w14:textId="77777777" w:rsidR="00736B7D" w:rsidRPr="007859FC" w:rsidRDefault="00736B7D" w:rsidP="00D91454">
            <w:pPr>
              <w:ind w:firstLine="0"/>
              <w:jc w:val="center"/>
              <w:rPr>
                <w:color w:val="000000"/>
                <w:sz w:val="20"/>
              </w:rPr>
            </w:pPr>
            <w:r w:rsidRPr="007859FC">
              <w:rPr>
                <w:color w:val="000000"/>
                <w:sz w:val="20"/>
              </w:rPr>
              <w:t>2.858.520</w:t>
            </w:r>
          </w:p>
        </w:tc>
        <w:tc>
          <w:tcPr>
            <w:tcW w:w="1702" w:type="dxa"/>
            <w:tcBorders>
              <w:top w:val="nil"/>
              <w:left w:val="nil"/>
              <w:bottom w:val="single" w:sz="4" w:space="0" w:color="auto"/>
              <w:right w:val="single" w:sz="4" w:space="0" w:color="auto"/>
            </w:tcBorders>
            <w:shd w:val="clear" w:color="auto" w:fill="auto"/>
            <w:vAlign w:val="center"/>
          </w:tcPr>
          <w:p w14:paraId="7860C897" w14:textId="14AE5A71" w:rsidR="00736B7D" w:rsidRPr="007859FC" w:rsidRDefault="00D91454" w:rsidP="00D91454">
            <w:pPr>
              <w:ind w:firstLine="0"/>
              <w:jc w:val="center"/>
              <w:rPr>
                <w:color w:val="000000"/>
                <w:sz w:val="20"/>
              </w:rPr>
            </w:pPr>
            <w:r>
              <w:rPr>
                <w:color w:val="000000"/>
                <w:sz w:val="20"/>
              </w:rPr>
              <w:t>-</w:t>
            </w:r>
            <w:r w:rsidR="00736B7D" w:rsidRPr="007859FC">
              <w:rPr>
                <w:color w:val="000000"/>
                <w:sz w:val="20"/>
              </w:rPr>
              <w:t>7.107.614</w:t>
            </w:r>
          </w:p>
        </w:tc>
        <w:tc>
          <w:tcPr>
            <w:tcW w:w="898" w:type="dxa"/>
            <w:tcBorders>
              <w:top w:val="nil"/>
              <w:left w:val="nil"/>
              <w:bottom w:val="single" w:sz="4" w:space="0" w:color="auto"/>
              <w:right w:val="single" w:sz="4" w:space="0" w:color="auto"/>
            </w:tcBorders>
            <w:shd w:val="clear" w:color="auto" w:fill="auto"/>
            <w:vAlign w:val="center"/>
          </w:tcPr>
          <w:p w14:paraId="33FC30DB" w14:textId="39CE6309" w:rsidR="00736B7D" w:rsidRPr="007859FC" w:rsidRDefault="00955252" w:rsidP="00D91454">
            <w:pPr>
              <w:ind w:firstLine="0"/>
              <w:jc w:val="center"/>
              <w:rPr>
                <w:color w:val="000000"/>
                <w:sz w:val="20"/>
              </w:rPr>
            </w:pPr>
            <w:r>
              <w:rPr>
                <w:color w:val="000000"/>
                <w:sz w:val="20"/>
              </w:rPr>
              <w:t>-</w:t>
            </w:r>
            <w:r w:rsidR="00736B7D" w:rsidRPr="007859FC">
              <w:rPr>
                <w:color w:val="000000"/>
                <w:sz w:val="20"/>
              </w:rPr>
              <w:t>349%</w:t>
            </w:r>
          </w:p>
        </w:tc>
        <w:tc>
          <w:tcPr>
            <w:tcW w:w="2170" w:type="dxa"/>
            <w:tcBorders>
              <w:top w:val="nil"/>
              <w:left w:val="nil"/>
              <w:bottom w:val="single" w:sz="4" w:space="0" w:color="auto"/>
              <w:right w:val="single" w:sz="4" w:space="0" w:color="auto"/>
            </w:tcBorders>
            <w:shd w:val="clear" w:color="auto" w:fill="auto"/>
            <w:vAlign w:val="center"/>
            <w:hideMark/>
          </w:tcPr>
          <w:p w14:paraId="6CEB1FE4" w14:textId="77777777" w:rsidR="00736B7D" w:rsidRPr="007859FC" w:rsidRDefault="00736B7D" w:rsidP="00D91454">
            <w:pPr>
              <w:ind w:firstLine="0"/>
              <w:rPr>
                <w:color w:val="000000"/>
                <w:sz w:val="20"/>
              </w:rPr>
            </w:pPr>
            <w:r w:rsidRPr="007859FC">
              <w:rPr>
                <w:color w:val="000000"/>
                <w:sz w:val="20"/>
              </w:rPr>
              <w:t>Ajustes e reclassificações contábeis.</w:t>
            </w:r>
          </w:p>
        </w:tc>
      </w:tr>
      <w:tr w:rsidR="00D91454" w:rsidRPr="007859FC" w14:paraId="62B48BD9" w14:textId="77777777" w:rsidTr="004D3095">
        <w:trPr>
          <w:trHeight w:val="315"/>
        </w:trPr>
        <w:tc>
          <w:tcPr>
            <w:tcW w:w="1292" w:type="dxa"/>
            <w:tcBorders>
              <w:top w:val="nil"/>
              <w:left w:val="single" w:sz="4" w:space="0" w:color="auto"/>
              <w:bottom w:val="single" w:sz="4" w:space="0" w:color="auto"/>
              <w:right w:val="single" w:sz="4" w:space="0" w:color="auto"/>
            </w:tcBorders>
            <w:shd w:val="clear" w:color="auto" w:fill="auto"/>
            <w:vAlign w:val="center"/>
          </w:tcPr>
          <w:p w14:paraId="35422F8D" w14:textId="77777777" w:rsidR="00736B7D" w:rsidRPr="007859FC" w:rsidRDefault="00736B7D" w:rsidP="00D91454">
            <w:pPr>
              <w:ind w:firstLine="0"/>
              <w:rPr>
                <w:color w:val="000000"/>
                <w:sz w:val="20"/>
              </w:rPr>
            </w:pPr>
            <w:r w:rsidRPr="007859FC">
              <w:rPr>
                <w:color w:val="000000"/>
                <w:sz w:val="20"/>
              </w:rPr>
              <w:t>Queiroz Galvão</w:t>
            </w:r>
          </w:p>
        </w:tc>
        <w:tc>
          <w:tcPr>
            <w:tcW w:w="708" w:type="dxa"/>
            <w:tcBorders>
              <w:top w:val="nil"/>
              <w:left w:val="nil"/>
              <w:bottom w:val="single" w:sz="4" w:space="0" w:color="auto"/>
              <w:right w:val="single" w:sz="4" w:space="0" w:color="auto"/>
            </w:tcBorders>
            <w:shd w:val="clear" w:color="auto" w:fill="auto"/>
            <w:vAlign w:val="center"/>
          </w:tcPr>
          <w:p w14:paraId="47270080" w14:textId="77777777" w:rsidR="00736B7D" w:rsidRPr="007859FC" w:rsidRDefault="00736B7D" w:rsidP="00867A50">
            <w:pPr>
              <w:ind w:firstLine="0"/>
              <w:rPr>
                <w:color w:val="000000"/>
                <w:sz w:val="20"/>
              </w:rPr>
            </w:pPr>
            <w:r w:rsidRPr="007859FC">
              <w:rPr>
                <w:color w:val="000000"/>
                <w:sz w:val="20"/>
              </w:rPr>
              <w:t>2014</w:t>
            </w:r>
          </w:p>
        </w:tc>
        <w:tc>
          <w:tcPr>
            <w:tcW w:w="1240" w:type="dxa"/>
            <w:tcBorders>
              <w:top w:val="nil"/>
              <w:left w:val="nil"/>
              <w:bottom w:val="single" w:sz="4" w:space="0" w:color="auto"/>
              <w:right w:val="single" w:sz="4" w:space="0" w:color="auto"/>
            </w:tcBorders>
            <w:shd w:val="clear" w:color="auto" w:fill="auto"/>
            <w:vAlign w:val="center"/>
          </w:tcPr>
          <w:p w14:paraId="3E4B04E5" w14:textId="77777777" w:rsidR="00736B7D" w:rsidRPr="007859FC" w:rsidRDefault="00736B7D" w:rsidP="00867A50">
            <w:pPr>
              <w:ind w:firstLine="0"/>
              <w:rPr>
                <w:color w:val="000000"/>
                <w:sz w:val="20"/>
              </w:rPr>
            </w:pPr>
            <w:r w:rsidRPr="007859FC">
              <w:rPr>
                <w:color w:val="000000"/>
                <w:sz w:val="20"/>
              </w:rPr>
              <w:t>Imobilizado</w:t>
            </w:r>
          </w:p>
        </w:tc>
        <w:tc>
          <w:tcPr>
            <w:tcW w:w="1405" w:type="dxa"/>
            <w:tcBorders>
              <w:top w:val="nil"/>
              <w:left w:val="nil"/>
              <w:bottom w:val="single" w:sz="4" w:space="0" w:color="auto"/>
              <w:right w:val="single" w:sz="4" w:space="0" w:color="auto"/>
            </w:tcBorders>
            <w:shd w:val="clear" w:color="auto" w:fill="auto"/>
            <w:vAlign w:val="center"/>
          </w:tcPr>
          <w:p w14:paraId="5F07893A" w14:textId="77777777" w:rsidR="00736B7D" w:rsidRPr="007859FC" w:rsidRDefault="00736B7D" w:rsidP="00D91454">
            <w:pPr>
              <w:ind w:firstLine="0"/>
              <w:jc w:val="center"/>
              <w:rPr>
                <w:color w:val="000000"/>
                <w:sz w:val="20"/>
              </w:rPr>
            </w:pPr>
            <w:r w:rsidRPr="007859FC">
              <w:rPr>
                <w:color w:val="000000"/>
                <w:sz w:val="20"/>
              </w:rPr>
              <w:t>1.121.384</w:t>
            </w:r>
          </w:p>
        </w:tc>
        <w:tc>
          <w:tcPr>
            <w:tcW w:w="1702" w:type="dxa"/>
            <w:tcBorders>
              <w:top w:val="nil"/>
              <w:left w:val="nil"/>
              <w:bottom w:val="single" w:sz="4" w:space="0" w:color="auto"/>
              <w:right w:val="single" w:sz="4" w:space="0" w:color="auto"/>
            </w:tcBorders>
            <w:shd w:val="clear" w:color="auto" w:fill="auto"/>
            <w:vAlign w:val="center"/>
          </w:tcPr>
          <w:p w14:paraId="3F284D36" w14:textId="77777777" w:rsidR="00736B7D" w:rsidRPr="007859FC" w:rsidRDefault="00736B7D" w:rsidP="00D91454">
            <w:pPr>
              <w:ind w:firstLine="0"/>
              <w:jc w:val="center"/>
              <w:rPr>
                <w:color w:val="000000"/>
                <w:sz w:val="20"/>
              </w:rPr>
            </w:pPr>
            <w:r w:rsidRPr="007859FC">
              <w:rPr>
                <w:color w:val="000000"/>
                <w:sz w:val="20"/>
              </w:rPr>
              <w:t>1.178.616</w:t>
            </w:r>
          </w:p>
        </w:tc>
        <w:tc>
          <w:tcPr>
            <w:tcW w:w="898" w:type="dxa"/>
            <w:tcBorders>
              <w:top w:val="nil"/>
              <w:left w:val="nil"/>
              <w:bottom w:val="single" w:sz="4" w:space="0" w:color="auto"/>
              <w:right w:val="single" w:sz="4" w:space="0" w:color="auto"/>
            </w:tcBorders>
            <w:shd w:val="clear" w:color="auto" w:fill="auto"/>
            <w:vAlign w:val="center"/>
          </w:tcPr>
          <w:p w14:paraId="0826F3FA" w14:textId="77777777" w:rsidR="00736B7D" w:rsidRPr="007859FC" w:rsidRDefault="00736B7D" w:rsidP="00D91454">
            <w:pPr>
              <w:ind w:firstLine="0"/>
              <w:jc w:val="center"/>
              <w:rPr>
                <w:color w:val="000000"/>
                <w:sz w:val="20"/>
              </w:rPr>
            </w:pPr>
            <w:r w:rsidRPr="007859FC">
              <w:rPr>
                <w:color w:val="000000"/>
                <w:sz w:val="20"/>
              </w:rPr>
              <w:t>-5%</w:t>
            </w:r>
          </w:p>
        </w:tc>
        <w:tc>
          <w:tcPr>
            <w:tcW w:w="2170" w:type="dxa"/>
            <w:tcBorders>
              <w:top w:val="nil"/>
              <w:left w:val="nil"/>
              <w:bottom w:val="single" w:sz="4" w:space="0" w:color="auto"/>
              <w:right w:val="single" w:sz="4" w:space="0" w:color="auto"/>
            </w:tcBorders>
            <w:shd w:val="clear" w:color="auto" w:fill="auto"/>
            <w:vAlign w:val="center"/>
            <w:hideMark/>
          </w:tcPr>
          <w:p w14:paraId="596A6BC0" w14:textId="77777777" w:rsidR="00736B7D" w:rsidRPr="007859FC" w:rsidRDefault="00736B7D" w:rsidP="00D91454">
            <w:pPr>
              <w:ind w:firstLine="0"/>
              <w:rPr>
                <w:color w:val="000000"/>
                <w:sz w:val="20"/>
              </w:rPr>
            </w:pPr>
            <w:r w:rsidRPr="007859FC">
              <w:rPr>
                <w:color w:val="000000"/>
                <w:sz w:val="20"/>
              </w:rPr>
              <w:t>Reclassificação e retificação de erro.</w:t>
            </w:r>
          </w:p>
        </w:tc>
      </w:tr>
      <w:tr w:rsidR="00D91454" w:rsidRPr="007859FC" w14:paraId="7017AB9A" w14:textId="77777777" w:rsidTr="004D3095">
        <w:trPr>
          <w:trHeight w:val="315"/>
        </w:trPr>
        <w:tc>
          <w:tcPr>
            <w:tcW w:w="1292" w:type="dxa"/>
            <w:tcBorders>
              <w:top w:val="single" w:sz="4" w:space="0" w:color="auto"/>
              <w:left w:val="single" w:sz="4" w:space="0" w:color="auto"/>
              <w:bottom w:val="single" w:sz="4" w:space="0" w:color="auto"/>
              <w:right w:val="single" w:sz="4" w:space="0" w:color="auto"/>
            </w:tcBorders>
            <w:shd w:val="clear" w:color="auto" w:fill="auto"/>
            <w:vAlign w:val="center"/>
          </w:tcPr>
          <w:p w14:paraId="436601A3" w14:textId="1D08B0F0" w:rsidR="00736B7D" w:rsidRPr="007859FC" w:rsidRDefault="00736B7D" w:rsidP="00D91454">
            <w:pPr>
              <w:ind w:firstLine="0"/>
              <w:rPr>
                <w:color w:val="000000"/>
                <w:sz w:val="20"/>
              </w:rPr>
            </w:pPr>
            <w:proofErr w:type="spellStart"/>
            <w:r w:rsidRPr="007859FC">
              <w:rPr>
                <w:color w:val="000000"/>
                <w:sz w:val="20"/>
              </w:rPr>
              <w:t>Petrbras</w:t>
            </w:r>
            <w:proofErr w:type="spellEnd"/>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3B59A315" w14:textId="77777777" w:rsidR="00736B7D" w:rsidRPr="007859FC" w:rsidRDefault="00736B7D" w:rsidP="00867A50">
            <w:pPr>
              <w:ind w:firstLine="0"/>
              <w:rPr>
                <w:color w:val="000000"/>
                <w:sz w:val="20"/>
              </w:rPr>
            </w:pPr>
            <w:r w:rsidRPr="007859FC">
              <w:rPr>
                <w:color w:val="000000"/>
                <w:sz w:val="20"/>
              </w:rPr>
              <w:t>2012</w:t>
            </w:r>
          </w:p>
        </w:tc>
        <w:tc>
          <w:tcPr>
            <w:tcW w:w="1240" w:type="dxa"/>
            <w:tcBorders>
              <w:top w:val="single" w:sz="4" w:space="0" w:color="auto"/>
              <w:left w:val="nil"/>
              <w:bottom w:val="single" w:sz="4" w:space="0" w:color="auto"/>
              <w:right w:val="single" w:sz="4" w:space="0" w:color="auto"/>
            </w:tcBorders>
            <w:shd w:val="clear" w:color="auto" w:fill="auto"/>
            <w:vAlign w:val="center"/>
          </w:tcPr>
          <w:p w14:paraId="78D22070" w14:textId="77777777" w:rsidR="00736B7D" w:rsidRPr="007859FC" w:rsidRDefault="00736B7D" w:rsidP="00867A50">
            <w:pPr>
              <w:ind w:firstLine="0"/>
              <w:rPr>
                <w:color w:val="000000"/>
                <w:sz w:val="20"/>
              </w:rPr>
            </w:pPr>
            <w:r w:rsidRPr="007859FC">
              <w:rPr>
                <w:color w:val="000000"/>
                <w:sz w:val="20"/>
              </w:rPr>
              <w:t>Patrimônio Líquido</w:t>
            </w:r>
          </w:p>
        </w:tc>
        <w:tc>
          <w:tcPr>
            <w:tcW w:w="1405" w:type="dxa"/>
            <w:tcBorders>
              <w:top w:val="single" w:sz="4" w:space="0" w:color="auto"/>
              <w:left w:val="nil"/>
              <w:bottom w:val="single" w:sz="4" w:space="0" w:color="auto"/>
              <w:right w:val="single" w:sz="4" w:space="0" w:color="auto"/>
            </w:tcBorders>
            <w:shd w:val="clear" w:color="auto" w:fill="auto"/>
            <w:noWrap/>
            <w:vAlign w:val="center"/>
          </w:tcPr>
          <w:p w14:paraId="3033514A" w14:textId="77777777" w:rsidR="00736B7D" w:rsidRPr="007859FC" w:rsidRDefault="00736B7D" w:rsidP="00D91454">
            <w:pPr>
              <w:ind w:firstLine="0"/>
              <w:jc w:val="center"/>
              <w:rPr>
                <w:color w:val="000000"/>
                <w:sz w:val="20"/>
              </w:rPr>
            </w:pPr>
            <w:r w:rsidRPr="007859FC">
              <w:rPr>
                <w:color w:val="000000"/>
                <w:sz w:val="20"/>
              </w:rPr>
              <w:t>345.433</w:t>
            </w:r>
          </w:p>
        </w:tc>
        <w:tc>
          <w:tcPr>
            <w:tcW w:w="1702" w:type="dxa"/>
            <w:tcBorders>
              <w:top w:val="single" w:sz="4" w:space="0" w:color="auto"/>
              <w:left w:val="nil"/>
              <w:bottom w:val="single" w:sz="4" w:space="0" w:color="auto"/>
              <w:right w:val="single" w:sz="4" w:space="0" w:color="auto"/>
            </w:tcBorders>
            <w:shd w:val="clear" w:color="auto" w:fill="auto"/>
            <w:noWrap/>
            <w:vAlign w:val="center"/>
          </w:tcPr>
          <w:p w14:paraId="3BC24D3D" w14:textId="77777777" w:rsidR="00736B7D" w:rsidRPr="007859FC" w:rsidRDefault="00736B7D" w:rsidP="00D91454">
            <w:pPr>
              <w:ind w:firstLine="0"/>
              <w:jc w:val="center"/>
              <w:rPr>
                <w:color w:val="000000"/>
                <w:sz w:val="20"/>
              </w:rPr>
            </w:pPr>
            <w:r w:rsidRPr="007859FC">
              <w:rPr>
                <w:color w:val="000000"/>
                <w:sz w:val="20"/>
              </w:rPr>
              <w:t>330.775</w:t>
            </w:r>
          </w:p>
        </w:tc>
        <w:tc>
          <w:tcPr>
            <w:tcW w:w="898" w:type="dxa"/>
            <w:tcBorders>
              <w:top w:val="single" w:sz="4" w:space="0" w:color="auto"/>
              <w:left w:val="nil"/>
              <w:bottom w:val="single" w:sz="4" w:space="0" w:color="auto"/>
              <w:right w:val="single" w:sz="4" w:space="0" w:color="auto"/>
            </w:tcBorders>
            <w:shd w:val="clear" w:color="auto" w:fill="auto"/>
            <w:vAlign w:val="center"/>
          </w:tcPr>
          <w:p w14:paraId="2819F055" w14:textId="77777777" w:rsidR="00736B7D" w:rsidRPr="007859FC" w:rsidRDefault="00736B7D" w:rsidP="00D91454">
            <w:pPr>
              <w:ind w:firstLine="0"/>
              <w:jc w:val="center"/>
              <w:rPr>
                <w:color w:val="000000"/>
                <w:sz w:val="20"/>
              </w:rPr>
            </w:pPr>
            <w:r w:rsidRPr="007859FC">
              <w:rPr>
                <w:color w:val="000000"/>
                <w:sz w:val="20"/>
              </w:rPr>
              <w:t>4%</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14:paraId="0625B830" w14:textId="77777777" w:rsidR="00736B7D" w:rsidRPr="007859FC" w:rsidRDefault="00736B7D" w:rsidP="00D91454">
            <w:pPr>
              <w:ind w:firstLine="0"/>
              <w:rPr>
                <w:color w:val="000000"/>
                <w:sz w:val="20"/>
              </w:rPr>
            </w:pPr>
            <w:r w:rsidRPr="007859FC">
              <w:rPr>
                <w:color w:val="000000"/>
                <w:sz w:val="20"/>
              </w:rPr>
              <w:t>Ajustes contábeis.</w:t>
            </w:r>
          </w:p>
        </w:tc>
      </w:tr>
      <w:tr w:rsidR="00D91454" w:rsidRPr="007859FC" w14:paraId="76F96897" w14:textId="77777777" w:rsidTr="004D3095">
        <w:trPr>
          <w:trHeight w:val="315"/>
        </w:trPr>
        <w:tc>
          <w:tcPr>
            <w:tcW w:w="1292" w:type="dxa"/>
            <w:tcBorders>
              <w:top w:val="single" w:sz="4" w:space="0" w:color="auto"/>
              <w:left w:val="single" w:sz="4" w:space="0" w:color="auto"/>
              <w:bottom w:val="single" w:sz="4" w:space="0" w:color="auto"/>
              <w:right w:val="single" w:sz="4" w:space="0" w:color="auto"/>
            </w:tcBorders>
            <w:shd w:val="clear" w:color="auto" w:fill="auto"/>
            <w:vAlign w:val="center"/>
          </w:tcPr>
          <w:p w14:paraId="571F2C8E" w14:textId="77777777" w:rsidR="00736B7D" w:rsidRPr="007859FC" w:rsidRDefault="00736B7D" w:rsidP="00D91454">
            <w:pPr>
              <w:ind w:firstLine="0"/>
              <w:rPr>
                <w:color w:val="000000"/>
                <w:sz w:val="20"/>
              </w:rPr>
            </w:pPr>
            <w:r w:rsidRPr="007859FC">
              <w:rPr>
                <w:color w:val="000000"/>
                <w:sz w:val="20"/>
              </w:rPr>
              <w:t>Petrobras</w:t>
            </w:r>
          </w:p>
        </w:tc>
        <w:tc>
          <w:tcPr>
            <w:tcW w:w="708" w:type="dxa"/>
            <w:tcBorders>
              <w:top w:val="single" w:sz="4" w:space="0" w:color="auto"/>
              <w:left w:val="nil"/>
              <w:bottom w:val="single" w:sz="4" w:space="0" w:color="auto"/>
              <w:right w:val="single" w:sz="4" w:space="0" w:color="auto"/>
            </w:tcBorders>
            <w:shd w:val="clear" w:color="auto" w:fill="auto"/>
            <w:vAlign w:val="center"/>
          </w:tcPr>
          <w:p w14:paraId="61FD15EE" w14:textId="77777777" w:rsidR="00736B7D" w:rsidRPr="007859FC" w:rsidRDefault="00736B7D" w:rsidP="00867A50">
            <w:pPr>
              <w:ind w:firstLine="0"/>
              <w:rPr>
                <w:color w:val="000000"/>
                <w:sz w:val="20"/>
              </w:rPr>
            </w:pPr>
            <w:r w:rsidRPr="007859FC">
              <w:rPr>
                <w:color w:val="000000"/>
                <w:sz w:val="20"/>
              </w:rPr>
              <w:t>2015</w:t>
            </w:r>
          </w:p>
        </w:tc>
        <w:tc>
          <w:tcPr>
            <w:tcW w:w="1240" w:type="dxa"/>
            <w:tcBorders>
              <w:top w:val="single" w:sz="4" w:space="0" w:color="auto"/>
              <w:left w:val="nil"/>
              <w:bottom w:val="single" w:sz="4" w:space="0" w:color="auto"/>
              <w:right w:val="single" w:sz="4" w:space="0" w:color="auto"/>
            </w:tcBorders>
            <w:shd w:val="clear" w:color="auto" w:fill="auto"/>
            <w:noWrap/>
            <w:vAlign w:val="center"/>
          </w:tcPr>
          <w:p w14:paraId="453F3D34" w14:textId="77777777" w:rsidR="00736B7D" w:rsidRPr="007859FC" w:rsidRDefault="00736B7D" w:rsidP="00867A50">
            <w:pPr>
              <w:ind w:firstLine="0"/>
              <w:rPr>
                <w:color w:val="000000"/>
                <w:sz w:val="20"/>
              </w:rPr>
            </w:pPr>
            <w:r w:rsidRPr="007859FC">
              <w:rPr>
                <w:color w:val="000000"/>
                <w:sz w:val="20"/>
              </w:rPr>
              <w:t>Ativo Não Circulante</w:t>
            </w:r>
          </w:p>
        </w:tc>
        <w:tc>
          <w:tcPr>
            <w:tcW w:w="1405" w:type="dxa"/>
            <w:tcBorders>
              <w:top w:val="single" w:sz="4" w:space="0" w:color="auto"/>
              <w:left w:val="nil"/>
              <w:bottom w:val="single" w:sz="4" w:space="0" w:color="auto"/>
              <w:right w:val="single" w:sz="4" w:space="0" w:color="auto"/>
            </w:tcBorders>
            <w:shd w:val="clear" w:color="auto" w:fill="auto"/>
            <w:noWrap/>
            <w:vAlign w:val="center"/>
          </w:tcPr>
          <w:p w14:paraId="261BC364" w14:textId="77777777" w:rsidR="00736B7D" w:rsidRPr="007859FC" w:rsidRDefault="00736B7D" w:rsidP="00D91454">
            <w:pPr>
              <w:ind w:firstLine="0"/>
              <w:jc w:val="center"/>
              <w:rPr>
                <w:color w:val="000000"/>
                <w:sz w:val="20"/>
              </w:rPr>
            </w:pPr>
            <w:r w:rsidRPr="007859FC">
              <w:rPr>
                <w:color w:val="000000"/>
                <w:sz w:val="20"/>
              </w:rPr>
              <w:t>74.879</w:t>
            </w:r>
          </w:p>
        </w:tc>
        <w:tc>
          <w:tcPr>
            <w:tcW w:w="1702" w:type="dxa"/>
            <w:tcBorders>
              <w:top w:val="single" w:sz="4" w:space="0" w:color="auto"/>
              <w:left w:val="nil"/>
              <w:bottom w:val="single" w:sz="4" w:space="0" w:color="auto"/>
              <w:right w:val="single" w:sz="4" w:space="0" w:color="auto"/>
            </w:tcBorders>
            <w:shd w:val="clear" w:color="auto" w:fill="auto"/>
            <w:noWrap/>
            <w:vAlign w:val="center"/>
          </w:tcPr>
          <w:p w14:paraId="1223A275" w14:textId="77777777" w:rsidR="00736B7D" w:rsidRPr="007859FC" w:rsidRDefault="00736B7D" w:rsidP="00D91454">
            <w:pPr>
              <w:ind w:firstLine="0"/>
              <w:jc w:val="center"/>
              <w:rPr>
                <w:color w:val="000000"/>
                <w:sz w:val="20"/>
              </w:rPr>
            </w:pPr>
            <w:r w:rsidRPr="007859FC">
              <w:rPr>
                <w:color w:val="000000"/>
                <w:sz w:val="20"/>
              </w:rPr>
              <w:t>75.853</w:t>
            </w:r>
          </w:p>
        </w:tc>
        <w:tc>
          <w:tcPr>
            <w:tcW w:w="898" w:type="dxa"/>
            <w:tcBorders>
              <w:top w:val="single" w:sz="4" w:space="0" w:color="auto"/>
              <w:left w:val="nil"/>
              <w:bottom w:val="single" w:sz="4" w:space="0" w:color="auto"/>
              <w:right w:val="single" w:sz="4" w:space="0" w:color="auto"/>
            </w:tcBorders>
            <w:shd w:val="clear" w:color="auto" w:fill="auto"/>
            <w:vAlign w:val="center"/>
          </w:tcPr>
          <w:p w14:paraId="7C1C0EC8" w14:textId="77777777" w:rsidR="00736B7D" w:rsidRPr="007859FC" w:rsidRDefault="00736B7D" w:rsidP="00D91454">
            <w:pPr>
              <w:ind w:firstLine="0"/>
              <w:jc w:val="center"/>
              <w:rPr>
                <w:color w:val="000000"/>
                <w:sz w:val="20"/>
              </w:rPr>
            </w:pPr>
            <w:r w:rsidRPr="007859FC">
              <w:rPr>
                <w:color w:val="000000"/>
                <w:sz w:val="20"/>
              </w:rPr>
              <w:t>-1%</w:t>
            </w:r>
          </w:p>
        </w:tc>
        <w:tc>
          <w:tcPr>
            <w:tcW w:w="2170" w:type="dxa"/>
            <w:tcBorders>
              <w:top w:val="single" w:sz="4" w:space="0" w:color="auto"/>
              <w:left w:val="nil"/>
              <w:bottom w:val="single" w:sz="4" w:space="0" w:color="auto"/>
              <w:right w:val="single" w:sz="4" w:space="0" w:color="auto"/>
            </w:tcBorders>
            <w:shd w:val="clear" w:color="auto" w:fill="auto"/>
            <w:noWrap/>
            <w:vAlign w:val="center"/>
            <w:hideMark/>
          </w:tcPr>
          <w:p w14:paraId="5B701C45" w14:textId="77777777" w:rsidR="00736B7D" w:rsidRPr="007859FC" w:rsidRDefault="00736B7D" w:rsidP="00D91454">
            <w:pPr>
              <w:ind w:firstLine="0"/>
              <w:rPr>
                <w:color w:val="000000"/>
                <w:sz w:val="20"/>
              </w:rPr>
            </w:pPr>
            <w:r w:rsidRPr="007859FC">
              <w:rPr>
                <w:color w:val="000000"/>
                <w:sz w:val="20"/>
              </w:rPr>
              <w:t>Reclassificação contábil.</w:t>
            </w:r>
          </w:p>
        </w:tc>
      </w:tr>
      <w:tr w:rsidR="00D91454" w:rsidRPr="007859FC" w14:paraId="5DFBCB4D" w14:textId="77777777" w:rsidTr="004D3095">
        <w:trPr>
          <w:trHeight w:val="315"/>
        </w:trPr>
        <w:tc>
          <w:tcPr>
            <w:tcW w:w="1292" w:type="dxa"/>
            <w:tcBorders>
              <w:top w:val="single" w:sz="4" w:space="0" w:color="auto"/>
              <w:left w:val="single" w:sz="4" w:space="0" w:color="auto"/>
              <w:bottom w:val="single" w:sz="4" w:space="0" w:color="auto"/>
              <w:right w:val="single" w:sz="4" w:space="0" w:color="auto"/>
            </w:tcBorders>
            <w:shd w:val="clear" w:color="auto" w:fill="auto"/>
            <w:vAlign w:val="center"/>
          </w:tcPr>
          <w:p w14:paraId="592E6DC7" w14:textId="77777777" w:rsidR="00736B7D" w:rsidRPr="007859FC" w:rsidRDefault="00736B7D" w:rsidP="00D91454">
            <w:pPr>
              <w:ind w:firstLine="0"/>
              <w:rPr>
                <w:color w:val="000000"/>
                <w:sz w:val="20"/>
              </w:rPr>
            </w:pPr>
            <w:r w:rsidRPr="007859FC">
              <w:rPr>
                <w:color w:val="000000"/>
                <w:sz w:val="20"/>
              </w:rPr>
              <w:t>Vale</w:t>
            </w:r>
          </w:p>
        </w:tc>
        <w:tc>
          <w:tcPr>
            <w:tcW w:w="708" w:type="dxa"/>
            <w:tcBorders>
              <w:top w:val="single" w:sz="4" w:space="0" w:color="auto"/>
              <w:left w:val="nil"/>
              <w:bottom w:val="single" w:sz="4" w:space="0" w:color="auto"/>
              <w:right w:val="single" w:sz="4" w:space="0" w:color="auto"/>
            </w:tcBorders>
            <w:shd w:val="clear" w:color="auto" w:fill="auto"/>
            <w:vAlign w:val="center"/>
          </w:tcPr>
          <w:p w14:paraId="65364E1F" w14:textId="77777777" w:rsidR="00736B7D" w:rsidRPr="007859FC" w:rsidRDefault="00736B7D" w:rsidP="00867A50">
            <w:pPr>
              <w:ind w:firstLine="0"/>
              <w:rPr>
                <w:color w:val="000000"/>
                <w:sz w:val="20"/>
              </w:rPr>
            </w:pPr>
            <w:r w:rsidRPr="007859FC">
              <w:rPr>
                <w:color w:val="000000"/>
                <w:sz w:val="20"/>
              </w:rPr>
              <w:t>2015</w:t>
            </w:r>
          </w:p>
        </w:tc>
        <w:tc>
          <w:tcPr>
            <w:tcW w:w="1240" w:type="dxa"/>
            <w:tcBorders>
              <w:top w:val="single" w:sz="4" w:space="0" w:color="auto"/>
              <w:left w:val="nil"/>
              <w:bottom w:val="single" w:sz="4" w:space="0" w:color="auto"/>
              <w:right w:val="single" w:sz="4" w:space="0" w:color="auto"/>
            </w:tcBorders>
            <w:shd w:val="clear" w:color="auto" w:fill="auto"/>
            <w:noWrap/>
            <w:vAlign w:val="center"/>
          </w:tcPr>
          <w:p w14:paraId="6F5FEB80" w14:textId="77777777" w:rsidR="00736B7D" w:rsidRPr="007859FC" w:rsidRDefault="00736B7D" w:rsidP="00867A50">
            <w:pPr>
              <w:ind w:firstLine="0"/>
              <w:rPr>
                <w:color w:val="000000"/>
                <w:sz w:val="20"/>
              </w:rPr>
            </w:pPr>
            <w:r w:rsidRPr="007859FC">
              <w:rPr>
                <w:color w:val="000000"/>
                <w:sz w:val="20"/>
              </w:rPr>
              <w:t>Receita</w:t>
            </w:r>
          </w:p>
        </w:tc>
        <w:tc>
          <w:tcPr>
            <w:tcW w:w="1405" w:type="dxa"/>
            <w:tcBorders>
              <w:top w:val="single" w:sz="4" w:space="0" w:color="auto"/>
              <w:left w:val="nil"/>
              <w:bottom w:val="single" w:sz="4" w:space="0" w:color="auto"/>
              <w:right w:val="single" w:sz="4" w:space="0" w:color="auto"/>
            </w:tcBorders>
            <w:shd w:val="clear" w:color="auto" w:fill="auto"/>
            <w:noWrap/>
            <w:vAlign w:val="center"/>
          </w:tcPr>
          <w:p w14:paraId="4DDA9173" w14:textId="77777777" w:rsidR="00736B7D" w:rsidRPr="007859FC" w:rsidRDefault="00736B7D" w:rsidP="00D91454">
            <w:pPr>
              <w:ind w:firstLine="0"/>
              <w:jc w:val="center"/>
              <w:rPr>
                <w:color w:val="000000"/>
                <w:sz w:val="20"/>
              </w:rPr>
            </w:pPr>
            <w:r w:rsidRPr="007859FC">
              <w:rPr>
                <w:color w:val="000000"/>
                <w:sz w:val="20"/>
              </w:rPr>
              <w:t>85.499</w:t>
            </w:r>
          </w:p>
        </w:tc>
        <w:tc>
          <w:tcPr>
            <w:tcW w:w="1702" w:type="dxa"/>
            <w:tcBorders>
              <w:top w:val="single" w:sz="4" w:space="0" w:color="auto"/>
              <w:left w:val="nil"/>
              <w:bottom w:val="single" w:sz="4" w:space="0" w:color="auto"/>
              <w:right w:val="single" w:sz="4" w:space="0" w:color="auto"/>
            </w:tcBorders>
            <w:shd w:val="clear" w:color="auto" w:fill="auto"/>
            <w:noWrap/>
            <w:vAlign w:val="center"/>
          </w:tcPr>
          <w:p w14:paraId="550ABDAC" w14:textId="77777777" w:rsidR="00736B7D" w:rsidRPr="007859FC" w:rsidRDefault="00736B7D" w:rsidP="00D91454">
            <w:pPr>
              <w:ind w:firstLine="0"/>
              <w:jc w:val="center"/>
              <w:rPr>
                <w:color w:val="000000"/>
                <w:sz w:val="20"/>
              </w:rPr>
            </w:pPr>
            <w:r w:rsidRPr="007859FC">
              <w:rPr>
                <w:color w:val="000000"/>
                <w:sz w:val="20"/>
              </w:rPr>
              <w:t>78.057</w:t>
            </w:r>
          </w:p>
        </w:tc>
        <w:tc>
          <w:tcPr>
            <w:tcW w:w="898" w:type="dxa"/>
            <w:tcBorders>
              <w:top w:val="single" w:sz="4" w:space="0" w:color="auto"/>
              <w:left w:val="nil"/>
              <w:bottom w:val="single" w:sz="4" w:space="0" w:color="auto"/>
              <w:right w:val="single" w:sz="4" w:space="0" w:color="auto"/>
            </w:tcBorders>
            <w:shd w:val="clear" w:color="auto" w:fill="auto"/>
            <w:vAlign w:val="center"/>
          </w:tcPr>
          <w:p w14:paraId="181B419C" w14:textId="77777777" w:rsidR="00736B7D" w:rsidRPr="007859FC" w:rsidRDefault="00736B7D" w:rsidP="00D91454">
            <w:pPr>
              <w:ind w:firstLine="0"/>
              <w:jc w:val="center"/>
              <w:rPr>
                <w:color w:val="000000"/>
                <w:sz w:val="20"/>
              </w:rPr>
            </w:pPr>
            <w:r w:rsidRPr="007859FC">
              <w:rPr>
                <w:color w:val="000000"/>
                <w:sz w:val="20"/>
              </w:rPr>
              <w:t>9%</w:t>
            </w:r>
          </w:p>
        </w:tc>
        <w:tc>
          <w:tcPr>
            <w:tcW w:w="2170" w:type="dxa"/>
            <w:tcBorders>
              <w:top w:val="single" w:sz="4" w:space="0" w:color="auto"/>
              <w:left w:val="nil"/>
              <w:bottom w:val="single" w:sz="4" w:space="0" w:color="auto"/>
              <w:right w:val="single" w:sz="4" w:space="0" w:color="auto"/>
            </w:tcBorders>
            <w:shd w:val="clear" w:color="auto" w:fill="auto"/>
            <w:noWrap/>
            <w:vAlign w:val="center"/>
          </w:tcPr>
          <w:p w14:paraId="68B0B425" w14:textId="77777777" w:rsidR="00736B7D" w:rsidRPr="007859FC" w:rsidRDefault="00736B7D" w:rsidP="00D91454">
            <w:pPr>
              <w:ind w:firstLine="0"/>
              <w:rPr>
                <w:color w:val="000000"/>
                <w:sz w:val="20"/>
              </w:rPr>
            </w:pPr>
            <w:r w:rsidRPr="007859FC">
              <w:rPr>
                <w:color w:val="000000"/>
                <w:sz w:val="20"/>
              </w:rPr>
              <w:t>Não informou o motivo da reapresentação.</w:t>
            </w:r>
          </w:p>
        </w:tc>
      </w:tr>
    </w:tbl>
    <w:p w14:paraId="1FB33D57" w14:textId="77777777" w:rsidR="00736B7D" w:rsidRPr="007859FC" w:rsidRDefault="00736B7D" w:rsidP="00D91454">
      <w:pPr>
        <w:spacing w:after="120"/>
        <w:ind w:firstLine="0"/>
        <w:rPr>
          <w:b/>
          <w:sz w:val="20"/>
        </w:rPr>
      </w:pPr>
      <w:r w:rsidRPr="007859FC">
        <w:rPr>
          <w:sz w:val="20"/>
        </w:rPr>
        <w:t>Fonte: Dados da pesquisa</w:t>
      </w:r>
      <w:r w:rsidRPr="007859FC">
        <w:rPr>
          <w:b/>
          <w:sz w:val="20"/>
        </w:rPr>
        <w:t>.</w:t>
      </w:r>
    </w:p>
    <w:p w14:paraId="3A44E974" w14:textId="3FBC52F2" w:rsidR="00736B7D" w:rsidRPr="007859FC" w:rsidRDefault="00736B7D" w:rsidP="00736B7D">
      <w:pPr>
        <w:ind w:firstLine="708"/>
        <w:rPr>
          <w:color w:val="000000" w:themeColor="text1"/>
          <w:szCs w:val="24"/>
          <w:shd w:val="clear" w:color="auto" w:fill="FFFFFF"/>
        </w:rPr>
      </w:pPr>
      <w:r w:rsidRPr="007859FC">
        <w:rPr>
          <w:color w:val="000000" w:themeColor="text1"/>
          <w:szCs w:val="24"/>
          <w:shd w:val="clear" w:color="auto" w:fill="FFFFFF"/>
        </w:rPr>
        <w:t xml:space="preserve">Os principais motivos para a reapresentação dos resultados divulgados pelas empresas estavam relacionados à não evidenciação de saldos, alteração ou mudança em práticas contábeis, reclassificações de </w:t>
      </w:r>
      <w:r w:rsidRPr="008343F2">
        <w:rPr>
          <w:color w:val="000000" w:themeColor="text1"/>
          <w:szCs w:val="24"/>
          <w:shd w:val="clear" w:color="auto" w:fill="FFFFFF"/>
        </w:rPr>
        <w:t xml:space="preserve">contas. No ano de 2015 as empresas </w:t>
      </w:r>
      <w:proofErr w:type="spellStart"/>
      <w:r w:rsidRPr="008343F2">
        <w:rPr>
          <w:color w:val="000000" w:themeColor="text1"/>
          <w:szCs w:val="24"/>
          <w:shd w:val="clear" w:color="auto" w:fill="FFFFFF"/>
        </w:rPr>
        <w:t>Brasken</w:t>
      </w:r>
      <w:proofErr w:type="spellEnd"/>
      <w:r w:rsidRPr="008343F2">
        <w:rPr>
          <w:color w:val="000000" w:themeColor="text1"/>
          <w:szCs w:val="24"/>
          <w:shd w:val="clear" w:color="auto" w:fill="FFFFFF"/>
        </w:rPr>
        <w:t xml:space="preserve"> e Vale reapresentaram suas demonstrações contábeis</w:t>
      </w:r>
      <w:r w:rsidR="008343F2">
        <w:rPr>
          <w:color w:val="000000" w:themeColor="text1"/>
          <w:szCs w:val="24"/>
          <w:shd w:val="clear" w:color="auto" w:fill="FFFFFF"/>
        </w:rPr>
        <w:t xml:space="preserve">, </w:t>
      </w:r>
      <w:r w:rsidRPr="008343F2">
        <w:rPr>
          <w:color w:val="000000" w:themeColor="text1"/>
          <w:szCs w:val="24"/>
          <w:shd w:val="clear" w:color="auto" w:fill="FFFFFF"/>
        </w:rPr>
        <w:t>porém não evidenciaram o motivo para a alteração e reapresentação dos saldos do balanço patrimonial e demonstração de resultado.</w:t>
      </w:r>
    </w:p>
    <w:p w14:paraId="00BCDF7C" w14:textId="77777777" w:rsidR="00736B7D" w:rsidRPr="007859FC" w:rsidRDefault="00736B7D" w:rsidP="00736B7D">
      <w:pPr>
        <w:rPr>
          <w:b/>
          <w:color w:val="000000" w:themeColor="text1"/>
          <w:szCs w:val="24"/>
          <w:shd w:val="clear" w:color="auto" w:fill="FFFFFF"/>
        </w:rPr>
      </w:pPr>
    </w:p>
    <w:p w14:paraId="68D65171" w14:textId="725F478E" w:rsidR="00736B7D" w:rsidRPr="007859FC" w:rsidRDefault="00736B7D" w:rsidP="00D91454">
      <w:pPr>
        <w:ind w:firstLine="0"/>
        <w:rPr>
          <w:b/>
          <w:color w:val="000000" w:themeColor="text1"/>
          <w:szCs w:val="24"/>
          <w:shd w:val="clear" w:color="auto" w:fill="FFFFFF"/>
        </w:rPr>
      </w:pPr>
      <w:r w:rsidRPr="007859FC">
        <w:rPr>
          <w:b/>
          <w:color w:val="000000" w:themeColor="text1"/>
          <w:szCs w:val="24"/>
          <w:shd w:val="clear" w:color="auto" w:fill="FFFFFF"/>
        </w:rPr>
        <w:t>4.1 Análise das notas explicativas e parecer</w:t>
      </w:r>
      <w:r w:rsidR="007629BE">
        <w:rPr>
          <w:b/>
          <w:color w:val="000000" w:themeColor="text1"/>
          <w:szCs w:val="24"/>
          <w:shd w:val="clear" w:color="auto" w:fill="FFFFFF"/>
        </w:rPr>
        <w:t>es</w:t>
      </w:r>
      <w:r w:rsidRPr="007859FC">
        <w:rPr>
          <w:b/>
          <w:color w:val="000000" w:themeColor="text1"/>
          <w:szCs w:val="24"/>
          <w:shd w:val="clear" w:color="auto" w:fill="FFFFFF"/>
        </w:rPr>
        <w:t xml:space="preserve"> da auditoria</w:t>
      </w:r>
    </w:p>
    <w:p w14:paraId="5A8C7FE9" w14:textId="191D5001" w:rsidR="00736B7D" w:rsidRPr="007859FC" w:rsidRDefault="00736B7D" w:rsidP="00736B7D">
      <w:pPr>
        <w:rPr>
          <w:color w:val="000000" w:themeColor="text1"/>
          <w:szCs w:val="24"/>
          <w:shd w:val="clear" w:color="auto" w:fill="FFFFFF"/>
        </w:rPr>
      </w:pPr>
      <w:r w:rsidRPr="007859FC">
        <w:rPr>
          <w:color w:val="000000" w:themeColor="text1"/>
          <w:szCs w:val="24"/>
          <w:shd w:val="clear" w:color="auto" w:fill="FFFFFF"/>
        </w:rPr>
        <w:t xml:space="preserve">A análise das notas explicativas e do relatório da auditoria apresentados nas demonstrações contábeis do período analisado, apontou que 72% das auditorias realizadas nas demonstrações contábeis, foram realizadas pelas empresas que pertencem ao grupo das </w:t>
      </w:r>
      <w:r w:rsidRPr="007859FC">
        <w:rPr>
          <w:i/>
          <w:color w:val="000000" w:themeColor="text1"/>
          <w:szCs w:val="24"/>
          <w:shd w:val="clear" w:color="auto" w:fill="FFFFFF"/>
        </w:rPr>
        <w:t>Big Four</w:t>
      </w:r>
      <w:r w:rsidRPr="007859FC">
        <w:rPr>
          <w:color w:val="000000" w:themeColor="text1"/>
          <w:szCs w:val="24"/>
          <w:shd w:val="clear" w:color="auto" w:fill="FFFFFF"/>
        </w:rPr>
        <w:t xml:space="preserve">. Destas, 31% das auditorias foram realizadas pela empresa KMPG, 20% pela </w:t>
      </w:r>
      <w:proofErr w:type="spellStart"/>
      <w:r w:rsidRPr="007859FC">
        <w:rPr>
          <w:szCs w:val="24"/>
        </w:rPr>
        <w:t>PricewaterhouseCoopers</w:t>
      </w:r>
      <w:proofErr w:type="spellEnd"/>
      <w:r w:rsidRPr="007859FC">
        <w:rPr>
          <w:color w:val="000000" w:themeColor="text1"/>
          <w:szCs w:val="24"/>
          <w:shd w:val="clear" w:color="auto" w:fill="FFFFFF"/>
        </w:rPr>
        <w:t xml:space="preserve">, 11% pela Deloitte e 10% pela </w:t>
      </w:r>
      <w:proofErr w:type="spellStart"/>
      <w:r w:rsidRPr="007859FC">
        <w:rPr>
          <w:color w:val="000000" w:themeColor="text1"/>
          <w:szCs w:val="24"/>
          <w:shd w:val="clear" w:color="auto" w:fill="FFFFFF"/>
        </w:rPr>
        <w:t>Ernest&amp;Yuong</w:t>
      </w:r>
      <w:proofErr w:type="spellEnd"/>
      <w:r w:rsidRPr="007859FC">
        <w:rPr>
          <w:color w:val="000000" w:themeColor="text1"/>
          <w:szCs w:val="24"/>
          <w:shd w:val="clear" w:color="auto" w:fill="FFFFFF"/>
        </w:rPr>
        <w:t xml:space="preserve">. Os principais clientes auditados pelas </w:t>
      </w:r>
      <w:r w:rsidRPr="007859FC">
        <w:rPr>
          <w:i/>
          <w:color w:val="000000" w:themeColor="text1"/>
          <w:szCs w:val="24"/>
          <w:shd w:val="clear" w:color="auto" w:fill="FFFFFF"/>
        </w:rPr>
        <w:t>Big Four</w:t>
      </w:r>
      <w:r w:rsidRPr="007859FC">
        <w:rPr>
          <w:color w:val="000000" w:themeColor="text1"/>
          <w:szCs w:val="24"/>
          <w:shd w:val="clear" w:color="auto" w:fill="FFFFFF"/>
        </w:rPr>
        <w:t xml:space="preserve"> foram as empresas: </w:t>
      </w:r>
      <w:proofErr w:type="spellStart"/>
      <w:r w:rsidRPr="007859FC">
        <w:rPr>
          <w:color w:val="000000" w:themeColor="text1"/>
          <w:szCs w:val="24"/>
          <w:shd w:val="clear" w:color="auto" w:fill="FFFFFF"/>
        </w:rPr>
        <w:t>Brasken</w:t>
      </w:r>
      <w:proofErr w:type="spellEnd"/>
      <w:r w:rsidRPr="007859FC">
        <w:rPr>
          <w:color w:val="000000" w:themeColor="text1"/>
          <w:szCs w:val="24"/>
          <w:shd w:val="clear" w:color="auto" w:fill="FFFFFF"/>
        </w:rPr>
        <w:t xml:space="preserve">, BTG Pactual, </w:t>
      </w:r>
      <w:proofErr w:type="spellStart"/>
      <w:r w:rsidRPr="007859FC">
        <w:rPr>
          <w:color w:val="000000" w:themeColor="text1"/>
          <w:szCs w:val="24"/>
          <w:shd w:val="clear" w:color="auto" w:fill="FFFFFF"/>
        </w:rPr>
        <w:t>Eletrobras</w:t>
      </w:r>
      <w:proofErr w:type="spellEnd"/>
      <w:r w:rsidRPr="007859FC">
        <w:rPr>
          <w:color w:val="000000" w:themeColor="text1"/>
          <w:szCs w:val="24"/>
          <w:shd w:val="clear" w:color="auto" w:fill="FFFFFF"/>
        </w:rPr>
        <w:t xml:space="preserve">, Petrobras, Queiroz Galvão e Vale, conforme apresenta o Gráfico 1. </w:t>
      </w:r>
      <w:r w:rsidR="004D3095">
        <w:rPr>
          <w:color w:val="000000" w:themeColor="text1"/>
          <w:szCs w:val="24"/>
          <w:shd w:val="clear" w:color="auto" w:fill="FFFFFF"/>
        </w:rPr>
        <w:t xml:space="preserve"> </w:t>
      </w:r>
      <w:r w:rsidRPr="007859FC">
        <w:rPr>
          <w:color w:val="000000" w:themeColor="text1"/>
          <w:szCs w:val="24"/>
          <w:shd w:val="clear" w:color="auto" w:fill="FFFFFF"/>
        </w:rPr>
        <w:t xml:space="preserve">A empresa </w:t>
      </w:r>
      <w:r w:rsidR="00955252">
        <w:rPr>
          <w:color w:val="000000" w:themeColor="text1"/>
          <w:szCs w:val="24"/>
          <w:shd w:val="clear" w:color="auto" w:fill="FFFFFF"/>
        </w:rPr>
        <w:t>BDO Auditores Independentes</w:t>
      </w:r>
      <w:r w:rsidRPr="007859FC">
        <w:rPr>
          <w:color w:val="000000" w:themeColor="text1"/>
          <w:szCs w:val="24"/>
          <w:shd w:val="clear" w:color="auto" w:fill="FFFFFF"/>
        </w:rPr>
        <w:t xml:space="preserve">, não está no ranking das </w:t>
      </w:r>
      <w:r w:rsidRPr="007859FC">
        <w:rPr>
          <w:i/>
          <w:color w:val="000000" w:themeColor="text1"/>
          <w:szCs w:val="24"/>
          <w:shd w:val="clear" w:color="auto" w:fill="FFFFFF"/>
        </w:rPr>
        <w:t xml:space="preserve">Big </w:t>
      </w:r>
      <w:r w:rsidRPr="007859FC">
        <w:rPr>
          <w:i/>
          <w:color w:val="000000" w:themeColor="text1"/>
          <w:szCs w:val="24"/>
          <w:shd w:val="clear" w:color="auto" w:fill="FFFFFF"/>
        </w:rPr>
        <w:lastRenderedPageBreak/>
        <w:t>Four</w:t>
      </w:r>
      <w:r w:rsidRPr="007859FC">
        <w:rPr>
          <w:color w:val="000000" w:themeColor="text1"/>
          <w:szCs w:val="24"/>
          <w:shd w:val="clear" w:color="auto" w:fill="FFFFFF"/>
        </w:rPr>
        <w:t xml:space="preserve"> da auditoria, mas chama a atenção, pois </w:t>
      </w:r>
      <w:r w:rsidR="00955252">
        <w:rPr>
          <w:color w:val="000000" w:themeColor="text1"/>
          <w:szCs w:val="24"/>
          <w:shd w:val="clear" w:color="auto" w:fill="FFFFFF"/>
        </w:rPr>
        <w:t>possui mais representatividade que as</w:t>
      </w:r>
      <w:r w:rsidRPr="007859FC">
        <w:rPr>
          <w:color w:val="000000" w:themeColor="text1"/>
          <w:szCs w:val="24"/>
          <w:shd w:val="clear" w:color="auto" w:fill="FFFFFF"/>
        </w:rPr>
        <w:t xml:space="preserve"> empresas Deloitte e </w:t>
      </w:r>
      <w:proofErr w:type="spellStart"/>
      <w:r w:rsidRPr="007859FC">
        <w:rPr>
          <w:color w:val="000000" w:themeColor="text1"/>
          <w:szCs w:val="24"/>
          <w:shd w:val="clear" w:color="auto" w:fill="FFFFFF"/>
        </w:rPr>
        <w:t>Ernest&amp;Yuong</w:t>
      </w:r>
      <w:proofErr w:type="spellEnd"/>
      <w:r w:rsidR="00955252">
        <w:rPr>
          <w:color w:val="000000" w:themeColor="text1"/>
          <w:szCs w:val="24"/>
          <w:shd w:val="clear" w:color="auto" w:fill="FFFFFF"/>
        </w:rPr>
        <w:t>, s</w:t>
      </w:r>
      <w:r w:rsidRPr="007859FC">
        <w:rPr>
          <w:color w:val="000000" w:themeColor="text1"/>
          <w:szCs w:val="24"/>
          <w:shd w:val="clear" w:color="auto" w:fill="FFFFFF"/>
        </w:rPr>
        <w:t>eus principais clientes foram as e</w:t>
      </w:r>
      <w:r>
        <w:rPr>
          <w:color w:val="000000" w:themeColor="text1"/>
          <w:szCs w:val="24"/>
          <w:shd w:val="clear" w:color="auto" w:fill="FFFFFF"/>
        </w:rPr>
        <w:t xml:space="preserve">mpresas JBS e a Mendes Junior. </w:t>
      </w:r>
      <w:r w:rsidRPr="007859FC">
        <w:rPr>
          <w:color w:val="000000" w:themeColor="text1"/>
          <w:szCs w:val="24"/>
          <w:shd w:val="clear" w:color="auto" w:fill="FFFFFF"/>
        </w:rPr>
        <w:t xml:space="preserve"> </w:t>
      </w:r>
    </w:p>
    <w:p w14:paraId="5B13F173" w14:textId="77777777" w:rsidR="00736B7D" w:rsidRPr="007859FC" w:rsidRDefault="00736B7D" w:rsidP="00D91454">
      <w:pPr>
        <w:spacing w:before="120"/>
        <w:ind w:firstLine="0"/>
        <w:rPr>
          <w:b/>
          <w:bCs/>
          <w:color w:val="000000" w:themeColor="text1"/>
          <w:sz w:val="20"/>
          <w:shd w:val="clear" w:color="auto" w:fill="FFFFFF"/>
        </w:rPr>
      </w:pPr>
      <w:r w:rsidRPr="007859FC">
        <w:rPr>
          <w:b/>
          <w:bCs/>
          <w:color w:val="000000" w:themeColor="text1"/>
          <w:sz w:val="20"/>
          <w:shd w:val="clear" w:color="auto" w:fill="FFFFFF"/>
        </w:rPr>
        <w:t>Gráfico 1: Representatividade das empresas de Auditoria no período observado</w:t>
      </w:r>
    </w:p>
    <w:p w14:paraId="2722ABFC" w14:textId="186D9074" w:rsidR="00736B7D" w:rsidRPr="007859FC" w:rsidRDefault="00D91454" w:rsidP="00D91454">
      <w:pPr>
        <w:ind w:firstLine="0"/>
        <w:rPr>
          <w:color w:val="000000" w:themeColor="text1"/>
          <w:szCs w:val="24"/>
          <w:shd w:val="clear" w:color="auto" w:fill="FFFFFF"/>
        </w:rPr>
      </w:pPr>
      <w:r>
        <w:rPr>
          <w:noProof/>
        </w:rPr>
        <w:drawing>
          <wp:inline distT="0" distB="0" distL="0" distR="0" wp14:anchorId="3E4B7919" wp14:editId="7E0C66B0">
            <wp:extent cx="5934075" cy="2066925"/>
            <wp:effectExtent l="0" t="0" r="952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2CA8E7" w14:textId="77777777" w:rsidR="00736B7D" w:rsidRPr="007859FC" w:rsidRDefault="00736B7D" w:rsidP="00D91454">
      <w:pPr>
        <w:spacing w:after="120"/>
        <w:ind w:firstLine="0"/>
        <w:rPr>
          <w:b/>
          <w:sz w:val="20"/>
        </w:rPr>
      </w:pPr>
      <w:r w:rsidRPr="007859FC">
        <w:rPr>
          <w:sz w:val="20"/>
        </w:rPr>
        <w:t>Fonte: Dados da pesquisa</w:t>
      </w:r>
      <w:r w:rsidRPr="007859FC">
        <w:rPr>
          <w:b/>
          <w:sz w:val="20"/>
        </w:rPr>
        <w:t>.</w:t>
      </w:r>
    </w:p>
    <w:p w14:paraId="7B4F432E" w14:textId="35F514D0" w:rsidR="002F79A6" w:rsidRDefault="00736B7D" w:rsidP="00736B7D">
      <w:pPr>
        <w:rPr>
          <w:color w:val="000000" w:themeColor="text1"/>
          <w:szCs w:val="24"/>
          <w:shd w:val="clear" w:color="auto" w:fill="FFFFFF"/>
        </w:rPr>
      </w:pPr>
      <w:r w:rsidRPr="007859FC">
        <w:rPr>
          <w:color w:val="000000" w:themeColor="text1"/>
          <w:szCs w:val="24"/>
          <w:shd w:val="clear" w:color="auto" w:fill="FFFFFF"/>
        </w:rPr>
        <w:t xml:space="preserve">A empresa </w:t>
      </w:r>
      <w:proofErr w:type="spellStart"/>
      <w:r w:rsidRPr="007859FC">
        <w:rPr>
          <w:color w:val="000000" w:themeColor="text1"/>
          <w:szCs w:val="24"/>
          <w:shd w:val="clear" w:color="auto" w:fill="FFFFFF"/>
        </w:rPr>
        <w:t>Ernest&amp;Young</w:t>
      </w:r>
      <w:proofErr w:type="spellEnd"/>
      <w:r w:rsidRPr="007859FC">
        <w:rPr>
          <w:color w:val="000000" w:themeColor="text1"/>
          <w:szCs w:val="24"/>
          <w:shd w:val="clear" w:color="auto" w:fill="FFFFFF"/>
        </w:rPr>
        <w:t xml:space="preserve"> </w:t>
      </w:r>
      <w:r>
        <w:rPr>
          <w:color w:val="000000" w:themeColor="text1"/>
          <w:szCs w:val="24"/>
          <w:shd w:val="clear" w:color="auto" w:fill="FFFFFF"/>
        </w:rPr>
        <w:t xml:space="preserve">realizou todas os relatórios da opinião da auditoria </w:t>
      </w:r>
      <w:r w:rsidRPr="007859FC">
        <w:rPr>
          <w:color w:val="000000" w:themeColor="text1"/>
          <w:szCs w:val="24"/>
          <w:shd w:val="clear" w:color="auto" w:fill="FFFFFF"/>
        </w:rPr>
        <w:t>dentro período analisado de 2010 à 2018</w:t>
      </w:r>
      <w:r>
        <w:rPr>
          <w:color w:val="000000" w:themeColor="text1"/>
          <w:szCs w:val="24"/>
          <w:shd w:val="clear" w:color="auto" w:fill="FFFFFF"/>
        </w:rPr>
        <w:t xml:space="preserve"> da empresa BTG Pactual</w:t>
      </w:r>
      <w:r w:rsidRPr="007859FC">
        <w:rPr>
          <w:color w:val="000000" w:themeColor="text1"/>
          <w:szCs w:val="24"/>
          <w:shd w:val="clear" w:color="auto" w:fill="FFFFFF"/>
        </w:rPr>
        <w:t xml:space="preserve">, de acordo com a Instrução </w:t>
      </w:r>
      <w:r w:rsidR="002F79A6">
        <w:rPr>
          <w:color w:val="000000" w:themeColor="text1"/>
          <w:szCs w:val="24"/>
          <w:shd w:val="clear" w:color="auto" w:fill="FFFFFF"/>
        </w:rPr>
        <w:t>da Comissão de Valores Mobiliários (</w:t>
      </w:r>
      <w:r w:rsidRPr="007859FC">
        <w:rPr>
          <w:color w:val="000000" w:themeColor="text1"/>
          <w:szCs w:val="24"/>
          <w:shd w:val="clear" w:color="auto" w:fill="FFFFFF"/>
        </w:rPr>
        <w:t>CVM</w:t>
      </w:r>
      <w:r w:rsidR="002F79A6">
        <w:rPr>
          <w:color w:val="000000" w:themeColor="text1"/>
          <w:szCs w:val="24"/>
          <w:shd w:val="clear" w:color="auto" w:fill="FFFFFF"/>
        </w:rPr>
        <w:t>)</w:t>
      </w:r>
      <w:r w:rsidRPr="007859FC">
        <w:rPr>
          <w:color w:val="000000" w:themeColor="text1"/>
          <w:szCs w:val="24"/>
          <w:shd w:val="clear" w:color="auto" w:fill="FFFFFF"/>
        </w:rPr>
        <w:t xml:space="preserve"> </w:t>
      </w:r>
      <w:r w:rsidR="002F79A6">
        <w:rPr>
          <w:color w:val="000000" w:themeColor="text1"/>
          <w:szCs w:val="24"/>
          <w:shd w:val="clear" w:color="auto" w:fill="FFFFFF"/>
        </w:rPr>
        <w:t>n.</w:t>
      </w:r>
      <w:r w:rsidRPr="007859FC">
        <w:rPr>
          <w:color w:val="000000" w:themeColor="text1"/>
          <w:szCs w:val="24"/>
          <w:shd w:val="clear" w:color="auto" w:fill="FFFFFF"/>
        </w:rPr>
        <w:t xml:space="preserve"> 308/99 no seu artigo 31, informava que para não comprometer a qualidade da prestação de serviço de auditoria, o auditor independente não poderia prestar serviços por um prazo superior a 5 anos, sendo admitido o seu retorno a</w:t>
      </w:r>
      <w:r>
        <w:rPr>
          <w:color w:val="000000" w:themeColor="text1"/>
          <w:szCs w:val="24"/>
          <w:shd w:val="clear" w:color="auto" w:fill="FFFFFF"/>
        </w:rPr>
        <w:t xml:space="preserve">pós decorrido o prazo de 3 anos. </w:t>
      </w:r>
      <w:r>
        <w:rPr>
          <w:color w:val="000000" w:themeColor="text1"/>
          <w:szCs w:val="24"/>
          <w:shd w:val="clear" w:color="auto" w:fill="FFFFFF"/>
        </w:rPr>
        <w:tab/>
        <w:t>E</w:t>
      </w:r>
      <w:r w:rsidRPr="007859FC">
        <w:rPr>
          <w:color w:val="000000" w:themeColor="text1"/>
          <w:szCs w:val="24"/>
          <w:shd w:val="clear" w:color="auto" w:fill="FFFFFF"/>
        </w:rPr>
        <w:t xml:space="preserve">m 2017 essa instrução foi alterada pela Instrução CVM </w:t>
      </w:r>
      <w:r w:rsidR="002F79A6">
        <w:rPr>
          <w:color w:val="000000" w:themeColor="text1"/>
          <w:szCs w:val="24"/>
          <w:shd w:val="clear" w:color="auto" w:fill="FFFFFF"/>
        </w:rPr>
        <w:t xml:space="preserve">n. </w:t>
      </w:r>
      <w:r w:rsidRPr="007859FC">
        <w:rPr>
          <w:color w:val="000000" w:themeColor="text1"/>
          <w:szCs w:val="24"/>
          <w:shd w:val="clear" w:color="auto" w:fill="FFFFFF"/>
        </w:rPr>
        <w:t xml:space="preserve">509/17 que aumentou o seu prazo de 5 para 10 anos, porém ressalta-se que a empresa </w:t>
      </w:r>
      <w:proofErr w:type="spellStart"/>
      <w:r w:rsidRPr="007859FC">
        <w:rPr>
          <w:color w:val="000000" w:themeColor="text1"/>
          <w:szCs w:val="24"/>
          <w:shd w:val="clear" w:color="auto" w:fill="FFFFFF"/>
        </w:rPr>
        <w:t>Ernest&amp;Young</w:t>
      </w:r>
      <w:proofErr w:type="spellEnd"/>
      <w:r w:rsidRPr="007859FC">
        <w:rPr>
          <w:color w:val="000000" w:themeColor="text1"/>
          <w:szCs w:val="24"/>
          <w:shd w:val="clear" w:color="auto" w:fill="FFFFFF"/>
        </w:rPr>
        <w:t xml:space="preserve"> prestou de auditoria pelo período de 7 anos (2010-2016) durante o período que vigor</w:t>
      </w:r>
      <w:r>
        <w:rPr>
          <w:color w:val="000000" w:themeColor="text1"/>
          <w:szCs w:val="24"/>
          <w:shd w:val="clear" w:color="auto" w:fill="FFFFFF"/>
        </w:rPr>
        <w:t>ava</w:t>
      </w:r>
      <w:r w:rsidRPr="007859FC">
        <w:rPr>
          <w:color w:val="000000" w:themeColor="text1"/>
          <w:szCs w:val="24"/>
          <w:shd w:val="clear" w:color="auto" w:fill="FFFFFF"/>
        </w:rPr>
        <w:t xml:space="preserve"> a Instrução 308/99. </w:t>
      </w:r>
    </w:p>
    <w:p w14:paraId="3563022F" w14:textId="3B9C6EB1" w:rsidR="00736B7D" w:rsidRPr="007859FC" w:rsidRDefault="00736B7D" w:rsidP="00736B7D">
      <w:pPr>
        <w:rPr>
          <w:color w:val="000000" w:themeColor="text1"/>
          <w:szCs w:val="24"/>
          <w:shd w:val="clear" w:color="auto" w:fill="FFFFFF"/>
        </w:rPr>
      </w:pPr>
      <w:r w:rsidRPr="007859FC">
        <w:rPr>
          <w:color w:val="000000" w:themeColor="text1"/>
          <w:szCs w:val="24"/>
          <w:shd w:val="clear" w:color="auto" w:fill="FFFFFF"/>
        </w:rPr>
        <w:t xml:space="preserve"> A análise dos relatórios das auditorias realizadas nas demonstrações contábeis da empresa Andrade Gutierrez, evidenciou que apenas no ano de 2014 o relatório da auditoria </w:t>
      </w:r>
      <w:r>
        <w:rPr>
          <w:color w:val="000000" w:themeColor="text1"/>
          <w:szCs w:val="24"/>
          <w:shd w:val="clear" w:color="auto" w:fill="FFFFFF"/>
        </w:rPr>
        <w:t xml:space="preserve">foi emitido sem </w:t>
      </w:r>
      <w:r w:rsidRPr="007859FC">
        <w:rPr>
          <w:color w:val="000000" w:themeColor="text1"/>
          <w:szCs w:val="24"/>
          <w:shd w:val="clear" w:color="auto" w:fill="FFFFFF"/>
        </w:rPr>
        <w:t>parecer com ressalva ou ênfase:</w:t>
      </w:r>
    </w:p>
    <w:p w14:paraId="32578C8F" w14:textId="3F4411C9" w:rsidR="00736B7D" w:rsidRPr="007859FC" w:rsidRDefault="00D91454" w:rsidP="00D91454">
      <w:pPr>
        <w:spacing w:before="120"/>
        <w:ind w:firstLine="0"/>
        <w:rPr>
          <w:b/>
          <w:bCs/>
          <w:color w:val="000000" w:themeColor="text1"/>
          <w:sz w:val="20"/>
          <w:shd w:val="clear" w:color="auto" w:fill="FFFFFF"/>
        </w:rPr>
      </w:pPr>
      <w:r>
        <w:rPr>
          <w:b/>
          <w:bCs/>
          <w:color w:val="000000" w:themeColor="text1"/>
          <w:sz w:val="20"/>
          <w:shd w:val="clear" w:color="auto" w:fill="FFFFFF"/>
        </w:rPr>
        <w:t>Tabela</w:t>
      </w:r>
      <w:r w:rsidR="00736B7D" w:rsidRPr="007859FC">
        <w:rPr>
          <w:b/>
          <w:bCs/>
          <w:color w:val="000000" w:themeColor="text1"/>
          <w:sz w:val="20"/>
          <w:shd w:val="clear" w:color="auto" w:fill="FFFFFF"/>
        </w:rPr>
        <w:t xml:space="preserve"> 4: Análise dos relatórios de auditoria da empresa Andrade Gutierrez </w:t>
      </w:r>
    </w:p>
    <w:tbl>
      <w:tblPr>
        <w:tblStyle w:val="Tabelacomgrade"/>
        <w:tblW w:w="9351" w:type="dxa"/>
        <w:tblLook w:val="04A0" w:firstRow="1" w:lastRow="0" w:firstColumn="1" w:lastColumn="0" w:noHBand="0" w:noVBand="1"/>
      </w:tblPr>
      <w:tblGrid>
        <w:gridCol w:w="1325"/>
        <w:gridCol w:w="4076"/>
        <w:gridCol w:w="3950"/>
      </w:tblGrid>
      <w:tr w:rsidR="00736B7D" w:rsidRPr="007859FC" w14:paraId="2625BD64" w14:textId="77777777" w:rsidTr="000017CB">
        <w:trPr>
          <w:trHeight w:hRule="exact" w:val="249"/>
        </w:trPr>
        <w:tc>
          <w:tcPr>
            <w:tcW w:w="9351" w:type="dxa"/>
            <w:gridSpan w:val="3"/>
            <w:noWrap/>
            <w:hideMark/>
          </w:tcPr>
          <w:p w14:paraId="63B8085D" w14:textId="77777777" w:rsidR="00736B7D" w:rsidRPr="007859FC" w:rsidRDefault="00736B7D" w:rsidP="00E92C38">
            <w:pPr>
              <w:jc w:val="center"/>
              <w:rPr>
                <w:rFonts w:ascii="Times New Roman" w:hAnsi="Times New Roman"/>
                <w:b/>
                <w:color w:val="000000" w:themeColor="text1"/>
                <w:sz w:val="20"/>
                <w:szCs w:val="24"/>
                <w:shd w:val="clear" w:color="auto" w:fill="FFFFFF"/>
              </w:rPr>
            </w:pPr>
            <w:r w:rsidRPr="007859FC">
              <w:rPr>
                <w:rFonts w:ascii="Times New Roman" w:hAnsi="Times New Roman"/>
                <w:b/>
                <w:color w:val="000000" w:themeColor="text1"/>
                <w:sz w:val="20"/>
                <w:szCs w:val="24"/>
                <w:shd w:val="clear" w:color="auto" w:fill="FFFFFF"/>
              </w:rPr>
              <w:t>Andrade Gutierrez</w:t>
            </w:r>
          </w:p>
        </w:tc>
      </w:tr>
      <w:tr w:rsidR="00736B7D" w:rsidRPr="007859FC" w14:paraId="0435C742" w14:textId="77777777" w:rsidTr="000017CB">
        <w:trPr>
          <w:trHeight w:hRule="exact" w:val="249"/>
        </w:trPr>
        <w:tc>
          <w:tcPr>
            <w:tcW w:w="1325" w:type="dxa"/>
            <w:noWrap/>
            <w:hideMark/>
          </w:tcPr>
          <w:p w14:paraId="10DF647F" w14:textId="77777777" w:rsidR="00736B7D" w:rsidRPr="007859FC" w:rsidRDefault="00736B7D" w:rsidP="00E92C38">
            <w:pPr>
              <w:rPr>
                <w:rFonts w:ascii="Times New Roman" w:hAnsi="Times New Roman"/>
                <w:b/>
                <w:bCs/>
                <w:color w:val="000000" w:themeColor="text1"/>
                <w:sz w:val="20"/>
                <w:szCs w:val="24"/>
                <w:shd w:val="clear" w:color="auto" w:fill="FFFFFF"/>
              </w:rPr>
            </w:pPr>
            <w:r w:rsidRPr="007859FC">
              <w:rPr>
                <w:rFonts w:ascii="Times New Roman" w:hAnsi="Times New Roman"/>
                <w:b/>
                <w:bCs/>
                <w:color w:val="000000" w:themeColor="text1"/>
                <w:sz w:val="20"/>
                <w:szCs w:val="24"/>
                <w:shd w:val="clear" w:color="auto" w:fill="FFFFFF"/>
              </w:rPr>
              <w:t>Ano</w:t>
            </w:r>
          </w:p>
        </w:tc>
        <w:tc>
          <w:tcPr>
            <w:tcW w:w="4076" w:type="dxa"/>
            <w:noWrap/>
            <w:hideMark/>
          </w:tcPr>
          <w:p w14:paraId="651F1455" w14:textId="77777777" w:rsidR="00736B7D" w:rsidRPr="007859FC" w:rsidRDefault="00736B7D" w:rsidP="00E92C38">
            <w:pPr>
              <w:rPr>
                <w:rFonts w:ascii="Times New Roman" w:hAnsi="Times New Roman"/>
                <w:b/>
                <w:bCs/>
                <w:color w:val="000000" w:themeColor="text1"/>
                <w:sz w:val="20"/>
                <w:szCs w:val="24"/>
                <w:shd w:val="clear" w:color="auto" w:fill="FFFFFF"/>
              </w:rPr>
            </w:pPr>
            <w:r w:rsidRPr="007859FC">
              <w:rPr>
                <w:rFonts w:ascii="Times New Roman" w:hAnsi="Times New Roman"/>
                <w:b/>
                <w:bCs/>
                <w:color w:val="000000" w:themeColor="text1"/>
                <w:sz w:val="20"/>
                <w:szCs w:val="24"/>
                <w:shd w:val="clear" w:color="auto" w:fill="FFFFFF"/>
              </w:rPr>
              <w:t>Auditores</w:t>
            </w:r>
          </w:p>
        </w:tc>
        <w:tc>
          <w:tcPr>
            <w:tcW w:w="3950" w:type="dxa"/>
            <w:noWrap/>
            <w:hideMark/>
          </w:tcPr>
          <w:p w14:paraId="745BE38E" w14:textId="77777777" w:rsidR="00736B7D" w:rsidRPr="007859FC" w:rsidRDefault="00736B7D" w:rsidP="00E92C38">
            <w:pPr>
              <w:rPr>
                <w:rFonts w:ascii="Times New Roman" w:hAnsi="Times New Roman"/>
                <w:b/>
                <w:bCs/>
                <w:color w:val="000000" w:themeColor="text1"/>
                <w:sz w:val="20"/>
                <w:szCs w:val="24"/>
                <w:shd w:val="clear" w:color="auto" w:fill="FFFFFF"/>
              </w:rPr>
            </w:pPr>
            <w:r w:rsidRPr="007859FC">
              <w:rPr>
                <w:rFonts w:ascii="Times New Roman" w:hAnsi="Times New Roman"/>
                <w:b/>
                <w:bCs/>
                <w:color w:val="000000" w:themeColor="text1"/>
                <w:sz w:val="20"/>
                <w:szCs w:val="24"/>
                <w:shd w:val="clear" w:color="auto" w:fill="FFFFFF"/>
              </w:rPr>
              <w:t>Parecer</w:t>
            </w:r>
          </w:p>
        </w:tc>
      </w:tr>
      <w:tr w:rsidR="00736B7D" w:rsidRPr="007859FC" w14:paraId="4B37684F" w14:textId="77777777" w:rsidTr="000017CB">
        <w:trPr>
          <w:trHeight w:hRule="exact" w:val="249"/>
        </w:trPr>
        <w:tc>
          <w:tcPr>
            <w:tcW w:w="1325" w:type="dxa"/>
            <w:noWrap/>
            <w:hideMark/>
          </w:tcPr>
          <w:p w14:paraId="1E29EE71"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2010</w:t>
            </w:r>
          </w:p>
        </w:tc>
        <w:tc>
          <w:tcPr>
            <w:tcW w:w="4076" w:type="dxa"/>
            <w:noWrap/>
            <w:hideMark/>
          </w:tcPr>
          <w:p w14:paraId="49AD391F" w14:textId="081D2422" w:rsidR="00736B7D" w:rsidRPr="007859FC" w:rsidRDefault="00955252" w:rsidP="000E3935">
            <w:pPr>
              <w:ind w:firstLine="0"/>
              <w:jc w:val="center"/>
              <w:rPr>
                <w:rFonts w:ascii="Times New Roman" w:hAnsi="Times New Roman"/>
                <w:color w:val="000000" w:themeColor="text1"/>
                <w:sz w:val="20"/>
                <w:szCs w:val="24"/>
                <w:shd w:val="clear" w:color="auto" w:fill="FFFFFF"/>
              </w:rPr>
            </w:pPr>
            <w:r>
              <w:rPr>
                <w:rFonts w:ascii="Times New Roman" w:hAnsi="Times New Roman"/>
                <w:color w:val="000000" w:themeColor="text1"/>
                <w:sz w:val="20"/>
                <w:szCs w:val="24"/>
                <w:shd w:val="clear" w:color="auto" w:fill="FFFFFF"/>
              </w:rPr>
              <w:t xml:space="preserve">BDO </w:t>
            </w:r>
            <w:r w:rsidR="008343F2">
              <w:rPr>
                <w:rFonts w:ascii="Times New Roman" w:hAnsi="Times New Roman"/>
                <w:color w:val="000000" w:themeColor="text1"/>
                <w:sz w:val="20"/>
                <w:szCs w:val="24"/>
                <w:shd w:val="clear" w:color="auto" w:fill="FFFFFF"/>
              </w:rPr>
              <w:t>Auditores Independentes</w:t>
            </w:r>
          </w:p>
        </w:tc>
        <w:tc>
          <w:tcPr>
            <w:tcW w:w="3950" w:type="dxa"/>
            <w:noWrap/>
            <w:hideMark/>
          </w:tcPr>
          <w:p w14:paraId="15752C76"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780DA09D" w14:textId="77777777" w:rsidTr="000017CB">
        <w:trPr>
          <w:trHeight w:hRule="exact" w:val="249"/>
        </w:trPr>
        <w:tc>
          <w:tcPr>
            <w:tcW w:w="1325" w:type="dxa"/>
            <w:noWrap/>
            <w:hideMark/>
          </w:tcPr>
          <w:p w14:paraId="27A97671"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2011</w:t>
            </w:r>
          </w:p>
        </w:tc>
        <w:tc>
          <w:tcPr>
            <w:tcW w:w="4076" w:type="dxa"/>
            <w:noWrap/>
            <w:hideMark/>
          </w:tcPr>
          <w:p w14:paraId="2B319B6D" w14:textId="77777777" w:rsidR="00736B7D" w:rsidRPr="007859FC" w:rsidRDefault="00736B7D" w:rsidP="000E3935">
            <w:pPr>
              <w:jc w:val="cente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KPMG</w:t>
            </w:r>
          </w:p>
        </w:tc>
        <w:tc>
          <w:tcPr>
            <w:tcW w:w="3950" w:type="dxa"/>
            <w:noWrap/>
            <w:hideMark/>
          </w:tcPr>
          <w:p w14:paraId="29247E4A"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7E9926C4" w14:textId="77777777" w:rsidTr="000017CB">
        <w:trPr>
          <w:trHeight w:hRule="exact" w:val="249"/>
        </w:trPr>
        <w:tc>
          <w:tcPr>
            <w:tcW w:w="1325" w:type="dxa"/>
            <w:noWrap/>
            <w:hideMark/>
          </w:tcPr>
          <w:p w14:paraId="3DD7AF08"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2012</w:t>
            </w:r>
          </w:p>
        </w:tc>
        <w:tc>
          <w:tcPr>
            <w:tcW w:w="4076" w:type="dxa"/>
            <w:noWrap/>
            <w:hideMark/>
          </w:tcPr>
          <w:p w14:paraId="16629376" w14:textId="4846864E" w:rsidR="00736B7D" w:rsidRPr="007859FC" w:rsidRDefault="00736B7D" w:rsidP="000E3935">
            <w:pPr>
              <w:jc w:val="cente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Deloitte</w:t>
            </w:r>
          </w:p>
        </w:tc>
        <w:tc>
          <w:tcPr>
            <w:tcW w:w="3950" w:type="dxa"/>
            <w:noWrap/>
            <w:hideMark/>
          </w:tcPr>
          <w:p w14:paraId="5EBFC944"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562FB891" w14:textId="77777777" w:rsidTr="000017CB">
        <w:trPr>
          <w:trHeight w:hRule="exact" w:val="249"/>
        </w:trPr>
        <w:tc>
          <w:tcPr>
            <w:tcW w:w="1325" w:type="dxa"/>
            <w:noWrap/>
            <w:hideMark/>
          </w:tcPr>
          <w:p w14:paraId="54713113"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2013</w:t>
            </w:r>
          </w:p>
        </w:tc>
        <w:tc>
          <w:tcPr>
            <w:tcW w:w="4076" w:type="dxa"/>
            <w:noWrap/>
            <w:hideMark/>
          </w:tcPr>
          <w:p w14:paraId="15749A1E" w14:textId="549B412A" w:rsidR="00736B7D" w:rsidRPr="007859FC" w:rsidRDefault="00736B7D" w:rsidP="000E3935">
            <w:pPr>
              <w:jc w:val="cente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Deloitte</w:t>
            </w:r>
          </w:p>
        </w:tc>
        <w:tc>
          <w:tcPr>
            <w:tcW w:w="3950" w:type="dxa"/>
            <w:noWrap/>
            <w:hideMark/>
          </w:tcPr>
          <w:p w14:paraId="3549402C"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6E3EF80A" w14:textId="77777777" w:rsidTr="000017CB">
        <w:trPr>
          <w:trHeight w:hRule="exact" w:val="249"/>
        </w:trPr>
        <w:tc>
          <w:tcPr>
            <w:tcW w:w="1325" w:type="dxa"/>
            <w:noWrap/>
            <w:hideMark/>
          </w:tcPr>
          <w:p w14:paraId="7FC871AE"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2014</w:t>
            </w:r>
          </w:p>
        </w:tc>
        <w:tc>
          <w:tcPr>
            <w:tcW w:w="4076" w:type="dxa"/>
            <w:noWrap/>
            <w:hideMark/>
          </w:tcPr>
          <w:p w14:paraId="47BE2CB4" w14:textId="631FD880" w:rsidR="00736B7D" w:rsidRPr="007859FC" w:rsidRDefault="00736B7D" w:rsidP="000E3935">
            <w:pPr>
              <w:jc w:val="cente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Deloitte</w:t>
            </w:r>
          </w:p>
        </w:tc>
        <w:tc>
          <w:tcPr>
            <w:tcW w:w="3950" w:type="dxa"/>
            <w:noWrap/>
            <w:hideMark/>
          </w:tcPr>
          <w:p w14:paraId="65C5BF0B"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Parecer sem Ressalva</w:t>
            </w:r>
          </w:p>
        </w:tc>
      </w:tr>
      <w:tr w:rsidR="00736B7D" w:rsidRPr="007859FC" w14:paraId="06C4243B" w14:textId="77777777" w:rsidTr="000017CB">
        <w:trPr>
          <w:trHeight w:hRule="exact" w:val="249"/>
        </w:trPr>
        <w:tc>
          <w:tcPr>
            <w:tcW w:w="1325" w:type="dxa"/>
            <w:noWrap/>
            <w:hideMark/>
          </w:tcPr>
          <w:p w14:paraId="00BE78D2"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2015</w:t>
            </w:r>
          </w:p>
        </w:tc>
        <w:tc>
          <w:tcPr>
            <w:tcW w:w="4076" w:type="dxa"/>
            <w:noWrap/>
            <w:hideMark/>
          </w:tcPr>
          <w:p w14:paraId="262DB408" w14:textId="57C18416" w:rsidR="00736B7D" w:rsidRPr="007859FC" w:rsidRDefault="00736B7D" w:rsidP="000E3935">
            <w:pPr>
              <w:jc w:val="cente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Deloitte</w:t>
            </w:r>
          </w:p>
        </w:tc>
        <w:tc>
          <w:tcPr>
            <w:tcW w:w="3950" w:type="dxa"/>
            <w:noWrap/>
            <w:hideMark/>
          </w:tcPr>
          <w:p w14:paraId="42606309"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Parecer com Ressalva</w:t>
            </w:r>
          </w:p>
        </w:tc>
      </w:tr>
      <w:tr w:rsidR="00736B7D" w:rsidRPr="007859FC" w14:paraId="3E401131" w14:textId="77777777" w:rsidTr="000017CB">
        <w:trPr>
          <w:trHeight w:hRule="exact" w:val="249"/>
        </w:trPr>
        <w:tc>
          <w:tcPr>
            <w:tcW w:w="1325" w:type="dxa"/>
            <w:noWrap/>
            <w:hideMark/>
          </w:tcPr>
          <w:p w14:paraId="2DAEA009"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2016</w:t>
            </w:r>
          </w:p>
        </w:tc>
        <w:tc>
          <w:tcPr>
            <w:tcW w:w="4076" w:type="dxa"/>
            <w:noWrap/>
            <w:hideMark/>
          </w:tcPr>
          <w:p w14:paraId="1F3E4061"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 xml:space="preserve">KPMG </w:t>
            </w:r>
          </w:p>
        </w:tc>
        <w:tc>
          <w:tcPr>
            <w:tcW w:w="3950" w:type="dxa"/>
            <w:noWrap/>
            <w:hideMark/>
          </w:tcPr>
          <w:p w14:paraId="32388B2D"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27B83F5E" w14:textId="77777777" w:rsidTr="000017CB">
        <w:trPr>
          <w:trHeight w:hRule="exact" w:val="249"/>
        </w:trPr>
        <w:tc>
          <w:tcPr>
            <w:tcW w:w="1325" w:type="dxa"/>
            <w:noWrap/>
            <w:hideMark/>
          </w:tcPr>
          <w:p w14:paraId="3AE06875"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2017</w:t>
            </w:r>
          </w:p>
        </w:tc>
        <w:tc>
          <w:tcPr>
            <w:tcW w:w="4076" w:type="dxa"/>
            <w:noWrap/>
            <w:hideMark/>
          </w:tcPr>
          <w:p w14:paraId="4E141A4F"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KPMG</w:t>
            </w:r>
          </w:p>
        </w:tc>
        <w:tc>
          <w:tcPr>
            <w:tcW w:w="3950" w:type="dxa"/>
            <w:noWrap/>
            <w:hideMark/>
          </w:tcPr>
          <w:p w14:paraId="74421F50"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6DDE59FC" w14:textId="77777777" w:rsidTr="000017CB">
        <w:trPr>
          <w:trHeight w:hRule="exact" w:val="249"/>
        </w:trPr>
        <w:tc>
          <w:tcPr>
            <w:tcW w:w="1325" w:type="dxa"/>
            <w:noWrap/>
            <w:hideMark/>
          </w:tcPr>
          <w:p w14:paraId="6263C400"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2018</w:t>
            </w:r>
          </w:p>
        </w:tc>
        <w:tc>
          <w:tcPr>
            <w:tcW w:w="4076" w:type="dxa"/>
            <w:noWrap/>
            <w:hideMark/>
          </w:tcPr>
          <w:p w14:paraId="28631F73" w14:textId="53ECD1AB" w:rsidR="00736B7D" w:rsidRPr="007859FC" w:rsidRDefault="008343F2" w:rsidP="005F3106">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 xml:space="preserve">Moore </w:t>
            </w:r>
            <w:proofErr w:type="spellStart"/>
            <w:r w:rsidRPr="007859FC">
              <w:rPr>
                <w:rFonts w:ascii="Times New Roman" w:hAnsi="Times New Roman"/>
                <w:color w:val="000000" w:themeColor="text1"/>
                <w:sz w:val="20"/>
                <w:szCs w:val="24"/>
                <w:shd w:val="clear" w:color="auto" w:fill="FFFFFF"/>
              </w:rPr>
              <w:t>Stephens</w:t>
            </w:r>
            <w:proofErr w:type="spellEnd"/>
            <w:r w:rsidRPr="007859FC">
              <w:rPr>
                <w:rFonts w:ascii="Times New Roman" w:hAnsi="Times New Roman"/>
                <w:color w:val="000000" w:themeColor="text1"/>
                <w:sz w:val="20"/>
                <w:szCs w:val="24"/>
                <w:shd w:val="clear" w:color="auto" w:fill="FFFFFF"/>
              </w:rPr>
              <w:t xml:space="preserve"> Consulting News</w:t>
            </w:r>
          </w:p>
        </w:tc>
        <w:tc>
          <w:tcPr>
            <w:tcW w:w="3950" w:type="dxa"/>
            <w:noWrap/>
            <w:hideMark/>
          </w:tcPr>
          <w:p w14:paraId="7DBA4462"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Parecer com Ressalva</w:t>
            </w:r>
          </w:p>
        </w:tc>
      </w:tr>
    </w:tbl>
    <w:p w14:paraId="062F1874" w14:textId="77777777" w:rsidR="00736B7D" w:rsidRPr="007859FC" w:rsidRDefault="00736B7D" w:rsidP="00D91454">
      <w:pPr>
        <w:spacing w:after="120"/>
        <w:ind w:firstLine="0"/>
        <w:rPr>
          <w:b/>
          <w:sz w:val="20"/>
        </w:rPr>
      </w:pPr>
      <w:r w:rsidRPr="007859FC">
        <w:rPr>
          <w:sz w:val="20"/>
        </w:rPr>
        <w:t>Fonte: Dados da pesquisa</w:t>
      </w:r>
      <w:r w:rsidRPr="007859FC">
        <w:rPr>
          <w:b/>
          <w:sz w:val="20"/>
        </w:rPr>
        <w:t>.</w:t>
      </w:r>
    </w:p>
    <w:p w14:paraId="57C9D003" w14:textId="48FF7A7A" w:rsidR="00736B7D" w:rsidRDefault="00736B7D" w:rsidP="00736B7D">
      <w:pPr>
        <w:rPr>
          <w:color w:val="000000" w:themeColor="text1"/>
          <w:szCs w:val="24"/>
          <w:shd w:val="clear" w:color="auto" w:fill="FFFFFF"/>
        </w:rPr>
      </w:pPr>
      <w:r w:rsidRPr="007859FC">
        <w:rPr>
          <w:color w:val="000000" w:themeColor="text1"/>
          <w:szCs w:val="24"/>
          <w:shd w:val="clear" w:color="auto" w:fill="FFFFFF"/>
        </w:rPr>
        <w:t xml:space="preserve">Entre o período de 2010 </w:t>
      </w:r>
      <w:proofErr w:type="gramStart"/>
      <w:r w:rsidRPr="007859FC">
        <w:rPr>
          <w:color w:val="000000" w:themeColor="text1"/>
          <w:szCs w:val="24"/>
          <w:shd w:val="clear" w:color="auto" w:fill="FFFFFF"/>
        </w:rPr>
        <w:t>à</w:t>
      </w:r>
      <w:proofErr w:type="gramEnd"/>
      <w:r w:rsidRPr="007859FC">
        <w:rPr>
          <w:color w:val="000000" w:themeColor="text1"/>
          <w:szCs w:val="24"/>
          <w:shd w:val="clear" w:color="auto" w:fill="FFFFFF"/>
        </w:rPr>
        <w:t xml:space="preserve"> 2013 os principais fatos evidenciados </w:t>
      </w:r>
      <w:r>
        <w:rPr>
          <w:color w:val="000000" w:themeColor="text1"/>
          <w:szCs w:val="24"/>
          <w:shd w:val="clear" w:color="auto" w:fill="FFFFFF"/>
        </w:rPr>
        <w:t>em</w:t>
      </w:r>
      <w:r w:rsidRPr="007859FC">
        <w:rPr>
          <w:color w:val="000000" w:themeColor="text1"/>
          <w:szCs w:val="24"/>
          <w:shd w:val="clear" w:color="auto" w:fill="FFFFFF"/>
        </w:rPr>
        <w:t xml:space="preserve"> ênfases </w:t>
      </w:r>
      <w:r>
        <w:rPr>
          <w:color w:val="000000" w:themeColor="text1"/>
          <w:szCs w:val="24"/>
          <w:shd w:val="clear" w:color="auto" w:fill="FFFFFF"/>
        </w:rPr>
        <w:t>referiam-se</w:t>
      </w:r>
      <w:r w:rsidRPr="007859FC">
        <w:rPr>
          <w:color w:val="000000" w:themeColor="text1"/>
          <w:szCs w:val="24"/>
          <w:shd w:val="clear" w:color="auto" w:fill="FFFFFF"/>
        </w:rPr>
        <w:t xml:space="preserve"> sobre as práticas de avaliação de investimentos que diferiam do IFRS, a empresa considerava o </w:t>
      </w:r>
      <w:r w:rsidRPr="007859FC">
        <w:rPr>
          <w:color w:val="000000" w:themeColor="text1"/>
          <w:szCs w:val="24"/>
          <w:shd w:val="clear" w:color="auto" w:fill="FFFFFF"/>
        </w:rPr>
        <w:lastRenderedPageBreak/>
        <w:t xml:space="preserve">valor de equivalência patrimonial </w:t>
      </w:r>
      <w:r w:rsidR="00955252">
        <w:rPr>
          <w:color w:val="000000" w:themeColor="text1"/>
          <w:szCs w:val="24"/>
          <w:shd w:val="clear" w:color="auto" w:fill="FFFFFF"/>
        </w:rPr>
        <w:t>ao invés d</w:t>
      </w:r>
      <w:r w:rsidRPr="007859FC">
        <w:rPr>
          <w:color w:val="000000" w:themeColor="text1"/>
          <w:szCs w:val="24"/>
          <w:shd w:val="clear" w:color="auto" w:fill="FFFFFF"/>
        </w:rPr>
        <w:t>o valor</w:t>
      </w:r>
      <w:r>
        <w:rPr>
          <w:color w:val="000000" w:themeColor="text1"/>
          <w:szCs w:val="24"/>
          <w:shd w:val="clear" w:color="auto" w:fill="FFFFFF"/>
        </w:rPr>
        <w:t xml:space="preserve"> justo ou do custo. </w:t>
      </w:r>
    </w:p>
    <w:p w14:paraId="24AD8A5F" w14:textId="69456D0E" w:rsidR="00736B7D" w:rsidRPr="007859FC" w:rsidRDefault="00736B7D" w:rsidP="00736B7D">
      <w:pPr>
        <w:rPr>
          <w:color w:val="000000" w:themeColor="text1"/>
          <w:szCs w:val="24"/>
          <w:shd w:val="clear" w:color="auto" w:fill="FFFFFF"/>
        </w:rPr>
      </w:pPr>
      <w:r w:rsidRPr="007859FC">
        <w:rPr>
          <w:color w:val="000000" w:themeColor="text1"/>
          <w:szCs w:val="24"/>
          <w:shd w:val="clear" w:color="auto" w:fill="FFFFFF"/>
        </w:rPr>
        <w:t>Sobre o envolvimento da empresa nos escândalos de corrupção, somente no ano de 2015</w:t>
      </w:r>
      <w:r>
        <w:rPr>
          <w:color w:val="000000" w:themeColor="text1"/>
          <w:szCs w:val="24"/>
          <w:shd w:val="clear" w:color="auto" w:fill="FFFFFF"/>
        </w:rPr>
        <w:t xml:space="preserve"> </w:t>
      </w:r>
      <w:proofErr w:type="gramStart"/>
      <w:r>
        <w:rPr>
          <w:color w:val="000000" w:themeColor="text1"/>
          <w:szCs w:val="24"/>
          <w:shd w:val="clear" w:color="auto" w:fill="FFFFFF"/>
        </w:rPr>
        <w:t>à</w:t>
      </w:r>
      <w:proofErr w:type="gramEnd"/>
      <w:r w:rsidRPr="007859FC">
        <w:rPr>
          <w:color w:val="000000" w:themeColor="text1"/>
          <w:szCs w:val="24"/>
          <w:shd w:val="clear" w:color="auto" w:fill="FFFFFF"/>
        </w:rPr>
        <w:t xml:space="preserve"> 2018 a auditoria emitiu opinião sobre esse assunto. Em 2015 a auditoria da </w:t>
      </w:r>
      <w:proofErr w:type="spellStart"/>
      <w:r w:rsidRPr="007859FC">
        <w:rPr>
          <w:color w:val="000000" w:themeColor="text1"/>
          <w:szCs w:val="24"/>
          <w:shd w:val="clear" w:color="auto" w:fill="FFFFFF"/>
        </w:rPr>
        <w:t>Delloite</w:t>
      </w:r>
      <w:proofErr w:type="spellEnd"/>
      <w:r w:rsidRPr="007859FC">
        <w:rPr>
          <w:color w:val="000000" w:themeColor="text1"/>
          <w:szCs w:val="24"/>
          <w:shd w:val="clear" w:color="auto" w:fill="FFFFFF"/>
        </w:rPr>
        <w:t xml:space="preserve"> ressalvou que a Andrade Gutierrez, detém participação indireta na Norte Energia S.A. que estava sendo investigada por estar relacionada com eventuais descumprimentos de leis e regulamentos. A KPMG em 2017 deu ênfase a sua opinião</w:t>
      </w:r>
      <w:r w:rsidR="005F3106">
        <w:rPr>
          <w:color w:val="000000" w:themeColor="text1"/>
          <w:szCs w:val="24"/>
          <w:shd w:val="clear" w:color="auto" w:fill="FFFFFF"/>
        </w:rPr>
        <w:t xml:space="preserve">, </w:t>
      </w:r>
      <w:r w:rsidRPr="007859FC">
        <w:rPr>
          <w:color w:val="000000" w:themeColor="text1"/>
          <w:szCs w:val="24"/>
          <w:shd w:val="clear" w:color="auto" w:fill="FFFFFF"/>
        </w:rPr>
        <w:t xml:space="preserve">destacando o processo de investigação envolvendo empresa </w:t>
      </w:r>
      <w:r w:rsidR="005F3106">
        <w:rPr>
          <w:color w:val="000000" w:themeColor="text1"/>
          <w:szCs w:val="24"/>
          <w:shd w:val="clear" w:color="auto" w:fill="FFFFFF"/>
        </w:rPr>
        <w:t>c</w:t>
      </w:r>
      <w:r w:rsidRPr="007859FC">
        <w:rPr>
          <w:color w:val="000000" w:themeColor="text1"/>
          <w:szCs w:val="24"/>
          <w:shd w:val="clear" w:color="auto" w:fill="FFFFFF"/>
        </w:rPr>
        <w:t>ontrolada pela Andrade Gutierrez</w:t>
      </w:r>
      <w:r w:rsidR="005F3106">
        <w:rPr>
          <w:color w:val="000000" w:themeColor="text1"/>
          <w:szCs w:val="24"/>
          <w:shd w:val="clear" w:color="auto" w:fill="FFFFFF"/>
        </w:rPr>
        <w:t xml:space="preserve">. </w:t>
      </w:r>
      <w:r>
        <w:rPr>
          <w:color w:val="000000" w:themeColor="text1"/>
          <w:szCs w:val="24"/>
          <w:shd w:val="clear" w:color="auto" w:fill="FFFFFF"/>
        </w:rPr>
        <w:t>Em 2018 a</w:t>
      </w:r>
      <w:r w:rsidRPr="007859FC">
        <w:rPr>
          <w:color w:val="000000" w:themeColor="text1"/>
          <w:szCs w:val="24"/>
          <w:shd w:val="clear" w:color="auto" w:fill="FFFFFF"/>
        </w:rPr>
        <w:t xml:space="preserve"> empresa Moore ressalvou sua opinião </w:t>
      </w:r>
      <w:r w:rsidR="005F3106">
        <w:rPr>
          <w:color w:val="000000" w:themeColor="text1"/>
          <w:szCs w:val="24"/>
          <w:shd w:val="clear" w:color="auto" w:fill="FFFFFF"/>
        </w:rPr>
        <w:t>por não ser</w:t>
      </w:r>
      <w:r w:rsidRPr="007859FC">
        <w:rPr>
          <w:color w:val="000000" w:themeColor="text1"/>
          <w:szCs w:val="24"/>
          <w:shd w:val="clear" w:color="auto" w:fill="FFFFFF"/>
        </w:rPr>
        <w:t xml:space="preserve"> possível confirmar o</w:t>
      </w:r>
      <w:r>
        <w:rPr>
          <w:color w:val="000000" w:themeColor="text1"/>
          <w:szCs w:val="24"/>
          <w:shd w:val="clear" w:color="auto" w:fill="FFFFFF"/>
        </w:rPr>
        <w:t>s</w:t>
      </w:r>
      <w:r w:rsidRPr="007859FC">
        <w:rPr>
          <w:color w:val="000000" w:themeColor="text1"/>
          <w:szCs w:val="24"/>
          <w:shd w:val="clear" w:color="auto" w:fill="FFFFFF"/>
        </w:rPr>
        <w:t xml:space="preserve"> saldo</w:t>
      </w:r>
      <w:r>
        <w:rPr>
          <w:color w:val="000000" w:themeColor="text1"/>
          <w:szCs w:val="24"/>
          <w:shd w:val="clear" w:color="auto" w:fill="FFFFFF"/>
        </w:rPr>
        <w:t xml:space="preserve">s informados e se </w:t>
      </w:r>
      <w:r w:rsidR="005F3106">
        <w:rPr>
          <w:color w:val="000000" w:themeColor="text1"/>
          <w:szCs w:val="24"/>
          <w:shd w:val="clear" w:color="auto" w:fill="FFFFFF"/>
        </w:rPr>
        <w:t>os</w:t>
      </w:r>
      <w:r w:rsidRPr="007859FC">
        <w:rPr>
          <w:color w:val="000000" w:themeColor="text1"/>
          <w:szCs w:val="24"/>
          <w:shd w:val="clear" w:color="auto" w:fill="FFFFFF"/>
        </w:rPr>
        <w:t xml:space="preserve"> valores afeta</w:t>
      </w:r>
      <w:r w:rsidR="005F3106">
        <w:rPr>
          <w:color w:val="000000" w:themeColor="text1"/>
          <w:szCs w:val="24"/>
          <w:shd w:val="clear" w:color="auto" w:fill="FFFFFF"/>
        </w:rPr>
        <w:t xml:space="preserve">m </w:t>
      </w:r>
      <w:r w:rsidR="00B605CA">
        <w:rPr>
          <w:color w:val="000000" w:themeColor="text1"/>
          <w:szCs w:val="24"/>
          <w:shd w:val="clear" w:color="auto" w:fill="FFFFFF"/>
        </w:rPr>
        <w:t>a</w:t>
      </w:r>
      <w:r w:rsidRPr="007859FC">
        <w:rPr>
          <w:color w:val="000000" w:themeColor="text1"/>
          <w:szCs w:val="24"/>
          <w:shd w:val="clear" w:color="auto" w:fill="FFFFFF"/>
        </w:rPr>
        <w:t xml:space="preserve"> investidora.</w:t>
      </w:r>
    </w:p>
    <w:p w14:paraId="30A21F2D" w14:textId="4046D8A4" w:rsidR="00736B7D" w:rsidRPr="007859FC" w:rsidRDefault="00736B7D" w:rsidP="00736B7D">
      <w:pPr>
        <w:rPr>
          <w:color w:val="000000" w:themeColor="text1"/>
          <w:szCs w:val="24"/>
          <w:shd w:val="clear" w:color="auto" w:fill="FFFFFF"/>
        </w:rPr>
      </w:pPr>
      <w:r w:rsidRPr="007859FC">
        <w:rPr>
          <w:color w:val="000000" w:themeColor="text1"/>
          <w:szCs w:val="24"/>
          <w:shd w:val="clear" w:color="auto" w:fill="FFFFFF"/>
        </w:rPr>
        <w:t xml:space="preserve">Os auditores das demonstrações contábeis da </w:t>
      </w:r>
      <w:proofErr w:type="spellStart"/>
      <w:r w:rsidRPr="007859FC">
        <w:rPr>
          <w:color w:val="000000" w:themeColor="text1"/>
          <w:szCs w:val="24"/>
          <w:shd w:val="clear" w:color="auto" w:fill="FFFFFF"/>
        </w:rPr>
        <w:t>Brasken</w:t>
      </w:r>
      <w:proofErr w:type="spellEnd"/>
      <w:r w:rsidRPr="007859FC">
        <w:rPr>
          <w:color w:val="000000" w:themeColor="text1"/>
          <w:szCs w:val="24"/>
          <w:shd w:val="clear" w:color="auto" w:fill="FFFFFF"/>
        </w:rPr>
        <w:t xml:space="preserve"> foram a empresas KPMG e a </w:t>
      </w:r>
      <w:proofErr w:type="spellStart"/>
      <w:r w:rsidRPr="007859FC">
        <w:rPr>
          <w:color w:val="000000" w:themeColor="text1"/>
          <w:szCs w:val="24"/>
          <w:shd w:val="clear" w:color="auto" w:fill="FFFFFF"/>
        </w:rPr>
        <w:t>PricewaterhouseCoopers</w:t>
      </w:r>
      <w:proofErr w:type="spellEnd"/>
      <w:r>
        <w:rPr>
          <w:color w:val="000000" w:themeColor="text1"/>
          <w:szCs w:val="24"/>
          <w:shd w:val="clear" w:color="auto" w:fill="FFFFFF"/>
        </w:rPr>
        <w:t xml:space="preserve">, sendo os pareceres </w:t>
      </w:r>
      <w:r w:rsidRPr="007859FC">
        <w:rPr>
          <w:color w:val="000000" w:themeColor="text1"/>
          <w:szCs w:val="24"/>
          <w:shd w:val="clear" w:color="auto" w:fill="FFFFFF"/>
        </w:rPr>
        <w:t>constantes nos relatórios das opiniões das demonstrações contábeis</w:t>
      </w:r>
      <w:r w:rsidR="000E3935">
        <w:rPr>
          <w:color w:val="000000" w:themeColor="text1"/>
          <w:szCs w:val="24"/>
          <w:shd w:val="clear" w:color="auto" w:fill="FFFFFF"/>
        </w:rPr>
        <w:t xml:space="preserve"> </w:t>
      </w:r>
      <w:r w:rsidRPr="007859FC">
        <w:rPr>
          <w:color w:val="000000" w:themeColor="text1"/>
          <w:szCs w:val="24"/>
          <w:shd w:val="clear" w:color="auto" w:fill="FFFFFF"/>
        </w:rPr>
        <w:t xml:space="preserve">pareceres com ênfase e pareceres sem ressalvas.  </w:t>
      </w:r>
    </w:p>
    <w:p w14:paraId="5692DD52" w14:textId="754DA977" w:rsidR="00736B7D" w:rsidRPr="007859FC" w:rsidRDefault="00D91454" w:rsidP="00D91454">
      <w:pPr>
        <w:spacing w:before="120"/>
        <w:ind w:firstLine="0"/>
        <w:rPr>
          <w:b/>
          <w:bCs/>
          <w:color w:val="000000" w:themeColor="text1"/>
          <w:sz w:val="20"/>
          <w:shd w:val="clear" w:color="auto" w:fill="FFFFFF"/>
        </w:rPr>
      </w:pPr>
      <w:r>
        <w:rPr>
          <w:b/>
          <w:bCs/>
          <w:color w:val="000000" w:themeColor="text1"/>
          <w:sz w:val="20"/>
          <w:shd w:val="clear" w:color="auto" w:fill="FFFFFF"/>
        </w:rPr>
        <w:t>Tabela</w:t>
      </w:r>
      <w:r w:rsidR="00736B7D" w:rsidRPr="007859FC">
        <w:rPr>
          <w:b/>
          <w:bCs/>
          <w:color w:val="000000" w:themeColor="text1"/>
          <w:sz w:val="20"/>
          <w:shd w:val="clear" w:color="auto" w:fill="FFFFFF"/>
        </w:rPr>
        <w:t xml:space="preserve"> 5: Análise dos relatórios de auditoria da empresa </w:t>
      </w:r>
      <w:proofErr w:type="spellStart"/>
      <w:r w:rsidR="00736B7D" w:rsidRPr="007859FC">
        <w:rPr>
          <w:b/>
          <w:bCs/>
          <w:color w:val="000000" w:themeColor="text1"/>
          <w:sz w:val="20"/>
          <w:shd w:val="clear" w:color="auto" w:fill="FFFFFF"/>
        </w:rPr>
        <w:t>Brasken</w:t>
      </w:r>
      <w:proofErr w:type="spellEnd"/>
      <w:r w:rsidR="00736B7D" w:rsidRPr="007859FC">
        <w:rPr>
          <w:b/>
          <w:bCs/>
          <w:color w:val="000000" w:themeColor="text1"/>
          <w:sz w:val="20"/>
          <w:shd w:val="clear" w:color="auto" w:fill="FFFFFF"/>
        </w:rPr>
        <w:t xml:space="preserve"> </w:t>
      </w:r>
    </w:p>
    <w:tbl>
      <w:tblPr>
        <w:tblStyle w:val="Tabelacomgrade"/>
        <w:tblW w:w="9351" w:type="dxa"/>
        <w:tblLook w:val="04A0" w:firstRow="1" w:lastRow="0" w:firstColumn="1" w:lastColumn="0" w:noHBand="0" w:noVBand="1"/>
      </w:tblPr>
      <w:tblGrid>
        <w:gridCol w:w="1328"/>
        <w:gridCol w:w="2205"/>
        <w:gridCol w:w="5818"/>
      </w:tblGrid>
      <w:tr w:rsidR="00736B7D" w:rsidRPr="007859FC" w14:paraId="7A9BDF7B" w14:textId="77777777" w:rsidTr="000017CB">
        <w:trPr>
          <w:trHeight w:hRule="exact" w:val="249"/>
        </w:trPr>
        <w:tc>
          <w:tcPr>
            <w:tcW w:w="9351" w:type="dxa"/>
            <w:gridSpan w:val="3"/>
            <w:noWrap/>
            <w:hideMark/>
          </w:tcPr>
          <w:p w14:paraId="5B417E6C" w14:textId="77777777" w:rsidR="00736B7D" w:rsidRPr="007859FC" w:rsidRDefault="00736B7D" w:rsidP="00E92C38">
            <w:pPr>
              <w:jc w:val="center"/>
              <w:rPr>
                <w:rFonts w:ascii="Times New Roman" w:hAnsi="Times New Roman"/>
                <w:b/>
                <w:color w:val="000000" w:themeColor="text1"/>
                <w:sz w:val="20"/>
                <w:szCs w:val="24"/>
                <w:shd w:val="clear" w:color="auto" w:fill="FFFFFF"/>
              </w:rPr>
            </w:pPr>
            <w:proofErr w:type="spellStart"/>
            <w:r w:rsidRPr="007859FC">
              <w:rPr>
                <w:rFonts w:ascii="Times New Roman" w:hAnsi="Times New Roman"/>
                <w:b/>
                <w:color w:val="000000" w:themeColor="text1"/>
                <w:sz w:val="20"/>
                <w:szCs w:val="24"/>
                <w:shd w:val="clear" w:color="auto" w:fill="FFFFFF"/>
              </w:rPr>
              <w:t>Brasken</w:t>
            </w:r>
            <w:proofErr w:type="spellEnd"/>
          </w:p>
        </w:tc>
      </w:tr>
      <w:tr w:rsidR="00736B7D" w:rsidRPr="007859FC" w14:paraId="3797A9E9" w14:textId="77777777" w:rsidTr="000017CB">
        <w:trPr>
          <w:trHeight w:hRule="exact" w:val="249"/>
        </w:trPr>
        <w:tc>
          <w:tcPr>
            <w:tcW w:w="1328" w:type="dxa"/>
            <w:noWrap/>
            <w:hideMark/>
          </w:tcPr>
          <w:p w14:paraId="48D96140" w14:textId="77777777" w:rsidR="00736B7D" w:rsidRPr="007859FC" w:rsidRDefault="00736B7D" w:rsidP="00D91454">
            <w:pPr>
              <w:ind w:firstLine="0"/>
              <w:rPr>
                <w:rFonts w:ascii="Times New Roman" w:hAnsi="Times New Roman"/>
                <w:b/>
                <w:bCs/>
                <w:color w:val="000000" w:themeColor="text1"/>
                <w:sz w:val="20"/>
                <w:szCs w:val="24"/>
                <w:shd w:val="clear" w:color="auto" w:fill="FFFFFF"/>
              </w:rPr>
            </w:pPr>
            <w:r w:rsidRPr="007859FC">
              <w:rPr>
                <w:rFonts w:ascii="Times New Roman" w:hAnsi="Times New Roman"/>
                <w:b/>
                <w:bCs/>
                <w:color w:val="000000" w:themeColor="text1"/>
                <w:sz w:val="20"/>
                <w:szCs w:val="24"/>
                <w:shd w:val="clear" w:color="auto" w:fill="FFFFFF"/>
              </w:rPr>
              <w:t>Ano</w:t>
            </w:r>
          </w:p>
        </w:tc>
        <w:tc>
          <w:tcPr>
            <w:tcW w:w="2205" w:type="dxa"/>
            <w:noWrap/>
            <w:hideMark/>
          </w:tcPr>
          <w:p w14:paraId="5674BFEC" w14:textId="77777777" w:rsidR="00736B7D" w:rsidRPr="007859FC" w:rsidRDefault="00736B7D" w:rsidP="00E92C38">
            <w:pPr>
              <w:jc w:val="center"/>
              <w:rPr>
                <w:rFonts w:ascii="Times New Roman" w:hAnsi="Times New Roman"/>
                <w:b/>
                <w:bCs/>
                <w:color w:val="000000" w:themeColor="text1"/>
                <w:sz w:val="20"/>
                <w:szCs w:val="24"/>
                <w:shd w:val="clear" w:color="auto" w:fill="FFFFFF"/>
              </w:rPr>
            </w:pPr>
            <w:r w:rsidRPr="007859FC">
              <w:rPr>
                <w:rFonts w:ascii="Times New Roman" w:hAnsi="Times New Roman"/>
                <w:b/>
                <w:bCs/>
                <w:color w:val="000000" w:themeColor="text1"/>
                <w:sz w:val="20"/>
                <w:szCs w:val="24"/>
                <w:shd w:val="clear" w:color="auto" w:fill="FFFFFF"/>
              </w:rPr>
              <w:t>Auditores</w:t>
            </w:r>
          </w:p>
        </w:tc>
        <w:tc>
          <w:tcPr>
            <w:tcW w:w="5818" w:type="dxa"/>
            <w:noWrap/>
            <w:hideMark/>
          </w:tcPr>
          <w:p w14:paraId="57F39B3F" w14:textId="77777777" w:rsidR="00736B7D" w:rsidRPr="007859FC" w:rsidRDefault="00736B7D" w:rsidP="00E92C38">
            <w:pPr>
              <w:jc w:val="center"/>
              <w:rPr>
                <w:rFonts w:ascii="Times New Roman" w:hAnsi="Times New Roman"/>
                <w:b/>
                <w:bCs/>
                <w:color w:val="000000" w:themeColor="text1"/>
                <w:sz w:val="20"/>
                <w:szCs w:val="24"/>
                <w:shd w:val="clear" w:color="auto" w:fill="FFFFFF"/>
              </w:rPr>
            </w:pPr>
            <w:r w:rsidRPr="007859FC">
              <w:rPr>
                <w:rFonts w:ascii="Times New Roman" w:hAnsi="Times New Roman"/>
                <w:b/>
                <w:bCs/>
                <w:color w:val="000000" w:themeColor="text1"/>
                <w:sz w:val="20"/>
                <w:szCs w:val="24"/>
                <w:shd w:val="clear" w:color="auto" w:fill="FFFFFF"/>
              </w:rPr>
              <w:t>Parecer</w:t>
            </w:r>
          </w:p>
        </w:tc>
      </w:tr>
      <w:tr w:rsidR="00736B7D" w:rsidRPr="007859FC" w14:paraId="1DE85D41" w14:textId="77777777" w:rsidTr="000017CB">
        <w:trPr>
          <w:trHeight w:hRule="exact" w:val="249"/>
        </w:trPr>
        <w:tc>
          <w:tcPr>
            <w:tcW w:w="1328" w:type="dxa"/>
            <w:noWrap/>
            <w:hideMark/>
          </w:tcPr>
          <w:p w14:paraId="505E2A4F"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2010</w:t>
            </w:r>
          </w:p>
        </w:tc>
        <w:tc>
          <w:tcPr>
            <w:tcW w:w="2205" w:type="dxa"/>
            <w:noWrap/>
            <w:hideMark/>
          </w:tcPr>
          <w:p w14:paraId="4789EA4C" w14:textId="77777777" w:rsidR="00736B7D" w:rsidRPr="007859FC" w:rsidRDefault="00736B7D" w:rsidP="00D91454">
            <w:pPr>
              <w:ind w:firstLine="0"/>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PricewaterhouseCoopers</w:t>
            </w:r>
            <w:proofErr w:type="spellEnd"/>
          </w:p>
        </w:tc>
        <w:tc>
          <w:tcPr>
            <w:tcW w:w="5818" w:type="dxa"/>
            <w:noWrap/>
            <w:hideMark/>
          </w:tcPr>
          <w:p w14:paraId="10EE3809"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5426269A" w14:textId="77777777" w:rsidTr="000017CB">
        <w:trPr>
          <w:trHeight w:hRule="exact" w:val="249"/>
        </w:trPr>
        <w:tc>
          <w:tcPr>
            <w:tcW w:w="1328" w:type="dxa"/>
            <w:noWrap/>
            <w:hideMark/>
          </w:tcPr>
          <w:p w14:paraId="764E51FD"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2011</w:t>
            </w:r>
          </w:p>
        </w:tc>
        <w:tc>
          <w:tcPr>
            <w:tcW w:w="2205" w:type="dxa"/>
            <w:noWrap/>
            <w:hideMark/>
          </w:tcPr>
          <w:p w14:paraId="35AC4CC6" w14:textId="77777777" w:rsidR="00736B7D" w:rsidRPr="007859FC" w:rsidRDefault="00736B7D" w:rsidP="00D91454">
            <w:pPr>
              <w:ind w:firstLine="0"/>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PricewaterhouseCoopers</w:t>
            </w:r>
            <w:proofErr w:type="spellEnd"/>
          </w:p>
        </w:tc>
        <w:tc>
          <w:tcPr>
            <w:tcW w:w="5818" w:type="dxa"/>
            <w:noWrap/>
            <w:hideMark/>
          </w:tcPr>
          <w:p w14:paraId="2E0A1721"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3DB6C7AB" w14:textId="77777777" w:rsidTr="000017CB">
        <w:trPr>
          <w:trHeight w:hRule="exact" w:val="249"/>
        </w:trPr>
        <w:tc>
          <w:tcPr>
            <w:tcW w:w="1328" w:type="dxa"/>
            <w:noWrap/>
            <w:hideMark/>
          </w:tcPr>
          <w:p w14:paraId="56A3C513"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2012</w:t>
            </w:r>
          </w:p>
        </w:tc>
        <w:tc>
          <w:tcPr>
            <w:tcW w:w="2205" w:type="dxa"/>
            <w:noWrap/>
            <w:hideMark/>
          </w:tcPr>
          <w:p w14:paraId="63CC4FA7" w14:textId="77777777" w:rsidR="00736B7D" w:rsidRPr="007859FC" w:rsidRDefault="00736B7D" w:rsidP="00D91454">
            <w:pPr>
              <w:ind w:firstLine="0"/>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PricewaterhouseCoopers</w:t>
            </w:r>
            <w:proofErr w:type="spellEnd"/>
          </w:p>
        </w:tc>
        <w:tc>
          <w:tcPr>
            <w:tcW w:w="5818" w:type="dxa"/>
            <w:noWrap/>
            <w:hideMark/>
          </w:tcPr>
          <w:p w14:paraId="3018AD22"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6D695E5B" w14:textId="77777777" w:rsidTr="000017CB">
        <w:trPr>
          <w:trHeight w:hRule="exact" w:val="249"/>
        </w:trPr>
        <w:tc>
          <w:tcPr>
            <w:tcW w:w="1328" w:type="dxa"/>
            <w:noWrap/>
            <w:hideMark/>
          </w:tcPr>
          <w:p w14:paraId="2816CE8D"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2013</w:t>
            </w:r>
          </w:p>
        </w:tc>
        <w:tc>
          <w:tcPr>
            <w:tcW w:w="2205" w:type="dxa"/>
            <w:noWrap/>
            <w:hideMark/>
          </w:tcPr>
          <w:p w14:paraId="0DFED27D" w14:textId="77777777" w:rsidR="00736B7D" w:rsidRPr="007859FC" w:rsidRDefault="00736B7D" w:rsidP="00D91454">
            <w:pPr>
              <w:ind w:firstLine="0"/>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PricewaterhouseCoopers</w:t>
            </w:r>
            <w:proofErr w:type="spellEnd"/>
          </w:p>
        </w:tc>
        <w:tc>
          <w:tcPr>
            <w:tcW w:w="5818" w:type="dxa"/>
            <w:noWrap/>
            <w:hideMark/>
          </w:tcPr>
          <w:p w14:paraId="03DDC208"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01B5FF82" w14:textId="77777777" w:rsidTr="000017CB">
        <w:trPr>
          <w:trHeight w:hRule="exact" w:val="249"/>
        </w:trPr>
        <w:tc>
          <w:tcPr>
            <w:tcW w:w="1328" w:type="dxa"/>
            <w:noWrap/>
            <w:hideMark/>
          </w:tcPr>
          <w:p w14:paraId="7E55C4C3"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2014</w:t>
            </w:r>
          </w:p>
        </w:tc>
        <w:tc>
          <w:tcPr>
            <w:tcW w:w="2205" w:type="dxa"/>
            <w:noWrap/>
            <w:hideMark/>
          </w:tcPr>
          <w:p w14:paraId="3B6A68D9" w14:textId="77777777" w:rsidR="00736B7D" w:rsidRPr="007859FC" w:rsidRDefault="00736B7D" w:rsidP="00D91454">
            <w:pPr>
              <w:ind w:firstLine="0"/>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PricewaterhouseCoopers</w:t>
            </w:r>
            <w:proofErr w:type="spellEnd"/>
          </w:p>
        </w:tc>
        <w:tc>
          <w:tcPr>
            <w:tcW w:w="5818" w:type="dxa"/>
            <w:noWrap/>
            <w:hideMark/>
          </w:tcPr>
          <w:p w14:paraId="7C4517FB"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Parecer sem Ressalva</w:t>
            </w:r>
          </w:p>
        </w:tc>
      </w:tr>
      <w:tr w:rsidR="00736B7D" w:rsidRPr="007859FC" w14:paraId="426EF148" w14:textId="77777777" w:rsidTr="000017CB">
        <w:trPr>
          <w:trHeight w:hRule="exact" w:val="249"/>
        </w:trPr>
        <w:tc>
          <w:tcPr>
            <w:tcW w:w="1328" w:type="dxa"/>
            <w:noWrap/>
            <w:hideMark/>
          </w:tcPr>
          <w:p w14:paraId="3E17D380"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2015</w:t>
            </w:r>
          </w:p>
        </w:tc>
        <w:tc>
          <w:tcPr>
            <w:tcW w:w="2205" w:type="dxa"/>
            <w:noWrap/>
            <w:hideMark/>
          </w:tcPr>
          <w:p w14:paraId="3319B4F6"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KPMG</w:t>
            </w:r>
          </w:p>
        </w:tc>
        <w:tc>
          <w:tcPr>
            <w:tcW w:w="5818" w:type="dxa"/>
            <w:noWrap/>
            <w:hideMark/>
          </w:tcPr>
          <w:p w14:paraId="7C401B94"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5901AFCE" w14:textId="77777777" w:rsidTr="000017CB">
        <w:trPr>
          <w:trHeight w:hRule="exact" w:val="249"/>
        </w:trPr>
        <w:tc>
          <w:tcPr>
            <w:tcW w:w="1328" w:type="dxa"/>
            <w:noWrap/>
            <w:hideMark/>
          </w:tcPr>
          <w:p w14:paraId="352B1C04"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2016</w:t>
            </w:r>
          </w:p>
        </w:tc>
        <w:tc>
          <w:tcPr>
            <w:tcW w:w="2205" w:type="dxa"/>
            <w:noWrap/>
            <w:hideMark/>
          </w:tcPr>
          <w:p w14:paraId="51DE9C85"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KPMG</w:t>
            </w:r>
          </w:p>
        </w:tc>
        <w:tc>
          <w:tcPr>
            <w:tcW w:w="5818" w:type="dxa"/>
            <w:noWrap/>
            <w:hideMark/>
          </w:tcPr>
          <w:p w14:paraId="642776B3"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47F4C0DB" w14:textId="77777777" w:rsidTr="000017CB">
        <w:trPr>
          <w:trHeight w:hRule="exact" w:val="249"/>
        </w:trPr>
        <w:tc>
          <w:tcPr>
            <w:tcW w:w="1328" w:type="dxa"/>
            <w:noWrap/>
            <w:hideMark/>
          </w:tcPr>
          <w:p w14:paraId="30C25890"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2017</w:t>
            </w:r>
          </w:p>
        </w:tc>
        <w:tc>
          <w:tcPr>
            <w:tcW w:w="2205" w:type="dxa"/>
            <w:noWrap/>
            <w:hideMark/>
          </w:tcPr>
          <w:p w14:paraId="2ACC6747"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KPMG</w:t>
            </w:r>
          </w:p>
        </w:tc>
        <w:tc>
          <w:tcPr>
            <w:tcW w:w="5818" w:type="dxa"/>
            <w:noWrap/>
            <w:hideMark/>
          </w:tcPr>
          <w:p w14:paraId="7EA2D5E5"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Parecer sem Ressalva</w:t>
            </w:r>
          </w:p>
        </w:tc>
      </w:tr>
      <w:tr w:rsidR="00736B7D" w:rsidRPr="007859FC" w14:paraId="4942F45F" w14:textId="77777777" w:rsidTr="000017CB">
        <w:trPr>
          <w:trHeight w:hRule="exact" w:val="249"/>
        </w:trPr>
        <w:tc>
          <w:tcPr>
            <w:tcW w:w="1328" w:type="dxa"/>
            <w:noWrap/>
            <w:hideMark/>
          </w:tcPr>
          <w:p w14:paraId="13976568"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2018</w:t>
            </w:r>
          </w:p>
        </w:tc>
        <w:tc>
          <w:tcPr>
            <w:tcW w:w="2205" w:type="dxa"/>
            <w:noWrap/>
            <w:hideMark/>
          </w:tcPr>
          <w:p w14:paraId="321A0413"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 xml:space="preserve">KPMG </w:t>
            </w:r>
          </w:p>
        </w:tc>
        <w:tc>
          <w:tcPr>
            <w:tcW w:w="5818" w:type="dxa"/>
            <w:noWrap/>
            <w:hideMark/>
          </w:tcPr>
          <w:p w14:paraId="2B1B16B5"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Parecer sem Ressalva</w:t>
            </w:r>
          </w:p>
        </w:tc>
      </w:tr>
    </w:tbl>
    <w:p w14:paraId="28A5B974" w14:textId="77777777" w:rsidR="00736B7D" w:rsidRPr="007859FC" w:rsidRDefault="00736B7D" w:rsidP="00D91454">
      <w:pPr>
        <w:spacing w:after="120"/>
        <w:ind w:firstLine="0"/>
        <w:rPr>
          <w:b/>
          <w:sz w:val="20"/>
        </w:rPr>
      </w:pPr>
      <w:r w:rsidRPr="007859FC">
        <w:rPr>
          <w:sz w:val="20"/>
        </w:rPr>
        <w:t>Fonte: Dados da pesquisa</w:t>
      </w:r>
      <w:r w:rsidRPr="007859FC">
        <w:rPr>
          <w:b/>
          <w:sz w:val="20"/>
        </w:rPr>
        <w:t>.</w:t>
      </w:r>
    </w:p>
    <w:p w14:paraId="78C861EA" w14:textId="35344C3F" w:rsidR="00736B7D" w:rsidRDefault="00736B7D" w:rsidP="00736B7D">
      <w:pPr>
        <w:rPr>
          <w:color w:val="000000" w:themeColor="text1"/>
          <w:szCs w:val="24"/>
          <w:shd w:val="clear" w:color="auto" w:fill="FFFFFF"/>
        </w:rPr>
      </w:pPr>
      <w:r w:rsidRPr="007859FC">
        <w:rPr>
          <w:color w:val="000000" w:themeColor="text1"/>
          <w:szCs w:val="24"/>
          <w:shd w:val="clear" w:color="auto" w:fill="FFFFFF"/>
        </w:rPr>
        <w:t xml:space="preserve">O parecer das demonstrações contábeis até 2014 </w:t>
      </w:r>
      <w:r>
        <w:rPr>
          <w:color w:val="000000" w:themeColor="text1"/>
          <w:szCs w:val="24"/>
          <w:shd w:val="clear" w:color="auto" w:fill="FFFFFF"/>
        </w:rPr>
        <w:t>elaborados pela</w:t>
      </w:r>
      <w:r w:rsidRPr="007859FC">
        <w:rPr>
          <w:color w:val="000000" w:themeColor="text1"/>
          <w:szCs w:val="24"/>
          <w:shd w:val="clear" w:color="auto" w:fill="FFFFFF"/>
        </w:rPr>
        <w:t xml:space="preserve"> </w:t>
      </w:r>
      <w:proofErr w:type="spellStart"/>
      <w:r w:rsidRPr="007859FC">
        <w:rPr>
          <w:color w:val="000000" w:themeColor="text1"/>
          <w:szCs w:val="24"/>
          <w:shd w:val="clear" w:color="auto" w:fill="FFFFFF"/>
        </w:rPr>
        <w:t>PricewaterhouseCoopers</w:t>
      </w:r>
      <w:proofErr w:type="spellEnd"/>
      <w:r>
        <w:rPr>
          <w:color w:val="000000" w:themeColor="text1"/>
          <w:szCs w:val="24"/>
          <w:shd w:val="clear" w:color="auto" w:fill="FFFFFF"/>
        </w:rPr>
        <w:t xml:space="preserve">, </w:t>
      </w:r>
      <w:r w:rsidRPr="007859FC">
        <w:rPr>
          <w:color w:val="000000" w:themeColor="text1"/>
          <w:szCs w:val="24"/>
          <w:shd w:val="clear" w:color="auto" w:fill="FFFFFF"/>
        </w:rPr>
        <w:t>com</w:t>
      </w:r>
      <w:r w:rsidR="005F3106">
        <w:rPr>
          <w:color w:val="000000" w:themeColor="text1"/>
          <w:szCs w:val="24"/>
          <w:shd w:val="clear" w:color="auto" w:fill="FFFFFF"/>
        </w:rPr>
        <w:t>o “</w:t>
      </w:r>
      <w:r w:rsidRPr="007859FC">
        <w:rPr>
          <w:color w:val="000000" w:themeColor="text1"/>
          <w:szCs w:val="24"/>
          <w:shd w:val="clear" w:color="auto" w:fill="FFFFFF"/>
        </w:rPr>
        <w:t>ênfase</w:t>
      </w:r>
      <w:r w:rsidR="005F3106">
        <w:rPr>
          <w:color w:val="000000" w:themeColor="text1"/>
          <w:szCs w:val="24"/>
          <w:shd w:val="clear" w:color="auto" w:fill="FFFFFF"/>
        </w:rPr>
        <w:t xml:space="preserve">”, </w:t>
      </w:r>
      <w:r>
        <w:rPr>
          <w:color w:val="000000" w:themeColor="text1"/>
          <w:szCs w:val="24"/>
          <w:shd w:val="clear" w:color="auto" w:fill="FFFFFF"/>
        </w:rPr>
        <w:t>destacavam o</w:t>
      </w:r>
      <w:r w:rsidRPr="007859FC">
        <w:rPr>
          <w:color w:val="000000" w:themeColor="text1"/>
          <w:szCs w:val="24"/>
          <w:shd w:val="clear" w:color="auto" w:fill="FFFFFF"/>
        </w:rPr>
        <w:t xml:space="preserve"> fato da avaliação dos investimentos em controladas, coligadas e controladas em conjunto serem realizadas pelo método de equivalência patrimonial, uma vez que para fins de IFRS o correto seria utilizar o método de custo ou o método de valor justo.</w:t>
      </w:r>
      <w:r w:rsidRPr="007859FC">
        <w:rPr>
          <w:color w:val="000000" w:themeColor="text1"/>
          <w:szCs w:val="24"/>
          <w:shd w:val="clear" w:color="auto" w:fill="FFFFFF"/>
        </w:rPr>
        <w:tab/>
      </w:r>
    </w:p>
    <w:p w14:paraId="3A6158DA" w14:textId="6EF4D0C2" w:rsidR="00736B7D" w:rsidRPr="007859FC" w:rsidRDefault="00736B7D" w:rsidP="00736B7D">
      <w:pPr>
        <w:rPr>
          <w:color w:val="000000" w:themeColor="text1"/>
          <w:szCs w:val="24"/>
          <w:shd w:val="clear" w:color="auto" w:fill="FFFFFF"/>
        </w:rPr>
      </w:pPr>
      <w:r w:rsidRPr="007859FC">
        <w:rPr>
          <w:color w:val="000000" w:themeColor="text1"/>
          <w:szCs w:val="24"/>
          <w:shd w:val="clear" w:color="auto" w:fill="FFFFFF"/>
        </w:rPr>
        <w:t>O parecer emitido em 2015 e 2016 pela KPMG dão ênfase as alegações, eventos e as medidas tomadas pela Companhia relacionadas a investigação interna em curso e o andamento da ação coletiva movida na Justiça dos Estados Unidos</w:t>
      </w:r>
      <w:r w:rsidR="005F3106">
        <w:rPr>
          <w:color w:val="000000" w:themeColor="text1"/>
          <w:szCs w:val="24"/>
          <w:shd w:val="clear" w:color="auto" w:fill="FFFFFF"/>
        </w:rPr>
        <w:t>. N</w:t>
      </w:r>
      <w:r w:rsidRPr="007859FC">
        <w:rPr>
          <w:color w:val="000000" w:themeColor="text1"/>
          <w:szCs w:val="24"/>
          <w:shd w:val="clear" w:color="auto" w:fill="FFFFFF"/>
        </w:rPr>
        <w:t xml:space="preserve">as notas explicativas evidenciou-se declarações de réus em medidas judiciais de natureza </w:t>
      </w:r>
      <w:r>
        <w:rPr>
          <w:color w:val="000000" w:themeColor="text1"/>
          <w:szCs w:val="24"/>
          <w:shd w:val="clear" w:color="auto" w:fill="FFFFFF"/>
        </w:rPr>
        <w:t>penal movidas contra terceiros,</w:t>
      </w:r>
      <w:r w:rsidRPr="007859FC">
        <w:rPr>
          <w:color w:val="000000" w:themeColor="text1"/>
          <w:szCs w:val="24"/>
          <w:shd w:val="clear" w:color="auto" w:fill="FFFFFF"/>
        </w:rPr>
        <w:t xml:space="preserve"> nas quais são citadas a Braskem e três ex-administradores com alegações de supostos pagamentos i</w:t>
      </w:r>
      <w:r>
        <w:rPr>
          <w:color w:val="000000" w:themeColor="text1"/>
          <w:szCs w:val="24"/>
          <w:shd w:val="clear" w:color="auto" w:fill="FFFFFF"/>
        </w:rPr>
        <w:t xml:space="preserve">ndevidos entre os anos de 2006 </w:t>
      </w:r>
      <w:proofErr w:type="gramStart"/>
      <w:r>
        <w:rPr>
          <w:color w:val="000000" w:themeColor="text1"/>
          <w:szCs w:val="24"/>
          <w:shd w:val="clear" w:color="auto" w:fill="FFFFFF"/>
        </w:rPr>
        <w:t>à</w:t>
      </w:r>
      <w:proofErr w:type="gramEnd"/>
      <w:r w:rsidRPr="007859FC">
        <w:rPr>
          <w:color w:val="000000" w:themeColor="text1"/>
          <w:szCs w:val="24"/>
          <w:shd w:val="clear" w:color="auto" w:fill="FFFFFF"/>
        </w:rPr>
        <w:t xml:space="preserve"> 2012</w:t>
      </w:r>
      <w:r w:rsidR="004D3095">
        <w:rPr>
          <w:color w:val="000000" w:themeColor="text1"/>
          <w:szCs w:val="24"/>
          <w:shd w:val="clear" w:color="auto" w:fill="FFFFFF"/>
        </w:rPr>
        <w:t xml:space="preserve">, </w:t>
      </w:r>
      <w:r w:rsidRPr="007859FC">
        <w:rPr>
          <w:color w:val="000000" w:themeColor="text1"/>
          <w:szCs w:val="24"/>
          <w:shd w:val="clear" w:color="auto" w:fill="FFFFFF"/>
        </w:rPr>
        <w:t xml:space="preserve">para beneficiar contratos celebrados com a Petrobras. </w:t>
      </w:r>
    </w:p>
    <w:p w14:paraId="6CEEF914" w14:textId="733488F4" w:rsidR="00736B7D" w:rsidRPr="007859FC" w:rsidRDefault="00736B7D" w:rsidP="000E3935">
      <w:pPr>
        <w:rPr>
          <w:color w:val="000000" w:themeColor="text1"/>
          <w:szCs w:val="24"/>
          <w:shd w:val="clear" w:color="auto" w:fill="FFFFFF"/>
        </w:rPr>
      </w:pPr>
      <w:r w:rsidRPr="007859FC">
        <w:rPr>
          <w:color w:val="000000" w:themeColor="text1"/>
          <w:szCs w:val="24"/>
          <w:shd w:val="clear" w:color="auto" w:fill="FFFFFF"/>
        </w:rPr>
        <w:t xml:space="preserve">Em 2016 as informações das demonstrações </w:t>
      </w:r>
      <w:r>
        <w:rPr>
          <w:color w:val="000000" w:themeColor="text1"/>
          <w:szCs w:val="24"/>
          <w:shd w:val="clear" w:color="auto" w:fill="FFFFFF"/>
        </w:rPr>
        <w:t>contábeis</w:t>
      </w:r>
      <w:r w:rsidRPr="007859FC">
        <w:rPr>
          <w:color w:val="000000" w:themeColor="text1"/>
          <w:szCs w:val="24"/>
          <w:shd w:val="clear" w:color="auto" w:fill="FFFFFF"/>
        </w:rPr>
        <w:t xml:space="preserve"> divulgas no âmbito das investigações da operação </w:t>
      </w:r>
      <w:r w:rsidR="004D3095">
        <w:rPr>
          <w:color w:val="000000" w:themeColor="text1"/>
          <w:szCs w:val="24"/>
          <w:shd w:val="clear" w:color="auto" w:fill="FFFFFF"/>
        </w:rPr>
        <w:t>Lava Jato</w:t>
      </w:r>
      <w:r w:rsidRPr="007859FC">
        <w:rPr>
          <w:color w:val="000000" w:themeColor="text1"/>
          <w:szCs w:val="24"/>
          <w:shd w:val="clear" w:color="auto" w:fill="FFFFFF"/>
        </w:rPr>
        <w:t xml:space="preserve">, </w:t>
      </w:r>
      <w:r>
        <w:rPr>
          <w:color w:val="000000" w:themeColor="text1"/>
          <w:szCs w:val="24"/>
          <w:shd w:val="clear" w:color="auto" w:fill="FFFFFF"/>
        </w:rPr>
        <w:t>confirmando</w:t>
      </w:r>
      <w:r w:rsidRPr="007859FC">
        <w:rPr>
          <w:color w:val="000000" w:themeColor="text1"/>
          <w:szCs w:val="24"/>
          <w:shd w:val="clear" w:color="auto" w:fill="FFFFFF"/>
        </w:rPr>
        <w:t xml:space="preserve"> a existência de pagamentos indevidos realiz</w:t>
      </w:r>
      <w:r>
        <w:rPr>
          <w:color w:val="000000" w:themeColor="text1"/>
          <w:szCs w:val="24"/>
          <w:shd w:val="clear" w:color="auto" w:fill="FFFFFF"/>
        </w:rPr>
        <w:t xml:space="preserve">ados pela Companhia entre 2006 </w:t>
      </w:r>
      <w:proofErr w:type="gramStart"/>
      <w:r>
        <w:rPr>
          <w:color w:val="000000" w:themeColor="text1"/>
          <w:szCs w:val="24"/>
          <w:shd w:val="clear" w:color="auto" w:fill="FFFFFF"/>
        </w:rPr>
        <w:t>à</w:t>
      </w:r>
      <w:proofErr w:type="gramEnd"/>
      <w:r w:rsidRPr="007859FC">
        <w:rPr>
          <w:color w:val="000000" w:themeColor="text1"/>
          <w:szCs w:val="24"/>
          <w:shd w:val="clear" w:color="auto" w:fill="FFFFFF"/>
        </w:rPr>
        <w:t xml:space="preserve"> 2014</w:t>
      </w:r>
      <w:r w:rsidR="005F3106">
        <w:rPr>
          <w:color w:val="000000" w:themeColor="text1"/>
          <w:szCs w:val="24"/>
          <w:shd w:val="clear" w:color="auto" w:fill="FFFFFF"/>
        </w:rPr>
        <w:t xml:space="preserve">, </w:t>
      </w:r>
      <w:r w:rsidRPr="007859FC">
        <w:rPr>
          <w:color w:val="000000" w:themeColor="text1"/>
          <w:szCs w:val="24"/>
          <w:shd w:val="clear" w:color="auto" w:fill="FFFFFF"/>
        </w:rPr>
        <w:t>a título de serviços prestados por terceiros, sem a comprov</w:t>
      </w:r>
      <w:r>
        <w:rPr>
          <w:color w:val="000000" w:themeColor="text1"/>
          <w:szCs w:val="24"/>
          <w:shd w:val="clear" w:color="auto" w:fill="FFFFFF"/>
        </w:rPr>
        <w:t xml:space="preserve">ação da efetiva contraprestação. Os </w:t>
      </w:r>
      <w:r w:rsidRPr="007859FC">
        <w:rPr>
          <w:color w:val="000000" w:themeColor="text1"/>
          <w:szCs w:val="24"/>
          <w:shd w:val="clear" w:color="auto" w:fill="FFFFFF"/>
        </w:rPr>
        <w:t xml:space="preserve">relatórios de opinião de auditoria da empresa BTG Pactual foram </w:t>
      </w:r>
      <w:r>
        <w:rPr>
          <w:color w:val="000000" w:themeColor="text1"/>
          <w:szCs w:val="24"/>
          <w:shd w:val="clear" w:color="auto" w:fill="FFFFFF"/>
        </w:rPr>
        <w:t>emitidos</w:t>
      </w:r>
      <w:r w:rsidRPr="007859FC">
        <w:rPr>
          <w:color w:val="000000" w:themeColor="text1"/>
          <w:szCs w:val="24"/>
          <w:shd w:val="clear" w:color="auto" w:fill="FFFFFF"/>
        </w:rPr>
        <w:t xml:space="preserve"> pela empresa de auditora </w:t>
      </w:r>
      <w:proofErr w:type="spellStart"/>
      <w:r w:rsidRPr="007859FC">
        <w:rPr>
          <w:color w:val="000000" w:themeColor="text1"/>
          <w:szCs w:val="24"/>
          <w:shd w:val="clear" w:color="auto" w:fill="FFFFFF"/>
        </w:rPr>
        <w:t>Ernst&amp;Young</w:t>
      </w:r>
      <w:proofErr w:type="spellEnd"/>
      <w:r w:rsidRPr="007859FC">
        <w:rPr>
          <w:color w:val="000000" w:themeColor="text1"/>
          <w:szCs w:val="24"/>
          <w:shd w:val="clear" w:color="auto" w:fill="FFFFFF"/>
        </w:rPr>
        <w:t xml:space="preserve">, </w:t>
      </w:r>
      <w:r>
        <w:rPr>
          <w:color w:val="000000" w:themeColor="text1"/>
          <w:szCs w:val="24"/>
          <w:shd w:val="clear" w:color="auto" w:fill="FFFFFF"/>
        </w:rPr>
        <w:t>sendo</w:t>
      </w:r>
      <w:r w:rsidRPr="007859FC">
        <w:rPr>
          <w:color w:val="000000" w:themeColor="text1"/>
          <w:szCs w:val="24"/>
          <w:shd w:val="clear" w:color="auto" w:fill="FFFFFF"/>
        </w:rPr>
        <w:t xml:space="preserve"> </w:t>
      </w:r>
      <w:r w:rsidRPr="000A03D8">
        <w:rPr>
          <w:color w:val="000000" w:themeColor="text1"/>
          <w:szCs w:val="24"/>
          <w:shd w:val="clear" w:color="auto" w:fill="FFFFFF"/>
        </w:rPr>
        <w:t xml:space="preserve">seus pareceres </w:t>
      </w:r>
      <w:r>
        <w:rPr>
          <w:color w:val="000000" w:themeColor="text1"/>
          <w:szCs w:val="24"/>
          <w:shd w:val="clear" w:color="auto" w:fill="FFFFFF"/>
        </w:rPr>
        <w:t>dentro do período analisado</w:t>
      </w:r>
      <w:r w:rsidRPr="007859FC">
        <w:rPr>
          <w:color w:val="000000" w:themeColor="text1"/>
          <w:szCs w:val="24"/>
          <w:shd w:val="clear" w:color="auto" w:fill="FFFFFF"/>
        </w:rPr>
        <w:t xml:space="preserve"> </w:t>
      </w:r>
      <w:r>
        <w:rPr>
          <w:color w:val="000000" w:themeColor="text1"/>
          <w:szCs w:val="24"/>
          <w:shd w:val="clear" w:color="auto" w:fill="FFFFFF"/>
        </w:rPr>
        <w:t>emitidos com ênfase</w:t>
      </w:r>
      <w:r w:rsidRPr="007859FC">
        <w:rPr>
          <w:color w:val="000000" w:themeColor="text1"/>
          <w:szCs w:val="24"/>
          <w:shd w:val="clear" w:color="auto" w:fill="FFFFFF"/>
        </w:rPr>
        <w:t>, exceto no ano de 2016, onde a auditoria emitiu a opinião sem ressalva:</w:t>
      </w:r>
    </w:p>
    <w:p w14:paraId="26D6645C" w14:textId="0BE4D1BB" w:rsidR="00736B7D" w:rsidRPr="007859FC" w:rsidRDefault="00D91454" w:rsidP="005F3106">
      <w:pPr>
        <w:spacing w:before="120"/>
        <w:ind w:firstLine="0"/>
        <w:rPr>
          <w:b/>
          <w:bCs/>
          <w:color w:val="000000" w:themeColor="text1"/>
          <w:sz w:val="20"/>
          <w:shd w:val="clear" w:color="auto" w:fill="FFFFFF"/>
        </w:rPr>
      </w:pPr>
      <w:r>
        <w:rPr>
          <w:b/>
          <w:bCs/>
          <w:color w:val="000000" w:themeColor="text1"/>
          <w:sz w:val="20"/>
          <w:shd w:val="clear" w:color="auto" w:fill="FFFFFF"/>
        </w:rPr>
        <w:t>Tabela</w:t>
      </w:r>
      <w:r w:rsidR="00736B7D" w:rsidRPr="007859FC">
        <w:rPr>
          <w:b/>
          <w:bCs/>
          <w:color w:val="000000" w:themeColor="text1"/>
          <w:sz w:val="20"/>
          <w:shd w:val="clear" w:color="auto" w:fill="FFFFFF"/>
        </w:rPr>
        <w:t xml:space="preserve"> 6: Análise dos relatórios de auditoria da empresa BTG Pactual</w:t>
      </w:r>
    </w:p>
    <w:tbl>
      <w:tblPr>
        <w:tblStyle w:val="Tabelacomgrade"/>
        <w:tblW w:w="9351" w:type="dxa"/>
        <w:tblLook w:val="04A0" w:firstRow="1" w:lastRow="0" w:firstColumn="1" w:lastColumn="0" w:noHBand="0" w:noVBand="1"/>
      </w:tblPr>
      <w:tblGrid>
        <w:gridCol w:w="1400"/>
        <w:gridCol w:w="2990"/>
        <w:gridCol w:w="4961"/>
      </w:tblGrid>
      <w:tr w:rsidR="00736B7D" w:rsidRPr="007859FC" w14:paraId="4897A89A" w14:textId="77777777" w:rsidTr="000017CB">
        <w:trPr>
          <w:trHeight w:hRule="exact" w:val="249"/>
        </w:trPr>
        <w:tc>
          <w:tcPr>
            <w:tcW w:w="9351" w:type="dxa"/>
            <w:gridSpan w:val="3"/>
            <w:noWrap/>
            <w:hideMark/>
          </w:tcPr>
          <w:p w14:paraId="09D4ED13" w14:textId="77777777" w:rsidR="00736B7D" w:rsidRPr="007859FC" w:rsidRDefault="00736B7D" w:rsidP="00E92C38">
            <w:pPr>
              <w:jc w:val="center"/>
              <w:rPr>
                <w:rFonts w:ascii="Times New Roman" w:hAnsi="Times New Roman"/>
                <w:b/>
                <w:color w:val="000000" w:themeColor="text1"/>
                <w:sz w:val="20"/>
                <w:szCs w:val="24"/>
                <w:shd w:val="clear" w:color="auto" w:fill="FFFFFF"/>
              </w:rPr>
            </w:pPr>
            <w:r w:rsidRPr="007859FC">
              <w:rPr>
                <w:rFonts w:ascii="Times New Roman" w:hAnsi="Times New Roman"/>
                <w:b/>
                <w:color w:val="000000" w:themeColor="text1"/>
                <w:sz w:val="20"/>
                <w:szCs w:val="24"/>
                <w:shd w:val="clear" w:color="auto" w:fill="FFFFFF"/>
              </w:rPr>
              <w:t>BTG Pactual</w:t>
            </w:r>
          </w:p>
        </w:tc>
      </w:tr>
      <w:tr w:rsidR="00736B7D" w:rsidRPr="007859FC" w14:paraId="795086C1" w14:textId="77777777" w:rsidTr="000017CB">
        <w:trPr>
          <w:trHeight w:hRule="exact" w:val="249"/>
        </w:trPr>
        <w:tc>
          <w:tcPr>
            <w:tcW w:w="1400" w:type="dxa"/>
            <w:noWrap/>
            <w:hideMark/>
          </w:tcPr>
          <w:p w14:paraId="7D2BE658" w14:textId="77777777" w:rsidR="00736B7D" w:rsidRPr="007859FC" w:rsidRDefault="00736B7D" w:rsidP="00E92C38">
            <w:pPr>
              <w:rPr>
                <w:rFonts w:ascii="Times New Roman" w:hAnsi="Times New Roman"/>
                <w:b/>
                <w:bCs/>
                <w:color w:val="000000" w:themeColor="text1"/>
                <w:sz w:val="20"/>
                <w:szCs w:val="24"/>
                <w:shd w:val="clear" w:color="auto" w:fill="FFFFFF"/>
              </w:rPr>
            </w:pPr>
            <w:r w:rsidRPr="007859FC">
              <w:rPr>
                <w:rFonts w:ascii="Times New Roman" w:hAnsi="Times New Roman"/>
                <w:b/>
                <w:bCs/>
                <w:color w:val="000000" w:themeColor="text1"/>
                <w:sz w:val="20"/>
                <w:szCs w:val="24"/>
                <w:shd w:val="clear" w:color="auto" w:fill="FFFFFF"/>
              </w:rPr>
              <w:lastRenderedPageBreak/>
              <w:t>Ano</w:t>
            </w:r>
          </w:p>
        </w:tc>
        <w:tc>
          <w:tcPr>
            <w:tcW w:w="2990" w:type="dxa"/>
            <w:noWrap/>
            <w:hideMark/>
          </w:tcPr>
          <w:p w14:paraId="1830CC56" w14:textId="77777777" w:rsidR="00736B7D" w:rsidRPr="007859FC" w:rsidRDefault="00736B7D" w:rsidP="00E92C38">
            <w:pPr>
              <w:rPr>
                <w:rFonts w:ascii="Times New Roman" w:hAnsi="Times New Roman"/>
                <w:b/>
                <w:bCs/>
                <w:color w:val="000000" w:themeColor="text1"/>
                <w:sz w:val="20"/>
                <w:szCs w:val="24"/>
                <w:shd w:val="clear" w:color="auto" w:fill="FFFFFF"/>
              </w:rPr>
            </w:pPr>
            <w:r w:rsidRPr="007859FC">
              <w:rPr>
                <w:rFonts w:ascii="Times New Roman" w:hAnsi="Times New Roman"/>
                <w:b/>
                <w:bCs/>
                <w:color w:val="000000" w:themeColor="text1"/>
                <w:sz w:val="20"/>
                <w:szCs w:val="24"/>
                <w:shd w:val="clear" w:color="auto" w:fill="FFFFFF"/>
              </w:rPr>
              <w:t>Auditores</w:t>
            </w:r>
          </w:p>
        </w:tc>
        <w:tc>
          <w:tcPr>
            <w:tcW w:w="4961" w:type="dxa"/>
            <w:noWrap/>
            <w:hideMark/>
          </w:tcPr>
          <w:p w14:paraId="231BB737" w14:textId="77777777" w:rsidR="00736B7D" w:rsidRPr="007859FC" w:rsidRDefault="00736B7D" w:rsidP="00E92C38">
            <w:pPr>
              <w:rPr>
                <w:rFonts w:ascii="Times New Roman" w:hAnsi="Times New Roman"/>
                <w:b/>
                <w:bCs/>
                <w:color w:val="000000" w:themeColor="text1"/>
                <w:sz w:val="20"/>
                <w:szCs w:val="24"/>
                <w:shd w:val="clear" w:color="auto" w:fill="FFFFFF"/>
              </w:rPr>
            </w:pPr>
            <w:r w:rsidRPr="007859FC">
              <w:rPr>
                <w:rFonts w:ascii="Times New Roman" w:hAnsi="Times New Roman"/>
                <w:b/>
                <w:bCs/>
                <w:color w:val="000000" w:themeColor="text1"/>
                <w:sz w:val="20"/>
                <w:szCs w:val="24"/>
                <w:shd w:val="clear" w:color="auto" w:fill="FFFFFF"/>
              </w:rPr>
              <w:t>Parecer</w:t>
            </w:r>
          </w:p>
        </w:tc>
      </w:tr>
      <w:tr w:rsidR="00736B7D" w:rsidRPr="007859FC" w14:paraId="4C8DA1A0" w14:textId="77777777" w:rsidTr="000017CB">
        <w:trPr>
          <w:trHeight w:hRule="exact" w:val="249"/>
        </w:trPr>
        <w:tc>
          <w:tcPr>
            <w:tcW w:w="1400" w:type="dxa"/>
            <w:noWrap/>
            <w:hideMark/>
          </w:tcPr>
          <w:p w14:paraId="214E88C9"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2010</w:t>
            </w:r>
          </w:p>
        </w:tc>
        <w:tc>
          <w:tcPr>
            <w:tcW w:w="2990" w:type="dxa"/>
            <w:noWrap/>
            <w:hideMark/>
          </w:tcPr>
          <w:p w14:paraId="5CE2456F" w14:textId="77777777" w:rsidR="00736B7D" w:rsidRPr="007859FC" w:rsidRDefault="00736B7D" w:rsidP="00E92C38">
            <w:pPr>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Ernst&amp;Young</w:t>
            </w:r>
            <w:proofErr w:type="spellEnd"/>
            <w:r w:rsidRPr="007859FC">
              <w:rPr>
                <w:rFonts w:ascii="Times New Roman" w:hAnsi="Times New Roman"/>
                <w:color w:val="000000" w:themeColor="text1"/>
                <w:sz w:val="20"/>
                <w:szCs w:val="24"/>
                <w:shd w:val="clear" w:color="auto" w:fill="FFFFFF"/>
              </w:rPr>
              <w:t xml:space="preserve"> </w:t>
            </w:r>
          </w:p>
        </w:tc>
        <w:tc>
          <w:tcPr>
            <w:tcW w:w="4961" w:type="dxa"/>
            <w:noWrap/>
            <w:hideMark/>
          </w:tcPr>
          <w:p w14:paraId="6F8E98ED"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5A949524" w14:textId="77777777" w:rsidTr="000017CB">
        <w:trPr>
          <w:trHeight w:hRule="exact" w:val="249"/>
        </w:trPr>
        <w:tc>
          <w:tcPr>
            <w:tcW w:w="1400" w:type="dxa"/>
            <w:noWrap/>
            <w:hideMark/>
          </w:tcPr>
          <w:p w14:paraId="707E55C2"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2011</w:t>
            </w:r>
          </w:p>
        </w:tc>
        <w:tc>
          <w:tcPr>
            <w:tcW w:w="2990" w:type="dxa"/>
            <w:noWrap/>
            <w:hideMark/>
          </w:tcPr>
          <w:p w14:paraId="39ACDD20" w14:textId="77777777" w:rsidR="00736B7D" w:rsidRPr="007859FC" w:rsidRDefault="00736B7D" w:rsidP="00E92C38">
            <w:pPr>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Ernst&amp;Young</w:t>
            </w:r>
            <w:proofErr w:type="spellEnd"/>
            <w:r w:rsidRPr="007859FC">
              <w:rPr>
                <w:rFonts w:ascii="Times New Roman" w:hAnsi="Times New Roman"/>
                <w:color w:val="000000" w:themeColor="text1"/>
                <w:sz w:val="20"/>
                <w:szCs w:val="24"/>
                <w:shd w:val="clear" w:color="auto" w:fill="FFFFFF"/>
              </w:rPr>
              <w:t xml:space="preserve"> </w:t>
            </w:r>
          </w:p>
        </w:tc>
        <w:tc>
          <w:tcPr>
            <w:tcW w:w="4961" w:type="dxa"/>
            <w:noWrap/>
            <w:hideMark/>
          </w:tcPr>
          <w:p w14:paraId="37ABF2F6"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6E80CB8E" w14:textId="77777777" w:rsidTr="000017CB">
        <w:trPr>
          <w:trHeight w:hRule="exact" w:val="249"/>
        </w:trPr>
        <w:tc>
          <w:tcPr>
            <w:tcW w:w="1400" w:type="dxa"/>
            <w:noWrap/>
            <w:hideMark/>
          </w:tcPr>
          <w:p w14:paraId="112A74C0"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2012</w:t>
            </w:r>
          </w:p>
        </w:tc>
        <w:tc>
          <w:tcPr>
            <w:tcW w:w="2990" w:type="dxa"/>
            <w:noWrap/>
            <w:hideMark/>
          </w:tcPr>
          <w:p w14:paraId="24CDA818" w14:textId="77777777" w:rsidR="00736B7D" w:rsidRPr="007859FC" w:rsidRDefault="00736B7D" w:rsidP="00E92C38">
            <w:pPr>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Ernst&amp;Young</w:t>
            </w:r>
            <w:proofErr w:type="spellEnd"/>
            <w:r w:rsidRPr="007859FC">
              <w:rPr>
                <w:rFonts w:ascii="Times New Roman" w:hAnsi="Times New Roman"/>
                <w:color w:val="000000" w:themeColor="text1"/>
                <w:sz w:val="20"/>
                <w:szCs w:val="24"/>
                <w:shd w:val="clear" w:color="auto" w:fill="FFFFFF"/>
              </w:rPr>
              <w:t xml:space="preserve"> </w:t>
            </w:r>
          </w:p>
        </w:tc>
        <w:tc>
          <w:tcPr>
            <w:tcW w:w="4961" w:type="dxa"/>
            <w:noWrap/>
            <w:hideMark/>
          </w:tcPr>
          <w:p w14:paraId="00B658FE"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362B765C" w14:textId="77777777" w:rsidTr="000017CB">
        <w:trPr>
          <w:trHeight w:hRule="exact" w:val="249"/>
        </w:trPr>
        <w:tc>
          <w:tcPr>
            <w:tcW w:w="1400" w:type="dxa"/>
            <w:noWrap/>
            <w:hideMark/>
          </w:tcPr>
          <w:p w14:paraId="5E0E0B22"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2013</w:t>
            </w:r>
          </w:p>
        </w:tc>
        <w:tc>
          <w:tcPr>
            <w:tcW w:w="2990" w:type="dxa"/>
            <w:noWrap/>
            <w:hideMark/>
          </w:tcPr>
          <w:p w14:paraId="5BCE092B" w14:textId="77777777" w:rsidR="00736B7D" w:rsidRPr="007859FC" w:rsidRDefault="00736B7D" w:rsidP="00E92C38">
            <w:pPr>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Ernst&amp;Young</w:t>
            </w:r>
            <w:proofErr w:type="spellEnd"/>
            <w:r w:rsidRPr="007859FC">
              <w:rPr>
                <w:rFonts w:ascii="Times New Roman" w:hAnsi="Times New Roman"/>
                <w:color w:val="000000" w:themeColor="text1"/>
                <w:sz w:val="20"/>
                <w:szCs w:val="24"/>
                <w:shd w:val="clear" w:color="auto" w:fill="FFFFFF"/>
              </w:rPr>
              <w:t xml:space="preserve"> </w:t>
            </w:r>
          </w:p>
        </w:tc>
        <w:tc>
          <w:tcPr>
            <w:tcW w:w="4961" w:type="dxa"/>
            <w:noWrap/>
            <w:hideMark/>
          </w:tcPr>
          <w:p w14:paraId="0A428D18"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2B4C9775" w14:textId="77777777" w:rsidTr="000017CB">
        <w:trPr>
          <w:trHeight w:hRule="exact" w:val="249"/>
        </w:trPr>
        <w:tc>
          <w:tcPr>
            <w:tcW w:w="1400" w:type="dxa"/>
            <w:noWrap/>
            <w:hideMark/>
          </w:tcPr>
          <w:p w14:paraId="3C687A71"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2014</w:t>
            </w:r>
          </w:p>
        </w:tc>
        <w:tc>
          <w:tcPr>
            <w:tcW w:w="2990" w:type="dxa"/>
            <w:noWrap/>
            <w:hideMark/>
          </w:tcPr>
          <w:p w14:paraId="0F2E24C9" w14:textId="77777777" w:rsidR="00736B7D" w:rsidRPr="007859FC" w:rsidRDefault="00736B7D" w:rsidP="00E92C38">
            <w:pPr>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Ernst&amp;Young</w:t>
            </w:r>
            <w:proofErr w:type="spellEnd"/>
            <w:r w:rsidRPr="007859FC">
              <w:rPr>
                <w:rFonts w:ascii="Times New Roman" w:hAnsi="Times New Roman"/>
                <w:color w:val="000000" w:themeColor="text1"/>
                <w:sz w:val="20"/>
                <w:szCs w:val="24"/>
                <w:shd w:val="clear" w:color="auto" w:fill="FFFFFF"/>
              </w:rPr>
              <w:t xml:space="preserve"> </w:t>
            </w:r>
          </w:p>
        </w:tc>
        <w:tc>
          <w:tcPr>
            <w:tcW w:w="4961" w:type="dxa"/>
            <w:noWrap/>
            <w:hideMark/>
          </w:tcPr>
          <w:p w14:paraId="7845DD6D"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3FA04D1A" w14:textId="77777777" w:rsidTr="000017CB">
        <w:trPr>
          <w:trHeight w:hRule="exact" w:val="249"/>
        </w:trPr>
        <w:tc>
          <w:tcPr>
            <w:tcW w:w="1400" w:type="dxa"/>
            <w:noWrap/>
            <w:hideMark/>
          </w:tcPr>
          <w:p w14:paraId="345B3CE5"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2015</w:t>
            </w:r>
          </w:p>
        </w:tc>
        <w:tc>
          <w:tcPr>
            <w:tcW w:w="2990" w:type="dxa"/>
            <w:noWrap/>
            <w:hideMark/>
          </w:tcPr>
          <w:p w14:paraId="2B3BEB6B" w14:textId="77777777" w:rsidR="00736B7D" w:rsidRPr="007859FC" w:rsidRDefault="00736B7D" w:rsidP="00E92C38">
            <w:pPr>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Ernst&amp;Young</w:t>
            </w:r>
            <w:proofErr w:type="spellEnd"/>
            <w:r w:rsidRPr="007859FC">
              <w:rPr>
                <w:rFonts w:ascii="Times New Roman" w:hAnsi="Times New Roman"/>
                <w:color w:val="000000" w:themeColor="text1"/>
                <w:sz w:val="20"/>
                <w:szCs w:val="24"/>
                <w:shd w:val="clear" w:color="auto" w:fill="FFFFFF"/>
              </w:rPr>
              <w:t xml:space="preserve"> </w:t>
            </w:r>
          </w:p>
        </w:tc>
        <w:tc>
          <w:tcPr>
            <w:tcW w:w="4961" w:type="dxa"/>
            <w:noWrap/>
            <w:hideMark/>
          </w:tcPr>
          <w:p w14:paraId="34C333A0"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4EFC5016" w14:textId="77777777" w:rsidTr="000017CB">
        <w:trPr>
          <w:trHeight w:hRule="exact" w:val="249"/>
        </w:trPr>
        <w:tc>
          <w:tcPr>
            <w:tcW w:w="1400" w:type="dxa"/>
            <w:noWrap/>
            <w:hideMark/>
          </w:tcPr>
          <w:p w14:paraId="03BABF55"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2016</w:t>
            </w:r>
          </w:p>
        </w:tc>
        <w:tc>
          <w:tcPr>
            <w:tcW w:w="2990" w:type="dxa"/>
            <w:noWrap/>
            <w:hideMark/>
          </w:tcPr>
          <w:p w14:paraId="2E4ACE09" w14:textId="77777777" w:rsidR="00736B7D" w:rsidRPr="007859FC" w:rsidRDefault="00736B7D" w:rsidP="00E92C38">
            <w:pPr>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Ernst&amp;Young</w:t>
            </w:r>
            <w:proofErr w:type="spellEnd"/>
            <w:r w:rsidRPr="007859FC">
              <w:rPr>
                <w:rFonts w:ascii="Times New Roman" w:hAnsi="Times New Roman"/>
                <w:color w:val="000000" w:themeColor="text1"/>
                <w:sz w:val="20"/>
                <w:szCs w:val="24"/>
                <w:shd w:val="clear" w:color="auto" w:fill="FFFFFF"/>
              </w:rPr>
              <w:t xml:space="preserve"> </w:t>
            </w:r>
          </w:p>
        </w:tc>
        <w:tc>
          <w:tcPr>
            <w:tcW w:w="4961" w:type="dxa"/>
            <w:noWrap/>
            <w:hideMark/>
          </w:tcPr>
          <w:p w14:paraId="06CF04EB"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Parecer sem Ressalva</w:t>
            </w:r>
          </w:p>
        </w:tc>
      </w:tr>
      <w:tr w:rsidR="00736B7D" w:rsidRPr="007859FC" w14:paraId="2C61512B" w14:textId="77777777" w:rsidTr="000017CB">
        <w:trPr>
          <w:trHeight w:hRule="exact" w:val="249"/>
        </w:trPr>
        <w:tc>
          <w:tcPr>
            <w:tcW w:w="1400" w:type="dxa"/>
            <w:noWrap/>
            <w:hideMark/>
          </w:tcPr>
          <w:p w14:paraId="409935FB"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2017</w:t>
            </w:r>
          </w:p>
        </w:tc>
        <w:tc>
          <w:tcPr>
            <w:tcW w:w="2990" w:type="dxa"/>
            <w:noWrap/>
            <w:hideMark/>
          </w:tcPr>
          <w:p w14:paraId="50B8BDCB" w14:textId="77777777" w:rsidR="00736B7D" w:rsidRPr="007859FC" w:rsidRDefault="00736B7D" w:rsidP="00E92C38">
            <w:pPr>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Ernst&amp;Young</w:t>
            </w:r>
            <w:proofErr w:type="spellEnd"/>
            <w:r w:rsidRPr="007859FC">
              <w:rPr>
                <w:rFonts w:ascii="Times New Roman" w:hAnsi="Times New Roman"/>
                <w:color w:val="000000" w:themeColor="text1"/>
                <w:sz w:val="20"/>
                <w:szCs w:val="24"/>
                <w:shd w:val="clear" w:color="auto" w:fill="FFFFFF"/>
              </w:rPr>
              <w:t xml:space="preserve"> </w:t>
            </w:r>
          </w:p>
        </w:tc>
        <w:tc>
          <w:tcPr>
            <w:tcW w:w="4961" w:type="dxa"/>
            <w:noWrap/>
            <w:hideMark/>
          </w:tcPr>
          <w:p w14:paraId="5A55E5E4"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r w:rsidR="00736B7D" w:rsidRPr="007859FC" w14:paraId="0BBDACCE" w14:textId="77777777" w:rsidTr="000017CB">
        <w:trPr>
          <w:trHeight w:hRule="exact" w:val="249"/>
        </w:trPr>
        <w:tc>
          <w:tcPr>
            <w:tcW w:w="1400" w:type="dxa"/>
            <w:noWrap/>
            <w:hideMark/>
          </w:tcPr>
          <w:p w14:paraId="2C73A355" w14:textId="77777777" w:rsidR="00736B7D" w:rsidRPr="007859FC" w:rsidRDefault="00736B7D" w:rsidP="00D91454">
            <w:pPr>
              <w:ind w:firstLine="0"/>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2018</w:t>
            </w:r>
          </w:p>
        </w:tc>
        <w:tc>
          <w:tcPr>
            <w:tcW w:w="2990" w:type="dxa"/>
            <w:noWrap/>
            <w:hideMark/>
          </w:tcPr>
          <w:p w14:paraId="6B4DBD02" w14:textId="77777777" w:rsidR="00736B7D" w:rsidRPr="007859FC" w:rsidRDefault="00736B7D" w:rsidP="00E92C38">
            <w:pPr>
              <w:rPr>
                <w:rFonts w:ascii="Times New Roman" w:hAnsi="Times New Roman"/>
                <w:color w:val="000000" w:themeColor="text1"/>
                <w:sz w:val="20"/>
                <w:szCs w:val="24"/>
                <w:shd w:val="clear" w:color="auto" w:fill="FFFFFF"/>
              </w:rPr>
            </w:pPr>
            <w:proofErr w:type="spellStart"/>
            <w:r w:rsidRPr="007859FC">
              <w:rPr>
                <w:rFonts w:ascii="Times New Roman" w:hAnsi="Times New Roman"/>
                <w:color w:val="000000" w:themeColor="text1"/>
                <w:sz w:val="20"/>
                <w:szCs w:val="24"/>
                <w:shd w:val="clear" w:color="auto" w:fill="FFFFFF"/>
              </w:rPr>
              <w:t>Ernst&amp;Young</w:t>
            </w:r>
            <w:proofErr w:type="spellEnd"/>
            <w:r w:rsidRPr="007859FC">
              <w:rPr>
                <w:rFonts w:ascii="Times New Roman" w:hAnsi="Times New Roman"/>
                <w:color w:val="000000" w:themeColor="text1"/>
                <w:sz w:val="20"/>
                <w:szCs w:val="24"/>
                <w:shd w:val="clear" w:color="auto" w:fill="FFFFFF"/>
              </w:rPr>
              <w:t xml:space="preserve"> </w:t>
            </w:r>
          </w:p>
        </w:tc>
        <w:tc>
          <w:tcPr>
            <w:tcW w:w="4961" w:type="dxa"/>
            <w:noWrap/>
            <w:hideMark/>
          </w:tcPr>
          <w:p w14:paraId="2058DA5C" w14:textId="77777777" w:rsidR="00736B7D" w:rsidRPr="007859FC" w:rsidRDefault="00736B7D" w:rsidP="00E92C38">
            <w:pPr>
              <w:rPr>
                <w:rFonts w:ascii="Times New Roman" w:hAnsi="Times New Roman"/>
                <w:color w:val="000000" w:themeColor="text1"/>
                <w:sz w:val="20"/>
                <w:szCs w:val="24"/>
                <w:shd w:val="clear" w:color="auto" w:fill="FFFFFF"/>
              </w:rPr>
            </w:pPr>
            <w:r w:rsidRPr="007859FC">
              <w:rPr>
                <w:rFonts w:ascii="Times New Roman" w:hAnsi="Times New Roman"/>
                <w:color w:val="000000" w:themeColor="text1"/>
                <w:sz w:val="20"/>
                <w:szCs w:val="24"/>
                <w:shd w:val="clear" w:color="auto" w:fill="FFFFFF"/>
              </w:rPr>
              <w:t>Ênfase</w:t>
            </w:r>
          </w:p>
        </w:tc>
      </w:tr>
    </w:tbl>
    <w:p w14:paraId="069B02DA" w14:textId="77777777" w:rsidR="00736B7D" w:rsidRPr="007859FC" w:rsidRDefault="00736B7D" w:rsidP="00D91454">
      <w:pPr>
        <w:spacing w:after="120"/>
        <w:ind w:firstLine="0"/>
        <w:rPr>
          <w:b/>
          <w:sz w:val="20"/>
        </w:rPr>
      </w:pPr>
      <w:r w:rsidRPr="007859FC">
        <w:rPr>
          <w:sz w:val="20"/>
        </w:rPr>
        <w:t>Fonte: Dados da pesquisa</w:t>
      </w:r>
      <w:r w:rsidRPr="007859FC">
        <w:rPr>
          <w:b/>
          <w:sz w:val="20"/>
        </w:rPr>
        <w:t>.</w:t>
      </w:r>
    </w:p>
    <w:p w14:paraId="03C91886" w14:textId="09EBFFA4" w:rsidR="00736B7D" w:rsidRPr="007859FC" w:rsidRDefault="00736B7D" w:rsidP="00736B7D">
      <w:pPr>
        <w:rPr>
          <w:szCs w:val="24"/>
        </w:rPr>
      </w:pPr>
      <w:r w:rsidRPr="007859FC">
        <w:rPr>
          <w:szCs w:val="24"/>
        </w:rPr>
        <w:t xml:space="preserve">Os pareceres emitidos com ênfase dão destaque que a controlada em conjunto </w:t>
      </w:r>
      <w:r>
        <w:rPr>
          <w:szCs w:val="24"/>
        </w:rPr>
        <w:t xml:space="preserve">Banco </w:t>
      </w:r>
      <w:proofErr w:type="spellStart"/>
      <w:r>
        <w:rPr>
          <w:szCs w:val="24"/>
        </w:rPr>
        <w:t>Panamericano</w:t>
      </w:r>
      <w:proofErr w:type="spellEnd"/>
      <w:r>
        <w:rPr>
          <w:szCs w:val="24"/>
        </w:rPr>
        <w:t xml:space="preserve"> S.A., possui</w:t>
      </w:r>
      <w:r w:rsidRPr="007859FC">
        <w:rPr>
          <w:szCs w:val="24"/>
        </w:rPr>
        <w:t xml:space="preserve"> um crédito tributário de imposto de renda e contribuição social rec</w:t>
      </w:r>
      <w:r>
        <w:rPr>
          <w:szCs w:val="24"/>
        </w:rPr>
        <w:t>onhecido em todos os períodos, cujo o valor</w:t>
      </w:r>
      <w:r w:rsidRPr="007859FC">
        <w:rPr>
          <w:szCs w:val="24"/>
        </w:rPr>
        <w:t xml:space="preserve"> em média </w:t>
      </w:r>
      <w:r>
        <w:rPr>
          <w:szCs w:val="24"/>
        </w:rPr>
        <w:t xml:space="preserve">é de </w:t>
      </w:r>
      <w:r w:rsidRPr="007859FC">
        <w:rPr>
          <w:szCs w:val="24"/>
        </w:rPr>
        <w:t>R$ 2,9 milhões com base em suas projeções e seus planos negócios, a auditoria afirma que esses créditos tributários dependem da materialização</w:t>
      </w:r>
      <w:r>
        <w:rPr>
          <w:szCs w:val="24"/>
        </w:rPr>
        <w:t xml:space="preserve"> destas projeções, não ressalvam</w:t>
      </w:r>
      <w:r w:rsidRPr="007859FC">
        <w:rPr>
          <w:szCs w:val="24"/>
        </w:rPr>
        <w:t xml:space="preserve"> sua opinião sobre este assunto. </w:t>
      </w:r>
    </w:p>
    <w:p w14:paraId="54BE906A" w14:textId="64FB85A9" w:rsidR="00736B7D" w:rsidRPr="007859FC" w:rsidRDefault="00736B7D" w:rsidP="00736B7D">
      <w:pPr>
        <w:rPr>
          <w:szCs w:val="24"/>
        </w:rPr>
      </w:pPr>
      <w:r w:rsidRPr="007859FC">
        <w:rPr>
          <w:szCs w:val="24"/>
        </w:rPr>
        <w:t xml:space="preserve">Sobre as investigações envolvendo o Banco BTG Pactual e a operação </w:t>
      </w:r>
      <w:r w:rsidR="004D3095">
        <w:rPr>
          <w:szCs w:val="24"/>
        </w:rPr>
        <w:t>Lava Jato</w:t>
      </w:r>
      <w:r w:rsidR="005F3106">
        <w:rPr>
          <w:szCs w:val="24"/>
        </w:rPr>
        <w:t xml:space="preserve">, </w:t>
      </w:r>
      <w:r w:rsidRPr="007859FC">
        <w:rPr>
          <w:szCs w:val="24"/>
        </w:rPr>
        <w:t>a auditoria destacou em seus relatórios no ano de 2015</w:t>
      </w:r>
      <w:r w:rsidR="005F3106">
        <w:rPr>
          <w:szCs w:val="24"/>
        </w:rPr>
        <w:t xml:space="preserve">, </w:t>
      </w:r>
      <w:r w:rsidRPr="007859FC">
        <w:rPr>
          <w:szCs w:val="24"/>
        </w:rPr>
        <w:t xml:space="preserve">que o banco foi atingido por uma série de notícias envolvendo seu principal acionista e então administrador. </w:t>
      </w:r>
    </w:p>
    <w:p w14:paraId="638C768D" w14:textId="71A2FB9E" w:rsidR="00736B7D" w:rsidRPr="007859FC" w:rsidRDefault="00736B7D" w:rsidP="00736B7D">
      <w:pPr>
        <w:rPr>
          <w:szCs w:val="24"/>
        </w:rPr>
      </w:pPr>
      <w:r w:rsidRPr="007859FC">
        <w:rPr>
          <w:szCs w:val="24"/>
        </w:rPr>
        <w:t xml:space="preserve">A auditora das demonstrações contábeis da empresa </w:t>
      </w:r>
      <w:proofErr w:type="spellStart"/>
      <w:r w:rsidRPr="007859FC">
        <w:rPr>
          <w:szCs w:val="24"/>
        </w:rPr>
        <w:t>Eletrobras</w:t>
      </w:r>
      <w:proofErr w:type="spellEnd"/>
      <w:r w:rsidRPr="007859FC">
        <w:rPr>
          <w:szCs w:val="24"/>
        </w:rPr>
        <w:t xml:space="preserve"> foram realizadas pelas auditoras </w:t>
      </w:r>
      <w:proofErr w:type="spellStart"/>
      <w:r w:rsidRPr="007859FC">
        <w:rPr>
          <w:szCs w:val="24"/>
        </w:rPr>
        <w:t>PricewaterhouseCoopers</w:t>
      </w:r>
      <w:proofErr w:type="spellEnd"/>
      <w:r w:rsidRPr="007859FC">
        <w:rPr>
          <w:szCs w:val="24"/>
        </w:rPr>
        <w:t xml:space="preserve"> e KPMG, que emitiram suas opiniões com ênfase, ressalva e parecer sem ressalva:</w:t>
      </w:r>
    </w:p>
    <w:p w14:paraId="1EACF862" w14:textId="3B805738" w:rsidR="00736B7D" w:rsidRPr="007859FC" w:rsidRDefault="00D91454" w:rsidP="00D91454">
      <w:pPr>
        <w:spacing w:before="120"/>
        <w:ind w:firstLine="0"/>
        <w:rPr>
          <w:b/>
          <w:bCs/>
          <w:color w:val="000000" w:themeColor="text1"/>
          <w:sz w:val="20"/>
          <w:shd w:val="clear" w:color="auto" w:fill="FFFFFF"/>
        </w:rPr>
      </w:pPr>
      <w:r>
        <w:rPr>
          <w:b/>
          <w:bCs/>
          <w:color w:val="000000" w:themeColor="text1"/>
          <w:sz w:val="20"/>
          <w:shd w:val="clear" w:color="auto" w:fill="FFFFFF"/>
        </w:rPr>
        <w:t>Tabela</w:t>
      </w:r>
      <w:r w:rsidR="00736B7D" w:rsidRPr="007859FC">
        <w:rPr>
          <w:b/>
          <w:bCs/>
          <w:color w:val="000000" w:themeColor="text1"/>
          <w:sz w:val="20"/>
          <w:shd w:val="clear" w:color="auto" w:fill="FFFFFF"/>
        </w:rPr>
        <w:t xml:space="preserve"> 7: Análise dos relatórios de auditoria da empresa </w:t>
      </w:r>
      <w:proofErr w:type="spellStart"/>
      <w:r w:rsidR="00736B7D" w:rsidRPr="007859FC">
        <w:rPr>
          <w:b/>
          <w:bCs/>
          <w:color w:val="000000" w:themeColor="text1"/>
          <w:sz w:val="20"/>
          <w:shd w:val="clear" w:color="auto" w:fill="FFFFFF"/>
        </w:rPr>
        <w:t>Eletrobras</w:t>
      </w:r>
      <w:proofErr w:type="spellEnd"/>
      <w:r w:rsidR="00736B7D" w:rsidRPr="007859FC">
        <w:rPr>
          <w:b/>
          <w:bCs/>
          <w:color w:val="000000" w:themeColor="text1"/>
          <w:sz w:val="20"/>
          <w:shd w:val="clear" w:color="auto" w:fill="FFFFFF"/>
        </w:rPr>
        <w:t xml:space="preserve"> </w:t>
      </w:r>
    </w:p>
    <w:tbl>
      <w:tblPr>
        <w:tblStyle w:val="Tabelacomgrade"/>
        <w:tblW w:w="9351" w:type="dxa"/>
        <w:tblLook w:val="04A0" w:firstRow="1" w:lastRow="0" w:firstColumn="1" w:lastColumn="0" w:noHBand="0" w:noVBand="1"/>
      </w:tblPr>
      <w:tblGrid>
        <w:gridCol w:w="1400"/>
        <w:gridCol w:w="2281"/>
        <w:gridCol w:w="5670"/>
      </w:tblGrid>
      <w:tr w:rsidR="00736B7D" w:rsidRPr="007859FC" w14:paraId="59B4B0BB" w14:textId="77777777" w:rsidTr="000017CB">
        <w:trPr>
          <w:trHeight w:hRule="exact" w:val="249"/>
        </w:trPr>
        <w:tc>
          <w:tcPr>
            <w:tcW w:w="9351" w:type="dxa"/>
            <w:gridSpan w:val="3"/>
            <w:noWrap/>
            <w:hideMark/>
          </w:tcPr>
          <w:p w14:paraId="6CC1966C" w14:textId="77777777" w:rsidR="00736B7D" w:rsidRPr="007859FC" w:rsidRDefault="00736B7D" w:rsidP="00E92C38">
            <w:pPr>
              <w:jc w:val="center"/>
              <w:rPr>
                <w:rFonts w:ascii="Times New Roman" w:hAnsi="Times New Roman"/>
                <w:b/>
                <w:sz w:val="20"/>
                <w:szCs w:val="24"/>
              </w:rPr>
            </w:pPr>
            <w:proofErr w:type="spellStart"/>
            <w:r w:rsidRPr="007859FC">
              <w:rPr>
                <w:rFonts w:ascii="Times New Roman" w:hAnsi="Times New Roman"/>
                <w:b/>
                <w:sz w:val="20"/>
                <w:szCs w:val="24"/>
              </w:rPr>
              <w:t>Eletrobras</w:t>
            </w:r>
            <w:proofErr w:type="spellEnd"/>
          </w:p>
        </w:tc>
      </w:tr>
      <w:tr w:rsidR="00736B7D" w:rsidRPr="007859FC" w14:paraId="1B8F4B94" w14:textId="77777777" w:rsidTr="000017CB">
        <w:trPr>
          <w:trHeight w:hRule="exact" w:val="249"/>
        </w:trPr>
        <w:tc>
          <w:tcPr>
            <w:tcW w:w="1400" w:type="dxa"/>
            <w:noWrap/>
            <w:hideMark/>
          </w:tcPr>
          <w:p w14:paraId="03ECEDBF"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Ano</w:t>
            </w:r>
          </w:p>
        </w:tc>
        <w:tc>
          <w:tcPr>
            <w:tcW w:w="2281" w:type="dxa"/>
            <w:noWrap/>
            <w:hideMark/>
          </w:tcPr>
          <w:p w14:paraId="33697CDF"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Auditores</w:t>
            </w:r>
          </w:p>
        </w:tc>
        <w:tc>
          <w:tcPr>
            <w:tcW w:w="5670" w:type="dxa"/>
            <w:noWrap/>
            <w:hideMark/>
          </w:tcPr>
          <w:p w14:paraId="70E85199"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Parecer</w:t>
            </w:r>
          </w:p>
        </w:tc>
      </w:tr>
      <w:tr w:rsidR="00736B7D" w:rsidRPr="007859FC" w14:paraId="21F983E4" w14:textId="77777777" w:rsidTr="000017CB">
        <w:trPr>
          <w:trHeight w:hRule="exact" w:val="249"/>
        </w:trPr>
        <w:tc>
          <w:tcPr>
            <w:tcW w:w="1400" w:type="dxa"/>
            <w:noWrap/>
            <w:hideMark/>
          </w:tcPr>
          <w:p w14:paraId="63531CF1" w14:textId="77777777" w:rsidR="00736B7D" w:rsidRPr="007859FC" w:rsidRDefault="00736B7D" w:rsidP="00D91454">
            <w:pPr>
              <w:ind w:firstLine="0"/>
              <w:rPr>
                <w:rFonts w:ascii="Times New Roman" w:hAnsi="Times New Roman"/>
                <w:sz w:val="20"/>
                <w:szCs w:val="24"/>
              </w:rPr>
            </w:pPr>
            <w:r w:rsidRPr="007859FC">
              <w:rPr>
                <w:rFonts w:ascii="Times New Roman" w:hAnsi="Times New Roman"/>
                <w:sz w:val="20"/>
                <w:szCs w:val="24"/>
              </w:rPr>
              <w:t>2010</w:t>
            </w:r>
          </w:p>
        </w:tc>
        <w:tc>
          <w:tcPr>
            <w:tcW w:w="2281" w:type="dxa"/>
            <w:noWrap/>
            <w:hideMark/>
          </w:tcPr>
          <w:p w14:paraId="068A41E4" w14:textId="77777777" w:rsidR="00736B7D" w:rsidRPr="007859FC" w:rsidRDefault="00736B7D" w:rsidP="00D91454">
            <w:pPr>
              <w:ind w:firstLine="0"/>
              <w:rPr>
                <w:rFonts w:ascii="Times New Roman" w:hAnsi="Times New Roman"/>
                <w:sz w:val="20"/>
                <w:szCs w:val="24"/>
              </w:rPr>
            </w:pPr>
            <w:proofErr w:type="spellStart"/>
            <w:r w:rsidRPr="007859FC">
              <w:rPr>
                <w:rFonts w:ascii="Times New Roman" w:hAnsi="Times New Roman"/>
                <w:sz w:val="20"/>
                <w:szCs w:val="24"/>
              </w:rPr>
              <w:t>PricewaterhouseCoopers</w:t>
            </w:r>
            <w:proofErr w:type="spellEnd"/>
          </w:p>
        </w:tc>
        <w:tc>
          <w:tcPr>
            <w:tcW w:w="5670" w:type="dxa"/>
            <w:noWrap/>
            <w:hideMark/>
          </w:tcPr>
          <w:p w14:paraId="010E705E"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r w:rsidR="00736B7D" w:rsidRPr="007859FC" w14:paraId="6C3D2A06" w14:textId="77777777" w:rsidTr="000017CB">
        <w:trPr>
          <w:trHeight w:hRule="exact" w:val="249"/>
        </w:trPr>
        <w:tc>
          <w:tcPr>
            <w:tcW w:w="1400" w:type="dxa"/>
            <w:noWrap/>
            <w:hideMark/>
          </w:tcPr>
          <w:p w14:paraId="7C458F14" w14:textId="77777777" w:rsidR="00736B7D" w:rsidRPr="007859FC" w:rsidRDefault="00736B7D" w:rsidP="00D91454">
            <w:pPr>
              <w:ind w:firstLine="0"/>
              <w:rPr>
                <w:rFonts w:ascii="Times New Roman" w:hAnsi="Times New Roman"/>
                <w:sz w:val="20"/>
                <w:szCs w:val="24"/>
              </w:rPr>
            </w:pPr>
            <w:r w:rsidRPr="007859FC">
              <w:rPr>
                <w:rFonts w:ascii="Times New Roman" w:hAnsi="Times New Roman"/>
                <w:sz w:val="20"/>
                <w:szCs w:val="24"/>
              </w:rPr>
              <w:t>2011</w:t>
            </w:r>
          </w:p>
        </w:tc>
        <w:tc>
          <w:tcPr>
            <w:tcW w:w="2281" w:type="dxa"/>
            <w:noWrap/>
            <w:hideMark/>
          </w:tcPr>
          <w:p w14:paraId="138EE206" w14:textId="77777777" w:rsidR="00736B7D" w:rsidRPr="007859FC" w:rsidRDefault="00736B7D" w:rsidP="00D91454">
            <w:pPr>
              <w:ind w:firstLine="0"/>
              <w:rPr>
                <w:rFonts w:ascii="Times New Roman" w:hAnsi="Times New Roman"/>
                <w:sz w:val="20"/>
                <w:szCs w:val="24"/>
              </w:rPr>
            </w:pPr>
            <w:proofErr w:type="spellStart"/>
            <w:r w:rsidRPr="007859FC">
              <w:rPr>
                <w:rFonts w:ascii="Times New Roman" w:hAnsi="Times New Roman"/>
                <w:sz w:val="20"/>
                <w:szCs w:val="24"/>
              </w:rPr>
              <w:t>PricewaterhouseCoopers</w:t>
            </w:r>
            <w:proofErr w:type="spellEnd"/>
          </w:p>
        </w:tc>
        <w:tc>
          <w:tcPr>
            <w:tcW w:w="5670" w:type="dxa"/>
            <w:noWrap/>
            <w:hideMark/>
          </w:tcPr>
          <w:p w14:paraId="6B81C3B0"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com Ressalva</w:t>
            </w:r>
          </w:p>
        </w:tc>
      </w:tr>
      <w:tr w:rsidR="00736B7D" w:rsidRPr="007859FC" w14:paraId="5C510AF1" w14:textId="77777777" w:rsidTr="000017CB">
        <w:trPr>
          <w:trHeight w:hRule="exact" w:val="249"/>
        </w:trPr>
        <w:tc>
          <w:tcPr>
            <w:tcW w:w="1400" w:type="dxa"/>
            <w:noWrap/>
            <w:hideMark/>
          </w:tcPr>
          <w:p w14:paraId="01822863" w14:textId="77777777" w:rsidR="00736B7D" w:rsidRPr="007859FC" w:rsidRDefault="00736B7D" w:rsidP="00D91454">
            <w:pPr>
              <w:ind w:firstLine="0"/>
              <w:rPr>
                <w:rFonts w:ascii="Times New Roman" w:hAnsi="Times New Roman"/>
                <w:sz w:val="20"/>
                <w:szCs w:val="24"/>
              </w:rPr>
            </w:pPr>
            <w:r w:rsidRPr="007859FC">
              <w:rPr>
                <w:rFonts w:ascii="Times New Roman" w:hAnsi="Times New Roman"/>
                <w:sz w:val="20"/>
                <w:szCs w:val="24"/>
              </w:rPr>
              <w:t>2012</w:t>
            </w:r>
          </w:p>
        </w:tc>
        <w:tc>
          <w:tcPr>
            <w:tcW w:w="2281" w:type="dxa"/>
            <w:noWrap/>
            <w:hideMark/>
          </w:tcPr>
          <w:p w14:paraId="79540958" w14:textId="77777777" w:rsidR="00736B7D" w:rsidRPr="007859FC" w:rsidRDefault="00736B7D" w:rsidP="00D91454">
            <w:pPr>
              <w:ind w:firstLine="0"/>
              <w:rPr>
                <w:rFonts w:ascii="Times New Roman" w:hAnsi="Times New Roman"/>
                <w:sz w:val="20"/>
                <w:szCs w:val="24"/>
              </w:rPr>
            </w:pPr>
            <w:proofErr w:type="spellStart"/>
            <w:r w:rsidRPr="007859FC">
              <w:rPr>
                <w:rFonts w:ascii="Times New Roman" w:hAnsi="Times New Roman"/>
                <w:sz w:val="20"/>
                <w:szCs w:val="24"/>
              </w:rPr>
              <w:t>PricewaterhouseCoopers</w:t>
            </w:r>
            <w:proofErr w:type="spellEnd"/>
          </w:p>
        </w:tc>
        <w:tc>
          <w:tcPr>
            <w:tcW w:w="5670" w:type="dxa"/>
            <w:noWrap/>
            <w:hideMark/>
          </w:tcPr>
          <w:p w14:paraId="27F77BB1"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com Ressalva</w:t>
            </w:r>
          </w:p>
        </w:tc>
      </w:tr>
      <w:tr w:rsidR="00736B7D" w:rsidRPr="007859FC" w14:paraId="7EEA0A6C" w14:textId="77777777" w:rsidTr="000017CB">
        <w:trPr>
          <w:trHeight w:hRule="exact" w:val="249"/>
        </w:trPr>
        <w:tc>
          <w:tcPr>
            <w:tcW w:w="1400" w:type="dxa"/>
            <w:noWrap/>
            <w:hideMark/>
          </w:tcPr>
          <w:p w14:paraId="2C1DB0FE" w14:textId="77777777" w:rsidR="00736B7D" w:rsidRPr="007859FC" w:rsidRDefault="00736B7D" w:rsidP="00D91454">
            <w:pPr>
              <w:ind w:firstLine="0"/>
              <w:rPr>
                <w:rFonts w:ascii="Times New Roman" w:hAnsi="Times New Roman"/>
                <w:sz w:val="20"/>
                <w:szCs w:val="24"/>
              </w:rPr>
            </w:pPr>
            <w:r w:rsidRPr="007859FC">
              <w:rPr>
                <w:rFonts w:ascii="Times New Roman" w:hAnsi="Times New Roman"/>
                <w:sz w:val="20"/>
                <w:szCs w:val="24"/>
              </w:rPr>
              <w:t>2013</w:t>
            </w:r>
          </w:p>
        </w:tc>
        <w:tc>
          <w:tcPr>
            <w:tcW w:w="2281" w:type="dxa"/>
            <w:noWrap/>
            <w:hideMark/>
          </w:tcPr>
          <w:p w14:paraId="0A1BDA44" w14:textId="77777777" w:rsidR="00736B7D" w:rsidRPr="007859FC" w:rsidRDefault="00736B7D" w:rsidP="00D91454">
            <w:pPr>
              <w:ind w:firstLine="0"/>
              <w:rPr>
                <w:rFonts w:ascii="Times New Roman" w:hAnsi="Times New Roman"/>
                <w:sz w:val="20"/>
                <w:szCs w:val="24"/>
              </w:rPr>
            </w:pPr>
            <w:proofErr w:type="spellStart"/>
            <w:r w:rsidRPr="007859FC">
              <w:rPr>
                <w:rFonts w:ascii="Times New Roman" w:hAnsi="Times New Roman"/>
                <w:sz w:val="20"/>
                <w:szCs w:val="24"/>
              </w:rPr>
              <w:t>PricewaterhouseCoopers</w:t>
            </w:r>
            <w:proofErr w:type="spellEnd"/>
          </w:p>
        </w:tc>
        <w:tc>
          <w:tcPr>
            <w:tcW w:w="5670" w:type="dxa"/>
            <w:noWrap/>
            <w:hideMark/>
          </w:tcPr>
          <w:p w14:paraId="69911BF2"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098D190B" w14:textId="77777777" w:rsidTr="000017CB">
        <w:trPr>
          <w:trHeight w:hRule="exact" w:val="249"/>
        </w:trPr>
        <w:tc>
          <w:tcPr>
            <w:tcW w:w="1400" w:type="dxa"/>
            <w:noWrap/>
            <w:hideMark/>
          </w:tcPr>
          <w:p w14:paraId="739EC692" w14:textId="77777777" w:rsidR="00736B7D" w:rsidRPr="007859FC" w:rsidRDefault="00736B7D" w:rsidP="00D91454">
            <w:pPr>
              <w:ind w:firstLine="0"/>
              <w:rPr>
                <w:rFonts w:ascii="Times New Roman" w:hAnsi="Times New Roman"/>
                <w:sz w:val="20"/>
                <w:szCs w:val="24"/>
              </w:rPr>
            </w:pPr>
            <w:r w:rsidRPr="007859FC">
              <w:rPr>
                <w:rFonts w:ascii="Times New Roman" w:hAnsi="Times New Roman"/>
                <w:sz w:val="20"/>
                <w:szCs w:val="24"/>
              </w:rPr>
              <w:t>2014</w:t>
            </w:r>
          </w:p>
        </w:tc>
        <w:tc>
          <w:tcPr>
            <w:tcW w:w="2281" w:type="dxa"/>
            <w:noWrap/>
            <w:hideMark/>
          </w:tcPr>
          <w:p w14:paraId="2D34BA43"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KPMG</w:t>
            </w:r>
          </w:p>
        </w:tc>
        <w:tc>
          <w:tcPr>
            <w:tcW w:w="5670" w:type="dxa"/>
            <w:noWrap/>
            <w:hideMark/>
          </w:tcPr>
          <w:p w14:paraId="5ADA737B"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3B47BCF6" w14:textId="77777777" w:rsidTr="000017CB">
        <w:trPr>
          <w:trHeight w:hRule="exact" w:val="249"/>
        </w:trPr>
        <w:tc>
          <w:tcPr>
            <w:tcW w:w="1400" w:type="dxa"/>
            <w:noWrap/>
            <w:hideMark/>
          </w:tcPr>
          <w:p w14:paraId="050668EE" w14:textId="77777777" w:rsidR="00736B7D" w:rsidRPr="007859FC" w:rsidRDefault="00736B7D" w:rsidP="00D91454">
            <w:pPr>
              <w:ind w:firstLine="0"/>
              <w:rPr>
                <w:rFonts w:ascii="Times New Roman" w:hAnsi="Times New Roman"/>
                <w:sz w:val="20"/>
                <w:szCs w:val="24"/>
              </w:rPr>
            </w:pPr>
            <w:r w:rsidRPr="007859FC">
              <w:rPr>
                <w:rFonts w:ascii="Times New Roman" w:hAnsi="Times New Roman"/>
                <w:sz w:val="20"/>
                <w:szCs w:val="24"/>
              </w:rPr>
              <w:t>2015</w:t>
            </w:r>
          </w:p>
        </w:tc>
        <w:tc>
          <w:tcPr>
            <w:tcW w:w="2281" w:type="dxa"/>
            <w:noWrap/>
            <w:hideMark/>
          </w:tcPr>
          <w:p w14:paraId="61F43332"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KPMG</w:t>
            </w:r>
          </w:p>
        </w:tc>
        <w:tc>
          <w:tcPr>
            <w:tcW w:w="5670" w:type="dxa"/>
            <w:noWrap/>
            <w:hideMark/>
          </w:tcPr>
          <w:p w14:paraId="705D02F7"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311F386E" w14:textId="77777777" w:rsidTr="000017CB">
        <w:trPr>
          <w:trHeight w:hRule="exact" w:val="249"/>
        </w:trPr>
        <w:tc>
          <w:tcPr>
            <w:tcW w:w="1400" w:type="dxa"/>
            <w:noWrap/>
            <w:hideMark/>
          </w:tcPr>
          <w:p w14:paraId="4A28ED54" w14:textId="77777777" w:rsidR="00736B7D" w:rsidRPr="007859FC" w:rsidRDefault="00736B7D" w:rsidP="00D91454">
            <w:pPr>
              <w:ind w:firstLine="0"/>
              <w:rPr>
                <w:rFonts w:ascii="Times New Roman" w:hAnsi="Times New Roman"/>
                <w:sz w:val="20"/>
                <w:szCs w:val="24"/>
              </w:rPr>
            </w:pPr>
            <w:r w:rsidRPr="007859FC">
              <w:rPr>
                <w:rFonts w:ascii="Times New Roman" w:hAnsi="Times New Roman"/>
                <w:sz w:val="20"/>
                <w:szCs w:val="24"/>
              </w:rPr>
              <w:t>2016</w:t>
            </w:r>
          </w:p>
        </w:tc>
        <w:tc>
          <w:tcPr>
            <w:tcW w:w="2281" w:type="dxa"/>
            <w:noWrap/>
            <w:hideMark/>
          </w:tcPr>
          <w:p w14:paraId="1F257FB1"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KPMG</w:t>
            </w:r>
          </w:p>
        </w:tc>
        <w:tc>
          <w:tcPr>
            <w:tcW w:w="5670" w:type="dxa"/>
            <w:noWrap/>
            <w:hideMark/>
          </w:tcPr>
          <w:p w14:paraId="7CA06A69"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r w:rsidR="00736B7D" w:rsidRPr="007859FC" w14:paraId="10E98E36" w14:textId="77777777" w:rsidTr="000017CB">
        <w:trPr>
          <w:trHeight w:hRule="exact" w:val="249"/>
        </w:trPr>
        <w:tc>
          <w:tcPr>
            <w:tcW w:w="1400" w:type="dxa"/>
            <w:noWrap/>
            <w:hideMark/>
          </w:tcPr>
          <w:p w14:paraId="15C49839" w14:textId="77777777" w:rsidR="00736B7D" w:rsidRPr="007859FC" w:rsidRDefault="00736B7D" w:rsidP="00D91454">
            <w:pPr>
              <w:ind w:firstLine="0"/>
              <w:rPr>
                <w:rFonts w:ascii="Times New Roman" w:hAnsi="Times New Roman"/>
                <w:sz w:val="20"/>
                <w:szCs w:val="24"/>
              </w:rPr>
            </w:pPr>
            <w:r w:rsidRPr="007859FC">
              <w:rPr>
                <w:rFonts w:ascii="Times New Roman" w:hAnsi="Times New Roman"/>
                <w:sz w:val="20"/>
                <w:szCs w:val="24"/>
              </w:rPr>
              <w:t>2017</w:t>
            </w:r>
          </w:p>
        </w:tc>
        <w:tc>
          <w:tcPr>
            <w:tcW w:w="2281" w:type="dxa"/>
            <w:noWrap/>
            <w:hideMark/>
          </w:tcPr>
          <w:p w14:paraId="32108864"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KPMG</w:t>
            </w:r>
          </w:p>
        </w:tc>
        <w:tc>
          <w:tcPr>
            <w:tcW w:w="5670" w:type="dxa"/>
            <w:noWrap/>
            <w:hideMark/>
          </w:tcPr>
          <w:p w14:paraId="3F4D3B52"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r w:rsidR="00736B7D" w:rsidRPr="007859FC" w14:paraId="1E97E81D" w14:textId="77777777" w:rsidTr="000017CB">
        <w:trPr>
          <w:trHeight w:hRule="exact" w:val="249"/>
        </w:trPr>
        <w:tc>
          <w:tcPr>
            <w:tcW w:w="1400" w:type="dxa"/>
            <w:noWrap/>
            <w:hideMark/>
          </w:tcPr>
          <w:p w14:paraId="6B0163CA" w14:textId="77777777" w:rsidR="00736B7D" w:rsidRPr="007859FC" w:rsidRDefault="00736B7D" w:rsidP="00D91454">
            <w:pPr>
              <w:ind w:firstLine="0"/>
              <w:rPr>
                <w:rFonts w:ascii="Times New Roman" w:hAnsi="Times New Roman"/>
                <w:sz w:val="20"/>
                <w:szCs w:val="24"/>
              </w:rPr>
            </w:pPr>
            <w:r w:rsidRPr="007859FC">
              <w:rPr>
                <w:rFonts w:ascii="Times New Roman" w:hAnsi="Times New Roman"/>
                <w:sz w:val="20"/>
                <w:szCs w:val="24"/>
              </w:rPr>
              <w:t>2018</w:t>
            </w:r>
          </w:p>
        </w:tc>
        <w:tc>
          <w:tcPr>
            <w:tcW w:w="2281" w:type="dxa"/>
            <w:noWrap/>
            <w:hideMark/>
          </w:tcPr>
          <w:p w14:paraId="2F5E22BC"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 xml:space="preserve">KPMG </w:t>
            </w:r>
          </w:p>
        </w:tc>
        <w:tc>
          <w:tcPr>
            <w:tcW w:w="5670" w:type="dxa"/>
            <w:noWrap/>
            <w:hideMark/>
          </w:tcPr>
          <w:p w14:paraId="496764EE"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bl>
    <w:p w14:paraId="44B0585B" w14:textId="77777777" w:rsidR="00736B7D" w:rsidRPr="007859FC" w:rsidRDefault="00736B7D" w:rsidP="00D34FAE">
      <w:pPr>
        <w:spacing w:after="120"/>
        <w:ind w:firstLine="0"/>
        <w:rPr>
          <w:b/>
          <w:sz w:val="20"/>
        </w:rPr>
      </w:pPr>
      <w:r w:rsidRPr="007859FC">
        <w:rPr>
          <w:sz w:val="20"/>
        </w:rPr>
        <w:t>Fonte: Dados da pesquisa</w:t>
      </w:r>
      <w:r w:rsidRPr="007859FC">
        <w:rPr>
          <w:b/>
          <w:sz w:val="20"/>
        </w:rPr>
        <w:t>.</w:t>
      </w:r>
    </w:p>
    <w:p w14:paraId="2B7DB7E4" w14:textId="5DA6D7E8" w:rsidR="00736B7D" w:rsidRPr="007859FC" w:rsidRDefault="00736B7D" w:rsidP="00736B7D">
      <w:pPr>
        <w:rPr>
          <w:szCs w:val="24"/>
        </w:rPr>
      </w:pPr>
      <w:r w:rsidRPr="007859FC">
        <w:rPr>
          <w:szCs w:val="24"/>
        </w:rPr>
        <w:t>O parecer com ressalva emitido no relatório da auditoria nos anos de 2012 e 2013 referem-se ao método de avaliação da equivalência patrimonial da</w:t>
      </w:r>
      <w:r>
        <w:rPr>
          <w:szCs w:val="24"/>
        </w:rPr>
        <w:t xml:space="preserve"> </w:t>
      </w:r>
      <w:r w:rsidRPr="007859FC">
        <w:rPr>
          <w:szCs w:val="24"/>
        </w:rPr>
        <w:t>coligada EMAE, a auditoria destaca que não obteve evidências apropriadas e suficientes destes saldo</w:t>
      </w:r>
      <w:r>
        <w:rPr>
          <w:szCs w:val="24"/>
        </w:rPr>
        <w:t>s.</w:t>
      </w:r>
      <w:r w:rsidRPr="007859FC">
        <w:rPr>
          <w:szCs w:val="24"/>
        </w:rPr>
        <w:t xml:space="preserve"> De 2012 </w:t>
      </w:r>
      <w:proofErr w:type="gramStart"/>
      <w:r w:rsidRPr="007859FC">
        <w:rPr>
          <w:szCs w:val="24"/>
        </w:rPr>
        <w:t>à</w:t>
      </w:r>
      <w:proofErr w:type="gramEnd"/>
      <w:r w:rsidRPr="007859FC">
        <w:rPr>
          <w:szCs w:val="24"/>
        </w:rPr>
        <w:t xml:space="preserve"> 2015 a auditoria da ênfase a investida CTEEP</w:t>
      </w:r>
      <w:r w:rsidR="00B605CA">
        <w:rPr>
          <w:szCs w:val="24"/>
        </w:rPr>
        <w:t xml:space="preserve">, </w:t>
      </w:r>
      <w:r w:rsidRPr="007859FC">
        <w:rPr>
          <w:szCs w:val="24"/>
        </w:rPr>
        <w:t>que possui ativo referente a investimentos de transmissão no montante de R$ 1.49</w:t>
      </w:r>
      <w:r>
        <w:rPr>
          <w:szCs w:val="24"/>
        </w:rPr>
        <w:t>0.986 milhões</w:t>
      </w:r>
      <w:r w:rsidRPr="007859FC">
        <w:rPr>
          <w:szCs w:val="24"/>
        </w:rPr>
        <w:t>. Não foram identificadas em nenhum dos relatórios da auditoria e nas notas explicativas divulgadas</w:t>
      </w:r>
      <w:r>
        <w:rPr>
          <w:szCs w:val="24"/>
        </w:rPr>
        <w:t xml:space="preserve"> pela empresa</w:t>
      </w:r>
      <w:r w:rsidRPr="007859FC">
        <w:rPr>
          <w:szCs w:val="24"/>
        </w:rPr>
        <w:t xml:space="preserve"> sobre qualquer opinião ou informação sobre o envolvimento da empresa nos esquemas de corrupção na operação </w:t>
      </w:r>
      <w:r w:rsidR="004D3095">
        <w:rPr>
          <w:szCs w:val="24"/>
        </w:rPr>
        <w:t>Lava Jato</w:t>
      </w:r>
      <w:r w:rsidRPr="007859FC">
        <w:rPr>
          <w:szCs w:val="24"/>
        </w:rPr>
        <w:t xml:space="preserve">. </w:t>
      </w:r>
    </w:p>
    <w:p w14:paraId="1104636C" w14:textId="602F76A7" w:rsidR="00736B7D" w:rsidRPr="007859FC" w:rsidRDefault="00736B7D" w:rsidP="00736B7D">
      <w:pPr>
        <w:rPr>
          <w:szCs w:val="24"/>
        </w:rPr>
      </w:pPr>
      <w:r w:rsidRPr="007859FC">
        <w:rPr>
          <w:szCs w:val="24"/>
        </w:rPr>
        <w:t>A empresa Inepar não publicou as demonstrações contábeis do período de 2018</w:t>
      </w:r>
      <w:r>
        <w:rPr>
          <w:szCs w:val="24"/>
        </w:rPr>
        <w:t xml:space="preserve"> até o </w:t>
      </w:r>
      <w:r>
        <w:rPr>
          <w:szCs w:val="24"/>
        </w:rPr>
        <w:lastRenderedPageBreak/>
        <w:t>encerramento deste artigo</w:t>
      </w:r>
      <w:r w:rsidRPr="007859FC">
        <w:rPr>
          <w:szCs w:val="24"/>
        </w:rPr>
        <w:t xml:space="preserve">, dentre as informações analisadas pelo período de 2010 </w:t>
      </w:r>
      <w:proofErr w:type="gramStart"/>
      <w:r w:rsidRPr="007859FC">
        <w:rPr>
          <w:szCs w:val="24"/>
        </w:rPr>
        <w:t>à</w:t>
      </w:r>
      <w:proofErr w:type="gramEnd"/>
      <w:r w:rsidRPr="007859FC">
        <w:rPr>
          <w:szCs w:val="24"/>
        </w:rPr>
        <w:t xml:space="preserve"> 2017, identificou-se que nenhum dos seus</w:t>
      </w:r>
      <w:r>
        <w:rPr>
          <w:szCs w:val="24"/>
        </w:rPr>
        <w:t xml:space="preserve"> auditores</w:t>
      </w:r>
      <w:r w:rsidRPr="007859FC">
        <w:rPr>
          <w:szCs w:val="24"/>
        </w:rPr>
        <w:t xml:space="preserve"> pertencem ao grupo das </w:t>
      </w:r>
      <w:r w:rsidRPr="007859FC">
        <w:rPr>
          <w:i/>
          <w:szCs w:val="24"/>
        </w:rPr>
        <w:t>Big Four</w:t>
      </w:r>
      <w:r w:rsidRPr="007859FC">
        <w:rPr>
          <w:szCs w:val="24"/>
        </w:rPr>
        <w:t>, os pareceres emitidos pela auditoria apresentam parecer com ressalva e abstenção de opinião:</w:t>
      </w:r>
    </w:p>
    <w:p w14:paraId="7066E58C" w14:textId="77A02D08" w:rsidR="00736B7D" w:rsidRPr="007859FC" w:rsidRDefault="00D91454" w:rsidP="00D34FAE">
      <w:pPr>
        <w:spacing w:before="120"/>
        <w:ind w:firstLine="0"/>
        <w:rPr>
          <w:b/>
          <w:bCs/>
          <w:color w:val="000000" w:themeColor="text1"/>
          <w:sz w:val="20"/>
          <w:shd w:val="clear" w:color="auto" w:fill="FFFFFF"/>
        </w:rPr>
      </w:pPr>
      <w:r>
        <w:rPr>
          <w:b/>
          <w:bCs/>
          <w:color w:val="000000" w:themeColor="text1"/>
          <w:sz w:val="20"/>
          <w:shd w:val="clear" w:color="auto" w:fill="FFFFFF"/>
        </w:rPr>
        <w:t>Tabela</w:t>
      </w:r>
      <w:r w:rsidR="00736B7D" w:rsidRPr="007859FC">
        <w:rPr>
          <w:b/>
          <w:bCs/>
          <w:color w:val="000000" w:themeColor="text1"/>
          <w:sz w:val="20"/>
          <w:shd w:val="clear" w:color="auto" w:fill="FFFFFF"/>
        </w:rPr>
        <w:t xml:space="preserve"> 8: Análise dos relatórios de auditoria da empresa Inepar</w:t>
      </w:r>
    </w:p>
    <w:tbl>
      <w:tblPr>
        <w:tblStyle w:val="Tabelacomgrade"/>
        <w:tblW w:w="0" w:type="auto"/>
        <w:tblLook w:val="04A0" w:firstRow="1" w:lastRow="0" w:firstColumn="1" w:lastColumn="0" w:noHBand="0" w:noVBand="1"/>
      </w:tblPr>
      <w:tblGrid>
        <w:gridCol w:w="1400"/>
        <w:gridCol w:w="4720"/>
        <w:gridCol w:w="3231"/>
      </w:tblGrid>
      <w:tr w:rsidR="00736B7D" w:rsidRPr="007859FC" w14:paraId="11903580" w14:textId="77777777" w:rsidTr="000017CB">
        <w:trPr>
          <w:trHeight w:hRule="exact" w:val="249"/>
        </w:trPr>
        <w:tc>
          <w:tcPr>
            <w:tcW w:w="9351" w:type="dxa"/>
            <w:gridSpan w:val="3"/>
            <w:noWrap/>
            <w:hideMark/>
          </w:tcPr>
          <w:p w14:paraId="3681185B" w14:textId="77777777" w:rsidR="00736B7D" w:rsidRPr="007859FC" w:rsidRDefault="00736B7D" w:rsidP="00E92C38">
            <w:pPr>
              <w:jc w:val="center"/>
              <w:rPr>
                <w:rFonts w:ascii="Times New Roman" w:hAnsi="Times New Roman"/>
                <w:b/>
                <w:sz w:val="20"/>
                <w:szCs w:val="24"/>
              </w:rPr>
            </w:pPr>
            <w:r w:rsidRPr="007859FC">
              <w:rPr>
                <w:rFonts w:ascii="Times New Roman" w:hAnsi="Times New Roman"/>
                <w:b/>
                <w:sz w:val="20"/>
                <w:szCs w:val="24"/>
              </w:rPr>
              <w:t>Inepar</w:t>
            </w:r>
          </w:p>
        </w:tc>
      </w:tr>
      <w:tr w:rsidR="00736B7D" w:rsidRPr="007859FC" w14:paraId="511EC36C" w14:textId="77777777" w:rsidTr="000017CB">
        <w:trPr>
          <w:trHeight w:hRule="exact" w:val="249"/>
        </w:trPr>
        <w:tc>
          <w:tcPr>
            <w:tcW w:w="1400" w:type="dxa"/>
            <w:noWrap/>
            <w:hideMark/>
          </w:tcPr>
          <w:p w14:paraId="64612C31"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Ano</w:t>
            </w:r>
          </w:p>
        </w:tc>
        <w:tc>
          <w:tcPr>
            <w:tcW w:w="4720" w:type="dxa"/>
            <w:noWrap/>
            <w:hideMark/>
          </w:tcPr>
          <w:p w14:paraId="7EE93295"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Auditores</w:t>
            </w:r>
          </w:p>
        </w:tc>
        <w:tc>
          <w:tcPr>
            <w:tcW w:w="3231" w:type="dxa"/>
            <w:noWrap/>
            <w:hideMark/>
          </w:tcPr>
          <w:p w14:paraId="534675B7"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Parecer</w:t>
            </w:r>
          </w:p>
        </w:tc>
      </w:tr>
      <w:tr w:rsidR="00736B7D" w:rsidRPr="007859FC" w14:paraId="273B4775" w14:textId="77777777" w:rsidTr="000017CB">
        <w:trPr>
          <w:trHeight w:hRule="exact" w:val="249"/>
        </w:trPr>
        <w:tc>
          <w:tcPr>
            <w:tcW w:w="1400" w:type="dxa"/>
            <w:noWrap/>
            <w:hideMark/>
          </w:tcPr>
          <w:p w14:paraId="243BED30"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2010</w:t>
            </w:r>
          </w:p>
        </w:tc>
        <w:tc>
          <w:tcPr>
            <w:tcW w:w="4720" w:type="dxa"/>
            <w:noWrap/>
            <w:hideMark/>
          </w:tcPr>
          <w:p w14:paraId="2A0713F2" w14:textId="5A41A750" w:rsidR="00736B7D" w:rsidRPr="007859FC" w:rsidRDefault="008343F2" w:rsidP="00955252">
            <w:pPr>
              <w:ind w:firstLine="0"/>
              <w:rPr>
                <w:rFonts w:ascii="Times New Roman" w:hAnsi="Times New Roman"/>
                <w:sz w:val="20"/>
                <w:szCs w:val="24"/>
              </w:rPr>
            </w:pPr>
            <w:r w:rsidRPr="007859FC">
              <w:rPr>
                <w:rFonts w:ascii="Times New Roman" w:hAnsi="Times New Roman"/>
                <w:sz w:val="20"/>
                <w:szCs w:val="24"/>
              </w:rPr>
              <w:t>Martinelli</w:t>
            </w:r>
            <w:r w:rsidR="00736B7D" w:rsidRPr="007859FC">
              <w:rPr>
                <w:rFonts w:ascii="Times New Roman" w:hAnsi="Times New Roman"/>
                <w:sz w:val="20"/>
                <w:szCs w:val="24"/>
              </w:rPr>
              <w:t xml:space="preserve"> Auditores</w:t>
            </w:r>
          </w:p>
        </w:tc>
        <w:tc>
          <w:tcPr>
            <w:tcW w:w="3231" w:type="dxa"/>
            <w:noWrap/>
            <w:hideMark/>
          </w:tcPr>
          <w:p w14:paraId="6C94E5A8"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Ênfase</w:t>
            </w:r>
          </w:p>
        </w:tc>
      </w:tr>
      <w:tr w:rsidR="00736B7D" w:rsidRPr="007859FC" w14:paraId="3482F1C9" w14:textId="77777777" w:rsidTr="000017CB">
        <w:trPr>
          <w:trHeight w:hRule="exact" w:val="249"/>
        </w:trPr>
        <w:tc>
          <w:tcPr>
            <w:tcW w:w="1400" w:type="dxa"/>
            <w:noWrap/>
            <w:hideMark/>
          </w:tcPr>
          <w:p w14:paraId="28311CDC"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2011</w:t>
            </w:r>
          </w:p>
        </w:tc>
        <w:tc>
          <w:tcPr>
            <w:tcW w:w="4720" w:type="dxa"/>
            <w:noWrap/>
            <w:hideMark/>
          </w:tcPr>
          <w:p w14:paraId="7F2CF717" w14:textId="77777777" w:rsidR="00736B7D" w:rsidRPr="007859FC" w:rsidRDefault="00736B7D" w:rsidP="00955252">
            <w:pPr>
              <w:ind w:firstLine="0"/>
              <w:rPr>
                <w:rFonts w:ascii="Times New Roman" w:hAnsi="Times New Roman"/>
                <w:sz w:val="20"/>
                <w:szCs w:val="24"/>
              </w:rPr>
            </w:pPr>
            <w:r w:rsidRPr="007859FC">
              <w:rPr>
                <w:rFonts w:ascii="Times New Roman" w:hAnsi="Times New Roman"/>
                <w:sz w:val="20"/>
                <w:szCs w:val="24"/>
              </w:rPr>
              <w:t xml:space="preserve">Baker </w:t>
            </w:r>
            <w:proofErr w:type="spellStart"/>
            <w:r w:rsidRPr="007859FC">
              <w:rPr>
                <w:rFonts w:ascii="Times New Roman" w:hAnsi="Times New Roman"/>
                <w:sz w:val="20"/>
                <w:szCs w:val="24"/>
              </w:rPr>
              <w:t>Tilly</w:t>
            </w:r>
            <w:proofErr w:type="spellEnd"/>
            <w:r w:rsidRPr="007859FC">
              <w:rPr>
                <w:rFonts w:ascii="Times New Roman" w:hAnsi="Times New Roman"/>
                <w:sz w:val="20"/>
                <w:szCs w:val="24"/>
              </w:rPr>
              <w:t xml:space="preserve"> Brasil Auditores Independentes S/S</w:t>
            </w:r>
          </w:p>
        </w:tc>
        <w:tc>
          <w:tcPr>
            <w:tcW w:w="3231" w:type="dxa"/>
            <w:noWrap/>
            <w:hideMark/>
          </w:tcPr>
          <w:p w14:paraId="7B101F05"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Parecer com Ressalva</w:t>
            </w:r>
          </w:p>
        </w:tc>
      </w:tr>
      <w:tr w:rsidR="00736B7D" w:rsidRPr="007859FC" w14:paraId="1F6B9A1E" w14:textId="77777777" w:rsidTr="000017CB">
        <w:trPr>
          <w:trHeight w:hRule="exact" w:val="249"/>
        </w:trPr>
        <w:tc>
          <w:tcPr>
            <w:tcW w:w="1400" w:type="dxa"/>
            <w:noWrap/>
            <w:hideMark/>
          </w:tcPr>
          <w:p w14:paraId="1E82864F"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2012</w:t>
            </w:r>
          </w:p>
        </w:tc>
        <w:tc>
          <w:tcPr>
            <w:tcW w:w="4720" w:type="dxa"/>
            <w:noWrap/>
            <w:hideMark/>
          </w:tcPr>
          <w:p w14:paraId="106759D2" w14:textId="77777777" w:rsidR="00736B7D" w:rsidRPr="007859FC" w:rsidRDefault="00736B7D" w:rsidP="00955252">
            <w:pPr>
              <w:ind w:firstLine="0"/>
              <w:rPr>
                <w:rFonts w:ascii="Times New Roman" w:hAnsi="Times New Roman"/>
                <w:sz w:val="20"/>
                <w:szCs w:val="24"/>
              </w:rPr>
            </w:pPr>
            <w:r w:rsidRPr="007859FC">
              <w:rPr>
                <w:rFonts w:ascii="Times New Roman" w:hAnsi="Times New Roman"/>
                <w:sz w:val="20"/>
                <w:szCs w:val="24"/>
              </w:rPr>
              <w:t xml:space="preserve">Baker </w:t>
            </w:r>
            <w:proofErr w:type="spellStart"/>
            <w:r w:rsidRPr="007859FC">
              <w:rPr>
                <w:rFonts w:ascii="Times New Roman" w:hAnsi="Times New Roman"/>
                <w:sz w:val="20"/>
                <w:szCs w:val="24"/>
              </w:rPr>
              <w:t>Tilly</w:t>
            </w:r>
            <w:proofErr w:type="spellEnd"/>
            <w:r w:rsidRPr="007859FC">
              <w:rPr>
                <w:rFonts w:ascii="Times New Roman" w:hAnsi="Times New Roman"/>
                <w:sz w:val="20"/>
                <w:szCs w:val="24"/>
              </w:rPr>
              <w:t xml:space="preserve"> Brasil Auditores Independentes S/S</w:t>
            </w:r>
          </w:p>
        </w:tc>
        <w:tc>
          <w:tcPr>
            <w:tcW w:w="3231" w:type="dxa"/>
            <w:noWrap/>
            <w:hideMark/>
          </w:tcPr>
          <w:p w14:paraId="67ED8DF3"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Parecer com Ressalva</w:t>
            </w:r>
          </w:p>
        </w:tc>
      </w:tr>
      <w:tr w:rsidR="00736B7D" w:rsidRPr="007859FC" w14:paraId="0E5219FF" w14:textId="77777777" w:rsidTr="000017CB">
        <w:trPr>
          <w:trHeight w:hRule="exact" w:val="249"/>
        </w:trPr>
        <w:tc>
          <w:tcPr>
            <w:tcW w:w="1400" w:type="dxa"/>
            <w:noWrap/>
            <w:hideMark/>
          </w:tcPr>
          <w:p w14:paraId="7E042785"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2013</w:t>
            </w:r>
          </w:p>
        </w:tc>
        <w:tc>
          <w:tcPr>
            <w:tcW w:w="4720" w:type="dxa"/>
            <w:noWrap/>
            <w:hideMark/>
          </w:tcPr>
          <w:p w14:paraId="006D031F" w14:textId="77777777" w:rsidR="00736B7D" w:rsidRPr="007859FC" w:rsidRDefault="00736B7D" w:rsidP="00955252">
            <w:pPr>
              <w:ind w:firstLine="0"/>
              <w:rPr>
                <w:rFonts w:ascii="Times New Roman" w:hAnsi="Times New Roman"/>
                <w:sz w:val="20"/>
                <w:szCs w:val="24"/>
              </w:rPr>
            </w:pPr>
            <w:r w:rsidRPr="007859FC">
              <w:rPr>
                <w:rFonts w:ascii="Times New Roman" w:hAnsi="Times New Roman"/>
                <w:sz w:val="20"/>
                <w:szCs w:val="24"/>
              </w:rPr>
              <w:t xml:space="preserve">Baker </w:t>
            </w:r>
            <w:proofErr w:type="spellStart"/>
            <w:r w:rsidRPr="007859FC">
              <w:rPr>
                <w:rFonts w:ascii="Times New Roman" w:hAnsi="Times New Roman"/>
                <w:sz w:val="20"/>
                <w:szCs w:val="24"/>
              </w:rPr>
              <w:t>Tilly</w:t>
            </w:r>
            <w:proofErr w:type="spellEnd"/>
            <w:r w:rsidRPr="007859FC">
              <w:rPr>
                <w:rFonts w:ascii="Times New Roman" w:hAnsi="Times New Roman"/>
                <w:sz w:val="20"/>
                <w:szCs w:val="24"/>
              </w:rPr>
              <w:t xml:space="preserve"> Brasil Auditores Independentes S/S</w:t>
            </w:r>
          </w:p>
        </w:tc>
        <w:tc>
          <w:tcPr>
            <w:tcW w:w="3231" w:type="dxa"/>
            <w:noWrap/>
            <w:hideMark/>
          </w:tcPr>
          <w:p w14:paraId="711D5BA7"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Parecer com Ressalva</w:t>
            </w:r>
          </w:p>
        </w:tc>
      </w:tr>
      <w:tr w:rsidR="00736B7D" w:rsidRPr="007859FC" w14:paraId="54012705" w14:textId="77777777" w:rsidTr="000017CB">
        <w:trPr>
          <w:trHeight w:hRule="exact" w:val="249"/>
        </w:trPr>
        <w:tc>
          <w:tcPr>
            <w:tcW w:w="1400" w:type="dxa"/>
            <w:noWrap/>
            <w:hideMark/>
          </w:tcPr>
          <w:p w14:paraId="7EBC021B"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2014</w:t>
            </w:r>
          </w:p>
        </w:tc>
        <w:tc>
          <w:tcPr>
            <w:tcW w:w="4720" w:type="dxa"/>
            <w:noWrap/>
            <w:hideMark/>
          </w:tcPr>
          <w:p w14:paraId="0DA9C80A" w14:textId="77777777" w:rsidR="00736B7D" w:rsidRPr="007859FC" w:rsidRDefault="00736B7D" w:rsidP="00955252">
            <w:pPr>
              <w:ind w:firstLine="0"/>
              <w:rPr>
                <w:rFonts w:ascii="Times New Roman" w:hAnsi="Times New Roman"/>
                <w:sz w:val="20"/>
                <w:szCs w:val="24"/>
              </w:rPr>
            </w:pPr>
            <w:r w:rsidRPr="007859FC">
              <w:rPr>
                <w:rFonts w:ascii="Times New Roman" w:hAnsi="Times New Roman"/>
                <w:sz w:val="20"/>
                <w:szCs w:val="24"/>
              </w:rPr>
              <w:t xml:space="preserve">Baker </w:t>
            </w:r>
            <w:proofErr w:type="spellStart"/>
            <w:r w:rsidRPr="007859FC">
              <w:rPr>
                <w:rFonts w:ascii="Times New Roman" w:hAnsi="Times New Roman"/>
                <w:sz w:val="20"/>
                <w:szCs w:val="24"/>
              </w:rPr>
              <w:t>Tilly</w:t>
            </w:r>
            <w:proofErr w:type="spellEnd"/>
            <w:r w:rsidRPr="007859FC">
              <w:rPr>
                <w:rFonts w:ascii="Times New Roman" w:hAnsi="Times New Roman"/>
                <w:sz w:val="20"/>
                <w:szCs w:val="24"/>
              </w:rPr>
              <w:t xml:space="preserve"> Brasil Auditores Independentes S/S</w:t>
            </w:r>
          </w:p>
        </w:tc>
        <w:tc>
          <w:tcPr>
            <w:tcW w:w="3231" w:type="dxa"/>
            <w:noWrap/>
            <w:hideMark/>
          </w:tcPr>
          <w:p w14:paraId="456BCF6B"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Abstenção de Opinião</w:t>
            </w:r>
          </w:p>
        </w:tc>
      </w:tr>
      <w:tr w:rsidR="00736B7D" w:rsidRPr="007859FC" w14:paraId="41D59886" w14:textId="77777777" w:rsidTr="000017CB">
        <w:trPr>
          <w:trHeight w:hRule="exact" w:val="249"/>
        </w:trPr>
        <w:tc>
          <w:tcPr>
            <w:tcW w:w="1400" w:type="dxa"/>
            <w:noWrap/>
            <w:hideMark/>
          </w:tcPr>
          <w:p w14:paraId="4B42BAEA"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2015</w:t>
            </w:r>
          </w:p>
        </w:tc>
        <w:tc>
          <w:tcPr>
            <w:tcW w:w="4720" w:type="dxa"/>
            <w:noWrap/>
            <w:hideMark/>
          </w:tcPr>
          <w:p w14:paraId="5A098384" w14:textId="77777777" w:rsidR="00736B7D" w:rsidRPr="007859FC" w:rsidRDefault="00736B7D" w:rsidP="00955252">
            <w:pPr>
              <w:ind w:firstLine="0"/>
              <w:rPr>
                <w:rFonts w:ascii="Times New Roman" w:hAnsi="Times New Roman"/>
                <w:sz w:val="20"/>
                <w:szCs w:val="24"/>
              </w:rPr>
            </w:pPr>
            <w:r w:rsidRPr="007859FC">
              <w:rPr>
                <w:rFonts w:ascii="Times New Roman" w:hAnsi="Times New Roman"/>
                <w:sz w:val="20"/>
                <w:szCs w:val="24"/>
              </w:rPr>
              <w:t xml:space="preserve">Baker </w:t>
            </w:r>
            <w:proofErr w:type="spellStart"/>
            <w:r w:rsidRPr="007859FC">
              <w:rPr>
                <w:rFonts w:ascii="Times New Roman" w:hAnsi="Times New Roman"/>
                <w:sz w:val="20"/>
                <w:szCs w:val="24"/>
              </w:rPr>
              <w:t>Tilly</w:t>
            </w:r>
            <w:proofErr w:type="spellEnd"/>
            <w:r w:rsidRPr="007859FC">
              <w:rPr>
                <w:rFonts w:ascii="Times New Roman" w:hAnsi="Times New Roman"/>
                <w:sz w:val="20"/>
                <w:szCs w:val="24"/>
              </w:rPr>
              <w:t xml:space="preserve"> Brasil Auditores Independentes S/S</w:t>
            </w:r>
          </w:p>
        </w:tc>
        <w:tc>
          <w:tcPr>
            <w:tcW w:w="3231" w:type="dxa"/>
            <w:noWrap/>
            <w:hideMark/>
          </w:tcPr>
          <w:p w14:paraId="3A0736FF"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Parecer com Ressalva</w:t>
            </w:r>
          </w:p>
        </w:tc>
      </w:tr>
      <w:tr w:rsidR="00736B7D" w:rsidRPr="007859FC" w14:paraId="3F24572F" w14:textId="77777777" w:rsidTr="000017CB">
        <w:trPr>
          <w:trHeight w:hRule="exact" w:val="249"/>
        </w:trPr>
        <w:tc>
          <w:tcPr>
            <w:tcW w:w="1400" w:type="dxa"/>
            <w:noWrap/>
            <w:hideMark/>
          </w:tcPr>
          <w:p w14:paraId="3A4915E3"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2016</w:t>
            </w:r>
          </w:p>
        </w:tc>
        <w:tc>
          <w:tcPr>
            <w:tcW w:w="4720" w:type="dxa"/>
            <w:noWrap/>
            <w:hideMark/>
          </w:tcPr>
          <w:p w14:paraId="20D96AB3" w14:textId="117A1079" w:rsidR="00736B7D" w:rsidRPr="007859FC" w:rsidRDefault="00955252" w:rsidP="00955252">
            <w:pPr>
              <w:ind w:firstLine="0"/>
              <w:rPr>
                <w:rFonts w:ascii="Times New Roman" w:hAnsi="Times New Roman"/>
                <w:sz w:val="20"/>
                <w:szCs w:val="24"/>
              </w:rPr>
            </w:pPr>
            <w:r>
              <w:rPr>
                <w:rFonts w:ascii="Times New Roman" w:hAnsi="Times New Roman"/>
                <w:sz w:val="20"/>
                <w:szCs w:val="24"/>
              </w:rPr>
              <w:t xml:space="preserve">BDO </w:t>
            </w:r>
            <w:r w:rsidR="008343F2">
              <w:rPr>
                <w:rFonts w:ascii="Times New Roman" w:hAnsi="Times New Roman"/>
                <w:sz w:val="20"/>
                <w:szCs w:val="24"/>
              </w:rPr>
              <w:t>Auditores Independentes</w:t>
            </w:r>
          </w:p>
        </w:tc>
        <w:tc>
          <w:tcPr>
            <w:tcW w:w="3231" w:type="dxa"/>
            <w:noWrap/>
            <w:hideMark/>
          </w:tcPr>
          <w:p w14:paraId="4FDF2892"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Parecer com Ressalva</w:t>
            </w:r>
          </w:p>
        </w:tc>
      </w:tr>
      <w:tr w:rsidR="00736B7D" w:rsidRPr="007859FC" w14:paraId="2CBB6C63" w14:textId="77777777" w:rsidTr="000017CB">
        <w:trPr>
          <w:trHeight w:hRule="exact" w:val="249"/>
        </w:trPr>
        <w:tc>
          <w:tcPr>
            <w:tcW w:w="1400" w:type="dxa"/>
            <w:noWrap/>
            <w:hideMark/>
          </w:tcPr>
          <w:p w14:paraId="7031805C"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2017</w:t>
            </w:r>
          </w:p>
        </w:tc>
        <w:tc>
          <w:tcPr>
            <w:tcW w:w="4720" w:type="dxa"/>
            <w:noWrap/>
            <w:hideMark/>
          </w:tcPr>
          <w:p w14:paraId="361644E8" w14:textId="77777777" w:rsidR="00736B7D" w:rsidRPr="007859FC" w:rsidRDefault="00736B7D" w:rsidP="00955252">
            <w:pPr>
              <w:ind w:firstLine="0"/>
              <w:rPr>
                <w:rFonts w:ascii="Times New Roman" w:hAnsi="Times New Roman"/>
                <w:sz w:val="20"/>
                <w:szCs w:val="24"/>
              </w:rPr>
            </w:pPr>
            <w:r w:rsidRPr="007859FC">
              <w:rPr>
                <w:rFonts w:ascii="Times New Roman" w:hAnsi="Times New Roman"/>
                <w:sz w:val="20"/>
                <w:szCs w:val="24"/>
              </w:rPr>
              <w:t>RSM Brasil Auditores Independentes SS</w:t>
            </w:r>
          </w:p>
        </w:tc>
        <w:tc>
          <w:tcPr>
            <w:tcW w:w="3231" w:type="dxa"/>
            <w:noWrap/>
            <w:hideMark/>
          </w:tcPr>
          <w:p w14:paraId="0F5E38F3"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Parecer com Ressalva</w:t>
            </w:r>
          </w:p>
        </w:tc>
      </w:tr>
      <w:tr w:rsidR="00736B7D" w:rsidRPr="007859FC" w14:paraId="05D6EF25" w14:textId="77777777" w:rsidTr="000017CB">
        <w:trPr>
          <w:trHeight w:hRule="exact" w:val="249"/>
        </w:trPr>
        <w:tc>
          <w:tcPr>
            <w:tcW w:w="1400" w:type="dxa"/>
            <w:noWrap/>
            <w:hideMark/>
          </w:tcPr>
          <w:p w14:paraId="2D39EEF4" w14:textId="77777777"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2018</w:t>
            </w:r>
          </w:p>
        </w:tc>
        <w:tc>
          <w:tcPr>
            <w:tcW w:w="4720" w:type="dxa"/>
            <w:noWrap/>
            <w:hideMark/>
          </w:tcPr>
          <w:p w14:paraId="2290CA14" w14:textId="77777777" w:rsidR="00736B7D" w:rsidRPr="007859FC" w:rsidRDefault="00736B7D" w:rsidP="00955252">
            <w:pPr>
              <w:ind w:firstLine="0"/>
              <w:rPr>
                <w:rFonts w:ascii="Times New Roman" w:hAnsi="Times New Roman"/>
                <w:sz w:val="20"/>
                <w:szCs w:val="24"/>
              </w:rPr>
            </w:pPr>
            <w:r w:rsidRPr="007859FC">
              <w:rPr>
                <w:rFonts w:ascii="Times New Roman" w:hAnsi="Times New Roman"/>
                <w:sz w:val="20"/>
                <w:szCs w:val="24"/>
              </w:rPr>
              <w:t>Não foi divulgado</w:t>
            </w:r>
          </w:p>
        </w:tc>
        <w:tc>
          <w:tcPr>
            <w:tcW w:w="3231" w:type="dxa"/>
            <w:noWrap/>
            <w:hideMark/>
          </w:tcPr>
          <w:p w14:paraId="27A52707" w14:textId="676EA87B" w:rsidR="00736B7D" w:rsidRPr="007859FC" w:rsidRDefault="00736B7D" w:rsidP="005F3106">
            <w:pPr>
              <w:ind w:firstLine="0"/>
              <w:rPr>
                <w:rFonts w:ascii="Times New Roman" w:hAnsi="Times New Roman"/>
                <w:sz w:val="20"/>
                <w:szCs w:val="24"/>
              </w:rPr>
            </w:pPr>
            <w:r w:rsidRPr="007859FC">
              <w:rPr>
                <w:rFonts w:ascii="Times New Roman" w:hAnsi="Times New Roman"/>
                <w:sz w:val="20"/>
                <w:szCs w:val="24"/>
              </w:rPr>
              <w:t>Não apresentado até 31/05/2019</w:t>
            </w:r>
          </w:p>
        </w:tc>
      </w:tr>
    </w:tbl>
    <w:p w14:paraId="21A10961" w14:textId="77777777" w:rsidR="00736B7D" w:rsidRPr="007859FC" w:rsidRDefault="00736B7D" w:rsidP="00D34FAE">
      <w:pPr>
        <w:spacing w:after="120"/>
        <w:ind w:firstLine="0"/>
        <w:rPr>
          <w:b/>
          <w:sz w:val="20"/>
        </w:rPr>
      </w:pPr>
      <w:r w:rsidRPr="007859FC">
        <w:rPr>
          <w:sz w:val="20"/>
        </w:rPr>
        <w:t>Fonte: Dados da pesquisa</w:t>
      </w:r>
      <w:r w:rsidRPr="007859FC">
        <w:rPr>
          <w:b/>
          <w:sz w:val="20"/>
        </w:rPr>
        <w:t>.</w:t>
      </w:r>
    </w:p>
    <w:p w14:paraId="63D25FBB" w14:textId="4F1F5686" w:rsidR="00736B7D" w:rsidRPr="007859FC" w:rsidRDefault="00736B7D" w:rsidP="00736B7D">
      <w:pPr>
        <w:rPr>
          <w:szCs w:val="24"/>
        </w:rPr>
      </w:pPr>
      <w:r w:rsidRPr="007859FC">
        <w:rPr>
          <w:szCs w:val="24"/>
        </w:rPr>
        <w:t>No ano de 2011 o parecer com ênfase destacou que a avaliação patrimonial era feita pelo método de equivalência patrimonial</w:t>
      </w:r>
      <w:r w:rsidR="005F3106">
        <w:rPr>
          <w:szCs w:val="24"/>
        </w:rPr>
        <w:t xml:space="preserve">, </w:t>
      </w:r>
      <w:r w:rsidRPr="007859FC">
        <w:rPr>
          <w:szCs w:val="24"/>
        </w:rPr>
        <w:t xml:space="preserve">enquanto segundo o IFRS o correto seria pelo custo ou valor justo. Em 2012 a auditoria identificou e destacou em ressalva sobre a incerteza no valor de ágio apurado em investimento na controlada Inepar Energia. </w:t>
      </w:r>
      <w:r>
        <w:rPr>
          <w:szCs w:val="24"/>
        </w:rPr>
        <w:t>No</w:t>
      </w:r>
      <w:r w:rsidRPr="007859FC">
        <w:rPr>
          <w:szCs w:val="24"/>
        </w:rPr>
        <w:t xml:space="preserve"> relatório de auditoria realizad</w:t>
      </w:r>
      <w:r>
        <w:rPr>
          <w:szCs w:val="24"/>
        </w:rPr>
        <w:t>o</w:t>
      </w:r>
      <w:r w:rsidRPr="007859FC">
        <w:rPr>
          <w:szCs w:val="24"/>
        </w:rPr>
        <w:t xml:space="preserve"> no período de 2013</w:t>
      </w:r>
      <w:r w:rsidR="005F3106">
        <w:rPr>
          <w:szCs w:val="24"/>
        </w:rPr>
        <w:t>, n</w:t>
      </w:r>
      <w:r w:rsidRPr="007859FC">
        <w:rPr>
          <w:szCs w:val="24"/>
        </w:rPr>
        <w:t xml:space="preserve">ão foi apresentada documentação que formalize a conclusão da negociação de dívida junto ao BNDES, conforme informado nas demonstrações contábeis. </w:t>
      </w:r>
    </w:p>
    <w:p w14:paraId="625758C3" w14:textId="21EDFC3B" w:rsidR="00736B7D" w:rsidRPr="007859FC" w:rsidRDefault="00736B7D" w:rsidP="00736B7D">
      <w:pPr>
        <w:rPr>
          <w:szCs w:val="24"/>
        </w:rPr>
      </w:pPr>
      <w:r w:rsidRPr="007859FC">
        <w:rPr>
          <w:szCs w:val="24"/>
        </w:rPr>
        <w:t>Em 2014 a auditor</w:t>
      </w:r>
      <w:r w:rsidR="005F3106">
        <w:rPr>
          <w:szCs w:val="24"/>
        </w:rPr>
        <w:t>i</w:t>
      </w:r>
      <w:r w:rsidRPr="007859FC">
        <w:rPr>
          <w:szCs w:val="24"/>
        </w:rPr>
        <w:t>a</w:t>
      </w:r>
      <w:r w:rsidRPr="007859FC">
        <w:rPr>
          <w:sz w:val="20"/>
          <w:szCs w:val="24"/>
        </w:rPr>
        <w:t xml:space="preserve"> </w:t>
      </w:r>
      <w:r w:rsidRPr="007859FC">
        <w:rPr>
          <w:szCs w:val="24"/>
        </w:rPr>
        <w:t xml:space="preserve">Baker </w:t>
      </w:r>
      <w:proofErr w:type="spellStart"/>
      <w:r w:rsidRPr="007859FC">
        <w:rPr>
          <w:szCs w:val="24"/>
        </w:rPr>
        <w:t>Tilly</w:t>
      </w:r>
      <w:proofErr w:type="spellEnd"/>
      <w:r w:rsidRPr="007859FC">
        <w:rPr>
          <w:szCs w:val="24"/>
        </w:rPr>
        <w:t xml:space="preserve"> Brasil</w:t>
      </w:r>
      <w:r w:rsidR="005F3106">
        <w:rPr>
          <w:szCs w:val="24"/>
        </w:rPr>
        <w:t xml:space="preserve">, </w:t>
      </w:r>
      <w:r w:rsidRPr="007859FC">
        <w:rPr>
          <w:szCs w:val="24"/>
        </w:rPr>
        <w:t xml:space="preserve">fez a abstenção do parecer da auditoria sobre as demonstrações da Inepar e outras </w:t>
      </w:r>
      <w:r>
        <w:rPr>
          <w:szCs w:val="24"/>
        </w:rPr>
        <w:t>empresas do Grupo. N</w:t>
      </w:r>
      <w:r w:rsidRPr="007859FC">
        <w:rPr>
          <w:szCs w:val="24"/>
        </w:rPr>
        <w:t>este período a empresa ajuizou pedido de recuperação judicial</w:t>
      </w:r>
      <w:r w:rsidR="005F3106">
        <w:rPr>
          <w:szCs w:val="24"/>
        </w:rPr>
        <w:t xml:space="preserve">. </w:t>
      </w:r>
      <w:r w:rsidRPr="007859FC">
        <w:rPr>
          <w:szCs w:val="24"/>
        </w:rPr>
        <w:t>Nos períodos de 2016 e 2017 a auditoria ressalvou suas opiniões</w:t>
      </w:r>
      <w:r w:rsidR="008343F2">
        <w:rPr>
          <w:szCs w:val="24"/>
        </w:rPr>
        <w:t>,</w:t>
      </w:r>
      <w:r w:rsidRPr="007859FC">
        <w:rPr>
          <w:szCs w:val="24"/>
        </w:rPr>
        <w:t xml:space="preserve"> informando que não foi possível fazer a confirmação da realização dos ativos imobilizado</w:t>
      </w:r>
      <w:r w:rsidR="008343F2">
        <w:rPr>
          <w:szCs w:val="24"/>
        </w:rPr>
        <w:t xml:space="preserve">, </w:t>
      </w:r>
      <w:r w:rsidRPr="007859FC">
        <w:rPr>
          <w:szCs w:val="24"/>
        </w:rPr>
        <w:t>intangível</w:t>
      </w:r>
      <w:r w:rsidR="008343F2">
        <w:rPr>
          <w:szCs w:val="24"/>
        </w:rPr>
        <w:t xml:space="preserve">, e </w:t>
      </w:r>
      <w:r w:rsidRPr="007859FC">
        <w:rPr>
          <w:szCs w:val="24"/>
        </w:rPr>
        <w:t>a ênfase sobre a incerteza significativa relacionada com a continuidade operacional da empresa.</w:t>
      </w:r>
    </w:p>
    <w:p w14:paraId="4BF5189D" w14:textId="3CDDD5A0" w:rsidR="00736B7D" w:rsidRPr="007859FC" w:rsidRDefault="00736B7D" w:rsidP="00736B7D">
      <w:pPr>
        <w:rPr>
          <w:szCs w:val="24"/>
        </w:rPr>
      </w:pPr>
      <w:r w:rsidRPr="007859FC">
        <w:rPr>
          <w:szCs w:val="24"/>
        </w:rPr>
        <w:t xml:space="preserve">As auditorias na JBS foram realizadas principalmente pela </w:t>
      </w:r>
      <w:r w:rsidR="00955252">
        <w:rPr>
          <w:szCs w:val="24"/>
        </w:rPr>
        <w:t>BDO Auditores Independentes</w:t>
      </w:r>
      <w:r w:rsidRPr="007859FC">
        <w:rPr>
          <w:szCs w:val="24"/>
        </w:rPr>
        <w:t xml:space="preserve">, </w:t>
      </w:r>
      <w:r>
        <w:rPr>
          <w:szCs w:val="24"/>
        </w:rPr>
        <w:t>sendo seus</w:t>
      </w:r>
      <w:r w:rsidRPr="007859FC">
        <w:rPr>
          <w:szCs w:val="24"/>
        </w:rPr>
        <w:t xml:space="preserve"> pareceres nos períodos analisados emitidos com ênfase, parecer com e sem ressalvas. </w:t>
      </w:r>
    </w:p>
    <w:p w14:paraId="14BE2ED5" w14:textId="49CB16E2" w:rsidR="00736B7D" w:rsidRPr="007859FC" w:rsidRDefault="00D91454" w:rsidP="005F3106">
      <w:pPr>
        <w:spacing w:before="120"/>
        <w:ind w:firstLine="0"/>
        <w:rPr>
          <w:b/>
          <w:bCs/>
          <w:color w:val="000000" w:themeColor="text1"/>
          <w:sz w:val="20"/>
          <w:shd w:val="clear" w:color="auto" w:fill="FFFFFF"/>
        </w:rPr>
      </w:pPr>
      <w:r>
        <w:rPr>
          <w:b/>
          <w:bCs/>
          <w:color w:val="000000" w:themeColor="text1"/>
          <w:sz w:val="20"/>
          <w:shd w:val="clear" w:color="auto" w:fill="FFFFFF"/>
        </w:rPr>
        <w:t>Tabela</w:t>
      </w:r>
      <w:r w:rsidR="00736B7D" w:rsidRPr="007859FC">
        <w:rPr>
          <w:b/>
          <w:bCs/>
          <w:color w:val="000000" w:themeColor="text1"/>
          <w:sz w:val="20"/>
          <w:shd w:val="clear" w:color="auto" w:fill="FFFFFF"/>
        </w:rPr>
        <w:t xml:space="preserve"> 9: Análise dos relatórios de auditoria da empresa JBS</w:t>
      </w:r>
    </w:p>
    <w:tbl>
      <w:tblPr>
        <w:tblStyle w:val="Tabelacomgrade"/>
        <w:tblW w:w="9351" w:type="dxa"/>
        <w:tblLook w:val="04A0" w:firstRow="1" w:lastRow="0" w:firstColumn="1" w:lastColumn="0" w:noHBand="0" w:noVBand="1"/>
      </w:tblPr>
      <w:tblGrid>
        <w:gridCol w:w="1369"/>
        <w:gridCol w:w="3896"/>
        <w:gridCol w:w="4086"/>
      </w:tblGrid>
      <w:tr w:rsidR="00736B7D" w:rsidRPr="007859FC" w14:paraId="1D2AA6B7" w14:textId="77777777" w:rsidTr="000017CB">
        <w:trPr>
          <w:trHeight w:hRule="exact" w:val="249"/>
        </w:trPr>
        <w:tc>
          <w:tcPr>
            <w:tcW w:w="9351" w:type="dxa"/>
            <w:gridSpan w:val="3"/>
            <w:noWrap/>
            <w:hideMark/>
          </w:tcPr>
          <w:p w14:paraId="5F175527" w14:textId="77777777" w:rsidR="00736B7D" w:rsidRPr="007859FC" w:rsidRDefault="00736B7D" w:rsidP="00E92C38">
            <w:pPr>
              <w:jc w:val="center"/>
              <w:rPr>
                <w:rFonts w:ascii="Times New Roman" w:hAnsi="Times New Roman"/>
                <w:b/>
                <w:sz w:val="20"/>
                <w:szCs w:val="24"/>
              </w:rPr>
            </w:pPr>
            <w:r w:rsidRPr="007859FC">
              <w:rPr>
                <w:rFonts w:ascii="Times New Roman" w:hAnsi="Times New Roman"/>
                <w:b/>
                <w:sz w:val="20"/>
                <w:szCs w:val="24"/>
              </w:rPr>
              <w:t>JBS</w:t>
            </w:r>
          </w:p>
        </w:tc>
      </w:tr>
      <w:tr w:rsidR="00736B7D" w:rsidRPr="007859FC" w14:paraId="71B96360" w14:textId="77777777" w:rsidTr="000017CB">
        <w:trPr>
          <w:trHeight w:hRule="exact" w:val="249"/>
        </w:trPr>
        <w:tc>
          <w:tcPr>
            <w:tcW w:w="1369" w:type="dxa"/>
            <w:noWrap/>
            <w:hideMark/>
          </w:tcPr>
          <w:p w14:paraId="084A8364" w14:textId="0F324D35" w:rsidR="00736B7D" w:rsidRPr="007859FC" w:rsidRDefault="00736B7D" w:rsidP="00D34FAE">
            <w:pPr>
              <w:ind w:firstLine="0"/>
              <w:rPr>
                <w:rFonts w:ascii="Times New Roman" w:hAnsi="Times New Roman"/>
                <w:b/>
                <w:bCs/>
                <w:sz w:val="20"/>
                <w:szCs w:val="24"/>
              </w:rPr>
            </w:pPr>
            <w:r w:rsidRPr="007859FC">
              <w:rPr>
                <w:rFonts w:ascii="Times New Roman" w:hAnsi="Times New Roman"/>
                <w:b/>
                <w:bCs/>
                <w:sz w:val="20"/>
                <w:szCs w:val="24"/>
              </w:rPr>
              <w:t>Ano</w:t>
            </w:r>
          </w:p>
        </w:tc>
        <w:tc>
          <w:tcPr>
            <w:tcW w:w="3896" w:type="dxa"/>
            <w:noWrap/>
            <w:hideMark/>
          </w:tcPr>
          <w:p w14:paraId="2D9F3CB1"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Auditores</w:t>
            </w:r>
          </w:p>
        </w:tc>
        <w:tc>
          <w:tcPr>
            <w:tcW w:w="4086" w:type="dxa"/>
            <w:noWrap/>
            <w:hideMark/>
          </w:tcPr>
          <w:p w14:paraId="50E80FF7"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Parecer</w:t>
            </w:r>
          </w:p>
        </w:tc>
      </w:tr>
      <w:tr w:rsidR="00736B7D" w:rsidRPr="007859FC" w14:paraId="01464747" w14:textId="77777777" w:rsidTr="000017CB">
        <w:trPr>
          <w:trHeight w:hRule="exact" w:val="249"/>
        </w:trPr>
        <w:tc>
          <w:tcPr>
            <w:tcW w:w="1369" w:type="dxa"/>
            <w:noWrap/>
            <w:hideMark/>
          </w:tcPr>
          <w:p w14:paraId="7026423F"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2010</w:t>
            </w:r>
          </w:p>
        </w:tc>
        <w:tc>
          <w:tcPr>
            <w:tcW w:w="3896" w:type="dxa"/>
            <w:noWrap/>
            <w:hideMark/>
          </w:tcPr>
          <w:p w14:paraId="06C86C24" w14:textId="36FD1CE1" w:rsidR="00736B7D" w:rsidRPr="007859FC" w:rsidRDefault="00955252" w:rsidP="00D34FAE">
            <w:pPr>
              <w:ind w:firstLine="0"/>
              <w:rPr>
                <w:rFonts w:ascii="Times New Roman" w:hAnsi="Times New Roman"/>
                <w:sz w:val="20"/>
                <w:szCs w:val="24"/>
              </w:rPr>
            </w:pPr>
            <w:r>
              <w:rPr>
                <w:rFonts w:ascii="Times New Roman" w:hAnsi="Times New Roman"/>
                <w:sz w:val="20"/>
                <w:szCs w:val="24"/>
              </w:rPr>
              <w:t xml:space="preserve">BDO </w:t>
            </w:r>
            <w:r w:rsidR="002F79A6">
              <w:rPr>
                <w:rFonts w:ascii="Times New Roman" w:hAnsi="Times New Roman"/>
                <w:sz w:val="20"/>
                <w:szCs w:val="24"/>
              </w:rPr>
              <w:t>Auditores Independentes</w:t>
            </w:r>
          </w:p>
        </w:tc>
        <w:tc>
          <w:tcPr>
            <w:tcW w:w="4086" w:type="dxa"/>
            <w:noWrap/>
            <w:hideMark/>
          </w:tcPr>
          <w:p w14:paraId="51E9614A"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com Ressalva</w:t>
            </w:r>
          </w:p>
        </w:tc>
      </w:tr>
      <w:tr w:rsidR="00736B7D" w:rsidRPr="007859FC" w14:paraId="289D1A98" w14:textId="77777777" w:rsidTr="000017CB">
        <w:trPr>
          <w:trHeight w:hRule="exact" w:val="249"/>
        </w:trPr>
        <w:tc>
          <w:tcPr>
            <w:tcW w:w="1369" w:type="dxa"/>
            <w:noWrap/>
            <w:hideMark/>
          </w:tcPr>
          <w:p w14:paraId="002917C8"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2011</w:t>
            </w:r>
          </w:p>
        </w:tc>
        <w:tc>
          <w:tcPr>
            <w:tcW w:w="3896" w:type="dxa"/>
            <w:noWrap/>
            <w:hideMark/>
          </w:tcPr>
          <w:p w14:paraId="438214D8" w14:textId="77777777" w:rsidR="00736B7D" w:rsidRPr="007859FC" w:rsidRDefault="00736B7D" w:rsidP="00955252">
            <w:pPr>
              <w:ind w:firstLine="0"/>
              <w:rPr>
                <w:rFonts w:ascii="Times New Roman" w:hAnsi="Times New Roman"/>
                <w:sz w:val="20"/>
                <w:szCs w:val="24"/>
              </w:rPr>
            </w:pPr>
            <w:r w:rsidRPr="007859FC">
              <w:rPr>
                <w:rFonts w:ascii="Times New Roman" w:hAnsi="Times New Roman"/>
                <w:sz w:val="20"/>
                <w:szCs w:val="24"/>
              </w:rPr>
              <w:t>KPMG</w:t>
            </w:r>
          </w:p>
        </w:tc>
        <w:tc>
          <w:tcPr>
            <w:tcW w:w="4086" w:type="dxa"/>
            <w:noWrap/>
            <w:hideMark/>
          </w:tcPr>
          <w:p w14:paraId="706688DB"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2ABC429A" w14:textId="77777777" w:rsidTr="000017CB">
        <w:trPr>
          <w:trHeight w:hRule="exact" w:val="249"/>
        </w:trPr>
        <w:tc>
          <w:tcPr>
            <w:tcW w:w="1369" w:type="dxa"/>
            <w:noWrap/>
            <w:hideMark/>
          </w:tcPr>
          <w:p w14:paraId="2E11F563"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2012</w:t>
            </w:r>
          </w:p>
        </w:tc>
        <w:tc>
          <w:tcPr>
            <w:tcW w:w="3896" w:type="dxa"/>
            <w:noWrap/>
            <w:hideMark/>
          </w:tcPr>
          <w:p w14:paraId="01FFAB57" w14:textId="77777777" w:rsidR="00736B7D" w:rsidRPr="007859FC" w:rsidRDefault="00736B7D" w:rsidP="00955252">
            <w:pPr>
              <w:ind w:firstLine="0"/>
              <w:rPr>
                <w:rFonts w:ascii="Times New Roman" w:hAnsi="Times New Roman"/>
                <w:sz w:val="20"/>
                <w:szCs w:val="24"/>
              </w:rPr>
            </w:pPr>
            <w:r w:rsidRPr="007859FC">
              <w:rPr>
                <w:rFonts w:ascii="Times New Roman" w:hAnsi="Times New Roman"/>
                <w:sz w:val="20"/>
                <w:szCs w:val="24"/>
              </w:rPr>
              <w:t>KPMG</w:t>
            </w:r>
          </w:p>
        </w:tc>
        <w:tc>
          <w:tcPr>
            <w:tcW w:w="4086" w:type="dxa"/>
            <w:noWrap/>
            <w:hideMark/>
          </w:tcPr>
          <w:p w14:paraId="485CC9F3"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7C120F55" w14:textId="77777777" w:rsidTr="000017CB">
        <w:trPr>
          <w:trHeight w:hRule="exact" w:val="249"/>
        </w:trPr>
        <w:tc>
          <w:tcPr>
            <w:tcW w:w="1369" w:type="dxa"/>
            <w:noWrap/>
            <w:hideMark/>
          </w:tcPr>
          <w:p w14:paraId="1353D7D4"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2013</w:t>
            </w:r>
          </w:p>
        </w:tc>
        <w:tc>
          <w:tcPr>
            <w:tcW w:w="3896" w:type="dxa"/>
            <w:noWrap/>
            <w:hideMark/>
          </w:tcPr>
          <w:p w14:paraId="128B973E" w14:textId="50CBD707" w:rsidR="00736B7D" w:rsidRPr="007859FC" w:rsidRDefault="00955252" w:rsidP="00D34FAE">
            <w:pPr>
              <w:ind w:firstLine="0"/>
              <w:rPr>
                <w:rFonts w:ascii="Times New Roman" w:hAnsi="Times New Roman"/>
                <w:sz w:val="20"/>
                <w:szCs w:val="24"/>
              </w:rPr>
            </w:pPr>
            <w:r>
              <w:rPr>
                <w:rFonts w:ascii="Times New Roman" w:hAnsi="Times New Roman"/>
                <w:sz w:val="20"/>
                <w:szCs w:val="24"/>
              </w:rPr>
              <w:t xml:space="preserve">BDO </w:t>
            </w:r>
            <w:r w:rsidR="008343F2">
              <w:rPr>
                <w:rFonts w:ascii="Times New Roman" w:hAnsi="Times New Roman"/>
                <w:sz w:val="20"/>
                <w:szCs w:val="24"/>
              </w:rPr>
              <w:t>Auditores Independentes</w:t>
            </w:r>
          </w:p>
        </w:tc>
        <w:tc>
          <w:tcPr>
            <w:tcW w:w="4086" w:type="dxa"/>
            <w:noWrap/>
            <w:hideMark/>
          </w:tcPr>
          <w:p w14:paraId="1035D3FB"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525B2B0E" w14:textId="77777777" w:rsidTr="000017CB">
        <w:trPr>
          <w:trHeight w:hRule="exact" w:val="249"/>
        </w:trPr>
        <w:tc>
          <w:tcPr>
            <w:tcW w:w="1369" w:type="dxa"/>
            <w:noWrap/>
            <w:hideMark/>
          </w:tcPr>
          <w:p w14:paraId="5BE33733"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2014</w:t>
            </w:r>
          </w:p>
        </w:tc>
        <w:tc>
          <w:tcPr>
            <w:tcW w:w="3896" w:type="dxa"/>
            <w:noWrap/>
            <w:hideMark/>
          </w:tcPr>
          <w:p w14:paraId="36C97B2A" w14:textId="4F93AF9F" w:rsidR="00736B7D" w:rsidRPr="007859FC" w:rsidRDefault="00955252" w:rsidP="00D34FAE">
            <w:pPr>
              <w:ind w:firstLine="0"/>
              <w:rPr>
                <w:rFonts w:ascii="Times New Roman" w:hAnsi="Times New Roman"/>
                <w:sz w:val="20"/>
                <w:szCs w:val="24"/>
              </w:rPr>
            </w:pPr>
            <w:r>
              <w:rPr>
                <w:rFonts w:ascii="Times New Roman" w:hAnsi="Times New Roman"/>
                <w:sz w:val="20"/>
                <w:szCs w:val="24"/>
              </w:rPr>
              <w:t xml:space="preserve">BDO </w:t>
            </w:r>
            <w:r w:rsidR="002F79A6">
              <w:rPr>
                <w:rFonts w:ascii="Times New Roman" w:hAnsi="Times New Roman"/>
                <w:sz w:val="20"/>
                <w:szCs w:val="24"/>
              </w:rPr>
              <w:t>Auditores Independentes</w:t>
            </w:r>
          </w:p>
        </w:tc>
        <w:tc>
          <w:tcPr>
            <w:tcW w:w="4086" w:type="dxa"/>
            <w:noWrap/>
            <w:hideMark/>
          </w:tcPr>
          <w:p w14:paraId="6A86D9B7"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37E44622" w14:textId="77777777" w:rsidTr="000017CB">
        <w:trPr>
          <w:trHeight w:hRule="exact" w:val="249"/>
        </w:trPr>
        <w:tc>
          <w:tcPr>
            <w:tcW w:w="1369" w:type="dxa"/>
            <w:noWrap/>
            <w:hideMark/>
          </w:tcPr>
          <w:p w14:paraId="0E8F8F4E"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2015</w:t>
            </w:r>
          </w:p>
        </w:tc>
        <w:tc>
          <w:tcPr>
            <w:tcW w:w="3896" w:type="dxa"/>
            <w:noWrap/>
            <w:hideMark/>
          </w:tcPr>
          <w:p w14:paraId="3479674C" w14:textId="0062A20F" w:rsidR="00736B7D" w:rsidRPr="007859FC" w:rsidRDefault="00955252" w:rsidP="00D34FAE">
            <w:pPr>
              <w:ind w:firstLine="0"/>
              <w:rPr>
                <w:rFonts w:ascii="Times New Roman" w:hAnsi="Times New Roman"/>
                <w:sz w:val="20"/>
                <w:szCs w:val="24"/>
              </w:rPr>
            </w:pPr>
            <w:r>
              <w:rPr>
                <w:rFonts w:ascii="Times New Roman" w:hAnsi="Times New Roman"/>
                <w:sz w:val="20"/>
                <w:szCs w:val="24"/>
              </w:rPr>
              <w:t xml:space="preserve">BDO </w:t>
            </w:r>
            <w:r w:rsidR="002F79A6">
              <w:rPr>
                <w:rFonts w:ascii="Times New Roman" w:hAnsi="Times New Roman"/>
                <w:sz w:val="20"/>
                <w:szCs w:val="24"/>
              </w:rPr>
              <w:t>Auditores Independentes</w:t>
            </w:r>
          </w:p>
        </w:tc>
        <w:tc>
          <w:tcPr>
            <w:tcW w:w="4086" w:type="dxa"/>
            <w:noWrap/>
            <w:hideMark/>
          </w:tcPr>
          <w:p w14:paraId="307C9EC9"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021AA48B" w14:textId="77777777" w:rsidTr="000017CB">
        <w:trPr>
          <w:trHeight w:hRule="exact" w:val="249"/>
        </w:trPr>
        <w:tc>
          <w:tcPr>
            <w:tcW w:w="1369" w:type="dxa"/>
            <w:noWrap/>
            <w:hideMark/>
          </w:tcPr>
          <w:p w14:paraId="4B635A45"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2016</w:t>
            </w:r>
          </w:p>
        </w:tc>
        <w:tc>
          <w:tcPr>
            <w:tcW w:w="3896" w:type="dxa"/>
            <w:noWrap/>
            <w:hideMark/>
          </w:tcPr>
          <w:p w14:paraId="3D8AF3B1" w14:textId="216AD63E" w:rsidR="00736B7D" w:rsidRPr="007859FC" w:rsidRDefault="00955252" w:rsidP="00D34FAE">
            <w:pPr>
              <w:ind w:firstLine="0"/>
              <w:rPr>
                <w:rFonts w:ascii="Times New Roman" w:hAnsi="Times New Roman"/>
                <w:sz w:val="20"/>
                <w:szCs w:val="24"/>
              </w:rPr>
            </w:pPr>
            <w:r>
              <w:rPr>
                <w:rFonts w:ascii="Times New Roman" w:hAnsi="Times New Roman"/>
                <w:sz w:val="20"/>
                <w:szCs w:val="24"/>
              </w:rPr>
              <w:t xml:space="preserve">BDO </w:t>
            </w:r>
            <w:r w:rsidR="002F79A6">
              <w:rPr>
                <w:rFonts w:ascii="Times New Roman" w:hAnsi="Times New Roman"/>
                <w:sz w:val="20"/>
                <w:szCs w:val="24"/>
              </w:rPr>
              <w:t>Auditores Independentes</w:t>
            </w:r>
          </w:p>
        </w:tc>
        <w:tc>
          <w:tcPr>
            <w:tcW w:w="4086" w:type="dxa"/>
            <w:noWrap/>
            <w:hideMark/>
          </w:tcPr>
          <w:p w14:paraId="16B392FD"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7EE24BCB" w14:textId="77777777" w:rsidTr="000017CB">
        <w:trPr>
          <w:trHeight w:hRule="exact" w:val="249"/>
        </w:trPr>
        <w:tc>
          <w:tcPr>
            <w:tcW w:w="1369" w:type="dxa"/>
            <w:noWrap/>
            <w:hideMark/>
          </w:tcPr>
          <w:p w14:paraId="5327178D"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2017</w:t>
            </w:r>
          </w:p>
        </w:tc>
        <w:tc>
          <w:tcPr>
            <w:tcW w:w="3896" w:type="dxa"/>
            <w:noWrap/>
            <w:hideMark/>
          </w:tcPr>
          <w:p w14:paraId="1DBF58C4" w14:textId="0063F239" w:rsidR="00736B7D" w:rsidRPr="007859FC" w:rsidRDefault="00955252" w:rsidP="00D34FAE">
            <w:pPr>
              <w:ind w:firstLine="0"/>
              <w:rPr>
                <w:rFonts w:ascii="Times New Roman" w:hAnsi="Times New Roman"/>
                <w:sz w:val="20"/>
                <w:szCs w:val="24"/>
              </w:rPr>
            </w:pPr>
            <w:r>
              <w:rPr>
                <w:rFonts w:ascii="Times New Roman" w:hAnsi="Times New Roman"/>
                <w:sz w:val="20"/>
                <w:szCs w:val="24"/>
              </w:rPr>
              <w:t xml:space="preserve">BDO </w:t>
            </w:r>
            <w:r w:rsidR="002F79A6">
              <w:rPr>
                <w:rFonts w:ascii="Times New Roman" w:hAnsi="Times New Roman"/>
                <w:sz w:val="20"/>
                <w:szCs w:val="24"/>
              </w:rPr>
              <w:t>Auditores Independentes</w:t>
            </w:r>
          </w:p>
        </w:tc>
        <w:tc>
          <w:tcPr>
            <w:tcW w:w="4086" w:type="dxa"/>
            <w:noWrap/>
            <w:hideMark/>
          </w:tcPr>
          <w:p w14:paraId="50BD07D5"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com Ressalva</w:t>
            </w:r>
          </w:p>
        </w:tc>
      </w:tr>
      <w:tr w:rsidR="00736B7D" w:rsidRPr="007859FC" w14:paraId="0F931B8A" w14:textId="77777777" w:rsidTr="000017CB">
        <w:trPr>
          <w:trHeight w:hRule="exact" w:val="249"/>
        </w:trPr>
        <w:tc>
          <w:tcPr>
            <w:tcW w:w="1369" w:type="dxa"/>
            <w:noWrap/>
            <w:hideMark/>
          </w:tcPr>
          <w:p w14:paraId="4A82ADA5"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2018</w:t>
            </w:r>
          </w:p>
        </w:tc>
        <w:tc>
          <w:tcPr>
            <w:tcW w:w="3896" w:type="dxa"/>
            <w:noWrap/>
            <w:hideMark/>
          </w:tcPr>
          <w:p w14:paraId="124C795F"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Grant Thornton Auditores Independentes</w:t>
            </w:r>
          </w:p>
        </w:tc>
        <w:tc>
          <w:tcPr>
            <w:tcW w:w="4086" w:type="dxa"/>
            <w:noWrap/>
            <w:hideMark/>
          </w:tcPr>
          <w:p w14:paraId="1AD8F09B"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bl>
    <w:p w14:paraId="19943D93" w14:textId="77777777" w:rsidR="00736B7D" w:rsidRPr="007859FC" w:rsidRDefault="00736B7D" w:rsidP="00D34FAE">
      <w:pPr>
        <w:spacing w:after="120"/>
        <w:ind w:firstLine="0"/>
        <w:rPr>
          <w:b/>
          <w:sz w:val="20"/>
        </w:rPr>
      </w:pPr>
      <w:r w:rsidRPr="007859FC">
        <w:rPr>
          <w:sz w:val="20"/>
        </w:rPr>
        <w:t>Fonte: Dados da pesquisa</w:t>
      </w:r>
      <w:r w:rsidRPr="007859FC">
        <w:rPr>
          <w:b/>
          <w:sz w:val="20"/>
        </w:rPr>
        <w:t>.</w:t>
      </w:r>
    </w:p>
    <w:p w14:paraId="7262BC3D" w14:textId="04C234AE" w:rsidR="00736B7D" w:rsidRPr="007859FC" w:rsidRDefault="00736B7D" w:rsidP="00736B7D">
      <w:r w:rsidRPr="007859FC">
        <w:t xml:space="preserve">Sobre o envolvimento da empresa nos escândalos de corrupção a auditoria apresenta o seu </w:t>
      </w:r>
      <w:r w:rsidRPr="007859FC">
        <w:lastRenderedPageBreak/>
        <w:t>parecer com ressalva em 2017</w:t>
      </w:r>
      <w:r>
        <w:t>,</w:t>
      </w:r>
      <w:r w:rsidRPr="007859FC">
        <w:t xml:space="preserve"> informando que a JBS assinou acordos de colaboração premiada, acordo de leniência com o MPF e está realizando investigações independentes sobre operações de investigações: </w:t>
      </w:r>
      <w:proofErr w:type="spellStart"/>
      <w:r w:rsidRPr="00832CC3">
        <w:rPr>
          <w:i/>
        </w:rPr>
        <w:t>Cui</w:t>
      </w:r>
      <w:proofErr w:type="spellEnd"/>
      <w:r w:rsidRPr="00832CC3">
        <w:rPr>
          <w:i/>
        </w:rPr>
        <w:t xml:space="preserve"> Bono</w:t>
      </w:r>
      <w:r w:rsidRPr="007859FC">
        <w:t xml:space="preserve">, Carne Fraca, </w:t>
      </w:r>
      <w:proofErr w:type="spellStart"/>
      <w:r w:rsidRPr="00832CC3">
        <w:rPr>
          <w:i/>
        </w:rPr>
        <w:t>Sepsis</w:t>
      </w:r>
      <w:proofErr w:type="spellEnd"/>
      <w:r w:rsidRPr="007859FC">
        <w:t xml:space="preserve"> e </w:t>
      </w:r>
      <w:proofErr w:type="spellStart"/>
      <w:r w:rsidRPr="00832CC3">
        <w:rPr>
          <w:i/>
        </w:rPr>
        <w:t>Greenfield</w:t>
      </w:r>
      <w:proofErr w:type="spellEnd"/>
      <w:r w:rsidRPr="007859FC">
        <w:t xml:space="preserve">. A empresa </w:t>
      </w:r>
      <w:r w:rsidR="00D34FAE">
        <w:t>possui</w:t>
      </w:r>
      <w:r w:rsidRPr="007859FC">
        <w:t xml:space="preserve"> processos no âmbito da </w:t>
      </w:r>
      <w:r>
        <w:t>CVM</w:t>
      </w:r>
      <w:r w:rsidRPr="007859FC">
        <w:t>, sendo eles: criminal, administrativo e judicial.</w:t>
      </w:r>
      <w:r w:rsidR="004D3095">
        <w:t xml:space="preserve"> </w:t>
      </w:r>
      <w:r w:rsidRPr="007859FC">
        <w:t>Em 2018</w:t>
      </w:r>
      <w:r w:rsidR="004D3095">
        <w:t xml:space="preserve">, </w:t>
      </w:r>
      <w:r w:rsidRPr="007859FC">
        <w:t>a auditoria emite um parecer sem ressalva, mas destaca em outros assuntos que a empresa mant</w:t>
      </w:r>
      <w:r w:rsidR="00D34FAE">
        <w:t>é</w:t>
      </w:r>
      <w:r w:rsidRPr="007859FC">
        <w:t>m os acordos de colaboração premiada, leniência e investigações em andamento: operações “</w:t>
      </w:r>
      <w:proofErr w:type="spellStart"/>
      <w:r w:rsidRPr="00545041">
        <w:rPr>
          <w:i/>
        </w:rPr>
        <w:t>Cui</w:t>
      </w:r>
      <w:proofErr w:type="spellEnd"/>
      <w:r w:rsidRPr="00545041">
        <w:rPr>
          <w:i/>
        </w:rPr>
        <w:t xml:space="preserve"> Bono</w:t>
      </w:r>
      <w:r w:rsidRPr="007859FC">
        <w:t>”, “Carne Fraca”, “</w:t>
      </w:r>
      <w:proofErr w:type="spellStart"/>
      <w:r w:rsidRPr="00545041">
        <w:rPr>
          <w:i/>
        </w:rPr>
        <w:t>Sepsis</w:t>
      </w:r>
      <w:proofErr w:type="spellEnd"/>
      <w:r w:rsidRPr="007859FC">
        <w:t>”, “</w:t>
      </w:r>
      <w:proofErr w:type="spellStart"/>
      <w:r w:rsidRPr="00545041">
        <w:rPr>
          <w:i/>
        </w:rPr>
        <w:t>Greenfield</w:t>
      </w:r>
      <w:proofErr w:type="spellEnd"/>
      <w:r w:rsidRPr="007859FC">
        <w:t>, “</w:t>
      </w:r>
      <w:proofErr w:type="spellStart"/>
      <w:r w:rsidRPr="00545041">
        <w:rPr>
          <w:i/>
        </w:rPr>
        <w:t>Bullish</w:t>
      </w:r>
      <w:proofErr w:type="spellEnd"/>
      <w:r w:rsidRPr="007859FC">
        <w:t>”, “Tendão de Aquiles”, “Lama Asfáltica” e “Porteira Aberta” que podem resultar em eventuais impactos nas demonstrações contábeis</w:t>
      </w:r>
      <w:r w:rsidR="004D3095">
        <w:t>.</w:t>
      </w:r>
    </w:p>
    <w:p w14:paraId="50DC6233" w14:textId="334BFA11" w:rsidR="00736B7D" w:rsidRPr="007859FC" w:rsidRDefault="00736B7D" w:rsidP="00736B7D">
      <w:r w:rsidRPr="007859FC">
        <w:t xml:space="preserve">As demonstrações contábeis da empresa Mendes Junior foram realizadas principalmente pela empresa </w:t>
      </w:r>
      <w:r w:rsidR="00955252">
        <w:t>BDO Auditores Independentes</w:t>
      </w:r>
      <w:r w:rsidRPr="007859FC">
        <w:t xml:space="preserve">, as opiniões dos auditores sobre as demonstrações apresentam ênfase e </w:t>
      </w:r>
      <w:r>
        <w:t xml:space="preserve">no período de 2016 </w:t>
      </w:r>
      <w:proofErr w:type="gramStart"/>
      <w:r>
        <w:t>à</w:t>
      </w:r>
      <w:proofErr w:type="gramEnd"/>
      <w:r>
        <w:t xml:space="preserve"> 2018</w:t>
      </w:r>
      <w:r w:rsidR="004D3095">
        <w:t>.</w:t>
      </w:r>
    </w:p>
    <w:p w14:paraId="31B02A0D" w14:textId="361F380A" w:rsidR="00736B7D" w:rsidRPr="007859FC" w:rsidRDefault="00D91454" w:rsidP="00D34FAE">
      <w:pPr>
        <w:spacing w:before="120"/>
        <w:ind w:firstLine="0"/>
        <w:rPr>
          <w:b/>
          <w:bCs/>
          <w:color w:val="000000" w:themeColor="text1"/>
          <w:sz w:val="20"/>
          <w:shd w:val="clear" w:color="auto" w:fill="FFFFFF"/>
        </w:rPr>
      </w:pPr>
      <w:r>
        <w:rPr>
          <w:b/>
          <w:bCs/>
          <w:color w:val="000000" w:themeColor="text1"/>
          <w:sz w:val="20"/>
          <w:shd w:val="clear" w:color="auto" w:fill="FFFFFF"/>
        </w:rPr>
        <w:t>Tabela</w:t>
      </w:r>
      <w:r w:rsidR="00736B7D" w:rsidRPr="007859FC">
        <w:rPr>
          <w:b/>
          <w:bCs/>
          <w:color w:val="000000" w:themeColor="text1"/>
          <w:sz w:val="20"/>
          <w:shd w:val="clear" w:color="auto" w:fill="FFFFFF"/>
        </w:rPr>
        <w:t xml:space="preserve"> 10: Análise dos relatórios de auditoria da empresa Mendes Junior </w:t>
      </w:r>
    </w:p>
    <w:tbl>
      <w:tblPr>
        <w:tblStyle w:val="Tabelacomgrade"/>
        <w:tblW w:w="9351" w:type="dxa"/>
        <w:tblLook w:val="04A0" w:firstRow="1" w:lastRow="0" w:firstColumn="1" w:lastColumn="0" w:noHBand="0" w:noVBand="1"/>
      </w:tblPr>
      <w:tblGrid>
        <w:gridCol w:w="1380"/>
        <w:gridCol w:w="4720"/>
        <w:gridCol w:w="3251"/>
      </w:tblGrid>
      <w:tr w:rsidR="00736B7D" w:rsidRPr="007859FC" w14:paraId="0820B2E1" w14:textId="77777777" w:rsidTr="000017CB">
        <w:trPr>
          <w:trHeight w:hRule="exact" w:val="249"/>
        </w:trPr>
        <w:tc>
          <w:tcPr>
            <w:tcW w:w="9351" w:type="dxa"/>
            <w:gridSpan w:val="3"/>
            <w:noWrap/>
            <w:hideMark/>
          </w:tcPr>
          <w:p w14:paraId="4E4A014C" w14:textId="77777777" w:rsidR="00736B7D" w:rsidRPr="007859FC" w:rsidRDefault="00736B7D" w:rsidP="00E92C38">
            <w:pPr>
              <w:jc w:val="center"/>
              <w:rPr>
                <w:rFonts w:ascii="Times New Roman" w:hAnsi="Times New Roman"/>
                <w:b/>
                <w:sz w:val="20"/>
              </w:rPr>
            </w:pPr>
            <w:r w:rsidRPr="007859FC">
              <w:rPr>
                <w:rFonts w:ascii="Times New Roman" w:hAnsi="Times New Roman"/>
                <w:b/>
                <w:sz w:val="20"/>
              </w:rPr>
              <w:t>Mendes Junior</w:t>
            </w:r>
          </w:p>
        </w:tc>
      </w:tr>
      <w:tr w:rsidR="00736B7D" w:rsidRPr="007859FC" w14:paraId="21C8EDE1" w14:textId="77777777" w:rsidTr="000017CB">
        <w:trPr>
          <w:trHeight w:hRule="exact" w:val="249"/>
        </w:trPr>
        <w:tc>
          <w:tcPr>
            <w:tcW w:w="1380" w:type="dxa"/>
            <w:noWrap/>
            <w:hideMark/>
          </w:tcPr>
          <w:p w14:paraId="697B1549" w14:textId="77777777" w:rsidR="00736B7D" w:rsidRPr="007859FC" w:rsidRDefault="00736B7D" w:rsidP="00D34FAE">
            <w:pPr>
              <w:ind w:firstLine="0"/>
              <w:rPr>
                <w:rFonts w:ascii="Times New Roman" w:hAnsi="Times New Roman"/>
                <w:b/>
                <w:bCs/>
                <w:sz w:val="20"/>
              </w:rPr>
            </w:pPr>
            <w:r w:rsidRPr="007859FC">
              <w:rPr>
                <w:rFonts w:ascii="Times New Roman" w:hAnsi="Times New Roman"/>
                <w:b/>
                <w:bCs/>
                <w:sz w:val="20"/>
              </w:rPr>
              <w:t>Ano</w:t>
            </w:r>
          </w:p>
        </w:tc>
        <w:tc>
          <w:tcPr>
            <w:tcW w:w="4720" w:type="dxa"/>
            <w:noWrap/>
            <w:hideMark/>
          </w:tcPr>
          <w:p w14:paraId="31EC9086" w14:textId="77777777" w:rsidR="00736B7D" w:rsidRPr="007859FC" w:rsidRDefault="00736B7D" w:rsidP="00E92C38">
            <w:pPr>
              <w:rPr>
                <w:rFonts w:ascii="Times New Roman" w:hAnsi="Times New Roman"/>
                <w:b/>
                <w:bCs/>
                <w:sz w:val="20"/>
              </w:rPr>
            </w:pPr>
            <w:r w:rsidRPr="007859FC">
              <w:rPr>
                <w:rFonts w:ascii="Times New Roman" w:hAnsi="Times New Roman"/>
                <w:b/>
                <w:bCs/>
                <w:sz w:val="20"/>
              </w:rPr>
              <w:t>Auditores</w:t>
            </w:r>
          </w:p>
        </w:tc>
        <w:tc>
          <w:tcPr>
            <w:tcW w:w="3251" w:type="dxa"/>
            <w:noWrap/>
            <w:hideMark/>
          </w:tcPr>
          <w:p w14:paraId="5B7139F2" w14:textId="77777777" w:rsidR="00736B7D" w:rsidRPr="007859FC" w:rsidRDefault="00736B7D" w:rsidP="00E92C38">
            <w:pPr>
              <w:rPr>
                <w:rFonts w:ascii="Times New Roman" w:hAnsi="Times New Roman"/>
                <w:b/>
                <w:bCs/>
                <w:sz w:val="20"/>
              </w:rPr>
            </w:pPr>
            <w:r w:rsidRPr="007859FC">
              <w:rPr>
                <w:rFonts w:ascii="Times New Roman" w:hAnsi="Times New Roman"/>
                <w:b/>
                <w:bCs/>
                <w:sz w:val="20"/>
              </w:rPr>
              <w:t>Parecer</w:t>
            </w:r>
          </w:p>
        </w:tc>
      </w:tr>
      <w:tr w:rsidR="00736B7D" w:rsidRPr="007859FC" w14:paraId="322490D8" w14:textId="77777777" w:rsidTr="000017CB">
        <w:trPr>
          <w:trHeight w:hRule="exact" w:val="249"/>
        </w:trPr>
        <w:tc>
          <w:tcPr>
            <w:tcW w:w="1380" w:type="dxa"/>
            <w:noWrap/>
            <w:hideMark/>
          </w:tcPr>
          <w:p w14:paraId="345A98F8"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2010</w:t>
            </w:r>
          </w:p>
        </w:tc>
        <w:tc>
          <w:tcPr>
            <w:tcW w:w="4720" w:type="dxa"/>
            <w:noWrap/>
            <w:hideMark/>
          </w:tcPr>
          <w:p w14:paraId="12AB3FD5" w14:textId="3E872BBB" w:rsidR="00736B7D" w:rsidRPr="007859FC" w:rsidRDefault="00955252" w:rsidP="00E92C38">
            <w:pPr>
              <w:rPr>
                <w:rFonts w:ascii="Times New Roman" w:hAnsi="Times New Roman"/>
                <w:sz w:val="20"/>
              </w:rPr>
            </w:pPr>
            <w:r>
              <w:rPr>
                <w:rFonts w:ascii="Times New Roman" w:hAnsi="Times New Roman"/>
                <w:sz w:val="20"/>
              </w:rPr>
              <w:t xml:space="preserve">BDO </w:t>
            </w:r>
            <w:r w:rsidR="002F79A6">
              <w:rPr>
                <w:rFonts w:ascii="Times New Roman" w:hAnsi="Times New Roman"/>
                <w:sz w:val="20"/>
              </w:rPr>
              <w:t>Auditores Independentes</w:t>
            </w:r>
          </w:p>
        </w:tc>
        <w:tc>
          <w:tcPr>
            <w:tcW w:w="3251" w:type="dxa"/>
            <w:noWrap/>
            <w:hideMark/>
          </w:tcPr>
          <w:p w14:paraId="4EBC8AC5"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36A01AC5" w14:textId="77777777" w:rsidTr="000017CB">
        <w:trPr>
          <w:trHeight w:hRule="exact" w:val="249"/>
        </w:trPr>
        <w:tc>
          <w:tcPr>
            <w:tcW w:w="1380" w:type="dxa"/>
            <w:noWrap/>
            <w:hideMark/>
          </w:tcPr>
          <w:p w14:paraId="3FD569D0"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2011</w:t>
            </w:r>
          </w:p>
        </w:tc>
        <w:tc>
          <w:tcPr>
            <w:tcW w:w="4720" w:type="dxa"/>
            <w:noWrap/>
            <w:hideMark/>
          </w:tcPr>
          <w:p w14:paraId="79492501" w14:textId="77777777" w:rsidR="00736B7D" w:rsidRPr="007859FC" w:rsidRDefault="00736B7D" w:rsidP="00E92C38">
            <w:pPr>
              <w:rPr>
                <w:rFonts w:ascii="Times New Roman" w:hAnsi="Times New Roman"/>
                <w:sz w:val="20"/>
              </w:rPr>
            </w:pPr>
            <w:r w:rsidRPr="007859FC">
              <w:rPr>
                <w:rFonts w:ascii="Times New Roman" w:hAnsi="Times New Roman"/>
                <w:sz w:val="20"/>
              </w:rPr>
              <w:t>KPMG</w:t>
            </w:r>
          </w:p>
        </w:tc>
        <w:tc>
          <w:tcPr>
            <w:tcW w:w="3251" w:type="dxa"/>
            <w:noWrap/>
            <w:hideMark/>
          </w:tcPr>
          <w:p w14:paraId="061D8C68"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015A7FED" w14:textId="77777777" w:rsidTr="000017CB">
        <w:trPr>
          <w:trHeight w:hRule="exact" w:val="249"/>
        </w:trPr>
        <w:tc>
          <w:tcPr>
            <w:tcW w:w="1380" w:type="dxa"/>
            <w:noWrap/>
            <w:hideMark/>
          </w:tcPr>
          <w:p w14:paraId="372FB8C1"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2012</w:t>
            </w:r>
          </w:p>
        </w:tc>
        <w:tc>
          <w:tcPr>
            <w:tcW w:w="4720" w:type="dxa"/>
            <w:noWrap/>
            <w:hideMark/>
          </w:tcPr>
          <w:p w14:paraId="3CCF9F00" w14:textId="02EE00CB" w:rsidR="00736B7D" w:rsidRPr="007859FC" w:rsidRDefault="00955252" w:rsidP="00E92C38">
            <w:pPr>
              <w:rPr>
                <w:rFonts w:ascii="Times New Roman" w:hAnsi="Times New Roman"/>
                <w:sz w:val="20"/>
              </w:rPr>
            </w:pPr>
            <w:r>
              <w:rPr>
                <w:rFonts w:ascii="Times New Roman" w:hAnsi="Times New Roman"/>
                <w:sz w:val="20"/>
              </w:rPr>
              <w:t xml:space="preserve">BDO </w:t>
            </w:r>
            <w:r w:rsidR="002F79A6">
              <w:rPr>
                <w:rFonts w:ascii="Times New Roman" w:hAnsi="Times New Roman"/>
                <w:sz w:val="20"/>
              </w:rPr>
              <w:t>Auditores Independentes</w:t>
            </w:r>
          </w:p>
        </w:tc>
        <w:tc>
          <w:tcPr>
            <w:tcW w:w="3251" w:type="dxa"/>
            <w:noWrap/>
            <w:hideMark/>
          </w:tcPr>
          <w:p w14:paraId="0413A982"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090F735A" w14:textId="77777777" w:rsidTr="000017CB">
        <w:trPr>
          <w:trHeight w:hRule="exact" w:val="249"/>
        </w:trPr>
        <w:tc>
          <w:tcPr>
            <w:tcW w:w="1380" w:type="dxa"/>
            <w:noWrap/>
            <w:hideMark/>
          </w:tcPr>
          <w:p w14:paraId="07EA5435"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2013</w:t>
            </w:r>
          </w:p>
        </w:tc>
        <w:tc>
          <w:tcPr>
            <w:tcW w:w="4720" w:type="dxa"/>
            <w:noWrap/>
            <w:hideMark/>
          </w:tcPr>
          <w:p w14:paraId="43AD3611" w14:textId="636E3CEC" w:rsidR="00736B7D" w:rsidRPr="007859FC" w:rsidRDefault="00955252" w:rsidP="00E92C38">
            <w:pPr>
              <w:rPr>
                <w:rFonts w:ascii="Times New Roman" w:hAnsi="Times New Roman"/>
                <w:sz w:val="20"/>
              </w:rPr>
            </w:pPr>
            <w:r>
              <w:rPr>
                <w:rFonts w:ascii="Times New Roman" w:hAnsi="Times New Roman"/>
                <w:sz w:val="20"/>
              </w:rPr>
              <w:t xml:space="preserve">BDO </w:t>
            </w:r>
            <w:r w:rsidR="002F79A6">
              <w:rPr>
                <w:rFonts w:ascii="Times New Roman" w:hAnsi="Times New Roman"/>
                <w:sz w:val="20"/>
              </w:rPr>
              <w:t>Auditores Independentes</w:t>
            </w:r>
          </w:p>
        </w:tc>
        <w:tc>
          <w:tcPr>
            <w:tcW w:w="3251" w:type="dxa"/>
            <w:noWrap/>
            <w:hideMark/>
          </w:tcPr>
          <w:p w14:paraId="67001416"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20694075" w14:textId="77777777" w:rsidTr="000017CB">
        <w:trPr>
          <w:trHeight w:hRule="exact" w:val="249"/>
        </w:trPr>
        <w:tc>
          <w:tcPr>
            <w:tcW w:w="1380" w:type="dxa"/>
            <w:noWrap/>
            <w:hideMark/>
          </w:tcPr>
          <w:p w14:paraId="30C8F1A1"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2014</w:t>
            </w:r>
          </w:p>
        </w:tc>
        <w:tc>
          <w:tcPr>
            <w:tcW w:w="4720" w:type="dxa"/>
            <w:noWrap/>
            <w:hideMark/>
          </w:tcPr>
          <w:p w14:paraId="27EA6E3A" w14:textId="5ECECBDD" w:rsidR="00736B7D" w:rsidRPr="007859FC" w:rsidRDefault="00955252" w:rsidP="00E92C38">
            <w:pPr>
              <w:rPr>
                <w:rFonts w:ascii="Times New Roman" w:hAnsi="Times New Roman"/>
                <w:sz w:val="20"/>
              </w:rPr>
            </w:pPr>
            <w:r>
              <w:rPr>
                <w:rFonts w:ascii="Times New Roman" w:hAnsi="Times New Roman"/>
                <w:sz w:val="20"/>
              </w:rPr>
              <w:t xml:space="preserve">BDO </w:t>
            </w:r>
            <w:r w:rsidR="002F79A6">
              <w:rPr>
                <w:rFonts w:ascii="Times New Roman" w:hAnsi="Times New Roman"/>
                <w:sz w:val="20"/>
              </w:rPr>
              <w:t>Auditores Independentes</w:t>
            </w:r>
          </w:p>
        </w:tc>
        <w:tc>
          <w:tcPr>
            <w:tcW w:w="3251" w:type="dxa"/>
            <w:noWrap/>
            <w:hideMark/>
          </w:tcPr>
          <w:p w14:paraId="67937E82"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4E2B172B" w14:textId="77777777" w:rsidTr="000017CB">
        <w:trPr>
          <w:trHeight w:hRule="exact" w:val="249"/>
        </w:trPr>
        <w:tc>
          <w:tcPr>
            <w:tcW w:w="1380" w:type="dxa"/>
            <w:noWrap/>
            <w:hideMark/>
          </w:tcPr>
          <w:p w14:paraId="00DA8C51"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2015</w:t>
            </w:r>
          </w:p>
        </w:tc>
        <w:tc>
          <w:tcPr>
            <w:tcW w:w="4720" w:type="dxa"/>
            <w:noWrap/>
            <w:hideMark/>
          </w:tcPr>
          <w:p w14:paraId="5B45C1A9" w14:textId="4AA3F7EF" w:rsidR="00736B7D" w:rsidRPr="007859FC" w:rsidRDefault="00955252" w:rsidP="00E92C38">
            <w:pPr>
              <w:rPr>
                <w:rFonts w:ascii="Times New Roman" w:hAnsi="Times New Roman"/>
                <w:sz w:val="20"/>
              </w:rPr>
            </w:pPr>
            <w:r>
              <w:rPr>
                <w:rFonts w:ascii="Times New Roman" w:hAnsi="Times New Roman"/>
                <w:sz w:val="20"/>
              </w:rPr>
              <w:t xml:space="preserve">BDO </w:t>
            </w:r>
            <w:r w:rsidR="002F79A6">
              <w:rPr>
                <w:rFonts w:ascii="Times New Roman" w:hAnsi="Times New Roman"/>
                <w:sz w:val="20"/>
              </w:rPr>
              <w:t>Auditores Independentes</w:t>
            </w:r>
          </w:p>
        </w:tc>
        <w:tc>
          <w:tcPr>
            <w:tcW w:w="3251" w:type="dxa"/>
            <w:noWrap/>
            <w:hideMark/>
          </w:tcPr>
          <w:p w14:paraId="1E23601E"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6A18C6B0" w14:textId="77777777" w:rsidTr="000017CB">
        <w:trPr>
          <w:trHeight w:hRule="exact" w:val="249"/>
        </w:trPr>
        <w:tc>
          <w:tcPr>
            <w:tcW w:w="1380" w:type="dxa"/>
            <w:noWrap/>
            <w:hideMark/>
          </w:tcPr>
          <w:p w14:paraId="6624B645"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2016</w:t>
            </w:r>
          </w:p>
        </w:tc>
        <w:tc>
          <w:tcPr>
            <w:tcW w:w="4720" w:type="dxa"/>
            <w:noWrap/>
            <w:hideMark/>
          </w:tcPr>
          <w:p w14:paraId="29715341" w14:textId="25CC0092" w:rsidR="00736B7D" w:rsidRPr="007859FC" w:rsidRDefault="00955252" w:rsidP="00E92C38">
            <w:pPr>
              <w:rPr>
                <w:rFonts w:ascii="Times New Roman" w:hAnsi="Times New Roman"/>
                <w:sz w:val="20"/>
              </w:rPr>
            </w:pPr>
            <w:r>
              <w:rPr>
                <w:rFonts w:ascii="Times New Roman" w:hAnsi="Times New Roman"/>
                <w:sz w:val="20"/>
              </w:rPr>
              <w:t xml:space="preserve">BDO </w:t>
            </w:r>
            <w:r w:rsidR="002F79A6">
              <w:rPr>
                <w:rFonts w:ascii="Times New Roman" w:hAnsi="Times New Roman"/>
                <w:sz w:val="20"/>
              </w:rPr>
              <w:t>Auditores Independentes</w:t>
            </w:r>
          </w:p>
        </w:tc>
        <w:tc>
          <w:tcPr>
            <w:tcW w:w="3251" w:type="dxa"/>
            <w:noWrap/>
            <w:hideMark/>
          </w:tcPr>
          <w:p w14:paraId="7B93A473" w14:textId="77777777" w:rsidR="00736B7D" w:rsidRPr="007859FC" w:rsidRDefault="00736B7D" w:rsidP="00E92C38">
            <w:pPr>
              <w:rPr>
                <w:rFonts w:ascii="Times New Roman" w:hAnsi="Times New Roman"/>
                <w:sz w:val="20"/>
              </w:rPr>
            </w:pPr>
            <w:r w:rsidRPr="007859FC">
              <w:rPr>
                <w:rFonts w:ascii="Times New Roman" w:hAnsi="Times New Roman"/>
                <w:sz w:val="20"/>
              </w:rPr>
              <w:t>Abstenção de Opinião</w:t>
            </w:r>
          </w:p>
        </w:tc>
      </w:tr>
      <w:tr w:rsidR="00736B7D" w:rsidRPr="007859FC" w14:paraId="0C881611" w14:textId="77777777" w:rsidTr="000017CB">
        <w:trPr>
          <w:trHeight w:hRule="exact" w:val="249"/>
        </w:trPr>
        <w:tc>
          <w:tcPr>
            <w:tcW w:w="1380" w:type="dxa"/>
            <w:noWrap/>
            <w:hideMark/>
          </w:tcPr>
          <w:p w14:paraId="538B31F7"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2017</w:t>
            </w:r>
          </w:p>
        </w:tc>
        <w:tc>
          <w:tcPr>
            <w:tcW w:w="4720" w:type="dxa"/>
            <w:noWrap/>
            <w:hideMark/>
          </w:tcPr>
          <w:p w14:paraId="1E08BD61" w14:textId="77777777" w:rsidR="00736B7D" w:rsidRPr="007859FC" w:rsidRDefault="00736B7D" w:rsidP="00E92C38">
            <w:pPr>
              <w:rPr>
                <w:rFonts w:ascii="Times New Roman" w:hAnsi="Times New Roman"/>
                <w:sz w:val="20"/>
              </w:rPr>
            </w:pPr>
            <w:proofErr w:type="spellStart"/>
            <w:r w:rsidRPr="007859FC">
              <w:rPr>
                <w:rFonts w:ascii="Times New Roman" w:hAnsi="Times New Roman"/>
                <w:sz w:val="20"/>
              </w:rPr>
              <w:t>Orplan</w:t>
            </w:r>
            <w:proofErr w:type="spellEnd"/>
            <w:r w:rsidRPr="007859FC">
              <w:rPr>
                <w:rFonts w:ascii="Times New Roman" w:hAnsi="Times New Roman"/>
                <w:sz w:val="20"/>
              </w:rPr>
              <w:t xml:space="preserve"> Auditores Independentes</w:t>
            </w:r>
          </w:p>
        </w:tc>
        <w:tc>
          <w:tcPr>
            <w:tcW w:w="3251" w:type="dxa"/>
            <w:noWrap/>
            <w:hideMark/>
          </w:tcPr>
          <w:p w14:paraId="5055F440" w14:textId="77777777" w:rsidR="00736B7D" w:rsidRPr="007859FC" w:rsidRDefault="00736B7D" w:rsidP="00E92C38">
            <w:pPr>
              <w:rPr>
                <w:rFonts w:ascii="Times New Roman" w:hAnsi="Times New Roman"/>
                <w:sz w:val="20"/>
              </w:rPr>
            </w:pPr>
            <w:r w:rsidRPr="007859FC">
              <w:rPr>
                <w:rFonts w:ascii="Times New Roman" w:hAnsi="Times New Roman"/>
                <w:sz w:val="20"/>
              </w:rPr>
              <w:t>Abstenção de Opinião</w:t>
            </w:r>
          </w:p>
        </w:tc>
      </w:tr>
      <w:tr w:rsidR="00736B7D" w:rsidRPr="007859FC" w14:paraId="4874B759" w14:textId="77777777" w:rsidTr="000017CB">
        <w:trPr>
          <w:trHeight w:hRule="exact" w:val="249"/>
        </w:trPr>
        <w:tc>
          <w:tcPr>
            <w:tcW w:w="1380" w:type="dxa"/>
            <w:noWrap/>
            <w:hideMark/>
          </w:tcPr>
          <w:p w14:paraId="5BC34358"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2018</w:t>
            </w:r>
          </w:p>
        </w:tc>
        <w:tc>
          <w:tcPr>
            <w:tcW w:w="4720" w:type="dxa"/>
            <w:noWrap/>
            <w:hideMark/>
          </w:tcPr>
          <w:p w14:paraId="6CFB7782" w14:textId="77777777" w:rsidR="00736B7D" w:rsidRPr="007859FC" w:rsidRDefault="00736B7D" w:rsidP="00E92C38">
            <w:pPr>
              <w:rPr>
                <w:rFonts w:ascii="Times New Roman" w:hAnsi="Times New Roman"/>
                <w:sz w:val="20"/>
              </w:rPr>
            </w:pPr>
            <w:proofErr w:type="spellStart"/>
            <w:r w:rsidRPr="007859FC">
              <w:rPr>
                <w:rFonts w:ascii="Times New Roman" w:hAnsi="Times New Roman"/>
                <w:sz w:val="20"/>
              </w:rPr>
              <w:t>Orplan</w:t>
            </w:r>
            <w:proofErr w:type="spellEnd"/>
            <w:r w:rsidRPr="007859FC">
              <w:rPr>
                <w:rFonts w:ascii="Times New Roman" w:hAnsi="Times New Roman"/>
                <w:sz w:val="20"/>
              </w:rPr>
              <w:t xml:space="preserve"> Auditores Independentes</w:t>
            </w:r>
          </w:p>
        </w:tc>
        <w:tc>
          <w:tcPr>
            <w:tcW w:w="3251" w:type="dxa"/>
            <w:noWrap/>
            <w:hideMark/>
          </w:tcPr>
          <w:p w14:paraId="0624AFB0" w14:textId="77777777" w:rsidR="00736B7D" w:rsidRPr="007859FC" w:rsidRDefault="00736B7D" w:rsidP="00E92C38">
            <w:pPr>
              <w:rPr>
                <w:rFonts w:ascii="Times New Roman" w:hAnsi="Times New Roman"/>
                <w:sz w:val="20"/>
              </w:rPr>
            </w:pPr>
            <w:r w:rsidRPr="007859FC">
              <w:rPr>
                <w:rFonts w:ascii="Times New Roman" w:hAnsi="Times New Roman"/>
                <w:sz w:val="20"/>
              </w:rPr>
              <w:t>Abstenção de Opinião</w:t>
            </w:r>
          </w:p>
        </w:tc>
      </w:tr>
    </w:tbl>
    <w:p w14:paraId="40AAA4F4" w14:textId="77777777" w:rsidR="00736B7D" w:rsidRPr="007859FC" w:rsidRDefault="00736B7D" w:rsidP="00D34FAE">
      <w:pPr>
        <w:spacing w:after="120"/>
        <w:ind w:firstLine="0"/>
        <w:rPr>
          <w:b/>
          <w:sz w:val="20"/>
        </w:rPr>
      </w:pPr>
      <w:r w:rsidRPr="007859FC">
        <w:rPr>
          <w:sz w:val="20"/>
        </w:rPr>
        <w:t>Fonte: Dados da pesquisa</w:t>
      </w:r>
      <w:r w:rsidRPr="007859FC">
        <w:rPr>
          <w:b/>
          <w:sz w:val="20"/>
        </w:rPr>
        <w:t>.</w:t>
      </w:r>
    </w:p>
    <w:p w14:paraId="6D86F363" w14:textId="23BAACF2" w:rsidR="00736B7D" w:rsidRDefault="00736B7D" w:rsidP="00736B7D">
      <w:r w:rsidRPr="007859FC">
        <w:t>Entre os períodos de 2010 à 2015 a empresa contabiliz</w:t>
      </w:r>
      <w:r>
        <w:t>ou</w:t>
      </w:r>
      <w:r w:rsidRPr="007859FC">
        <w:t xml:space="preserve"> em média R$</w:t>
      </w:r>
      <w:r w:rsidR="00D34FAE">
        <w:t xml:space="preserve"> </w:t>
      </w:r>
      <w:r w:rsidRPr="007859FC">
        <w:t>7.557.085 mil</w:t>
      </w:r>
      <w:r>
        <w:t>hões</w:t>
      </w:r>
      <w:r w:rsidRPr="007859FC">
        <w:t xml:space="preserve"> referent</w:t>
      </w:r>
      <w:r>
        <w:t>e a cessões de créditos relativos</w:t>
      </w:r>
      <w:r w:rsidRPr="007859FC">
        <w:t xml:space="preserve"> a direitos creditórios decorrentes de operações da Companhia junto à Companhia Hidro Elétrica do São Francisco (CHESF) e correspondentes encargos financeiros pleiteados pela companhia por meio de Ação Declaratória transitada em julgado, que segundo a Mendes Junior o montante é suficiente para suportar as referidas cessões e garantias. A auditoria não ressalva a opinião sobre esse assunto. </w:t>
      </w:r>
    </w:p>
    <w:p w14:paraId="7860BF28" w14:textId="56A410E7" w:rsidR="00736B7D" w:rsidRPr="007859FC" w:rsidRDefault="00736B7D" w:rsidP="00736B7D">
      <w:r w:rsidRPr="007859FC">
        <w:t xml:space="preserve">Em 2015 destaca-se o fato </w:t>
      </w:r>
      <w:proofErr w:type="gramStart"/>
      <w:r w:rsidRPr="007859FC">
        <w:t>da</w:t>
      </w:r>
      <w:proofErr w:type="gramEnd"/>
      <w:r w:rsidRPr="007859FC">
        <w:t xml:space="preserve"> CVM notificar a empresa a esclarecimento de notícias que vinculavam a companhia na investigação da </w:t>
      </w:r>
      <w:r w:rsidR="004D3095">
        <w:t>Lava Jato</w:t>
      </w:r>
      <w:r w:rsidR="00D34FAE">
        <w:t xml:space="preserve">. </w:t>
      </w:r>
      <w:r w:rsidRPr="007859FC">
        <w:t xml:space="preserve">Nos períodos de 2016 </w:t>
      </w:r>
      <w:proofErr w:type="gramStart"/>
      <w:r w:rsidRPr="007859FC">
        <w:t>à</w:t>
      </w:r>
      <w:proofErr w:type="gramEnd"/>
      <w:r w:rsidRPr="007859FC">
        <w:t xml:space="preserve"> 2018 os auditores apresentaram a abstenção sobre a opinião das demonstrações contábeis</w:t>
      </w:r>
      <w:r>
        <w:t>,</w:t>
      </w:r>
      <w:r w:rsidRPr="007859FC">
        <w:t xml:space="preserve"> pois não foi possível obter evidência de auditoria apropriada e suficiente para fundamentar a opinião devido aos fatores sobre a incerteza </w:t>
      </w:r>
      <w:r>
        <w:t>d</w:t>
      </w:r>
      <w:r w:rsidRPr="007859FC">
        <w:t xml:space="preserve">a continuidade operacional, </w:t>
      </w:r>
      <w:r>
        <w:t>da</w:t>
      </w:r>
      <w:r w:rsidRPr="007859FC">
        <w:t xml:space="preserve"> origem dos valores que embasam os ajustes e</w:t>
      </w:r>
      <w:r>
        <w:t>fetuados</w:t>
      </w:r>
      <w:r w:rsidR="00B605CA">
        <w:t xml:space="preserve">. </w:t>
      </w:r>
    </w:p>
    <w:p w14:paraId="32925403" w14:textId="68358048" w:rsidR="00736B7D" w:rsidRPr="007859FC" w:rsidRDefault="00736B7D" w:rsidP="00736B7D">
      <w:r w:rsidRPr="007859FC">
        <w:t xml:space="preserve">As empresas que realizaram os relatórios de auditoria sobre as demonstrações contábeis da Petrobras foram a empresas KPMG e </w:t>
      </w:r>
      <w:proofErr w:type="spellStart"/>
      <w:r w:rsidRPr="007859FC">
        <w:t>PricewaterhouseCoopers</w:t>
      </w:r>
      <w:proofErr w:type="spellEnd"/>
      <w:r w:rsidRPr="007859FC">
        <w:t xml:space="preserve">, sendo que as opiniões emitidas pelos auditores foram somente </w:t>
      </w:r>
      <w:r>
        <w:t xml:space="preserve">pareceres com </w:t>
      </w:r>
      <w:r w:rsidRPr="007859FC">
        <w:t xml:space="preserve">ênfases e sem ressalva. </w:t>
      </w:r>
    </w:p>
    <w:p w14:paraId="32ADD6C6" w14:textId="62D3A739" w:rsidR="00736B7D" w:rsidRPr="007859FC" w:rsidRDefault="00D91454" w:rsidP="00D34FAE">
      <w:pPr>
        <w:spacing w:before="120"/>
        <w:ind w:firstLine="0"/>
        <w:rPr>
          <w:b/>
          <w:bCs/>
          <w:color w:val="000000" w:themeColor="text1"/>
          <w:sz w:val="20"/>
          <w:shd w:val="clear" w:color="auto" w:fill="FFFFFF"/>
        </w:rPr>
      </w:pPr>
      <w:r>
        <w:rPr>
          <w:b/>
          <w:bCs/>
          <w:color w:val="000000" w:themeColor="text1"/>
          <w:sz w:val="20"/>
          <w:shd w:val="clear" w:color="auto" w:fill="FFFFFF"/>
        </w:rPr>
        <w:t>Tabela</w:t>
      </w:r>
      <w:r w:rsidR="00736B7D" w:rsidRPr="007859FC">
        <w:rPr>
          <w:b/>
          <w:bCs/>
          <w:color w:val="000000" w:themeColor="text1"/>
          <w:sz w:val="20"/>
          <w:shd w:val="clear" w:color="auto" w:fill="FFFFFF"/>
        </w:rPr>
        <w:t xml:space="preserve"> 11: Análise dos relatórios de auditoria da empresa Petrobras</w:t>
      </w:r>
    </w:p>
    <w:tbl>
      <w:tblPr>
        <w:tblStyle w:val="Tabelacomgrade"/>
        <w:tblW w:w="9351" w:type="dxa"/>
        <w:tblLook w:val="04A0" w:firstRow="1" w:lastRow="0" w:firstColumn="1" w:lastColumn="0" w:noHBand="0" w:noVBand="1"/>
      </w:tblPr>
      <w:tblGrid>
        <w:gridCol w:w="1380"/>
        <w:gridCol w:w="2443"/>
        <w:gridCol w:w="5528"/>
      </w:tblGrid>
      <w:tr w:rsidR="00736B7D" w:rsidRPr="007859FC" w14:paraId="14939137" w14:textId="77777777" w:rsidTr="000017CB">
        <w:trPr>
          <w:trHeight w:hRule="exact" w:val="249"/>
        </w:trPr>
        <w:tc>
          <w:tcPr>
            <w:tcW w:w="9351" w:type="dxa"/>
            <w:gridSpan w:val="3"/>
            <w:noWrap/>
            <w:hideMark/>
          </w:tcPr>
          <w:p w14:paraId="5215420B" w14:textId="77777777" w:rsidR="00736B7D" w:rsidRPr="007859FC" w:rsidRDefault="00736B7D" w:rsidP="00E92C38">
            <w:pPr>
              <w:jc w:val="center"/>
              <w:rPr>
                <w:rFonts w:ascii="Times New Roman" w:hAnsi="Times New Roman"/>
                <w:b/>
                <w:sz w:val="20"/>
              </w:rPr>
            </w:pPr>
            <w:r w:rsidRPr="007859FC">
              <w:rPr>
                <w:rFonts w:ascii="Times New Roman" w:hAnsi="Times New Roman"/>
                <w:b/>
                <w:sz w:val="20"/>
              </w:rPr>
              <w:t>Petrobras</w:t>
            </w:r>
          </w:p>
        </w:tc>
      </w:tr>
      <w:tr w:rsidR="00736B7D" w:rsidRPr="007859FC" w14:paraId="0C893B69" w14:textId="77777777" w:rsidTr="000017CB">
        <w:trPr>
          <w:trHeight w:hRule="exact" w:val="249"/>
        </w:trPr>
        <w:tc>
          <w:tcPr>
            <w:tcW w:w="1380" w:type="dxa"/>
            <w:noWrap/>
            <w:hideMark/>
          </w:tcPr>
          <w:p w14:paraId="7C36B010" w14:textId="77777777" w:rsidR="00736B7D" w:rsidRPr="007859FC" w:rsidRDefault="00736B7D" w:rsidP="00D34FAE">
            <w:pPr>
              <w:ind w:firstLine="0"/>
              <w:rPr>
                <w:rFonts w:ascii="Times New Roman" w:hAnsi="Times New Roman"/>
                <w:b/>
                <w:bCs/>
                <w:sz w:val="20"/>
              </w:rPr>
            </w:pPr>
            <w:r w:rsidRPr="007859FC">
              <w:rPr>
                <w:rFonts w:ascii="Times New Roman" w:hAnsi="Times New Roman"/>
                <w:b/>
                <w:bCs/>
                <w:sz w:val="20"/>
              </w:rPr>
              <w:t>Ano</w:t>
            </w:r>
          </w:p>
        </w:tc>
        <w:tc>
          <w:tcPr>
            <w:tcW w:w="2443" w:type="dxa"/>
            <w:noWrap/>
            <w:hideMark/>
          </w:tcPr>
          <w:p w14:paraId="590D41C8" w14:textId="77777777" w:rsidR="00736B7D" w:rsidRPr="007859FC" w:rsidRDefault="00736B7D" w:rsidP="00E92C38">
            <w:pPr>
              <w:rPr>
                <w:rFonts w:ascii="Times New Roman" w:hAnsi="Times New Roman"/>
                <w:b/>
                <w:bCs/>
                <w:sz w:val="20"/>
              </w:rPr>
            </w:pPr>
            <w:r w:rsidRPr="007859FC">
              <w:rPr>
                <w:rFonts w:ascii="Times New Roman" w:hAnsi="Times New Roman"/>
                <w:b/>
                <w:bCs/>
                <w:sz w:val="20"/>
              </w:rPr>
              <w:t>Auditores</w:t>
            </w:r>
          </w:p>
        </w:tc>
        <w:tc>
          <w:tcPr>
            <w:tcW w:w="5528" w:type="dxa"/>
            <w:noWrap/>
            <w:hideMark/>
          </w:tcPr>
          <w:p w14:paraId="6CA18C1E" w14:textId="77777777" w:rsidR="00736B7D" w:rsidRPr="007859FC" w:rsidRDefault="00736B7D" w:rsidP="00E92C38">
            <w:pPr>
              <w:rPr>
                <w:rFonts w:ascii="Times New Roman" w:hAnsi="Times New Roman"/>
                <w:b/>
                <w:bCs/>
                <w:sz w:val="20"/>
              </w:rPr>
            </w:pPr>
            <w:r w:rsidRPr="007859FC">
              <w:rPr>
                <w:rFonts w:ascii="Times New Roman" w:hAnsi="Times New Roman"/>
                <w:b/>
                <w:bCs/>
                <w:sz w:val="20"/>
              </w:rPr>
              <w:t>Parecer</w:t>
            </w:r>
          </w:p>
        </w:tc>
      </w:tr>
      <w:tr w:rsidR="00736B7D" w:rsidRPr="007859FC" w14:paraId="0C9B47D8" w14:textId="77777777" w:rsidTr="000017CB">
        <w:trPr>
          <w:trHeight w:hRule="exact" w:val="249"/>
        </w:trPr>
        <w:tc>
          <w:tcPr>
            <w:tcW w:w="1380" w:type="dxa"/>
            <w:noWrap/>
            <w:hideMark/>
          </w:tcPr>
          <w:p w14:paraId="07B8DCD3"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2010</w:t>
            </w:r>
          </w:p>
        </w:tc>
        <w:tc>
          <w:tcPr>
            <w:tcW w:w="2443" w:type="dxa"/>
            <w:noWrap/>
            <w:hideMark/>
          </w:tcPr>
          <w:p w14:paraId="59FC4E89" w14:textId="77777777" w:rsidR="00736B7D" w:rsidRPr="007859FC" w:rsidRDefault="00736B7D" w:rsidP="00E92C38">
            <w:pPr>
              <w:rPr>
                <w:rFonts w:ascii="Times New Roman" w:hAnsi="Times New Roman"/>
                <w:sz w:val="20"/>
              </w:rPr>
            </w:pPr>
            <w:r w:rsidRPr="007859FC">
              <w:rPr>
                <w:rFonts w:ascii="Times New Roman" w:hAnsi="Times New Roman"/>
                <w:sz w:val="20"/>
              </w:rPr>
              <w:t>KPMG</w:t>
            </w:r>
          </w:p>
        </w:tc>
        <w:tc>
          <w:tcPr>
            <w:tcW w:w="5528" w:type="dxa"/>
            <w:noWrap/>
            <w:hideMark/>
          </w:tcPr>
          <w:p w14:paraId="3F5DCD57"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45D54B4B" w14:textId="77777777" w:rsidTr="000017CB">
        <w:trPr>
          <w:trHeight w:hRule="exact" w:val="249"/>
        </w:trPr>
        <w:tc>
          <w:tcPr>
            <w:tcW w:w="1380" w:type="dxa"/>
            <w:noWrap/>
            <w:hideMark/>
          </w:tcPr>
          <w:p w14:paraId="3C1FD6A7"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lastRenderedPageBreak/>
              <w:t>2011</w:t>
            </w:r>
          </w:p>
        </w:tc>
        <w:tc>
          <w:tcPr>
            <w:tcW w:w="2443" w:type="dxa"/>
            <w:noWrap/>
            <w:hideMark/>
          </w:tcPr>
          <w:p w14:paraId="2C7A8C73" w14:textId="77777777" w:rsidR="00736B7D" w:rsidRPr="007859FC" w:rsidRDefault="00736B7D" w:rsidP="00E92C38">
            <w:pPr>
              <w:rPr>
                <w:rFonts w:ascii="Times New Roman" w:hAnsi="Times New Roman"/>
                <w:sz w:val="20"/>
              </w:rPr>
            </w:pPr>
            <w:r w:rsidRPr="007859FC">
              <w:rPr>
                <w:rFonts w:ascii="Times New Roman" w:hAnsi="Times New Roman"/>
                <w:sz w:val="20"/>
              </w:rPr>
              <w:t>KPMG</w:t>
            </w:r>
          </w:p>
        </w:tc>
        <w:tc>
          <w:tcPr>
            <w:tcW w:w="5528" w:type="dxa"/>
            <w:noWrap/>
            <w:hideMark/>
          </w:tcPr>
          <w:p w14:paraId="746AF210"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37973DB8" w14:textId="77777777" w:rsidTr="000017CB">
        <w:trPr>
          <w:trHeight w:hRule="exact" w:val="249"/>
        </w:trPr>
        <w:tc>
          <w:tcPr>
            <w:tcW w:w="1380" w:type="dxa"/>
            <w:noWrap/>
            <w:hideMark/>
          </w:tcPr>
          <w:p w14:paraId="22B66346"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2012</w:t>
            </w:r>
          </w:p>
        </w:tc>
        <w:tc>
          <w:tcPr>
            <w:tcW w:w="2443" w:type="dxa"/>
            <w:noWrap/>
            <w:hideMark/>
          </w:tcPr>
          <w:p w14:paraId="4A0B44E7" w14:textId="77777777" w:rsidR="00736B7D" w:rsidRPr="007859FC" w:rsidRDefault="00736B7D" w:rsidP="00D34FAE">
            <w:pPr>
              <w:ind w:firstLine="0"/>
              <w:rPr>
                <w:rFonts w:ascii="Times New Roman" w:hAnsi="Times New Roman"/>
                <w:sz w:val="20"/>
              </w:rPr>
            </w:pPr>
            <w:proofErr w:type="spellStart"/>
            <w:r w:rsidRPr="007859FC">
              <w:rPr>
                <w:rFonts w:ascii="Times New Roman" w:hAnsi="Times New Roman"/>
                <w:sz w:val="20"/>
              </w:rPr>
              <w:t>PricewaterhouseCoopers</w:t>
            </w:r>
            <w:proofErr w:type="spellEnd"/>
          </w:p>
        </w:tc>
        <w:tc>
          <w:tcPr>
            <w:tcW w:w="5528" w:type="dxa"/>
            <w:noWrap/>
            <w:hideMark/>
          </w:tcPr>
          <w:p w14:paraId="2D5F2EE8"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233CE9AE" w14:textId="77777777" w:rsidTr="000017CB">
        <w:trPr>
          <w:trHeight w:hRule="exact" w:val="249"/>
        </w:trPr>
        <w:tc>
          <w:tcPr>
            <w:tcW w:w="1380" w:type="dxa"/>
            <w:noWrap/>
            <w:hideMark/>
          </w:tcPr>
          <w:p w14:paraId="4027819A"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2013</w:t>
            </w:r>
          </w:p>
        </w:tc>
        <w:tc>
          <w:tcPr>
            <w:tcW w:w="2443" w:type="dxa"/>
            <w:noWrap/>
            <w:hideMark/>
          </w:tcPr>
          <w:p w14:paraId="46A3CEE8" w14:textId="77777777" w:rsidR="00736B7D" w:rsidRPr="007859FC" w:rsidRDefault="00736B7D" w:rsidP="00D34FAE">
            <w:pPr>
              <w:ind w:firstLine="0"/>
              <w:rPr>
                <w:rFonts w:ascii="Times New Roman" w:hAnsi="Times New Roman"/>
                <w:sz w:val="20"/>
              </w:rPr>
            </w:pPr>
            <w:proofErr w:type="spellStart"/>
            <w:r w:rsidRPr="007859FC">
              <w:rPr>
                <w:rFonts w:ascii="Times New Roman" w:hAnsi="Times New Roman"/>
                <w:sz w:val="20"/>
              </w:rPr>
              <w:t>PricewaterhouseCoopers</w:t>
            </w:r>
            <w:proofErr w:type="spellEnd"/>
          </w:p>
        </w:tc>
        <w:tc>
          <w:tcPr>
            <w:tcW w:w="5528" w:type="dxa"/>
            <w:noWrap/>
            <w:hideMark/>
          </w:tcPr>
          <w:p w14:paraId="15456B95"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1E7D2E1D" w14:textId="77777777" w:rsidTr="000017CB">
        <w:trPr>
          <w:trHeight w:hRule="exact" w:val="249"/>
        </w:trPr>
        <w:tc>
          <w:tcPr>
            <w:tcW w:w="1380" w:type="dxa"/>
            <w:noWrap/>
            <w:hideMark/>
          </w:tcPr>
          <w:p w14:paraId="72DD74AD"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2014</w:t>
            </w:r>
          </w:p>
        </w:tc>
        <w:tc>
          <w:tcPr>
            <w:tcW w:w="2443" w:type="dxa"/>
            <w:noWrap/>
            <w:hideMark/>
          </w:tcPr>
          <w:p w14:paraId="34D20117" w14:textId="77777777" w:rsidR="00736B7D" w:rsidRPr="007859FC" w:rsidRDefault="00736B7D" w:rsidP="00D34FAE">
            <w:pPr>
              <w:ind w:firstLine="0"/>
              <w:rPr>
                <w:rFonts w:ascii="Times New Roman" w:hAnsi="Times New Roman"/>
                <w:sz w:val="20"/>
              </w:rPr>
            </w:pPr>
            <w:proofErr w:type="spellStart"/>
            <w:r w:rsidRPr="007859FC">
              <w:rPr>
                <w:rFonts w:ascii="Times New Roman" w:hAnsi="Times New Roman"/>
                <w:sz w:val="20"/>
              </w:rPr>
              <w:t>PricewaterhouseCoopers</w:t>
            </w:r>
            <w:proofErr w:type="spellEnd"/>
          </w:p>
        </w:tc>
        <w:tc>
          <w:tcPr>
            <w:tcW w:w="5528" w:type="dxa"/>
            <w:noWrap/>
            <w:hideMark/>
          </w:tcPr>
          <w:p w14:paraId="7780AD16"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691387D5" w14:textId="77777777" w:rsidTr="000017CB">
        <w:trPr>
          <w:trHeight w:hRule="exact" w:val="249"/>
        </w:trPr>
        <w:tc>
          <w:tcPr>
            <w:tcW w:w="1380" w:type="dxa"/>
            <w:noWrap/>
            <w:hideMark/>
          </w:tcPr>
          <w:p w14:paraId="435ED199"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2015</w:t>
            </w:r>
          </w:p>
        </w:tc>
        <w:tc>
          <w:tcPr>
            <w:tcW w:w="2443" w:type="dxa"/>
            <w:noWrap/>
            <w:hideMark/>
          </w:tcPr>
          <w:p w14:paraId="279BA3DD" w14:textId="77777777" w:rsidR="00736B7D" w:rsidRPr="007859FC" w:rsidRDefault="00736B7D" w:rsidP="00D34FAE">
            <w:pPr>
              <w:ind w:firstLine="0"/>
              <w:rPr>
                <w:rFonts w:ascii="Times New Roman" w:hAnsi="Times New Roman"/>
                <w:sz w:val="20"/>
              </w:rPr>
            </w:pPr>
            <w:proofErr w:type="spellStart"/>
            <w:r w:rsidRPr="007859FC">
              <w:rPr>
                <w:rFonts w:ascii="Times New Roman" w:hAnsi="Times New Roman"/>
                <w:sz w:val="20"/>
              </w:rPr>
              <w:t>PricewaterhouseCoopers</w:t>
            </w:r>
            <w:proofErr w:type="spellEnd"/>
          </w:p>
        </w:tc>
        <w:tc>
          <w:tcPr>
            <w:tcW w:w="5528" w:type="dxa"/>
            <w:noWrap/>
            <w:hideMark/>
          </w:tcPr>
          <w:p w14:paraId="18EA217D" w14:textId="77777777" w:rsidR="00736B7D" w:rsidRPr="007859FC" w:rsidRDefault="00736B7D" w:rsidP="00E92C38">
            <w:pPr>
              <w:rPr>
                <w:rFonts w:ascii="Times New Roman" w:hAnsi="Times New Roman"/>
                <w:sz w:val="20"/>
              </w:rPr>
            </w:pPr>
            <w:r w:rsidRPr="007859FC">
              <w:rPr>
                <w:rFonts w:ascii="Times New Roman" w:hAnsi="Times New Roman"/>
                <w:sz w:val="20"/>
              </w:rPr>
              <w:t>Ênfase</w:t>
            </w:r>
          </w:p>
        </w:tc>
      </w:tr>
      <w:tr w:rsidR="00736B7D" w:rsidRPr="007859FC" w14:paraId="17D184A9" w14:textId="77777777" w:rsidTr="000017CB">
        <w:trPr>
          <w:trHeight w:hRule="exact" w:val="249"/>
        </w:trPr>
        <w:tc>
          <w:tcPr>
            <w:tcW w:w="1380" w:type="dxa"/>
            <w:noWrap/>
            <w:hideMark/>
          </w:tcPr>
          <w:p w14:paraId="2D4EE4E6"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2016</w:t>
            </w:r>
          </w:p>
        </w:tc>
        <w:tc>
          <w:tcPr>
            <w:tcW w:w="2443" w:type="dxa"/>
            <w:noWrap/>
            <w:hideMark/>
          </w:tcPr>
          <w:p w14:paraId="46B02252" w14:textId="77777777" w:rsidR="00736B7D" w:rsidRPr="007859FC" w:rsidRDefault="00736B7D" w:rsidP="00D34FAE">
            <w:pPr>
              <w:ind w:firstLine="0"/>
              <w:rPr>
                <w:rFonts w:ascii="Times New Roman" w:hAnsi="Times New Roman"/>
                <w:sz w:val="20"/>
              </w:rPr>
            </w:pPr>
            <w:proofErr w:type="spellStart"/>
            <w:r w:rsidRPr="007859FC">
              <w:rPr>
                <w:rFonts w:ascii="Times New Roman" w:hAnsi="Times New Roman"/>
                <w:sz w:val="20"/>
              </w:rPr>
              <w:t>PricewaterhouseCoopers</w:t>
            </w:r>
            <w:proofErr w:type="spellEnd"/>
          </w:p>
        </w:tc>
        <w:tc>
          <w:tcPr>
            <w:tcW w:w="5528" w:type="dxa"/>
            <w:noWrap/>
            <w:hideMark/>
          </w:tcPr>
          <w:p w14:paraId="6E218AAA" w14:textId="77777777" w:rsidR="00736B7D" w:rsidRPr="007859FC" w:rsidRDefault="00736B7D" w:rsidP="00E92C38">
            <w:pPr>
              <w:rPr>
                <w:rFonts w:ascii="Times New Roman" w:hAnsi="Times New Roman"/>
                <w:sz w:val="20"/>
              </w:rPr>
            </w:pPr>
            <w:r w:rsidRPr="007859FC">
              <w:rPr>
                <w:rFonts w:ascii="Times New Roman" w:hAnsi="Times New Roman"/>
                <w:sz w:val="20"/>
              </w:rPr>
              <w:t>Parecer sem Ressalva</w:t>
            </w:r>
          </w:p>
        </w:tc>
      </w:tr>
      <w:tr w:rsidR="00736B7D" w:rsidRPr="007859FC" w14:paraId="648EF8D9" w14:textId="77777777" w:rsidTr="000017CB">
        <w:trPr>
          <w:trHeight w:hRule="exact" w:val="249"/>
        </w:trPr>
        <w:tc>
          <w:tcPr>
            <w:tcW w:w="1380" w:type="dxa"/>
            <w:noWrap/>
            <w:hideMark/>
          </w:tcPr>
          <w:p w14:paraId="5BDB0642"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2017</w:t>
            </w:r>
          </w:p>
        </w:tc>
        <w:tc>
          <w:tcPr>
            <w:tcW w:w="2443" w:type="dxa"/>
            <w:noWrap/>
            <w:hideMark/>
          </w:tcPr>
          <w:p w14:paraId="7C8BFB06" w14:textId="77777777" w:rsidR="00736B7D" w:rsidRPr="007859FC" w:rsidRDefault="00736B7D" w:rsidP="00E92C38">
            <w:pPr>
              <w:rPr>
                <w:rFonts w:ascii="Times New Roman" w:hAnsi="Times New Roman"/>
                <w:sz w:val="20"/>
              </w:rPr>
            </w:pPr>
            <w:r w:rsidRPr="007859FC">
              <w:rPr>
                <w:rFonts w:ascii="Times New Roman" w:hAnsi="Times New Roman"/>
                <w:sz w:val="20"/>
              </w:rPr>
              <w:t xml:space="preserve">KPMG </w:t>
            </w:r>
          </w:p>
        </w:tc>
        <w:tc>
          <w:tcPr>
            <w:tcW w:w="5528" w:type="dxa"/>
            <w:noWrap/>
            <w:hideMark/>
          </w:tcPr>
          <w:p w14:paraId="212A0859" w14:textId="77777777" w:rsidR="00736B7D" w:rsidRPr="007859FC" w:rsidRDefault="00736B7D" w:rsidP="00E92C38">
            <w:pPr>
              <w:rPr>
                <w:rFonts w:ascii="Times New Roman" w:hAnsi="Times New Roman"/>
                <w:sz w:val="20"/>
              </w:rPr>
            </w:pPr>
            <w:r w:rsidRPr="007859FC">
              <w:rPr>
                <w:rFonts w:ascii="Times New Roman" w:hAnsi="Times New Roman"/>
                <w:sz w:val="20"/>
              </w:rPr>
              <w:t>Parecer sem Ressalva</w:t>
            </w:r>
          </w:p>
        </w:tc>
      </w:tr>
      <w:tr w:rsidR="00736B7D" w:rsidRPr="007859FC" w14:paraId="34C11661" w14:textId="77777777" w:rsidTr="000017CB">
        <w:trPr>
          <w:trHeight w:hRule="exact" w:val="249"/>
        </w:trPr>
        <w:tc>
          <w:tcPr>
            <w:tcW w:w="1380" w:type="dxa"/>
            <w:noWrap/>
            <w:hideMark/>
          </w:tcPr>
          <w:p w14:paraId="5BED97B7" w14:textId="77777777" w:rsidR="00736B7D" w:rsidRPr="007859FC" w:rsidRDefault="00736B7D" w:rsidP="00D34FAE">
            <w:pPr>
              <w:ind w:firstLine="0"/>
              <w:rPr>
                <w:rFonts w:ascii="Times New Roman" w:hAnsi="Times New Roman"/>
                <w:sz w:val="20"/>
              </w:rPr>
            </w:pPr>
            <w:r w:rsidRPr="007859FC">
              <w:rPr>
                <w:rFonts w:ascii="Times New Roman" w:hAnsi="Times New Roman"/>
                <w:sz w:val="20"/>
              </w:rPr>
              <w:t>2018</w:t>
            </w:r>
          </w:p>
        </w:tc>
        <w:tc>
          <w:tcPr>
            <w:tcW w:w="2443" w:type="dxa"/>
            <w:noWrap/>
            <w:hideMark/>
          </w:tcPr>
          <w:p w14:paraId="44E21D20" w14:textId="77777777" w:rsidR="00736B7D" w:rsidRPr="007859FC" w:rsidRDefault="00736B7D" w:rsidP="00E92C38">
            <w:pPr>
              <w:rPr>
                <w:rFonts w:ascii="Times New Roman" w:hAnsi="Times New Roman"/>
                <w:sz w:val="20"/>
              </w:rPr>
            </w:pPr>
            <w:r w:rsidRPr="007859FC">
              <w:rPr>
                <w:rFonts w:ascii="Times New Roman" w:hAnsi="Times New Roman"/>
                <w:sz w:val="20"/>
              </w:rPr>
              <w:t xml:space="preserve">KPMG </w:t>
            </w:r>
          </w:p>
        </w:tc>
        <w:tc>
          <w:tcPr>
            <w:tcW w:w="5528" w:type="dxa"/>
            <w:noWrap/>
            <w:hideMark/>
          </w:tcPr>
          <w:p w14:paraId="31841FB4" w14:textId="77777777" w:rsidR="00736B7D" w:rsidRPr="007859FC" w:rsidRDefault="00736B7D" w:rsidP="00E92C38">
            <w:pPr>
              <w:rPr>
                <w:rFonts w:ascii="Times New Roman" w:hAnsi="Times New Roman"/>
                <w:sz w:val="20"/>
              </w:rPr>
            </w:pPr>
            <w:r w:rsidRPr="007859FC">
              <w:rPr>
                <w:rFonts w:ascii="Times New Roman" w:hAnsi="Times New Roman"/>
                <w:sz w:val="20"/>
              </w:rPr>
              <w:t>Parecer sem Ressalva</w:t>
            </w:r>
          </w:p>
        </w:tc>
      </w:tr>
    </w:tbl>
    <w:p w14:paraId="6E8466D8" w14:textId="77777777" w:rsidR="00736B7D" w:rsidRPr="007859FC" w:rsidRDefault="00736B7D" w:rsidP="00D34FAE">
      <w:pPr>
        <w:spacing w:after="120"/>
        <w:ind w:firstLine="0"/>
        <w:rPr>
          <w:b/>
          <w:sz w:val="20"/>
        </w:rPr>
      </w:pPr>
      <w:r w:rsidRPr="007859FC">
        <w:rPr>
          <w:sz w:val="20"/>
        </w:rPr>
        <w:t>Fonte: Dados da pesquisa</w:t>
      </w:r>
      <w:r w:rsidRPr="007859FC">
        <w:rPr>
          <w:b/>
          <w:sz w:val="20"/>
        </w:rPr>
        <w:t>.</w:t>
      </w:r>
    </w:p>
    <w:p w14:paraId="7B26C393" w14:textId="77777777" w:rsidR="004D3095" w:rsidRDefault="00736B7D" w:rsidP="00736B7D">
      <w:r w:rsidRPr="007859FC">
        <w:t xml:space="preserve">No período de 2010 </w:t>
      </w:r>
      <w:proofErr w:type="gramStart"/>
      <w:r w:rsidRPr="007859FC">
        <w:t>à</w:t>
      </w:r>
      <w:proofErr w:type="gramEnd"/>
      <w:r w:rsidRPr="007859FC">
        <w:t xml:space="preserve"> 2013 os auditores destacam em ênfase a questão da avaliação dos investimentos em controladas, coligadas e controladas em conjunto</w:t>
      </w:r>
      <w:r>
        <w:t>, que</w:t>
      </w:r>
      <w:r w:rsidRPr="007859FC">
        <w:t xml:space="preserve"> são realizadas através do método de equivalência patrimonial, enquanto para fins de IFRS seria pelo valor justo ou </w:t>
      </w:r>
      <w:r>
        <w:t xml:space="preserve">pelo valor de </w:t>
      </w:r>
      <w:r w:rsidRPr="007859FC">
        <w:t xml:space="preserve">custo. Em 2014 a </w:t>
      </w:r>
      <w:proofErr w:type="spellStart"/>
      <w:r w:rsidRPr="007859FC">
        <w:t>PricewaterhouseCoopers</w:t>
      </w:r>
      <w:proofErr w:type="spellEnd"/>
      <w:r w:rsidRPr="007859FC">
        <w:t xml:space="preserve"> enfatizou a manutenção de saldo de ativo diferido do período de 2008, que foram amortizados em 2014, essa prática que difere o IFRS. Este período foi reapresentado com os reflexos da operação </w:t>
      </w:r>
      <w:r w:rsidR="004D3095">
        <w:t>Lava Jato</w:t>
      </w:r>
      <w:r w:rsidRPr="007859FC">
        <w:t>, apresentando uma baixa contábil de R$ 6.194 milhões contabilizados indevid</w:t>
      </w:r>
      <w:r>
        <w:t xml:space="preserve">amente nos ativos imobilizados. </w:t>
      </w:r>
    </w:p>
    <w:p w14:paraId="169DCD55" w14:textId="64D93618" w:rsidR="00736B7D" w:rsidRPr="007859FC" w:rsidRDefault="00736B7D" w:rsidP="00736B7D">
      <w:r>
        <w:t>A</w:t>
      </w:r>
      <w:r w:rsidRPr="007859FC">
        <w:t xml:space="preserve"> </w:t>
      </w:r>
      <w:r>
        <w:t>Petrobras</w:t>
      </w:r>
      <w:r w:rsidRPr="007859FC">
        <w:t xml:space="preserve"> destacou que criou um Comitê de Investigações internas e que também está sendo investigado pela SEC. </w:t>
      </w:r>
      <w:r w:rsidR="004D3095">
        <w:t>E</w:t>
      </w:r>
      <w:r w:rsidRPr="007859FC">
        <w:t xml:space="preserve">m 2015 </w:t>
      </w:r>
      <w:r>
        <w:t>f</w:t>
      </w:r>
      <w:r w:rsidRPr="007859FC">
        <w:t xml:space="preserve">oi instaurado pelo Ministério Público do Estado de São Paulo um </w:t>
      </w:r>
      <w:r>
        <w:t>i</w:t>
      </w:r>
      <w:r w:rsidRPr="007859FC">
        <w:t xml:space="preserve">nquérito </w:t>
      </w:r>
      <w:r>
        <w:t>c</w:t>
      </w:r>
      <w:r w:rsidRPr="007859FC">
        <w:t>ivil para apuração de potenciais danos causados a investidores no mercado de valores mobiliários no Brasil. Nos anos de 2016 à 2018 os auditores não apresentaram ressalva sobre as demonstrações contábeis do período</w:t>
      </w:r>
      <w:r w:rsidR="00B605CA">
        <w:t>.</w:t>
      </w:r>
    </w:p>
    <w:p w14:paraId="3EDAF485" w14:textId="0CEADDF2" w:rsidR="00736B7D" w:rsidRPr="007859FC" w:rsidRDefault="00736B7D" w:rsidP="00736B7D">
      <w:r w:rsidRPr="007859FC">
        <w:t xml:space="preserve">Os relatórios da opinião dos auditores sobre as demonstrações contábeis da Queiroz Galvão, no período de 2010 </w:t>
      </w:r>
      <w:proofErr w:type="gramStart"/>
      <w:r w:rsidRPr="007859FC">
        <w:t>à</w:t>
      </w:r>
      <w:proofErr w:type="gramEnd"/>
      <w:r w:rsidRPr="007859FC">
        <w:t xml:space="preserve"> 2018 foram realizados pelas empresas </w:t>
      </w:r>
      <w:proofErr w:type="spellStart"/>
      <w:r w:rsidRPr="007859FC">
        <w:t>Delloite</w:t>
      </w:r>
      <w:proofErr w:type="spellEnd"/>
      <w:r w:rsidRPr="007859FC">
        <w:t xml:space="preserve"> e KMPG, as opiniões emitidas foram com</w:t>
      </w:r>
      <w:r>
        <w:t xml:space="preserve"> pareceres com</w:t>
      </w:r>
      <w:r w:rsidRPr="007859FC">
        <w:t xml:space="preserve"> ênfase e sem ressalva:</w:t>
      </w:r>
    </w:p>
    <w:p w14:paraId="70E36675" w14:textId="14E740A0" w:rsidR="00736B7D" w:rsidRPr="007859FC" w:rsidRDefault="00D91454" w:rsidP="00D34FAE">
      <w:pPr>
        <w:spacing w:before="120"/>
        <w:ind w:firstLine="0"/>
        <w:rPr>
          <w:b/>
          <w:bCs/>
          <w:color w:val="000000" w:themeColor="text1"/>
          <w:sz w:val="20"/>
          <w:shd w:val="clear" w:color="auto" w:fill="FFFFFF"/>
        </w:rPr>
      </w:pPr>
      <w:r>
        <w:rPr>
          <w:b/>
          <w:bCs/>
          <w:color w:val="000000" w:themeColor="text1"/>
          <w:sz w:val="20"/>
          <w:shd w:val="clear" w:color="auto" w:fill="FFFFFF"/>
        </w:rPr>
        <w:t>Tabela</w:t>
      </w:r>
      <w:r w:rsidR="00736B7D" w:rsidRPr="007859FC">
        <w:rPr>
          <w:b/>
          <w:bCs/>
          <w:color w:val="000000" w:themeColor="text1"/>
          <w:sz w:val="20"/>
          <w:shd w:val="clear" w:color="auto" w:fill="FFFFFF"/>
        </w:rPr>
        <w:t xml:space="preserve"> 12: Análise dos relatórios de auditoria da empresa Queiroz Galvão</w:t>
      </w:r>
    </w:p>
    <w:tbl>
      <w:tblPr>
        <w:tblStyle w:val="Tabelacomgrade"/>
        <w:tblW w:w="9351" w:type="dxa"/>
        <w:tblLook w:val="04A0" w:firstRow="1" w:lastRow="0" w:firstColumn="1" w:lastColumn="0" w:noHBand="0" w:noVBand="1"/>
      </w:tblPr>
      <w:tblGrid>
        <w:gridCol w:w="1256"/>
        <w:gridCol w:w="2283"/>
        <w:gridCol w:w="5812"/>
      </w:tblGrid>
      <w:tr w:rsidR="00736B7D" w:rsidRPr="007859FC" w14:paraId="1C2E90BE" w14:textId="77777777" w:rsidTr="000017CB">
        <w:trPr>
          <w:trHeight w:hRule="exact" w:val="249"/>
        </w:trPr>
        <w:tc>
          <w:tcPr>
            <w:tcW w:w="9351" w:type="dxa"/>
            <w:gridSpan w:val="3"/>
            <w:noWrap/>
            <w:hideMark/>
          </w:tcPr>
          <w:p w14:paraId="5EDE9608" w14:textId="77777777" w:rsidR="00736B7D" w:rsidRPr="007859FC" w:rsidRDefault="00736B7D" w:rsidP="00E92C38">
            <w:pPr>
              <w:jc w:val="center"/>
              <w:rPr>
                <w:rFonts w:ascii="Times New Roman" w:hAnsi="Times New Roman"/>
                <w:b/>
                <w:sz w:val="20"/>
                <w:szCs w:val="24"/>
              </w:rPr>
            </w:pPr>
            <w:r w:rsidRPr="007859FC">
              <w:rPr>
                <w:rFonts w:ascii="Times New Roman" w:hAnsi="Times New Roman"/>
                <w:b/>
                <w:sz w:val="20"/>
                <w:szCs w:val="24"/>
              </w:rPr>
              <w:t>Queiroz Galvão</w:t>
            </w:r>
          </w:p>
        </w:tc>
      </w:tr>
      <w:tr w:rsidR="00736B7D" w:rsidRPr="007859FC" w14:paraId="0DC9BB28" w14:textId="77777777" w:rsidTr="000017CB">
        <w:trPr>
          <w:trHeight w:hRule="exact" w:val="249"/>
        </w:trPr>
        <w:tc>
          <w:tcPr>
            <w:tcW w:w="1256" w:type="dxa"/>
            <w:noWrap/>
            <w:hideMark/>
          </w:tcPr>
          <w:p w14:paraId="417388B6" w14:textId="77777777" w:rsidR="00736B7D" w:rsidRPr="007859FC" w:rsidRDefault="00736B7D" w:rsidP="00D34FAE">
            <w:pPr>
              <w:ind w:firstLine="0"/>
              <w:rPr>
                <w:rFonts w:ascii="Times New Roman" w:hAnsi="Times New Roman"/>
                <w:b/>
                <w:bCs/>
                <w:sz w:val="20"/>
                <w:szCs w:val="24"/>
              </w:rPr>
            </w:pPr>
            <w:r w:rsidRPr="007859FC">
              <w:rPr>
                <w:rFonts w:ascii="Times New Roman" w:hAnsi="Times New Roman"/>
                <w:b/>
                <w:bCs/>
                <w:sz w:val="20"/>
                <w:szCs w:val="24"/>
              </w:rPr>
              <w:t>Ano</w:t>
            </w:r>
          </w:p>
        </w:tc>
        <w:tc>
          <w:tcPr>
            <w:tcW w:w="2283" w:type="dxa"/>
            <w:noWrap/>
            <w:hideMark/>
          </w:tcPr>
          <w:p w14:paraId="08509718"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Auditores</w:t>
            </w:r>
          </w:p>
        </w:tc>
        <w:tc>
          <w:tcPr>
            <w:tcW w:w="5812" w:type="dxa"/>
            <w:noWrap/>
            <w:hideMark/>
          </w:tcPr>
          <w:p w14:paraId="16C1398E"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Parecer</w:t>
            </w:r>
          </w:p>
        </w:tc>
      </w:tr>
      <w:tr w:rsidR="00736B7D" w:rsidRPr="007859FC" w14:paraId="66CFFE5F" w14:textId="77777777" w:rsidTr="000017CB">
        <w:trPr>
          <w:trHeight w:hRule="exact" w:val="249"/>
        </w:trPr>
        <w:tc>
          <w:tcPr>
            <w:tcW w:w="1256" w:type="dxa"/>
            <w:noWrap/>
            <w:hideMark/>
          </w:tcPr>
          <w:p w14:paraId="0F1D9459"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2010</w:t>
            </w:r>
          </w:p>
        </w:tc>
        <w:tc>
          <w:tcPr>
            <w:tcW w:w="2283" w:type="dxa"/>
            <w:noWrap/>
            <w:hideMark/>
          </w:tcPr>
          <w:p w14:paraId="7CD0D140"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Deloitte</w:t>
            </w:r>
          </w:p>
        </w:tc>
        <w:tc>
          <w:tcPr>
            <w:tcW w:w="5812" w:type="dxa"/>
            <w:noWrap/>
            <w:hideMark/>
          </w:tcPr>
          <w:p w14:paraId="71F889EB"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050128C6" w14:textId="77777777" w:rsidTr="000017CB">
        <w:trPr>
          <w:trHeight w:hRule="exact" w:val="249"/>
        </w:trPr>
        <w:tc>
          <w:tcPr>
            <w:tcW w:w="1256" w:type="dxa"/>
            <w:noWrap/>
            <w:hideMark/>
          </w:tcPr>
          <w:p w14:paraId="545E620B"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2011</w:t>
            </w:r>
          </w:p>
        </w:tc>
        <w:tc>
          <w:tcPr>
            <w:tcW w:w="2283" w:type="dxa"/>
            <w:noWrap/>
            <w:hideMark/>
          </w:tcPr>
          <w:p w14:paraId="43E4308A"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Deloitte</w:t>
            </w:r>
          </w:p>
        </w:tc>
        <w:tc>
          <w:tcPr>
            <w:tcW w:w="5812" w:type="dxa"/>
            <w:noWrap/>
            <w:hideMark/>
          </w:tcPr>
          <w:p w14:paraId="2426F13B"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43D4DCF2" w14:textId="77777777" w:rsidTr="000017CB">
        <w:trPr>
          <w:trHeight w:hRule="exact" w:val="249"/>
        </w:trPr>
        <w:tc>
          <w:tcPr>
            <w:tcW w:w="1256" w:type="dxa"/>
            <w:noWrap/>
            <w:hideMark/>
          </w:tcPr>
          <w:p w14:paraId="1885DA39"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2012</w:t>
            </w:r>
          </w:p>
        </w:tc>
        <w:tc>
          <w:tcPr>
            <w:tcW w:w="2283" w:type="dxa"/>
            <w:noWrap/>
            <w:hideMark/>
          </w:tcPr>
          <w:p w14:paraId="62116936"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 xml:space="preserve">Deloitte </w:t>
            </w:r>
          </w:p>
        </w:tc>
        <w:tc>
          <w:tcPr>
            <w:tcW w:w="5812" w:type="dxa"/>
            <w:noWrap/>
            <w:hideMark/>
          </w:tcPr>
          <w:p w14:paraId="50FE38C6"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708E5E78" w14:textId="77777777" w:rsidTr="000017CB">
        <w:trPr>
          <w:trHeight w:hRule="exact" w:val="249"/>
        </w:trPr>
        <w:tc>
          <w:tcPr>
            <w:tcW w:w="1256" w:type="dxa"/>
            <w:noWrap/>
            <w:hideMark/>
          </w:tcPr>
          <w:p w14:paraId="582D01A9"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2013</w:t>
            </w:r>
          </w:p>
        </w:tc>
        <w:tc>
          <w:tcPr>
            <w:tcW w:w="2283" w:type="dxa"/>
            <w:noWrap/>
            <w:hideMark/>
          </w:tcPr>
          <w:p w14:paraId="51A590C0"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 xml:space="preserve">Deloitte </w:t>
            </w:r>
          </w:p>
        </w:tc>
        <w:tc>
          <w:tcPr>
            <w:tcW w:w="5812" w:type="dxa"/>
            <w:noWrap/>
            <w:hideMark/>
          </w:tcPr>
          <w:p w14:paraId="57AF0637"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08CDFF70" w14:textId="77777777" w:rsidTr="000017CB">
        <w:trPr>
          <w:trHeight w:hRule="exact" w:val="249"/>
        </w:trPr>
        <w:tc>
          <w:tcPr>
            <w:tcW w:w="1256" w:type="dxa"/>
            <w:noWrap/>
            <w:hideMark/>
          </w:tcPr>
          <w:p w14:paraId="20CB106A"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2014</w:t>
            </w:r>
          </w:p>
        </w:tc>
        <w:tc>
          <w:tcPr>
            <w:tcW w:w="2283" w:type="dxa"/>
            <w:noWrap/>
            <w:hideMark/>
          </w:tcPr>
          <w:p w14:paraId="29417EDD"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 xml:space="preserve">Deloitte </w:t>
            </w:r>
          </w:p>
        </w:tc>
        <w:tc>
          <w:tcPr>
            <w:tcW w:w="5812" w:type="dxa"/>
            <w:noWrap/>
            <w:hideMark/>
          </w:tcPr>
          <w:p w14:paraId="50AC9B48"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40E7F123" w14:textId="77777777" w:rsidTr="000017CB">
        <w:trPr>
          <w:trHeight w:hRule="exact" w:val="249"/>
        </w:trPr>
        <w:tc>
          <w:tcPr>
            <w:tcW w:w="1256" w:type="dxa"/>
            <w:noWrap/>
            <w:hideMark/>
          </w:tcPr>
          <w:p w14:paraId="61CD1CD7"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2015</w:t>
            </w:r>
          </w:p>
        </w:tc>
        <w:tc>
          <w:tcPr>
            <w:tcW w:w="2283" w:type="dxa"/>
            <w:noWrap/>
            <w:hideMark/>
          </w:tcPr>
          <w:p w14:paraId="14D843F1"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 xml:space="preserve">Deloitte </w:t>
            </w:r>
          </w:p>
        </w:tc>
        <w:tc>
          <w:tcPr>
            <w:tcW w:w="5812" w:type="dxa"/>
            <w:noWrap/>
            <w:hideMark/>
          </w:tcPr>
          <w:p w14:paraId="47B3343D"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r w:rsidR="00736B7D" w:rsidRPr="007859FC" w14:paraId="647BC13C" w14:textId="77777777" w:rsidTr="000017CB">
        <w:trPr>
          <w:trHeight w:hRule="exact" w:val="249"/>
        </w:trPr>
        <w:tc>
          <w:tcPr>
            <w:tcW w:w="1256" w:type="dxa"/>
            <w:noWrap/>
            <w:hideMark/>
          </w:tcPr>
          <w:p w14:paraId="1D1A918D"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2016</w:t>
            </w:r>
          </w:p>
        </w:tc>
        <w:tc>
          <w:tcPr>
            <w:tcW w:w="2283" w:type="dxa"/>
            <w:noWrap/>
            <w:hideMark/>
          </w:tcPr>
          <w:p w14:paraId="1F4E8CCA"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 xml:space="preserve">KPMG </w:t>
            </w:r>
          </w:p>
        </w:tc>
        <w:tc>
          <w:tcPr>
            <w:tcW w:w="5812" w:type="dxa"/>
            <w:noWrap/>
            <w:hideMark/>
          </w:tcPr>
          <w:p w14:paraId="237BEE90"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31E01988" w14:textId="77777777" w:rsidTr="000017CB">
        <w:trPr>
          <w:trHeight w:hRule="exact" w:val="249"/>
        </w:trPr>
        <w:tc>
          <w:tcPr>
            <w:tcW w:w="1256" w:type="dxa"/>
            <w:noWrap/>
            <w:hideMark/>
          </w:tcPr>
          <w:p w14:paraId="7AB0FA1A"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2017</w:t>
            </w:r>
          </w:p>
        </w:tc>
        <w:tc>
          <w:tcPr>
            <w:tcW w:w="2283" w:type="dxa"/>
            <w:noWrap/>
            <w:hideMark/>
          </w:tcPr>
          <w:p w14:paraId="7277B971"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 xml:space="preserve">KPMG </w:t>
            </w:r>
          </w:p>
        </w:tc>
        <w:tc>
          <w:tcPr>
            <w:tcW w:w="5812" w:type="dxa"/>
            <w:noWrap/>
            <w:hideMark/>
          </w:tcPr>
          <w:p w14:paraId="761229F2"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r w:rsidR="00736B7D" w:rsidRPr="007859FC" w14:paraId="2C440562" w14:textId="77777777" w:rsidTr="000017CB">
        <w:trPr>
          <w:trHeight w:hRule="exact" w:val="249"/>
        </w:trPr>
        <w:tc>
          <w:tcPr>
            <w:tcW w:w="1256" w:type="dxa"/>
            <w:noWrap/>
            <w:hideMark/>
          </w:tcPr>
          <w:p w14:paraId="7D40508B"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2018</w:t>
            </w:r>
          </w:p>
        </w:tc>
        <w:tc>
          <w:tcPr>
            <w:tcW w:w="2283" w:type="dxa"/>
            <w:noWrap/>
            <w:hideMark/>
          </w:tcPr>
          <w:p w14:paraId="275ED20B"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 xml:space="preserve">KPMG </w:t>
            </w:r>
          </w:p>
        </w:tc>
        <w:tc>
          <w:tcPr>
            <w:tcW w:w="5812" w:type="dxa"/>
            <w:noWrap/>
            <w:hideMark/>
          </w:tcPr>
          <w:p w14:paraId="7BACB90C"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bl>
    <w:p w14:paraId="488F5C8A" w14:textId="77777777" w:rsidR="00736B7D" w:rsidRPr="007859FC" w:rsidRDefault="00736B7D" w:rsidP="00D34FAE">
      <w:pPr>
        <w:spacing w:after="120"/>
        <w:ind w:firstLine="0"/>
        <w:rPr>
          <w:b/>
          <w:sz w:val="20"/>
        </w:rPr>
      </w:pPr>
      <w:r w:rsidRPr="007859FC">
        <w:rPr>
          <w:sz w:val="20"/>
        </w:rPr>
        <w:t>Fonte: Dados da pesquisa</w:t>
      </w:r>
      <w:r w:rsidRPr="007859FC">
        <w:rPr>
          <w:b/>
          <w:sz w:val="20"/>
        </w:rPr>
        <w:t>.</w:t>
      </w:r>
    </w:p>
    <w:p w14:paraId="731E0D7B" w14:textId="68BC65C6" w:rsidR="00736B7D" w:rsidRPr="007859FC" w:rsidRDefault="00736B7D" w:rsidP="00736B7D">
      <w:pPr>
        <w:rPr>
          <w:szCs w:val="24"/>
        </w:rPr>
      </w:pPr>
      <w:r w:rsidRPr="007859FC">
        <w:rPr>
          <w:szCs w:val="24"/>
        </w:rPr>
        <w:t xml:space="preserve">A auditoria até o período de 2014 dá ênfase em seus relatórios referente à avaliação dos investimentos em controladas é realizada pelo método de equivalência patrimonial, enquanto para fins de IFRS seria pelo valor justo ou </w:t>
      </w:r>
      <w:r>
        <w:rPr>
          <w:szCs w:val="24"/>
        </w:rPr>
        <w:t xml:space="preserve">pelo valor de </w:t>
      </w:r>
      <w:r w:rsidRPr="007859FC">
        <w:rPr>
          <w:szCs w:val="24"/>
        </w:rPr>
        <w:t>custo. Em 201</w:t>
      </w:r>
      <w:r>
        <w:rPr>
          <w:szCs w:val="24"/>
        </w:rPr>
        <w:t>5</w:t>
      </w:r>
      <w:r w:rsidRPr="007859FC">
        <w:rPr>
          <w:szCs w:val="24"/>
        </w:rPr>
        <w:t xml:space="preserve"> a empresa reapresenta as suas demonstrações contábeis devido a variação cambial</w:t>
      </w:r>
      <w:r w:rsidR="00B605CA">
        <w:rPr>
          <w:szCs w:val="24"/>
        </w:rPr>
        <w:t xml:space="preserve">. </w:t>
      </w:r>
      <w:r>
        <w:rPr>
          <w:szCs w:val="24"/>
        </w:rPr>
        <w:t>Não foi relatado em nenhum dos relatório</w:t>
      </w:r>
      <w:r w:rsidR="00D34FAE">
        <w:rPr>
          <w:szCs w:val="24"/>
        </w:rPr>
        <w:t>s</w:t>
      </w:r>
      <w:r>
        <w:rPr>
          <w:szCs w:val="24"/>
        </w:rPr>
        <w:t xml:space="preserve"> de opinião dos auditores e nem nas notas explicativas da Companhia, </w:t>
      </w:r>
      <w:r w:rsidR="004D3095">
        <w:rPr>
          <w:szCs w:val="24"/>
        </w:rPr>
        <w:t xml:space="preserve">o </w:t>
      </w:r>
      <w:r>
        <w:rPr>
          <w:szCs w:val="24"/>
        </w:rPr>
        <w:t xml:space="preserve">envolvimento da empresa com a operação </w:t>
      </w:r>
      <w:r w:rsidR="004D3095">
        <w:rPr>
          <w:szCs w:val="24"/>
        </w:rPr>
        <w:t>Lava Jato</w:t>
      </w:r>
      <w:r>
        <w:rPr>
          <w:szCs w:val="24"/>
        </w:rPr>
        <w:t xml:space="preserve"> e as práticas ilícitas em contratos com a Petrobras.</w:t>
      </w:r>
    </w:p>
    <w:p w14:paraId="62F82A48" w14:textId="4CE84BC4" w:rsidR="00736B7D" w:rsidRPr="007859FC" w:rsidRDefault="00736B7D" w:rsidP="00736B7D">
      <w:pPr>
        <w:rPr>
          <w:szCs w:val="24"/>
        </w:rPr>
      </w:pPr>
      <w:r w:rsidRPr="007859FC">
        <w:rPr>
          <w:szCs w:val="24"/>
        </w:rPr>
        <w:lastRenderedPageBreak/>
        <w:t xml:space="preserve">A Vale tem como principais auditores das demonstrações contábeis dentro do período analisado as empresas </w:t>
      </w:r>
      <w:proofErr w:type="spellStart"/>
      <w:r w:rsidRPr="007859FC">
        <w:rPr>
          <w:szCs w:val="24"/>
        </w:rPr>
        <w:t>PricewaterhouseCoopers</w:t>
      </w:r>
      <w:proofErr w:type="spellEnd"/>
      <w:r w:rsidRPr="007859FC">
        <w:rPr>
          <w:szCs w:val="24"/>
        </w:rPr>
        <w:t xml:space="preserve"> e KPMG, a opiniões emitidas pelos auditores constam ênfases e parecer sem ressalvas. </w:t>
      </w:r>
    </w:p>
    <w:p w14:paraId="657AFD12" w14:textId="4EC7A9AA" w:rsidR="00736B7D" w:rsidRPr="007859FC" w:rsidRDefault="00D91454" w:rsidP="00D34FAE">
      <w:pPr>
        <w:spacing w:before="120"/>
        <w:ind w:firstLine="0"/>
        <w:rPr>
          <w:b/>
          <w:bCs/>
          <w:color w:val="000000" w:themeColor="text1"/>
          <w:sz w:val="20"/>
          <w:shd w:val="clear" w:color="auto" w:fill="FFFFFF"/>
        </w:rPr>
      </w:pPr>
      <w:r>
        <w:rPr>
          <w:b/>
          <w:bCs/>
          <w:color w:val="000000" w:themeColor="text1"/>
          <w:sz w:val="20"/>
          <w:shd w:val="clear" w:color="auto" w:fill="FFFFFF"/>
        </w:rPr>
        <w:t>Tabela</w:t>
      </w:r>
      <w:r w:rsidR="00736B7D" w:rsidRPr="007859FC">
        <w:rPr>
          <w:b/>
          <w:bCs/>
          <w:color w:val="000000" w:themeColor="text1"/>
          <w:sz w:val="20"/>
          <w:shd w:val="clear" w:color="auto" w:fill="FFFFFF"/>
        </w:rPr>
        <w:t xml:space="preserve"> 12: Análise dos relatórios de auditoria da empresa Vale</w:t>
      </w:r>
    </w:p>
    <w:tbl>
      <w:tblPr>
        <w:tblStyle w:val="Tabelacomgrade"/>
        <w:tblW w:w="9067" w:type="dxa"/>
        <w:tblLook w:val="04A0" w:firstRow="1" w:lastRow="0" w:firstColumn="1" w:lastColumn="0" w:noHBand="0" w:noVBand="1"/>
      </w:tblPr>
      <w:tblGrid>
        <w:gridCol w:w="1380"/>
        <w:gridCol w:w="2205"/>
        <w:gridCol w:w="5670"/>
      </w:tblGrid>
      <w:tr w:rsidR="00736B7D" w:rsidRPr="007859FC" w14:paraId="0018CB6B" w14:textId="77777777" w:rsidTr="000017CB">
        <w:trPr>
          <w:trHeight w:hRule="exact" w:val="249"/>
        </w:trPr>
        <w:tc>
          <w:tcPr>
            <w:tcW w:w="9067" w:type="dxa"/>
            <w:gridSpan w:val="3"/>
            <w:noWrap/>
            <w:hideMark/>
          </w:tcPr>
          <w:p w14:paraId="3A4B917A" w14:textId="77777777" w:rsidR="00736B7D" w:rsidRPr="007859FC" w:rsidRDefault="00736B7D" w:rsidP="00E92C38">
            <w:pPr>
              <w:jc w:val="center"/>
              <w:rPr>
                <w:rFonts w:ascii="Times New Roman" w:hAnsi="Times New Roman"/>
                <w:b/>
                <w:sz w:val="20"/>
                <w:szCs w:val="24"/>
              </w:rPr>
            </w:pPr>
            <w:r w:rsidRPr="007859FC">
              <w:rPr>
                <w:rFonts w:ascii="Times New Roman" w:hAnsi="Times New Roman"/>
                <w:b/>
                <w:sz w:val="20"/>
                <w:szCs w:val="24"/>
              </w:rPr>
              <w:t>Vale</w:t>
            </w:r>
          </w:p>
        </w:tc>
      </w:tr>
      <w:tr w:rsidR="00736B7D" w:rsidRPr="007859FC" w14:paraId="3830062F" w14:textId="77777777" w:rsidTr="000017CB">
        <w:trPr>
          <w:trHeight w:hRule="exact" w:val="249"/>
        </w:trPr>
        <w:tc>
          <w:tcPr>
            <w:tcW w:w="1380" w:type="dxa"/>
            <w:noWrap/>
            <w:hideMark/>
          </w:tcPr>
          <w:p w14:paraId="52407008" w14:textId="77777777" w:rsidR="00736B7D" w:rsidRPr="007859FC" w:rsidRDefault="00736B7D" w:rsidP="00D34FAE">
            <w:pPr>
              <w:ind w:firstLine="0"/>
              <w:rPr>
                <w:rFonts w:ascii="Times New Roman" w:hAnsi="Times New Roman"/>
                <w:b/>
                <w:bCs/>
                <w:sz w:val="20"/>
                <w:szCs w:val="24"/>
              </w:rPr>
            </w:pPr>
            <w:r w:rsidRPr="007859FC">
              <w:rPr>
                <w:rFonts w:ascii="Times New Roman" w:hAnsi="Times New Roman"/>
                <w:b/>
                <w:bCs/>
                <w:sz w:val="20"/>
                <w:szCs w:val="24"/>
              </w:rPr>
              <w:t>Ano</w:t>
            </w:r>
          </w:p>
        </w:tc>
        <w:tc>
          <w:tcPr>
            <w:tcW w:w="2017" w:type="dxa"/>
            <w:noWrap/>
            <w:hideMark/>
          </w:tcPr>
          <w:p w14:paraId="0D16CA89"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Auditores</w:t>
            </w:r>
          </w:p>
        </w:tc>
        <w:tc>
          <w:tcPr>
            <w:tcW w:w="5670" w:type="dxa"/>
            <w:noWrap/>
            <w:hideMark/>
          </w:tcPr>
          <w:p w14:paraId="3E64B2E6" w14:textId="77777777" w:rsidR="00736B7D" w:rsidRPr="007859FC" w:rsidRDefault="00736B7D" w:rsidP="00E92C38">
            <w:pPr>
              <w:rPr>
                <w:rFonts w:ascii="Times New Roman" w:hAnsi="Times New Roman"/>
                <w:b/>
                <w:bCs/>
                <w:sz w:val="20"/>
                <w:szCs w:val="24"/>
              </w:rPr>
            </w:pPr>
            <w:r w:rsidRPr="007859FC">
              <w:rPr>
                <w:rFonts w:ascii="Times New Roman" w:hAnsi="Times New Roman"/>
                <w:b/>
                <w:bCs/>
                <w:sz w:val="20"/>
                <w:szCs w:val="24"/>
              </w:rPr>
              <w:t>Parecer</w:t>
            </w:r>
          </w:p>
        </w:tc>
      </w:tr>
      <w:tr w:rsidR="00736B7D" w:rsidRPr="007859FC" w14:paraId="1F3F544B" w14:textId="77777777" w:rsidTr="000017CB">
        <w:trPr>
          <w:trHeight w:hRule="exact" w:val="249"/>
        </w:trPr>
        <w:tc>
          <w:tcPr>
            <w:tcW w:w="1380" w:type="dxa"/>
            <w:noWrap/>
            <w:hideMark/>
          </w:tcPr>
          <w:p w14:paraId="256A10BE"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2010</w:t>
            </w:r>
          </w:p>
        </w:tc>
        <w:tc>
          <w:tcPr>
            <w:tcW w:w="2017" w:type="dxa"/>
            <w:noWrap/>
            <w:hideMark/>
          </w:tcPr>
          <w:p w14:paraId="7111106D" w14:textId="77777777" w:rsidR="00736B7D" w:rsidRPr="007859FC" w:rsidRDefault="00736B7D" w:rsidP="00D34FAE">
            <w:pPr>
              <w:ind w:firstLine="0"/>
              <w:rPr>
                <w:rFonts w:ascii="Times New Roman" w:hAnsi="Times New Roman"/>
                <w:sz w:val="20"/>
                <w:szCs w:val="24"/>
              </w:rPr>
            </w:pPr>
            <w:proofErr w:type="spellStart"/>
            <w:r w:rsidRPr="007859FC">
              <w:rPr>
                <w:rFonts w:ascii="Times New Roman" w:hAnsi="Times New Roman"/>
                <w:sz w:val="20"/>
                <w:szCs w:val="24"/>
              </w:rPr>
              <w:t>PricewaterhouseCoopers</w:t>
            </w:r>
            <w:proofErr w:type="spellEnd"/>
          </w:p>
        </w:tc>
        <w:tc>
          <w:tcPr>
            <w:tcW w:w="5670" w:type="dxa"/>
            <w:noWrap/>
            <w:hideMark/>
          </w:tcPr>
          <w:p w14:paraId="36B029C6"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15B359D6" w14:textId="77777777" w:rsidTr="000017CB">
        <w:trPr>
          <w:trHeight w:hRule="exact" w:val="249"/>
        </w:trPr>
        <w:tc>
          <w:tcPr>
            <w:tcW w:w="1380" w:type="dxa"/>
            <w:noWrap/>
            <w:hideMark/>
          </w:tcPr>
          <w:p w14:paraId="5B918009"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2011</w:t>
            </w:r>
          </w:p>
        </w:tc>
        <w:tc>
          <w:tcPr>
            <w:tcW w:w="2017" w:type="dxa"/>
            <w:noWrap/>
            <w:hideMark/>
          </w:tcPr>
          <w:p w14:paraId="77E9BB59" w14:textId="06AF7666" w:rsidR="00736B7D" w:rsidRPr="007859FC" w:rsidRDefault="00736B7D" w:rsidP="00D34FAE">
            <w:pPr>
              <w:ind w:firstLine="0"/>
              <w:rPr>
                <w:rFonts w:ascii="Times New Roman" w:hAnsi="Times New Roman"/>
                <w:sz w:val="20"/>
                <w:szCs w:val="24"/>
              </w:rPr>
            </w:pPr>
            <w:proofErr w:type="spellStart"/>
            <w:r w:rsidRPr="007859FC">
              <w:rPr>
                <w:rFonts w:ascii="Times New Roman" w:hAnsi="Times New Roman"/>
                <w:sz w:val="20"/>
                <w:szCs w:val="24"/>
              </w:rPr>
              <w:t>PricewaterhouseCooers</w:t>
            </w:r>
            <w:proofErr w:type="spellEnd"/>
          </w:p>
        </w:tc>
        <w:tc>
          <w:tcPr>
            <w:tcW w:w="5670" w:type="dxa"/>
            <w:noWrap/>
            <w:hideMark/>
          </w:tcPr>
          <w:p w14:paraId="5CC53C9E"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03A2D6F9" w14:textId="77777777" w:rsidTr="000017CB">
        <w:trPr>
          <w:trHeight w:hRule="exact" w:val="249"/>
        </w:trPr>
        <w:tc>
          <w:tcPr>
            <w:tcW w:w="1380" w:type="dxa"/>
            <w:noWrap/>
            <w:hideMark/>
          </w:tcPr>
          <w:p w14:paraId="1C8A1174"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2012</w:t>
            </w:r>
          </w:p>
        </w:tc>
        <w:tc>
          <w:tcPr>
            <w:tcW w:w="2017" w:type="dxa"/>
            <w:noWrap/>
            <w:hideMark/>
          </w:tcPr>
          <w:p w14:paraId="77CC5725" w14:textId="77777777" w:rsidR="00736B7D" w:rsidRPr="007859FC" w:rsidRDefault="00736B7D" w:rsidP="00D34FAE">
            <w:pPr>
              <w:ind w:firstLine="0"/>
              <w:rPr>
                <w:rFonts w:ascii="Times New Roman" w:hAnsi="Times New Roman"/>
                <w:sz w:val="20"/>
                <w:szCs w:val="24"/>
              </w:rPr>
            </w:pPr>
            <w:proofErr w:type="spellStart"/>
            <w:r w:rsidRPr="007859FC">
              <w:rPr>
                <w:rFonts w:ascii="Times New Roman" w:hAnsi="Times New Roman"/>
                <w:sz w:val="20"/>
                <w:szCs w:val="24"/>
              </w:rPr>
              <w:t>PricewaterhouseCoopers</w:t>
            </w:r>
            <w:proofErr w:type="spellEnd"/>
          </w:p>
        </w:tc>
        <w:tc>
          <w:tcPr>
            <w:tcW w:w="5670" w:type="dxa"/>
            <w:noWrap/>
            <w:hideMark/>
          </w:tcPr>
          <w:p w14:paraId="753815A2"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187DE434" w14:textId="77777777" w:rsidTr="000017CB">
        <w:trPr>
          <w:trHeight w:hRule="exact" w:val="249"/>
        </w:trPr>
        <w:tc>
          <w:tcPr>
            <w:tcW w:w="1380" w:type="dxa"/>
            <w:noWrap/>
            <w:hideMark/>
          </w:tcPr>
          <w:p w14:paraId="191DD052"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2013</w:t>
            </w:r>
          </w:p>
        </w:tc>
        <w:tc>
          <w:tcPr>
            <w:tcW w:w="2017" w:type="dxa"/>
            <w:noWrap/>
            <w:hideMark/>
          </w:tcPr>
          <w:p w14:paraId="27CDA6AB" w14:textId="77777777" w:rsidR="00736B7D" w:rsidRPr="007859FC" w:rsidRDefault="00736B7D" w:rsidP="00D34FAE">
            <w:pPr>
              <w:ind w:firstLine="0"/>
              <w:rPr>
                <w:rFonts w:ascii="Times New Roman" w:hAnsi="Times New Roman"/>
                <w:sz w:val="20"/>
                <w:szCs w:val="24"/>
              </w:rPr>
            </w:pPr>
            <w:proofErr w:type="spellStart"/>
            <w:r w:rsidRPr="007859FC">
              <w:rPr>
                <w:rFonts w:ascii="Times New Roman" w:hAnsi="Times New Roman"/>
                <w:sz w:val="20"/>
                <w:szCs w:val="24"/>
              </w:rPr>
              <w:t>PricewaterhouseCoopers</w:t>
            </w:r>
            <w:proofErr w:type="spellEnd"/>
          </w:p>
        </w:tc>
        <w:tc>
          <w:tcPr>
            <w:tcW w:w="5670" w:type="dxa"/>
            <w:noWrap/>
            <w:hideMark/>
          </w:tcPr>
          <w:p w14:paraId="177FAF89"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r w:rsidR="00736B7D" w:rsidRPr="007859FC" w14:paraId="227B8840" w14:textId="77777777" w:rsidTr="000017CB">
        <w:trPr>
          <w:trHeight w:hRule="exact" w:val="249"/>
        </w:trPr>
        <w:tc>
          <w:tcPr>
            <w:tcW w:w="1380" w:type="dxa"/>
            <w:noWrap/>
            <w:hideMark/>
          </w:tcPr>
          <w:p w14:paraId="30A852AB"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2014</w:t>
            </w:r>
          </w:p>
        </w:tc>
        <w:tc>
          <w:tcPr>
            <w:tcW w:w="2017" w:type="dxa"/>
            <w:noWrap/>
            <w:hideMark/>
          </w:tcPr>
          <w:p w14:paraId="4478314E"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KPMG</w:t>
            </w:r>
          </w:p>
        </w:tc>
        <w:tc>
          <w:tcPr>
            <w:tcW w:w="5670" w:type="dxa"/>
            <w:noWrap/>
            <w:hideMark/>
          </w:tcPr>
          <w:p w14:paraId="5208463E"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r w:rsidR="00736B7D" w:rsidRPr="007859FC" w14:paraId="326E648E" w14:textId="77777777" w:rsidTr="000017CB">
        <w:trPr>
          <w:trHeight w:hRule="exact" w:val="249"/>
        </w:trPr>
        <w:tc>
          <w:tcPr>
            <w:tcW w:w="1380" w:type="dxa"/>
            <w:noWrap/>
            <w:hideMark/>
          </w:tcPr>
          <w:p w14:paraId="7826BCEA"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2015</w:t>
            </w:r>
          </w:p>
        </w:tc>
        <w:tc>
          <w:tcPr>
            <w:tcW w:w="2017" w:type="dxa"/>
            <w:noWrap/>
            <w:hideMark/>
          </w:tcPr>
          <w:p w14:paraId="012A49A8"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KPMG</w:t>
            </w:r>
          </w:p>
        </w:tc>
        <w:tc>
          <w:tcPr>
            <w:tcW w:w="5670" w:type="dxa"/>
            <w:noWrap/>
            <w:hideMark/>
          </w:tcPr>
          <w:p w14:paraId="4E587431"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r w:rsidR="00736B7D" w:rsidRPr="007859FC" w14:paraId="37008F0B" w14:textId="77777777" w:rsidTr="000017CB">
        <w:trPr>
          <w:trHeight w:hRule="exact" w:val="249"/>
        </w:trPr>
        <w:tc>
          <w:tcPr>
            <w:tcW w:w="1380" w:type="dxa"/>
            <w:noWrap/>
            <w:hideMark/>
          </w:tcPr>
          <w:p w14:paraId="501457FA"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2016</w:t>
            </w:r>
          </w:p>
        </w:tc>
        <w:tc>
          <w:tcPr>
            <w:tcW w:w="2017" w:type="dxa"/>
            <w:noWrap/>
            <w:hideMark/>
          </w:tcPr>
          <w:p w14:paraId="377FFB18"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KPMG</w:t>
            </w:r>
          </w:p>
        </w:tc>
        <w:tc>
          <w:tcPr>
            <w:tcW w:w="5670" w:type="dxa"/>
            <w:noWrap/>
            <w:hideMark/>
          </w:tcPr>
          <w:p w14:paraId="43D0A96D"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r w:rsidR="00736B7D" w:rsidRPr="007859FC" w14:paraId="2C49FB92" w14:textId="77777777" w:rsidTr="000017CB">
        <w:trPr>
          <w:trHeight w:hRule="exact" w:val="249"/>
        </w:trPr>
        <w:tc>
          <w:tcPr>
            <w:tcW w:w="1380" w:type="dxa"/>
            <w:noWrap/>
            <w:hideMark/>
          </w:tcPr>
          <w:p w14:paraId="2B7C67AC"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2017</w:t>
            </w:r>
          </w:p>
        </w:tc>
        <w:tc>
          <w:tcPr>
            <w:tcW w:w="2017" w:type="dxa"/>
            <w:noWrap/>
            <w:hideMark/>
          </w:tcPr>
          <w:p w14:paraId="5EA200AF"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KPMG</w:t>
            </w:r>
          </w:p>
        </w:tc>
        <w:tc>
          <w:tcPr>
            <w:tcW w:w="5670" w:type="dxa"/>
            <w:noWrap/>
            <w:hideMark/>
          </w:tcPr>
          <w:p w14:paraId="08011331"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Parecer sem Ressalva</w:t>
            </w:r>
          </w:p>
        </w:tc>
      </w:tr>
      <w:tr w:rsidR="00736B7D" w:rsidRPr="007859FC" w14:paraId="5375FD6B" w14:textId="77777777" w:rsidTr="000017CB">
        <w:trPr>
          <w:trHeight w:hRule="exact" w:val="249"/>
        </w:trPr>
        <w:tc>
          <w:tcPr>
            <w:tcW w:w="1380" w:type="dxa"/>
            <w:noWrap/>
            <w:hideMark/>
          </w:tcPr>
          <w:p w14:paraId="2D44CF6E" w14:textId="77777777" w:rsidR="00736B7D" w:rsidRPr="007859FC" w:rsidRDefault="00736B7D" w:rsidP="00D34FAE">
            <w:pPr>
              <w:ind w:firstLine="0"/>
              <w:rPr>
                <w:rFonts w:ascii="Times New Roman" w:hAnsi="Times New Roman"/>
                <w:sz w:val="20"/>
                <w:szCs w:val="24"/>
              </w:rPr>
            </w:pPr>
            <w:r w:rsidRPr="007859FC">
              <w:rPr>
                <w:rFonts w:ascii="Times New Roman" w:hAnsi="Times New Roman"/>
                <w:sz w:val="20"/>
                <w:szCs w:val="24"/>
              </w:rPr>
              <w:t>2018</w:t>
            </w:r>
          </w:p>
        </w:tc>
        <w:tc>
          <w:tcPr>
            <w:tcW w:w="2017" w:type="dxa"/>
            <w:noWrap/>
            <w:hideMark/>
          </w:tcPr>
          <w:p w14:paraId="43D67C10"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 xml:space="preserve">KPMG </w:t>
            </w:r>
          </w:p>
        </w:tc>
        <w:tc>
          <w:tcPr>
            <w:tcW w:w="5670" w:type="dxa"/>
            <w:noWrap/>
            <w:hideMark/>
          </w:tcPr>
          <w:p w14:paraId="16624822" w14:textId="77777777" w:rsidR="00736B7D" w:rsidRPr="007859FC" w:rsidRDefault="00736B7D" w:rsidP="00E92C38">
            <w:pPr>
              <w:rPr>
                <w:rFonts w:ascii="Times New Roman" w:hAnsi="Times New Roman"/>
                <w:sz w:val="20"/>
                <w:szCs w:val="24"/>
              </w:rPr>
            </w:pPr>
            <w:r w:rsidRPr="007859FC">
              <w:rPr>
                <w:rFonts w:ascii="Times New Roman" w:hAnsi="Times New Roman"/>
                <w:sz w:val="20"/>
                <w:szCs w:val="24"/>
              </w:rPr>
              <w:t>Ênfase</w:t>
            </w:r>
          </w:p>
        </w:tc>
      </w:tr>
    </w:tbl>
    <w:p w14:paraId="7087CD22" w14:textId="77777777" w:rsidR="00736B7D" w:rsidRPr="007859FC" w:rsidRDefault="00736B7D" w:rsidP="00D34FAE">
      <w:pPr>
        <w:spacing w:after="120"/>
        <w:ind w:firstLine="0"/>
        <w:rPr>
          <w:szCs w:val="24"/>
        </w:rPr>
      </w:pPr>
      <w:r w:rsidRPr="007859FC">
        <w:rPr>
          <w:sz w:val="20"/>
        </w:rPr>
        <w:t>Fonte: Dados da pesquisa</w:t>
      </w:r>
      <w:r w:rsidRPr="007859FC">
        <w:rPr>
          <w:b/>
          <w:sz w:val="20"/>
        </w:rPr>
        <w:t>.</w:t>
      </w:r>
    </w:p>
    <w:p w14:paraId="24D57455" w14:textId="145DD284" w:rsidR="00736B7D" w:rsidRDefault="00736B7D" w:rsidP="00736B7D">
      <w:pPr>
        <w:rPr>
          <w:szCs w:val="24"/>
        </w:rPr>
      </w:pPr>
      <w:r>
        <w:rPr>
          <w:szCs w:val="24"/>
        </w:rPr>
        <w:t xml:space="preserve">Dentre os períodos de 2010 </w:t>
      </w:r>
      <w:proofErr w:type="gramStart"/>
      <w:r>
        <w:rPr>
          <w:szCs w:val="24"/>
        </w:rPr>
        <w:t>à</w:t>
      </w:r>
      <w:proofErr w:type="gramEnd"/>
      <w:r>
        <w:rPr>
          <w:szCs w:val="24"/>
        </w:rPr>
        <w:t xml:space="preserve"> 2013 a auditoria enfatiza a</w:t>
      </w:r>
      <w:r w:rsidRPr="00DA2724">
        <w:rPr>
          <w:szCs w:val="24"/>
        </w:rPr>
        <w:t xml:space="preserve"> avaliação dos investimentos em con</w:t>
      </w:r>
      <w:r>
        <w:rPr>
          <w:szCs w:val="24"/>
        </w:rPr>
        <w:t>troladas e coligadas realizado</w:t>
      </w:r>
      <w:r w:rsidRPr="00DA2724">
        <w:rPr>
          <w:szCs w:val="24"/>
        </w:rPr>
        <w:t xml:space="preserve"> através do método de equivalência pa</w:t>
      </w:r>
      <w:r>
        <w:rPr>
          <w:szCs w:val="24"/>
        </w:rPr>
        <w:t>trimonial, enquanto para fins do</w:t>
      </w:r>
      <w:r w:rsidRPr="00DA2724">
        <w:rPr>
          <w:szCs w:val="24"/>
        </w:rPr>
        <w:t xml:space="preserve"> IFRS seria pelo valor justo ou</w:t>
      </w:r>
      <w:r>
        <w:rPr>
          <w:szCs w:val="24"/>
        </w:rPr>
        <w:t xml:space="preserve"> pelo valor de</w:t>
      </w:r>
      <w:r w:rsidRPr="00DA2724">
        <w:rPr>
          <w:szCs w:val="24"/>
        </w:rPr>
        <w:t xml:space="preserve"> custo.</w:t>
      </w:r>
    </w:p>
    <w:p w14:paraId="701E3E2F" w14:textId="3DD76E83" w:rsidR="00736B7D" w:rsidRPr="00D34FAE" w:rsidRDefault="00736B7D" w:rsidP="00D34FAE">
      <w:pPr>
        <w:rPr>
          <w:szCs w:val="24"/>
          <w:highlight w:val="yellow"/>
        </w:rPr>
      </w:pPr>
      <w:r>
        <w:rPr>
          <w:szCs w:val="24"/>
        </w:rPr>
        <w:t xml:space="preserve">Os relatórios da auditoria e as demonstrações contábeis divulgadas pela Vale, não mencionam sobre o seu envolvimento na operação </w:t>
      </w:r>
      <w:r w:rsidR="004D3095">
        <w:rPr>
          <w:szCs w:val="24"/>
        </w:rPr>
        <w:t>Lava Jato</w:t>
      </w:r>
      <w:r>
        <w:rPr>
          <w:szCs w:val="24"/>
        </w:rPr>
        <w:t>, ou sobre a ruptura da barragem da Samarco</w:t>
      </w:r>
      <w:r w:rsidR="00DC4CF5">
        <w:rPr>
          <w:szCs w:val="24"/>
        </w:rPr>
        <w:t xml:space="preserve">. </w:t>
      </w:r>
      <w:r>
        <w:rPr>
          <w:szCs w:val="24"/>
        </w:rPr>
        <w:t>Nas notas explicativas de</w:t>
      </w:r>
      <w:r w:rsidRPr="00CE0AB2">
        <w:rPr>
          <w:szCs w:val="24"/>
        </w:rPr>
        <w:t xml:space="preserve"> 2016</w:t>
      </w:r>
      <w:r w:rsidR="00DC4CF5">
        <w:rPr>
          <w:szCs w:val="24"/>
        </w:rPr>
        <w:t xml:space="preserve">, </w:t>
      </w:r>
      <w:r w:rsidRPr="00CE0AB2">
        <w:rPr>
          <w:szCs w:val="24"/>
        </w:rPr>
        <w:t>a Vale S.A.</w:t>
      </w:r>
      <w:r>
        <w:rPr>
          <w:szCs w:val="24"/>
        </w:rPr>
        <w:t xml:space="preserve"> destaca que</w:t>
      </w:r>
      <w:r w:rsidRPr="00CE0AB2">
        <w:rPr>
          <w:szCs w:val="24"/>
        </w:rPr>
        <w:t xml:space="preserve"> alguns de seus executivos foram indicados como réus em potenciais ações coletivas relativas a valores mobiliários perante o Tribunal Federal de Nova York, movidas por investidores com base na legislação federal americana sobre valores mobiliários</w:t>
      </w:r>
      <w:r w:rsidR="00DC4CF5">
        <w:rPr>
          <w:szCs w:val="24"/>
        </w:rPr>
        <w:t xml:space="preserve">. </w:t>
      </w:r>
    </w:p>
    <w:p w14:paraId="53447BEC" w14:textId="77777777" w:rsidR="00736B7D" w:rsidRPr="007859FC" w:rsidRDefault="00736B7D" w:rsidP="00736B7D">
      <w:pPr>
        <w:rPr>
          <w:szCs w:val="24"/>
        </w:rPr>
      </w:pPr>
      <w:r w:rsidRPr="007859FC">
        <w:rPr>
          <w:szCs w:val="24"/>
        </w:rPr>
        <w:t xml:space="preserve"> </w:t>
      </w:r>
    </w:p>
    <w:p w14:paraId="0552E77A" w14:textId="2A4CC8F7" w:rsidR="00736B7D" w:rsidRPr="007859FC" w:rsidRDefault="00D34FAE" w:rsidP="00736B7D">
      <w:pPr>
        <w:ind w:firstLine="0"/>
        <w:rPr>
          <w:b/>
          <w:szCs w:val="24"/>
        </w:rPr>
      </w:pPr>
      <w:r w:rsidRPr="007859FC">
        <w:rPr>
          <w:b/>
          <w:szCs w:val="24"/>
        </w:rPr>
        <w:t xml:space="preserve">5 </w:t>
      </w:r>
      <w:r>
        <w:rPr>
          <w:b/>
          <w:szCs w:val="24"/>
        </w:rPr>
        <w:t>Considerações Finais</w:t>
      </w:r>
    </w:p>
    <w:p w14:paraId="5886E585" w14:textId="71AA5B9C" w:rsidR="00736B7D" w:rsidRDefault="00736B7D" w:rsidP="00736B7D">
      <w:pPr>
        <w:ind w:firstLine="708"/>
        <w:rPr>
          <w:szCs w:val="24"/>
        </w:rPr>
      </w:pPr>
      <w:r w:rsidRPr="007859FC">
        <w:rPr>
          <w:szCs w:val="24"/>
        </w:rPr>
        <w:t xml:space="preserve">O estudo realizado buscou analisar os pareceres de auditoria das empresas listadas na B3 e envolvidas no escândalo da </w:t>
      </w:r>
      <w:r w:rsidR="004D3095">
        <w:rPr>
          <w:szCs w:val="24"/>
        </w:rPr>
        <w:t>Lava Jato</w:t>
      </w:r>
      <w:r w:rsidRPr="007859FC">
        <w:rPr>
          <w:szCs w:val="24"/>
        </w:rPr>
        <w:t>, ao realizar a pesquisa identificou-se que as empresas alteraram suas demonstrações contá</w:t>
      </w:r>
      <w:r>
        <w:rPr>
          <w:szCs w:val="24"/>
        </w:rPr>
        <w:t>beis depois da publicação na B3. A</w:t>
      </w:r>
      <w:r w:rsidRPr="007859FC">
        <w:rPr>
          <w:szCs w:val="24"/>
        </w:rPr>
        <w:t xml:space="preserve"> reapresentação dos resultados divulgados estavam relacionados a não evidenciação de saldos, alterações e mudança em práticas contábeis, reclassificações de contas, ou não foram informados</w:t>
      </w:r>
      <w:r>
        <w:rPr>
          <w:szCs w:val="24"/>
        </w:rPr>
        <w:t xml:space="preserve"> o motivo das alterações.</w:t>
      </w:r>
    </w:p>
    <w:p w14:paraId="4BAB56E7" w14:textId="646D4AEC" w:rsidR="00736B7D" w:rsidRPr="008343F2" w:rsidRDefault="00736B7D" w:rsidP="00736B7D">
      <w:pPr>
        <w:ind w:firstLine="708"/>
        <w:rPr>
          <w:szCs w:val="24"/>
        </w:rPr>
      </w:pPr>
      <w:r w:rsidRPr="007859FC">
        <w:rPr>
          <w:szCs w:val="24"/>
        </w:rPr>
        <w:t xml:space="preserve"> </w:t>
      </w:r>
      <w:r>
        <w:rPr>
          <w:szCs w:val="24"/>
        </w:rPr>
        <w:t xml:space="preserve">As reapresentações das demonstrações contábeis </w:t>
      </w:r>
      <w:r w:rsidRPr="007859FC">
        <w:rPr>
          <w:szCs w:val="24"/>
        </w:rPr>
        <w:t xml:space="preserve">estavam </w:t>
      </w:r>
      <w:r>
        <w:rPr>
          <w:szCs w:val="24"/>
        </w:rPr>
        <w:t>publicadas somente no</w:t>
      </w:r>
      <w:r w:rsidRPr="007859FC">
        <w:rPr>
          <w:szCs w:val="24"/>
        </w:rPr>
        <w:t xml:space="preserve"> ano seguinte e não estavam reapresentada</w:t>
      </w:r>
      <w:r>
        <w:rPr>
          <w:szCs w:val="24"/>
        </w:rPr>
        <w:t>s no ano em que ocorreu efetivamente a</w:t>
      </w:r>
      <w:r w:rsidRPr="007859FC">
        <w:rPr>
          <w:szCs w:val="24"/>
        </w:rPr>
        <w:t xml:space="preserve"> alteração, prejudicando assim o investidor </w:t>
      </w:r>
      <w:r>
        <w:rPr>
          <w:szCs w:val="24"/>
        </w:rPr>
        <w:t>no momento de</w:t>
      </w:r>
      <w:r w:rsidRPr="007859FC">
        <w:rPr>
          <w:szCs w:val="24"/>
        </w:rPr>
        <w:t xml:space="preserve"> analisar a informação</w:t>
      </w:r>
      <w:r>
        <w:rPr>
          <w:szCs w:val="24"/>
        </w:rPr>
        <w:t xml:space="preserve"> constante</w:t>
      </w:r>
      <w:r w:rsidRPr="007859FC">
        <w:rPr>
          <w:szCs w:val="24"/>
        </w:rPr>
        <w:t xml:space="preserve"> das demonstrações contábeis de um determinado período.</w:t>
      </w:r>
      <w:r w:rsidR="000E3935">
        <w:rPr>
          <w:szCs w:val="24"/>
        </w:rPr>
        <w:t xml:space="preserve"> </w:t>
      </w:r>
      <w:r>
        <w:rPr>
          <w:szCs w:val="24"/>
        </w:rPr>
        <w:t>Os relatórios das</w:t>
      </w:r>
      <w:r w:rsidRPr="007859FC">
        <w:rPr>
          <w:szCs w:val="24"/>
        </w:rPr>
        <w:t xml:space="preserve"> opi</w:t>
      </w:r>
      <w:r>
        <w:rPr>
          <w:szCs w:val="24"/>
        </w:rPr>
        <w:t>niões das demonstrações contábeis foram realizados</w:t>
      </w:r>
      <w:r w:rsidRPr="007859FC">
        <w:rPr>
          <w:szCs w:val="24"/>
        </w:rPr>
        <w:t xml:space="preserve"> 72% pelas empresas</w:t>
      </w:r>
      <w:r>
        <w:rPr>
          <w:szCs w:val="24"/>
        </w:rPr>
        <w:t xml:space="preserve"> pertencentes ao grupo da auditoria das</w:t>
      </w:r>
      <w:r w:rsidRPr="007859FC">
        <w:rPr>
          <w:szCs w:val="24"/>
        </w:rPr>
        <w:t xml:space="preserve"> </w:t>
      </w:r>
      <w:r w:rsidRPr="007859FC">
        <w:rPr>
          <w:i/>
          <w:szCs w:val="24"/>
        </w:rPr>
        <w:t>Big Four</w:t>
      </w:r>
      <w:r w:rsidRPr="007859FC">
        <w:rPr>
          <w:szCs w:val="24"/>
        </w:rPr>
        <w:t xml:space="preserve">, </w:t>
      </w:r>
      <w:r>
        <w:rPr>
          <w:szCs w:val="24"/>
        </w:rPr>
        <w:t xml:space="preserve">destaca-se a empresa BDO Auditores independes </w:t>
      </w:r>
      <w:r w:rsidRPr="008343F2">
        <w:rPr>
          <w:szCs w:val="24"/>
        </w:rPr>
        <w:t xml:space="preserve">que apesar de não pertencer ao grupo das </w:t>
      </w:r>
      <w:r w:rsidRPr="008343F2">
        <w:rPr>
          <w:i/>
          <w:szCs w:val="24"/>
        </w:rPr>
        <w:t xml:space="preserve">Big Four </w:t>
      </w:r>
      <w:r w:rsidRPr="008343F2">
        <w:rPr>
          <w:szCs w:val="24"/>
        </w:rPr>
        <w:t xml:space="preserve">teve uma melhor média de empresas auditadas, acima das empresas </w:t>
      </w:r>
      <w:r w:rsidRPr="008343F2">
        <w:rPr>
          <w:color w:val="000000" w:themeColor="text1"/>
          <w:szCs w:val="24"/>
          <w:shd w:val="clear" w:color="auto" w:fill="FFFFFF"/>
        </w:rPr>
        <w:t xml:space="preserve">Deloitte e </w:t>
      </w:r>
      <w:proofErr w:type="spellStart"/>
      <w:r w:rsidRPr="008343F2">
        <w:rPr>
          <w:color w:val="000000" w:themeColor="text1"/>
          <w:szCs w:val="24"/>
          <w:shd w:val="clear" w:color="auto" w:fill="FFFFFF"/>
        </w:rPr>
        <w:t>Ernest&amp;Yuong</w:t>
      </w:r>
      <w:proofErr w:type="spellEnd"/>
      <w:r w:rsidRPr="008343F2">
        <w:rPr>
          <w:color w:val="000000" w:themeColor="text1"/>
          <w:szCs w:val="24"/>
          <w:shd w:val="clear" w:color="auto" w:fill="FFFFFF"/>
        </w:rPr>
        <w:t>.</w:t>
      </w:r>
    </w:p>
    <w:p w14:paraId="0731CA24" w14:textId="77777777" w:rsidR="00736B7D" w:rsidRPr="008343F2" w:rsidRDefault="00736B7D" w:rsidP="00736B7D">
      <w:pPr>
        <w:ind w:firstLine="708"/>
        <w:rPr>
          <w:szCs w:val="24"/>
        </w:rPr>
      </w:pPr>
      <w:r w:rsidRPr="008343F2">
        <w:rPr>
          <w:szCs w:val="24"/>
        </w:rPr>
        <w:t xml:space="preserve"> As empresas que prestam os serviços de auditoria por longo tempo na mesma empresa, acabam deixando seus relatórios similares entre os anos o que prejudica a análise do usuário destas informações, pois aparenta que não ocorreram nenhum tipo alteração ou informação relevante na </w:t>
      </w:r>
      <w:r w:rsidRPr="008343F2">
        <w:rPr>
          <w:szCs w:val="24"/>
        </w:rPr>
        <w:lastRenderedPageBreak/>
        <w:t xml:space="preserve">empresa em comparação a outros períodos. </w:t>
      </w:r>
    </w:p>
    <w:p w14:paraId="3F9AFE74" w14:textId="1FF0EE7B" w:rsidR="00736B7D" w:rsidRPr="008343F2" w:rsidRDefault="00D34FAE" w:rsidP="00736B7D">
      <w:pPr>
        <w:ind w:firstLine="708"/>
        <w:rPr>
          <w:szCs w:val="24"/>
        </w:rPr>
      </w:pPr>
      <w:r w:rsidRPr="008343F2">
        <w:rPr>
          <w:szCs w:val="24"/>
        </w:rPr>
        <w:t>No</w:t>
      </w:r>
      <w:r w:rsidR="00736B7D" w:rsidRPr="008343F2">
        <w:rPr>
          <w:szCs w:val="24"/>
        </w:rPr>
        <w:t xml:space="preserve">s pareceres dos auditores das empresas Andrade Gutierrez, </w:t>
      </w:r>
      <w:proofErr w:type="spellStart"/>
      <w:r w:rsidR="00736B7D" w:rsidRPr="008343F2">
        <w:rPr>
          <w:szCs w:val="24"/>
        </w:rPr>
        <w:t>Brasken</w:t>
      </w:r>
      <w:proofErr w:type="spellEnd"/>
      <w:r w:rsidR="00736B7D" w:rsidRPr="008343F2">
        <w:rPr>
          <w:szCs w:val="24"/>
        </w:rPr>
        <w:t xml:space="preserve">, BTG Pactual, Inepar, JBS, Mendes Junior e Petrobras foram destacados fatos relacionados à investigação da operação </w:t>
      </w:r>
      <w:r w:rsidR="004D3095">
        <w:rPr>
          <w:szCs w:val="24"/>
        </w:rPr>
        <w:t>Lava Jato</w:t>
      </w:r>
      <w:r w:rsidR="00736B7D" w:rsidRPr="008343F2">
        <w:rPr>
          <w:szCs w:val="24"/>
        </w:rPr>
        <w:t xml:space="preserve"> e escândalos de corrupção, a maioria dos fatos foram evidenciados somente após o ano de 2014</w:t>
      </w:r>
      <w:r w:rsidRPr="008343F2">
        <w:rPr>
          <w:szCs w:val="24"/>
        </w:rPr>
        <w:t xml:space="preserve">, </w:t>
      </w:r>
      <w:r w:rsidR="00736B7D" w:rsidRPr="008343F2">
        <w:rPr>
          <w:szCs w:val="24"/>
        </w:rPr>
        <w:t xml:space="preserve">quando foi deflagrada a operação. As empresas </w:t>
      </w:r>
      <w:proofErr w:type="spellStart"/>
      <w:r w:rsidR="00736B7D" w:rsidRPr="008343F2">
        <w:rPr>
          <w:szCs w:val="24"/>
        </w:rPr>
        <w:t>Eletrobras</w:t>
      </w:r>
      <w:proofErr w:type="spellEnd"/>
      <w:r w:rsidR="00736B7D" w:rsidRPr="008343F2">
        <w:rPr>
          <w:szCs w:val="24"/>
        </w:rPr>
        <w:t xml:space="preserve">, Queiroz Galvão e Vale não divulgaram nenhuma informação nas suas notas explicativas sobre os envolvimentos das empresas na operação </w:t>
      </w:r>
      <w:r w:rsidR="004D3095">
        <w:rPr>
          <w:szCs w:val="24"/>
        </w:rPr>
        <w:t>Lava Jato</w:t>
      </w:r>
      <w:r w:rsidR="00736B7D" w:rsidRPr="008343F2">
        <w:rPr>
          <w:szCs w:val="24"/>
        </w:rPr>
        <w:t>, também não foram evidenciad</w:t>
      </w:r>
      <w:r w:rsidR="004D3095">
        <w:rPr>
          <w:szCs w:val="24"/>
        </w:rPr>
        <w:t>os pelos</w:t>
      </w:r>
      <w:r w:rsidR="00736B7D" w:rsidRPr="008343F2">
        <w:rPr>
          <w:szCs w:val="24"/>
        </w:rPr>
        <w:t xml:space="preserve"> auditores em seus relatórios de opinião sobre as demonstrações contábeis dentro do período analisado.  </w:t>
      </w:r>
    </w:p>
    <w:p w14:paraId="0DC459EF" w14:textId="236BB0BB" w:rsidR="00DC4CF5" w:rsidRDefault="00DC4CF5" w:rsidP="00736B7D">
      <w:pPr>
        <w:ind w:firstLine="708"/>
        <w:rPr>
          <w:szCs w:val="24"/>
        </w:rPr>
      </w:pPr>
      <w:r w:rsidRPr="008343F2">
        <w:rPr>
          <w:szCs w:val="24"/>
        </w:rPr>
        <w:t>De forma geral, os resultados evidenciam a importância do papel dos auditores, especialmente quanto à autonomia para com a veracidade das informações contábeis, visando cumprir com o papel de refletir aos</w:t>
      </w:r>
      <w:r>
        <w:rPr>
          <w:szCs w:val="24"/>
        </w:rPr>
        <w:t xml:space="preserve"> usuários das informações a qualidade das informações contábeis, enfatizando ressalva ou parecer com ressalva, diante de situações que possam comprometer a qualidade da análise e do parecer emitido.</w:t>
      </w:r>
    </w:p>
    <w:p w14:paraId="38208F8B" w14:textId="11AE4BBF" w:rsidR="00736B7D" w:rsidRPr="004A26E4" w:rsidRDefault="00736B7D" w:rsidP="00736B7D">
      <w:pPr>
        <w:ind w:firstLine="708"/>
        <w:rPr>
          <w:szCs w:val="24"/>
        </w:rPr>
      </w:pPr>
      <w:r w:rsidRPr="00DC71F3">
        <w:rPr>
          <w:szCs w:val="24"/>
        </w:rPr>
        <w:t xml:space="preserve">Recomenda-se </w:t>
      </w:r>
      <w:r w:rsidR="00DC4CF5">
        <w:rPr>
          <w:szCs w:val="24"/>
        </w:rPr>
        <w:t xml:space="preserve">que novas pesquisas possam </w:t>
      </w:r>
      <w:r w:rsidRPr="00DC71F3">
        <w:rPr>
          <w:szCs w:val="24"/>
        </w:rPr>
        <w:t>aborda</w:t>
      </w:r>
      <w:r w:rsidR="00DC4CF5">
        <w:rPr>
          <w:szCs w:val="24"/>
        </w:rPr>
        <w:t>r outras empresas e</w:t>
      </w:r>
      <w:r w:rsidRPr="00DC71F3">
        <w:rPr>
          <w:szCs w:val="24"/>
        </w:rPr>
        <w:t xml:space="preserve"> amplia</w:t>
      </w:r>
      <w:r w:rsidR="00DC4CF5">
        <w:rPr>
          <w:szCs w:val="24"/>
        </w:rPr>
        <w:t>r</w:t>
      </w:r>
      <w:r w:rsidRPr="00DC71F3">
        <w:rPr>
          <w:szCs w:val="24"/>
        </w:rPr>
        <w:t xml:space="preserve"> </w:t>
      </w:r>
      <w:r w:rsidR="00DC4CF5">
        <w:rPr>
          <w:szCs w:val="24"/>
        </w:rPr>
        <w:t>o</w:t>
      </w:r>
      <w:r w:rsidRPr="00DC71F3">
        <w:rPr>
          <w:szCs w:val="24"/>
        </w:rPr>
        <w:t xml:space="preserve"> comparativo </w:t>
      </w:r>
      <w:r w:rsidR="00DC4CF5">
        <w:rPr>
          <w:szCs w:val="24"/>
        </w:rPr>
        <w:t>dos pareceres emitido, especialmente quanto aos efeitos nos resultados patrimoniais</w:t>
      </w:r>
      <w:r w:rsidRPr="00DC71F3">
        <w:rPr>
          <w:szCs w:val="24"/>
        </w:rPr>
        <w:t>.</w:t>
      </w:r>
    </w:p>
    <w:p w14:paraId="57F8D8E9" w14:textId="77777777" w:rsidR="008343F2" w:rsidRDefault="008343F2" w:rsidP="008343F2">
      <w:pPr>
        <w:ind w:firstLine="0"/>
        <w:rPr>
          <w:b/>
          <w:color w:val="000000" w:themeColor="text1"/>
          <w:szCs w:val="24"/>
        </w:rPr>
      </w:pPr>
    </w:p>
    <w:p w14:paraId="542F9472" w14:textId="00A6537E" w:rsidR="00736B7D" w:rsidRPr="00CD5938" w:rsidRDefault="00D34FAE" w:rsidP="008343F2">
      <w:pPr>
        <w:ind w:firstLine="0"/>
        <w:jc w:val="center"/>
        <w:rPr>
          <w:b/>
          <w:color w:val="000000" w:themeColor="text1"/>
          <w:szCs w:val="24"/>
        </w:rPr>
      </w:pPr>
      <w:r w:rsidRPr="00CD5938">
        <w:rPr>
          <w:b/>
          <w:color w:val="000000" w:themeColor="text1"/>
          <w:szCs w:val="24"/>
        </w:rPr>
        <w:t>Referências</w:t>
      </w:r>
    </w:p>
    <w:p w14:paraId="0F319235" w14:textId="5DF692AB" w:rsidR="00736B7D" w:rsidRPr="00CD5938" w:rsidRDefault="00887D3E" w:rsidP="008343F2">
      <w:pPr>
        <w:tabs>
          <w:tab w:val="left" w:pos="1215"/>
        </w:tabs>
        <w:ind w:firstLine="0"/>
        <w:rPr>
          <w:color w:val="000000" w:themeColor="text1"/>
          <w:szCs w:val="24"/>
        </w:rPr>
      </w:pPr>
      <w:r w:rsidRPr="00CD5938">
        <w:rPr>
          <w:color w:val="000000" w:themeColor="text1"/>
          <w:szCs w:val="24"/>
        </w:rPr>
        <w:t>Almeida, S. R. V.</w:t>
      </w:r>
      <w:r>
        <w:rPr>
          <w:color w:val="000000" w:themeColor="text1"/>
          <w:szCs w:val="24"/>
        </w:rPr>
        <w:t xml:space="preserve">, </w:t>
      </w:r>
      <w:r w:rsidRPr="00CD5938">
        <w:rPr>
          <w:color w:val="000000" w:themeColor="text1"/>
          <w:szCs w:val="24"/>
        </w:rPr>
        <w:t>Silva, D. C. G.</w:t>
      </w:r>
      <w:r>
        <w:rPr>
          <w:color w:val="000000" w:themeColor="text1"/>
          <w:szCs w:val="24"/>
        </w:rPr>
        <w:t xml:space="preserve">, &amp; </w:t>
      </w:r>
      <w:r w:rsidRPr="00CD5938">
        <w:rPr>
          <w:color w:val="000000" w:themeColor="text1"/>
          <w:szCs w:val="24"/>
        </w:rPr>
        <w:t>Peixoto, M. M. C. L.</w:t>
      </w:r>
      <w:r>
        <w:rPr>
          <w:color w:val="000000" w:themeColor="text1"/>
          <w:szCs w:val="24"/>
        </w:rPr>
        <w:t xml:space="preserve"> (2019). </w:t>
      </w:r>
      <w:r w:rsidR="00736B7D" w:rsidRPr="00CD5938">
        <w:rPr>
          <w:color w:val="000000" w:themeColor="text1"/>
          <w:szCs w:val="24"/>
        </w:rPr>
        <w:t xml:space="preserve">Responsabilidade do auditor independente na detecção de fraudes: A visão da sociedade. </w:t>
      </w:r>
      <w:r w:rsidR="00736B7D" w:rsidRPr="00887D3E">
        <w:rPr>
          <w:bCs/>
          <w:i/>
          <w:iCs/>
          <w:color w:val="000000" w:themeColor="text1"/>
          <w:szCs w:val="24"/>
        </w:rPr>
        <w:t>Revista Eletrônica de Administração da Universidade Santa Úrsula</w:t>
      </w:r>
      <w:r>
        <w:rPr>
          <w:bCs/>
          <w:i/>
          <w:iCs/>
          <w:color w:val="000000" w:themeColor="text1"/>
          <w:szCs w:val="24"/>
        </w:rPr>
        <w:t xml:space="preserve">, </w:t>
      </w:r>
      <w:r w:rsidR="00736B7D" w:rsidRPr="00CD5938">
        <w:rPr>
          <w:color w:val="000000" w:themeColor="text1"/>
          <w:szCs w:val="24"/>
        </w:rPr>
        <w:t>3</w:t>
      </w:r>
      <w:r>
        <w:rPr>
          <w:color w:val="000000" w:themeColor="text1"/>
          <w:szCs w:val="24"/>
        </w:rPr>
        <w:t>(</w:t>
      </w:r>
      <w:r w:rsidR="00736B7D" w:rsidRPr="00CD5938">
        <w:rPr>
          <w:color w:val="000000" w:themeColor="text1"/>
          <w:szCs w:val="24"/>
        </w:rPr>
        <w:t>2</w:t>
      </w:r>
      <w:r>
        <w:rPr>
          <w:color w:val="000000" w:themeColor="text1"/>
          <w:szCs w:val="24"/>
        </w:rPr>
        <w:t>)</w:t>
      </w:r>
      <w:r w:rsidR="00736B7D" w:rsidRPr="00CD5938">
        <w:rPr>
          <w:color w:val="000000" w:themeColor="text1"/>
          <w:szCs w:val="24"/>
        </w:rPr>
        <w:t>,</w:t>
      </w:r>
      <w:r>
        <w:rPr>
          <w:color w:val="000000" w:themeColor="text1"/>
          <w:szCs w:val="24"/>
        </w:rPr>
        <w:t xml:space="preserve"> </w:t>
      </w:r>
      <w:r w:rsidR="00736B7D" w:rsidRPr="00CD5938">
        <w:rPr>
          <w:color w:val="000000" w:themeColor="text1"/>
          <w:szCs w:val="24"/>
        </w:rPr>
        <w:t>297-313</w:t>
      </w:r>
      <w:r>
        <w:rPr>
          <w:color w:val="000000" w:themeColor="text1"/>
          <w:szCs w:val="24"/>
        </w:rPr>
        <w:t>.</w:t>
      </w:r>
    </w:p>
    <w:p w14:paraId="65630E72" w14:textId="1EA4BCA6" w:rsidR="00736B7D" w:rsidRPr="00CD5938" w:rsidRDefault="00887D3E" w:rsidP="00D34FAE">
      <w:pPr>
        <w:ind w:firstLine="0"/>
        <w:rPr>
          <w:color w:val="000000" w:themeColor="text1"/>
          <w:szCs w:val="24"/>
        </w:rPr>
      </w:pPr>
      <w:r w:rsidRPr="00CD5938">
        <w:rPr>
          <w:color w:val="000000" w:themeColor="text1"/>
          <w:szCs w:val="24"/>
        </w:rPr>
        <w:t>Araújo, E. C. C.</w:t>
      </w:r>
      <w:r>
        <w:rPr>
          <w:color w:val="000000" w:themeColor="text1"/>
          <w:szCs w:val="24"/>
        </w:rPr>
        <w:t>,</w:t>
      </w:r>
      <w:r w:rsidRPr="00CD5938">
        <w:rPr>
          <w:color w:val="000000" w:themeColor="text1"/>
          <w:szCs w:val="24"/>
        </w:rPr>
        <w:t xml:space="preserve"> Rodrigues, V. R. D. S.</w:t>
      </w:r>
      <w:r>
        <w:rPr>
          <w:color w:val="000000" w:themeColor="text1"/>
          <w:szCs w:val="24"/>
        </w:rPr>
        <w:t>,</w:t>
      </w:r>
      <w:r w:rsidRPr="00CD5938">
        <w:rPr>
          <w:color w:val="000000" w:themeColor="text1"/>
          <w:szCs w:val="24"/>
        </w:rPr>
        <w:t xml:space="preserve"> </w:t>
      </w:r>
      <w:proofErr w:type="spellStart"/>
      <w:r w:rsidRPr="00CD5938">
        <w:rPr>
          <w:color w:val="000000" w:themeColor="text1"/>
          <w:szCs w:val="24"/>
        </w:rPr>
        <w:t>Monte-Mor</w:t>
      </w:r>
      <w:proofErr w:type="spellEnd"/>
      <w:r w:rsidRPr="00CD5938">
        <w:rPr>
          <w:color w:val="000000" w:themeColor="text1"/>
          <w:szCs w:val="24"/>
        </w:rPr>
        <w:t>, D. S.</w:t>
      </w:r>
      <w:r>
        <w:rPr>
          <w:color w:val="000000" w:themeColor="text1"/>
          <w:szCs w:val="24"/>
        </w:rPr>
        <w:t>, &amp;</w:t>
      </w:r>
      <w:r w:rsidRPr="00CD5938">
        <w:rPr>
          <w:color w:val="000000" w:themeColor="text1"/>
          <w:szCs w:val="24"/>
        </w:rPr>
        <w:t xml:space="preserve"> Correia, R. D. </w:t>
      </w:r>
      <w:r>
        <w:rPr>
          <w:color w:val="000000" w:themeColor="text1"/>
          <w:szCs w:val="24"/>
        </w:rPr>
        <w:t xml:space="preserve">(2018). </w:t>
      </w:r>
      <w:r w:rsidR="00736B7D" w:rsidRPr="00CD5938">
        <w:rPr>
          <w:color w:val="000000" w:themeColor="text1"/>
          <w:szCs w:val="24"/>
        </w:rPr>
        <w:t xml:space="preserve">Corrupção </w:t>
      </w:r>
      <w:r w:rsidRPr="00CD5938">
        <w:rPr>
          <w:color w:val="000000" w:themeColor="text1"/>
          <w:szCs w:val="24"/>
        </w:rPr>
        <w:t xml:space="preserve">e valor de mercado: os efeitos da operação </w:t>
      </w:r>
      <w:r w:rsidR="004D3095">
        <w:rPr>
          <w:color w:val="000000" w:themeColor="text1"/>
          <w:szCs w:val="24"/>
        </w:rPr>
        <w:t>Lava Jato</w:t>
      </w:r>
      <w:r w:rsidRPr="00CD5938">
        <w:rPr>
          <w:color w:val="000000" w:themeColor="text1"/>
          <w:szCs w:val="24"/>
        </w:rPr>
        <w:t xml:space="preserve"> sobre o mercado de ações </w:t>
      </w:r>
      <w:r w:rsidR="00736B7D" w:rsidRPr="00CD5938">
        <w:rPr>
          <w:color w:val="000000" w:themeColor="text1"/>
          <w:szCs w:val="24"/>
        </w:rPr>
        <w:t xml:space="preserve">no Brasil. </w:t>
      </w:r>
      <w:r w:rsidR="00736B7D" w:rsidRPr="00887D3E">
        <w:rPr>
          <w:bCs/>
          <w:i/>
          <w:iCs/>
          <w:color w:val="000000" w:themeColor="text1"/>
          <w:szCs w:val="24"/>
        </w:rPr>
        <w:t>Revista Catarinense da Ciência Contábil,</w:t>
      </w:r>
      <w:r w:rsidR="00736B7D">
        <w:rPr>
          <w:color w:val="000000" w:themeColor="text1"/>
          <w:szCs w:val="24"/>
        </w:rPr>
        <w:t xml:space="preserve"> </w:t>
      </w:r>
      <w:r w:rsidR="00736B7D" w:rsidRPr="00CD5938">
        <w:rPr>
          <w:color w:val="000000" w:themeColor="text1"/>
          <w:szCs w:val="24"/>
        </w:rPr>
        <w:t>17</w:t>
      </w:r>
      <w:r>
        <w:rPr>
          <w:color w:val="000000" w:themeColor="text1"/>
          <w:szCs w:val="24"/>
        </w:rPr>
        <w:t>(</w:t>
      </w:r>
      <w:r w:rsidR="00736B7D" w:rsidRPr="00CD5938">
        <w:rPr>
          <w:color w:val="000000" w:themeColor="text1"/>
          <w:szCs w:val="24"/>
        </w:rPr>
        <w:t>51</w:t>
      </w:r>
      <w:r>
        <w:rPr>
          <w:color w:val="000000" w:themeColor="text1"/>
          <w:szCs w:val="24"/>
        </w:rPr>
        <w:t>)</w:t>
      </w:r>
      <w:r w:rsidR="00736B7D" w:rsidRPr="00CD5938">
        <w:rPr>
          <w:color w:val="000000" w:themeColor="text1"/>
          <w:szCs w:val="24"/>
        </w:rPr>
        <w:t>, 41-58.</w:t>
      </w:r>
      <w:r w:rsidR="00736B7D">
        <w:rPr>
          <w:color w:val="000000" w:themeColor="text1"/>
          <w:szCs w:val="24"/>
        </w:rPr>
        <w:t xml:space="preserve"> </w:t>
      </w:r>
    </w:p>
    <w:p w14:paraId="189CF179" w14:textId="00C92AAC" w:rsidR="00736B7D" w:rsidRPr="00887D3E" w:rsidRDefault="00887D3E" w:rsidP="00D34FAE">
      <w:pPr>
        <w:ind w:firstLine="0"/>
        <w:rPr>
          <w:i/>
          <w:iCs/>
          <w:color w:val="000000" w:themeColor="text1"/>
          <w:szCs w:val="24"/>
        </w:rPr>
      </w:pPr>
      <w:r w:rsidRPr="00CD5938">
        <w:rPr>
          <w:color w:val="000000" w:themeColor="text1"/>
          <w:szCs w:val="24"/>
        </w:rPr>
        <w:t xml:space="preserve">Barros, </w:t>
      </w:r>
      <w:r w:rsidR="00736B7D" w:rsidRPr="00CD5938">
        <w:rPr>
          <w:color w:val="000000" w:themeColor="text1"/>
          <w:szCs w:val="24"/>
        </w:rPr>
        <w:t xml:space="preserve">M. </w:t>
      </w:r>
      <w:r>
        <w:rPr>
          <w:color w:val="000000" w:themeColor="text1"/>
          <w:szCs w:val="24"/>
        </w:rPr>
        <w:t xml:space="preserve">(2015). </w:t>
      </w:r>
      <w:r w:rsidR="00736B7D" w:rsidRPr="00CD5938">
        <w:rPr>
          <w:color w:val="000000" w:themeColor="text1"/>
          <w:szCs w:val="24"/>
        </w:rPr>
        <w:t xml:space="preserve">Análise da ‘operação </w:t>
      </w:r>
      <w:r w:rsidR="004D3095">
        <w:rPr>
          <w:color w:val="000000" w:themeColor="text1"/>
          <w:szCs w:val="24"/>
        </w:rPr>
        <w:t>Lava Jato</w:t>
      </w:r>
      <w:r w:rsidR="00736B7D" w:rsidRPr="00CD5938">
        <w:rPr>
          <w:color w:val="000000" w:themeColor="text1"/>
          <w:szCs w:val="24"/>
        </w:rPr>
        <w:t xml:space="preserve">’ a luz dos conceitos da governança corporativa. In: </w:t>
      </w:r>
      <w:r w:rsidRPr="00887D3E">
        <w:rPr>
          <w:i/>
          <w:iCs/>
          <w:color w:val="000000" w:themeColor="text1"/>
          <w:szCs w:val="24"/>
        </w:rPr>
        <w:t xml:space="preserve">Congresso Nacional </w:t>
      </w:r>
      <w:r>
        <w:rPr>
          <w:i/>
          <w:iCs/>
          <w:color w:val="000000" w:themeColor="text1"/>
          <w:szCs w:val="24"/>
        </w:rPr>
        <w:t>d</w:t>
      </w:r>
      <w:r w:rsidRPr="00887D3E">
        <w:rPr>
          <w:i/>
          <w:iCs/>
          <w:color w:val="000000" w:themeColor="text1"/>
          <w:szCs w:val="24"/>
        </w:rPr>
        <w:t xml:space="preserve">e Excelência </w:t>
      </w:r>
      <w:r>
        <w:rPr>
          <w:i/>
          <w:iCs/>
          <w:color w:val="000000" w:themeColor="text1"/>
          <w:szCs w:val="24"/>
        </w:rPr>
        <w:t>e</w:t>
      </w:r>
      <w:r w:rsidRPr="00887D3E">
        <w:rPr>
          <w:i/>
          <w:iCs/>
          <w:color w:val="000000" w:themeColor="text1"/>
          <w:szCs w:val="24"/>
        </w:rPr>
        <w:t>m Gestão</w:t>
      </w:r>
      <w:r w:rsidR="00736B7D" w:rsidRPr="00CD5938">
        <w:rPr>
          <w:color w:val="000000" w:themeColor="text1"/>
          <w:szCs w:val="24"/>
        </w:rPr>
        <w:t>, 11, 2015. Rio de Janeiro – RJ</w:t>
      </w:r>
      <w:r w:rsidR="00736B7D" w:rsidRPr="00887D3E">
        <w:rPr>
          <w:i/>
          <w:iCs/>
          <w:color w:val="000000" w:themeColor="text1"/>
          <w:szCs w:val="24"/>
        </w:rPr>
        <w:t>. Anais eletrônicos</w:t>
      </w:r>
      <w:r>
        <w:rPr>
          <w:i/>
          <w:iCs/>
          <w:color w:val="000000" w:themeColor="text1"/>
          <w:szCs w:val="24"/>
        </w:rPr>
        <w:t>.</w:t>
      </w:r>
      <w:r w:rsidR="00736B7D" w:rsidRPr="00887D3E">
        <w:rPr>
          <w:i/>
          <w:iCs/>
          <w:color w:val="000000" w:themeColor="text1"/>
          <w:szCs w:val="24"/>
        </w:rPr>
        <w:t xml:space="preserve"> </w:t>
      </w:r>
    </w:p>
    <w:p w14:paraId="09AA8746" w14:textId="0780DA52" w:rsidR="00736B7D" w:rsidRPr="00CD5938" w:rsidRDefault="00B605CA" w:rsidP="00D34FAE">
      <w:pPr>
        <w:ind w:firstLine="0"/>
        <w:rPr>
          <w:color w:val="000000" w:themeColor="text1"/>
          <w:szCs w:val="24"/>
          <w:shd w:val="clear" w:color="auto" w:fill="FFFFFF"/>
        </w:rPr>
      </w:pPr>
      <w:r w:rsidRPr="00CD5938">
        <w:rPr>
          <w:color w:val="000000" w:themeColor="text1"/>
          <w:szCs w:val="24"/>
          <w:shd w:val="clear" w:color="auto" w:fill="FFFFFF"/>
        </w:rPr>
        <w:t>Bastos, E. S.</w:t>
      </w:r>
      <w:r w:rsidR="00C6606A">
        <w:rPr>
          <w:color w:val="000000" w:themeColor="text1"/>
          <w:szCs w:val="24"/>
          <w:shd w:val="clear" w:color="auto" w:fill="FFFFFF"/>
        </w:rPr>
        <w:t>,</w:t>
      </w:r>
      <w:r w:rsidRPr="00CD5938">
        <w:rPr>
          <w:color w:val="000000" w:themeColor="text1"/>
          <w:szCs w:val="24"/>
          <w:shd w:val="clear" w:color="auto" w:fill="FFFFFF"/>
        </w:rPr>
        <w:t xml:space="preserve"> Rosa, M. P.</w:t>
      </w:r>
      <w:r w:rsidR="00C6606A">
        <w:rPr>
          <w:color w:val="000000" w:themeColor="text1"/>
          <w:szCs w:val="24"/>
          <w:shd w:val="clear" w:color="auto" w:fill="FFFFFF"/>
        </w:rPr>
        <w:t xml:space="preserve">, &amp; </w:t>
      </w:r>
      <w:r w:rsidRPr="00CD5938">
        <w:rPr>
          <w:color w:val="000000" w:themeColor="text1"/>
          <w:szCs w:val="24"/>
          <w:shd w:val="clear" w:color="auto" w:fill="FFFFFF"/>
        </w:rPr>
        <w:t xml:space="preserve">Pimenta, M. M. </w:t>
      </w:r>
      <w:r>
        <w:rPr>
          <w:color w:val="000000" w:themeColor="text1"/>
          <w:szCs w:val="24"/>
          <w:shd w:val="clear" w:color="auto" w:fill="FFFFFF"/>
        </w:rPr>
        <w:t xml:space="preserve">(2016). </w:t>
      </w:r>
      <w:r w:rsidR="00736B7D" w:rsidRPr="00CD5938">
        <w:rPr>
          <w:color w:val="000000" w:themeColor="text1"/>
          <w:szCs w:val="24"/>
          <w:shd w:val="clear" w:color="auto" w:fill="FFFFFF"/>
        </w:rPr>
        <w:t xml:space="preserve">Os impactos da operação </w:t>
      </w:r>
      <w:r w:rsidR="004D3095">
        <w:rPr>
          <w:color w:val="000000" w:themeColor="text1"/>
          <w:szCs w:val="24"/>
          <w:shd w:val="clear" w:color="auto" w:fill="FFFFFF"/>
        </w:rPr>
        <w:t>Lava Jato</w:t>
      </w:r>
      <w:r w:rsidR="00736B7D" w:rsidRPr="00CD5938">
        <w:rPr>
          <w:color w:val="000000" w:themeColor="text1"/>
          <w:szCs w:val="24"/>
          <w:shd w:val="clear" w:color="auto" w:fill="FFFFFF"/>
        </w:rPr>
        <w:t xml:space="preserve"> e da crise internacional do petróleo nos retorno</w:t>
      </w:r>
      <w:r w:rsidR="003F6B45">
        <w:rPr>
          <w:color w:val="000000" w:themeColor="text1"/>
          <w:szCs w:val="24"/>
          <w:shd w:val="clear" w:color="auto" w:fill="FFFFFF"/>
        </w:rPr>
        <w:t>s</w:t>
      </w:r>
      <w:r w:rsidR="00736B7D" w:rsidRPr="00CD5938">
        <w:rPr>
          <w:color w:val="000000" w:themeColor="text1"/>
          <w:szCs w:val="24"/>
          <w:shd w:val="clear" w:color="auto" w:fill="FFFFFF"/>
        </w:rPr>
        <w:t xml:space="preserve"> anormais e indicadores contábeis da Petrobras 2012-2015. </w:t>
      </w:r>
      <w:r w:rsidR="00736B7D" w:rsidRPr="00C6606A">
        <w:rPr>
          <w:bCs/>
          <w:i/>
          <w:iCs/>
          <w:color w:val="000000" w:themeColor="text1"/>
          <w:szCs w:val="24"/>
          <w:shd w:val="clear" w:color="auto" w:fill="FFFFFF"/>
        </w:rPr>
        <w:t>Pensar Contábil,</w:t>
      </w:r>
      <w:r w:rsidR="00C6606A">
        <w:rPr>
          <w:color w:val="000000" w:themeColor="text1"/>
          <w:szCs w:val="24"/>
          <w:shd w:val="clear" w:color="auto" w:fill="FFFFFF"/>
        </w:rPr>
        <w:t xml:space="preserve"> </w:t>
      </w:r>
      <w:r w:rsidR="00736B7D" w:rsidRPr="00CD5938">
        <w:rPr>
          <w:color w:val="000000" w:themeColor="text1"/>
          <w:szCs w:val="24"/>
          <w:shd w:val="clear" w:color="auto" w:fill="FFFFFF"/>
        </w:rPr>
        <w:t>18</w:t>
      </w:r>
      <w:r w:rsidR="00C6606A">
        <w:rPr>
          <w:color w:val="000000" w:themeColor="text1"/>
          <w:szCs w:val="24"/>
          <w:shd w:val="clear" w:color="auto" w:fill="FFFFFF"/>
        </w:rPr>
        <w:t>(</w:t>
      </w:r>
      <w:r w:rsidR="00736B7D" w:rsidRPr="00CD5938">
        <w:rPr>
          <w:color w:val="000000" w:themeColor="text1"/>
          <w:szCs w:val="24"/>
          <w:shd w:val="clear" w:color="auto" w:fill="FFFFFF"/>
        </w:rPr>
        <w:t>67</w:t>
      </w:r>
      <w:r w:rsidR="00C6606A">
        <w:rPr>
          <w:color w:val="000000" w:themeColor="text1"/>
          <w:szCs w:val="24"/>
          <w:shd w:val="clear" w:color="auto" w:fill="FFFFFF"/>
        </w:rPr>
        <w:t>)</w:t>
      </w:r>
      <w:r w:rsidR="00736B7D" w:rsidRPr="00CD5938">
        <w:rPr>
          <w:color w:val="000000" w:themeColor="text1"/>
          <w:szCs w:val="24"/>
          <w:shd w:val="clear" w:color="auto" w:fill="FFFFFF"/>
        </w:rPr>
        <w:t>, 49-56.</w:t>
      </w:r>
    </w:p>
    <w:p w14:paraId="1B9B2A51" w14:textId="7DDA5A24" w:rsidR="00736B7D" w:rsidRPr="00CD5938" w:rsidRDefault="00B605CA" w:rsidP="00D34FAE">
      <w:pPr>
        <w:ind w:firstLine="0"/>
        <w:rPr>
          <w:color w:val="000000" w:themeColor="text1"/>
          <w:szCs w:val="24"/>
          <w:shd w:val="clear" w:color="auto" w:fill="FFFFFF"/>
        </w:rPr>
      </w:pPr>
      <w:r w:rsidRPr="00CD5938">
        <w:rPr>
          <w:color w:val="000000" w:themeColor="text1"/>
          <w:szCs w:val="24"/>
          <w:shd w:val="clear" w:color="auto" w:fill="FFFFFF"/>
        </w:rPr>
        <w:t>Batista, T. C.</w:t>
      </w:r>
      <w:r>
        <w:rPr>
          <w:color w:val="000000" w:themeColor="text1"/>
          <w:szCs w:val="24"/>
          <w:shd w:val="clear" w:color="auto" w:fill="FFFFFF"/>
        </w:rPr>
        <w:t>,</w:t>
      </w:r>
      <w:r w:rsidRPr="00CD5938">
        <w:rPr>
          <w:color w:val="000000" w:themeColor="text1"/>
          <w:szCs w:val="24"/>
          <w:shd w:val="clear" w:color="auto" w:fill="FFFFFF"/>
        </w:rPr>
        <w:t xml:space="preserve"> Oliveira, J. F.</w:t>
      </w:r>
      <w:r>
        <w:rPr>
          <w:color w:val="000000" w:themeColor="text1"/>
          <w:szCs w:val="24"/>
          <w:shd w:val="clear" w:color="auto" w:fill="FFFFFF"/>
        </w:rPr>
        <w:t>, &amp;</w:t>
      </w:r>
      <w:r w:rsidRPr="00CD5938">
        <w:rPr>
          <w:color w:val="000000" w:themeColor="text1"/>
          <w:szCs w:val="24"/>
          <w:shd w:val="clear" w:color="auto" w:fill="FFFFFF"/>
        </w:rPr>
        <w:t xml:space="preserve"> Macedo, M. A. S. </w:t>
      </w:r>
      <w:r>
        <w:rPr>
          <w:color w:val="000000" w:themeColor="text1"/>
          <w:szCs w:val="24"/>
          <w:shd w:val="clear" w:color="auto" w:fill="FFFFFF"/>
        </w:rPr>
        <w:t xml:space="preserve">(2017). </w:t>
      </w:r>
      <w:r w:rsidRPr="00CD5938">
        <w:rPr>
          <w:color w:val="000000" w:themeColor="text1"/>
          <w:szCs w:val="24"/>
          <w:shd w:val="clear" w:color="auto" w:fill="FFFFFF"/>
        </w:rPr>
        <w:t>relevância da informação contábil para o mercado brasileiro de capitais: uma análise comparativa entre lucro líquido, lucro abrangente e fluxo de caixa operacion</w:t>
      </w:r>
      <w:r w:rsidR="00736B7D" w:rsidRPr="00CD5938">
        <w:rPr>
          <w:color w:val="000000" w:themeColor="text1"/>
          <w:szCs w:val="24"/>
          <w:shd w:val="clear" w:color="auto" w:fill="FFFFFF"/>
        </w:rPr>
        <w:t>al. </w:t>
      </w:r>
      <w:r w:rsidR="00736B7D" w:rsidRPr="00B605CA">
        <w:rPr>
          <w:rStyle w:val="Forte"/>
          <w:b w:val="0"/>
          <w:bCs w:val="0"/>
          <w:i/>
          <w:iCs/>
          <w:color w:val="000000" w:themeColor="text1"/>
          <w:szCs w:val="24"/>
          <w:bdr w:val="none" w:sz="0" w:space="0" w:color="auto" w:frame="1"/>
          <w:shd w:val="clear" w:color="auto" w:fill="FFFFFF"/>
        </w:rPr>
        <w:t>Revista de Administração, Contabilidade e Economia</w:t>
      </w:r>
      <w:r>
        <w:rPr>
          <w:rStyle w:val="Forte"/>
          <w:b w:val="0"/>
          <w:bCs w:val="0"/>
          <w:i/>
          <w:iCs/>
          <w:color w:val="000000" w:themeColor="text1"/>
          <w:szCs w:val="24"/>
          <w:bdr w:val="none" w:sz="0" w:space="0" w:color="auto" w:frame="1"/>
          <w:shd w:val="clear" w:color="auto" w:fill="FFFFFF"/>
        </w:rPr>
        <w:t>,</w:t>
      </w:r>
      <w:r w:rsidR="00736B7D" w:rsidRPr="00CD5938">
        <w:rPr>
          <w:color w:val="000000" w:themeColor="text1"/>
          <w:szCs w:val="24"/>
          <w:shd w:val="clear" w:color="auto" w:fill="FFFFFF"/>
        </w:rPr>
        <w:t xml:space="preserve"> 16</w:t>
      </w:r>
      <w:r>
        <w:rPr>
          <w:color w:val="000000" w:themeColor="text1"/>
          <w:szCs w:val="24"/>
          <w:shd w:val="clear" w:color="auto" w:fill="FFFFFF"/>
        </w:rPr>
        <w:t>(</w:t>
      </w:r>
      <w:r w:rsidR="00736B7D" w:rsidRPr="00CD5938">
        <w:rPr>
          <w:color w:val="000000" w:themeColor="text1"/>
          <w:szCs w:val="24"/>
          <w:shd w:val="clear" w:color="auto" w:fill="FFFFFF"/>
        </w:rPr>
        <w:t>1</w:t>
      </w:r>
      <w:r>
        <w:rPr>
          <w:color w:val="000000" w:themeColor="text1"/>
          <w:szCs w:val="24"/>
          <w:shd w:val="clear" w:color="auto" w:fill="FFFFFF"/>
        </w:rPr>
        <w:t>)</w:t>
      </w:r>
      <w:r w:rsidR="00736B7D" w:rsidRPr="00CD5938">
        <w:rPr>
          <w:color w:val="000000" w:themeColor="text1"/>
          <w:szCs w:val="24"/>
          <w:shd w:val="clear" w:color="auto" w:fill="FFFFFF"/>
        </w:rPr>
        <w:t>,</w:t>
      </w:r>
      <w:r>
        <w:rPr>
          <w:color w:val="000000" w:themeColor="text1"/>
          <w:szCs w:val="24"/>
          <w:shd w:val="clear" w:color="auto" w:fill="FFFFFF"/>
        </w:rPr>
        <w:t xml:space="preserve"> </w:t>
      </w:r>
      <w:r w:rsidR="00736B7D" w:rsidRPr="00CD5938">
        <w:rPr>
          <w:color w:val="000000" w:themeColor="text1"/>
          <w:szCs w:val="24"/>
          <w:shd w:val="clear" w:color="auto" w:fill="FFFFFF"/>
        </w:rPr>
        <w:t>381-408</w:t>
      </w:r>
      <w:r>
        <w:rPr>
          <w:color w:val="000000" w:themeColor="text1"/>
          <w:szCs w:val="24"/>
          <w:shd w:val="clear" w:color="auto" w:fill="FFFFFF"/>
        </w:rPr>
        <w:t>.</w:t>
      </w:r>
    </w:p>
    <w:p w14:paraId="330030E7" w14:textId="2896C993" w:rsidR="00736B7D" w:rsidRPr="00CD5938" w:rsidRDefault="00C6606A" w:rsidP="00736B7D">
      <w:pPr>
        <w:pStyle w:val="Default"/>
        <w:jc w:val="both"/>
        <w:rPr>
          <w:color w:val="000000" w:themeColor="text1"/>
          <w:shd w:val="clear" w:color="auto" w:fill="FFFFFF"/>
        </w:rPr>
      </w:pPr>
      <w:proofErr w:type="spellStart"/>
      <w:r w:rsidRPr="00CD5938">
        <w:rPr>
          <w:color w:val="000000" w:themeColor="text1"/>
          <w:shd w:val="clear" w:color="auto" w:fill="FFFFFF"/>
        </w:rPr>
        <w:t>Barkemeyer</w:t>
      </w:r>
      <w:proofErr w:type="spellEnd"/>
      <w:r w:rsidRPr="00CD5938">
        <w:rPr>
          <w:color w:val="000000" w:themeColor="text1"/>
          <w:shd w:val="clear" w:color="auto" w:fill="FFFFFF"/>
        </w:rPr>
        <w:t>, R.</w:t>
      </w:r>
      <w:r>
        <w:rPr>
          <w:color w:val="000000" w:themeColor="text1"/>
          <w:shd w:val="clear" w:color="auto" w:fill="FFFFFF"/>
        </w:rPr>
        <w:t>,</w:t>
      </w:r>
      <w:r w:rsidRPr="00CD5938">
        <w:rPr>
          <w:color w:val="000000" w:themeColor="text1"/>
          <w:shd w:val="clear" w:color="auto" w:fill="FFFFFF"/>
        </w:rPr>
        <w:t xml:space="preserve"> </w:t>
      </w:r>
      <w:proofErr w:type="spellStart"/>
      <w:r w:rsidRPr="00CD5938">
        <w:rPr>
          <w:color w:val="000000" w:themeColor="text1"/>
          <w:shd w:val="clear" w:color="auto" w:fill="FFFFFF"/>
        </w:rPr>
        <w:t>Preuss</w:t>
      </w:r>
      <w:proofErr w:type="spellEnd"/>
      <w:r w:rsidRPr="00CD5938">
        <w:rPr>
          <w:color w:val="000000" w:themeColor="text1"/>
          <w:shd w:val="clear" w:color="auto" w:fill="FFFFFF"/>
        </w:rPr>
        <w:t>, L.</w:t>
      </w:r>
      <w:r>
        <w:rPr>
          <w:color w:val="000000" w:themeColor="text1"/>
          <w:shd w:val="clear" w:color="auto" w:fill="FFFFFF"/>
        </w:rPr>
        <w:t>, &amp;</w:t>
      </w:r>
      <w:r w:rsidRPr="00CD5938">
        <w:rPr>
          <w:color w:val="000000" w:themeColor="text1"/>
          <w:shd w:val="clear" w:color="auto" w:fill="FFFFFF"/>
        </w:rPr>
        <w:t xml:space="preserve"> Lee, L</w:t>
      </w:r>
      <w:r w:rsidR="00736B7D" w:rsidRPr="00CD5938">
        <w:rPr>
          <w:color w:val="000000" w:themeColor="text1"/>
          <w:shd w:val="clear" w:color="auto" w:fill="FFFFFF"/>
        </w:rPr>
        <w:t xml:space="preserve">. </w:t>
      </w:r>
      <w:r>
        <w:rPr>
          <w:color w:val="000000" w:themeColor="text1"/>
          <w:shd w:val="clear" w:color="auto" w:fill="FFFFFF"/>
        </w:rPr>
        <w:t xml:space="preserve">(2015). </w:t>
      </w:r>
      <w:r w:rsidR="00736B7D" w:rsidRPr="00C6606A">
        <w:rPr>
          <w:iCs/>
          <w:color w:val="000000" w:themeColor="text1"/>
          <w:shd w:val="clear" w:color="auto" w:fill="FFFFFF"/>
        </w:rPr>
        <w:t xml:space="preserve">Corporate </w:t>
      </w:r>
      <w:proofErr w:type="spellStart"/>
      <w:r w:rsidR="00736B7D" w:rsidRPr="00C6606A">
        <w:rPr>
          <w:iCs/>
          <w:color w:val="000000" w:themeColor="text1"/>
          <w:shd w:val="clear" w:color="auto" w:fill="FFFFFF"/>
        </w:rPr>
        <w:t>Reporting</w:t>
      </w:r>
      <w:proofErr w:type="spellEnd"/>
      <w:r w:rsidR="00736B7D" w:rsidRPr="00C6606A">
        <w:rPr>
          <w:iCs/>
          <w:color w:val="000000" w:themeColor="text1"/>
          <w:shd w:val="clear" w:color="auto" w:fill="FFFFFF"/>
        </w:rPr>
        <w:t xml:space="preserve"> </w:t>
      </w:r>
      <w:proofErr w:type="spellStart"/>
      <w:r w:rsidR="00736B7D" w:rsidRPr="00C6606A">
        <w:rPr>
          <w:iCs/>
          <w:color w:val="000000" w:themeColor="text1"/>
          <w:shd w:val="clear" w:color="auto" w:fill="FFFFFF"/>
        </w:rPr>
        <w:t>on</w:t>
      </w:r>
      <w:proofErr w:type="spellEnd"/>
      <w:r w:rsidR="00736B7D" w:rsidRPr="00C6606A">
        <w:rPr>
          <w:iCs/>
          <w:color w:val="000000" w:themeColor="text1"/>
          <w:shd w:val="clear" w:color="auto" w:fill="FFFFFF"/>
        </w:rPr>
        <w:t xml:space="preserve"> </w:t>
      </w:r>
      <w:proofErr w:type="spellStart"/>
      <w:r w:rsidR="00736B7D" w:rsidRPr="00C6606A">
        <w:rPr>
          <w:iCs/>
          <w:color w:val="000000" w:themeColor="text1"/>
          <w:shd w:val="clear" w:color="auto" w:fill="FFFFFF"/>
        </w:rPr>
        <w:t>Corruption</w:t>
      </w:r>
      <w:proofErr w:type="spellEnd"/>
      <w:r w:rsidR="00736B7D" w:rsidRPr="00C6606A">
        <w:rPr>
          <w:iCs/>
          <w:color w:val="000000" w:themeColor="text1"/>
          <w:shd w:val="clear" w:color="auto" w:fill="FFFFFF"/>
        </w:rPr>
        <w:t xml:space="preserve">: Na </w:t>
      </w:r>
      <w:proofErr w:type="spellStart"/>
      <w:r w:rsidR="00736B7D" w:rsidRPr="00C6606A">
        <w:rPr>
          <w:iCs/>
          <w:color w:val="000000" w:themeColor="text1"/>
          <w:shd w:val="clear" w:color="auto" w:fill="FFFFFF"/>
        </w:rPr>
        <w:t>International</w:t>
      </w:r>
      <w:proofErr w:type="spellEnd"/>
      <w:r w:rsidR="00736B7D" w:rsidRPr="00C6606A">
        <w:rPr>
          <w:iCs/>
          <w:color w:val="000000" w:themeColor="text1"/>
          <w:shd w:val="clear" w:color="auto" w:fill="FFFFFF"/>
        </w:rPr>
        <w:t xml:space="preserve"> </w:t>
      </w:r>
      <w:proofErr w:type="spellStart"/>
      <w:r w:rsidR="00736B7D" w:rsidRPr="00C6606A">
        <w:rPr>
          <w:iCs/>
          <w:color w:val="000000" w:themeColor="text1"/>
          <w:shd w:val="clear" w:color="auto" w:fill="FFFFFF"/>
        </w:rPr>
        <w:t>Comparison</w:t>
      </w:r>
      <w:proofErr w:type="spellEnd"/>
      <w:r w:rsidR="00736B7D" w:rsidRPr="00C6606A">
        <w:rPr>
          <w:iCs/>
          <w:color w:val="000000" w:themeColor="text1"/>
          <w:shd w:val="clear" w:color="auto" w:fill="FFFFFF"/>
        </w:rPr>
        <w:t>.</w:t>
      </w:r>
      <w:r w:rsidR="00736B7D" w:rsidRPr="00CD5938">
        <w:rPr>
          <w:i/>
          <w:color w:val="000000" w:themeColor="text1"/>
          <w:shd w:val="clear" w:color="auto" w:fill="FFFFFF"/>
        </w:rPr>
        <w:t xml:space="preserve"> </w:t>
      </w:r>
      <w:proofErr w:type="spellStart"/>
      <w:r w:rsidR="00736B7D" w:rsidRPr="00C6606A">
        <w:rPr>
          <w:i/>
          <w:color w:val="000000" w:themeColor="text1"/>
        </w:rPr>
        <w:t>Accounting</w:t>
      </w:r>
      <w:proofErr w:type="spellEnd"/>
      <w:r w:rsidR="00736B7D" w:rsidRPr="00C6606A">
        <w:rPr>
          <w:i/>
          <w:color w:val="000000" w:themeColor="text1"/>
        </w:rPr>
        <w:t xml:space="preserve"> </w:t>
      </w:r>
      <w:proofErr w:type="spellStart"/>
      <w:r w:rsidR="00736B7D" w:rsidRPr="00C6606A">
        <w:rPr>
          <w:i/>
          <w:color w:val="000000" w:themeColor="text1"/>
        </w:rPr>
        <w:t>Forum</w:t>
      </w:r>
      <w:proofErr w:type="spellEnd"/>
      <w:r w:rsidR="00736B7D" w:rsidRPr="00C6606A">
        <w:rPr>
          <w:i/>
          <w:color w:val="000000" w:themeColor="text1"/>
        </w:rPr>
        <w:t>,</w:t>
      </w:r>
      <w:r w:rsidR="00736B7D">
        <w:rPr>
          <w:color w:val="000000" w:themeColor="text1"/>
        </w:rPr>
        <w:t xml:space="preserve"> </w:t>
      </w:r>
      <w:r w:rsidR="00736B7D" w:rsidRPr="00CD5938">
        <w:rPr>
          <w:color w:val="000000" w:themeColor="text1"/>
        </w:rPr>
        <w:t>39</w:t>
      </w:r>
      <w:r>
        <w:rPr>
          <w:color w:val="000000" w:themeColor="text1"/>
        </w:rPr>
        <w:t>(</w:t>
      </w:r>
      <w:r w:rsidR="00736B7D" w:rsidRPr="00CD5938">
        <w:rPr>
          <w:color w:val="000000" w:themeColor="text1"/>
        </w:rPr>
        <w:t>4</w:t>
      </w:r>
      <w:r>
        <w:rPr>
          <w:color w:val="000000" w:themeColor="text1"/>
        </w:rPr>
        <w:t>)</w:t>
      </w:r>
      <w:r w:rsidR="00736B7D" w:rsidRPr="00CD5938">
        <w:rPr>
          <w:color w:val="000000" w:themeColor="text1"/>
        </w:rPr>
        <w:t xml:space="preserve">, </w:t>
      </w:r>
      <w:r>
        <w:rPr>
          <w:color w:val="000000" w:themeColor="text1"/>
        </w:rPr>
        <w:t>3</w:t>
      </w:r>
      <w:r w:rsidR="00736B7D" w:rsidRPr="00CD5938">
        <w:rPr>
          <w:color w:val="000000" w:themeColor="text1"/>
        </w:rPr>
        <w:t>49-365</w:t>
      </w:r>
      <w:r>
        <w:rPr>
          <w:color w:val="000000" w:themeColor="text1"/>
        </w:rPr>
        <w:t>.</w:t>
      </w:r>
    </w:p>
    <w:p w14:paraId="040FA184" w14:textId="327CB1FA" w:rsidR="00736B7D" w:rsidRPr="000017CB" w:rsidRDefault="00736B7D" w:rsidP="00D34FAE">
      <w:pPr>
        <w:ind w:firstLine="0"/>
        <w:rPr>
          <w:color w:val="000000" w:themeColor="text1"/>
          <w:szCs w:val="24"/>
          <w:shd w:val="clear" w:color="auto" w:fill="FFFFFF"/>
        </w:rPr>
      </w:pPr>
      <w:r w:rsidRPr="000017CB">
        <w:rPr>
          <w:color w:val="000000" w:themeColor="text1"/>
          <w:szCs w:val="24"/>
          <w:shd w:val="clear" w:color="auto" w:fill="FFFFFF"/>
        </w:rPr>
        <w:t>B</w:t>
      </w:r>
      <w:r w:rsidR="000017CB" w:rsidRPr="000017CB">
        <w:rPr>
          <w:color w:val="000000" w:themeColor="text1"/>
          <w:szCs w:val="24"/>
          <w:shd w:val="clear" w:color="auto" w:fill="FFFFFF"/>
        </w:rPr>
        <w:t>rasil</w:t>
      </w:r>
      <w:r w:rsidRPr="000017CB">
        <w:rPr>
          <w:color w:val="000000" w:themeColor="text1"/>
          <w:szCs w:val="24"/>
          <w:shd w:val="clear" w:color="auto" w:fill="FFFFFF"/>
        </w:rPr>
        <w:t xml:space="preserve">. </w:t>
      </w:r>
      <w:r w:rsidR="000017CB" w:rsidRPr="000017CB">
        <w:rPr>
          <w:color w:val="000000" w:themeColor="text1"/>
          <w:szCs w:val="24"/>
          <w:shd w:val="clear" w:color="auto" w:fill="FFFFFF"/>
        </w:rPr>
        <w:t>(20</w:t>
      </w:r>
      <w:r w:rsidR="00A94E99">
        <w:rPr>
          <w:color w:val="000000" w:themeColor="text1"/>
          <w:szCs w:val="24"/>
          <w:shd w:val="clear" w:color="auto" w:fill="FFFFFF"/>
        </w:rPr>
        <w:t>1</w:t>
      </w:r>
      <w:r w:rsidR="000017CB" w:rsidRPr="000017CB">
        <w:rPr>
          <w:color w:val="000000" w:themeColor="text1"/>
          <w:szCs w:val="24"/>
          <w:shd w:val="clear" w:color="auto" w:fill="FFFFFF"/>
        </w:rPr>
        <w:t xml:space="preserve">8). </w:t>
      </w:r>
      <w:r w:rsidRPr="000017CB">
        <w:rPr>
          <w:color w:val="000000" w:themeColor="text1"/>
          <w:szCs w:val="24"/>
          <w:shd w:val="clear" w:color="auto" w:fill="FFFFFF"/>
        </w:rPr>
        <w:t>Ministério Público Federal</w:t>
      </w:r>
      <w:r w:rsidR="00A94E99">
        <w:rPr>
          <w:color w:val="000000" w:themeColor="text1"/>
          <w:szCs w:val="24"/>
          <w:shd w:val="clear" w:color="auto" w:fill="FFFFFF"/>
        </w:rPr>
        <w:t xml:space="preserve"> (MPF)</w:t>
      </w:r>
      <w:r w:rsidRPr="000017CB">
        <w:rPr>
          <w:color w:val="000000" w:themeColor="text1"/>
          <w:szCs w:val="24"/>
          <w:shd w:val="clear" w:color="auto" w:fill="FFFFFF"/>
        </w:rPr>
        <w:t xml:space="preserve">. </w:t>
      </w:r>
      <w:r w:rsidR="004D3095" w:rsidRPr="000017CB">
        <w:rPr>
          <w:i/>
          <w:iCs/>
          <w:color w:val="000000" w:themeColor="text1"/>
          <w:szCs w:val="24"/>
          <w:shd w:val="clear" w:color="auto" w:fill="FFFFFF"/>
        </w:rPr>
        <w:t>Lava Jato</w:t>
      </w:r>
      <w:r w:rsidRPr="000017CB">
        <w:rPr>
          <w:i/>
          <w:iCs/>
          <w:color w:val="000000" w:themeColor="text1"/>
          <w:szCs w:val="24"/>
          <w:shd w:val="clear" w:color="auto" w:fill="FFFFFF"/>
        </w:rPr>
        <w:t xml:space="preserve">:  Entenda o caso. </w:t>
      </w:r>
      <w:r w:rsidR="000017CB" w:rsidRPr="000017CB">
        <w:rPr>
          <w:color w:val="000000" w:themeColor="text1"/>
          <w:szCs w:val="24"/>
          <w:shd w:val="clear" w:color="auto" w:fill="FFFFFF"/>
        </w:rPr>
        <w:t xml:space="preserve">Recuperado em 17 de setembro, 2018, de </w:t>
      </w:r>
      <w:r w:rsidRPr="000017CB">
        <w:rPr>
          <w:color w:val="000000" w:themeColor="text1"/>
          <w:szCs w:val="24"/>
          <w:shd w:val="clear" w:color="auto" w:fill="FFFFFF"/>
        </w:rPr>
        <w:t>http://lavajato.mpf.mp.br/entenda-o-caso</w:t>
      </w:r>
      <w:r w:rsidR="000017CB" w:rsidRPr="000017CB">
        <w:rPr>
          <w:color w:val="000000" w:themeColor="text1"/>
          <w:szCs w:val="24"/>
          <w:shd w:val="clear" w:color="auto" w:fill="FFFFFF"/>
        </w:rPr>
        <w:t>.</w:t>
      </w:r>
    </w:p>
    <w:p w14:paraId="76B62350" w14:textId="6733C68A" w:rsidR="00736B7D" w:rsidRPr="000017CB" w:rsidRDefault="000017CB" w:rsidP="00D34FAE">
      <w:pPr>
        <w:ind w:firstLine="0"/>
        <w:rPr>
          <w:color w:val="000000" w:themeColor="text1"/>
          <w:szCs w:val="24"/>
          <w:shd w:val="clear" w:color="auto" w:fill="FFFFFF"/>
        </w:rPr>
      </w:pPr>
      <w:r w:rsidRPr="000017CB">
        <w:rPr>
          <w:color w:val="000000" w:themeColor="text1"/>
          <w:szCs w:val="24"/>
          <w:shd w:val="clear" w:color="auto" w:fill="FFFFFF"/>
        </w:rPr>
        <w:t>Comitê de Pronunciamentos Contábeis</w:t>
      </w:r>
      <w:r w:rsidR="00736B7D" w:rsidRPr="000017CB">
        <w:rPr>
          <w:color w:val="000000" w:themeColor="text1"/>
          <w:szCs w:val="24"/>
          <w:shd w:val="clear" w:color="auto" w:fill="FFFFFF"/>
        </w:rPr>
        <w:t xml:space="preserve">. </w:t>
      </w:r>
      <w:r w:rsidRPr="000017CB">
        <w:rPr>
          <w:color w:val="000000" w:themeColor="text1"/>
          <w:szCs w:val="24"/>
          <w:shd w:val="clear" w:color="auto" w:fill="FFFFFF"/>
        </w:rPr>
        <w:t xml:space="preserve">(2011). </w:t>
      </w:r>
      <w:r w:rsidR="00736B7D" w:rsidRPr="000017CB">
        <w:rPr>
          <w:i/>
          <w:iCs/>
          <w:color w:val="000000" w:themeColor="text1"/>
          <w:szCs w:val="24"/>
          <w:shd w:val="clear" w:color="auto" w:fill="FFFFFF"/>
        </w:rPr>
        <w:t>CPC 00 (R1)</w:t>
      </w:r>
      <w:r w:rsidRPr="000017CB">
        <w:rPr>
          <w:i/>
          <w:iCs/>
          <w:color w:val="000000" w:themeColor="text1"/>
          <w:szCs w:val="24"/>
          <w:shd w:val="clear" w:color="auto" w:fill="FFFFFF"/>
        </w:rPr>
        <w:t>:</w:t>
      </w:r>
      <w:r w:rsidR="00736B7D" w:rsidRPr="000017CB">
        <w:rPr>
          <w:color w:val="000000" w:themeColor="text1"/>
          <w:szCs w:val="24"/>
          <w:shd w:val="clear" w:color="auto" w:fill="FFFFFF"/>
        </w:rPr>
        <w:t xml:space="preserve"> Estrutura Conceitual para Elaboração e Divulgação de Relatório Contábil-Financeiro. </w:t>
      </w:r>
      <w:r w:rsidRPr="000017CB">
        <w:rPr>
          <w:color w:val="000000" w:themeColor="text1"/>
          <w:szCs w:val="24"/>
          <w:shd w:val="clear" w:color="auto" w:fill="FFFFFF"/>
        </w:rPr>
        <w:t xml:space="preserve">Recuperado em 27 de outubro, 2018, de </w:t>
      </w:r>
      <w:r w:rsidR="00736B7D" w:rsidRPr="000017CB">
        <w:rPr>
          <w:color w:val="000000" w:themeColor="text1"/>
          <w:szCs w:val="24"/>
          <w:shd w:val="clear" w:color="auto" w:fill="FFFFFF"/>
        </w:rPr>
        <w:t>http://www.cpc.org.br/CPC/DocumentosEmitidos/Pr</w:t>
      </w:r>
      <w:bookmarkStart w:id="2" w:name="_GoBack"/>
      <w:bookmarkEnd w:id="2"/>
      <w:r w:rsidR="00736B7D" w:rsidRPr="000017CB">
        <w:rPr>
          <w:color w:val="000000" w:themeColor="text1"/>
          <w:szCs w:val="24"/>
          <w:shd w:val="clear" w:color="auto" w:fill="FFFFFF"/>
        </w:rPr>
        <w:t>onunciamentos/Pronunciamento?Id=80</w:t>
      </w:r>
      <w:r w:rsidRPr="000017CB">
        <w:rPr>
          <w:color w:val="000000" w:themeColor="text1"/>
          <w:szCs w:val="24"/>
          <w:shd w:val="clear" w:color="auto" w:fill="FFFFFF"/>
        </w:rPr>
        <w:t>.</w:t>
      </w:r>
      <w:r w:rsidR="00736B7D" w:rsidRPr="000017CB">
        <w:rPr>
          <w:color w:val="000000" w:themeColor="text1"/>
          <w:szCs w:val="24"/>
          <w:shd w:val="clear" w:color="auto" w:fill="FFFFFF"/>
        </w:rPr>
        <w:t xml:space="preserve"> </w:t>
      </w:r>
    </w:p>
    <w:p w14:paraId="6418AB6A" w14:textId="485490CC" w:rsidR="00736B7D" w:rsidRPr="00CD5938" w:rsidRDefault="00736B7D" w:rsidP="000017CB">
      <w:pPr>
        <w:ind w:firstLine="0"/>
        <w:rPr>
          <w:color w:val="000000" w:themeColor="text1"/>
          <w:shd w:val="clear" w:color="auto" w:fill="FFFFFF"/>
        </w:rPr>
      </w:pPr>
      <w:r w:rsidRPr="000017CB">
        <w:rPr>
          <w:color w:val="000000" w:themeColor="text1"/>
          <w:szCs w:val="24"/>
          <w:shd w:val="clear" w:color="auto" w:fill="FFFFFF"/>
        </w:rPr>
        <w:t>Comissão de Valores Mobiliários</w:t>
      </w:r>
      <w:r w:rsidR="000017CB" w:rsidRPr="000017CB">
        <w:rPr>
          <w:color w:val="000000" w:themeColor="text1"/>
          <w:szCs w:val="24"/>
          <w:shd w:val="clear" w:color="auto" w:fill="FFFFFF"/>
        </w:rPr>
        <w:t xml:space="preserve"> - CVM. (2019). Recuperado e, 31 de março, 2019, de </w:t>
      </w:r>
      <w:hyperlink r:id="rId9" w:history="1">
        <w:r w:rsidR="000017CB" w:rsidRPr="000017CB">
          <w:rPr>
            <w:rStyle w:val="Hyperlink"/>
            <w:color w:val="000000" w:themeColor="text1"/>
            <w:szCs w:val="24"/>
            <w:u w:val="none"/>
            <w:shd w:val="clear" w:color="auto" w:fill="FFFFFF"/>
          </w:rPr>
          <w:t>http://www.cvm.gov.br/export/sites/cvm/legislacao/notas-explicativas/anexos/nota308.pdf</w:t>
        </w:r>
      </w:hyperlink>
      <w:r w:rsidR="000017CB" w:rsidRPr="000017CB">
        <w:rPr>
          <w:color w:val="000000" w:themeColor="text1"/>
          <w:szCs w:val="24"/>
          <w:shd w:val="clear" w:color="auto" w:fill="FFFFFF"/>
        </w:rPr>
        <w:t xml:space="preserve">. </w:t>
      </w:r>
      <w:r w:rsidR="00C02F8B" w:rsidRPr="00CD5938">
        <w:rPr>
          <w:color w:val="000000" w:themeColor="text1"/>
          <w:shd w:val="clear" w:color="auto" w:fill="FFFFFF"/>
        </w:rPr>
        <w:t>Dantas, J. A.</w:t>
      </w:r>
      <w:r w:rsidR="00C02F8B">
        <w:rPr>
          <w:color w:val="000000" w:themeColor="text1"/>
          <w:shd w:val="clear" w:color="auto" w:fill="FFFFFF"/>
        </w:rPr>
        <w:t>,</w:t>
      </w:r>
      <w:r w:rsidR="00C02F8B" w:rsidRPr="00CD5938">
        <w:rPr>
          <w:color w:val="000000" w:themeColor="text1"/>
          <w:shd w:val="clear" w:color="auto" w:fill="FFFFFF"/>
        </w:rPr>
        <w:t xml:space="preserve"> </w:t>
      </w:r>
      <w:proofErr w:type="spellStart"/>
      <w:r w:rsidR="00C02F8B" w:rsidRPr="00CD5938">
        <w:rPr>
          <w:color w:val="000000" w:themeColor="text1"/>
          <w:shd w:val="clear" w:color="auto" w:fill="FFFFFF"/>
        </w:rPr>
        <w:t>Zendersky</w:t>
      </w:r>
      <w:proofErr w:type="spellEnd"/>
      <w:r w:rsidR="00C02F8B" w:rsidRPr="00CD5938">
        <w:rPr>
          <w:color w:val="000000" w:themeColor="text1"/>
          <w:shd w:val="clear" w:color="auto" w:fill="FFFFFF"/>
        </w:rPr>
        <w:t>, H. C.</w:t>
      </w:r>
      <w:r w:rsidR="00C02F8B">
        <w:rPr>
          <w:color w:val="000000" w:themeColor="text1"/>
          <w:shd w:val="clear" w:color="auto" w:fill="FFFFFF"/>
        </w:rPr>
        <w:t>,</w:t>
      </w:r>
      <w:r w:rsidR="00C02F8B" w:rsidRPr="00CD5938">
        <w:rPr>
          <w:color w:val="000000" w:themeColor="text1"/>
          <w:shd w:val="clear" w:color="auto" w:fill="FFFFFF"/>
        </w:rPr>
        <w:t xml:space="preserve"> Santos, S. C. D.</w:t>
      </w:r>
      <w:r w:rsidR="00C02F8B">
        <w:rPr>
          <w:color w:val="000000" w:themeColor="text1"/>
          <w:shd w:val="clear" w:color="auto" w:fill="FFFFFF"/>
        </w:rPr>
        <w:t>, &amp;</w:t>
      </w:r>
      <w:r w:rsidR="00C02F8B" w:rsidRPr="00CD5938">
        <w:rPr>
          <w:color w:val="000000" w:themeColor="text1"/>
          <w:shd w:val="clear" w:color="auto" w:fill="FFFFFF"/>
        </w:rPr>
        <w:t xml:space="preserve"> </w:t>
      </w:r>
      <w:proofErr w:type="spellStart"/>
      <w:r w:rsidR="00C02F8B" w:rsidRPr="00CD5938">
        <w:rPr>
          <w:color w:val="000000" w:themeColor="text1"/>
          <w:shd w:val="clear" w:color="auto" w:fill="FFFFFF"/>
        </w:rPr>
        <w:t>Niyama</w:t>
      </w:r>
      <w:proofErr w:type="spellEnd"/>
      <w:r w:rsidR="00C02F8B" w:rsidRPr="00CD5938">
        <w:rPr>
          <w:color w:val="000000" w:themeColor="text1"/>
          <w:shd w:val="clear" w:color="auto" w:fill="FFFFFF"/>
        </w:rPr>
        <w:t>, J. K</w:t>
      </w:r>
      <w:r w:rsidRPr="00CD5938">
        <w:rPr>
          <w:color w:val="000000" w:themeColor="text1"/>
          <w:shd w:val="clear" w:color="auto" w:fill="FFFFFF"/>
        </w:rPr>
        <w:t xml:space="preserve">. </w:t>
      </w:r>
      <w:r w:rsidR="00C02F8B">
        <w:rPr>
          <w:color w:val="000000" w:themeColor="text1"/>
          <w:shd w:val="clear" w:color="auto" w:fill="FFFFFF"/>
        </w:rPr>
        <w:t xml:space="preserve">(2005). </w:t>
      </w:r>
      <w:r w:rsidRPr="00CD5938">
        <w:rPr>
          <w:color w:val="000000" w:themeColor="text1"/>
          <w:shd w:val="clear" w:color="auto" w:fill="FFFFFF"/>
        </w:rPr>
        <w:t xml:space="preserve">A dualidade entre os benefícios do </w:t>
      </w:r>
      <w:proofErr w:type="spellStart"/>
      <w:r w:rsidRPr="00CD5938">
        <w:rPr>
          <w:i/>
          <w:color w:val="000000" w:themeColor="text1"/>
          <w:shd w:val="clear" w:color="auto" w:fill="FFFFFF"/>
        </w:rPr>
        <w:t>disclosure</w:t>
      </w:r>
      <w:proofErr w:type="spellEnd"/>
      <w:r w:rsidRPr="00CD5938">
        <w:rPr>
          <w:color w:val="000000" w:themeColor="text1"/>
          <w:shd w:val="clear" w:color="auto" w:fill="FFFFFF"/>
        </w:rPr>
        <w:t xml:space="preserve"> e a relutância das organizações em aumentar o grau de </w:t>
      </w:r>
      <w:r w:rsidRPr="00CD5938">
        <w:rPr>
          <w:color w:val="000000" w:themeColor="text1"/>
          <w:shd w:val="clear" w:color="auto" w:fill="FFFFFF"/>
        </w:rPr>
        <w:lastRenderedPageBreak/>
        <w:t>evidenciação. </w:t>
      </w:r>
      <w:r w:rsidRPr="00C02F8B">
        <w:rPr>
          <w:i/>
          <w:iCs/>
          <w:color w:val="000000" w:themeColor="text1"/>
          <w:shd w:val="clear" w:color="auto" w:fill="FFFFFF"/>
        </w:rPr>
        <w:t>Revista Economia &amp; Gestão</w:t>
      </w:r>
      <w:r w:rsidRPr="00CD5938">
        <w:rPr>
          <w:color w:val="000000" w:themeColor="text1"/>
          <w:shd w:val="clear" w:color="auto" w:fill="FFFFFF"/>
        </w:rPr>
        <w:t>,</w:t>
      </w:r>
      <w:r>
        <w:rPr>
          <w:color w:val="000000" w:themeColor="text1"/>
          <w:shd w:val="clear" w:color="auto" w:fill="FFFFFF"/>
        </w:rPr>
        <w:t xml:space="preserve"> </w:t>
      </w:r>
      <w:r w:rsidRPr="00CD5938">
        <w:rPr>
          <w:color w:val="000000" w:themeColor="text1"/>
          <w:shd w:val="clear" w:color="auto" w:fill="FFFFFF"/>
        </w:rPr>
        <w:t>5</w:t>
      </w:r>
      <w:r w:rsidR="00C02F8B">
        <w:rPr>
          <w:color w:val="000000" w:themeColor="text1"/>
          <w:shd w:val="clear" w:color="auto" w:fill="FFFFFF"/>
        </w:rPr>
        <w:t>(</w:t>
      </w:r>
      <w:r w:rsidRPr="00CD5938">
        <w:rPr>
          <w:color w:val="000000" w:themeColor="text1"/>
          <w:shd w:val="clear" w:color="auto" w:fill="FFFFFF"/>
        </w:rPr>
        <w:t>11</w:t>
      </w:r>
      <w:r w:rsidR="00C02F8B">
        <w:rPr>
          <w:color w:val="000000" w:themeColor="text1"/>
          <w:shd w:val="clear" w:color="auto" w:fill="FFFFFF"/>
        </w:rPr>
        <w:t>)</w:t>
      </w:r>
      <w:r w:rsidRPr="00CD5938">
        <w:rPr>
          <w:color w:val="000000" w:themeColor="text1"/>
          <w:shd w:val="clear" w:color="auto" w:fill="FFFFFF"/>
        </w:rPr>
        <w:t>, 56-76.</w:t>
      </w:r>
    </w:p>
    <w:p w14:paraId="1B0157A7" w14:textId="26C673CD" w:rsidR="00736B7D" w:rsidRPr="00CD5938" w:rsidRDefault="00C6606A" w:rsidP="00736B7D">
      <w:pPr>
        <w:pStyle w:val="Default"/>
        <w:jc w:val="both"/>
        <w:rPr>
          <w:color w:val="000000" w:themeColor="text1"/>
          <w:shd w:val="clear" w:color="auto" w:fill="FFFFFF"/>
        </w:rPr>
      </w:pPr>
      <w:r w:rsidRPr="00CD5938">
        <w:rPr>
          <w:color w:val="000000" w:themeColor="text1"/>
        </w:rPr>
        <w:t>Dal Magro, C. B.</w:t>
      </w:r>
      <w:r>
        <w:rPr>
          <w:color w:val="000000" w:themeColor="text1"/>
        </w:rPr>
        <w:t>,</w:t>
      </w:r>
      <w:r w:rsidRPr="00CD5938">
        <w:rPr>
          <w:color w:val="000000" w:themeColor="text1"/>
        </w:rPr>
        <w:t xml:space="preserve"> </w:t>
      </w:r>
      <w:proofErr w:type="spellStart"/>
      <w:r w:rsidRPr="00CD5938">
        <w:rPr>
          <w:color w:val="000000" w:themeColor="text1"/>
        </w:rPr>
        <w:t>Manfroi</w:t>
      </w:r>
      <w:proofErr w:type="spellEnd"/>
      <w:r w:rsidRPr="00CD5938">
        <w:rPr>
          <w:color w:val="000000" w:themeColor="text1"/>
        </w:rPr>
        <w:t>, L.</w:t>
      </w:r>
      <w:r>
        <w:rPr>
          <w:color w:val="000000" w:themeColor="text1"/>
        </w:rPr>
        <w:t>,</w:t>
      </w:r>
      <w:r w:rsidRPr="00CD5938">
        <w:rPr>
          <w:color w:val="000000" w:themeColor="text1"/>
        </w:rPr>
        <w:t xml:space="preserve"> Cunha, P. R.</w:t>
      </w:r>
      <w:r>
        <w:rPr>
          <w:color w:val="000000" w:themeColor="text1"/>
        </w:rPr>
        <w:t>, &amp;</w:t>
      </w:r>
      <w:r w:rsidRPr="00CD5938">
        <w:rPr>
          <w:color w:val="000000" w:themeColor="text1"/>
        </w:rPr>
        <w:t xml:space="preserve"> Nogueira, R</w:t>
      </w:r>
      <w:r w:rsidR="00736B7D" w:rsidRPr="00CD5938">
        <w:rPr>
          <w:i/>
          <w:iCs/>
          <w:color w:val="000000" w:themeColor="text1"/>
        </w:rPr>
        <w:t>.</w:t>
      </w:r>
      <w:r w:rsidR="00736B7D" w:rsidRPr="00CD5938">
        <w:rPr>
          <w:color w:val="000000" w:themeColor="text1"/>
        </w:rPr>
        <w:t xml:space="preserve"> </w:t>
      </w:r>
      <w:r>
        <w:rPr>
          <w:color w:val="000000" w:themeColor="text1"/>
        </w:rPr>
        <w:t xml:space="preserve">(2015). </w:t>
      </w:r>
      <w:r w:rsidR="00736B7D" w:rsidRPr="00CD5938">
        <w:rPr>
          <w:color w:val="000000" w:themeColor="text1"/>
        </w:rPr>
        <w:t xml:space="preserve">Fatores explicativos do nível de </w:t>
      </w:r>
      <w:proofErr w:type="spellStart"/>
      <w:r w:rsidR="00736B7D" w:rsidRPr="00CD5938">
        <w:rPr>
          <w:i/>
          <w:iCs/>
          <w:color w:val="000000" w:themeColor="text1"/>
        </w:rPr>
        <w:t>disclosure</w:t>
      </w:r>
      <w:proofErr w:type="spellEnd"/>
      <w:r w:rsidR="00736B7D" w:rsidRPr="00CD5938">
        <w:rPr>
          <w:i/>
          <w:iCs/>
          <w:color w:val="000000" w:themeColor="text1"/>
        </w:rPr>
        <w:t xml:space="preserve"> </w:t>
      </w:r>
      <w:r w:rsidR="00736B7D" w:rsidRPr="00CD5938">
        <w:rPr>
          <w:color w:val="000000" w:themeColor="text1"/>
        </w:rPr>
        <w:t xml:space="preserve">voluntário das empresas brasileiras listadas na BM&amp;F BOVESPA. </w:t>
      </w:r>
      <w:r w:rsidR="00736B7D" w:rsidRPr="00C6606A">
        <w:rPr>
          <w:i/>
          <w:iCs/>
          <w:color w:val="000000" w:themeColor="text1"/>
        </w:rPr>
        <w:t>Registro Contábil,</w:t>
      </w:r>
      <w:r w:rsidR="00736B7D" w:rsidRPr="00CD5938">
        <w:rPr>
          <w:color w:val="000000" w:themeColor="text1"/>
        </w:rPr>
        <w:t xml:space="preserve"> 6</w:t>
      </w:r>
      <w:r>
        <w:rPr>
          <w:color w:val="000000" w:themeColor="text1"/>
        </w:rPr>
        <w:t>(</w:t>
      </w:r>
      <w:r w:rsidR="00736B7D" w:rsidRPr="00CD5938">
        <w:rPr>
          <w:color w:val="000000" w:themeColor="text1"/>
        </w:rPr>
        <w:t>1</w:t>
      </w:r>
      <w:r>
        <w:rPr>
          <w:color w:val="000000" w:themeColor="text1"/>
        </w:rPr>
        <w:t>)</w:t>
      </w:r>
      <w:r w:rsidR="00736B7D" w:rsidRPr="00CD5938">
        <w:rPr>
          <w:color w:val="000000" w:themeColor="text1"/>
        </w:rPr>
        <w:t>, 92-109</w:t>
      </w:r>
      <w:r>
        <w:rPr>
          <w:color w:val="000000" w:themeColor="text1"/>
        </w:rPr>
        <w:t>.</w:t>
      </w:r>
    </w:p>
    <w:p w14:paraId="5C4A032A" w14:textId="45DF373A" w:rsidR="00736B7D" w:rsidRPr="004D3095" w:rsidRDefault="00120CA3" w:rsidP="004D3095">
      <w:pPr>
        <w:ind w:firstLine="0"/>
        <w:rPr>
          <w:bCs/>
          <w:i/>
          <w:iCs/>
          <w:color w:val="000000" w:themeColor="text1"/>
          <w:szCs w:val="24"/>
          <w:shd w:val="clear" w:color="auto" w:fill="FFFFFF"/>
        </w:rPr>
      </w:pPr>
      <w:proofErr w:type="spellStart"/>
      <w:r w:rsidRPr="00CD5938">
        <w:rPr>
          <w:color w:val="000000" w:themeColor="text1"/>
          <w:szCs w:val="24"/>
          <w:shd w:val="clear" w:color="auto" w:fill="FFFFFF"/>
        </w:rPr>
        <w:t>Haussmann</w:t>
      </w:r>
      <w:proofErr w:type="spellEnd"/>
      <w:r w:rsidRPr="00CD5938">
        <w:rPr>
          <w:color w:val="000000" w:themeColor="text1"/>
          <w:szCs w:val="24"/>
          <w:shd w:val="clear" w:color="auto" w:fill="FFFFFF"/>
        </w:rPr>
        <w:t>, D. C. S.</w:t>
      </w:r>
      <w:r>
        <w:rPr>
          <w:color w:val="000000" w:themeColor="text1"/>
          <w:szCs w:val="24"/>
          <w:shd w:val="clear" w:color="auto" w:fill="FFFFFF"/>
        </w:rPr>
        <w:t>,</w:t>
      </w:r>
      <w:r w:rsidRPr="00CD5938">
        <w:rPr>
          <w:color w:val="000000" w:themeColor="text1"/>
          <w:szCs w:val="24"/>
          <w:shd w:val="clear" w:color="auto" w:fill="FFFFFF"/>
        </w:rPr>
        <w:t xml:space="preserve"> </w:t>
      </w:r>
      <w:proofErr w:type="spellStart"/>
      <w:r w:rsidRPr="00CD5938">
        <w:rPr>
          <w:color w:val="000000" w:themeColor="text1"/>
          <w:szCs w:val="24"/>
          <w:shd w:val="clear" w:color="auto" w:fill="FFFFFF"/>
        </w:rPr>
        <w:t>Savariz</w:t>
      </w:r>
      <w:proofErr w:type="spellEnd"/>
      <w:r w:rsidRPr="00CD5938">
        <w:rPr>
          <w:color w:val="000000" w:themeColor="text1"/>
          <w:szCs w:val="24"/>
          <w:shd w:val="clear" w:color="auto" w:fill="FFFFFF"/>
        </w:rPr>
        <w:t>, C. R.</w:t>
      </w:r>
      <w:r>
        <w:rPr>
          <w:color w:val="000000" w:themeColor="text1"/>
          <w:szCs w:val="24"/>
          <w:shd w:val="clear" w:color="auto" w:fill="FFFFFF"/>
        </w:rPr>
        <w:t>,</w:t>
      </w:r>
      <w:r w:rsidRPr="00CD5938">
        <w:rPr>
          <w:color w:val="000000" w:themeColor="text1"/>
          <w:szCs w:val="24"/>
          <w:shd w:val="clear" w:color="auto" w:fill="FFFFFF"/>
        </w:rPr>
        <w:t xml:space="preserve"> </w:t>
      </w:r>
      <w:proofErr w:type="spellStart"/>
      <w:r w:rsidRPr="00CD5938">
        <w:rPr>
          <w:color w:val="000000" w:themeColor="text1"/>
          <w:szCs w:val="24"/>
          <w:shd w:val="clear" w:color="auto" w:fill="FFFFFF"/>
        </w:rPr>
        <w:t>Bizatto</w:t>
      </w:r>
      <w:proofErr w:type="spellEnd"/>
      <w:r w:rsidRPr="00CD5938">
        <w:rPr>
          <w:color w:val="000000" w:themeColor="text1"/>
          <w:szCs w:val="24"/>
          <w:shd w:val="clear" w:color="auto" w:fill="FFFFFF"/>
        </w:rPr>
        <w:t>, L. S.</w:t>
      </w:r>
      <w:r>
        <w:rPr>
          <w:color w:val="000000" w:themeColor="text1"/>
          <w:szCs w:val="24"/>
          <w:shd w:val="clear" w:color="auto" w:fill="FFFFFF"/>
        </w:rPr>
        <w:t>, &amp;</w:t>
      </w:r>
      <w:r w:rsidRPr="00CD5938">
        <w:rPr>
          <w:color w:val="000000" w:themeColor="text1"/>
          <w:szCs w:val="24"/>
          <w:shd w:val="clear" w:color="auto" w:fill="FFFFFF"/>
        </w:rPr>
        <w:t xml:space="preserve"> </w:t>
      </w:r>
      <w:proofErr w:type="spellStart"/>
      <w:r w:rsidRPr="00CD5938">
        <w:rPr>
          <w:color w:val="000000" w:themeColor="text1"/>
          <w:szCs w:val="24"/>
          <w:shd w:val="clear" w:color="auto" w:fill="FFFFFF"/>
        </w:rPr>
        <w:t>Klann</w:t>
      </w:r>
      <w:proofErr w:type="spellEnd"/>
      <w:r w:rsidRPr="00CD5938">
        <w:rPr>
          <w:color w:val="000000" w:themeColor="text1"/>
          <w:szCs w:val="24"/>
          <w:shd w:val="clear" w:color="auto" w:fill="FFFFFF"/>
        </w:rPr>
        <w:t>, R. C</w:t>
      </w:r>
      <w:r w:rsidR="00736B7D" w:rsidRPr="00CD5938">
        <w:rPr>
          <w:color w:val="000000" w:themeColor="text1"/>
          <w:szCs w:val="24"/>
          <w:shd w:val="clear" w:color="auto" w:fill="FFFFFF"/>
        </w:rPr>
        <w:t xml:space="preserve">. </w:t>
      </w:r>
      <w:r>
        <w:rPr>
          <w:color w:val="000000" w:themeColor="text1"/>
          <w:szCs w:val="24"/>
          <w:shd w:val="clear" w:color="auto" w:fill="FFFFFF"/>
        </w:rPr>
        <w:t xml:space="preserve">(2017). </w:t>
      </w:r>
      <w:r w:rsidR="00736B7D" w:rsidRPr="00CD5938">
        <w:rPr>
          <w:color w:val="000000" w:themeColor="text1"/>
          <w:szCs w:val="24"/>
          <w:shd w:val="clear" w:color="auto" w:fill="FFFFFF"/>
        </w:rPr>
        <w:t xml:space="preserve">Gerenciamento de </w:t>
      </w:r>
      <w:r w:rsidRPr="00CD5938">
        <w:rPr>
          <w:color w:val="000000" w:themeColor="text1"/>
          <w:szCs w:val="24"/>
          <w:shd w:val="clear" w:color="auto" w:fill="FFFFFF"/>
        </w:rPr>
        <w:t xml:space="preserve">resultados em empresas de construção civil envolvidas na operação </w:t>
      </w:r>
      <w:r w:rsidR="004D3095">
        <w:rPr>
          <w:color w:val="000000" w:themeColor="text1"/>
          <w:szCs w:val="24"/>
          <w:shd w:val="clear" w:color="auto" w:fill="FFFFFF"/>
        </w:rPr>
        <w:t>Lava Jato</w:t>
      </w:r>
      <w:r w:rsidR="00736B7D" w:rsidRPr="00CD5938">
        <w:rPr>
          <w:color w:val="000000" w:themeColor="text1"/>
          <w:szCs w:val="24"/>
          <w:shd w:val="clear" w:color="auto" w:fill="FFFFFF"/>
        </w:rPr>
        <w:t xml:space="preserve">. In: </w:t>
      </w:r>
      <w:r w:rsidRPr="00120CA3">
        <w:rPr>
          <w:i/>
          <w:iCs/>
          <w:color w:val="000000" w:themeColor="text1"/>
          <w:szCs w:val="24"/>
          <w:shd w:val="clear" w:color="auto" w:fill="FFFFFF"/>
        </w:rPr>
        <w:t xml:space="preserve">Congresso Brasileiro </w:t>
      </w:r>
      <w:r>
        <w:rPr>
          <w:i/>
          <w:iCs/>
          <w:color w:val="000000" w:themeColor="text1"/>
          <w:szCs w:val="24"/>
          <w:shd w:val="clear" w:color="auto" w:fill="FFFFFF"/>
        </w:rPr>
        <w:t>d</w:t>
      </w:r>
      <w:r w:rsidRPr="00120CA3">
        <w:rPr>
          <w:i/>
          <w:iCs/>
          <w:color w:val="000000" w:themeColor="text1"/>
          <w:szCs w:val="24"/>
          <w:shd w:val="clear" w:color="auto" w:fill="FFFFFF"/>
        </w:rPr>
        <w:t xml:space="preserve">e Administração </w:t>
      </w:r>
      <w:r>
        <w:rPr>
          <w:i/>
          <w:iCs/>
          <w:color w:val="000000" w:themeColor="text1"/>
          <w:szCs w:val="24"/>
          <w:shd w:val="clear" w:color="auto" w:fill="FFFFFF"/>
        </w:rPr>
        <w:t>e</w:t>
      </w:r>
      <w:r w:rsidRPr="00120CA3">
        <w:rPr>
          <w:i/>
          <w:iCs/>
          <w:color w:val="000000" w:themeColor="text1"/>
          <w:szCs w:val="24"/>
          <w:shd w:val="clear" w:color="auto" w:fill="FFFFFF"/>
        </w:rPr>
        <w:t xml:space="preserve"> Contabilidade,</w:t>
      </w:r>
      <w:r w:rsidR="00736B7D" w:rsidRPr="00CD5938">
        <w:rPr>
          <w:color w:val="000000" w:themeColor="text1"/>
          <w:szCs w:val="24"/>
          <w:shd w:val="clear" w:color="auto" w:fill="FFFFFF"/>
        </w:rPr>
        <w:t xml:space="preserve"> 8., 2017. Rio de Janeiro – RJ. </w:t>
      </w:r>
      <w:r w:rsidR="00736B7D" w:rsidRPr="00120CA3">
        <w:rPr>
          <w:bCs/>
          <w:i/>
          <w:iCs/>
          <w:color w:val="000000" w:themeColor="text1"/>
          <w:szCs w:val="24"/>
          <w:shd w:val="clear" w:color="auto" w:fill="FFFFFF"/>
        </w:rPr>
        <w:t>Anais Eletrônicos.</w:t>
      </w:r>
    </w:p>
    <w:p w14:paraId="20BC5269" w14:textId="370AF60F" w:rsidR="00736B7D" w:rsidRPr="00CD5938" w:rsidRDefault="00736B7D" w:rsidP="008343F2">
      <w:pPr>
        <w:ind w:firstLine="0"/>
        <w:rPr>
          <w:color w:val="000000" w:themeColor="text1"/>
          <w:szCs w:val="24"/>
          <w:shd w:val="clear" w:color="auto" w:fill="FFFFFF"/>
        </w:rPr>
      </w:pPr>
      <w:r w:rsidRPr="00CD5938">
        <w:rPr>
          <w:color w:val="000000" w:themeColor="text1"/>
          <w:szCs w:val="24"/>
          <w:shd w:val="clear" w:color="auto" w:fill="FFFFFF"/>
        </w:rPr>
        <w:t>HENRIQUES, A.; MEDEIROS, J. B.; </w:t>
      </w:r>
      <w:r w:rsidRPr="00CD5938">
        <w:rPr>
          <w:b/>
          <w:iCs/>
          <w:color w:val="000000" w:themeColor="text1"/>
          <w:szCs w:val="24"/>
          <w:shd w:val="clear" w:color="auto" w:fill="FFFFFF"/>
        </w:rPr>
        <w:t>Metodologia Científica da Pesquisa Jurídica.</w:t>
      </w:r>
      <w:r w:rsidRPr="00CD5938">
        <w:rPr>
          <w:i/>
          <w:iCs/>
          <w:color w:val="000000" w:themeColor="text1"/>
          <w:szCs w:val="24"/>
          <w:shd w:val="clear" w:color="auto" w:fill="FFFFFF"/>
        </w:rPr>
        <w:t xml:space="preserve"> </w:t>
      </w:r>
      <w:r w:rsidRPr="00CD5938">
        <w:rPr>
          <w:iCs/>
          <w:color w:val="000000" w:themeColor="text1"/>
          <w:szCs w:val="24"/>
          <w:shd w:val="clear" w:color="auto" w:fill="FFFFFF"/>
        </w:rPr>
        <w:t>9ª ed</w:t>
      </w:r>
      <w:r w:rsidRPr="00CD5938">
        <w:rPr>
          <w:color w:val="000000" w:themeColor="text1"/>
          <w:szCs w:val="24"/>
          <w:shd w:val="clear" w:color="auto" w:fill="FFFFFF"/>
        </w:rPr>
        <w:t>. São Paulo: Atlas, 2017. </w:t>
      </w:r>
    </w:p>
    <w:p w14:paraId="199E0050" w14:textId="3A8E5C8A" w:rsidR="00736B7D" w:rsidRPr="00CD5938" w:rsidRDefault="00120CA3" w:rsidP="008343F2">
      <w:pPr>
        <w:ind w:firstLine="0"/>
        <w:rPr>
          <w:color w:val="000000" w:themeColor="text1"/>
          <w:szCs w:val="24"/>
          <w:shd w:val="clear" w:color="auto" w:fill="FFFFFF"/>
        </w:rPr>
      </w:pPr>
      <w:proofErr w:type="spellStart"/>
      <w:r w:rsidRPr="00CD5938">
        <w:rPr>
          <w:color w:val="000000" w:themeColor="text1"/>
          <w:szCs w:val="24"/>
          <w:shd w:val="clear" w:color="auto" w:fill="FFFFFF"/>
        </w:rPr>
        <w:t>Kos</w:t>
      </w:r>
      <w:proofErr w:type="spellEnd"/>
      <w:r w:rsidRPr="00CD5938">
        <w:rPr>
          <w:color w:val="000000" w:themeColor="text1"/>
          <w:szCs w:val="24"/>
          <w:shd w:val="clear" w:color="auto" w:fill="FFFFFF"/>
        </w:rPr>
        <w:t>, S. R.</w:t>
      </w:r>
      <w:r>
        <w:rPr>
          <w:color w:val="000000" w:themeColor="text1"/>
          <w:szCs w:val="24"/>
          <w:shd w:val="clear" w:color="auto" w:fill="FFFFFF"/>
        </w:rPr>
        <w:t>,</w:t>
      </w:r>
      <w:r w:rsidRPr="00CD5938">
        <w:rPr>
          <w:color w:val="000000" w:themeColor="text1"/>
          <w:szCs w:val="24"/>
          <w:shd w:val="clear" w:color="auto" w:fill="FFFFFF"/>
        </w:rPr>
        <w:t xml:space="preserve"> Scarpin, J. E.</w:t>
      </w:r>
      <w:r>
        <w:rPr>
          <w:color w:val="000000" w:themeColor="text1"/>
          <w:szCs w:val="24"/>
          <w:shd w:val="clear" w:color="auto" w:fill="FFFFFF"/>
        </w:rPr>
        <w:t>, &amp;</w:t>
      </w:r>
      <w:r w:rsidRPr="00CD5938">
        <w:rPr>
          <w:color w:val="000000" w:themeColor="text1"/>
          <w:szCs w:val="24"/>
          <w:shd w:val="clear" w:color="auto" w:fill="FFFFFF"/>
        </w:rPr>
        <w:t xml:space="preserve"> </w:t>
      </w:r>
      <w:proofErr w:type="spellStart"/>
      <w:r w:rsidRPr="00CD5938">
        <w:rPr>
          <w:color w:val="000000" w:themeColor="text1"/>
          <w:szCs w:val="24"/>
          <w:shd w:val="clear" w:color="auto" w:fill="FFFFFF"/>
        </w:rPr>
        <w:t>Kabucussa</w:t>
      </w:r>
      <w:proofErr w:type="spellEnd"/>
      <w:r w:rsidRPr="00CD5938">
        <w:rPr>
          <w:color w:val="000000" w:themeColor="text1"/>
          <w:szCs w:val="24"/>
          <w:shd w:val="clear" w:color="auto" w:fill="FFFFFF"/>
        </w:rPr>
        <w:t xml:space="preserve">, P. J. </w:t>
      </w:r>
      <w:r>
        <w:rPr>
          <w:color w:val="000000" w:themeColor="text1"/>
          <w:szCs w:val="24"/>
          <w:shd w:val="clear" w:color="auto" w:fill="FFFFFF"/>
        </w:rPr>
        <w:t xml:space="preserve">(2017). </w:t>
      </w:r>
      <w:r w:rsidR="00736B7D" w:rsidRPr="00CD5938">
        <w:rPr>
          <w:color w:val="000000" w:themeColor="text1"/>
          <w:szCs w:val="24"/>
          <w:shd w:val="clear" w:color="auto" w:fill="FFFFFF"/>
        </w:rPr>
        <w:t xml:space="preserve">Relevância </w:t>
      </w:r>
      <w:r w:rsidRPr="00CD5938">
        <w:rPr>
          <w:color w:val="000000" w:themeColor="text1"/>
          <w:szCs w:val="24"/>
          <w:shd w:val="clear" w:color="auto" w:fill="FFFFFF"/>
        </w:rPr>
        <w:t>da informação contábil em empresas do</w:t>
      </w:r>
      <w:r w:rsidR="00736B7D" w:rsidRPr="00CD5938">
        <w:rPr>
          <w:color w:val="000000" w:themeColor="text1"/>
          <w:szCs w:val="24"/>
          <w:shd w:val="clear" w:color="auto" w:fill="FFFFFF"/>
        </w:rPr>
        <w:t xml:space="preserve">s BRICS </w:t>
      </w:r>
      <w:r>
        <w:rPr>
          <w:color w:val="000000" w:themeColor="text1"/>
          <w:szCs w:val="24"/>
          <w:shd w:val="clear" w:color="auto" w:fill="FFFFFF"/>
        </w:rPr>
        <w:t>e</w:t>
      </w:r>
      <w:r w:rsidR="00736B7D" w:rsidRPr="00CD5938">
        <w:rPr>
          <w:color w:val="000000" w:themeColor="text1"/>
          <w:szCs w:val="24"/>
          <w:shd w:val="clear" w:color="auto" w:fill="FFFFFF"/>
        </w:rPr>
        <w:t xml:space="preserve"> EUA. </w:t>
      </w:r>
      <w:r w:rsidR="00736B7D" w:rsidRPr="00120CA3">
        <w:rPr>
          <w:bCs/>
          <w:i/>
          <w:iCs/>
          <w:color w:val="000000" w:themeColor="text1"/>
          <w:szCs w:val="24"/>
          <w:shd w:val="clear" w:color="auto" w:fill="FFFFFF"/>
        </w:rPr>
        <w:t>Enfoque Reflexão Contábil,</w:t>
      </w:r>
      <w:r w:rsidR="00736B7D">
        <w:rPr>
          <w:color w:val="000000" w:themeColor="text1"/>
          <w:szCs w:val="24"/>
          <w:shd w:val="clear" w:color="auto" w:fill="FFFFFF"/>
        </w:rPr>
        <w:t xml:space="preserve"> </w:t>
      </w:r>
      <w:r w:rsidR="00736B7D" w:rsidRPr="00CD5938">
        <w:rPr>
          <w:color w:val="000000" w:themeColor="text1"/>
          <w:szCs w:val="24"/>
          <w:shd w:val="clear" w:color="auto" w:fill="FFFFFF"/>
        </w:rPr>
        <w:t>36</w:t>
      </w:r>
      <w:r>
        <w:rPr>
          <w:color w:val="000000" w:themeColor="text1"/>
          <w:szCs w:val="24"/>
          <w:shd w:val="clear" w:color="auto" w:fill="FFFFFF"/>
        </w:rPr>
        <w:t>(</w:t>
      </w:r>
      <w:r w:rsidR="00736B7D" w:rsidRPr="00CD5938">
        <w:rPr>
          <w:color w:val="000000" w:themeColor="text1"/>
          <w:szCs w:val="24"/>
          <w:shd w:val="clear" w:color="auto" w:fill="FFFFFF"/>
        </w:rPr>
        <w:t>3</w:t>
      </w:r>
      <w:r>
        <w:rPr>
          <w:color w:val="000000" w:themeColor="text1"/>
          <w:szCs w:val="24"/>
          <w:shd w:val="clear" w:color="auto" w:fill="FFFFFF"/>
        </w:rPr>
        <w:t>)</w:t>
      </w:r>
      <w:r w:rsidR="00736B7D" w:rsidRPr="00CD5938">
        <w:rPr>
          <w:color w:val="000000" w:themeColor="text1"/>
          <w:szCs w:val="24"/>
          <w:shd w:val="clear" w:color="auto" w:fill="FFFFFF"/>
        </w:rPr>
        <w:t>, 101-117.</w:t>
      </w:r>
      <w:r w:rsidR="00736B7D">
        <w:rPr>
          <w:color w:val="000000" w:themeColor="text1"/>
          <w:szCs w:val="24"/>
          <w:shd w:val="clear" w:color="auto" w:fill="FFFFFF"/>
        </w:rPr>
        <w:t xml:space="preserve"> </w:t>
      </w:r>
    </w:p>
    <w:p w14:paraId="61F0DCAA" w14:textId="560B656D" w:rsidR="00736B7D" w:rsidRPr="00CD5938" w:rsidRDefault="00120CA3" w:rsidP="008343F2">
      <w:pPr>
        <w:ind w:firstLine="0"/>
        <w:rPr>
          <w:color w:val="000000" w:themeColor="text1"/>
          <w:szCs w:val="24"/>
          <w:shd w:val="clear" w:color="auto" w:fill="FFFFFF"/>
        </w:rPr>
      </w:pPr>
      <w:r w:rsidRPr="00CD5938">
        <w:rPr>
          <w:color w:val="000000" w:themeColor="text1"/>
          <w:szCs w:val="24"/>
          <w:shd w:val="clear" w:color="auto" w:fill="FFFFFF"/>
        </w:rPr>
        <w:t>Martins, P. A.</w:t>
      </w:r>
      <w:r>
        <w:rPr>
          <w:color w:val="000000" w:themeColor="text1"/>
          <w:szCs w:val="24"/>
          <w:shd w:val="clear" w:color="auto" w:fill="FFFFFF"/>
        </w:rPr>
        <w:t>, &amp;</w:t>
      </w:r>
      <w:r w:rsidRPr="00CD5938">
        <w:rPr>
          <w:color w:val="000000" w:themeColor="text1"/>
          <w:szCs w:val="24"/>
          <w:shd w:val="clear" w:color="auto" w:fill="FFFFFF"/>
        </w:rPr>
        <w:t xml:space="preserve"> Rodrigues, M. C. </w:t>
      </w:r>
      <w:r w:rsidR="00736B7D" w:rsidRPr="00CD5938">
        <w:rPr>
          <w:color w:val="000000" w:themeColor="text1"/>
          <w:szCs w:val="24"/>
          <w:shd w:val="clear" w:color="auto" w:fill="FFFFFF"/>
        </w:rPr>
        <w:t xml:space="preserve">F. </w:t>
      </w:r>
      <w:r w:rsidR="00C6606A">
        <w:rPr>
          <w:color w:val="000000" w:themeColor="text1"/>
          <w:szCs w:val="24"/>
          <w:shd w:val="clear" w:color="auto" w:fill="FFFFFF"/>
        </w:rPr>
        <w:t xml:space="preserve">(2015). </w:t>
      </w:r>
      <w:r w:rsidR="00736B7D" w:rsidRPr="00CD5938">
        <w:rPr>
          <w:color w:val="000000" w:themeColor="text1"/>
          <w:szCs w:val="24"/>
          <w:shd w:val="clear" w:color="auto" w:fill="FFFFFF"/>
        </w:rPr>
        <w:t xml:space="preserve">Impactos </w:t>
      </w:r>
      <w:r w:rsidRPr="00CD5938">
        <w:rPr>
          <w:color w:val="000000" w:themeColor="text1"/>
          <w:szCs w:val="24"/>
          <w:shd w:val="clear" w:color="auto" w:fill="FFFFFF"/>
        </w:rPr>
        <w:t xml:space="preserve">sofridos na parte contábil da empresa </w:t>
      </w:r>
      <w:r>
        <w:rPr>
          <w:color w:val="000000" w:themeColor="text1"/>
          <w:szCs w:val="24"/>
          <w:shd w:val="clear" w:color="auto" w:fill="FFFFFF"/>
        </w:rPr>
        <w:t>P</w:t>
      </w:r>
      <w:r w:rsidRPr="00CD5938">
        <w:rPr>
          <w:color w:val="000000" w:themeColor="text1"/>
          <w:szCs w:val="24"/>
          <w:shd w:val="clear" w:color="auto" w:fill="FFFFFF"/>
        </w:rPr>
        <w:t>etrobr</w:t>
      </w:r>
      <w:r>
        <w:rPr>
          <w:color w:val="000000" w:themeColor="text1"/>
          <w:szCs w:val="24"/>
          <w:shd w:val="clear" w:color="auto" w:fill="FFFFFF"/>
        </w:rPr>
        <w:t>a</w:t>
      </w:r>
      <w:r w:rsidRPr="00CD5938">
        <w:rPr>
          <w:color w:val="000000" w:themeColor="text1"/>
          <w:szCs w:val="24"/>
          <w:shd w:val="clear" w:color="auto" w:fill="FFFFFF"/>
        </w:rPr>
        <w:t xml:space="preserve">s após as notificações do esquema </w:t>
      </w:r>
      <w:r w:rsidR="004D3095">
        <w:rPr>
          <w:color w:val="000000" w:themeColor="text1"/>
          <w:szCs w:val="24"/>
          <w:shd w:val="clear" w:color="auto" w:fill="FFFFFF"/>
        </w:rPr>
        <w:t>Lava Jato</w:t>
      </w:r>
      <w:r w:rsidR="00736B7D" w:rsidRPr="00CD5938">
        <w:rPr>
          <w:color w:val="000000" w:themeColor="text1"/>
          <w:szCs w:val="24"/>
          <w:shd w:val="clear" w:color="auto" w:fill="FFFFFF"/>
        </w:rPr>
        <w:t xml:space="preserve">. In: </w:t>
      </w:r>
      <w:r w:rsidRPr="00120CA3">
        <w:rPr>
          <w:i/>
          <w:iCs/>
          <w:color w:val="000000" w:themeColor="text1"/>
          <w:szCs w:val="24"/>
          <w:shd w:val="clear" w:color="auto" w:fill="FFFFFF"/>
        </w:rPr>
        <w:t xml:space="preserve">Simpósio </w:t>
      </w:r>
      <w:r>
        <w:rPr>
          <w:i/>
          <w:iCs/>
          <w:color w:val="000000" w:themeColor="text1"/>
          <w:szCs w:val="24"/>
          <w:shd w:val="clear" w:color="auto" w:fill="FFFFFF"/>
        </w:rPr>
        <w:t>d</w:t>
      </w:r>
      <w:r w:rsidRPr="00120CA3">
        <w:rPr>
          <w:i/>
          <w:iCs/>
          <w:color w:val="000000" w:themeColor="text1"/>
          <w:szCs w:val="24"/>
          <w:shd w:val="clear" w:color="auto" w:fill="FFFFFF"/>
        </w:rPr>
        <w:t xml:space="preserve">e Excelência </w:t>
      </w:r>
      <w:r>
        <w:rPr>
          <w:i/>
          <w:iCs/>
          <w:color w:val="000000" w:themeColor="text1"/>
          <w:szCs w:val="24"/>
          <w:shd w:val="clear" w:color="auto" w:fill="FFFFFF"/>
        </w:rPr>
        <w:t>e</w:t>
      </w:r>
      <w:r w:rsidRPr="00120CA3">
        <w:rPr>
          <w:i/>
          <w:iCs/>
          <w:color w:val="000000" w:themeColor="text1"/>
          <w:szCs w:val="24"/>
          <w:shd w:val="clear" w:color="auto" w:fill="FFFFFF"/>
        </w:rPr>
        <w:t xml:space="preserve">m Gestão </w:t>
      </w:r>
      <w:r>
        <w:rPr>
          <w:i/>
          <w:iCs/>
          <w:color w:val="000000" w:themeColor="text1"/>
          <w:szCs w:val="24"/>
          <w:shd w:val="clear" w:color="auto" w:fill="FFFFFF"/>
        </w:rPr>
        <w:t>e</w:t>
      </w:r>
      <w:r w:rsidRPr="00120CA3">
        <w:rPr>
          <w:i/>
          <w:iCs/>
          <w:color w:val="000000" w:themeColor="text1"/>
          <w:szCs w:val="24"/>
          <w:shd w:val="clear" w:color="auto" w:fill="FFFFFF"/>
        </w:rPr>
        <w:t xml:space="preserve"> Tecnologia</w:t>
      </w:r>
      <w:r w:rsidR="00736B7D" w:rsidRPr="00CD5938">
        <w:rPr>
          <w:color w:val="000000" w:themeColor="text1"/>
          <w:szCs w:val="24"/>
          <w:shd w:val="clear" w:color="auto" w:fill="FFFFFF"/>
        </w:rPr>
        <w:t xml:space="preserve">, 12., 2015. Resende – RJ. </w:t>
      </w:r>
      <w:r w:rsidR="00736B7D" w:rsidRPr="00C6606A">
        <w:rPr>
          <w:bCs/>
          <w:i/>
          <w:iCs/>
          <w:color w:val="000000" w:themeColor="text1"/>
          <w:szCs w:val="24"/>
          <w:shd w:val="clear" w:color="auto" w:fill="FFFFFF"/>
        </w:rPr>
        <w:t>Anais Eletrônicos.</w:t>
      </w:r>
      <w:r w:rsidR="00736B7D" w:rsidRPr="00CD5938">
        <w:rPr>
          <w:color w:val="000000" w:themeColor="text1"/>
          <w:szCs w:val="24"/>
          <w:shd w:val="clear" w:color="auto" w:fill="FFFFFF"/>
        </w:rPr>
        <w:t xml:space="preserve"> </w:t>
      </w:r>
    </w:p>
    <w:p w14:paraId="58356AEA" w14:textId="27C62D03" w:rsidR="00736B7D" w:rsidRPr="00CD5938" w:rsidRDefault="00887D3E" w:rsidP="008343F2">
      <w:pPr>
        <w:ind w:firstLine="0"/>
        <w:rPr>
          <w:color w:val="000000" w:themeColor="text1"/>
          <w:szCs w:val="24"/>
          <w:shd w:val="clear" w:color="auto" w:fill="FFFFFF"/>
        </w:rPr>
      </w:pPr>
      <w:proofErr w:type="spellStart"/>
      <w:r w:rsidRPr="00CD5938">
        <w:rPr>
          <w:color w:val="000000" w:themeColor="text1"/>
          <w:szCs w:val="24"/>
          <w:shd w:val="clear" w:color="auto" w:fill="FFFFFF"/>
        </w:rPr>
        <w:t>Malacrida</w:t>
      </w:r>
      <w:proofErr w:type="spellEnd"/>
      <w:r w:rsidRPr="00CD5938">
        <w:rPr>
          <w:color w:val="000000" w:themeColor="text1"/>
          <w:szCs w:val="24"/>
          <w:shd w:val="clear" w:color="auto" w:fill="FFFFFF"/>
        </w:rPr>
        <w:t>, M. J. C.</w:t>
      </w:r>
      <w:r>
        <w:rPr>
          <w:color w:val="000000" w:themeColor="text1"/>
          <w:szCs w:val="24"/>
          <w:shd w:val="clear" w:color="auto" w:fill="FFFFFF"/>
        </w:rPr>
        <w:t xml:space="preserve">, &amp; </w:t>
      </w:r>
      <w:r w:rsidRPr="00CD5938">
        <w:rPr>
          <w:color w:val="000000" w:themeColor="text1"/>
          <w:szCs w:val="24"/>
          <w:shd w:val="clear" w:color="auto" w:fill="FFFFFF"/>
        </w:rPr>
        <w:t xml:space="preserve">Yamamoto, M. M. </w:t>
      </w:r>
      <w:r>
        <w:rPr>
          <w:color w:val="000000" w:themeColor="text1"/>
          <w:szCs w:val="24"/>
          <w:shd w:val="clear" w:color="auto" w:fill="FFFFFF"/>
        </w:rPr>
        <w:t xml:space="preserve">(2006). </w:t>
      </w:r>
      <w:r w:rsidR="00736B7D" w:rsidRPr="00CD5938">
        <w:rPr>
          <w:color w:val="000000" w:themeColor="text1"/>
          <w:szCs w:val="24"/>
          <w:shd w:val="clear" w:color="auto" w:fill="FFFFFF"/>
        </w:rPr>
        <w:t xml:space="preserve">Governança corporativa: nível de evidenciação das informações e sua relação com a volatilidade das ações do Ibovespa. </w:t>
      </w:r>
      <w:r w:rsidR="00736B7D" w:rsidRPr="00887D3E">
        <w:rPr>
          <w:bCs/>
          <w:i/>
          <w:iCs/>
          <w:color w:val="000000" w:themeColor="text1"/>
          <w:szCs w:val="24"/>
          <w:shd w:val="clear" w:color="auto" w:fill="FFFFFF"/>
        </w:rPr>
        <w:t>Revista Contabilidade &amp; Finanças,</w:t>
      </w:r>
      <w:r w:rsidR="00736B7D">
        <w:rPr>
          <w:b/>
          <w:color w:val="000000" w:themeColor="text1"/>
          <w:szCs w:val="24"/>
          <w:shd w:val="clear" w:color="auto" w:fill="FFFFFF"/>
        </w:rPr>
        <w:t xml:space="preserve"> </w:t>
      </w:r>
      <w:r w:rsidR="00736B7D" w:rsidRPr="00CD5938">
        <w:rPr>
          <w:color w:val="000000" w:themeColor="text1"/>
          <w:szCs w:val="24"/>
          <w:shd w:val="clear" w:color="auto" w:fill="FFFFFF"/>
        </w:rPr>
        <w:t>17</w:t>
      </w:r>
      <w:r>
        <w:rPr>
          <w:color w:val="000000" w:themeColor="text1"/>
          <w:szCs w:val="24"/>
          <w:shd w:val="clear" w:color="auto" w:fill="FFFFFF"/>
        </w:rPr>
        <w:t>(</w:t>
      </w:r>
      <w:proofErr w:type="spellStart"/>
      <w:r>
        <w:rPr>
          <w:color w:val="000000" w:themeColor="text1"/>
          <w:szCs w:val="24"/>
          <w:shd w:val="clear" w:color="auto" w:fill="FFFFFF"/>
        </w:rPr>
        <w:t>s.n</w:t>
      </w:r>
      <w:proofErr w:type="spellEnd"/>
      <w:r>
        <w:rPr>
          <w:color w:val="000000" w:themeColor="text1"/>
          <w:szCs w:val="24"/>
          <w:shd w:val="clear" w:color="auto" w:fill="FFFFFF"/>
        </w:rPr>
        <w:t xml:space="preserve">), </w:t>
      </w:r>
      <w:r w:rsidR="00736B7D" w:rsidRPr="00CD5938">
        <w:rPr>
          <w:color w:val="000000" w:themeColor="text1"/>
          <w:szCs w:val="24"/>
          <w:shd w:val="clear" w:color="auto" w:fill="FFFFFF"/>
        </w:rPr>
        <w:t>65-79</w:t>
      </w:r>
      <w:r>
        <w:rPr>
          <w:color w:val="000000" w:themeColor="text1"/>
          <w:szCs w:val="24"/>
          <w:shd w:val="clear" w:color="auto" w:fill="FFFFFF"/>
        </w:rPr>
        <w:t xml:space="preserve">, </w:t>
      </w:r>
      <w:r w:rsidR="00736B7D" w:rsidRPr="00CD5938">
        <w:rPr>
          <w:color w:val="000000" w:themeColor="text1"/>
          <w:szCs w:val="24"/>
          <w:shd w:val="clear" w:color="auto" w:fill="FFFFFF"/>
        </w:rPr>
        <w:t>2006.</w:t>
      </w:r>
    </w:p>
    <w:p w14:paraId="004CAE6C" w14:textId="78B987A8" w:rsidR="00736B7D" w:rsidRPr="00CD5938" w:rsidRDefault="00C02F8B" w:rsidP="008343F2">
      <w:pPr>
        <w:ind w:firstLine="0"/>
        <w:rPr>
          <w:color w:val="000000" w:themeColor="text1"/>
          <w:szCs w:val="24"/>
          <w:shd w:val="clear" w:color="auto" w:fill="FFFFFF"/>
        </w:rPr>
      </w:pPr>
      <w:r w:rsidRPr="00CD5938">
        <w:rPr>
          <w:color w:val="000000" w:themeColor="text1"/>
          <w:szCs w:val="24"/>
          <w:shd w:val="clear" w:color="auto" w:fill="FFFFFF"/>
        </w:rPr>
        <w:t>Moura, G. D.</w:t>
      </w:r>
      <w:r>
        <w:rPr>
          <w:color w:val="000000" w:themeColor="text1"/>
          <w:szCs w:val="24"/>
          <w:shd w:val="clear" w:color="auto" w:fill="FFFFFF"/>
        </w:rPr>
        <w:t xml:space="preserve">, </w:t>
      </w:r>
      <w:proofErr w:type="spellStart"/>
      <w:r w:rsidRPr="00CD5938">
        <w:rPr>
          <w:color w:val="000000" w:themeColor="text1"/>
          <w:szCs w:val="24"/>
          <w:shd w:val="clear" w:color="auto" w:fill="FFFFFF"/>
        </w:rPr>
        <w:t>Zanchi</w:t>
      </w:r>
      <w:proofErr w:type="spellEnd"/>
      <w:r w:rsidRPr="00CD5938">
        <w:rPr>
          <w:color w:val="000000" w:themeColor="text1"/>
          <w:szCs w:val="24"/>
          <w:shd w:val="clear" w:color="auto" w:fill="FFFFFF"/>
        </w:rPr>
        <w:t>, M. M.</w:t>
      </w:r>
      <w:r>
        <w:rPr>
          <w:color w:val="000000" w:themeColor="text1"/>
          <w:szCs w:val="24"/>
          <w:shd w:val="clear" w:color="auto" w:fill="FFFFFF"/>
        </w:rPr>
        <w:t>,</w:t>
      </w:r>
      <w:r w:rsidRPr="00CD5938">
        <w:rPr>
          <w:color w:val="000000" w:themeColor="text1"/>
          <w:szCs w:val="24"/>
          <w:shd w:val="clear" w:color="auto" w:fill="FFFFFF"/>
        </w:rPr>
        <w:t xml:space="preserve"> </w:t>
      </w:r>
      <w:proofErr w:type="spellStart"/>
      <w:r w:rsidRPr="00CD5938">
        <w:rPr>
          <w:color w:val="000000" w:themeColor="text1"/>
          <w:szCs w:val="24"/>
          <w:shd w:val="clear" w:color="auto" w:fill="FFFFFF"/>
        </w:rPr>
        <w:t>Mazzioni</w:t>
      </w:r>
      <w:proofErr w:type="spellEnd"/>
      <w:r w:rsidRPr="00CD5938">
        <w:rPr>
          <w:color w:val="000000" w:themeColor="text1"/>
          <w:szCs w:val="24"/>
          <w:shd w:val="clear" w:color="auto" w:fill="FFFFFF"/>
        </w:rPr>
        <w:t>, S.</w:t>
      </w:r>
      <w:r>
        <w:rPr>
          <w:color w:val="000000" w:themeColor="text1"/>
          <w:szCs w:val="24"/>
          <w:shd w:val="clear" w:color="auto" w:fill="FFFFFF"/>
        </w:rPr>
        <w:t xml:space="preserve">, </w:t>
      </w:r>
      <w:r w:rsidRPr="00CD5938">
        <w:rPr>
          <w:color w:val="000000" w:themeColor="text1"/>
          <w:szCs w:val="24"/>
          <w:shd w:val="clear" w:color="auto" w:fill="FFFFFF"/>
        </w:rPr>
        <w:t>Macêdo, F.</w:t>
      </w:r>
      <w:r>
        <w:rPr>
          <w:color w:val="000000" w:themeColor="text1"/>
          <w:szCs w:val="24"/>
          <w:shd w:val="clear" w:color="auto" w:fill="FFFFFF"/>
        </w:rPr>
        <w:t>, &amp;</w:t>
      </w:r>
      <w:r w:rsidRPr="00CD5938">
        <w:rPr>
          <w:color w:val="000000" w:themeColor="text1"/>
          <w:szCs w:val="24"/>
          <w:shd w:val="clear" w:color="auto" w:fill="FFFFFF"/>
        </w:rPr>
        <w:t xml:space="preserve"> Kruger, S. D. </w:t>
      </w:r>
      <w:r>
        <w:rPr>
          <w:color w:val="000000" w:themeColor="text1"/>
          <w:szCs w:val="24"/>
          <w:shd w:val="clear" w:color="auto" w:fill="FFFFFF"/>
        </w:rPr>
        <w:t xml:space="preserve">(2017). </w:t>
      </w:r>
      <w:r w:rsidR="00736B7D" w:rsidRPr="00CD5938">
        <w:rPr>
          <w:color w:val="000000" w:themeColor="text1"/>
          <w:szCs w:val="24"/>
          <w:shd w:val="clear" w:color="auto" w:fill="FFFFFF"/>
        </w:rPr>
        <w:t xml:space="preserve">Determinantes </w:t>
      </w:r>
      <w:r w:rsidRPr="00CD5938">
        <w:rPr>
          <w:color w:val="000000" w:themeColor="text1"/>
          <w:szCs w:val="24"/>
          <w:shd w:val="clear" w:color="auto" w:fill="FFFFFF"/>
        </w:rPr>
        <w:t xml:space="preserve">da qualidade da informação contábil em grandes companhias abertas listadas na </w:t>
      </w:r>
      <w:r w:rsidR="00736B7D" w:rsidRPr="00CD5938">
        <w:rPr>
          <w:color w:val="000000" w:themeColor="text1"/>
          <w:szCs w:val="24"/>
          <w:shd w:val="clear" w:color="auto" w:fill="FFFFFF"/>
        </w:rPr>
        <w:t xml:space="preserve">BM&amp;FBOVESPA. </w:t>
      </w:r>
      <w:r w:rsidR="00736B7D" w:rsidRPr="00C02F8B">
        <w:rPr>
          <w:bCs/>
          <w:i/>
          <w:iCs/>
          <w:color w:val="000000" w:themeColor="text1"/>
          <w:szCs w:val="24"/>
          <w:shd w:val="clear" w:color="auto" w:fill="FFFFFF"/>
        </w:rPr>
        <w:t>Revista de Educação e Pesquisa em Contabilidade</w:t>
      </w:r>
      <w:r w:rsidR="00736B7D" w:rsidRPr="00CD5938">
        <w:rPr>
          <w:color w:val="000000" w:themeColor="text1"/>
          <w:szCs w:val="24"/>
          <w:shd w:val="clear" w:color="auto" w:fill="FFFFFF"/>
        </w:rPr>
        <w:t>, 11</w:t>
      </w:r>
      <w:r>
        <w:rPr>
          <w:color w:val="000000" w:themeColor="text1"/>
          <w:szCs w:val="24"/>
          <w:shd w:val="clear" w:color="auto" w:fill="FFFFFF"/>
        </w:rPr>
        <w:t>(</w:t>
      </w:r>
      <w:r w:rsidR="00736B7D" w:rsidRPr="00CD5938">
        <w:rPr>
          <w:color w:val="000000" w:themeColor="text1"/>
          <w:szCs w:val="24"/>
          <w:shd w:val="clear" w:color="auto" w:fill="FFFFFF"/>
        </w:rPr>
        <w:t>3</w:t>
      </w:r>
      <w:r>
        <w:rPr>
          <w:color w:val="000000" w:themeColor="text1"/>
          <w:szCs w:val="24"/>
          <w:shd w:val="clear" w:color="auto" w:fill="FFFFFF"/>
        </w:rPr>
        <w:t>)</w:t>
      </w:r>
      <w:r w:rsidR="00736B7D" w:rsidRPr="00CD5938">
        <w:rPr>
          <w:color w:val="000000" w:themeColor="text1"/>
          <w:szCs w:val="24"/>
          <w:shd w:val="clear" w:color="auto" w:fill="FFFFFF"/>
        </w:rPr>
        <w:t>, 329-34</w:t>
      </w:r>
      <w:r w:rsidR="00120CA3">
        <w:rPr>
          <w:color w:val="000000" w:themeColor="text1"/>
          <w:szCs w:val="24"/>
          <w:shd w:val="clear" w:color="auto" w:fill="FFFFFF"/>
        </w:rPr>
        <w:t>6.</w:t>
      </w:r>
    </w:p>
    <w:p w14:paraId="05E21B48" w14:textId="00963863" w:rsidR="00736B7D" w:rsidRPr="00CD5938" w:rsidRDefault="00120CA3" w:rsidP="008343F2">
      <w:pPr>
        <w:ind w:firstLine="0"/>
        <w:rPr>
          <w:color w:val="000000" w:themeColor="text1"/>
          <w:szCs w:val="24"/>
          <w:shd w:val="clear" w:color="auto" w:fill="FFFFFF"/>
        </w:rPr>
      </w:pPr>
      <w:r w:rsidRPr="00CD5938">
        <w:rPr>
          <w:color w:val="000000" w:themeColor="text1"/>
          <w:szCs w:val="24"/>
          <w:shd w:val="clear" w:color="auto" w:fill="FFFFFF"/>
        </w:rPr>
        <w:t>Oliveira, R. C.</w:t>
      </w:r>
      <w:r>
        <w:rPr>
          <w:color w:val="000000" w:themeColor="text1"/>
          <w:szCs w:val="24"/>
          <w:shd w:val="clear" w:color="auto" w:fill="FFFFFF"/>
        </w:rPr>
        <w:t>,</w:t>
      </w:r>
      <w:r w:rsidRPr="00CD5938">
        <w:rPr>
          <w:color w:val="000000" w:themeColor="text1"/>
          <w:szCs w:val="24"/>
          <w:shd w:val="clear" w:color="auto" w:fill="FFFFFF"/>
        </w:rPr>
        <w:t xml:space="preserve"> Monteiro, J. M.</w:t>
      </w:r>
      <w:r>
        <w:rPr>
          <w:color w:val="000000" w:themeColor="text1"/>
          <w:szCs w:val="24"/>
          <w:shd w:val="clear" w:color="auto" w:fill="FFFFFF"/>
        </w:rPr>
        <w:t xml:space="preserve">, </w:t>
      </w:r>
      <w:r w:rsidRPr="00CD5938">
        <w:rPr>
          <w:color w:val="000000" w:themeColor="text1"/>
          <w:szCs w:val="24"/>
          <w:shd w:val="clear" w:color="auto" w:fill="FFFFFF"/>
        </w:rPr>
        <w:t>Goulart, M. H. H. S.</w:t>
      </w:r>
      <w:r>
        <w:rPr>
          <w:color w:val="000000" w:themeColor="text1"/>
          <w:szCs w:val="24"/>
          <w:shd w:val="clear" w:color="auto" w:fill="FFFFFF"/>
        </w:rPr>
        <w:t>,</w:t>
      </w:r>
      <w:r w:rsidRPr="00CD5938">
        <w:rPr>
          <w:color w:val="000000" w:themeColor="text1"/>
          <w:szCs w:val="24"/>
          <w:shd w:val="clear" w:color="auto" w:fill="FFFFFF"/>
        </w:rPr>
        <w:t xml:space="preserve"> </w:t>
      </w:r>
      <w:r>
        <w:rPr>
          <w:color w:val="000000" w:themeColor="text1"/>
          <w:szCs w:val="24"/>
          <w:shd w:val="clear" w:color="auto" w:fill="FFFFFF"/>
        </w:rPr>
        <w:t xml:space="preserve">&amp; </w:t>
      </w:r>
      <w:proofErr w:type="spellStart"/>
      <w:r w:rsidRPr="00CD5938">
        <w:rPr>
          <w:color w:val="000000" w:themeColor="text1"/>
          <w:szCs w:val="24"/>
          <w:shd w:val="clear" w:color="auto" w:fill="FFFFFF"/>
        </w:rPr>
        <w:t>Vanali</w:t>
      </w:r>
      <w:proofErr w:type="spellEnd"/>
      <w:r w:rsidRPr="00CD5938">
        <w:rPr>
          <w:color w:val="000000" w:themeColor="text1"/>
          <w:szCs w:val="24"/>
          <w:shd w:val="clear" w:color="auto" w:fill="FFFFFF"/>
        </w:rPr>
        <w:t xml:space="preserve">, A. C. </w:t>
      </w:r>
      <w:r>
        <w:rPr>
          <w:color w:val="000000" w:themeColor="text1"/>
          <w:szCs w:val="24"/>
          <w:shd w:val="clear" w:color="auto" w:fill="FFFFFF"/>
        </w:rPr>
        <w:t xml:space="preserve">(2017). </w:t>
      </w:r>
      <w:proofErr w:type="spellStart"/>
      <w:r w:rsidR="00736B7D" w:rsidRPr="00CD5938">
        <w:rPr>
          <w:color w:val="000000" w:themeColor="text1"/>
          <w:szCs w:val="24"/>
          <w:shd w:val="clear" w:color="auto" w:fill="FFFFFF"/>
        </w:rPr>
        <w:t>Prosopografia</w:t>
      </w:r>
      <w:proofErr w:type="spellEnd"/>
      <w:r w:rsidR="00736B7D" w:rsidRPr="00CD5938">
        <w:rPr>
          <w:color w:val="000000" w:themeColor="text1"/>
          <w:szCs w:val="24"/>
          <w:shd w:val="clear" w:color="auto" w:fill="FFFFFF"/>
        </w:rPr>
        <w:t xml:space="preserve"> </w:t>
      </w:r>
      <w:r w:rsidRPr="00CD5938">
        <w:rPr>
          <w:color w:val="000000" w:themeColor="text1"/>
          <w:szCs w:val="24"/>
          <w:shd w:val="clear" w:color="auto" w:fill="FFFFFF"/>
        </w:rPr>
        <w:t>familiar d</w:t>
      </w:r>
      <w:r w:rsidR="00736B7D" w:rsidRPr="00CD5938">
        <w:rPr>
          <w:color w:val="000000" w:themeColor="text1"/>
          <w:szCs w:val="24"/>
          <w:shd w:val="clear" w:color="auto" w:fill="FFFFFF"/>
        </w:rPr>
        <w:t xml:space="preserve">a Operação "Lava-Jato" e do Ministério Temer. </w:t>
      </w:r>
      <w:r w:rsidR="00736B7D" w:rsidRPr="00120CA3">
        <w:rPr>
          <w:bCs/>
          <w:i/>
          <w:iCs/>
          <w:color w:val="000000" w:themeColor="text1"/>
          <w:szCs w:val="24"/>
          <w:shd w:val="clear" w:color="auto" w:fill="FFFFFF"/>
        </w:rPr>
        <w:t>Revista Núcleo Estudos Paranaenses</w:t>
      </w:r>
      <w:r>
        <w:rPr>
          <w:bCs/>
          <w:i/>
          <w:iCs/>
          <w:color w:val="000000" w:themeColor="text1"/>
          <w:szCs w:val="24"/>
          <w:shd w:val="clear" w:color="auto" w:fill="FFFFFF"/>
        </w:rPr>
        <w:t xml:space="preserve">, </w:t>
      </w:r>
      <w:r w:rsidR="00736B7D" w:rsidRPr="00CD5938">
        <w:rPr>
          <w:color w:val="000000" w:themeColor="text1"/>
          <w:szCs w:val="24"/>
          <w:shd w:val="clear" w:color="auto" w:fill="FFFFFF"/>
        </w:rPr>
        <w:t>3</w:t>
      </w:r>
      <w:r>
        <w:rPr>
          <w:color w:val="000000" w:themeColor="text1"/>
          <w:szCs w:val="24"/>
          <w:shd w:val="clear" w:color="auto" w:fill="FFFFFF"/>
        </w:rPr>
        <w:t>(</w:t>
      </w:r>
      <w:r w:rsidR="00736B7D" w:rsidRPr="00CD5938">
        <w:rPr>
          <w:color w:val="000000" w:themeColor="text1"/>
          <w:szCs w:val="24"/>
          <w:shd w:val="clear" w:color="auto" w:fill="FFFFFF"/>
        </w:rPr>
        <w:t>3</w:t>
      </w:r>
      <w:r>
        <w:rPr>
          <w:color w:val="000000" w:themeColor="text1"/>
          <w:szCs w:val="24"/>
          <w:shd w:val="clear" w:color="auto" w:fill="FFFFFF"/>
        </w:rPr>
        <w:t>)</w:t>
      </w:r>
      <w:r w:rsidR="00736B7D" w:rsidRPr="00CD5938">
        <w:rPr>
          <w:color w:val="000000" w:themeColor="text1"/>
          <w:szCs w:val="24"/>
          <w:shd w:val="clear" w:color="auto" w:fill="FFFFFF"/>
        </w:rPr>
        <w:t>, 1-28</w:t>
      </w:r>
      <w:r w:rsidR="00736B7D">
        <w:rPr>
          <w:color w:val="000000" w:themeColor="text1"/>
          <w:szCs w:val="24"/>
          <w:shd w:val="clear" w:color="auto" w:fill="FFFFFF"/>
        </w:rPr>
        <w:t>.</w:t>
      </w:r>
    </w:p>
    <w:p w14:paraId="22D6BBD3" w14:textId="1FB5FD86" w:rsidR="00736B7D" w:rsidRPr="00CD5938" w:rsidRDefault="00C6606A" w:rsidP="008343F2">
      <w:pPr>
        <w:ind w:firstLine="0"/>
        <w:rPr>
          <w:color w:val="000000" w:themeColor="text1"/>
          <w:szCs w:val="24"/>
          <w:shd w:val="clear" w:color="auto" w:fill="FFFFFF"/>
        </w:rPr>
      </w:pPr>
      <w:proofErr w:type="spellStart"/>
      <w:r w:rsidRPr="00CD5938">
        <w:rPr>
          <w:color w:val="000000" w:themeColor="text1"/>
          <w:szCs w:val="24"/>
          <w:shd w:val="clear" w:color="auto" w:fill="FFFFFF"/>
        </w:rPr>
        <w:t>Padula</w:t>
      </w:r>
      <w:proofErr w:type="spellEnd"/>
      <w:r w:rsidRPr="00CD5938">
        <w:rPr>
          <w:color w:val="000000" w:themeColor="text1"/>
          <w:szCs w:val="24"/>
          <w:shd w:val="clear" w:color="auto" w:fill="FFFFFF"/>
        </w:rPr>
        <w:t>, A. A.</w:t>
      </w:r>
      <w:r>
        <w:rPr>
          <w:color w:val="000000" w:themeColor="text1"/>
          <w:szCs w:val="24"/>
          <w:shd w:val="clear" w:color="auto" w:fill="FFFFFF"/>
        </w:rPr>
        <w:t xml:space="preserve">, &amp; </w:t>
      </w:r>
      <w:r w:rsidRPr="00CD5938">
        <w:rPr>
          <w:color w:val="000000" w:themeColor="text1"/>
          <w:szCs w:val="24"/>
          <w:shd w:val="clear" w:color="auto" w:fill="FFFFFF"/>
        </w:rPr>
        <w:t xml:space="preserve">Albuquerque, P. H. M. </w:t>
      </w:r>
      <w:r>
        <w:rPr>
          <w:color w:val="000000" w:themeColor="text1"/>
          <w:szCs w:val="24"/>
          <w:shd w:val="clear" w:color="auto" w:fill="FFFFFF"/>
        </w:rPr>
        <w:t xml:space="preserve">(2018). </w:t>
      </w:r>
      <w:r w:rsidR="00736B7D" w:rsidRPr="00CD5938">
        <w:rPr>
          <w:color w:val="000000" w:themeColor="text1"/>
          <w:szCs w:val="24"/>
          <w:shd w:val="clear" w:color="auto" w:fill="FFFFFF"/>
        </w:rPr>
        <w:t xml:space="preserve">Corrupção governamental no mercado de capitais: Um estudo acerca da operação </w:t>
      </w:r>
      <w:r w:rsidR="004D3095">
        <w:rPr>
          <w:color w:val="000000" w:themeColor="text1"/>
          <w:szCs w:val="24"/>
          <w:shd w:val="clear" w:color="auto" w:fill="FFFFFF"/>
        </w:rPr>
        <w:t>Lava Jato</w:t>
      </w:r>
      <w:r w:rsidR="00736B7D" w:rsidRPr="00CD5938">
        <w:rPr>
          <w:color w:val="000000" w:themeColor="text1"/>
          <w:szCs w:val="24"/>
          <w:shd w:val="clear" w:color="auto" w:fill="FFFFFF"/>
        </w:rPr>
        <w:t xml:space="preserve">. </w:t>
      </w:r>
      <w:r w:rsidR="00736B7D" w:rsidRPr="00C6606A">
        <w:rPr>
          <w:bCs/>
          <w:i/>
          <w:iCs/>
          <w:color w:val="000000" w:themeColor="text1"/>
          <w:szCs w:val="24"/>
          <w:shd w:val="clear" w:color="auto" w:fill="FFFFFF"/>
        </w:rPr>
        <w:t>Revista de Administração de Empresas,</w:t>
      </w:r>
      <w:r w:rsidR="00736B7D" w:rsidRPr="00CD5938">
        <w:rPr>
          <w:color w:val="000000" w:themeColor="text1"/>
          <w:szCs w:val="24"/>
          <w:shd w:val="clear" w:color="auto" w:fill="FFFFFF"/>
        </w:rPr>
        <w:t xml:space="preserve"> 58</w:t>
      </w:r>
      <w:r>
        <w:rPr>
          <w:color w:val="000000" w:themeColor="text1"/>
          <w:szCs w:val="24"/>
          <w:shd w:val="clear" w:color="auto" w:fill="FFFFFF"/>
        </w:rPr>
        <w:t>(</w:t>
      </w:r>
      <w:r w:rsidR="00736B7D" w:rsidRPr="00CD5938">
        <w:rPr>
          <w:color w:val="000000" w:themeColor="text1"/>
          <w:szCs w:val="24"/>
          <w:shd w:val="clear" w:color="auto" w:fill="FFFFFF"/>
        </w:rPr>
        <w:t>4</w:t>
      </w:r>
      <w:r>
        <w:rPr>
          <w:color w:val="000000" w:themeColor="text1"/>
          <w:szCs w:val="24"/>
          <w:shd w:val="clear" w:color="auto" w:fill="FFFFFF"/>
        </w:rPr>
        <w:t>)</w:t>
      </w:r>
      <w:r w:rsidR="00736B7D" w:rsidRPr="00CD5938">
        <w:rPr>
          <w:color w:val="000000" w:themeColor="text1"/>
          <w:szCs w:val="24"/>
          <w:shd w:val="clear" w:color="auto" w:fill="FFFFFF"/>
        </w:rPr>
        <w:t>, 405-417</w:t>
      </w:r>
      <w:r>
        <w:rPr>
          <w:color w:val="000000" w:themeColor="text1"/>
          <w:szCs w:val="24"/>
          <w:shd w:val="clear" w:color="auto" w:fill="FFFFFF"/>
        </w:rPr>
        <w:t>.</w:t>
      </w:r>
    </w:p>
    <w:p w14:paraId="0CCACA44" w14:textId="5888FB01" w:rsidR="00736B7D" w:rsidRPr="008343F2" w:rsidRDefault="00887D3E" w:rsidP="008343F2">
      <w:pPr>
        <w:ind w:firstLine="0"/>
        <w:rPr>
          <w:bCs/>
          <w:color w:val="000000" w:themeColor="text1"/>
          <w:szCs w:val="24"/>
        </w:rPr>
      </w:pPr>
      <w:proofErr w:type="spellStart"/>
      <w:r w:rsidRPr="00CD5938">
        <w:rPr>
          <w:color w:val="000000" w:themeColor="text1"/>
          <w:szCs w:val="24"/>
        </w:rPr>
        <w:t>Sallaberry</w:t>
      </w:r>
      <w:proofErr w:type="spellEnd"/>
      <w:r w:rsidRPr="00CD5938">
        <w:rPr>
          <w:color w:val="000000" w:themeColor="text1"/>
          <w:szCs w:val="24"/>
        </w:rPr>
        <w:t>, J. D.</w:t>
      </w:r>
      <w:r>
        <w:rPr>
          <w:color w:val="000000" w:themeColor="text1"/>
          <w:szCs w:val="24"/>
        </w:rPr>
        <w:t>,</w:t>
      </w:r>
      <w:r w:rsidRPr="00CD5938">
        <w:rPr>
          <w:color w:val="000000" w:themeColor="text1"/>
          <w:szCs w:val="24"/>
        </w:rPr>
        <w:t xml:space="preserve"> </w:t>
      </w:r>
      <w:proofErr w:type="spellStart"/>
      <w:r w:rsidRPr="00CD5938">
        <w:rPr>
          <w:color w:val="000000" w:themeColor="text1"/>
          <w:szCs w:val="24"/>
        </w:rPr>
        <w:t>Quaesner</w:t>
      </w:r>
      <w:proofErr w:type="spellEnd"/>
      <w:r w:rsidRPr="00CD5938">
        <w:rPr>
          <w:color w:val="000000" w:themeColor="text1"/>
          <w:szCs w:val="24"/>
        </w:rPr>
        <w:t>, L. D. C. S. A.</w:t>
      </w:r>
      <w:r>
        <w:rPr>
          <w:color w:val="000000" w:themeColor="text1"/>
          <w:szCs w:val="24"/>
        </w:rPr>
        <w:t>, &amp;</w:t>
      </w:r>
      <w:r w:rsidRPr="00CD5938">
        <w:rPr>
          <w:color w:val="000000" w:themeColor="text1"/>
          <w:szCs w:val="24"/>
        </w:rPr>
        <w:t xml:space="preserve"> Costa, M. C. C. </w:t>
      </w:r>
      <w:r>
        <w:rPr>
          <w:color w:val="000000" w:themeColor="text1"/>
          <w:szCs w:val="24"/>
        </w:rPr>
        <w:t xml:space="preserve">(2017). </w:t>
      </w:r>
      <w:r w:rsidR="00736B7D" w:rsidRPr="00CD5938">
        <w:rPr>
          <w:color w:val="000000" w:themeColor="text1"/>
          <w:szCs w:val="24"/>
        </w:rPr>
        <w:t xml:space="preserve">Escolha pública e custo da corrupção: uma análise na operação </w:t>
      </w:r>
      <w:r w:rsidR="004D3095">
        <w:rPr>
          <w:color w:val="000000" w:themeColor="text1"/>
          <w:szCs w:val="24"/>
        </w:rPr>
        <w:t>Lava Jato</w:t>
      </w:r>
      <w:r w:rsidR="00736B7D" w:rsidRPr="00CD5938">
        <w:rPr>
          <w:color w:val="000000" w:themeColor="text1"/>
          <w:szCs w:val="24"/>
        </w:rPr>
        <w:t>. In</w:t>
      </w:r>
      <w:r w:rsidRPr="00CD5938">
        <w:rPr>
          <w:color w:val="000000" w:themeColor="text1"/>
          <w:szCs w:val="24"/>
        </w:rPr>
        <w:t>: C</w:t>
      </w:r>
      <w:r w:rsidRPr="00887D3E">
        <w:rPr>
          <w:i/>
          <w:iCs/>
          <w:color w:val="000000" w:themeColor="text1"/>
          <w:szCs w:val="24"/>
        </w:rPr>
        <w:t>ongresso UFSC de Controladoria e Finanças</w:t>
      </w:r>
      <w:r w:rsidR="00736B7D" w:rsidRPr="00887D3E">
        <w:rPr>
          <w:i/>
          <w:iCs/>
          <w:color w:val="000000" w:themeColor="text1"/>
          <w:szCs w:val="24"/>
        </w:rPr>
        <w:t xml:space="preserve">, </w:t>
      </w:r>
      <w:r w:rsidR="00736B7D" w:rsidRPr="00CD5938">
        <w:rPr>
          <w:color w:val="000000" w:themeColor="text1"/>
          <w:szCs w:val="24"/>
        </w:rPr>
        <w:t xml:space="preserve">7., 2017. Florianópolis – SC. </w:t>
      </w:r>
      <w:r w:rsidR="00736B7D" w:rsidRPr="00887D3E">
        <w:rPr>
          <w:bCs/>
          <w:i/>
          <w:iCs/>
          <w:color w:val="000000" w:themeColor="text1"/>
          <w:szCs w:val="24"/>
        </w:rPr>
        <w:t>Anais Eletrônicos.</w:t>
      </w:r>
    </w:p>
    <w:p w14:paraId="4FDC4CCA" w14:textId="535E4A92" w:rsidR="00736B7D" w:rsidRPr="00CD5938" w:rsidRDefault="00C6606A" w:rsidP="008343F2">
      <w:pPr>
        <w:ind w:firstLine="0"/>
        <w:rPr>
          <w:color w:val="000000" w:themeColor="text1"/>
          <w:szCs w:val="24"/>
          <w:shd w:val="clear" w:color="auto" w:fill="FFFFFF"/>
        </w:rPr>
      </w:pPr>
      <w:r w:rsidRPr="00CD5938">
        <w:rPr>
          <w:color w:val="000000" w:themeColor="text1"/>
          <w:szCs w:val="24"/>
          <w:shd w:val="clear" w:color="auto" w:fill="FFFFFF"/>
        </w:rPr>
        <w:t>Santos, E. S.</w:t>
      </w:r>
      <w:r>
        <w:rPr>
          <w:color w:val="000000" w:themeColor="text1"/>
          <w:szCs w:val="24"/>
          <w:shd w:val="clear" w:color="auto" w:fill="FFFFFF"/>
        </w:rPr>
        <w:t>,</w:t>
      </w:r>
      <w:r w:rsidRPr="00CD5938">
        <w:rPr>
          <w:color w:val="000000" w:themeColor="text1"/>
          <w:szCs w:val="24"/>
          <w:shd w:val="clear" w:color="auto" w:fill="FFFFFF"/>
        </w:rPr>
        <w:t xml:space="preserve"> Silva, F. A. M.</w:t>
      </w:r>
      <w:r>
        <w:rPr>
          <w:color w:val="000000" w:themeColor="text1"/>
          <w:szCs w:val="24"/>
          <w:shd w:val="clear" w:color="auto" w:fill="FFFFFF"/>
        </w:rPr>
        <w:t>,</w:t>
      </w:r>
      <w:r w:rsidRPr="00CD5938">
        <w:rPr>
          <w:color w:val="000000" w:themeColor="text1"/>
          <w:szCs w:val="24"/>
          <w:shd w:val="clear" w:color="auto" w:fill="FFFFFF"/>
        </w:rPr>
        <w:t xml:space="preserve"> </w:t>
      </w:r>
      <w:proofErr w:type="spellStart"/>
      <w:r w:rsidRPr="00CD5938">
        <w:rPr>
          <w:color w:val="000000" w:themeColor="text1"/>
          <w:szCs w:val="24"/>
          <w:shd w:val="clear" w:color="auto" w:fill="FFFFFF"/>
        </w:rPr>
        <w:t>Sheng</w:t>
      </w:r>
      <w:proofErr w:type="spellEnd"/>
      <w:r w:rsidRPr="00CD5938">
        <w:rPr>
          <w:color w:val="000000" w:themeColor="text1"/>
          <w:szCs w:val="24"/>
          <w:shd w:val="clear" w:color="auto" w:fill="FFFFFF"/>
        </w:rPr>
        <w:t>, H. H.</w:t>
      </w:r>
      <w:r>
        <w:rPr>
          <w:color w:val="000000" w:themeColor="text1"/>
          <w:szCs w:val="24"/>
          <w:shd w:val="clear" w:color="auto" w:fill="FFFFFF"/>
        </w:rPr>
        <w:t>, &amp;</w:t>
      </w:r>
      <w:r w:rsidRPr="00CD5938">
        <w:rPr>
          <w:color w:val="000000" w:themeColor="text1"/>
          <w:szCs w:val="24"/>
          <w:shd w:val="clear" w:color="auto" w:fill="FFFFFF"/>
        </w:rPr>
        <w:t xml:space="preserve"> </w:t>
      </w:r>
      <w:proofErr w:type="spellStart"/>
      <w:r w:rsidRPr="00CD5938">
        <w:rPr>
          <w:color w:val="000000" w:themeColor="text1"/>
          <w:szCs w:val="24"/>
          <w:shd w:val="clear" w:color="auto" w:fill="FFFFFF"/>
        </w:rPr>
        <w:t>Lora</w:t>
      </w:r>
      <w:proofErr w:type="spellEnd"/>
      <w:r w:rsidRPr="00CD5938">
        <w:rPr>
          <w:color w:val="000000" w:themeColor="text1"/>
          <w:szCs w:val="24"/>
          <w:shd w:val="clear" w:color="auto" w:fill="FFFFFF"/>
        </w:rPr>
        <w:t xml:space="preserve">, M. I. </w:t>
      </w:r>
      <w:r>
        <w:rPr>
          <w:color w:val="000000" w:themeColor="text1"/>
          <w:szCs w:val="24"/>
          <w:shd w:val="clear" w:color="auto" w:fill="FFFFFF"/>
        </w:rPr>
        <w:t xml:space="preserve">(2018). </w:t>
      </w:r>
      <w:proofErr w:type="spellStart"/>
      <w:r w:rsidR="00736B7D" w:rsidRPr="00C6606A">
        <w:rPr>
          <w:iCs/>
          <w:color w:val="000000" w:themeColor="text1"/>
          <w:szCs w:val="24"/>
          <w:shd w:val="clear" w:color="auto" w:fill="FFFFFF"/>
        </w:rPr>
        <w:t>Compliance</w:t>
      </w:r>
      <w:proofErr w:type="spellEnd"/>
      <w:r w:rsidR="00736B7D" w:rsidRPr="00C6606A">
        <w:rPr>
          <w:iCs/>
          <w:color w:val="000000" w:themeColor="text1"/>
          <w:szCs w:val="24"/>
          <w:shd w:val="clear" w:color="auto" w:fill="FFFFFF"/>
        </w:rPr>
        <w:t xml:space="preserve"> </w:t>
      </w:r>
      <w:proofErr w:type="spellStart"/>
      <w:r w:rsidR="00736B7D" w:rsidRPr="00C6606A">
        <w:rPr>
          <w:iCs/>
          <w:color w:val="000000" w:themeColor="text1"/>
          <w:szCs w:val="24"/>
          <w:shd w:val="clear" w:color="auto" w:fill="FFFFFF"/>
        </w:rPr>
        <w:t>with</w:t>
      </w:r>
      <w:proofErr w:type="spellEnd"/>
      <w:r w:rsidR="00736B7D" w:rsidRPr="00C6606A">
        <w:rPr>
          <w:iCs/>
          <w:color w:val="000000" w:themeColor="text1"/>
          <w:szCs w:val="24"/>
          <w:shd w:val="clear" w:color="auto" w:fill="FFFFFF"/>
        </w:rPr>
        <w:t xml:space="preserve"> </w:t>
      </w:r>
      <w:proofErr w:type="spellStart"/>
      <w:r w:rsidR="00736B7D" w:rsidRPr="00C6606A">
        <w:rPr>
          <w:iCs/>
          <w:color w:val="000000" w:themeColor="text1"/>
          <w:szCs w:val="24"/>
          <w:shd w:val="clear" w:color="auto" w:fill="FFFFFF"/>
        </w:rPr>
        <w:t>ifrs</w:t>
      </w:r>
      <w:proofErr w:type="spellEnd"/>
      <w:r w:rsidR="00736B7D" w:rsidRPr="00C6606A">
        <w:rPr>
          <w:iCs/>
          <w:color w:val="000000" w:themeColor="text1"/>
          <w:szCs w:val="24"/>
          <w:shd w:val="clear" w:color="auto" w:fill="FFFFFF"/>
        </w:rPr>
        <w:t xml:space="preserve"> </w:t>
      </w:r>
      <w:proofErr w:type="spellStart"/>
      <w:r w:rsidR="00736B7D" w:rsidRPr="00C6606A">
        <w:rPr>
          <w:iCs/>
          <w:color w:val="000000" w:themeColor="text1"/>
          <w:szCs w:val="24"/>
          <w:shd w:val="clear" w:color="auto" w:fill="FFFFFF"/>
        </w:rPr>
        <w:t>required</w:t>
      </w:r>
      <w:proofErr w:type="spellEnd"/>
      <w:r w:rsidR="00736B7D" w:rsidRPr="00C6606A">
        <w:rPr>
          <w:iCs/>
          <w:color w:val="000000" w:themeColor="text1"/>
          <w:szCs w:val="24"/>
          <w:shd w:val="clear" w:color="auto" w:fill="FFFFFF"/>
        </w:rPr>
        <w:t xml:space="preserve"> </w:t>
      </w:r>
      <w:proofErr w:type="spellStart"/>
      <w:r w:rsidR="00736B7D" w:rsidRPr="00C6606A">
        <w:rPr>
          <w:iCs/>
          <w:color w:val="000000" w:themeColor="text1"/>
          <w:szCs w:val="24"/>
          <w:shd w:val="clear" w:color="auto" w:fill="FFFFFF"/>
        </w:rPr>
        <w:t>disclosure</w:t>
      </w:r>
      <w:proofErr w:type="spellEnd"/>
      <w:r w:rsidR="00736B7D" w:rsidRPr="00C6606A">
        <w:rPr>
          <w:iCs/>
          <w:color w:val="000000" w:themeColor="text1"/>
          <w:szCs w:val="24"/>
          <w:shd w:val="clear" w:color="auto" w:fill="FFFFFF"/>
        </w:rPr>
        <w:t xml:space="preserve"> </w:t>
      </w:r>
      <w:proofErr w:type="spellStart"/>
      <w:r w:rsidR="00736B7D" w:rsidRPr="00C6606A">
        <w:rPr>
          <w:iCs/>
          <w:color w:val="000000" w:themeColor="text1"/>
          <w:szCs w:val="24"/>
          <w:shd w:val="clear" w:color="auto" w:fill="FFFFFF"/>
        </w:rPr>
        <w:t>and</w:t>
      </w:r>
      <w:proofErr w:type="spellEnd"/>
      <w:r w:rsidR="00736B7D" w:rsidRPr="00C6606A">
        <w:rPr>
          <w:iCs/>
          <w:color w:val="000000" w:themeColor="text1"/>
          <w:szCs w:val="24"/>
          <w:shd w:val="clear" w:color="auto" w:fill="FFFFFF"/>
        </w:rPr>
        <w:t xml:space="preserve"> </w:t>
      </w:r>
      <w:proofErr w:type="spellStart"/>
      <w:r w:rsidR="00736B7D" w:rsidRPr="00C6606A">
        <w:rPr>
          <w:iCs/>
          <w:color w:val="000000" w:themeColor="text1"/>
          <w:szCs w:val="24"/>
          <w:shd w:val="clear" w:color="auto" w:fill="FFFFFF"/>
        </w:rPr>
        <w:t>analysts</w:t>
      </w:r>
      <w:proofErr w:type="spellEnd"/>
      <w:r w:rsidR="00736B7D" w:rsidRPr="00C6606A">
        <w:rPr>
          <w:iCs/>
          <w:color w:val="000000" w:themeColor="text1"/>
          <w:szCs w:val="24"/>
          <w:shd w:val="clear" w:color="auto" w:fill="FFFFFF"/>
        </w:rPr>
        <w:t xml:space="preserve">’ </w:t>
      </w:r>
      <w:proofErr w:type="spellStart"/>
      <w:r w:rsidR="00736B7D" w:rsidRPr="00C6606A">
        <w:rPr>
          <w:iCs/>
          <w:color w:val="000000" w:themeColor="text1"/>
          <w:szCs w:val="24"/>
          <w:shd w:val="clear" w:color="auto" w:fill="FFFFFF"/>
        </w:rPr>
        <w:t>forecast</w:t>
      </w:r>
      <w:proofErr w:type="spellEnd"/>
      <w:r w:rsidR="00736B7D" w:rsidRPr="00C6606A">
        <w:rPr>
          <w:iCs/>
          <w:color w:val="000000" w:themeColor="text1"/>
          <w:szCs w:val="24"/>
          <w:shd w:val="clear" w:color="auto" w:fill="FFFFFF"/>
        </w:rPr>
        <w:t xml:space="preserve"> </w:t>
      </w:r>
      <w:proofErr w:type="spellStart"/>
      <w:r w:rsidR="00736B7D" w:rsidRPr="00C6606A">
        <w:rPr>
          <w:iCs/>
          <w:color w:val="000000" w:themeColor="text1"/>
          <w:szCs w:val="24"/>
          <w:shd w:val="clear" w:color="auto" w:fill="FFFFFF"/>
        </w:rPr>
        <w:t>errors</w:t>
      </w:r>
      <w:proofErr w:type="spellEnd"/>
      <w:r w:rsidR="00736B7D" w:rsidRPr="00C6606A">
        <w:rPr>
          <w:iCs/>
          <w:color w:val="000000" w:themeColor="text1"/>
          <w:szCs w:val="24"/>
          <w:shd w:val="clear" w:color="auto" w:fill="FFFFFF"/>
        </w:rPr>
        <w:t xml:space="preserve">: </w:t>
      </w:r>
      <w:proofErr w:type="spellStart"/>
      <w:r w:rsidR="00736B7D" w:rsidRPr="00C6606A">
        <w:rPr>
          <w:iCs/>
          <w:color w:val="000000" w:themeColor="text1"/>
          <w:szCs w:val="24"/>
          <w:shd w:val="clear" w:color="auto" w:fill="FFFFFF"/>
        </w:rPr>
        <w:t>evidence</w:t>
      </w:r>
      <w:proofErr w:type="spellEnd"/>
      <w:r w:rsidR="00736B7D" w:rsidRPr="00C6606A">
        <w:rPr>
          <w:iCs/>
          <w:color w:val="000000" w:themeColor="text1"/>
          <w:szCs w:val="24"/>
          <w:shd w:val="clear" w:color="auto" w:fill="FFFFFF"/>
        </w:rPr>
        <w:t xml:space="preserve"> </w:t>
      </w:r>
      <w:proofErr w:type="spellStart"/>
      <w:r w:rsidR="00736B7D" w:rsidRPr="00C6606A">
        <w:rPr>
          <w:iCs/>
          <w:color w:val="000000" w:themeColor="text1"/>
          <w:szCs w:val="24"/>
          <w:shd w:val="clear" w:color="auto" w:fill="FFFFFF"/>
        </w:rPr>
        <w:t>from</w:t>
      </w:r>
      <w:proofErr w:type="spellEnd"/>
      <w:r w:rsidR="00736B7D" w:rsidRPr="00C6606A">
        <w:rPr>
          <w:iCs/>
          <w:color w:val="000000" w:themeColor="text1"/>
          <w:szCs w:val="24"/>
          <w:shd w:val="clear" w:color="auto" w:fill="FFFFFF"/>
        </w:rPr>
        <w:t xml:space="preserve"> </w:t>
      </w:r>
      <w:proofErr w:type="spellStart"/>
      <w:r w:rsidR="00736B7D" w:rsidRPr="00C6606A">
        <w:rPr>
          <w:iCs/>
          <w:color w:val="000000" w:themeColor="text1"/>
          <w:szCs w:val="24"/>
          <w:shd w:val="clear" w:color="auto" w:fill="FFFFFF"/>
        </w:rPr>
        <w:t>Brazil</w:t>
      </w:r>
      <w:proofErr w:type="spellEnd"/>
      <w:r w:rsidR="00736B7D" w:rsidRPr="00C6606A">
        <w:rPr>
          <w:iCs/>
          <w:color w:val="000000" w:themeColor="text1"/>
          <w:szCs w:val="24"/>
          <w:shd w:val="clear" w:color="auto" w:fill="FFFFFF"/>
        </w:rPr>
        <w:t>.</w:t>
      </w:r>
      <w:r w:rsidR="00736B7D" w:rsidRPr="00CD5938">
        <w:rPr>
          <w:color w:val="000000" w:themeColor="text1"/>
          <w:szCs w:val="24"/>
          <w:shd w:val="clear" w:color="auto" w:fill="FFFFFF"/>
        </w:rPr>
        <w:t xml:space="preserve"> </w:t>
      </w:r>
      <w:r w:rsidR="00736B7D" w:rsidRPr="00C6606A">
        <w:rPr>
          <w:bCs/>
          <w:i/>
          <w:iCs/>
          <w:color w:val="000000" w:themeColor="text1"/>
          <w:szCs w:val="24"/>
          <w:shd w:val="clear" w:color="auto" w:fill="FFFFFF"/>
        </w:rPr>
        <w:t>Contabilidade Vista &amp; Revista,</w:t>
      </w:r>
      <w:r w:rsidR="00736B7D" w:rsidRPr="00CD5938">
        <w:rPr>
          <w:color w:val="000000" w:themeColor="text1"/>
          <w:szCs w:val="24"/>
          <w:shd w:val="clear" w:color="auto" w:fill="FFFFFF"/>
        </w:rPr>
        <w:t xml:space="preserve"> 29</w:t>
      </w:r>
      <w:r>
        <w:rPr>
          <w:color w:val="000000" w:themeColor="text1"/>
          <w:szCs w:val="24"/>
          <w:shd w:val="clear" w:color="auto" w:fill="FFFFFF"/>
        </w:rPr>
        <w:t>(</w:t>
      </w:r>
      <w:r w:rsidR="00736B7D" w:rsidRPr="00CD5938">
        <w:rPr>
          <w:color w:val="000000" w:themeColor="text1"/>
          <w:szCs w:val="24"/>
          <w:shd w:val="clear" w:color="auto" w:fill="FFFFFF"/>
        </w:rPr>
        <w:t>1</w:t>
      </w:r>
      <w:r>
        <w:rPr>
          <w:color w:val="000000" w:themeColor="text1"/>
          <w:szCs w:val="24"/>
          <w:shd w:val="clear" w:color="auto" w:fill="FFFFFF"/>
        </w:rPr>
        <w:t>)</w:t>
      </w:r>
      <w:r w:rsidR="00736B7D" w:rsidRPr="00CD5938">
        <w:rPr>
          <w:color w:val="000000" w:themeColor="text1"/>
          <w:szCs w:val="24"/>
          <w:shd w:val="clear" w:color="auto" w:fill="FFFFFF"/>
        </w:rPr>
        <w:t>, 77-100</w:t>
      </w:r>
      <w:r>
        <w:rPr>
          <w:color w:val="000000" w:themeColor="text1"/>
          <w:szCs w:val="24"/>
          <w:shd w:val="clear" w:color="auto" w:fill="FFFFFF"/>
        </w:rPr>
        <w:t>.</w:t>
      </w:r>
    </w:p>
    <w:p w14:paraId="1A59B8D3" w14:textId="479844D4" w:rsidR="00736B7D" w:rsidRPr="00CD5938" w:rsidRDefault="00887D3E" w:rsidP="008343F2">
      <w:pPr>
        <w:ind w:firstLine="0"/>
        <w:rPr>
          <w:color w:val="000000" w:themeColor="text1"/>
          <w:szCs w:val="24"/>
          <w:shd w:val="clear" w:color="auto" w:fill="FFFFFF"/>
        </w:rPr>
      </w:pPr>
      <w:proofErr w:type="spellStart"/>
      <w:r w:rsidRPr="00CD5938">
        <w:rPr>
          <w:color w:val="000000" w:themeColor="text1"/>
          <w:szCs w:val="24"/>
          <w:shd w:val="clear" w:color="auto" w:fill="FFFFFF"/>
        </w:rPr>
        <w:t>Schmitz</w:t>
      </w:r>
      <w:proofErr w:type="spellEnd"/>
      <w:r w:rsidRPr="00CD5938">
        <w:rPr>
          <w:color w:val="000000" w:themeColor="text1"/>
          <w:szCs w:val="24"/>
          <w:shd w:val="clear" w:color="auto" w:fill="FFFFFF"/>
        </w:rPr>
        <w:t>, C. L.</w:t>
      </w:r>
      <w:r>
        <w:rPr>
          <w:color w:val="000000" w:themeColor="text1"/>
          <w:szCs w:val="24"/>
          <w:shd w:val="clear" w:color="auto" w:fill="FFFFFF"/>
        </w:rPr>
        <w:t>, &amp;</w:t>
      </w:r>
      <w:r w:rsidRPr="00CD5938">
        <w:rPr>
          <w:color w:val="000000" w:themeColor="text1"/>
          <w:szCs w:val="24"/>
          <w:shd w:val="clear" w:color="auto" w:fill="FFFFFF"/>
        </w:rPr>
        <w:t xml:space="preserve"> Rover S. </w:t>
      </w:r>
      <w:r>
        <w:rPr>
          <w:color w:val="000000" w:themeColor="text1"/>
          <w:szCs w:val="24"/>
          <w:shd w:val="clear" w:color="auto" w:fill="FFFFFF"/>
        </w:rPr>
        <w:t xml:space="preserve">(2017). </w:t>
      </w:r>
      <w:r w:rsidR="00736B7D" w:rsidRPr="00CD5938">
        <w:rPr>
          <w:color w:val="000000" w:themeColor="text1"/>
          <w:szCs w:val="24"/>
          <w:shd w:val="clear" w:color="auto" w:fill="FFFFFF"/>
        </w:rPr>
        <w:t xml:space="preserve">Nível de </w:t>
      </w:r>
      <w:proofErr w:type="spellStart"/>
      <w:r w:rsidR="00736B7D" w:rsidRPr="00CD5938">
        <w:rPr>
          <w:i/>
          <w:color w:val="000000" w:themeColor="text1"/>
          <w:szCs w:val="24"/>
          <w:shd w:val="clear" w:color="auto" w:fill="FFFFFF"/>
        </w:rPr>
        <w:t>disclosure</w:t>
      </w:r>
      <w:proofErr w:type="spellEnd"/>
      <w:r w:rsidR="00736B7D" w:rsidRPr="00CD5938">
        <w:rPr>
          <w:color w:val="000000" w:themeColor="text1"/>
          <w:szCs w:val="24"/>
          <w:shd w:val="clear" w:color="auto" w:fill="FFFFFF"/>
        </w:rPr>
        <w:t xml:space="preserve"> anticorrupção das maiores empreiteiras no brasil: uma análise comparativa das empresas investigadas e não investigadas na operação </w:t>
      </w:r>
      <w:r w:rsidR="004D3095">
        <w:rPr>
          <w:color w:val="000000" w:themeColor="text1"/>
          <w:szCs w:val="24"/>
          <w:shd w:val="clear" w:color="auto" w:fill="FFFFFF"/>
        </w:rPr>
        <w:t>Lava Jato</w:t>
      </w:r>
      <w:r w:rsidR="00736B7D" w:rsidRPr="00CD5938">
        <w:rPr>
          <w:color w:val="000000" w:themeColor="text1"/>
          <w:szCs w:val="24"/>
          <w:shd w:val="clear" w:color="auto" w:fill="FFFFFF"/>
        </w:rPr>
        <w:t xml:space="preserve">. In: </w:t>
      </w:r>
      <w:r w:rsidRPr="00887D3E">
        <w:rPr>
          <w:i/>
          <w:iCs/>
          <w:color w:val="000000" w:themeColor="text1"/>
          <w:szCs w:val="24"/>
          <w:shd w:val="clear" w:color="auto" w:fill="FFFFFF"/>
        </w:rPr>
        <w:t>Encontro Catarinense de Estudantes de Ciências Contábeis</w:t>
      </w:r>
      <w:r w:rsidR="00736B7D" w:rsidRPr="00887D3E">
        <w:rPr>
          <w:i/>
          <w:iCs/>
          <w:color w:val="000000" w:themeColor="text1"/>
          <w:szCs w:val="24"/>
          <w:shd w:val="clear" w:color="auto" w:fill="FFFFFF"/>
        </w:rPr>
        <w:t>,</w:t>
      </w:r>
      <w:r w:rsidR="00736B7D" w:rsidRPr="00CD5938">
        <w:rPr>
          <w:color w:val="000000" w:themeColor="text1"/>
          <w:szCs w:val="24"/>
          <w:shd w:val="clear" w:color="auto" w:fill="FFFFFF"/>
        </w:rPr>
        <w:t xml:space="preserve"> 15., 2017. Florianópolis – SC. </w:t>
      </w:r>
      <w:r w:rsidR="00736B7D" w:rsidRPr="00887D3E">
        <w:rPr>
          <w:bCs/>
          <w:i/>
          <w:iCs/>
          <w:color w:val="000000" w:themeColor="text1"/>
          <w:szCs w:val="24"/>
          <w:shd w:val="clear" w:color="auto" w:fill="FFFFFF"/>
        </w:rPr>
        <w:t>Anais Eletrônicos</w:t>
      </w:r>
      <w:r w:rsidRPr="00887D3E">
        <w:rPr>
          <w:bCs/>
          <w:color w:val="000000" w:themeColor="text1"/>
          <w:szCs w:val="24"/>
          <w:shd w:val="clear" w:color="auto" w:fill="FFFFFF"/>
        </w:rPr>
        <w:t>.</w:t>
      </w:r>
      <w:r w:rsidR="00736B7D" w:rsidRPr="00CD5938">
        <w:rPr>
          <w:color w:val="000000" w:themeColor="text1"/>
          <w:szCs w:val="24"/>
          <w:shd w:val="clear" w:color="auto" w:fill="FFFFFF"/>
        </w:rPr>
        <w:tab/>
      </w:r>
    </w:p>
    <w:p w14:paraId="6E041619" w14:textId="7E1A6107" w:rsidR="00EC6EDB" w:rsidRPr="00EC6EDB" w:rsidRDefault="008343F2" w:rsidP="00B605CA">
      <w:pPr>
        <w:ind w:firstLine="0"/>
      </w:pPr>
      <w:r w:rsidRPr="00CD5938">
        <w:rPr>
          <w:color w:val="000000" w:themeColor="text1"/>
          <w:szCs w:val="24"/>
          <w:shd w:val="clear" w:color="auto" w:fill="FFFFFF"/>
        </w:rPr>
        <w:t>Silva, C. M.</w:t>
      </w:r>
      <w:r>
        <w:rPr>
          <w:color w:val="000000" w:themeColor="text1"/>
          <w:szCs w:val="24"/>
          <w:shd w:val="clear" w:color="auto" w:fill="FFFFFF"/>
        </w:rPr>
        <w:t xml:space="preserve">, </w:t>
      </w:r>
      <w:proofErr w:type="spellStart"/>
      <w:r w:rsidRPr="00CD5938">
        <w:rPr>
          <w:color w:val="000000" w:themeColor="text1"/>
          <w:szCs w:val="24"/>
          <w:shd w:val="clear" w:color="auto" w:fill="FFFFFF"/>
        </w:rPr>
        <w:t>Drumond</w:t>
      </w:r>
      <w:proofErr w:type="spellEnd"/>
      <w:r w:rsidRPr="00CD5938">
        <w:rPr>
          <w:color w:val="000000" w:themeColor="text1"/>
          <w:szCs w:val="24"/>
          <w:shd w:val="clear" w:color="auto" w:fill="FFFFFF"/>
        </w:rPr>
        <w:t>, F. M. P.</w:t>
      </w:r>
      <w:r>
        <w:rPr>
          <w:color w:val="000000" w:themeColor="text1"/>
          <w:szCs w:val="24"/>
          <w:shd w:val="clear" w:color="auto" w:fill="FFFFFF"/>
        </w:rPr>
        <w:t>,</w:t>
      </w:r>
      <w:r w:rsidRPr="00CD5938">
        <w:rPr>
          <w:color w:val="000000" w:themeColor="text1"/>
          <w:szCs w:val="24"/>
          <w:shd w:val="clear" w:color="auto" w:fill="FFFFFF"/>
        </w:rPr>
        <w:t xml:space="preserve"> Silva, J. R.</w:t>
      </w:r>
      <w:r>
        <w:rPr>
          <w:color w:val="000000" w:themeColor="text1"/>
          <w:szCs w:val="24"/>
          <w:shd w:val="clear" w:color="auto" w:fill="FFFFFF"/>
        </w:rPr>
        <w:t xml:space="preserve">, </w:t>
      </w:r>
      <w:r w:rsidRPr="00CD5938">
        <w:rPr>
          <w:color w:val="000000" w:themeColor="text1"/>
          <w:szCs w:val="24"/>
          <w:shd w:val="clear" w:color="auto" w:fill="FFFFFF"/>
        </w:rPr>
        <w:t>Pereira, V. H.</w:t>
      </w:r>
      <w:r>
        <w:rPr>
          <w:color w:val="000000" w:themeColor="text1"/>
          <w:szCs w:val="24"/>
          <w:shd w:val="clear" w:color="auto" w:fill="FFFFFF"/>
        </w:rPr>
        <w:t xml:space="preserve">, &amp; </w:t>
      </w:r>
      <w:r w:rsidRPr="00CD5938">
        <w:rPr>
          <w:color w:val="000000" w:themeColor="text1"/>
          <w:szCs w:val="24"/>
          <w:shd w:val="clear" w:color="auto" w:fill="FFFFFF"/>
        </w:rPr>
        <w:t xml:space="preserve">Freitas, S. J. P. </w:t>
      </w:r>
      <w:r>
        <w:rPr>
          <w:color w:val="000000" w:themeColor="text1"/>
          <w:szCs w:val="24"/>
          <w:shd w:val="clear" w:color="auto" w:fill="FFFFFF"/>
        </w:rPr>
        <w:t xml:space="preserve">(2016). </w:t>
      </w:r>
      <w:r w:rsidR="00736B7D" w:rsidRPr="00CD5938">
        <w:rPr>
          <w:color w:val="000000" w:themeColor="text1"/>
          <w:szCs w:val="24"/>
          <w:shd w:val="clear" w:color="auto" w:fill="FFFFFF"/>
        </w:rPr>
        <w:t xml:space="preserve">Demonstração do valor adicionado: análise da variação do coeficiente de correlação do PIB brasileiro e do valor adicionado da Petrobras em função das perdas por corrupção no exercício de 2014. </w:t>
      </w:r>
      <w:r w:rsidR="00736B7D" w:rsidRPr="008343F2">
        <w:rPr>
          <w:bCs/>
          <w:i/>
          <w:iCs/>
          <w:color w:val="000000" w:themeColor="text1"/>
          <w:szCs w:val="24"/>
          <w:shd w:val="clear" w:color="auto" w:fill="FFFFFF"/>
        </w:rPr>
        <w:t>Sinergia,</w:t>
      </w:r>
      <w:r w:rsidR="00736B7D">
        <w:rPr>
          <w:b/>
          <w:color w:val="000000" w:themeColor="text1"/>
          <w:szCs w:val="24"/>
          <w:shd w:val="clear" w:color="auto" w:fill="FFFFFF"/>
        </w:rPr>
        <w:t xml:space="preserve"> </w:t>
      </w:r>
      <w:r w:rsidR="00736B7D" w:rsidRPr="00CD5938">
        <w:rPr>
          <w:color w:val="000000" w:themeColor="text1"/>
          <w:szCs w:val="24"/>
          <w:shd w:val="clear" w:color="auto" w:fill="FFFFFF"/>
        </w:rPr>
        <w:t>20</w:t>
      </w:r>
      <w:r>
        <w:rPr>
          <w:color w:val="000000" w:themeColor="text1"/>
          <w:szCs w:val="24"/>
          <w:shd w:val="clear" w:color="auto" w:fill="FFFFFF"/>
        </w:rPr>
        <w:t>(</w:t>
      </w:r>
      <w:r w:rsidR="00736B7D" w:rsidRPr="00CD5938">
        <w:rPr>
          <w:color w:val="000000" w:themeColor="text1"/>
          <w:szCs w:val="24"/>
          <w:shd w:val="clear" w:color="auto" w:fill="FFFFFF"/>
        </w:rPr>
        <w:t>1</w:t>
      </w:r>
      <w:r>
        <w:rPr>
          <w:color w:val="000000" w:themeColor="text1"/>
          <w:szCs w:val="24"/>
          <w:shd w:val="clear" w:color="auto" w:fill="FFFFFF"/>
        </w:rPr>
        <w:t>)</w:t>
      </w:r>
      <w:r w:rsidR="00736B7D" w:rsidRPr="00CD5938">
        <w:rPr>
          <w:color w:val="000000" w:themeColor="text1"/>
          <w:szCs w:val="24"/>
          <w:shd w:val="clear" w:color="auto" w:fill="FFFFFF"/>
        </w:rPr>
        <w:t>, 57-68.</w:t>
      </w:r>
    </w:p>
    <w:sectPr w:rsidR="00EC6EDB" w:rsidRPr="00EC6EDB" w:rsidSect="00C271A6">
      <w:headerReference w:type="default" r:id="rId10"/>
      <w:footerReference w:type="default" r:id="rId11"/>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42242" w14:textId="77777777" w:rsidR="0004524A" w:rsidRDefault="0004524A" w:rsidP="005840EF">
      <w:r>
        <w:separator/>
      </w:r>
    </w:p>
  </w:endnote>
  <w:endnote w:type="continuationSeparator" w:id="0">
    <w:p w14:paraId="1654AD66" w14:textId="77777777" w:rsidR="0004524A" w:rsidRDefault="0004524A"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C7A96" w14:textId="77777777" w:rsidR="002F79A6" w:rsidRPr="00F05FBB" w:rsidRDefault="002F79A6"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1</w:t>
    </w:r>
    <w:r w:rsidRPr="00F05FBB">
      <w:rPr>
        <w:sz w:val="20"/>
      </w:rPr>
      <w:fldChar w:fldCharType="end"/>
    </w:r>
  </w:p>
  <w:p w14:paraId="77F7A02F" w14:textId="77777777" w:rsidR="002F79A6" w:rsidRPr="00862FD2" w:rsidRDefault="002F79A6" w:rsidP="004E0B39">
    <w:pPr>
      <w:pStyle w:val="Rodap"/>
      <w:ind w:firstLine="0"/>
      <w:jc w:val="center"/>
    </w:pPr>
    <w:r>
      <w:rPr>
        <w:noProof/>
        <w:lang w:val="pt-BR" w:eastAsia="pt-BR"/>
      </w:rPr>
      <w:drawing>
        <wp:inline distT="0" distB="0" distL="0" distR="0" wp14:anchorId="2C125943" wp14:editId="56F71A16">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53F08" w14:textId="77777777" w:rsidR="0004524A" w:rsidRDefault="0004524A" w:rsidP="005840EF">
      <w:r>
        <w:separator/>
      </w:r>
    </w:p>
  </w:footnote>
  <w:footnote w:type="continuationSeparator" w:id="0">
    <w:p w14:paraId="3770ECED" w14:textId="77777777" w:rsidR="0004524A" w:rsidRDefault="0004524A"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279BD" w14:textId="77777777" w:rsidR="002F79A6" w:rsidRPr="004E0B39" w:rsidRDefault="002F79A6" w:rsidP="004E0B39">
    <w:pPr>
      <w:pStyle w:val="Cabealho"/>
      <w:ind w:firstLine="0"/>
      <w:jc w:val="center"/>
    </w:pPr>
    <w:r>
      <w:rPr>
        <w:noProof/>
      </w:rPr>
      <w:drawing>
        <wp:inline distT="0" distB="0" distL="0" distR="0" wp14:anchorId="2D9332B6" wp14:editId="030D30B6">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54F"/>
    <w:multiLevelType w:val="hybridMultilevel"/>
    <w:tmpl w:val="0D4C5960"/>
    <w:lvl w:ilvl="0" w:tplc="63201DA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A54243"/>
    <w:multiLevelType w:val="hybridMultilevel"/>
    <w:tmpl w:val="463E1DB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8" w15:restartNumberingAfterBreak="0">
    <w:nsid w:val="2AE43AB8"/>
    <w:multiLevelType w:val="hybridMultilevel"/>
    <w:tmpl w:val="AC12A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E8D206E"/>
    <w:multiLevelType w:val="hybridMultilevel"/>
    <w:tmpl w:val="5D421778"/>
    <w:lvl w:ilvl="0" w:tplc="04160011">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B75FAA"/>
    <w:multiLevelType w:val="multilevel"/>
    <w:tmpl w:val="94C6F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1A7E38"/>
    <w:multiLevelType w:val="hybridMultilevel"/>
    <w:tmpl w:val="C6D802D0"/>
    <w:lvl w:ilvl="0" w:tplc="24DEB0B4">
      <w:start w:val="1"/>
      <w:numFmt w:val="decimal"/>
      <w:lvlText w:val="(%1)"/>
      <w:lvlJc w:val="left"/>
      <w:pPr>
        <w:ind w:left="1080" w:hanging="360"/>
      </w:pPr>
      <w:rPr>
        <w:rFonts w:ascii="Times New Roman" w:eastAsiaTheme="minorHAnsi" w:hAnsi="Times New Roman" w:cs="Times New Roman"/>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B392FCB"/>
    <w:multiLevelType w:val="hybridMultilevel"/>
    <w:tmpl w:val="88EEB6D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C710C6D"/>
    <w:multiLevelType w:val="hybridMultilevel"/>
    <w:tmpl w:val="56A67E70"/>
    <w:lvl w:ilvl="0" w:tplc="9B08E7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06061A0"/>
    <w:multiLevelType w:val="hybridMultilevel"/>
    <w:tmpl w:val="CC2C34E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3082D1E"/>
    <w:multiLevelType w:val="multilevel"/>
    <w:tmpl w:val="28C8E4A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9F039B"/>
    <w:multiLevelType w:val="multilevel"/>
    <w:tmpl w:val="027E07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BE3CC0"/>
    <w:multiLevelType w:val="hybridMultilevel"/>
    <w:tmpl w:val="7FD22072"/>
    <w:lvl w:ilvl="0" w:tplc="D74E4E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7"/>
  </w:num>
  <w:num w:numId="2">
    <w:abstractNumId w:val="7"/>
  </w:num>
  <w:num w:numId="3">
    <w:abstractNumId w:val="15"/>
  </w:num>
  <w:num w:numId="4">
    <w:abstractNumId w:val="21"/>
  </w:num>
  <w:num w:numId="5">
    <w:abstractNumId w:val="6"/>
  </w:num>
  <w:num w:numId="6">
    <w:abstractNumId w:val="3"/>
  </w:num>
  <w:num w:numId="7">
    <w:abstractNumId w:val="2"/>
  </w:num>
  <w:num w:numId="8">
    <w:abstractNumId w:val="4"/>
  </w:num>
  <w:num w:numId="9">
    <w:abstractNumId w:val="4"/>
  </w:num>
  <w:num w:numId="10">
    <w:abstractNumId w:val="19"/>
  </w:num>
  <w:num w:numId="11">
    <w:abstractNumId w:val="20"/>
  </w:num>
  <w:num w:numId="12">
    <w:abstractNumId w:val="5"/>
  </w:num>
  <w:num w:numId="13">
    <w:abstractNumId w:val="18"/>
  </w:num>
  <w:num w:numId="14">
    <w:abstractNumId w:val="12"/>
  </w:num>
  <w:num w:numId="15">
    <w:abstractNumId w:val="1"/>
  </w:num>
  <w:num w:numId="16">
    <w:abstractNumId w:val="14"/>
  </w:num>
  <w:num w:numId="17">
    <w:abstractNumId w:val="22"/>
  </w:num>
  <w:num w:numId="18">
    <w:abstractNumId w:val="16"/>
  </w:num>
  <w:num w:numId="19">
    <w:abstractNumId w:val="9"/>
  </w:num>
  <w:num w:numId="20">
    <w:abstractNumId w:val="10"/>
  </w:num>
  <w:num w:numId="21">
    <w:abstractNumId w:val="8"/>
  </w:num>
  <w:num w:numId="22">
    <w:abstractNumId w:val="13"/>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017CB"/>
    <w:rsid w:val="000103E0"/>
    <w:rsid w:val="00021054"/>
    <w:rsid w:val="0004524A"/>
    <w:rsid w:val="0006261D"/>
    <w:rsid w:val="000720BF"/>
    <w:rsid w:val="000D7722"/>
    <w:rsid w:val="000E3935"/>
    <w:rsid w:val="000F0530"/>
    <w:rsid w:val="00120CA3"/>
    <w:rsid w:val="001457BE"/>
    <w:rsid w:val="00160E08"/>
    <w:rsid w:val="001E2E6C"/>
    <w:rsid w:val="0020354A"/>
    <w:rsid w:val="002056D7"/>
    <w:rsid w:val="002136AE"/>
    <w:rsid w:val="00244401"/>
    <w:rsid w:val="00244C0A"/>
    <w:rsid w:val="002505DA"/>
    <w:rsid w:val="002566DC"/>
    <w:rsid w:val="00263CEF"/>
    <w:rsid w:val="002826C0"/>
    <w:rsid w:val="002B78FC"/>
    <w:rsid w:val="002C7235"/>
    <w:rsid w:val="002F79A6"/>
    <w:rsid w:val="00303C6F"/>
    <w:rsid w:val="00371DFF"/>
    <w:rsid w:val="003923C3"/>
    <w:rsid w:val="00395244"/>
    <w:rsid w:val="003A3639"/>
    <w:rsid w:val="003F6B45"/>
    <w:rsid w:val="00406C08"/>
    <w:rsid w:val="00406DFF"/>
    <w:rsid w:val="00423365"/>
    <w:rsid w:val="004251EF"/>
    <w:rsid w:val="00472EE1"/>
    <w:rsid w:val="0048579A"/>
    <w:rsid w:val="0049262F"/>
    <w:rsid w:val="004D3095"/>
    <w:rsid w:val="004E0B39"/>
    <w:rsid w:val="00523BAB"/>
    <w:rsid w:val="00531A76"/>
    <w:rsid w:val="0055088A"/>
    <w:rsid w:val="005840EF"/>
    <w:rsid w:val="005D0785"/>
    <w:rsid w:val="005D711E"/>
    <w:rsid w:val="005F3106"/>
    <w:rsid w:val="00606F36"/>
    <w:rsid w:val="0063432D"/>
    <w:rsid w:val="006750E6"/>
    <w:rsid w:val="00683BE5"/>
    <w:rsid w:val="006C284A"/>
    <w:rsid w:val="006D02CA"/>
    <w:rsid w:val="006D340F"/>
    <w:rsid w:val="00710D8D"/>
    <w:rsid w:val="00714245"/>
    <w:rsid w:val="00736B7D"/>
    <w:rsid w:val="007610C6"/>
    <w:rsid w:val="007629BE"/>
    <w:rsid w:val="007C0C2C"/>
    <w:rsid w:val="007F1447"/>
    <w:rsid w:val="008343F2"/>
    <w:rsid w:val="00862FD2"/>
    <w:rsid w:val="00865A23"/>
    <w:rsid w:val="00866591"/>
    <w:rsid w:val="00867A50"/>
    <w:rsid w:val="00887D3E"/>
    <w:rsid w:val="008902BE"/>
    <w:rsid w:val="008A1488"/>
    <w:rsid w:val="008B21BE"/>
    <w:rsid w:val="008F1B7C"/>
    <w:rsid w:val="008F22CA"/>
    <w:rsid w:val="008F67F7"/>
    <w:rsid w:val="0092413C"/>
    <w:rsid w:val="00943459"/>
    <w:rsid w:val="00952306"/>
    <w:rsid w:val="00955252"/>
    <w:rsid w:val="009724D8"/>
    <w:rsid w:val="009976D2"/>
    <w:rsid w:val="009B11E7"/>
    <w:rsid w:val="009B3488"/>
    <w:rsid w:val="009C7DFA"/>
    <w:rsid w:val="009D68AF"/>
    <w:rsid w:val="00A01395"/>
    <w:rsid w:val="00A16D53"/>
    <w:rsid w:val="00A80641"/>
    <w:rsid w:val="00A94E99"/>
    <w:rsid w:val="00AB5527"/>
    <w:rsid w:val="00AC61AF"/>
    <w:rsid w:val="00AC7E25"/>
    <w:rsid w:val="00B12485"/>
    <w:rsid w:val="00B169EE"/>
    <w:rsid w:val="00B25FFE"/>
    <w:rsid w:val="00B605CA"/>
    <w:rsid w:val="00B801AB"/>
    <w:rsid w:val="00BC4277"/>
    <w:rsid w:val="00C01F1F"/>
    <w:rsid w:val="00C02F8B"/>
    <w:rsid w:val="00C22A7A"/>
    <w:rsid w:val="00C271A6"/>
    <w:rsid w:val="00C6606A"/>
    <w:rsid w:val="00C671EC"/>
    <w:rsid w:val="00C84F71"/>
    <w:rsid w:val="00CF0D35"/>
    <w:rsid w:val="00D2342D"/>
    <w:rsid w:val="00D34FAE"/>
    <w:rsid w:val="00D86B5F"/>
    <w:rsid w:val="00D91454"/>
    <w:rsid w:val="00D94E67"/>
    <w:rsid w:val="00DA5E5B"/>
    <w:rsid w:val="00DC4CF5"/>
    <w:rsid w:val="00DE1E14"/>
    <w:rsid w:val="00DE631D"/>
    <w:rsid w:val="00DE75F7"/>
    <w:rsid w:val="00E1786F"/>
    <w:rsid w:val="00E24E18"/>
    <w:rsid w:val="00E92C38"/>
    <w:rsid w:val="00E94A5E"/>
    <w:rsid w:val="00EC6EDB"/>
    <w:rsid w:val="00ED6578"/>
    <w:rsid w:val="00EF213A"/>
    <w:rsid w:val="00F05FBB"/>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1C637A9"/>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736B7D"/>
    <w:pPr>
      <w:widowControl/>
      <w:suppressLineNumbers w:val="0"/>
      <w:suppressAutoHyphens w:val="0"/>
      <w:spacing w:after="200" w:line="276" w:lineRule="auto"/>
      <w:ind w:left="720" w:firstLine="0"/>
      <w:contextualSpacing/>
      <w:jc w:val="left"/>
    </w:pPr>
    <w:rPr>
      <w:rFonts w:asciiTheme="minorHAnsi" w:eastAsiaTheme="minorHAnsi" w:hAnsiTheme="minorHAnsi" w:cstheme="minorBidi"/>
      <w:sz w:val="22"/>
      <w:szCs w:val="22"/>
      <w:lang w:eastAsia="en-US"/>
    </w:rPr>
  </w:style>
  <w:style w:type="paragraph" w:styleId="Reviso">
    <w:name w:val="Revision"/>
    <w:hidden/>
    <w:uiPriority w:val="99"/>
    <w:semiHidden/>
    <w:rsid w:val="00736B7D"/>
    <w:rPr>
      <w:rFonts w:asciiTheme="minorHAnsi" w:eastAsiaTheme="minorHAnsi" w:hAnsiTheme="minorHAnsi" w:cstheme="minorBidi"/>
      <w:sz w:val="22"/>
      <w:szCs w:val="22"/>
      <w:lang w:eastAsia="en-US"/>
    </w:rPr>
  </w:style>
  <w:style w:type="paragraph" w:customStyle="1" w:styleId="Default">
    <w:name w:val="Default"/>
    <w:rsid w:val="00736B7D"/>
    <w:pPr>
      <w:autoSpaceDE w:val="0"/>
      <w:autoSpaceDN w:val="0"/>
      <w:adjustRightInd w:val="0"/>
    </w:pPr>
    <w:rPr>
      <w:rFonts w:eastAsiaTheme="minorHAnsi"/>
      <w:color w:val="000000"/>
      <w:sz w:val="24"/>
      <w:szCs w:val="24"/>
      <w:lang w:eastAsia="en-US"/>
    </w:rPr>
  </w:style>
  <w:style w:type="character" w:styleId="MenoPendente">
    <w:name w:val="Unresolved Mention"/>
    <w:basedOn w:val="Fontepargpadro"/>
    <w:uiPriority w:val="99"/>
    <w:semiHidden/>
    <w:unhideWhenUsed/>
    <w:rsid w:val="00001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vm.gov.br/export/sites/cvm/legislacao/notas-explicativas/anexos/nota308.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[BASE PARA GRÁFICOS.xlsx]AUDITORIA!Tabela dinâmica1</c:name>
    <c:fmtId val="-1"/>
  </c:pivotSource>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AUDITORIA!$F$3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extLst>
              <c:ext xmlns:c16="http://schemas.microsoft.com/office/drawing/2014/chart" uri="{C3380CC4-5D6E-409C-BE32-E72D297353CC}">
                <c16:uniqueId val="{00000000-EE45-4E1A-A9D8-85AE3A656521}"/>
              </c:ext>
            </c:extLst>
          </c:dPt>
          <c:dPt>
            <c:idx val="1"/>
            <c:invertIfNegative val="0"/>
            <c:bubble3D val="0"/>
            <c:extLst>
              <c:ext xmlns:c16="http://schemas.microsoft.com/office/drawing/2014/chart" uri="{C3380CC4-5D6E-409C-BE32-E72D297353CC}">
                <c16:uniqueId val="{00000001-EE45-4E1A-A9D8-85AE3A656521}"/>
              </c:ext>
            </c:extLst>
          </c:dPt>
          <c:dPt>
            <c:idx val="2"/>
            <c:invertIfNegative val="0"/>
            <c:bubble3D val="0"/>
            <c:extLst>
              <c:ext xmlns:c16="http://schemas.microsoft.com/office/drawing/2014/chart" uri="{C3380CC4-5D6E-409C-BE32-E72D297353CC}">
                <c16:uniqueId val="{00000002-EE45-4E1A-A9D8-85AE3A656521}"/>
              </c:ext>
            </c:extLst>
          </c:dPt>
          <c:dPt>
            <c:idx val="3"/>
            <c:invertIfNegative val="0"/>
            <c:bubble3D val="0"/>
            <c:extLst>
              <c:ext xmlns:c16="http://schemas.microsoft.com/office/drawing/2014/chart" uri="{C3380CC4-5D6E-409C-BE32-E72D297353CC}">
                <c16:uniqueId val="{00000003-EE45-4E1A-A9D8-85AE3A656521}"/>
              </c:ext>
            </c:extLst>
          </c:dPt>
          <c:dPt>
            <c:idx val="4"/>
            <c:invertIfNegative val="0"/>
            <c:bubble3D val="0"/>
            <c:extLst>
              <c:ext xmlns:c16="http://schemas.microsoft.com/office/drawing/2014/chart" uri="{C3380CC4-5D6E-409C-BE32-E72D297353CC}">
                <c16:uniqueId val="{00000004-EE45-4E1A-A9D8-85AE3A656521}"/>
              </c:ext>
            </c:extLst>
          </c:dPt>
          <c:dPt>
            <c:idx val="5"/>
            <c:invertIfNegative val="0"/>
            <c:bubble3D val="0"/>
            <c:extLst>
              <c:ext xmlns:c16="http://schemas.microsoft.com/office/drawing/2014/chart" uri="{C3380CC4-5D6E-409C-BE32-E72D297353CC}">
                <c16:uniqueId val="{00000005-EE45-4E1A-A9D8-85AE3A656521}"/>
              </c:ext>
            </c:extLst>
          </c:dPt>
          <c:dPt>
            <c:idx val="6"/>
            <c:invertIfNegative val="0"/>
            <c:bubble3D val="0"/>
            <c:extLst>
              <c:ext xmlns:c16="http://schemas.microsoft.com/office/drawing/2014/chart" uri="{C3380CC4-5D6E-409C-BE32-E72D297353CC}">
                <c16:uniqueId val="{00000006-EE45-4E1A-A9D8-85AE3A656521}"/>
              </c:ext>
            </c:extLst>
          </c:dPt>
          <c:dPt>
            <c:idx val="7"/>
            <c:invertIfNegative val="0"/>
            <c:bubble3D val="0"/>
            <c:extLst>
              <c:ext xmlns:c16="http://schemas.microsoft.com/office/drawing/2014/chart" uri="{C3380CC4-5D6E-409C-BE32-E72D297353CC}">
                <c16:uniqueId val="{00000007-EE45-4E1A-A9D8-85AE3A656521}"/>
              </c:ext>
            </c:extLst>
          </c:dPt>
          <c:dPt>
            <c:idx val="8"/>
            <c:invertIfNegative val="0"/>
            <c:bubble3D val="0"/>
            <c:extLst>
              <c:ext xmlns:c16="http://schemas.microsoft.com/office/drawing/2014/chart" uri="{C3380CC4-5D6E-409C-BE32-E72D297353CC}">
                <c16:uniqueId val="{00000008-EE45-4E1A-A9D8-85AE3A656521}"/>
              </c:ext>
            </c:extLst>
          </c:dPt>
          <c:dPt>
            <c:idx val="9"/>
            <c:invertIfNegative val="0"/>
            <c:bubble3D val="0"/>
            <c:extLst>
              <c:ext xmlns:c16="http://schemas.microsoft.com/office/drawing/2014/chart" uri="{C3380CC4-5D6E-409C-BE32-E72D297353CC}">
                <c16:uniqueId val="{00000009-EE45-4E1A-A9D8-85AE3A656521}"/>
              </c:ext>
            </c:extLst>
          </c:dPt>
          <c:dPt>
            <c:idx val="10"/>
            <c:invertIfNegative val="0"/>
            <c:bubble3D val="0"/>
            <c:extLst>
              <c:ext xmlns:c16="http://schemas.microsoft.com/office/drawing/2014/chart" uri="{C3380CC4-5D6E-409C-BE32-E72D297353CC}">
                <c16:uniqueId val="{0000000A-EE45-4E1A-A9D8-85AE3A656521}"/>
              </c:ext>
            </c:extLst>
          </c:dPt>
          <c:dLbls>
            <c:dLbl>
              <c:idx val="10"/>
              <c:delete val="1"/>
              <c:extLst>
                <c:ext xmlns:c15="http://schemas.microsoft.com/office/drawing/2012/chart" uri="{CE6537A1-D6FC-4f65-9D91-7224C49458BB}"/>
                <c:ext xmlns:c16="http://schemas.microsoft.com/office/drawing/2014/chart" uri="{C3380CC4-5D6E-409C-BE32-E72D297353CC}">
                  <c16:uniqueId val="{0000000A-EE45-4E1A-A9D8-85AE3A6565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AUDITORIA!$E$4:$E$15</c:f>
              <c:strCache>
                <c:ptCount val="11"/>
                <c:pt idx="0">
                  <c:v>KPMG</c:v>
                </c:pt>
                <c:pt idx="1">
                  <c:v>Price</c:v>
                </c:pt>
                <c:pt idx="2">
                  <c:v>BDO </c:v>
                </c:pt>
                <c:pt idx="3">
                  <c:v>Deloitte</c:v>
                </c:pt>
                <c:pt idx="4">
                  <c:v>Ernst&amp;Young </c:v>
                </c:pt>
                <c:pt idx="5">
                  <c:v>Baker Tilly </c:v>
                </c:pt>
                <c:pt idx="6">
                  <c:v>Orplan </c:v>
                </c:pt>
                <c:pt idx="7">
                  <c:v>RSM Brasil </c:v>
                </c:pt>
                <c:pt idx="8">
                  <c:v>Grant Thornton </c:v>
                </c:pt>
                <c:pt idx="9">
                  <c:v>MOORE STEPHENS </c:v>
                </c:pt>
                <c:pt idx="10">
                  <c:v>MARTINELLI</c:v>
                </c:pt>
              </c:strCache>
            </c:strRef>
          </c:cat>
          <c:val>
            <c:numRef>
              <c:f>AUDITORIA!$F$4:$F$15</c:f>
              <c:numCache>
                <c:formatCode>General</c:formatCode>
                <c:ptCount val="11"/>
                <c:pt idx="0">
                  <c:v>27</c:v>
                </c:pt>
                <c:pt idx="1">
                  <c:v>18</c:v>
                </c:pt>
                <c:pt idx="2">
                  <c:v>14</c:v>
                </c:pt>
                <c:pt idx="3">
                  <c:v>10</c:v>
                </c:pt>
                <c:pt idx="4">
                  <c:v>9</c:v>
                </c:pt>
                <c:pt idx="5">
                  <c:v>5</c:v>
                </c:pt>
                <c:pt idx="6">
                  <c:v>2</c:v>
                </c:pt>
                <c:pt idx="7">
                  <c:v>1</c:v>
                </c:pt>
                <c:pt idx="8">
                  <c:v>1</c:v>
                </c:pt>
                <c:pt idx="9">
                  <c:v>1</c:v>
                </c:pt>
                <c:pt idx="10">
                  <c:v>1</c:v>
                </c:pt>
              </c:numCache>
            </c:numRef>
          </c:val>
          <c:extLst>
            <c:ext xmlns:c16="http://schemas.microsoft.com/office/drawing/2014/chart" uri="{C3380CC4-5D6E-409C-BE32-E72D297353CC}">
              <c16:uniqueId val="{0000000B-EE45-4E1A-A9D8-85AE3A656521}"/>
            </c:ext>
          </c:extLst>
        </c:ser>
        <c:dLbls>
          <c:showLegendKey val="0"/>
          <c:showVal val="1"/>
          <c:showCatName val="0"/>
          <c:showSerName val="0"/>
          <c:showPercent val="0"/>
          <c:showBubbleSize val="0"/>
        </c:dLbls>
        <c:gapWidth val="100"/>
        <c:overlap val="-24"/>
        <c:axId val="372179528"/>
        <c:axId val="372184624"/>
      </c:barChart>
      <c:catAx>
        <c:axId val="3721795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pt-BR"/>
          </a:p>
        </c:txPr>
        <c:crossAx val="372184624"/>
        <c:crosses val="autoZero"/>
        <c:auto val="1"/>
        <c:lblAlgn val="ctr"/>
        <c:lblOffset val="100"/>
        <c:noMultiLvlLbl val="0"/>
      </c:catAx>
      <c:valAx>
        <c:axId val="37218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72179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8ED82-E72C-4A0A-9497-EE6BF9E67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17</Pages>
  <Words>7713</Words>
  <Characters>41651</Characters>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LinksUpToDate>false</LinksUpToDate>
  <CharactersWithSpaces>49266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2016-08-30T16:57:00Z</cp:lastPrinted>
  <dcterms:created xsi:type="dcterms:W3CDTF">2019-06-30T19:46:00Z</dcterms:created>
  <dcterms:modified xsi:type="dcterms:W3CDTF">2019-07-01T17:13:00Z</dcterms:modified>
</cp:coreProperties>
</file>