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41" w:rsidRDefault="00A80641" w:rsidP="002826C0">
      <w:pPr>
        <w:jc w:val="center"/>
        <w:rPr>
          <w:b/>
        </w:rPr>
      </w:pPr>
    </w:p>
    <w:p w:rsidR="00C271A6" w:rsidRDefault="009400FC" w:rsidP="00C271A6">
      <w:pPr>
        <w:jc w:val="center"/>
        <w:rPr>
          <w:color w:val="999999"/>
        </w:rPr>
      </w:pPr>
      <w:r w:rsidRPr="00436527">
        <w:rPr>
          <w:b/>
        </w:rPr>
        <w:t xml:space="preserve">Gerenciamento </w:t>
      </w:r>
      <w:r>
        <w:rPr>
          <w:b/>
        </w:rPr>
        <w:t>d</w:t>
      </w:r>
      <w:r w:rsidRPr="00436527">
        <w:rPr>
          <w:b/>
        </w:rPr>
        <w:t xml:space="preserve">e Resultados </w:t>
      </w:r>
      <w:r>
        <w:rPr>
          <w:b/>
        </w:rPr>
        <w:t>n</w:t>
      </w:r>
      <w:r w:rsidRPr="00436527">
        <w:rPr>
          <w:b/>
        </w:rPr>
        <w:t xml:space="preserve">as </w:t>
      </w:r>
      <w:proofErr w:type="spellStart"/>
      <w:r w:rsidRPr="00436527">
        <w:rPr>
          <w:b/>
          <w:i/>
        </w:rPr>
        <w:t>Fintechs</w:t>
      </w:r>
      <w:proofErr w:type="spellEnd"/>
      <w:r w:rsidRPr="00436527">
        <w:rPr>
          <w:b/>
        </w:rPr>
        <w:t xml:space="preserve"> Brasileiras</w:t>
      </w:r>
    </w:p>
    <w:p w:rsidR="00C271A6" w:rsidRDefault="00C271A6" w:rsidP="00C271A6">
      <w:pPr>
        <w:jc w:val="center"/>
        <w:rPr>
          <w:color w:val="999999"/>
        </w:rPr>
      </w:pPr>
    </w:p>
    <w:p w:rsidR="00C271A6" w:rsidRDefault="00C271A6" w:rsidP="00C271A6">
      <w:pPr>
        <w:jc w:val="center"/>
        <w:rPr>
          <w:b/>
          <w:szCs w:val="24"/>
        </w:rPr>
      </w:pPr>
    </w:p>
    <w:p w:rsidR="008A1488" w:rsidRDefault="00436527" w:rsidP="008A1488">
      <w:pPr>
        <w:jc w:val="right"/>
        <w:rPr>
          <w:b/>
          <w:szCs w:val="24"/>
        </w:rPr>
      </w:pPr>
      <w:r>
        <w:rPr>
          <w:b/>
          <w:szCs w:val="24"/>
        </w:rPr>
        <w:t>Willian Diehl</w:t>
      </w:r>
    </w:p>
    <w:p w:rsidR="008A1488" w:rsidRDefault="00436527" w:rsidP="008A1488">
      <w:pPr>
        <w:jc w:val="right"/>
        <w:rPr>
          <w:b/>
          <w:i/>
          <w:szCs w:val="24"/>
        </w:rPr>
      </w:pPr>
      <w:r>
        <w:rPr>
          <w:b/>
          <w:szCs w:val="24"/>
        </w:rPr>
        <w:t>Universidade Federal do Rio Grande do Sul</w:t>
      </w:r>
      <w:r w:rsidR="008A1488">
        <w:rPr>
          <w:b/>
          <w:szCs w:val="24"/>
        </w:rPr>
        <w:t xml:space="preserve"> (</w:t>
      </w:r>
      <w:r>
        <w:rPr>
          <w:b/>
          <w:szCs w:val="24"/>
        </w:rPr>
        <w:t>UFGRS</w:t>
      </w:r>
      <w:r w:rsidR="008A1488">
        <w:rPr>
          <w:b/>
          <w:szCs w:val="24"/>
        </w:rPr>
        <w:t>)</w:t>
      </w:r>
    </w:p>
    <w:p w:rsidR="008A1488" w:rsidRDefault="008A1488" w:rsidP="008A1488">
      <w:pPr>
        <w:jc w:val="right"/>
        <w:rPr>
          <w:b/>
          <w:szCs w:val="24"/>
        </w:rPr>
      </w:pPr>
      <w:r>
        <w:rPr>
          <w:b/>
          <w:i/>
          <w:szCs w:val="24"/>
        </w:rPr>
        <w:t>E-mail:</w:t>
      </w:r>
      <w:r w:rsidR="00436527">
        <w:rPr>
          <w:b/>
          <w:i/>
          <w:szCs w:val="24"/>
        </w:rPr>
        <w:t xml:space="preserve"> willian.diehl@hotmail.com</w:t>
      </w:r>
    </w:p>
    <w:p w:rsidR="008A1488" w:rsidRDefault="008A1488" w:rsidP="008A1488">
      <w:pPr>
        <w:jc w:val="right"/>
        <w:rPr>
          <w:b/>
          <w:szCs w:val="24"/>
        </w:rPr>
      </w:pPr>
    </w:p>
    <w:p w:rsidR="008A1488" w:rsidRDefault="00436527" w:rsidP="008A1488">
      <w:pPr>
        <w:jc w:val="right"/>
        <w:rPr>
          <w:b/>
          <w:szCs w:val="24"/>
        </w:rPr>
      </w:pPr>
      <w:proofErr w:type="spellStart"/>
      <w:r>
        <w:rPr>
          <w:b/>
          <w:szCs w:val="24"/>
        </w:rPr>
        <w:t>Romina</w:t>
      </w:r>
      <w:proofErr w:type="spellEnd"/>
      <w:r>
        <w:rPr>
          <w:b/>
          <w:szCs w:val="24"/>
        </w:rPr>
        <w:t xml:space="preserve"> Batista de Lucena de Souza</w:t>
      </w:r>
    </w:p>
    <w:p w:rsidR="008A1488" w:rsidRDefault="00436527" w:rsidP="008A1488">
      <w:pPr>
        <w:jc w:val="right"/>
        <w:rPr>
          <w:b/>
          <w:i/>
          <w:szCs w:val="24"/>
        </w:rPr>
      </w:pPr>
      <w:r w:rsidRPr="00436527">
        <w:rPr>
          <w:b/>
          <w:szCs w:val="24"/>
        </w:rPr>
        <w:t>Universidade Federal do Rio Grande do Sul (UFGRS)</w:t>
      </w:r>
    </w:p>
    <w:p w:rsidR="008A1488" w:rsidRDefault="008A1488" w:rsidP="008A1488">
      <w:pPr>
        <w:jc w:val="right"/>
        <w:rPr>
          <w:b/>
          <w:szCs w:val="24"/>
        </w:rPr>
      </w:pPr>
      <w:r>
        <w:rPr>
          <w:b/>
          <w:i/>
          <w:szCs w:val="24"/>
        </w:rPr>
        <w:t>E-mail:</w:t>
      </w:r>
      <w:r w:rsidR="00436527">
        <w:rPr>
          <w:b/>
          <w:i/>
          <w:szCs w:val="24"/>
        </w:rPr>
        <w:t xml:space="preserve"> </w:t>
      </w:r>
      <w:r w:rsidR="00436527" w:rsidRPr="00436527">
        <w:rPr>
          <w:b/>
          <w:i/>
          <w:szCs w:val="24"/>
        </w:rPr>
        <w:t>rominabls@gmail.com</w:t>
      </w:r>
    </w:p>
    <w:p w:rsidR="00160E08" w:rsidRDefault="00160E08" w:rsidP="00C271A6">
      <w:pPr>
        <w:jc w:val="center"/>
        <w:rPr>
          <w:b/>
          <w:szCs w:val="24"/>
        </w:rPr>
      </w:pPr>
    </w:p>
    <w:p w:rsidR="00436527" w:rsidRDefault="00436527" w:rsidP="00436527">
      <w:pPr>
        <w:jc w:val="right"/>
        <w:rPr>
          <w:b/>
          <w:szCs w:val="24"/>
        </w:rPr>
      </w:pPr>
      <w:r>
        <w:rPr>
          <w:b/>
          <w:szCs w:val="24"/>
        </w:rPr>
        <w:t>Edilson Paulo</w:t>
      </w:r>
    </w:p>
    <w:p w:rsidR="00436527" w:rsidRDefault="00436527" w:rsidP="00436527">
      <w:pPr>
        <w:jc w:val="right"/>
        <w:rPr>
          <w:b/>
          <w:i/>
          <w:szCs w:val="24"/>
        </w:rPr>
      </w:pPr>
      <w:r w:rsidRPr="00436527">
        <w:rPr>
          <w:b/>
          <w:szCs w:val="24"/>
        </w:rPr>
        <w:t>Universidade Federal do Rio Grande do Sul (UFGRS)</w:t>
      </w:r>
    </w:p>
    <w:p w:rsidR="00436527" w:rsidRDefault="00436527" w:rsidP="00436527">
      <w:pPr>
        <w:jc w:val="right"/>
        <w:rPr>
          <w:b/>
          <w:szCs w:val="24"/>
        </w:rPr>
      </w:pPr>
      <w:r>
        <w:rPr>
          <w:b/>
          <w:i/>
          <w:szCs w:val="24"/>
        </w:rPr>
        <w:t xml:space="preserve">E-mail: </w:t>
      </w:r>
      <w:r w:rsidRPr="00436527">
        <w:rPr>
          <w:b/>
          <w:i/>
          <w:szCs w:val="24"/>
        </w:rPr>
        <w:t>edilson.paulo@ufrgs.br</w:t>
      </w:r>
    </w:p>
    <w:p w:rsidR="00436527" w:rsidRDefault="00436527" w:rsidP="00C271A6">
      <w:pPr>
        <w:jc w:val="center"/>
        <w:rPr>
          <w:b/>
          <w:szCs w:val="24"/>
        </w:rPr>
      </w:pPr>
    </w:p>
    <w:p w:rsidR="00436527" w:rsidRDefault="00436527" w:rsidP="00436527">
      <w:pPr>
        <w:jc w:val="right"/>
        <w:rPr>
          <w:b/>
          <w:szCs w:val="24"/>
        </w:rPr>
      </w:pPr>
      <w:r w:rsidRPr="00436527">
        <w:rPr>
          <w:b/>
          <w:szCs w:val="24"/>
        </w:rPr>
        <w:t xml:space="preserve">Dante </w:t>
      </w:r>
      <w:proofErr w:type="spellStart"/>
      <w:r w:rsidRPr="00436527">
        <w:rPr>
          <w:b/>
          <w:szCs w:val="24"/>
        </w:rPr>
        <w:t>Baiardo</w:t>
      </w:r>
      <w:proofErr w:type="spellEnd"/>
      <w:r w:rsidRPr="00436527">
        <w:rPr>
          <w:b/>
          <w:szCs w:val="24"/>
        </w:rPr>
        <w:t xml:space="preserve"> Cavalcante Viana Junior</w:t>
      </w:r>
    </w:p>
    <w:p w:rsidR="00436527" w:rsidRDefault="00436527" w:rsidP="00436527">
      <w:pPr>
        <w:jc w:val="right"/>
        <w:rPr>
          <w:b/>
          <w:i/>
          <w:szCs w:val="24"/>
        </w:rPr>
      </w:pPr>
      <w:r w:rsidRPr="00436527">
        <w:rPr>
          <w:b/>
          <w:szCs w:val="24"/>
        </w:rPr>
        <w:t xml:space="preserve">Instituto Universitário de Lisboa </w:t>
      </w:r>
      <w:r>
        <w:rPr>
          <w:b/>
          <w:szCs w:val="24"/>
        </w:rPr>
        <w:t>(</w:t>
      </w:r>
      <w:r w:rsidRPr="00436527">
        <w:rPr>
          <w:b/>
          <w:szCs w:val="24"/>
        </w:rPr>
        <w:t>ISCTE-IUL</w:t>
      </w:r>
      <w:r>
        <w:rPr>
          <w:b/>
          <w:szCs w:val="24"/>
        </w:rPr>
        <w:t>)</w:t>
      </w:r>
    </w:p>
    <w:p w:rsidR="00436527" w:rsidRDefault="00436527" w:rsidP="00436527">
      <w:pPr>
        <w:jc w:val="right"/>
        <w:rPr>
          <w:b/>
          <w:szCs w:val="24"/>
        </w:rPr>
      </w:pPr>
      <w:r>
        <w:rPr>
          <w:b/>
          <w:i/>
          <w:szCs w:val="24"/>
        </w:rPr>
        <w:t>E-mail: d</w:t>
      </w:r>
      <w:r w:rsidRPr="00436527">
        <w:rPr>
          <w:b/>
          <w:i/>
          <w:szCs w:val="24"/>
        </w:rPr>
        <w:t>antebcviana@gmail.com</w:t>
      </w:r>
    </w:p>
    <w:p w:rsidR="00436527" w:rsidRDefault="00436527" w:rsidP="00C271A6">
      <w:pPr>
        <w:jc w:val="center"/>
        <w:rPr>
          <w:b/>
          <w:szCs w:val="24"/>
        </w:rPr>
      </w:pPr>
    </w:p>
    <w:p w:rsidR="00160E08" w:rsidRDefault="00160E08" w:rsidP="00C271A6">
      <w:pPr>
        <w:jc w:val="center"/>
        <w:rPr>
          <w:b/>
          <w:szCs w:val="24"/>
        </w:rPr>
      </w:pPr>
    </w:p>
    <w:p w:rsidR="00160E08" w:rsidRDefault="00160E08" w:rsidP="00C271A6">
      <w:pPr>
        <w:jc w:val="center"/>
        <w:rPr>
          <w:b/>
          <w:color w:val="999999"/>
        </w:rPr>
      </w:pPr>
    </w:p>
    <w:p w:rsidR="00C271A6" w:rsidRDefault="00C271A6" w:rsidP="00436527">
      <w:pPr>
        <w:ind w:firstLine="0"/>
        <w:rPr>
          <w:b/>
          <w:szCs w:val="24"/>
        </w:rPr>
      </w:pPr>
      <w:r>
        <w:rPr>
          <w:b/>
          <w:szCs w:val="24"/>
        </w:rPr>
        <w:t xml:space="preserve">Resumo </w:t>
      </w:r>
    </w:p>
    <w:p w:rsidR="00436527" w:rsidRDefault="00436527" w:rsidP="00436527">
      <w:pPr>
        <w:ind w:firstLine="0"/>
        <w:rPr>
          <w:szCs w:val="24"/>
        </w:rPr>
      </w:pPr>
      <w:bookmarkStart w:id="0" w:name="_GoBack"/>
      <w:r>
        <w:rPr>
          <w:szCs w:val="24"/>
        </w:rPr>
        <w:t>O gerenciamento de resultados (</w:t>
      </w:r>
      <w:proofErr w:type="spellStart"/>
      <w:r>
        <w:rPr>
          <w:i/>
          <w:szCs w:val="24"/>
        </w:rPr>
        <w:t>Earnings</w:t>
      </w:r>
      <w:proofErr w:type="spellEnd"/>
      <w:r>
        <w:rPr>
          <w:i/>
          <w:szCs w:val="24"/>
        </w:rPr>
        <w:t xml:space="preserve"> Management - EM</w:t>
      </w:r>
      <w:r>
        <w:rPr>
          <w:szCs w:val="24"/>
        </w:rPr>
        <w:t>) é uma das diversas dimensões da qualidade da informação contábil e apresenta circunstâncias diferenciadas para cada tipo de usuário das demonstrações financeiras. O EM</w:t>
      </w:r>
      <w:r w:rsidRPr="000B1B2E">
        <w:rPr>
          <w:szCs w:val="24"/>
        </w:rPr>
        <w:t xml:space="preserve"> é caracterizado pelas modificações intencionais nos resultados contábeis.</w:t>
      </w:r>
      <w:r>
        <w:rPr>
          <w:szCs w:val="24"/>
        </w:rPr>
        <w:t xml:space="preserve"> </w:t>
      </w:r>
      <w:r w:rsidR="003E0661">
        <w:rPr>
          <w:szCs w:val="24"/>
        </w:rPr>
        <w:t>Define-se com</w:t>
      </w:r>
      <w:r>
        <w:rPr>
          <w:szCs w:val="24"/>
        </w:rPr>
        <w:t xml:space="preserve">o </w:t>
      </w:r>
      <w:r w:rsidRPr="00732BA1">
        <w:rPr>
          <w:szCs w:val="24"/>
        </w:rPr>
        <w:t>objetivo de</w:t>
      </w:r>
      <w:r>
        <w:rPr>
          <w:szCs w:val="24"/>
        </w:rPr>
        <w:t>sse estudo</w:t>
      </w:r>
      <w:r w:rsidRPr="00732BA1">
        <w:rPr>
          <w:szCs w:val="24"/>
        </w:rPr>
        <w:t xml:space="preserve"> analisar o comportamento discricionário das </w:t>
      </w:r>
      <w:proofErr w:type="spellStart"/>
      <w:r w:rsidRPr="00732BA1">
        <w:rPr>
          <w:i/>
          <w:szCs w:val="24"/>
        </w:rPr>
        <w:t>FinTechs</w:t>
      </w:r>
      <w:proofErr w:type="spellEnd"/>
      <w:r w:rsidRPr="00732BA1">
        <w:rPr>
          <w:szCs w:val="24"/>
        </w:rPr>
        <w:t xml:space="preserve"> brasileiras</w:t>
      </w:r>
      <w:r>
        <w:rPr>
          <w:szCs w:val="24"/>
        </w:rPr>
        <w:t xml:space="preserve">, no período de 2009 </w:t>
      </w:r>
      <w:proofErr w:type="gramStart"/>
      <w:r>
        <w:rPr>
          <w:szCs w:val="24"/>
        </w:rPr>
        <w:t>à</w:t>
      </w:r>
      <w:proofErr w:type="gramEnd"/>
      <w:r>
        <w:rPr>
          <w:szCs w:val="24"/>
        </w:rPr>
        <w:t xml:space="preserve"> 2017. Para tanto, foi realizada uma pesquisa quantitativa, descritiva e documental, com o uso de regressão linear múltipla com dados em painel. Utilizando como variável dependente o t</w:t>
      </w:r>
      <w:r w:rsidRPr="003A19FC">
        <w:rPr>
          <w:szCs w:val="24"/>
        </w:rPr>
        <w:t xml:space="preserve">otal das provisões para </w:t>
      </w:r>
      <w:r w:rsidR="003E0661">
        <w:rPr>
          <w:szCs w:val="24"/>
        </w:rPr>
        <w:t>perdas</w:t>
      </w:r>
      <w:r w:rsidRPr="003A19FC">
        <w:rPr>
          <w:szCs w:val="24"/>
        </w:rPr>
        <w:t xml:space="preserve"> de crédito ponderado pelo ativo total</w:t>
      </w:r>
      <w:r>
        <w:rPr>
          <w:szCs w:val="24"/>
        </w:rPr>
        <w:t xml:space="preserve"> e como variáveis independentes: l</w:t>
      </w:r>
      <w:r w:rsidRPr="003A19FC">
        <w:rPr>
          <w:szCs w:val="24"/>
        </w:rPr>
        <w:t>ucros antes de impostos e provisões para perdas ponderados pelo ativo total</w:t>
      </w:r>
      <w:r>
        <w:rPr>
          <w:szCs w:val="24"/>
        </w:rPr>
        <w:t>, r</w:t>
      </w:r>
      <w:r w:rsidRPr="003A19FC">
        <w:rPr>
          <w:szCs w:val="24"/>
        </w:rPr>
        <w:t xml:space="preserve">elação de </w:t>
      </w:r>
      <w:r w:rsidR="003E0661">
        <w:rPr>
          <w:szCs w:val="24"/>
        </w:rPr>
        <w:t>C</w:t>
      </w:r>
      <w:r w:rsidRPr="003A19FC">
        <w:rPr>
          <w:szCs w:val="24"/>
        </w:rPr>
        <w:t>apital de Nível 1 dividido pelo total de ativos ponderados pelo risco</w:t>
      </w:r>
      <w:r>
        <w:rPr>
          <w:szCs w:val="24"/>
        </w:rPr>
        <w:t>, r</w:t>
      </w:r>
      <w:r w:rsidRPr="003A19FC">
        <w:rPr>
          <w:szCs w:val="24"/>
        </w:rPr>
        <w:t xml:space="preserve">elação da provisão </w:t>
      </w:r>
      <w:r w:rsidR="003E0661">
        <w:rPr>
          <w:szCs w:val="24"/>
        </w:rPr>
        <w:t>para perdas</w:t>
      </w:r>
      <w:r w:rsidRPr="003A19FC">
        <w:rPr>
          <w:szCs w:val="24"/>
        </w:rPr>
        <w:t xml:space="preserve"> d</w:t>
      </w:r>
      <w:r>
        <w:rPr>
          <w:szCs w:val="24"/>
        </w:rPr>
        <w:t>e crédito sobre o total do crédito bruto, a v</w:t>
      </w:r>
      <w:r w:rsidRPr="003A19FC">
        <w:rPr>
          <w:szCs w:val="24"/>
        </w:rPr>
        <w:t xml:space="preserve">ariação das provisões para </w:t>
      </w:r>
      <w:r w:rsidR="003E0661">
        <w:rPr>
          <w:szCs w:val="24"/>
        </w:rPr>
        <w:t>perdas</w:t>
      </w:r>
      <w:r w:rsidRPr="003A19FC">
        <w:rPr>
          <w:szCs w:val="24"/>
        </w:rPr>
        <w:t xml:space="preserve"> de crédito</w:t>
      </w:r>
      <w:r>
        <w:rPr>
          <w:szCs w:val="24"/>
        </w:rPr>
        <w:t>, o a</w:t>
      </w:r>
      <w:r w:rsidRPr="003A19FC">
        <w:rPr>
          <w:szCs w:val="24"/>
        </w:rPr>
        <w:t>tivo total</w:t>
      </w:r>
      <w:r>
        <w:rPr>
          <w:szCs w:val="24"/>
        </w:rPr>
        <w:t xml:space="preserve"> e a t</w:t>
      </w:r>
      <w:r w:rsidRPr="003A19FC">
        <w:rPr>
          <w:szCs w:val="24"/>
        </w:rPr>
        <w:t xml:space="preserve">axa real de crescimento do </w:t>
      </w:r>
      <w:r w:rsidR="003E0661">
        <w:rPr>
          <w:szCs w:val="24"/>
        </w:rPr>
        <w:t>P</w:t>
      </w:r>
      <w:r w:rsidRPr="003A19FC">
        <w:rPr>
          <w:szCs w:val="24"/>
        </w:rPr>
        <w:t xml:space="preserve">roduto </w:t>
      </w:r>
      <w:r w:rsidR="003E0661">
        <w:rPr>
          <w:szCs w:val="24"/>
        </w:rPr>
        <w:t>I</w:t>
      </w:r>
      <w:r w:rsidRPr="003A19FC">
        <w:rPr>
          <w:szCs w:val="24"/>
        </w:rPr>
        <w:t xml:space="preserve">nterno </w:t>
      </w:r>
      <w:r w:rsidR="003E0661">
        <w:rPr>
          <w:szCs w:val="24"/>
        </w:rPr>
        <w:t>B</w:t>
      </w:r>
      <w:r w:rsidRPr="003A19FC">
        <w:rPr>
          <w:szCs w:val="24"/>
        </w:rPr>
        <w:t>ruto</w:t>
      </w:r>
      <w:r>
        <w:rPr>
          <w:szCs w:val="24"/>
        </w:rPr>
        <w:t xml:space="preserve">. Como resultados foi possível evidenciar que </w:t>
      </w:r>
      <w:r w:rsidRPr="003A19FC">
        <w:rPr>
          <w:szCs w:val="24"/>
        </w:rPr>
        <w:t>o lucro antes de impostos e provisões para perdas se apresentou como a variável mais significativa para as estimações da amostra Geral, d</w:t>
      </w:r>
      <w:r w:rsidR="003E0661">
        <w:rPr>
          <w:szCs w:val="24"/>
        </w:rPr>
        <w:t>e</w:t>
      </w:r>
      <w:r w:rsidRPr="003A19FC">
        <w:rPr>
          <w:szCs w:val="24"/>
        </w:rPr>
        <w:t xml:space="preserve"> </w:t>
      </w:r>
      <w:proofErr w:type="spellStart"/>
      <w:r w:rsidRPr="008F38B2">
        <w:rPr>
          <w:i/>
          <w:szCs w:val="24"/>
        </w:rPr>
        <w:t>FinTechs</w:t>
      </w:r>
      <w:proofErr w:type="spellEnd"/>
      <w:r w:rsidRPr="003A19FC">
        <w:rPr>
          <w:szCs w:val="24"/>
        </w:rPr>
        <w:t xml:space="preserve"> e d</w:t>
      </w:r>
      <w:r w:rsidR="003E0661">
        <w:rPr>
          <w:szCs w:val="24"/>
        </w:rPr>
        <w:t>e</w:t>
      </w:r>
      <w:r w:rsidRPr="003A19FC">
        <w:rPr>
          <w:szCs w:val="24"/>
        </w:rPr>
        <w:t xml:space="preserve"> Não </w:t>
      </w:r>
      <w:proofErr w:type="spellStart"/>
      <w:r w:rsidRPr="008F38B2">
        <w:rPr>
          <w:i/>
          <w:szCs w:val="24"/>
        </w:rPr>
        <w:t>FinTechs</w:t>
      </w:r>
      <w:proofErr w:type="spellEnd"/>
      <w:r w:rsidRPr="003A19FC">
        <w:rPr>
          <w:szCs w:val="24"/>
        </w:rPr>
        <w:t xml:space="preserve">. Com isso, sugerindo que no momento em que ocorre um aumento (redução) no lucro antes de impostos e provisões para perdas, as </w:t>
      </w:r>
      <w:proofErr w:type="spellStart"/>
      <w:r w:rsidRPr="003A19FC">
        <w:rPr>
          <w:szCs w:val="24"/>
        </w:rPr>
        <w:t>IFs</w:t>
      </w:r>
      <w:proofErr w:type="spellEnd"/>
      <w:r w:rsidRPr="003A19FC">
        <w:rPr>
          <w:szCs w:val="24"/>
        </w:rPr>
        <w:t xml:space="preserve"> apresentam uma redução (aumento) no volume de provis</w:t>
      </w:r>
      <w:r>
        <w:rPr>
          <w:szCs w:val="24"/>
        </w:rPr>
        <w:t>ões</w:t>
      </w:r>
      <w:r w:rsidRPr="003A19FC">
        <w:rPr>
          <w:szCs w:val="24"/>
        </w:rPr>
        <w:t>.</w:t>
      </w:r>
      <w:r>
        <w:rPr>
          <w:szCs w:val="24"/>
        </w:rPr>
        <w:t xml:space="preserve"> Com</w:t>
      </w:r>
      <w:r w:rsidRPr="003A19FC">
        <w:rPr>
          <w:szCs w:val="24"/>
        </w:rPr>
        <w:t xml:space="preserve"> relação </w:t>
      </w:r>
      <w:r>
        <w:rPr>
          <w:szCs w:val="24"/>
        </w:rPr>
        <w:t>à</w:t>
      </w:r>
      <w:r w:rsidRPr="003A19FC">
        <w:rPr>
          <w:szCs w:val="24"/>
        </w:rPr>
        <w:t xml:space="preserve"> provisão </w:t>
      </w:r>
      <w:r w:rsidR="003E0661">
        <w:rPr>
          <w:szCs w:val="24"/>
        </w:rPr>
        <w:t>para</w:t>
      </w:r>
      <w:r w:rsidRPr="003A19FC">
        <w:rPr>
          <w:szCs w:val="24"/>
        </w:rPr>
        <w:t xml:space="preserve"> </w:t>
      </w:r>
      <w:r w:rsidR="003E0661">
        <w:rPr>
          <w:szCs w:val="24"/>
        </w:rPr>
        <w:t>perdas</w:t>
      </w:r>
      <w:r w:rsidRPr="003A19FC">
        <w:rPr>
          <w:szCs w:val="24"/>
        </w:rPr>
        <w:t xml:space="preserve"> de crédito sobre o total de crédito bruto,</w:t>
      </w:r>
      <w:r>
        <w:rPr>
          <w:szCs w:val="24"/>
        </w:rPr>
        <w:t xml:space="preserve"> a mesma </w:t>
      </w:r>
      <w:r w:rsidRPr="003A19FC">
        <w:rPr>
          <w:szCs w:val="24"/>
        </w:rPr>
        <w:t xml:space="preserve">se mostrou significativa para todas </w:t>
      </w:r>
      <w:r>
        <w:rPr>
          <w:szCs w:val="24"/>
        </w:rPr>
        <w:t>as estimações, a um nível de 1% e com isso</w:t>
      </w:r>
      <w:r w:rsidRPr="003A19FC">
        <w:rPr>
          <w:szCs w:val="24"/>
        </w:rPr>
        <w:t xml:space="preserve"> pode-se considerar que </w:t>
      </w:r>
      <w:r>
        <w:rPr>
          <w:szCs w:val="24"/>
        </w:rPr>
        <w:t>essa variável</w:t>
      </w:r>
      <w:r w:rsidRPr="003A19FC">
        <w:rPr>
          <w:szCs w:val="24"/>
        </w:rPr>
        <w:t xml:space="preserve"> é o fator economicamente mais determinante para a provisão para </w:t>
      </w:r>
      <w:r w:rsidR="003E0661">
        <w:rPr>
          <w:szCs w:val="24"/>
        </w:rPr>
        <w:t>perdas</w:t>
      </w:r>
      <w:r w:rsidRPr="003A19FC">
        <w:rPr>
          <w:szCs w:val="24"/>
        </w:rPr>
        <w:t xml:space="preserve"> de créditos.</w:t>
      </w:r>
    </w:p>
    <w:bookmarkEnd w:id="0"/>
    <w:p w:rsidR="00C271A6" w:rsidRDefault="00C271A6" w:rsidP="00C271A6">
      <w:pPr>
        <w:rPr>
          <w:b/>
          <w:szCs w:val="24"/>
        </w:rPr>
      </w:pPr>
    </w:p>
    <w:p w:rsidR="00C271A6" w:rsidRDefault="00C271A6" w:rsidP="009400FC">
      <w:pPr>
        <w:ind w:firstLine="0"/>
        <w:rPr>
          <w:szCs w:val="24"/>
        </w:rPr>
      </w:pPr>
      <w:r>
        <w:rPr>
          <w:b/>
          <w:szCs w:val="24"/>
        </w:rPr>
        <w:t xml:space="preserve">Palavras-chave: </w:t>
      </w:r>
      <w:r w:rsidR="009400FC">
        <w:rPr>
          <w:szCs w:val="24"/>
        </w:rPr>
        <w:t xml:space="preserve">Gerenciamento de resultados; Qualidade das informações contábeis; </w:t>
      </w:r>
      <w:proofErr w:type="spellStart"/>
      <w:r w:rsidR="009400FC">
        <w:rPr>
          <w:i/>
          <w:szCs w:val="24"/>
        </w:rPr>
        <w:t>F</w:t>
      </w:r>
      <w:r w:rsidR="009400FC" w:rsidRPr="00883395">
        <w:rPr>
          <w:i/>
          <w:szCs w:val="24"/>
        </w:rPr>
        <w:t>intechs</w:t>
      </w:r>
      <w:proofErr w:type="spellEnd"/>
      <w:r w:rsidR="009400FC">
        <w:rPr>
          <w:szCs w:val="24"/>
        </w:rPr>
        <w:t>; Instituições financeiras</w:t>
      </w:r>
      <w:r>
        <w:rPr>
          <w:szCs w:val="24"/>
        </w:rPr>
        <w:t>.</w:t>
      </w:r>
    </w:p>
    <w:p w:rsidR="00C271A6" w:rsidRDefault="00C271A6" w:rsidP="00C271A6">
      <w:pPr>
        <w:rPr>
          <w:szCs w:val="24"/>
        </w:rPr>
      </w:pPr>
    </w:p>
    <w:p w:rsidR="00C271A6" w:rsidRPr="0036377D" w:rsidRDefault="00C271A6" w:rsidP="009400FC">
      <w:pPr>
        <w:ind w:firstLine="0"/>
        <w:rPr>
          <w:szCs w:val="24"/>
        </w:rPr>
      </w:pPr>
      <w:r>
        <w:rPr>
          <w:b/>
          <w:szCs w:val="24"/>
        </w:rPr>
        <w:t xml:space="preserve">Linha Temática: </w:t>
      </w:r>
      <w:r w:rsidR="009400FC" w:rsidRPr="009400FC">
        <w:rPr>
          <w:szCs w:val="24"/>
        </w:rPr>
        <w:t>Contabilidade Financeira</w:t>
      </w:r>
    </w:p>
    <w:p w:rsidR="00C271A6" w:rsidRDefault="00C271A6" w:rsidP="00C271A6"/>
    <w:p w:rsidR="00C271A6" w:rsidRPr="00C04F45" w:rsidRDefault="00C271A6" w:rsidP="008A1488">
      <w:pPr>
        <w:ind w:firstLine="0"/>
        <w:rPr>
          <w:b/>
          <w:szCs w:val="24"/>
        </w:rPr>
      </w:pPr>
      <w:r w:rsidRPr="00C04F45">
        <w:rPr>
          <w:b/>
          <w:szCs w:val="24"/>
        </w:rPr>
        <w:t>1 Introdução</w:t>
      </w:r>
    </w:p>
    <w:p w:rsidR="009400FC" w:rsidRDefault="009400FC" w:rsidP="009400FC">
      <w:pPr>
        <w:rPr>
          <w:szCs w:val="24"/>
        </w:rPr>
      </w:pPr>
    </w:p>
    <w:p w:rsidR="009400FC" w:rsidRDefault="009400FC" w:rsidP="009400FC">
      <w:pPr>
        <w:rPr>
          <w:szCs w:val="24"/>
        </w:rPr>
      </w:pPr>
      <w:r>
        <w:rPr>
          <w:szCs w:val="24"/>
        </w:rPr>
        <w:t>A</w:t>
      </w:r>
      <w:r w:rsidRPr="00072FB8">
        <w:rPr>
          <w:szCs w:val="24"/>
        </w:rPr>
        <w:t xml:space="preserve"> qualidade da informação contábil </w:t>
      </w:r>
      <w:r>
        <w:rPr>
          <w:szCs w:val="24"/>
        </w:rPr>
        <w:t xml:space="preserve">se modifica à medida em que surgem as </w:t>
      </w:r>
      <w:r w:rsidRPr="00072FB8">
        <w:rPr>
          <w:szCs w:val="24"/>
        </w:rPr>
        <w:t>necessidades dos usuários d</w:t>
      </w:r>
      <w:r>
        <w:rPr>
          <w:szCs w:val="24"/>
        </w:rPr>
        <w:t>o</w:t>
      </w:r>
      <w:r w:rsidRPr="00072FB8">
        <w:rPr>
          <w:szCs w:val="24"/>
        </w:rPr>
        <w:t xml:space="preserve">s </w:t>
      </w:r>
      <w:r>
        <w:rPr>
          <w:szCs w:val="24"/>
        </w:rPr>
        <w:t xml:space="preserve">relatórios financeiros, reproduzindo características específicas para </w:t>
      </w:r>
      <w:r w:rsidRPr="00072FB8">
        <w:rPr>
          <w:szCs w:val="24"/>
        </w:rPr>
        <w:t>cada tipo de usuário</w:t>
      </w:r>
      <w:r>
        <w:rPr>
          <w:szCs w:val="24"/>
        </w:rPr>
        <w:t>, de forma a submeter-se</w:t>
      </w:r>
      <w:r w:rsidRPr="00072FB8">
        <w:rPr>
          <w:szCs w:val="24"/>
        </w:rPr>
        <w:t xml:space="preserve"> </w:t>
      </w:r>
      <w:r>
        <w:rPr>
          <w:szCs w:val="24"/>
        </w:rPr>
        <w:t>às</w:t>
      </w:r>
      <w:r w:rsidRPr="00072FB8">
        <w:rPr>
          <w:szCs w:val="24"/>
        </w:rPr>
        <w:t xml:space="preserve"> condições do ambiente econômico, político e social (</w:t>
      </w:r>
      <w:proofErr w:type="spellStart"/>
      <w:r w:rsidRPr="00072FB8">
        <w:rPr>
          <w:szCs w:val="24"/>
        </w:rPr>
        <w:t>Dechow</w:t>
      </w:r>
      <w:proofErr w:type="spellEnd"/>
      <w:r w:rsidRPr="00072FB8">
        <w:rPr>
          <w:szCs w:val="24"/>
        </w:rPr>
        <w:t xml:space="preserve"> &amp; </w:t>
      </w:r>
      <w:proofErr w:type="spellStart"/>
      <w:r w:rsidRPr="00072FB8">
        <w:rPr>
          <w:szCs w:val="24"/>
        </w:rPr>
        <w:t>Schrand</w:t>
      </w:r>
      <w:proofErr w:type="spellEnd"/>
      <w:r w:rsidRPr="00072FB8">
        <w:rPr>
          <w:szCs w:val="24"/>
        </w:rPr>
        <w:t>, 2004).</w:t>
      </w:r>
      <w:r>
        <w:rPr>
          <w:szCs w:val="24"/>
        </w:rPr>
        <w:t xml:space="preserve"> O g</w:t>
      </w:r>
      <w:r w:rsidRPr="00805A04">
        <w:rPr>
          <w:szCs w:val="24"/>
        </w:rPr>
        <w:t xml:space="preserve">erenciamento de </w:t>
      </w:r>
      <w:r>
        <w:rPr>
          <w:szCs w:val="24"/>
        </w:rPr>
        <w:t>r</w:t>
      </w:r>
      <w:r w:rsidRPr="00805A04">
        <w:rPr>
          <w:szCs w:val="24"/>
        </w:rPr>
        <w:t>esultados</w:t>
      </w:r>
      <w:r>
        <w:rPr>
          <w:szCs w:val="24"/>
        </w:rPr>
        <w:t xml:space="preserve"> contábeis (</w:t>
      </w:r>
      <w:proofErr w:type="spellStart"/>
      <w:r w:rsidRPr="00CC15F6">
        <w:rPr>
          <w:i/>
          <w:szCs w:val="24"/>
        </w:rPr>
        <w:t>Earnings</w:t>
      </w:r>
      <w:proofErr w:type="spellEnd"/>
      <w:r w:rsidRPr="00CC15F6">
        <w:rPr>
          <w:i/>
          <w:szCs w:val="24"/>
        </w:rPr>
        <w:t xml:space="preserve"> Management – EM</w:t>
      </w:r>
      <w:r>
        <w:rPr>
          <w:szCs w:val="24"/>
        </w:rPr>
        <w:t>) caracteriza-se pela manipulação intencional na elaboração das demonstrações f</w:t>
      </w:r>
      <w:r w:rsidRPr="008B77F3">
        <w:rPr>
          <w:szCs w:val="24"/>
        </w:rPr>
        <w:t>inanceira</w:t>
      </w:r>
      <w:r>
        <w:rPr>
          <w:szCs w:val="24"/>
        </w:rPr>
        <w:t>s disponibilizadas aos</w:t>
      </w:r>
      <w:r w:rsidRPr="008B77F3">
        <w:rPr>
          <w:szCs w:val="24"/>
        </w:rPr>
        <w:t xml:space="preserve"> usuários</w:t>
      </w:r>
      <w:r>
        <w:rPr>
          <w:szCs w:val="24"/>
        </w:rPr>
        <w:t>, visando atender à objetivos particulares dos gestores, o que acaba por não representar de forma fidedigna a imagem da companhia</w:t>
      </w:r>
      <w:r w:rsidRPr="008B77F3">
        <w:rPr>
          <w:szCs w:val="24"/>
        </w:rPr>
        <w:t xml:space="preserve"> (M</w:t>
      </w:r>
      <w:r>
        <w:rPr>
          <w:szCs w:val="24"/>
        </w:rPr>
        <w:t>artinez</w:t>
      </w:r>
      <w:r w:rsidRPr="008B77F3">
        <w:rPr>
          <w:szCs w:val="24"/>
        </w:rPr>
        <w:t>, 2001</w:t>
      </w:r>
      <w:r>
        <w:rPr>
          <w:szCs w:val="24"/>
        </w:rPr>
        <w:t xml:space="preserve">; </w:t>
      </w:r>
      <w:proofErr w:type="spellStart"/>
      <w:r>
        <w:rPr>
          <w:szCs w:val="24"/>
        </w:rPr>
        <w:t>Schipper</w:t>
      </w:r>
      <w:proofErr w:type="spellEnd"/>
      <w:r w:rsidRPr="008B77F3">
        <w:rPr>
          <w:szCs w:val="24"/>
        </w:rPr>
        <w:t>, 1989).</w:t>
      </w:r>
    </w:p>
    <w:p w:rsidR="009400FC" w:rsidRDefault="009400FC" w:rsidP="009400FC">
      <w:pPr>
        <w:rPr>
          <w:szCs w:val="24"/>
        </w:rPr>
      </w:pPr>
      <w:r w:rsidRPr="000F4412">
        <w:rPr>
          <w:szCs w:val="24"/>
        </w:rPr>
        <w:t xml:space="preserve">Para as instituições financeiras (IF), devido aos diversos incentivos para a utilização de práticas discricionárias, o EM </w:t>
      </w:r>
      <w:proofErr w:type="spellStart"/>
      <w:r w:rsidRPr="000F4412">
        <w:rPr>
          <w:szCs w:val="24"/>
        </w:rPr>
        <w:t>é</w:t>
      </w:r>
      <w:proofErr w:type="spellEnd"/>
      <w:r w:rsidRPr="000F4412">
        <w:rPr>
          <w:szCs w:val="24"/>
        </w:rPr>
        <w:t xml:space="preserve"> evidenciado em diversas pesquisas (Araújo, Lustosa &amp; Paulo, 2018; </w:t>
      </w:r>
      <w:proofErr w:type="spellStart"/>
      <w:r w:rsidRPr="00604561">
        <w:rPr>
          <w:szCs w:val="24"/>
        </w:rPr>
        <w:t>Elnahass</w:t>
      </w:r>
      <w:proofErr w:type="spellEnd"/>
      <w:r w:rsidRPr="00604561">
        <w:rPr>
          <w:szCs w:val="24"/>
        </w:rPr>
        <w:t xml:space="preserve">, </w:t>
      </w:r>
      <w:proofErr w:type="spellStart"/>
      <w:r w:rsidRPr="00604561">
        <w:rPr>
          <w:szCs w:val="24"/>
        </w:rPr>
        <w:t>Izzeldinb</w:t>
      </w:r>
      <w:proofErr w:type="spellEnd"/>
      <w:r w:rsidRPr="00604561">
        <w:rPr>
          <w:szCs w:val="24"/>
        </w:rPr>
        <w:t xml:space="preserve"> &amp; </w:t>
      </w:r>
      <w:proofErr w:type="spellStart"/>
      <w:r w:rsidRPr="00604561">
        <w:rPr>
          <w:szCs w:val="24"/>
        </w:rPr>
        <w:t>Steeleb</w:t>
      </w:r>
      <w:proofErr w:type="spellEnd"/>
      <w:r w:rsidRPr="00604561">
        <w:rPr>
          <w:szCs w:val="24"/>
        </w:rPr>
        <w:t xml:space="preserve">, 2018; </w:t>
      </w:r>
      <w:r w:rsidRPr="000F4412">
        <w:rPr>
          <w:szCs w:val="24"/>
        </w:rPr>
        <w:t xml:space="preserve">Sousa &amp; </w:t>
      </w:r>
      <w:proofErr w:type="spellStart"/>
      <w:r w:rsidRPr="000F4412">
        <w:rPr>
          <w:szCs w:val="24"/>
        </w:rPr>
        <w:t>Bressan</w:t>
      </w:r>
      <w:proofErr w:type="spellEnd"/>
      <w:r w:rsidRPr="000F4412">
        <w:rPr>
          <w:szCs w:val="24"/>
        </w:rPr>
        <w:t>, 2018).</w:t>
      </w:r>
      <w:r>
        <w:rPr>
          <w:szCs w:val="24"/>
        </w:rPr>
        <w:t xml:space="preserve"> Entretanto, com o surgimento das</w:t>
      </w:r>
      <w:r w:rsidRPr="00E561FE">
        <w:rPr>
          <w:szCs w:val="24"/>
        </w:rPr>
        <w:t xml:space="preserve"> </w:t>
      </w:r>
      <w:proofErr w:type="spellStart"/>
      <w:r w:rsidRPr="00E561FE">
        <w:rPr>
          <w:i/>
          <w:szCs w:val="24"/>
        </w:rPr>
        <w:t>FinTech</w:t>
      </w:r>
      <w:r>
        <w:rPr>
          <w:szCs w:val="24"/>
        </w:rPr>
        <w:t>s</w:t>
      </w:r>
      <w:proofErr w:type="spellEnd"/>
      <w:r>
        <w:rPr>
          <w:szCs w:val="24"/>
        </w:rPr>
        <w:t xml:space="preserve"> </w:t>
      </w:r>
      <w:r w:rsidRPr="00E561FE">
        <w:rPr>
          <w:i/>
          <w:szCs w:val="24"/>
        </w:rPr>
        <w:t>(Financial Technology)</w:t>
      </w:r>
      <w:r>
        <w:rPr>
          <w:szCs w:val="24"/>
        </w:rPr>
        <w:t>,</w:t>
      </w:r>
      <w:r w:rsidRPr="00E561FE">
        <w:rPr>
          <w:szCs w:val="24"/>
        </w:rPr>
        <w:t xml:space="preserve"> as </w:t>
      </w:r>
      <w:proofErr w:type="spellStart"/>
      <w:r w:rsidRPr="00E561FE">
        <w:rPr>
          <w:szCs w:val="24"/>
        </w:rPr>
        <w:t>IF</w:t>
      </w:r>
      <w:r>
        <w:rPr>
          <w:szCs w:val="24"/>
        </w:rPr>
        <w:t>s</w:t>
      </w:r>
      <w:proofErr w:type="spellEnd"/>
      <w:r w:rsidRPr="00E561FE">
        <w:rPr>
          <w:szCs w:val="24"/>
        </w:rPr>
        <w:t xml:space="preserve"> </w:t>
      </w:r>
      <w:r>
        <w:rPr>
          <w:szCs w:val="24"/>
        </w:rPr>
        <w:t>empenham-se em atingir</w:t>
      </w:r>
      <w:r w:rsidRPr="00E561FE">
        <w:rPr>
          <w:szCs w:val="24"/>
        </w:rPr>
        <w:t xml:space="preserve"> a eficácia na adaptação e na busca pelos benefícios gerados</w:t>
      </w:r>
      <w:r>
        <w:rPr>
          <w:szCs w:val="24"/>
        </w:rPr>
        <w:t xml:space="preserve"> à população</w:t>
      </w:r>
      <w:r w:rsidRPr="00E561FE">
        <w:rPr>
          <w:szCs w:val="24"/>
        </w:rPr>
        <w:t xml:space="preserve"> pelas </w:t>
      </w:r>
      <w:proofErr w:type="spellStart"/>
      <w:r w:rsidRPr="00E561FE">
        <w:rPr>
          <w:i/>
          <w:szCs w:val="24"/>
        </w:rPr>
        <w:t>FinTechs</w:t>
      </w:r>
      <w:proofErr w:type="spellEnd"/>
      <w:r>
        <w:rPr>
          <w:szCs w:val="24"/>
        </w:rPr>
        <w:t xml:space="preserve">, precisando, portanto, elaborar um plano claro para esse fim </w:t>
      </w:r>
      <w:r w:rsidRPr="00E561FE">
        <w:rPr>
          <w:szCs w:val="24"/>
        </w:rPr>
        <w:t>(</w:t>
      </w:r>
      <w:proofErr w:type="spellStart"/>
      <w:r w:rsidRPr="00E561FE">
        <w:rPr>
          <w:szCs w:val="24"/>
        </w:rPr>
        <w:t>Boshkov</w:t>
      </w:r>
      <w:proofErr w:type="spellEnd"/>
      <w:r w:rsidRPr="00E561FE">
        <w:rPr>
          <w:szCs w:val="24"/>
        </w:rPr>
        <w:t>, 2018).</w:t>
      </w:r>
      <w:r>
        <w:rPr>
          <w:szCs w:val="24"/>
        </w:rPr>
        <w:t xml:space="preserve"> Levando em consideração que o setor bancário se demonstra mais “conservador”, no que diz respeito às mudanças, as </w:t>
      </w:r>
      <w:proofErr w:type="spellStart"/>
      <w:r>
        <w:rPr>
          <w:i/>
          <w:szCs w:val="24"/>
        </w:rPr>
        <w:t>FinTechs</w:t>
      </w:r>
      <w:proofErr w:type="spellEnd"/>
      <w:r>
        <w:rPr>
          <w:szCs w:val="24"/>
        </w:rPr>
        <w:t xml:space="preserve"> aparentam ser mais “ousadas”, devido às rápidas mudanças ocorridas nas tecnologias, as quais requerem novas soluções de imediato, preenchendo a lacuna deixada pelos bancos.</w:t>
      </w:r>
    </w:p>
    <w:p w:rsidR="009400FC" w:rsidRDefault="009400FC" w:rsidP="009400FC">
      <w:pPr>
        <w:rPr>
          <w:szCs w:val="24"/>
        </w:rPr>
      </w:pPr>
      <w:r>
        <w:rPr>
          <w:szCs w:val="24"/>
        </w:rPr>
        <w:t xml:space="preserve">Ferreira, Portugal Junior, Silva &amp; Portugal (2017) buscaram </w:t>
      </w:r>
      <w:r w:rsidRPr="00B865FE">
        <w:rPr>
          <w:szCs w:val="24"/>
        </w:rPr>
        <w:t>compreender as evoluções</w:t>
      </w:r>
      <w:r>
        <w:rPr>
          <w:szCs w:val="24"/>
        </w:rPr>
        <w:t xml:space="preserve"> de novos modelos de negócios</w:t>
      </w:r>
      <w:r w:rsidRPr="00B865FE">
        <w:rPr>
          <w:szCs w:val="24"/>
        </w:rPr>
        <w:t xml:space="preserve"> no mercado financeiro</w:t>
      </w:r>
      <w:r>
        <w:rPr>
          <w:szCs w:val="24"/>
        </w:rPr>
        <w:t xml:space="preserve"> em relação ao</w:t>
      </w:r>
      <w:r w:rsidRPr="00B865FE">
        <w:rPr>
          <w:szCs w:val="24"/>
        </w:rPr>
        <w:t xml:space="preserve"> crédito</w:t>
      </w:r>
      <w:r>
        <w:rPr>
          <w:szCs w:val="24"/>
        </w:rPr>
        <w:t xml:space="preserve">, a partir das três maiores </w:t>
      </w:r>
      <w:proofErr w:type="spellStart"/>
      <w:r>
        <w:rPr>
          <w:i/>
          <w:szCs w:val="24"/>
        </w:rPr>
        <w:t>FinTechs</w:t>
      </w:r>
      <w:proofErr w:type="spellEnd"/>
      <w:r>
        <w:rPr>
          <w:szCs w:val="24"/>
        </w:rPr>
        <w:t xml:space="preserve">, de modo a identificar o comportamento dos clientes diante dos novos modelos. Nos resultados, apresentaram que </w:t>
      </w:r>
      <w:r w:rsidRPr="00C44252">
        <w:rPr>
          <w:szCs w:val="24"/>
        </w:rPr>
        <w:t xml:space="preserve">os clientes </w:t>
      </w:r>
      <w:r>
        <w:rPr>
          <w:szCs w:val="24"/>
        </w:rPr>
        <w:t>respondem</w:t>
      </w:r>
      <w:r w:rsidRPr="00C44252">
        <w:rPr>
          <w:szCs w:val="24"/>
        </w:rPr>
        <w:t xml:space="preserve"> de forma positiva aos novos modelos de negócios, visto que houve um aumento considerável de usuários e</w:t>
      </w:r>
      <w:r>
        <w:rPr>
          <w:szCs w:val="24"/>
        </w:rPr>
        <w:t>m</w:t>
      </w:r>
      <w:r w:rsidRPr="00C44252">
        <w:rPr>
          <w:szCs w:val="24"/>
        </w:rPr>
        <w:t xml:space="preserve"> um curto espaço de tempo</w:t>
      </w:r>
      <w:r>
        <w:rPr>
          <w:szCs w:val="24"/>
        </w:rPr>
        <w:t>, enquanto</w:t>
      </w:r>
      <w:r w:rsidRPr="00C44252">
        <w:rPr>
          <w:szCs w:val="24"/>
        </w:rPr>
        <w:t xml:space="preserve"> os bancos tradicionais</w:t>
      </w:r>
      <w:r>
        <w:rPr>
          <w:szCs w:val="24"/>
        </w:rPr>
        <w:t>,</w:t>
      </w:r>
      <w:r w:rsidRPr="00C44252">
        <w:rPr>
          <w:szCs w:val="24"/>
        </w:rPr>
        <w:t xml:space="preserve"> com agências físicas</w:t>
      </w:r>
      <w:r>
        <w:rPr>
          <w:szCs w:val="24"/>
        </w:rPr>
        <w:t>,</w:t>
      </w:r>
      <w:r w:rsidRPr="00C44252">
        <w:rPr>
          <w:szCs w:val="24"/>
        </w:rPr>
        <w:t xml:space="preserve"> expressam indícios de redução de clientes</w:t>
      </w:r>
      <w:r>
        <w:rPr>
          <w:szCs w:val="24"/>
        </w:rPr>
        <w:t>. Barbosa (2018) buscou examinar</w:t>
      </w:r>
      <w:r w:rsidRPr="00B865FE">
        <w:rPr>
          <w:szCs w:val="24"/>
        </w:rPr>
        <w:t xml:space="preserve"> a forma de atuação das </w:t>
      </w:r>
      <w:proofErr w:type="spellStart"/>
      <w:r>
        <w:rPr>
          <w:i/>
          <w:szCs w:val="24"/>
        </w:rPr>
        <w:t>F</w:t>
      </w:r>
      <w:r w:rsidRPr="008E4997">
        <w:rPr>
          <w:i/>
          <w:szCs w:val="24"/>
        </w:rPr>
        <w:t>in</w:t>
      </w:r>
      <w:r>
        <w:rPr>
          <w:i/>
          <w:szCs w:val="24"/>
        </w:rPr>
        <w:t>T</w:t>
      </w:r>
      <w:r w:rsidRPr="008E4997">
        <w:rPr>
          <w:i/>
          <w:szCs w:val="24"/>
        </w:rPr>
        <w:t>echs</w:t>
      </w:r>
      <w:proofErr w:type="spellEnd"/>
      <w:r>
        <w:rPr>
          <w:szCs w:val="24"/>
        </w:rPr>
        <w:t xml:space="preserve"> no ambiente financeiro, evidenciando que, na</w:t>
      </w:r>
      <w:r w:rsidRPr="00D544F3">
        <w:rPr>
          <w:szCs w:val="24"/>
        </w:rPr>
        <w:t xml:space="preserve"> atuação das </w:t>
      </w:r>
      <w:proofErr w:type="spellStart"/>
      <w:r>
        <w:rPr>
          <w:i/>
          <w:szCs w:val="24"/>
        </w:rPr>
        <w:t>F</w:t>
      </w:r>
      <w:r w:rsidRPr="00F14627">
        <w:rPr>
          <w:i/>
          <w:szCs w:val="24"/>
        </w:rPr>
        <w:t>in</w:t>
      </w:r>
      <w:r>
        <w:rPr>
          <w:i/>
          <w:szCs w:val="24"/>
        </w:rPr>
        <w:t>T</w:t>
      </w:r>
      <w:r w:rsidRPr="00F14627">
        <w:rPr>
          <w:i/>
          <w:szCs w:val="24"/>
        </w:rPr>
        <w:t>echs</w:t>
      </w:r>
      <w:proofErr w:type="spellEnd"/>
      <w:r w:rsidRPr="003D1F4F">
        <w:rPr>
          <w:szCs w:val="24"/>
        </w:rPr>
        <w:t>,</w:t>
      </w:r>
      <w:r w:rsidRPr="000F4412">
        <w:rPr>
          <w:szCs w:val="24"/>
        </w:rPr>
        <w:t xml:space="preserve"> </w:t>
      </w:r>
      <w:r>
        <w:rPr>
          <w:szCs w:val="24"/>
        </w:rPr>
        <w:t xml:space="preserve">são utilizadas principalmente </w:t>
      </w:r>
      <w:r w:rsidRPr="00D544F3">
        <w:rPr>
          <w:szCs w:val="24"/>
        </w:rPr>
        <w:t>base</w:t>
      </w:r>
      <w:r>
        <w:rPr>
          <w:szCs w:val="24"/>
        </w:rPr>
        <w:t xml:space="preserve">s </w:t>
      </w:r>
      <w:r w:rsidRPr="00D544F3">
        <w:rPr>
          <w:szCs w:val="24"/>
        </w:rPr>
        <w:t>tecnológica</w:t>
      </w:r>
      <w:r>
        <w:rPr>
          <w:szCs w:val="24"/>
        </w:rPr>
        <w:t>s</w:t>
      </w:r>
      <w:r w:rsidRPr="00D544F3">
        <w:rPr>
          <w:szCs w:val="24"/>
        </w:rPr>
        <w:t xml:space="preserve">, </w:t>
      </w:r>
      <w:r>
        <w:rPr>
          <w:szCs w:val="24"/>
        </w:rPr>
        <w:t xml:space="preserve">com </w:t>
      </w:r>
      <w:r w:rsidRPr="00D544F3">
        <w:rPr>
          <w:szCs w:val="24"/>
        </w:rPr>
        <w:t xml:space="preserve">serviço financeiro escalável </w:t>
      </w:r>
      <w:r>
        <w:rPr>
          <w:szCs w:val="24"/>
        </w:rPr>
        <w:t>a partir d</w:t>
      </w:r>
      <w:r w:rsidRPr="00D544F3">
        <w:rPr>
          <w:szCs w:val="24"/>
        </w:rPr>
        <w:t>a experiência do cliente,</w:t>
      </w:r>
      <w:r>
        <w:rPr>
          <w:szCs w:val="24"/>
        </w:rPr>
        <w:t xml:space="preserve"> bem como </w:t>
      </w:r>
      <w:r w:rsidRPr="00D544F3">
        <w:rPr>
          <w:szCs w:val="24"/>
        </w:rPr>
        <w:t>estruturas operacionais enxutas</w:t>
      </w:r>
      <w:r>
        <w:rPr>
          <w:szCs w:val="24"/>
        </w:rPr>
        <w:t xml:space="preserve">, buscando o desenvolvimento, </w:t>
      </w:r>
      <w:r w:rsidRPr="00D544F3">
        <w:rPr>
          <w:szCs w:val="24"/>
        </w:rPr>
        <w:t>gestão ágil</w:t>
      </w:r>
      <w:r>
        <w:rPr>
          <w:szCs w:val="24"/>
        </w:rPr>
        <w:t xml:space="preserve"> e</w:t>
      </w:r>
      <w:r w:rsidRPr="00D544F3">
        <w:rPr>
          <w:szCs w:val="24"/>
        </w:rPr>
        <w:t xml:space="preserve"> </w:t>
      </w:r>
      <w:r w:rsidRPr="00F14627">
        <w:rPr>
          <w:i/>
          <w:szCs w:val="24"/>
        </w:rPr>
        <w:t>marketing</w:t>
      </w:r>
      <w:r>
        <w:rPr>
          <w:szCs w:val="24"/>
        </w:rPr>
        <w:t xml:space="preserve"> </w:t>
      </w:r>
      <w:r w:rsidRPr="00D544F3">
        <w:rPr>
          <w:szCs w:val="24"/>
        </w:rPr>
        <w:t>digital</w:t>
      </w:r>
      <w:r w:rsidRPr="00B865FE">
        <w:rPr>
          <w:szCs w:val="24"/>
        </w:rPr>
        <w:t>.</w:t>
      </w:r>
      <w:r>
        <w:rPr>
          <w:szCs w:val="24"/>
        </w:rPr>
        <w:t xml:space="preserve"> Nessa linha, </w:t>
      </w:r>
      <w:proofErr w:type="spellStart"/>
      <w:r>
        <w:rPr>
          <w:szCs w:val="24"/>
        </w:rPr>
        <w:t>Boshkov</w:t>
      </w:r>
      <w:proofErr w:type="spellEnd"/>
      <w:r>
        <w:rPr>
          <w:szCs w:val="24"/>
        </w:rPr>
        <w:t xml:space="preserve"> (2018) analisa</w:t>
      </w:r>
      <w:r w:rsidRPr="008E4997">
        <w:rPr>
          <w:szCs w:val="24"/>
        </w:rPr>
        <w:t xml:space="preserve"> </w:t>
      </w:r>
      <w:r>
        <w:rPr>
          <w:szCs w:val="24"/>
        </w:rPr>
        <w:t>se o desenvolvimento financeiro amplia</w:t>
      </w:r>
      <w:r w:rsidRPr="008E4997">
        <w:rPr>
          <w:szCs w:val="24"/>
        </w:rPr>
        <w:t xml:space="preserve"> as oportunidades econômicas</w:t>
      </w:r>
      <w:r>
        <w:rPr>
          <w:szCs w:val="24"/>
        </w:rPr>
        <w:t>, partindo do pressuposto de que a inclusão financeira gera benefícios potenciais de acesso aos serviços financeiros pela população. Ademais,</w:t>
      </w:r>
      <w:r w:rsidRPr="00673E27">
        <w:rPr>
          <w:szCs w:val="24"/>
        </w:rPr>
        <w:t xml:space="preserve"> </w:t>
      </w:r>
      <w:r>
        <w:rPr>
          <w:szCs w:val="24"/>
        </w:rPr>
        <w:t xml:space="preserve">percebe-se que </w:t>
      </w:r>
      <w:r w:rsidRPr="00673E27">
        <w:rPr>
          <w:szCs w:val="24"/>
        </w:rPr>
        <w:t>alguns bancos não estão preparados para essa mudança, devido ao seu rígido regulamento</w:t>
      </w:r>
      <w:r>
        <w:rPr>
          <w:szCs w:val="24"/>
        </w:rPr>
        <w:t xml:space="preserve">, tendo em vista seus </w:t>
      </w:r>
      <w:r w:rsidRPr="00673E27">
        <w:rPr>
          <w:szCs w:val="24"/>
        </w:rPr>
        <w:t>altos padrões regulatórios</w:t>
      </w:r>
      <w:r>
        <w:rPr>
          <w:szCs w:val="24"/>
        </w:rPr>
        <w:t>,</w:t>
      </w:r>
      <w:r w:rsidRPr="00673E27">
        <w:rPr>
          <w:szCs w:val="24"/>
        </w:rPr>
        <w:t xml:space="preserve"> </w:t>
      </w:r>
      <w:r>
        <w:rPr>
          <w:szCs w:val="24"/>
        </w:rPr>
        <w:t>os quais</w:t>
      </w:r>
      <w:r w:rsidRPr="00673E27">
        <w:rPr>
          <w:szCs w:val="24"/>
        </w:rPr>
        <w:t xml:space="preserve"> oferecem mais segurança e redução de riscos. </w:t>
      </w:r>
    </w:p>
    <w:p w:rsidR="009400FC" w:rsidRPr="00F9156F" w:rsidRDefault="009400FC" w:rsidP="009400FC">
      <w:pPr>
        <w:rPr>
          <w:szCs w:val="24"/>
          <w:highlight w:val="yellow"/>
        </w:rPr>
      </w:pPr>
      <w:r>
        <w:rPr>
          <w:szCs w:val="24"/>
        </w:rPr>
        <w:t xml:space="preserve">Tendo em vista a lacuna empírica quanto ao </w:t>
      </w:r>
      <w:r w:rsidRPr="00A408BE">
        <w:rPr>
          <w:szCs w:val="24"/>
        </w:rPr>
        <w:t xml:space="preserve">estudos </w:t>
      </w:r>
      <w:r>
        <w:rPr>
          <w:szCs w:val="24"/>
        </w:rPr>
        <w:t>da</w:t>
      </w:r>
      <w:r w:rsidRPr="00A408BE">
        <w:rPr>
          <w:szCs w:val="24"/>
        </w:rPr>
        <w:t xml:space="preserve">s </w:t>
      </w:r>
      <w:proofErr w:type="spellStart"/>
      <w:r w:rsidRPr="003D5037">
        <w:rPr>
          <w:i/>
          <w:szCs w:val="24"/>
        </w:rPr>
        <w:t>FinTechs</w:t>
      </w:r>
      <w:proofErr w:type="spellEnd"/>
      <w:r w:rsidRPr="00350124">
        <w:rPr>
          <w:szCs w:val="24"/>
        </w:rPr>
        <w:t xml:space="preserve"> na área contábil,</w:t>
      </w:r>
      <w:r>
        <w:rPr>
          <w:i/>
          <w:szCs w:val="24"/>
        </w:rPr>
        <w:t xml:space="preserve"> </w:t>
      </w:r>
      <w:r>
        <w:rPr>
          <w:szCs w:val="24"/>
        </w:rPr>
        <w:t>principalmente</w:t>
      </w:r>
      <w:r w:rsidRPr="00A408BE">
        <w:rPr>
          <w:szCs w:val="24"/>
        </w:rPr>
        <w:t xml:space="preserve"> no que diz respeito ao </w:t>
      </w:r>
      <w:r>
        <w:rPr>
          <w:szCs w:val="24"/>
        </w:rPr>
        <w:t>EM, mesmo com indícios de que o oferecimento de</w:t>
      </w:r>
      <w:r w:rsidRPr="00673E27">
        <w:rPr>
          <w:szCs w:val="24"/>
        </w:rPr>
        <w:t xml:space="preserve"> novas </w:t>
      </w:r>
      <w:r w:rsidRPr="00673E27">
        <w:rPr>
          <w:szCs w:val="24"/>
        </w:rPr>
        <w:lastRenderedPageBreak/>
        <w:t>tecnologias e ferramentas inovadoras podem mudar o sistema financeiro, otimizando a segurança e o estilo da população ao utilizar as mesmas</w:t>
      </w:r>
      <w:r>
        <w:rPr>
          <w:szCs w:val="24"/>
        </w:rPr>
        <w:t xml:space="preserve">, o presente estudo tem </w:t>
      </w:r>
      <w:r w:rsidR="003E0661">
        <w:rPr>
          <w:szCs w:val="24"/>
        </w:rPr>
        <w:t>o seguinte</w:t>
      </w:r>
      <w:r>
        <w:rPr>
          <w:szCs w:val="24"/>
        </w:rPr>
        <w:t xml:space="preserve"> problema de pesquisa: </w:t>
      </w:r>
      <w:r w:rsidRPr="008E2D3B">
        <w:rPr>
          <w:b/>
          <w:szCs w:val="24"/>
        </w:rPr>
        <w:t xml:space="preserve">Quais as evidências de gerenciamentos de resultados </w:t>
      </w:r>
      <w:r>
        <w:rPr>
          <w:b/>
          <w:szCs w:val="24"/>
        </w:rPr>
        <w:t xml:space="preserve">contábeis </w:t>
      </w:r>
      <w:r w:rsidRPr="008E2D3B">
        <w:rPr>
          <w:b/>
          <w:szCs w:val="24"/>
        </w:rPr>
        <w:t xml:space="preserve">nas </w:t>
      </w:r>
      <w:proofErr w:type="spellStart"/>
      <w:r w:rsidRPr="008E2D3B">
        <w:rPr>
          <w:b/>
          <w:i/>
          <w:szCs w:val="24"/>
        </w:rPr>
        <w:t>FinTechs</w:t>
      </w:r>
      <w:proofErr w:type="spellEnd"/>
      <w:r w:rsidRPr="008E2D3B">
        <w:rPr>
          <w:b/>
          <w:szCs w:val="24"/>
        </w:rPr>
        <w:t xml:space="preserve"> brasileiras?</w:t>
      </w:r>
      <w:r w:rsidRPr="008E2D3B">
        <w:rPr>
          <w:szCs w:val="24"/>
        </w:rPr>
        <w:t xml:space="preserve"> Dessa forma, define-se como objetivo de pesquisa analisar </w:t>
      </w:r>
      <w:r>
        <w:rPr>
          <w:szCs w:val="24"/>
        </w:rPr>
        <w:t>o comportamento discricionário das</w:t>
      </w:r>
      <w:r w:rsidRPr="008E2D3B">
        <w:rPr>
          <w:szCs w:val="24"/>
        </w:rPr>
        <w:t xml:space="preserve"> </w:t>
      </w:r>
      <w:proofErr w:type="spellStart"/>
      <w:r w:rsidRPr="008E2D3B">
        <w:rPr>
          <w:i/>
          <w:szCs w:val="24"/>
        </w:rPr>
        <w:t>FinTechs</w:t>
      </w:r>
      <w:proofErr w:type="spellEnd"/>
      <w:r w:rsidRPr="008E2D3B">
        <w:rPr>
          <w:szCs w:val="24"/>
        </w:rPr>
        <w:t xml:space="preserve"> brasileiras</w:t>
      </w:r>
      <w:r>
        <w:rPr>
          <w:szCs w:val="24"/>
        </w:rPr>
        <w:t>, no período de 2009 a 2017</w:t>
      </w:r>
      <w:r w:rsidRPr="008E2D3B">
        <w:rPr>
          <w:szCs w:val="24"/>
        </w:rPr>
        <w:t>.</w:t>
      </w:r>
    </w:p>
    <w:p w:rsidR="009400FC" w:rsidRDefault="009400FC" w:rsidP="009400FC">
      <w:pPr>
        <w:rPr>
          <w:szCs w:val="24"/>
        </w:rPr>
      </w:pPr>
      <w:r>
        <w:rPr>
          <w:szCs w:val="24"/>
        </w:rPr>
        <w:t xml:space="preserve">Ao analisar se existem evidências de EM nas </w:t>
      </w:r>
      <w:proofErr w:type="spellStart"/>
      <w:r>
        <w:rPr>
          <w:i/>
          <w:szCs w:val="24"/>
        </w:rPr>
        <w:t>FinTechs</w:t>
      </w:r>
      <w:proofErr w:type="spellEnd"/>
      <w:r>
        <w:rPr>
          <w:szCs w:val="24"/>
        </w:rPr>
        <w:t xml:space="preserve"> brasileiras, este trabalho contribui para a melhor compreensão sobre o comportamento oportun</w:t>
      </w:r>
      <w:r w:rsidR="003E0661">
        <w:rPr>
          <w:szCs w:val="24"/>
        </w:rPr>
        <w:t>ista</w:t>
      </w:r>
      <w:r>
        <w:rPr>
          <w:szCs w:val="24"/>
        </w:rPr>
        <w:t xml:space="preserve"> dos gestores, principalmente</w:t>
      </w:r>
      <w:r w:rsidRPr="00883395">
        <w:rPr>
          <w:szCs w:val="24"/>
        </w:rPr>
        <w:t xml:space="preserve"> em empresas </w:t>
      </w:r>
      <w:r w:rsidRPr="00883395">
        <w:rPr>
          <w:i/>
          <w:szCs w:val="24"/>
        </w:rPr>
        <w:t>startups</w:t>
      </w:r>
      <w:r w:rsidRPr="00883395">
        <w:rPr>
          <w:szCs w:val="24"/>
        </w:rPr>
        <w:t xml:space="preserve"> que atuam com inovações tecnológicas. Al</w:t>
      </w:r>
      <w:r>
        <w:rPr>
          <w:szCs w:val="24"/>
        </w:rPr>
        <w:t xml:space="preserve">ém disso, a relevância do estudo demonstra evidências sobre a gestão das </w:t>
      </w:r>
      <w:proofErr w:type="spellStart"/>
      <w:r w:rsidRPr="00883395">
        <w:rPr>
          <w:i/>
          <w:szCs w:val="24"/>
        </w:rPr>
        <w:t>FinTechs</w:t>
      </w:r>
      <w:proofErr w:type="spellEnd"/>
      <w:r>
        <w:rPr>
          <w:szCs w:val="24"/>
        </w:rPr>
        <w:t>, contribuindo assim para os agentes, investidores, gestores, reguladores, entre outros, que atuam no sistema financeiro.</w:t>
      </w:r>
    </w:p>
    <w:p w:rsidR="009400FC" w:rsidRDefault="009400FC" w:rsidP="009400FC">
      <w:pPr>
        <w:rPr>
          <w:szCs w:val="24"/>
        </w:rPr>
      </w:pPr>
      <w:r>
        <w:rPr>
          <w:szCs w:val="24"/>
        </w:rPr>
        <w:t xml:space="preserve">Além desta Introdução, o trabalho apresenta o referencial teórico, com os principais conceitos de qualidade da informação contábil, gerenciamento de resultados e de </w:t>
      </w:r>
      <w:proofErr w:type="spellStart"/>
      <w:r>
        <w:rPr>
          <w:i/>
          <w:szCs w:val="24"/>
        </w:rPr>
        <w:t>FinTechs</w:t>
      </w:r>
      <w:proofErr w:type="spellEnd"/>
      <w:r>
        <w:rPr>
          <w:szCs w:val="24"/>
        </w:rPr>
        <w:t>. Na seção três são apresentados os procedimentos metodológicos, posteriormente a análise dos resultados e por fim, as considerações finais.</w:t>
      </w:r>
    </w:p>
    <w:p w:rsidR="009400FC" w:rsidRDefault="009400FC" w:rsidP="009400FC">
      <w:pPr>
        <w:rPr>
          <w:szCs w:val="24"/>
        </w:rPr>
      </w:pPr>
    </w:p>
    <w:p w:rsidR="009400FC" w:rsidRPr="00C04F45" w:rsidRDefault="009400FC" w:rsidP="009400FC">
      <w:pPr>
        <w:ind w:firstLine="0"/>
        <w:rPr>
          <w:b/>
          <w:szCs w:val="24"/>
        </w:rPr>
      </w:pPr>
      <w:r>
        <w:rPr>
          <w:b/>
          <w:szCs w:val="24"/>
        </w:rPr>
        <w:t>2</w:t>
      </w:r>
      <w:r w:rsidRPr="00C04F45">
        <w:rPr>
          <w:b/>
          <w:szCs w:val="24"/>
        </w:rPr>
        <w:t xml:space="preserve"> </w:t>
      </w:r>
      <w:r>
        <w:rPr>
          <w:b/>
          <w:szCs w:val="24"/>
        </w:rPr>
        <w:t>Referencial Teórico</w:t>
      </w:r>
    </w:p>
    <w:p w:rsidR="009400FC" w:rsidRDefault="009400FC" w:rsidP="009400FC">
      <w:pPr>
        <w:ind w:firstLine="0"/>
        <w:rPr>
          <w:b/>
          <w:szCs w:val="24"/>
        </w:rPr>
      </w:pPr>
    </w:p>
    <w:p w:rsidR="009400FC" w:rsidRPr="000C2271" w:rsidRDefault="009400FC" w:rsidP="009400FC">
      <w:pPr>
        <w:ind w:firstLine="0"/>
        <w:rPr>
          <w:b/>
          <w:szCs w:val="24"/>
        </w:rPr>
      </w:pPr>
      <w:r w:rsidRPr="000C2271">
        <w:rPr>
          <w:b/>
          <w:szCs w:val="24"/>
        </w:rPr>
        <w:t xml:space="preserve">2.1 </w:t>
      </w:r>
      <w:r>
        <w:rPr>
          <w:b/>
          <w:szCs w:val="24"/>
        </w:rPr>
        <w:t>Qualidade da Informação Contábil e G</w:t>
      </w:r>
      <w:r w:rsidRPr="000C2271">
        <w:rPr>
          <w:b/>
          <w:szCs w:val="24"/>
        </w:rPr>
        <w:t xml:space="preserve">erenciamento de </w:t>
      </w:r>
      <w:r>
        <w:rPr>
          <w:b/>
          <w:szCs w:val="24"/>
        </w:rPr>
        <w:t>R</w:t>
      </w:r>
      <w:r w:rsidRPr="000C2271">
        <w:rPr>
          <w:b/>
          <w:szCs w:val="24"/>
        </w:rPr>
        <w:t>esultado</w:t>
      </w:r>
      <w:r>
        <w:rPr>
          <w:b/>
          <w:szCs w:val="24"/>
        </w:rPr>
        <w:t>s</w:t>
      </w:r>
    </w:p>
    <w:p w:rsidR="009400FC" w:rsidRDefault="009400FC" w:rsidP="009400FC">
      <w:pPr>
        <w:rPr>
          <w:szCs w:val="24"/>
        </w:rPr>
      </w:pPr>
    </w:p>
    <w:p w:rsidR="009400FC" w:rsidRDefault="009400FC" w:rsidP="009400FC">
      <w:pPr>
        <w:rPr>
          <w:szCs w:val="24"/>
        </w:rPr>
      </w:pPr>
      <w:r>
        <w:rPr>
          <w:szCs w:val="24"/>
        </w:rPr>
        <w:t>A qualidade da informação contábil representa circunstâncias diferenciadas para cada tipo de usuário das demonstrações financeiras e está sujeita às condições do ambiente econômico, político e social. De forma complementar, a qualidade da informação contábil se modifica conforme as necessidades dos usuários das demonstrações financeiras (</w:t>
      </w:r>
      <w:proofErr w:type="spellStart"/>
      <w:r>
        <w:rPr>
          <w:szCs w:val="24"/>
        </w:rPr>
        <w:t>Dechow</w:t>
      </w:r>
      <w:proofErr w:type="spellEnd"/>
      <w:r>
        <w:rPr>
          <w:szCs w:val="24"/>
        </w:rPr>
        <w:t xml:space="preserve"> &amp; </w:t>
      </w:r>
      <w:proofErr w:type="spellStart"/>
      <w:r>
        <w:rPr>
          <w:szCs w:val="24"/>
        </w:rPr>
        <w:t>Schrand</w:t>
      </w:r>
      <w:proofErr w:type="spellEnd"/>
      <w:r>
        <w:rPr>
          <w:szCs w:val="24"/>
        </w:rPr>
        <w:t>, 2004).</w:t>
      </w:r>
    </w:p>
    <w:p w:rsidR="009400FC" w:rsidRPr="00805A04" w:rsidRDefault="009400FC" w:rsidP="009400FC">
      <w:pPr>
        <w:rPr>
          <w:szCs w:val="24"/>
        </w:rPr>
      </w:pPr>
      <w:r>
        <w:rPr>
          <w:szCs w:val="24"/>
        </w:rPr>
        <w:t xml:space="preserve">Na Tabela 1 é possível verificar as </w:t>
      </w:r>
      <w:r w:rsidRPr="00956B12">
        <w:rPr>
          <w:i/>
          <w:szCs w:val="24"/>
        </w:rPr>
        <w:t>proxies</w:t>
      </w:r>
      <w:r>
        <w:rPr>
          <w:szCs w:val="24"/>
        </w:rPr>
        <w:t xml:space="preserve"> da qualidade da informação, que de acordo com </w:t>
      </w:r>
      <w:proofErr w:type="spellStart"/>
      <w:r>
        <w:rPr>
          <w:szCs w:val="24"/>
        </w:rPr>
        <w:t>Dechow</w:t>
      </w:r>
      <w:proofErr w:type="spellEnd"/>
      <w:r>
        <w:rPr>
          <w:szCs w:val="24"/>
        </w:rPr>
        <w:t>, Ge e</w:t>
      </w:r>
      <w:r w:rsidRPr="00805A04">
        <w:rPr>
          <w:szCs w:val="24"/>
        </w:rPr>
        <w:t xml:space="preserve"> </w:t>
      </w:r>
      <w:proofErr w:type="spellStart"/>
      <w:r w:rsidRPr="00805A04">
        <w:rPr>
          <w:szCs w:val="24"/>
        </w:rPr>
        <w:t>Schrand</w:t>
      </w:r>
      <w:proofErr w:type="spellEnd"/>
      <w:r w:rsidRPr="00805A04">
        <w:rPr>
          <w:szCs w:val="24"/>
        </w:rPr>
        <w:t xml:space="preserve"> (2010)</w:t>
      </w:r>
      <w:r>
        <w:rPr>
          <w:szCs w:val="24"/>
        </w:rPr>
        <w:t>, foram sistematizadas em três categorias.</w:t>
      </w:r>
    </w:p>
    <w:p w:rsidR="009400FC" w:rsidRPr="00357B91" w:rsidRDefault="009400FC" w:rsidP="009400FC">
      <w:pPr>
        <w:rPr>
          <w:szCs w:val="24"/>
        </w:rPr>
      </w:pPr>
    </w:p>
    <w:p w:rsidR="009400FC" w:rsidRPr="00863DA1" w:rsidRDefault="009400FC" w:rsidP="009400FC">
      <w:pPr>
        <w:ind w:firstLine="0"/>
        <w:rPr>
          <w:noProof/>
        </w:rPr>
      </w:pPr>
      <w:r w:rsidRPr="00863DA1">
        <w:t>Tabela 1</w:t>
      </w:r>
    </w:p>
    <w:p w:rsidR="009400FC" w:rsidRPr="00863DA1" w:rsidRDefault="009400FC" w:rsidP="009400FC">
      <w:pPr>
        <w:ind w:firstLine="0"/>
      </w:pPr>
      <w:r w:rsidRPr="00863DA1">
        <w:rPr>
          <w:b/>
          <w:i/>
          <w:noProof/>
        </w:rPr>
        <w:t>Proxies</w:t>
      </w:r>
      <w:r w:rsidRPr="00863DA1">
        <w:rPr>
          <w:b/>
          <w:noProof/>
        </w:rPr>
        <w:t xml:space="preserve"> da qualidade da informação</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943"/>
        <w:gridCol w:w="6271"/>
      </w:tblGrid>
      <w:tr w:rsidR="009400FC" w:rsidTr="00F538D6">
        <w:tc>
          <w:tcPr>
            <w:tcW w:w="2943" w:type="dxa"/>
            <w:vAlign w:val="center"/>
          </w:tcPr>
          <w:p w:rsidR="009400FC" w:rsidRPr="00413F64" w:rsidRDefault="009400FC" w:rsidP="009400FC">
            <w:pPr>
              <w:spacing w:before="60" w:after="60"/>
              <w:ind w:firstLine="0"/>
              <w:rPr>
                <w:rFonts w:ascii="Times New Roman" w:eastAsia="Times New Roman" w:hAnsi="Times New Roman"/>
                <w:sz w:val="20"/>
              </w:rPr>
            </w:pPr>
            <w:r>
              <w:rPr>
                <w:rFonts w:ascii="Times New Roman" w:eastAsia="Times New Roman" w:hAnsi="Times New Roman"/>
                <w:sz w:val="20"/>
              </w:rPr>
              <w:t xml:space="preserve">1) </w:t>
            </w:r>
            <w:r w:rsidRPr="00413F64">
              <w:rPr>
                <w:rFonts w:ascii="Times New Roman" w:eastAsia="Times New Roman" w:hAnsi="Times New Roman"/>
                <w:sz w:val="20"/>
              </w:rPr>
              <w:t>Propriedade dos resultados</w:t>
            </w:r>
          </w:p>
        </w:tc>
        <w:tc>
          <w:tcPr>
            <w:tcW w:w="6271" w:type="dxa"/>
            <w:vAlign w:val="center"/>
          </w:tcPr>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Persistência dos resultados;</w:t>
            </w:r>
          </w:p>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xml:space="preserve">- Processo de modelagem dos </w:t>
            </w:r>
            <w:proofErr w:type="spellStart"/>
            <w:r w:rsidRPr="00413F64">
              <w:rPr>
                <w:rFonts w:ascii="Times New Roman" w:eastAsia="Times New Roman" w:hAnsi="Times New Roman"/>
                <w:i/>
                <w:sz w:val="20"/>
              </w:rPr>
              <w:t>accruals</w:t>
            </w:r>
            <w:proofErr w:type="spellEnd"/>
            <w:r w:rsidRPr="00413F64">
              <w:rPr>
                <w:rFonts w:ascii="Times New Roman" w:eastAsia="Times New Roman" w:hAnsi="Times New Roman"/>
                <w:sz w:val="20"/>
              </w:rPr>
              <w:t xml:space="preserve"> normais e anormais;</w:t>
            </w:r>
          </w:p>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Suavização dos resultados;</w:t>
            </w:r>
          </w:p>
          <w:p w:rsidR="009400FC"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Reconhecimento assimétrico e pontual de perdas (cons</w:t>
            </w:r>
            <w:r>
              <w:rPr>
                <w:rFonts w:ascii="Times New Roman" w:eastAsia="Times New Roman" w:hAnsi="Times New Roman"/>
                <w:sz w:val="20"/>
              </w:rPr>
              <w:t>ervadorismo e oportunidade); e</w:t>
            </w:r>
          </w:p>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Cumprimento das metas.</w:t>
            </w:r>
          </w:p>
        </w:tc>
      </w:tr>
      <w:tr w:rsidR="009400FC" w:rsidTr="00F538D6">
        <w:tc>
          <w:tcPr>
            <w:tcW w:w="2943" w:type="dxa"/>
            <w:vAlign w:val="center"/>
          </w:tcPr>
          <w:p w:rsidR="009400FC" w:rsidRPr="00413F64" w:rsidRDefault="009400FC" w:rsidP="009400FC">
            <w:pPr>
              <w:spacing w:before="60" w:after="60"/>
              <w:ind w:firstLine="0"/>
              <w:rPr>
                <w:rFonts w:ascii="Times New Roman" w:eastAsia="Times New Roman" w:hAnsi="Times New Roman"/>
                <w:sz w:val="20"/>
              </w:rPr>
            </w:pPr>
            <w:r>
              <w:rPr>
                <w:rFonts w:ascii="Times New Roman" w:eastAsia="Times New Roman" w:hAnsi="Times New Roman"/>
                <w:sz w:val="20"/>
              </w:rPr>
              <w:t xml:space="preserve">2) </w:t>
            </w:r>
            <w:r w:rsidRPr="00413F64">
              <w:rPr>
                <w:rFonts w:ascii="Times New Roman" w:eastAsia="Times New Roman" w:hAnsi="Times New Roman"/>
                <w:sz w:val="20"/>
              </w:rPr>
              <w:t>Reação dos investidores aos resultados</w:t>
            </w:r>
          </w:p>
        </w:tc>
        <w:tc>
          <w:tcPr>
            <w:tcW w:w="6271" w:type="dxa"/>
            <w:vAlign w:val="center"/>
          </w:tcPr>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xml:space="preserve">- Uso de modelos com significância do retorno/lucro como </w:t>
            </w:r>
            <w:r w:rsidRPr="009400FC">
              <w:rPr>
                <w:rFonts w:ascii="Times New Roman" w:eastAsia="Times New Roman" w:hAnsi="Times New Roman"/>
                <w:i/>
                <w:sz w:val="20"/>
              </w:rPr>
              <w:t>proxy</w:t>
            </w:r>
            <w:r w:rsidRPr="00413F64">
              <w:rPr>
                <w:rFonts w:ascii="Times New Roman" w:eastAsia="Times New Roman" w:hAnsi="Times New Roman"/>
                <w:sz w:val="20"/>
              </w:rPr>
              <w:t>:</w:t>
            </w:r>
            <w:r w:rsidRPr="00413F64">
              <w:rPr>
                <w:rFonts w:ascii="Times New Roman" w:eastAsia="Times New Roman" w:hAnsi="Times New Roman"/>
                <w:sz w:val="20"/>
              </w:rPr>
              <w:br/>
              <w:t xml:space="preserve">   - de qualidade dos resultados;</w:t>
            </w:r>
          </w:p>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xml:space="preserve">   - </w:t>
            </w:r>
            <w:proofErr w:type="gramStart"/>
            <w:r w:rsidRPr="00413F64">
              <w:rPr>
                <w:rFonts w:ascii="Times New Roman" w:eastAsia="Times New Roman" w:hAnsi="Times New Roman"/>
                <w:sz w:val="20"/>
              </w:rPr>
              <w:t>para</w:t>
            </w:r>
            <w:proofErr w:type="gramEnd"/>
            <w:r w:rsidRPr="00413F64">
              <w:rPr>
                <w:rFonts w:ascii="Times New Roman" w:eastAsia="Times New Roman" w:hAnsi="Times New Roman"/>
                <w:sz w:val="20"/>
              </w:rPr>
              <w:t xml:space="preserve"> a qualidade do auditor e da governança.</w:t>
            </w:r>
          </w:p>
        </w:tc>
      </w:tr>
      <w:tr w:rsidR="009400FC" w:rsidTr="00F538D6">
        <w:tc>
          <w:tcPr>
            <w:tcW w:w="2943" w:type="dxa"/>
            <w:vAlign w:val="center"/>
          </w:tcPr>
          <w:p w:rsidR="009400FC" w:rsidRPr="00413F64" w:rsidRDefault="009400FC" w:rsidP="009400FC">
            <w:pPr>
              <w:spacing w:before="60" w:after="60"/>
              <w:ind w:firstLine="0"/>
              <w:rPr>
                <w:rFonts w:ascii="Times New Roman" w:eastAsia="Times New Roman" w:hAnsi="Times New Roman"/>
                <w:sz w:val="20"/>
              </w:rPr>
            </w:pPr>
            <w:r>
              <w:rPr>
                <w:rFonts w:ascii="Times New Roman" w:eastAsia="Times New Roman" w:hAnsi="Times New Roman"/>
                <w:sz w:val="20"/>
              </w:rPr>
              <w:t xml:space="preserve">3) </w:t>
            </w:r>
            <w:r w:rsidRPr="00413F64">
              <w:rPr>
                <w:rFonts w:ascii="Times New Roman" w:eastAsia="Times New Roman" w:hAnsi="Times New Roman"/>
                <w:sz w:val="20"/>
              </w:rPr>
              <w:t>Indicadores externos de erros nos resultados</w:t>
            </w:r>
          </w:p>
        </w:tc>
        <w:tc>
          <w:tcPr>
            <w:tcW w:w="6271" w:type="dxa"/>
            <w:vAlign w:val="center"/>
          </w:tcPr>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Controles internos fracos;</w:t>
            </w:r>
          </w:p>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Regulação;</w:t>
            </w:r>
          </w:p>
          <w:p w:rsidR="009400FC" w:rsidRPr="00413F64" w:rsidRDefault="009400FC" w:rsidP="009400FC">
            <w:pPr>
              <w:spacing w:before="60" w:after="60"/>
              <w:ind w:firstLine="0"/>
              <w:rPr>
                <w:rFonts w:ascii="Times New Roman" w:eastAsia="Times New Roman" w:hAnsi="Times New Roman"/>
                <w:sz w:val="20"/>
              </w:rPr>
            </w:pPr>
            <w:r w:rsidRPr="00413F64">
              <w:rPr>
                <w:rFonts w:ascii="Times New Roman" w:eastAsia="Times New Roman" w:hAnsi="Times New Roman"/>
                <w:sz w:val="20"/>
              </w:rPr>
              <w:t>- Republicações.</w:t>
            </w:r>
          </w:p>
        </w:tc>
      </w:tr>
    </w:tbl>
    <w:p w:rsidR="009400FC" w:rsidRPr="00413F64" w:rsidRDefault="009400FC" w:rsidP="009400FC">
      <w:pPr>
        <w:ind w:firstLine="0"/>
        <w:rPr>
          <w:sz w:val="20"/>
        </w:rPr>
      </w:pPr>
      <w:r w:rsidRPr="00863DA1">
        <w:rPr>
          <w:b/>
          <w:sz w:val="20"/>
        </w:rPr>
        <w:lastRenderedPageBreak/>
        <w:t>Nota.</w:t>
      </w:r>
      <w:r>
        <w:rPr>
          <w:sz w:val="20"/>
        </w:rPr>
        <w:t xml:space="preserve"> Fonte: Elaborada a partir de</w:t>
      </w:r>
      <w:r w:rsidRPr="00413F64">
        <w:rPr>
          <w:sz w:val="20"/>
        </w:rPr>
        <w:t xml:space="preserve"> </w:t>
      </w:r>
      <w:proofErr w:type="spellStart"/>
      <w:r w:rsidRPr="00357B91">
        <w:rPr>
          <w:sz w:val="20"/>
        </w:rPr>
        <w:t>Dechow</w:t>
      </w:r>
      <w:proofErr w:type="spellEnd"/>
      <w:r w:rsidRPr="00357B91">
        <w:rPr>
          <w:sz w:val="20"/>
        </w:rPr>
        <w:t>, P. M.</w:t>
      </w:r>
      <w:r>
        <w:rPr>
          <w:sz w:val="20"/>
        </w:rPr>
        <w:t>,</w:t>
      </w:r>
      <w:r w:rsidRPr="00357B91">
        <w:rPr>
          <w:sz w:val="20"/>
        </w:rPr>
        <w:t xml:space="preserve"> Ge, W. &amp; </w:t>
      </w:r>
      <w:proofErr w:type="spellStart"/>
      <w:r w:rsidRPr="00357B91">
        <w:rPr>
          <w:sz w:val="20"/>
        </w:rPr>
        <w:t>Schrand</w:t>
      </w:r>
      <w:proofErr w:type="spellEnd"/>
      <w:r w:rsidRPr="00357B91">
        <w:rPr>
          <w:sz w:val="20"/>
        </w:rPr>
        <w:t xml:space="preserve">, C. (2010). </w:t>
      </w:r>
      <w:r w:rsidRPr="00863DA1">
        <w:rPr>
          <w:sz w:val="20"/>
          <w:lang w:val="en-US"/>
        </w:rPr>
        <w:t xml:space="preserve">Understanding earnings quality: a review of the proxies, their determinants and their consequences. </w:t>
      </w:r>
      <w:proofErr w:type="spellStart"/>
      <w:r w:rsidRPr="00863DA1">
        <w:rPr>
          <w:i/>
          <w:sz w:val="20"/>
        </w:rPr>
        <w:t>Journal</w:t>
      </w:r>
      <w:proofErr w:type="spellEnd"/>
      <w:r w:rsidRPr="00863DA1">
        <w:rPr>
          <w:i/>
          <w:sz w:val="20"/>
        </w:rPr>
        <w:t xml:space="preserve"> </w:t>
      </w:r>
      <w:proofErr w:type="spellStart"/>
      <w:r w:rsidRPr="00863DA1">
        <w:rPr>
          <w:i/>
          <w:sz w:val="20"/>
        </w:rPr>
        <w:t>of</w:t>
      </w:r>
      <w:proofErr w:type="spellEnd"/>
      <w:r w:rsidRPr="00863DA1">
        <w:rPr>
          <w:i/>
          <w:sz w:val="20"/>
        </w:rPr>
        <w:t xml:space="preserve"> </w:t>
      </w:r>
      <w:proofErr w:type="spellStart"/>
      <w:r w:rsidRPr="00863DA1">
        <w:rPr>
          <w:i/>
          <w:sz w:val="20"/>
        </w:rPr>
        <w:t>Accounting</w:t>
      </w:r>
      <w:proofErr w:type="spellEnd"/>
      <w:r w:rsidRPr="00863DA1">
        <w:rPr>
          <w:i/>
          <w:sz w:val="20"/>
        </w:rPr>
        <w:t xml:space="preserve"> </w:t>
      </w:r>
      <w:proofErr w:type="spellStart"/>
      <w:r w:rsidRPr="00863DA1">
        <w:rPr>
          <w:i/>
          <w:sz w:val="20"/>
        </w:rPr>
        <w:t>and</w:t>
      </w:r>
      <w:proofErr w:type="spellEnd"/>
      <w:r w:rsidRPr="00863DA1">
        <w:rPr>
          <w:i/>
          <w:sz w:val="20"/>
        </w:rPr>
        <w:t xml:space="preserve"> </w:t>
      </w:r>
      <w:proofErr w:type="spellStart"/>
      <w:r w:rsidRPr="00863DA1">
        <w:rPr>
          <w:i/>
          <w:sz w:val="20"/>
        </w:rPr>
        <w:t>Economics</w:t>
      </w:r>
      <w:proofErr w:type="spellEnd"/>
      <w:r w:rsidRPr="00357B91">
        <w:rPr>
          <w:sz w:val="20"/>
        </w:rPr>
        <w:t>, 50(1) p. 344–401.</w:t>
      </w:r>
    </w:p>
    <w:p w:rsidR="009400FC" w:rsidRDefault="009400FC" w:rsidP="009400FC">
      <w:pPr>
        <w:rPr>
          <w:szCs w:val="24"/>
        </w:rPr>
      </w:pPr>
    </w:p>
    <w:p w:rsidR="009400FC" w:rsidRDefault="009400FC" w:rsidP="009400FC">
      <w:pPr>
        <w:rPr>
          <w:szCs w:val="24"/>
        </w:rPr>
      </w:pPr>
      <w:r>
        <w:rPr>
          <w:szCs w:val="24"/>
        </w:rPr>
        <w:t xml:space="preserve">A literatura apresenta diferentes categorias como </w:t>
      </w:r>
      <w:r w:rsidRPr="00956B12">
        <w:rPr>
          <w:i/>
          <w:szCs w:val="24"/>
        </w:rPr>
        <w:t>proxy</w:t>
      </w:r>
      <w:r>
        <w:rPr>
          <w:szCs w:val="24"/>
        </w:rPr>
        <w:t xml:space="preserve"> para caracterizar a qualidade da informação contábil, além das categorias evidenciadas na Tabela 1. As características das firmas, no que diz respeito ao seu desempenho, crescimento, investimento, tamanho e endividamento, são consideradas como fatores determinantes da qualidade da informação contábil. Ainda, se destacam as </w:t>
      </w:r>
      <w:r w:rsidRPr="00805A04">
        <w:rPr>
          <w:szCs w:val="24"/>
        </w:rPr>
        <w:t>práticas dos relatórios financeiros</w:t>
      </w:r>
      <w:r>
        <w:rPr>
          <w:szCs w:val="24"/>
        </w:rPr>
        <w:t xml:space="preserve">, com ênfase nos </w:t>
      </w:r>
      <w:r w:rsidRPr="00805A04">
        <w:rPr>
          <w:szCs w:val="24"/>
        </w:rPr>
        <w:t>métodos</w:t>
      </w:r>
      <w:r>
        <w:rPr>
          <w:szCs w:val="24"/>
        </w:rPr>
        <w:t xml:space="preserve"> </w:t>
      </w:r>
      <w:r w:rsidRPr="00805A04">
        <w:rPr>
          <w:szCs w:val="24"/>
        </w:rPr>
        <w:t xml:space="preserve">contábeis, </w:t>
      </w:r>
      <w:r>
        <w:rPr>
          <w:szCs w:val="24"/>
        </w:rPr>
        <w:t xml:space="preserve">nos </w:t>
      </w:r>
      <w:r w:rsidRPr="00805A04">
        <w:rPr>
          <w:szCs w:val="24"/>
        </w:rPr>
        <w:t xml:space="preserve">princípios e </w:t>
      </w:r>
      <w:r>
        <w:rPr>
          <w:szCs w:val="24"/>
        </w:rPr>
        <w:t xml:space="preserve">nas </w:t>
      </w:r>
      <w:r w:rsidRPr="00805A04">
        <w:rPr>
          <w:szCs w:val="24"/>
        </w:rPr>
        <w:t>estimativas</w:t>
      </w:r>
      <w:r>
        <w:rPr>
          <w:szCs w:val="24"/>
        </w:rPr>
        <w:t>. Também são considerados como determinantes: a</w:t>
      </w:r>
      <w:r w:rsidRPr="00805A04">
        <w:rPr>
          <w:szCs w:val="24"/>
        </w:rPr>
        <w:t xml:space="preserve"> governança e </w:t>
      </w:r>
      <w:r>
        <w:rPr>
          <w:szCs w:val="24"/>
        </w:rPr>
        <w:t xml:space="preserve">os </w:t>
      </w:r>
      <w:r w:rsidRPr="00805A04">
        <w:rPr>
          <w:szCs w:val="24"/>
        </w:rPr>
        <w:t xml:space="preserve">controles, </w:t>
      </w:r>
      <w:r>
        <w:rPr>
          <w:szCs w:val="24"/>
        </w:rPr>
        <w:t xml:space="preserve">os </w:t>
      </w:r>
      <w:r w:rsidRPr="00805A04">
        <w:rPr>
          <w:szCs w:val="24"/>
        </w:rPr>
        <w:t xml:space="preserve">auditores, </w:t>
      </w:r>
      <w:r>
        <w:rPr>
          <w:szCs w:val="24"/>
        </w:rPr>
        <w:t xml:space="preserve">o </w:t>
      </w:r>
      <w:r w:rsidRPr="00805A04">
        <w:rPr>
          <w:szCs w:val="24"/>
        </w:rPr>
        <w:t>incentivo do mercado</w:t>
      </w:r>
      <w:r>
        <w:rPr>
          <w:szCs w:val="24"/>
        </w:rPr>
        <w:t xml:space="preserve"> de ações e os </w:t>
      </w:r>
      <w:r w:rsidRPr="00805A04">
        <w:rPr>
          <w:szCs w:val="24"/>
        </w:rPr>
        <w:t>fatores externos</w:t>
      </w:r>
      <w:r>
        <w:rPr>
          <w:szCs w:val="24"/>
        </w:rPr>
        <w:t xml:space="preserve"> relacionados</w:t>
      </w:r>
      <w:r w:rsidRPr="00805A04">
        <w:rPr>
          <w:szCs w:val="24"/>
        </w:rPr>
        <w:t xml:space="preserve">. </w:t>
      </w:r>
      <w:r>
        <w:rPr>
          <w:szCs w:val="24"/>
        </w:rPr>
        <w:t>Ressalta-se que esses fatores variam de acordo com a realidade que cada companhia apresenta e isso interfere</w:t>
      </w:r>
      <w:r w:rsidRPr="00805A04">
        <w:rPr>
          <w:szCs w:val="24"/>
        </w:rPr>
        <w:t xml:space="preserve"> </w:t>
      </w:r>
      <w:r>
        <w:rPr>
          <w:szCs w:val="24"/>
        </w:rPr>
        <w:t xml:space="preserve">nos </w:t>
      </w:r>
      <w:r w:rsidRPr="00805A04">
        <w:rPr>
          <w:szCs w:val="24"/>
        </w:rPr>
        <w:t>determinantes d</w:t>
      </w:r>
      <w:r>
        <w:rPr>
          <w:szCs w:val="24"/>
        </w:rPr>
        <w:t>e uma</w:t>
      </w:r>
      <w:r w:rsidRPr="00805A04">
        <w:rPr>
          <w:szCs w:val="24"/>
        </w:rPr>
        <w:t xml:space="preserve"> informação contábil útil</w:t>
      </w:r>
      <w:r>
        <w:rPr>
          <w:szCs w:val="24"/>
        </w:rPr>
        <w:t xml:space="preserve"> </w:t>
      </w:r>
      <w:r w:rsidRPr="00805A04">
        <w:rPr>
          <w:szCs w:val="24"/>
        </w:rPr>
        <w:t>(</w:t>
      </w:r>
      <w:proofErr w:type="spellStart"/>
      <w:r>
        <w:rPr>
          <w:szCs w:val="24"/>
        </w:rPr>
        <w:t>Dechow</w:t>
      </w:r>
      <w:proofErr w:type="spellEnd"/>
      <w:r>
        <w:rPr>
          <w:szCs w:val="24"/>
        </w:rPr>
        <w:t xml:space="preserve"> </w:t>
      </w:r>
      <w:r w:rsidRPr="00863DA1">
        <w:rPr>
          <w:i/>
          <w:szCs w:val="24"/>
        </w:rPr>
        <w:t>et al.,</w:t>
      </w:r>
      <w:r w:rsidRPr="00805A04">
        <w:rPr>
          <w:szCs w:val="24"/>
        </w:rPr>
        <w:t xml:space="preserve"> 2010).</w:t>
      </w:r>
    </w:p>
    <w:p w:rsidR="009400FC" w:rsidRDefault="009400FC" w:rsidP="009400FC">
      <w:pPr>
        <w:rPr>
          <w:szCs w:val="24"/>
        </w:rPr>
      </w:pPr>
      <w:r>
        <w:rPr>
          <w:szCs w:val="24"/>
        </w:rPr>
        <w:t xml:space="preserve">Dentre as diversas dimensões da qualidade da informação contábil têm-se </w:t>
      </w:r>
      <w:r w:rsidRPr="00805A04">
        <w:rPr>
          <w:szCs w:val="24"/>
        </w:rPr>
        <w:t xml:space="preserve">o </w:t>
      </w:r>
      <w:r>
        <w:rPr>
          <w:szCs w:val="24"/>
        </w:rPr>
        <w:t>g</w:t>
      </w:r>
      <w:r w:rsidRPr="00805A04">
        <w:rPr>
          <w:szCs w:val="24"/>
        </w:rPr>
        <w:t xml:space="preserve">erenciamento de </w:t>
      </w:r>
      <w:r>
        <w:rPr>
          <w:szCs w:val="24"/>
        </w:rPr>
        <w:t>r</w:t>
      </w:r>
      <w:r w:rsidRPr="00805A04">
        <w:rPr>
          <w:szCs w:val="24"/>
        </w:rPr>
        <w:t>esultados</w:t>
      </w:r>
      <w:r>
        <w:rPr>
          <w:szCs w:val="24"/>
        </w:rPr>
        <w:t xml:space="preserve"> contábeis (</w:t>
      </w:r>
      <w:proofErr w:type="spellStart"/>
      <w:r w:rsidRPr="00CC15F6">
        <w:rPr>
          <w:i/>
          <w:szCs w:val="24"/>
        </w:rPr>
        <w:t>Earnings</w:t>
      </w:r>
      <w:proofErr w:type="spellEnd"/>
      <w:r w:rsidRPr="00CC15F6">
        <w:rPr>
          <w:i/>
          <w:szCs w:val="24"/>
        </w:rPr>
        <w:t xml:space="preserve"> Management – EM</w:t>
      </w:r>
      <w:r>
        <w:rPr>
          <w:szCs w:val="24"/>
        </w:rPr>
        <w:t xml:space="preserve">), que </w:t>
      </w:r>
      <w:r w:rsidRPr="00805A04">
        <w:rPr>
          <w:szCs w:val="24"/>
        </w:rPr>
        <w:t xml:space="preserve">está </w:t>
      </w:r>
      <w:r>
        <w:rPr>
          <w:szCs w:val="24"/>
        </w:rPr>
        <w:t>relacionado</w:t>
      </w:r>
      <w:r w:rsidRPr="00805A04">
        <w:rPr>
          <w:szCs w:val="24"/>
        </w:rPr>
        <w:t xml:space="preserve"> às decisões oportunistas tomadas</w:t>
      </w:r>
      <w:r>
        <w:rPr>
          <w:szCs w:val="24"/>
        </w:rPr>
        <w:t xml:space="preserve"> </w:t>
      </w:r>
      <w:r w:rsidRPr="00805A04">
        <w:rPr>
          <w:szCs w:val="24"/>
        </w:rPr>
        <w:t>pelo</w:t>
      </w:r>
      <w:r>
        <w:rPr>
          <w:szCs w:val="24"/>
        </w:rPr>
        <w:t>s</w:t>
      </w:r>
      <w:r w:rsidRPr="00805A04">
        <w:rPr>
          <w:szCs w:val="24"/>
        </w:rPr>
        <w:t xml:space="preserve"> </w:t>
      </w:r>
      <w:r>
        <w:rPr>
          <w:szCs w:val="24"/>
        </w:rPr>
        <w:t>gestores das companhias. O</w:t>
      </w:r>
      <w:r w:rsidRPr="008B77F3">
        <w:rPr>
          <w:szCs w:val="24"/>
        </w:rPr>
        <w:t xml:space="preserve"> EM pode ser </w:t>
      </w:r>
      <w:r>
        <w:rPr>
          <w:szCs w:val="24"/>
        </w:rPr>
        <w:t xml:space="preserve">definido como </w:t>
      </w:r>
      <w:r w:rsidRPr="008B77F3">
        <w:rPr>
          <w:szCs w:val="24"/>
        </w:rPr>
        <w:t xml:space="preserve">a </w:t>
      </w:r>
      <w:r>
        <w:rPr>
          <w:szCs w:val="24"/>
        </w:rPr>
        <w:t>manipulação intencional na elaboração das informações f</w:t>
      </w:r>
      <w:r w:rsidRPr="008B77F3">
        <w:rPr>
          <w:szCs w:val="24"/>
        </w:rPr>
        <w:t>inanceira</w:t>
      </w:r>
      <w:r>
        <w:rPr>
          <w:szCs w:val="24"/>
        </w:rPr>
        <w:t>s, as quais serão fornecidas aos</w:t>
      </w:r>
      <w:r w:rsidRPr="008B77F3">
        <w:rPr>
          <w:szCs w:val="24"/>
        </w:rPr>
        <w:t xml:space="preserve"> usuários. Es</w:t>
      </w:r>
      <w:r>
        <w:rPr>
          <w:szCs w:val="24"/>
        </w:rPr>
        <w:t>s</w:t>
      </w:r>
      <w:r w:rsidRPr="008B77F3">
        <w:rPr>
          <w:szCs w:val="24"/>
        </w:rPr>
        <w:t xml:space="preserve">a </w:t>
      </w:r>
      <w:r>
        <w:rPr>
          <w:szCs w:val="24"/>
        </w:rPr>
        <w:t>manipulação</w:t>
      </w:r>
      <w:r w:rsidRPr="008B77F3">
        <w:rPr>
          <w:szCs w:val="24"/>
        </w:rPr>
        <w:t xml:space="preserve"> é </w:t>
      </w:r>
      <w:r>
        <w:rPr>
          <w:szCs w:val="24"/>
        </w:rPr>
        <w:t>entendida</w:t>
      </w:r>
      <w:r w:rsidRPr="008B77F3">
        <w:rPr>
          <w:szCs w:val="24"/>
        </w:rPr>
        <w:t xml:space="preserve"> como uma intenção de </w:t>
      </w:r>
      <w:r>
        <w:rPr>
          <w:szCs w:val="24"/>
        </w:rPr>
        <w:t xml:space="preserve">atingir </w:t>
      </w:r>
      <w:r w:rsidRPr="008B77F3">
        <w:rPr>
          <w:szCs w:val="24"/>
        </w:rPr>
        <w:t>ganho</w:t>
      </w:r>
      <w:r>
        <w:rPr>
          <w:szCs w:val="24"/>
        </w:rPr>
        <w:t>s</w:t>
      </w:r>
      <w:r w:rsidRPr="008B77F3">
        <w:rPr>
          <w:szCs w:val="24"/>
        </w:rPr>
        <w:t xml:space="preserve"> exclusivo</w:t>
      </w:r>
      <w:r>
        <w:rPr>
          <w:szCs w:val="24"/>
        </w:rPr>
        <w:t>s</w:t>
      </w:r>
      <w:r w:rsidRPr="008B77F3">
        <w:rPr>
          <w:szCs w:val="24"/>
        </w:rPr>
        <w:t xml:space="preserve"> (</w:t>
      </w:r>
      <w:proofErr w:type="spellStart"/>
      <w:r>
        <w:rPr>
          <w:szCs w:val="24"/>
        </w:rPr>
        <w:t>Schipper</w:t>
      </w:r>
      <w:proofErr w:type="spellEnd"/>
      <w:r w:rsidRPr="008B77F3">
        <w:rPr>
          <w:szCs w:val="24"/>
        </w:rPr>
        <w:t>, 1989).</w:t>
      </w:r>
      <w:r>
        <w:rPr>
          <w:szCs w:val="24"/>
        </w:rPr>
        <w:t xml:space="preserve"> A modificação intencional </w:t>
      </w:r>
      <w:r w:rsidRPr="008B77F3">
        <w:rPr>
          <w:szCs w:val="24"/>
        </w:rPr>
        <w:t xml:space="preserve">nos resultados contábeis tem por finalidade </w:t>
      </w:r>
      <w:r>
        <w:rPr>
          <w:szCs w:val="24"/>
        </w:rPr>
        <w:t>atender aos</w:t>
      </w:r>
      <w:r w:rsidRPr="008B77F3">
        <w:rPr>
          <w:szCs w:val="24"/>
        </w:rPr>
        <w:t xml:space="preserve"> </w:t>
      </w:r>
      <w:r>
        <w:rPr>
          <w:szCs w:val="24"/>
        </w:rPr>
        <w:t>objetivos</w:t>
      </w:r>
      <w:r w:rsidRPr="008B77F3">
        <w:rPr>
          <w:szCs w:val="24"/>
        </w:rPr>
        <w:t xml:space="preserve"> particulares, </w:t>
      </w:r>
      <w:r>
        <w:rPr>
          <w:szCs w:val="24"/>
        </w:rPr>
        <w:t xml:space="preserve">onde </w:t>
      </w:r>
      <w:r w:rsidRPr="008B77F3">
        <w:rPr>
          <w:szCs w:val="24"/>
        </w:rPr>
        <w:t xml:space="preserve">os gestores modificam os resultados contábeis e com isso acabam não </w:t>
      </w:r>
      <w:r>
        <w:rPr>
          <w:szCs w:val="24"/>
        </w:rPr>
        <w:t xml:space="preserve">representando </w:t>
      </w:r>
      <w:r w:rsidRPr="008B77F3">
        <w:rPr>
          <w:szCs w:val="24"/>
        </w:rPr>
        <w:t xml:space="preserve">a imagem da companhia </w:t>
      </w:r>
      <w:r>
        <w:rPr>
          <w:szCs w:val="24"/>
        </w:rPr>
        <w:t xml:space="preserve">de forma fidedigna </w:t>
      </w:r>
      <w:r w:rsidRPr="008B77F3">
        <w:rPr>
          <w:szCs w:val="24"/>
        </w:rPr>
        <w:t>(M</w:t>
      </w:r>
      <w:r>
        <w:rPr>
          <w:szCs w:val="24"/>
        </w:rPr>
        <w:t>artinez</w:t>
      </w:r>
      <w:r w:rsidRPr="008B77F3">
        <w:rPr>
          <w:szCs w:val="24"/>
        </w:rPr>
        <w:t>, 2001).</w:t>
      </w:r>
      <w:r>
        <w:rPr>
          <w:szCs w:val="24"/>
        </w:rPr>
        <w:t xml:space="preserve"> Assim, o EM busca</w:t>
      </w:r>
      <w:r w:rsidRPr="008B77F3">
        <w:rPr>
          <w:szCs w:val="24"/>
        </w:rPr>
        <w:t xml:space="preserve"> interferir nas informações contábeis de forma intencional e afetar a análise do comportamento da empresa</w:t>
      </w:r>
      <w:r>
        <w:rPr>
          <w:szCs w:val="24"/>
        </w:rPr>
        <w:t>. As práticas oportun</w:t>
      </w:r>
      <w:r w:rsidR="003E0661">
        <w:rPr>
          <w:szCs w:val="24"/>
        </w:rPr>
        <w:t>istas</w:t>
      </w:r>
      <w:r>
        <w:rPr>
          <w:szCs w:val="24"/>
        </w:rPr>
        <w:t xml:space="preserve"> podem ocorrer </w:t>
      </w:r>
      <w:r w:rsidRPr="008B77F3">
        <w:rPr>
          <w:szCs w:val="24"/>
        </w:rPr>
        <w:t>por meio de escolhas contábeis ou por</w:t>
      </w:r>
      <w:r>
        <w:rPr>
          <w:szCs w:val="24"/>
        </w:rPr>
        <w:t xml:space="preserve"> meio de</w:t>
      </w:r>
      <w:r w:rsidRPr="008B77F3">
        <w:rPr>
          <w:szCs w:val="24"/>
        </w:rPr>
        <w:t xml:space="preserve"> variações nas atividades operacionais habituais da empresa (P</w:t>
      </w:r>
      <w:r>
        <w:rPr>
          <w:szCs w:val="24"/>
        </w:rPr>
        <w:t>aulo</w:t>
      </w:r>
      <w:r w:rsidRPr="008B77F3">
        <w:rPr>
          <w:szCs w:val="24"/>
        </w:rPr>
        <w:t>, 2007).</w:t>
      </w:r>
    </w:p>
    <w:p w:rsidR="009400FC" w:rsidRDefault="009400FC" w:rsidP="009400FC">
      <w:pPr>
        <w:rPr>
          <w:szCs w:val="24"/>
        </w:rPr>
      </w:pPr>
      <w:r>
        <w:rPr>
          <w:szCs w:val="24"/>
        </w:rPr>
        <w:t>No ambiente das instituições</w:t>
      </w:r>
      <w:r w:rsidRPr="00666215">
        <w:rPr>
          <w:szCs w:val="24"/>
        </w:rPr>
        <w:t xml:space="preserve"> f</w:t>
      </w:r>
      <w:r>
        <w:rPr>
          <w:szCs w:val="24"/>
        </w:rPr>
        <w:t xml:space="preserve">inanceiras (IF), o EM se intensifica nos modelos de </w:t>
      </w:r>
      <w:proofErr w:type="spellStart"/>
      <w:r>
        <w:rPr>
          <w:i/>
          <w:szCs w:val="24"/>
        </w:rPr>
        <w:t>accruals</w:t>
      </w:r>
      <w:proofErr w:type="spellEnd"/>
      <w:r>
        <w:rPr>
          <w:szCs w:val="24"/>
        </w:rPr>
        <w:t xml:space="preserve"> específicos, concentrado, especialmente, na análise do comportamento de Provisões para Crédito de Liquidação Duvidosa (PCLD). Verifica-se, ainda, a possibilidade de manipulação dos resultados por meio da classificação e mensuração do valor justo dos Títulos e Valores Mobiliários (TVM) nas IF (Dantas, </w:t>
      </w:r>
      <w:r w:rsidRPr="006240FA">
        <w:rPr>
          <w:szCs w:val="24"/>
        </w:rPr>
        <w:t>M</w:t>
      </w:r>
      <w:r>
        <w:rPr>
          <w:szCs w:val="24"/>
        </w:rPr>
        <w:t>edeiros, Galdi &amp;</w:t>
      </w:r>
      <w:r w:rsidRPr="006240FA">
        <w:rPr>
          <w:szCs w:val="24"/>
        </w:rPr>
        <w:t xml:space="preserve"> C</w:t>
      </w:r>
      <w:r>
        <w:rPr>
          <w:szCs w:val="24"/>
        </w:rPr>
        <w:t>osta, 2013)</w:t>
      </w:r>
      <w:r w:rsidRPr="006240FA">
        <w:rPr>
          <w:szCs w:val="24"/>
        </w:rPr>
        <w:t>.</w:t>
      </w:r>
      <w:r>
        <w:rPr>
          <w:szCs w:val="24"/>
        </w:rPr>
        <w:t xml:space="preserve"> Para tanto, na presente</w:t>
      </w:r>
      <w:r w:rsidRPr="00795B4B">
        <w:rPr>
          <w:szCs w:val="24"/>
        </w:rPr>
        <w:t xml:space="preserve"> pesquisa aborda</w:t>
      </w:r>
      <w:r>
        <w:rPr>
          <w:szCs w:val="24"/>
        </w:rPr>
        <w:t>-se</w:t>
      </w:r>
      <w:r w:rsidRPr="00795B4B">
        <w:rPr>
          <w:szCs w:val="24"/>
        </w:rPr>
        <w:t xml:space="preserve"> o </w:t>
      </w:r>
      <w:r>
        <w:rPr>
          <w:szCs w:val="24"/>
        </w:rPr>
        <w:t>EM</w:t>
      </w:r>
      <w:r w:rsidRPr="00795B4B">
        <w:rPr>
          <w:szCs w:val="24"/>
        </w:rPr>
        <w:t xml:space="preserve"> pelo</w:t>
      </w:r>
      <w:r>
        <w:rPr>
          <w:szCs w:val="24"/>
        </w:rPr>
        <w:t>s</w:t>
      </w:r>
      <w:r w:rsidRPr="00795B4B">
        <w:rPr>
          <w:szCs w:val="24"/>
        </w:rPr>
        <w:t xml:space="preserve"> </w:t>
      </w:r>
      <w:proofErr w:type="spellStart"/>
      <w:r w:rsidRPr="00795B4B">
        <w:rPr>
          <w:i/>
          <w:szCs w:val="24"/>
        </w:rPr>
        <w:t>accruals</w:t>
      </w:r>
      <w:proofErr w:type="spellEnd"/>
      <w:r w:rsidRPr="00795B4B">
        <w:rPr>
          <w:szCs w:val="24"/>
        </w:rPr>
        <w:t xml:space="preserve"> específicos PCLD.</w:t>
      </w:r>
    </w:p>
    <w:p w:rsidR="009400FC" w:rsidRDefault="009400FC" w:rsidP="009400FC">
      <w:pPr>
        <w:rPr>
          <w:szCs w:val="24"/>
        </w:rPr>
      </w:pPr>
    </w:p>
    <w:p w:rsidR="009400FC" w:rsidRPr="00084C5A" w:rsidRDefault="009400FC" w:rsidP="009400FC">
      <w:pPr>
        <w:ind w:firstLine="0"/>
        <w:rPr>
          <w:b/>
          <w:szCs w:val="24"/>
        </w:rPr>
      </w:pPr>
      <w:r w:rsidRPr="00084C5A">
        <w:rPr>
          <w:b/>
          <w:szCs w:val="24"/>
        </w:rPr>
        <w:t>2.</w:t>
      </w:r>
      <w:r>
        <w:rPr>
          <w:b/>
          <w:szCs w:val="24"/>
        </w:rPr>
        <w:t>2</w:t>
      </w:r>
      <w:r w:rsidRPr="00084C5A">
        <w:rPr>
          <w:b/>
          <w:szCs w:val="24"/>
        </w:rPr>
        <w:t xml:space="preserve"> </w:t>
      </w:r>
      <w:r w:rsidRPr="00311528">
        <w:rPr>
          <w:b/>
          <w:i/>
          <w:szCs w:val="24"/>
        </w:rPr>
        <w:t xml:space="preserve">Financial Technology - </w:t>
      </w:r>
      <w:proofErr w:type="spellStart"/>
      <w:r w:rsidRPr="00311528">
        <w:rPr>
          <w:b/>
          <w:i/>
          <w:szCs w:val="24"/>
        </w:rPr>
        <w:t>FinTech</w:t>
      </w:r>
      <w:proofErr w:type="spellEnd"/>
    </w:p>
    <w:p w:rsidR="009400FC" w:rsidRDefault="009400FC" w:rsidP="009400FC">
      <w:pPr>
        <w:rPr>
          <w:szCs w:val="24"/>
        </w:rPr>
      </w:pPr>
    </w:p>
    <w:p w:rsidR="009400FC" w:rsidRDefault="009400FC" w:rsidP="009400FC">
      <w:pPr>
        <w:rPr>
          <w:szCs w:val="24"/>
        </w:rPr>
      </w:pPr>
      <w:r w:rsidRPr="001259F0">
        <w:rPr>
          <w:szCs w:val="24"/>
        </w:rPr>
        <w:t>As</w:t>
      </w:r>
      <w:r>
        <w:rPr>
          <w:szCs w:val="24"/>
        </w:rPr>
        <w:t xml:space="preserve"> transformações digitais no ambiente financeiro estão ganhando cada vez mais força, da mesma forma que</w:t>
      </w:r>
      <w:r w:rsidRPr="001259F0">
        <w:rPr>
          <w:szCs w:val="24"/>
        </w:rPr>
        <w:t xml:space="preserve"> o potencial d</w:t>
      </w:r>
      <w:r>
        <w:rPr>
          <w:szCs w:val="24"/>
        </w:rPr>
        <w:t>e</w:t>
      </w:r>
      <w:r w:rsidRPr="001259F0">
        <w:rPr>
          <w:szCs w:val="24"/>
        </w:rPr>
        <w:t xml:space="preserve"> tecnologia </w:t>
      </w:r>
      <w:r>
        <w:rPr>
          <w:szCs w:val="24"/>
        </w:rPr>
        <w:t xml:space="preserve">está sendo </w:t>
      </w:r>
      <w:r w:rsidRPr="001259F0">
        <w:rPr>
          <w:szCs w:val="24"/>
        </w:rPr>
        <w:t>explorad</w:t>
      </w:r>
      <w:r>
        <w:rPr>
          <w:szCs w:val="24"/>
        </w:rPr>
        <w:t>o</w:t>
      </w:r>
      <w:r w:rsidRPr="001259F0">
        <w:rPr>
          <w:szCs w:val="24"/>
        </w:rPr>
        <w:t xml:space="preserve"> e maximizad</w:t>
      </w:r>
      <w:r>
        <w:rPr>
          <w:szCs w:val="24"/>
        </w:rPr>
        <w:t>o em alta escala</w:t>
      </w:r>
      <w:r w:rsidRPr="001259F0">
        <w:rPr>
          <w:szCs w:val="24"/>
        </w:rPr>
        <w:t>. A</w:t>
      </w:r>
      <w:r>
        <w:rPr>
          <w:szCs w:val="24"/>
        </w:rPr>
        <w:t xml:space="preserve"> chamada</w:t>
      </w:r>
      <w:r w:rsidRPr="001259F0">
        <w:rPr>
          <w:szCs w:val="24"/>
        </w:rPr>
        <w:t xml:space="preserve"> "era da </w:t>
      </w:r>
      <w:proofErr w:type="spellStart"/>
      <w:r w:rsidRPr="001259F0">
        <w:rPr>
          <w:i/>
          <w:szCs w:val="24"/>
        </w:rPr>
        <w:t>Fin</w:t>
      </w:r>
      <w:r>
        <w:rPr>
          <w:i/>
          <w:szCs w:val="24"/>
        </w:rPr>
        <w:t>T</w:t>
      </w:r>
      <w:r w:rsidRPr="001259F0">
        <w:rPr>
          <w:i/>
          <w:szCs w:val="24"/>
        </w:rPr>
        <w:t>ech</w:t>
      </w:r>
      <w:proofErr w:type="spellEnd"/>
      <w:r w:rsidRPr="001259F0">
        <w:rPr>
          <w:szCs w:val="24"/>
        </w:rPr>
        <w:t xml:space="preserve">" </w:t>
      </w:r>
      <w:r>
        <w:rPr>
          <w:szCs w:val="24"/>
        </w:rPr>
        <w:t>enfatiza</w:t>
      </w:r>
      <w:r w:rsidRPr="001259F0">
        <w:rPr>
          <w:szCs w:val="24"/>
        </w:rPr>
        <w:t xml:space="preserve"> que </w:t>
      </w:r>
      <w:r>
        <w:rPr>
          <w:szCs w:val="24"/>
        </w:rPr>
        <w:t>as Instituições Financeiras (IF)</w:t>
      </w:r>
      <w:r w:rsidRPr="001259F0">
        <w:rPr>
          <w:szCs w:val="24"/>
        </w:rPr>
        <w:t xml:space="preserve"> </w:t>
      </w:r>
      <w:r>
        <w:rPr>
          <w:szCs w:val="24"/>
        </w:rPr>
        <w:t>necessitam da elaboração de um</w:t>
      </w:r>
      <w:r w:rsidRPr="001259F0">
        <w:rPr>
          <w:szCs w:val="24"/>
        </w:rPr>
        <w:t xml:space="preserve"> plano claro, </w:t>
      </w:r>
      <w:r>
        <w:rPr>
          <w:szCs w:val="24"/>
        </w:rPr>
        <w:t xml:space="preserve">dessa forma buscando a eficácia na adaptação e na busca pelos benefícios gerados pelas </w:t>
      </w:r>
      <w:proofErr w:type="spellStart"/>
      <w:r>
        <w:rPr>
          <w:i/>
          <w:szCs w:val="24"/>
        </w:rPr>
        <w:t>FinTechs</w:t>
      </w:r>
      <w:proofErr w:type="spellEnd"/>
      <w:r w:rsidRPr="001259F0">
        <w:rPr>
          <w:szCs w:val="24"/>
        </w:rPr>
        <w:t xml:space="preserve">. </w:t>
      </w:r>
      <w:r>
        <w:rPr>
          <w:szCs w:val="24"/>
        </w:rPr>
        <w:t xml:space="preserve">Ao mesmo tempo em que </w:t>
      </w:r>
      <w:r w:rsidRPr="001259F0">
        <w:rPr>
          <w:szCs w:val="24"/>
        </w:rPr>
        <w:t xml:space="preserve">o setor bancário é </w:t>
      </w:r>
      <w:r>
        <w:rPr>
          <w:szCs w:val="24"/>
        </w:rPr>
        <w:t>naturalmente</w:t>
      </w:r>
      <w:r w:rsidRPr="001259F0">
        <w:rPr>
          <w:szCs w:val="24"/>
        </w:rPr>
        <w:t xml:space="preserve"> mais conservador</w:t>
      </w:r>
      <w:r>
        <w:rPr>
          <w:szCs w:val="24"/>
        </w:rPr>
        <w:t xml:space="preserve"> quanto às</w:t>
      </w:r>
      <w:r w:rsidRPr="001259F0">
        <w:rPr>
          <w:szCs w:val="24"/>
        </w:rPr>
        <w:t xml:space="preserve"> mudança</w:t>
      </w:r>
      <w:r>
        <w:rPr>
          <w:szCs w:val="24"/>
        </w:rPr>
        <w:t>s</w:t>
      </w:r>
      <w:r w:rsidRPr="001259F0">
        <w:rPr>
          <w:szCs w:val="24"/>
        </w:rPr>
        <w:t xml:space="preserve">, </w:t>
      </w:r>
      <w:r>
        <w:rPr>
          <w:szCs w:val="24"/>
        </w:rPr>
        <w:t xml:space="preserve">as </w:t>
      </w:r>
      <w:r w:rsidRPr="001259F0">
        <w:rPr>
          <w:szCs w:val="24"/>
        </w:rPr>
        <w:t xml:space="preserve">mudanças rápidas </w:t>
      </w:r>
      <w:r>
        <w:rPr>
          <w:szCs w:val="24"/>
        </w:rPr>
        <w:t>envolvem</w:t>
      </w:r>
      <w:r w:rsidRPr="001259F0">
        <w:rPr>
          <w:szCs w:val="24"/>
        </w:rPr>
        <w:t xml:space="preserve"> nov</w:t>
      </w:r>
      <w:r>
        <w:rPr>
          <w:szCs w:val="24"/>
        </w:rPr>
        <w:t>a</w:t>
      </w:r>
      <w:r w:rsidRPr="001259F0">
        <w:rPr>
          <w:szCs w:val="24"/>
        </w:rPr>
        <w:t>s tecnologia</w:t>
      </w:r>
      <w:r>
        <w:rPr>
          <w:szCs w:val="24"/>
        </w:rPr>
        <w:t>s e com isso</w:t>
      </w:r>
      <w:r w:rsidRPr="001259F0">
        <w:rPr>
          <w:szCs w:val="24"/>
        </w:rPr>
        <w:t xml:space="preserve"> </w:t>
      </w:r>
      <w:r>
        <w:rPr>
          <w:szCs w:val="24"/>
        </w:rPr>
        <w:t>propagam</w:t>
      </w:r>
      <w:r w:rsidRPr="001259F0">
        <w:rPr>
          <w:szCs w:val="24"/>
        </w:rPr>
        <w:t xml:space="preserve"> novas soluções (</w:t>
      </w:r>
      <w:proofErr w:type="spellStart"/>
      <w:r w:rsidRPr="001259F0">
        <w:rPr>
          <w:szCs w:val="24"/>
        </w:rPr>
        <w:t>Boshkov</w:t>
      </w:r>
      <w:proofErr w:type="spellEnd"/>
      <w:r w:rsidRPr="001259F0">
        <w:rPr>
          <w:szCs w:val="24"/>
        </w:rPr>
        <w:t>, 2018).</w:t>
      </w:r>
    </w:p>
    <w:p w:rsidR="009400FC" w:rsidRDefault="009400FC" w:rsidP="009400FC">
      <w:pPr>
        <w:rPr>
          <w:szCs w:val="24"/>
        </w:rPr>
      </w:pPr>
      <w:r>
        <w:rPr>
          <w:szCs w:val="24"/>
        </w:rPr>
        <w:t xml:space="preserve">O Brasil se tornou atrativo para a realização de investimentos em </w:t>
      </w:r>
      <w:proofErr w:type="spellStart"/>
      <w:r>
        <w:rPr>
          <w:i/>
          <w:szCs w:val="24"/>
        </w:rPr>
        <w:t>FinTechs</w:t>
      </w:r>
      <w:proofErr w:type="spellEnd"/>
      <w:r>
        <w:rPr>
          <w:szCs w:val="24"/>
        </w:rPr>
        <w:t xml:space="preserve">, desde que </w:t>
      </w:r>
      <w:r>
        <w:rPr>
          <w:szCs w:val="24"/>
        </w:rPr>
        <w:lastRenderedPageBreak/>
        <w:t>concedam recursos inovadores.</w:t>
      </w:r>
      <w:r w:rsidRPr="004F3ECB">
        <w:rPr>
          <w:szCs w:val="24"/>
        </w:rPr>
        <w:t xml:space="preserve"> </w:t>
      </w:r>
      <w:r>
        <w:rPr>
          <w:szCs w:val="24"/>
        </w:rPr>
        <w:t xml:space="preserve">Levando em consideração que a maior parte da população não possui aproximação com os serviços financeiros, tal atrativo se justifica pela forte concentração do mercado, do </w:t>
      </w:r>
      <w:r>
        <w:rPr>
          <w:i/>
          <w:szCs w:val="24"/>
        </w:rPr>
        <w:t>spread</w:t>
      </w:r>
      <w:r>
        <w:rPr>
          <w:szCs w:val="24"/>
        </w:rPr>
        <w:t xml:space="preserve"> bancário elevado, aumento de tarifas pelos serviços e expectativa de inovação regulatória (</w:t>
      </w:r>
      <w:proofErr w:type="spellStart"/>
      <w:r w:rsidRPr="001E58C7">
        <w:rPr>
          <w:szCs w:val="24"/>
        </w:rPr>
        <w:t>PricewaterhouseCoopers</w:t>
      </w:r>
      <w:proofErr w:type="spellEnd"/>
      <w:r w:rsidRPr="001E58C7">
        <w:rPr>
          <w:szCs w:val="24"/>
        </w:rPr>
        <w:t xml:space="preserve"> </w:t>
      </w:r>
      <w:r>
        <w:rPr>
          <w:szCs w:val="24"/>
        </w:rPr>
        <w:t>[</w:t>
      </w:r>
      <w:proofErr w:type="spellStart"/>
      <w:r>
        <w:rPr>
          <w:szCs w:val="24"/>
        </w:rPr>
        <w:t>PwC</w:t>
      </w:r>
      <w:proofErr w:type="spellEnd"/>
      <w:r>
        <w:rPr>
          <w:szCs w:val="24"/>
        </w:rPr>
        <w:t>], 2018).</w:t>
      </w:r>
    </w:p>
    <w:p w:rsidR="009400FC" w:rsidRPr="00A33674" w:rsidRDefault="009400FC" w:rsidP="009400FC">
      <w:pPr>
        <w:rPr>
          <w:szCs w:val="24"/>
        </w:rPr>
      </w:pPr>
      <w:r>
        <w:rPr>
          <w:szCs w:val="24"/>
        </w:rPr>
        <w:t xml:space="preserve">Por meio do uso intensivo de tecnologia, as </w:t>
      </w:r>
      <w:proofErr w:type="spellStart"/>
      <w:r w:rsidRPr="008B0F5C">
        <w:rPr>
          <w:i/>
          <w:szCs w:val="24"/>
        </w:rPr>
        <w:t>FinTechs</w:t>
      </w:r>
      <w:proofErr w:type="spellEnd"/>
      <w:r>
        <w:rPr>
          <w:szCs w:val="24"/>
        </w:rPr>
        <w:t xml:space="preserve"> se caracterizam como empresas que proporcionam inovações tecnológicas nos mercados financeiros, intensificando a constituição de novos modelos de negócios. As </w:t>
      </w:r>
      <w:proofErr w:type="spellStart"/>
      <w:r>
        <w:rPr>
          <w:i/>
          <w:szCs w:val="24"/>
        </w:rPr>
        <w:t>FinTechs</w:t>
      </w:r>
      <w:proofErr w:type="spellEnd"/>
      <w:r w:rsidRPr="00795B4B">
        <w:rPr>
          <w:szCs w:val="24"/>
        </w:rPr>
        <w:t xml:space="preserve"> </w:t>
      </w:r>
      <w:r>
        <w:rPr>
          <w:szCs w:val="24"/>
        </w:rPr>
        <w:t xml:space="preserve">são categorizadas no ambiente internacional da seguinte maneira: de pagamento, compensação e liquidação, depósito, empréstimo e levantamento de capital, financiamento, e gestão de investimentos. No cenário brasileiro, são classificadas nas seguintes categorias: de pagamento, gestão financeira, empréstimo, investimento, financiamento, seguro, negociação de dívidas, </w:t>
      </w:r>
      <w:proofErr w:type="spellStart"/>
      <w:r>
        <w:rPr>
          <w:szCs w:val="24"/>
        </w:rPr>
        <w:t>criptoativos</w:t>
      </w:r>
      <w:proofErr w:type="spellEnd"/>
      <w:r>
        <w:rPr>
          <w:szCs w:val="24"/>
        </w:rPr>
        <w:t xml:space="preserve"> e </w:t>
      </w:r>
      <w:proofErr w:type="spellStart"/>
      <w:r w:rsidRPr="00A33674">
        <w:rPr>
          <w:i/>
          <w:szCs w:val="24"/>
        </w:rPr>
        <w:t>Distributed</w:t>
      </w:r>
      <w:proofErr w:type="spellEnd"/>
      <w:r w:rsidRPr="00A33674">
        <w:rPr>
          <w:i/>
          <w:szCs w:val="24"/>
        </w:rPr>
        <w:t xml:space="preserve"> </w:t>
      </w:r>
      <w:proofErr w:type="spellStart"/>
      <w:r w:rsidRPr="00A33674">
        <w:rPr>
          <w:i/>
          <w:szCs w:val="24"/>
        </w:rPr>
        <w:t>Ledger</w:t>
      </w:r>
      <w:proofErr w:type="spellEnd"/>
      <w:r w:rsidRPr="00A33674">
        <w:rPr>
          <w:i/>
          <w:szCs w:val="24"/>
        </w:rPr>
        <w:t xml:space="preserve"> Technologies</w:t>
      </w:r>
      <w:r>
        <w:rPr>
          <w:szCs w:val="24"/>
        </w:rPr>
        <w:t xml:space="preserve"> (DLT), câmbio, e multisserviços (Banco Central do Brasil [BACEN], 2018).</w:t>
      </w:r>
    </w:p>
    <w:p w:rsidR="009400FC" w:rsidRPr="008E4A80" w:rsidRDefault="009400FC" w:rsidP="009400FC">
      <w:pPr>
        <w:rPr>
          <w:szCs w:val="24"/>
        </w:rPr>
      </w:pPr>
      <w:r>
        <w:rPr>
          <w:szCs w:val="24"/>
        </w:rPr>
        <w:t xml:space="preserve">As </w:t>
      </w:r>
      <w:proofErr w:type="spellStart"/>
      <w:r>
        <w:rPr>
          <w:i/>
          <w:szCs w:val="24"/>
        </w:rPr>
        <w:t>FinTechs</w:t>
      </w:r>
      <w:proofErr w:type="spellEnd"/>
      <w:r>
        <w:rPr>
          <w:szCs w:val="24"/>
        </w:rPr>
        <w:t xml:space="preserve"> de crédito são caracterizadas como IF que concedem e intermediam operações de crédito às pessoas físicas e jurídicas. As IF que concedem crédito são aquelas empresas que atuam em operações com seus próprios recursos, através de meios eletrônicos. Por outro lado, as IF que intermediam empréstimos entre pessoas, operam como intermediários entre credores e devedores, através de negociações por meios eletrônicos (BACEN, 2018).</w:t>
      </w:r>
    </w:p>
    <w:p w:rsidR="009400FC" w:rsidRDefault="009400FC" w:rsidP="009400FC">
      <w:pPr>
        <w:rPr>
          <w:szCs w:val="24"/>
        </w:rPr>
      </w:pPr>
      <w:r>
        <w:rPr>
          <w:szCs w:val="24"/>
        </w:rPr>
        <w:t xml:space="preserve">As modalidades de </w:t>
      </w:r>
      <w:proofErr w:type="spellStart"/>
      <w:r>
        <w:rPr>
          <w:i/>
          <w:szCs w:val="24"/>
        </w:rPr>
        <w:t>FinTechs</w:t>
      </w:r>
      <w:proofErr w:type="spellEnd"/>
      <w:r>
        <w:rPr>
          <w:szCs w:val="24"/>
        </w:rPr>
        <w:t xml:space="preserve"> de crédito existentes, segundo a Resolução do Conselho Monetário Nacional (CMN) nº 4.656 (2018), são a Sociedade de Crédito Direto (SCD) e a Sociedade e Empréstimo entre Pessoas (SEP). Denominada de </w:t>
      </w:r>
      <w:r w:rsidRPr="00DA4A12">
        <w:rPr>
          <w:szCs w:val="24"/>
        </w:rPr>
        <w:t>instituição financeira</w:t>
      </w:r>
      <w:r>
        <w:rPr>
          <w:szCs w:val="24"/>
        </w:rPr>
        <w:t>, a SCD apresenta como</w:t>
      </w:r>
      <w:r w:rsidRPr="00DA4A12">
        <w:rPr>
          <w:szCs w:val="24"/>
        </w:rPr>
        <w:t xml:space="preserve"> objeto a </w:t>
      </w:r>
      <w:r>
        <w:rPr>
          <w:szCs w:val="24"/>
        </w:rPr>
        <w:t>atuação em</w:t>
      </w:r>
      <w:r w:rsidRPr="00DA4A12">
        <w:rPr>
          <w:szCs w:val="24"/>
        </w:rPr>
        <w:t xml:space="preserve"> operações</w:t>
      </w:r>
      <w:r>
        <w:rPr>
          <w:szCs w:val="24"/>
        </w:rPr>
        <w:t xml:space="preserve"> </w:t>
      </w:r>
      <w:r w:rsidRPr="00DA4A12">
        <w:rPr>
          <w:szCs w:val="24"/>
        </w:rPr>
        <w:t>de empréstimo, de financiamento e de aquisição de direitos creditórios</w:t>
      </w:r>
      <w:r>
        <w:rPr>
          <w:szCs w:val="24"/>
        </w:rPr>
        <w:t xml:space="preserve">, sendo de forma exclusiva através de </w:t>
      </w:r>
      <w:r w:rsidRPr="00DA4A12">
        <w:rPr>
          <w:szCs w:val="24"/>
        </w:rPr>
        <w:t>plataforma eletrônica</w:t>
      </w:r>
      <w:r>
        <w:rPr>
          <w:szCs w:val="24"/>
        </w:rPr>
        <w:t xml:space="preserve"> e</w:t>
      </w:r>
      <w:r w:rsidRPr="00DA4A12">
        <w:rPr>
          <w:szCs w:val="24"/>
        </w:rPr>
        <w:t xml:space="preserve"> </w:t>
      </w:r>
      <w:r>
        <w:rPr>
          <w:szCs w:val="24"/>
        </w:rPr>
        <w:t>atendendo à disposição de que os</w:t>
      </w:r>
      <w:r w:rsidRPr="00DA4A12">
        <w:rPr>
          <w:szCs w:val="24"/>
        </w:rPr>
        <w:t xml:space="preserve"> recursos financeiros </w:t>
      </w:r>
      <w:r>
        <w:rPr>
          <w:szCs w:val="24"/>
        </w:rPr>
        <w:t xml:space="preserve">sejam provenientes especificamente de </w:t>
      </w:r>
      <w:r w:rsidRPr="00DA4A12">
        <w:rPr>
          <w:szCs w:val="24"/>
        </w:rPr>
        <w:t>capital próprio.</w:t>
      </w:r>
      <w:r>
        <w:rPr>
          <w:szCs w:val="24"/>
        </w:rPr>
        <w:t xml:space="preserve"> No entanto, a</w:t>
      </w:r>
      <w:r w:rsidRPr="001259F0">
        <w:rPr>
          <w:szCs w:val="24"/>
        </w:rPr>
        <w:t xml:space="preserve"> SEP é</w:t>
      </w:r>
      <w:r>
        <w:rPr>
          <w:szCs w:val="24"/>
        </w:rPr>
        <w:t xml:space="preserve"> configurada como uma</w:t>
      </w:r>
      <w:r w:rsidRPr="001259F0">
        <w:rPr>
          <w:szCs w:val="24"/>
        </w:rPr>
        <w:t xml:space="preserve"> instituição financeira que tem por objeto a </w:t>
      </w:r>
      <w:r>
        <w:rPr>
          <w:szCs w:val="24"/>
        </w:rPr>
        <w:t>intermediação</w:t>
      </w:r>
      <w:r w:rsidRPr="001259F0">
        <w:rPr>
          <w:szCs w:val="24"/>
        </w:rPr>
        <w:t xml:space="preserve"> de operações</w:t>
      </w:r>
      <w:r>
        <w:rPr>
          <w:szCs w:val="24"/>
        </w:rPr>
        <w:t xml:space="preserve"> </w:t>
      </w:r>
      <w:r w:rsidRPr="001259F0">
        <w:rPr>
          <w:szCs w:val="24"/>
        </w:rPr>
        <w:t>de empréstimo e de financiamento entre pessoas</w:t>
      </w:r>
      <w:r>
        <w:rPr>
          <w:szCs w:val="24"/>
        </w:rPr>
        <w:t>, de forma restrita ao uso</w:t>
      </w:r>
      <w:r w:rsidRPr="001259F0">
        <w:rPr>
          <w:szCs w:val="24"/>
        </w:rPr>
        <w:t xml:space="preserve"> de plataforma</w:t>
      </w:r>
      <w:r>
        <w:rPr>
          <w:szCs w:val="24"/>
        </w:rPr>
        <w:t xml:space="preserve"> eletrônica (BACEN, 2018). Então, a diferença básica entre SCD e SEP é a forma de atuação nas operações de empréstimos e financiamentos, e a origem dos recursos financeiros, que na SCD é através de capital próprio e na SEP é através da intermediação de recursos de terceiros.</w:t>
      </w:r>
    </w:p>
    <w:p w:rsidR="009400FC" w:rsidRDefault="009400FC" w:rsidP="009400FC">
      <w:pPr>
        <w:rPr>
          <w:szCs w:val="24"/>
        </w:rPr>
      </w:pPr>
      <w:r>
        <w:rPr>
          <w:szCs w:val="24"/>
        </w:rPr>
        <w:t xml:space="preserve">Esse segmento de </w:t>
      </w:r>
      <w:r>
        <w:rPr>
          <w:i/>
          <w:szCs w:val="24"/>
        </w:rPr>
        <w:t>startups</w:t>
      </w:r>
      <w:r>
        <w:rPr>
          <w:szCs w:val="24"/>
        </w:rPr>
        <w:t xml:space="preserve"> elabora inovações tecnológicas no ambiente financeiro e por isso potencializam ameaças a três entre cada quatro bancos, ou seja, aproximadamente 76% das IF. As ameaças ocorrem pelo fato de que as </w:t>
      </w:r>
      <w:proofErr w:type="spellStart"/>
      <w:r>
        <w:rPr>
          <w:i/>
          <w:szCs w:val="24"/>
        </w:rPr>
        <w:t>FinTechs</w:t>
      </w:r>
      <w:proofErr w:type="spellEnd"/>
      <w:r>
        <w:rPr>
          <w:szCs w:val="24"/>
        </w:rPr>
        <w:t xml:space="preserve"> se destacam pelo seu atendimento ao consumidor, oferecendo meios diferenciados de comunicação e flexibilizam a obtenção de empréstimos e pagamentos. De forma eficiente, elas desenvolvem soluções altamente aplicáveis ao observar o que os bancos oferecem ou deixam de oferecer e com isso se destacam em termos de serviços ofertados (</w:t>
      </w:r>
      <w:proofErr w:type="spellStart"/>
      <w:r>
        <w:rPr>
          <w:szCs w:val="24"/>
        </w:rPr>
        <w:t>PwC</w:t>
      </w:r>
      <w:proofErr w:type="spellEnd"/>
      <w:r>
        <w:rPr>
          <w:szCs w:val="24"/>
        </w:rPr>
        <w:t>, 2016).</w:t>
      </w:r>
    </w:p>
    <w:p w:rsidR="009400FC" w:rsidRDefault="009400FC" w:rsidP="009400FC">
      <w:pPr>
        <w:rPr>
          <w:szCs w:val="24"/>
        </w:rPr>
      </w:pPr>
      <w:r>
        <w:rPr>
          <w:szCs w:val="24"/>
        </w:rPr>
        <w:t xml:space="preserve">A ausência de visibilidade no mercado mostra-se como um ponto predominante na dificuldade de obtenção de capital. Fato este, que ainda restringe o impacto das </w:t>
      </w:r>
      <w:proofErr w:type="spellStart"/>
      <w:r>
        <w:rPr>
          <w:i/>
          <w:szCs w:val="24"/>
        </w:rPr>
        <w:t>FinTechs</w:t>
      </w:r>
      <w:proofErr w:type="spellEnd"/>
      <w:r>
        <w:rPr>
          <w:szCs w:val="24"/>
        </w:rPr>
        <w:t xml:space="preserve"> na economia. Outro agravante para os negócios do setor é a atual situação econômica e política, que se apresenta instável. Além da burocracia, alta carga tributária e a complexidade da legislação tributária brasileira (</w:t>
      </w:r>
      <w:proofErr w:type="spellStart"/>
      <w:r>
        <w:rPr>
          <w:szCs w:val="24"/>
        </w:rPr>
        <w:t>PwC</w:t>
      </w:r>
      <w:proofErr w:type="spellEnd"/>
      <w:r>
        <w:rPr>
          <w:szCs w:val="24"/>
        </w:rPr>
        <w:t>, 2018).</w:t>
      </w:r>
    </w:p>
    <w:p w:rsidR="009400FC" w:rsidRDefault="009400FC" w:rsidP="009400FC">
      <w:pPr>
        <w:rPr>
          <w:szCs w:val="24"/>
        </w:rPr>
      </w:pPr>
    </w:p>
    <w:p w:rsidR="009400FC" w:rsidRPr="00EF1F05" w:rsidRDefault="009400FC" w:rsidP="009400FC">
      <w:pPr>
        <w:ind w:firstLine="0"/>
        <w:rPr>
          <w:b/>
          <w:szCs w:val="24"/>
        </w:rPr>
      </w:pPr>
      <w:r>
        <w:rPr>
          <w:b/>
          <w:szCs w:val="24"/>
        </w:rPr>
        <w:lastRenderedPageBreak/>
        <w:t>2.3</w:t>
      </w:r>
      <w:r w:rsidRPr="00EF1F05">
        <w:rPr>
          <w:b/>
          <w:szCs w:val="24"/>
        </w:rPr>
        <w:t xml:space="preserve"> Estudos </w:t>
      </w:r>
      <w:r>
        <w:rPr>
          <w:b/>
          <w:szCs w:val="24"/>
        </w:rPr>
        <w:t>R</w:t>
      </w:r>
      <w:r w:rsidRPr="00EF1F05">
        <w:rPr>
          <w:b/>
          <w:szCs w:val="24"/>
        </w:rPr>
        <w:t>elacionados</w:t>
      </w:r>
    </w:p>
    <w:p w:rsidR="009400FC" w:rsidRDefault="009400FC" w:rsidP="009400FC">
      <w:pPr>
        <w:rPr>
          <w:szCs w:val="24"/>
        </w:rPr>
      </w:pPr>
    </w:p>
    <w:p w:rsidR="009400FC" w:rsidRDefault="009400FC" w:rsidP="009400FC">
      <w:pPr>
        <w:rPr>
          <w:szCs w:val="24"/>
        </w:rPr>
      </w:pPr>
      <w:r>
        <w:rPr>
          <w:szCs w:val="24"/>
        </w:rPr>
        <w:t xml:space="preserve">Existe uma carência de estudos sobre gerenciamento de resultados contábeis em </w:t>
      </w:r>
      <w:proofErr w:type="spellStart"/>
      <w:r>
        <w:rPr>
          <w:i/>
          <w:szCs w:val="24"/>
        </w:rPr>
        <w:t>FinTechs</w:t>
      </w:r>
      <w:proofErr w:type="spellEnd"/>
      <w:r>
        <w:rPr>
          <w:szCs w:val="24"/>
        </w:rPr>
        <w:t xml:space="preserve">. Em </w:t>
      </w:r>
      <w:r w:rsidRPr="00693EAE">
        <w:rPr>
          <w:szCs w:val="24"/>
        </w:rPr>
        <w:t>Ferreira</w:t>
      </w:r>
      <w:r>
        <w:rPr>
          <w:szCs w:val="24"/>
        </w:rPr>
        <w:t xml:space="preserve"> </w:t>
      </w:r>
      <w:r w:rsidRPr="00863DA1">
        <w:rPr>
          <w:i/>
          <w:szCs w:val="24"/>
        </w:rPr>
        <w:t>et al.</w:t>
      </w:r>
      <w:r w:rsidRPr="00693EAE">
        <w:rPr>
          <w:szCs w:val="24"/>
        </w:rPr>
        <w:t xml:space="preserve"> (2017)</w:t>
      </w:r>
      <w:r>
        <w:rPr>
          <w:szCs w:val="24"/>
        </w:rPr>
        <w:t>,</w:t>
      </w:r>
      <w:r w:rsidRPr="00693EAE">
        <w:rPr>
          <w:szCs w:val="24"/>
        </w:rPr>
        <w:t xml:space="preserve"> </w:t>
      </w:r>
      <w:r>
        <w:rPr>
          <w:szCs w:val="24"/>
        </w:rPr>
        <w:t xml:space="preserve">por exemplo, o objetivo foi </w:t>
      </w:r>
      <w:r w:rsidRPr="00693EAE">
        <w:rPr>
          <w:szCs w:val="24"/>
        </w:rPr>
        <w:t xml:space="preserve">compreender as evoluções de novos modelos de negócios no mercado financeiro em relação ao </w:t>
      </w:r>
      <w:r w:rsidRPr="00B865FE">
        <w:rPr>
          <w:szCs w:val="24"/>
        </w:rPr>
        <w:t>crédito</w:t>
      </w:r>
      <w:r>
        <w:rPr>
          <w:szCs w:val="24"/>
        </w:rPr>
        <w:t xml:space="preserve">, a partir das três maiores </w:t>
      </w:r>
      <w:proofErr w:type="spellStart"/>
      <w:r>
        <w:rPr>
          <w:i/>
          <w:szCs w:val="24"/>
        </w:rPr>
        <w:t>FinTechs</w:t>
      </w:r>
      <w:proofErr w:type="spellEnd"/>
      <w:r>
        <w:rPr>
          <w:szCs w:val="24"/>
        </w:rPr>
        <w:t xml:space="preserve"> e identificar o comportamento dos clientes diante dos novos modelos. Apresentou-se como resultados que </w:t>
      </w:r>
      <w:r w:rsidRPr="00D544F3">
        <w:rPr>
          <w:szCs w:val="24"/>
        </w:rPr>
        <w:t>os clientes têm respondido de forma positiva a</w:t>
      </w:r>
      <w:r>
        <w:rPr>
          <w:szCs w:val="24"/>
        </w:rPr>
        <w:t>os novos modelos de negócios, visto que houve um aumento considerável de usuários e um curto espaço de tempo, enquanto os bancos tradicionais, com agências físicas, expressam indícios de redução de clientes.</w:t>
      </w:r>
    </w:p>
    <w:p w:rsidR="009400FC" w:rsidRDefault="009400FC" w:rsidP="009400FC">
      <w:pPr>
        <w:rPr>
          <w:szCs w:val="24"/>
        </w:rPr>
      </w:pPr>
      <w:r w:rsidRPr="00693EAE">
        <w:rPr>
          <w:szCs w:val="24"/>
        </w:rPr>
        <w:t>Barbosa (2018) buscou</w:t>
      </w:r>
      <w:r>
        <w:rPr>
          <w:szCs w:val="24"/>
        </w:rPr>
        <w:t xml:space="preserve"> </w:t>
      </w:r>
      <w:r w:rsidRPr="00693EAE">
        <w:rPr>
          <w:szCs w:val="24"/>
        </w:rPr>
        <w:t xml:space="preserve">examinar a forma de atuação das </w:t>
      </w:r>
      <w:proofErr w:type="spellStart"/>
      <w:r w:rsidRPr="00D544F3">
        <w:rPr>
          <w:i/>
          <w:szCs w:val="24"/>
        </w:rPr>
        <w:t>FinTechs</w:t>
      </w:r>
      <w:proofErr w:type="spellEnd"/>
      <w:r>
        <w:rPr>
          <w:szCs w:val="24"/>
        </w:rPr>
        <w:t xml:space="preserve"> no ambiente financeiro, foram realizadas entrevistas </w:t>
      </w:r>
      <w:r w:rsidRPr="00D544F3">
        <w:rPr>
          <w:szCs w:val="24"/>
        </w:rPr>
        <w:t xml:space="preserve">com 11 </w:t>
      </w:r>
      <w:proofErr w:type="spellStart"/>
      <w:r>
        <w:rPr>
          <w:i/>
          <w:szCs w:val="24"/>
        </w:rPr>
        <w:t>F</w:t>
      </w:r>
      <w:r w:rsidRPr="00D544F3">
        <w:rPr>
          <w:i/>
          <w:szCs w:val="24"/>
        </w:rPr>
        <w:t>in</w:t>
      </w:r>
      <w:r>
        <w:rPr>
          <w:i/>
          <w:szCs w:val="24"/>
        </w:rPr>
        <w:t>T</w:t>
      </w:r>
      <w:r w:rsidRPr="00D544F3">
        <w:rPr>
          <w:i/>
          <w:szCs w:val="24"/>
        </w:rPr>
        <w:t>echs</w:t>
      </w:r>
      <w:proofErr w:type="spellEnd"/>
      <w:r w:rsidRPr="00D544F3">
        <w:rPr>
          <w:szCs w:val="24"/>
        </w:rPr>
        <w:t xml:space="preserve"> de diferentes segmentos e 3 empresas do ecossistema</w:t>
      </w:r>
      <w:r>
        <w:rPr>
          <w:szCs w:val="24"/>
        </w:rPr>
        <w:t xml:space="preserve"> </w:t>
      </w:r>
      <w:r w:rsidRPr="00D544F3">
        <w:rPr>
          <w:szCs w:val="24"/>
        </w:rPr>
        <w:t>das empresas</w:t>
      </w:r>
      <w:r>
        <w:rPr>
          <w:szCs w:val="24"/>
        </w:rPr>
        <w:t>. Como principais resultados, na</w:t>
      </w:r>
      <w:r w:rsidRPr="00D544F3">
        <w:rPr>
          <w:szCs w:val="24"/>
        </w:rPr>
        <w:t xml:space="preserve"> atuação das </w:t>
      </w:r>
      <w:proofErr w:type="spellStart"/>
      <w:r>
        <w:rPr>
          <w:i/>
          <w:szCs w:val="24"/>
        </w:rPr>
        <w:t>F</w:t>
      </w:r>
      <w:r w:rsidRPr="00F14627">
        <w:rPr>
          <w:i/>
          <w:szCs w:val="24"/>
        </w:rPr>
        <w:t>in</w:t>
      </w:r>
      <w:r>
        <w:rPr>
          <w:i/>
          <w:szCs w:val="24"/>
        </w:rPr>
        <w:t>T</w:t>
      </w:r>
      <w:r w:rsidRPr="00F14627">
        <w:rPr>
          <w:i/>
          <w:szCs w:val="24"/>
        </w:rPr>
        <w:t>echs</w:t>
      </w:r>
      <w:proofErr w:type="spellEnd"/>
      <w:r w:rsidRPr="00D544F3">
        <w:rPr>
          <w:szCs w:val="24"/>
        </w:rPr>
        <w:t xml:space="preserve"> </w:t>
      </w:r>
      <w:r>
        <w:rPr>
          <w:szCs w:val="24"/>
        </w:rPr>
        <w:t xml:space="preserve">são utilizadas principalmente </w:t>
      </w:r>
      <w:r w:rsidRPr="00D544F3">
        <w:rPr>
          <w:szCs w:val="24"/>
        </w:rPr>
        <w:t>base</w:t>
      </w:r>
      <w:r>
        <w:rPr>
          <w:szCs w:val="24"/>
        </w:rPr>
        <w:t xml:space="preserve">s </w:t>
      </w:r>
      <w:r w:rsidRPr="00D544F3">
        <w:rPr>
          <w:szCs w:val="24"/>
        </w:rPr>
        <w:t>tecnológica</w:t>
      </w:r>
      <w:r>
        <w:rPr>
          <w:szCs w:val="24"/>
        </w:rPr>
        <w:t>s</w:t>
      </w:r>
      <w:r w:rsidRPr="00D544F3">
        <w:rPr>
          <w:szCs w:val="24"/>
        </w:rPr>
        <w:t xml:space="preserve">, </w:t>
      </w:r>
      <w:r>
        <w:rPr>
          <w:szCs w:val="24"/>
        </w:rPr>
        <w:t xml:space="preserve">com </w:t>
      </w:r>
      <w:r w:rsidRPr="00D544F3">
        <w:rPr>
          <w:szCs w:val="24"/>
        </w:rPr>
        <w:t xml:space="preserve">serviço financeiro escalável </w:t>
      </w:r>
      <w:r>
        <w:rPr>
          <w:szCs w:val="24"/>
        </w:rPr>
        <w:t>baseado na</w:t>
      </w:r>
      <w:r w:rsidRPr="00D544F3">
        <w:rPr>
          <w:szCs w:val="24"/>
        </w:rPr>
        <w:t xml:space="preserve"> experiência do cliente,</w:t>
      </w:r>
      <w:r>
        <w:rPr>
          <w:szCs w:val="24"/>
        </w:rPr>
        <w:t xml:space="preserve"> assim como </w:t>
      </w:r>
      <w:r w:rsidRPr="00D544F3">
        <w:rPr>
          <w:szCs w:val="24"/>
        </w:rPr>
        <w:t>estruturas operacionais enxutas</w:t>
      </w:r>
      <w:r>
        <w:rPr>
          <w:szCs w:val="24"/>
        </w:rPr>
        <w:t xml:space="preserve">, buscando o desenvolvimento, </w:t>
      </w:r>
      <w:r w:rsidRPr="00D544F3">
        <w:rPr>
          <w:szCs w:val="24"/>
        </w:rPr>
        <w:t>gestão ágil</w:t>
      </w:r>
      <w:r>
        <w:rPr>
          <w:szCs w:val="24"/>
        </w:rPr>
        <w:t xml:space="preserve"> e</w:t>
      </w:r>
      <w:r w:rsidRPr="00D544F3">
        <w:rPr>
          <w:szCs w:val="24"/>
        </w:rPr>
        <w:t xml:space="preserve"> </w:t>
      </w:r>
      <w:r w:rsidRPr="00F14627">
        <w:rPr>
          <w:i/>
          <w:szCs w:val="24"/>
        </w:rPr>
        <w:t>marketing</w:t>
      </w:r>
      <w:r>
        <w:rPr>
          <w:szCs w:val="24"/>
        </w:rPr>
        <w:t xml:space="preserve"> </w:t>
      </w:r>
      <w:r w:rsidRPr="00D544F3">
        <w:rPr>
          <w:szCs w:val="24"/>
        </w:rPr>
        <w:t>digital</w:t>
      </w:r>
      <w:r>
        <w:rPr>
          <w:szCs w:val="24"/>
        </w:rPr>
        <w:t>.</w:t>
      </w:r>
    </w:p>
    <w:p w:rsidR="009400FC" w:rsidRDefault="009400FC" w:rsidP="009400FC">
      <w:pPr>
        <w:rPr>
          <w:szCs w:val="24"/>
        </w:rPr>
      </w:pPr>
      <w:r w:rsidRPr="00693EAE">
        <w:rPr>
          <w:szCs w:val="24"/>
        </w:rPr>
        <w:t xml:space="preserve">O estudo de </w:t>
      </w:r>
      <w:proofErr w:type="spellStart"/>
      <w:r w:rsidRPr="00693EAE">
        <w:rPr>
          <w:szCs w:val="24"/>
        </w:rPr>
        <w:t>Boshkov</w:t>
      </w:r>
      <w:proofErr w:type="spellEnd"/>
      <w:r w:rsidRPr="00693EAE">
        <w:rPr>
          <w:szCs w:val="24"/>
        </w:rPr>
        <w:t xml:space="preserve"> (2018) analisa se o desenvolvimento financeiro amplia as oportunidades econômicas, partindo da ideia de que a inclusão financeira gera benefícios </w:t>
      </w:r>
      <w:r w:rsidRPr="00F14627">
        <w:rPr>
          <w:szCs w:val="24"/>
        </w:rPr>
        <w:t xml:space="preserve">potenciais de acesso aos serviços financeiros pela população. </w:t>
      </w:r>
      <w:r>
        <w:rPr>
          <w:szCs w:val="24"/>
        </w:rPr>
        <w:t>Como principais resultados, a</w:t>
      </w:r>
      <w:r w:rsidRPr="00F14627">
        <w:rPr>
          <w:szCs w:val="24"/>
        </w:rPr>
        <w:t>lguns bancos atualmente não estão suficientemente preparados</w:t>
      </w:r>
      <w:r>
        <w:rPr>
          <w:szCs w:val="24"/>
        </w:rPr>
        <w:t xml:space="preserve"> para essa mudança, devido ao seu rígido regulamento. Mas, </w:t>
      </w:r>
      <w:r w:rsidRPr="00F14627">
        <w:rPr>
          <w:szCs w:val="24"/>
        </w:rPr>
        <w:t>altos padrões regulatórios</w:t>
      </w:r>
      <w:r>
        <w:rPr>
          <w:szCs w:val="24"/>
        </w:rPr>
        <w:t xml:space="preserve"> significam que os bancos oferecem mais segurança e redução de riscos. Oferecer novas tecnologias e ferramentas inovadoras podem mudar o sistema financeiro, otimizando a segurança e o estilo da população ao utilizar as mesmas.</w:t>
      </w:r>
    </w:p>
    <w:p w:rsidR="009400FC" w:rsidRDefault="009400FC" w:rsidP="009400FC">
      <w:pPr>
        <w:rPr>
          <w:szCs w:val="24"/>
        </w:rPr>
      </w:pPr>
      <w:r>
        <w:rPr>
          <w:szCs w:val="24"/>
        </w:rPr>
        <w:t xml:space="preserve">Com relação às pesquisas ao EM </w:t>
      </w:r>
      <w:proofErr w:type="spellStart"/>
      <w:r>
        <w:rPr>
          <w:szCs w:val="24"/>
        </w:rPr>
        <w:t>em</w:t>
      </w:r>
      <w:proofErr w:type="spellEnd"/>
      <w:r>
        <w:rPr>
          <w:szCs w:val="24"/>
        </w:rPr>
        <w:t xml:space="preserve"> IF, </w:t>
      </w:r>
      <w:r w:rsidRPr="00251D5D">
        <w:rPr>
          <w:szCs w:val="24"/>
        </w:rPr>
        <w:t xml:space="preserve">Peterson </w:t>
      </w:r>
      <w:r>
        <w:rPr>
          <w:szCs w:val="24"/>
        </w:rPr>
        <w:t>e</w:t>
      </w:r>
      <w:r w:rsidRPr="00251D5D">
        <w:rPr>
          <w:szCs w:val="24"/>
        </w:rPr>
        <w:t xml:space="preserve"> </w:t>
      </w:r>
      <w:proofErr w:type="spellStart"/>
      <w:r w:rsidRPr="00251D5D">
        <w:rPr>
          <w:szCs w:val="24"/>
        </w:rPr>
        <w:t>Arun</w:t>
      </w:r>
      <w:proofErr w:type="spellEnd"/>
      <w:r w:rsidRPr="00251D5D">
        <w:rPr>
          <w:szCs w:val="24"/>
        </w:rPr>
        <w:t xml:space="preserve"> (2018) buscaram analisar se</w:t>
      </w:r>
      <w:r>
        <w:rPr>
          <w:szCs w:val="24"/>
        </w:rPr>
        <w:t xml:space="preserve"> </w:t>
      </w:r>
      <w:r w:rsidRPr="00251D5D">
        <w:rPr>
          <w:szCs w:val="24"/>
        </w:rPr>
        <w:t xml:space="preserve">a forma como os bancos sistêmicos </w:t>
      </w:r>
      <w:r>
        <w:rPr>
          <w:szCs w:val="24"/>
        </w:rPr>
        <w:t>suavizam os resultados por meio de</w:t>
      </w:r>
      <w:r w:rsidRPr="00251D5D">
        <w:rPr>
          <w:szCs w:val="24"/>
        </w:rPr>
        <w:t xml:space="preserve"> provisões para perdas com empréstimos (</w:t>
      </w:r>
      <w:proofErr w:type="spellStart"/>
      <w:r w:rsidRPr="00251D5D">
        <w:rPr>
          <w:szCs w:val="24"/>
        </w:rPr>
        <w:t>LLPs</w:t>
      </w:r>
      <w:proofErr w:type="spellEnd"/>
      <w:r w:rsidRPr="00251D5D">
        <w:rPr>
          <w:szCs w:val="24"/>
        </w:rPr>
        <w:t xml:space="preserve">) diferem </w:t>
      </w:r>
      <w:r>
        <w:rPr>
          <w:szCs w:val="24"/>
        </w:rPr>
        <w:t>d</w:t>
      </w:r>
      <w:r w:rsidRPr="00251D5D">
        <w:rPr>
          <w:szCs w:val="24"/>
        </w:rPr>
        <w:t xml:space="preserve">os bancos não sistêmicos. </w:t>
      </w:r>
      <w:r>
        <w:rPr>
          <w:szCs w:val="24"/>
        </w:rPr>
        <w:t>Os autores evidenciam</w:t>
      </w:r>
      <w:r w:rsidRPr="00251D5D">
        <w:rPr>
          <w:szCs w:val="24"/>
        </w:rPr>
        <w:t xml:space="preserve"> que os bancos</w:t>
      </w:r>
      <w:r>
        <w:rPr>
          <w:szCs w:val="24"/>
        </w:rPr>
        <w:t xml:space="preserve"> </w:t>
      </w:r>
      <w:r w:rsidRPr="00251D5D">
        <w:rPr>
          <w:szCs w:val="24"/>
        </w:rPr>
        <w:t xml:space="preserve">sistêmicos </w:t>
      </w:r>
      <w:r>
        <w:rPr>
          <w:szCs w:val="24"/>
        </w:rPr>
        <w:t>possuem</w:t>
      </w:r>
      <w:r w:rsidRPr="00251D5D">
        <w:rPr>
          <w:szCs w:val="24"/>
        </w:rPr>
        <w:t xml:space="preserve"> maior suavização de resultados via LLP durante os períodos de recessão e</w:t>
      </w:r>
      <w:r>
        <w:rPr>
          <w:szCs w:val="24"/>
        </w:rPr>
        <w:t xml:space="preserve"> na presença de empréstimos inadimplentes</w:t>
      </w:r>
      <w:r w:rsidRPr="00251D5D">
        <w:rPr>
          <w:szCs w:val="24"/>
        </w:rPr>
        <w:t>.</w:t>
      </w:r>
    </w:p>
    <w:p w:rsidR="009400FC" w:rsidRDefault="009400FC" w:rsidP="009400FC">
      <w:pPr>
        <w:rPr>
          <w:szCs w:val="24"/>
        </w:rPr>
      </w:pPr>
      <w:r>
        <w:rPr>
          <w:szCs w:val="24"/>
        </w:rPr>
        <w:t xml:space="preserve">Sousa e </w:t>
      </w:r>
      <w:proofErr w:type="spellStart"/>
      <w:r>
        <w:rPr>
          <w:szCs w:val="24"/>
        </w:rPr>
        <w:t>Bressan</w:t>
      </w:r>
      <w:proofErr w:type="spellEnd"/>
      <w:r>
        <w:rPr>
          <w:szCs w:val="24"/>
        </w:rPr>
        <w:t xml:space="preserve"> (2018) a</w:t>
      </w:r>
      <w:r w:rsidRPr="00697BDB">
        <w:rPr>
          <w:szCs w:val="24"/>
        </w:rPr>
        <w:t>nalisar</w:t>
      </w:r>
      <w:r>
        <w:rPr>
          <w:szCs w:val="24"/>
        </w:rPr>
        <w:t>am</w:t>
      </w:r>
      <w:r w:rsidRPr="00697BDB">
        <w:rPr>
          <w:szCs w:val="24"/>
        </w:rPr>
        <w:t xml:space="preserve"> </w:t>
      </w:r>
      <w:r>
        <w:rPr>
          <w:szCs w:val="24"/>
        </w:rPr>
        <w:t>se há</w:t>
      </w:r>
      <w:r w:rsidRPr="00697BDB">
        <w:rPr>
          <w:szCs w:val="24"/>
        </w:rPr>
        <w:t xml:space="preserve"> indícios de que </w:t>
      </w:r>
      <w:r>
        <w:rPr>
          <w:szCs w:val="24"/>
        </w:rPr>
        <w:t xml:space="preserve">as instituições financeiras </w:t>
      </w:r>
      <w:r w:rsidRPr="00697BDB">
        <w:rPr>
          <w:szCs w:val="24"/>
        </w:rPr>
        <w:t>brasileir</w:t>
      </w:r>
      <w:r>
        <w:rPr>
          <w:szCs w:val="24"/>
        </w:rPr>
        <w:t>a</w:t>
      </w:r>
      <w:r w:rsidRPr="00697BDB">
        <w:rPr>
          <w:szCs w:val="24"/>
        </w:rPr>
        <w:t>s</w:t>
      </w:r>
      <w:r>
        <w:rPr>
          <w:szCs w:val="24"/>
        </w:rPr>
        <w:t>,</w:t>
      </w:r>
      <w:r w:rsidRPr="00697BDB">
        <w:rPr>
          <w:szCs w:val="24"/>
        </w:rPr>
        <w:t xml:space="preserve"> de pequen</w:t>
      </w:r>
      <w:r>
        <w:rPr>
          <w:szCs w:val="24"/>
        </w:rPr>
        <w:t>o e grande porte, aplicam o</w:t>
      </w:r>
      <w:r w:rsidRPr="00697BDB">
        <w:rPr>
          <w:szCs w:val="24"/>
        </w:rPr>
        <w:t xml:space="preserve"> gerenciamento de resultados</w:t>
      </w:r>
      <w:r>
        <w:rPr>
          <w:szCs w:val="24"/>
        </w:rPr>
        <w:t xml:space="preserve"> buscando</w:t>
      </w:r>
      <w:r w:rsidRPr="00697BDB">
        <w:rPr>
          <w:szCs w:val="24"/>
        </w:rPr>
        <w:t xml:space="preserve"> evitar a divulgação de prejuízos</w:t>
      </w:r>
      <w:r>
        <w:rPr>
          <w:szCs w:val="24"/>
        </w:rPr>
        <w:t xml:space="preserve">, foi considerado </w:t>
      </w:r>
      <w:r w:rsidRPr="00697BDB">
        <w:rPr>
          <w:szCs w:val="24"/>
        </w:rPr>
        <w:t>o período de 2008 a 2015</w:t>
      </w:r>
      <w:r>
        <w:rPr>
          <w:szCs w:val="24"/>
        </w:rPr>
        <w:t>. No</w:t>
      </w:r>
      <w:r w:rsidRPr="00697BDB">
        <w:rPr>
          <w:szCs w:val="24"/>
        </w:rPr>
        <w:t>s resultados</w:t>
      </w:r>
      <w:r>
        <w:rPr>
          <w:szCs w:val="24"/>
        </w:rPr>
        <w:t xml:space="preserve"> foram apresentados que nos bancos de pequeno porte há </w:t>
      </w:r>
      <w:r w:rsidRPr="00697BDB">
        <w:rPr>
          <w:szCs w:val="24"/>
        </w:rPr>
        <w:t xml:space="preserve">indícios de gerenciamento de resultados </w:t>
      </w:r>
      <w:r>
        <w:rPr>
          <w:szCs w:val="24"/>
        </w:rPr>
        <w:t>evitando</w:t>
      </w:r>
      <w:r w:rsidRPr="00697BDB">
        <w:rPr>
          <w:szCs w:val="24"/>
        </w:rPr>
        <w:t xml:space="preserve"> </w:t>
      </w:r>
      <w:r>
        <w:rPr>
          <w:szCs w:val="24"/>
        </w:rPr>
        <w:t xml:space="preserve">a </w:t>
      </w:r>
      <w:r w:rsidRPr="00697BDB">
        <w:rPr>
          <w:szCs w:val="24"/>
        </w:rPr>
        <w:t>divulgação de prejuízos</w:t>
      </w:r>
      <w:r>
        <w:rPr>
          <w:szCs w:val="24"/>
        </w:rPr>
        <w:t>,</w:t>
      </w:r>
      <w:r w:rsidRPr="00697BDB">
        <w:rPr>
          <w:szCs w:val="24"/>
        </w:rPr>
        <w:t xml:space="preserve"> em </w:t>
      </w:r>
      <w:r>
        <w:rPr>
          <w:szCs w:val="24"/>
        </w:rPr>
        <w:t>todos</w:t>
      </w:r>
      <w:r w:rsidRPr="00697BDB">
        <w:rPr>
          <w:szCs w:val="24"/>
        </w:rPr>
        <w:t xml:space="preserve"> </w:t>
      </w:r>
      <w:r>
        <w:rPr>
          <w:szCs w:val="24"/>
        </w:rPr>
        <w:t xml:space="preserve">os </w:t>
      </w:r>
      <w:r w:rsidRPr="00697BDB">
        <w:rPr>
          <w:szCs w:val="24"/>
        </w:rPr>
        <w:t>período</w:t>
      </w:r>
      <w:r>
        <w:rPr>
          <w:szCs w:val="24"/>
        </w:rPr>
        <w:t>s</w:t>
      </w:r>
      <w:r w:rsidRPr="00697BDB">
        <w:rPr>
          <w:szCs w:val="24"/>
        </w:rPr>
        <w:t xml:space="preserve"> analisado</w:t>
      </w:r>
      <w:r>
        <w:rPr>
          <w:szCs w:val="24"/>
        </w:rPr>
        <w:t>s. Por outro lado, nos bancos de grande porte não foi possível detectar indícios de gerenciamento de resultados na mesma modalidade.</w:t>
      </w:r>
    </w:p>
    <w:p w:rsidR="009400FC" w:rsidRDefault="009400FC" w:rsidP="009400FC">
      <w:pPr>
        <w:rPr>
          <w:szCs w:val="24"/>
        </w:rPr>
      </w:pPr>
      <w:r>
        <w:rPr>
          <w:szCs w:val="24"/>
        </w:rPr>
        <w:t xml:space="preserve">Macedo e Kelly (2016) </w:t>
      </w:r>
      <w:r w:rsidRPr="00697BDB">
        <w:rPr>
          <w:szCs w:val="24"/>
        </w:rPr>
        <w:t>objetiv</w:t>
      </w:r>
      <w:r>
        <w:rPr>
          <w:szCs w:val="24"/>
        </w:rPr>
        <w:t xml:space="preserve">aram verificar se existem </w:t>
      </w:r>
      <w:r w:rsidRPr="00697BDB">
        <w:rPr>
          <w:szCs w:val="24"/>
        </w:rPr>
        <w:t>indícios de gerenciamento de resultados</w:t>
      </w:r>
      <w:r>
        <w:rPr>
          <w:szCs w:val="24"/>
        </w:rPr>
        <w:t xml:space="preserve"> nas</w:t>
      </w:r>
      <w:r w:rsidRPr="00697BDB">
        <w:rPr>
          <w:szCs w:val="24"/>
        </w:rPr>
        <w:t xml:space="preserve"> instituições financeiras </w:t>
      </w:r>
      <w:r>
        <w:rPr>
          <w:szCs w:val="24"/>
        </w:rPr>
        <w:t>operantes no Brasil</w:t>
      </w:r>
      <w:r w:rsidRPr="00697BDB">
        <w:rPr>
          <w:szCs w:val="24"/>
        </w:rPr>
        <w:t xml:space="preserve">, </w:t>
      </w:r>
      <w:r>
        <w:rPr>
          <w:szCs w:val="24"/>
        </w:rPr>
        <w:t>através da utilização</w:t>
      </w:r>
      <w:r w:rsidRPr="00697BDB">
        <w:rPr>
          <w:szCs w:val="24"/>
        </w:rPr>
        <w:t xml:space="preserve"> das provisões para crédito de liquidação duvidosa (PCLD),</w:t>
      </w:r>
      <w:r>
        <w:rPr>
          <w:szCs w:val="24"/>
        </w:rPr>
        <w:t xml:space="preserve"> foi considerado </w:t>
      </w:r>
      <w:r w:rsidRPr="00697BDB">
        <w:rPr>
          <w:szCs w:val="24"/>
        </w:rPr>
        <w:t>o período de 2006 a 2012,</w:t>
      </w:r>
      <w:r>
        <w:rPr>
          <w:szCs w:val="24"/>
        </w:rPr>
        <w:t xml:space="preserve"> para os bancos com</w:t>
      </w:r>
      <w:r w:rsidRPr="00697BDB">
        <w:rPr>
          <w:szCs w:val="24"/>
        </w:rPr>
        <w:t xml:space="preserve"> capital estrangeiro.</w:t>
      </w:r>
      <w:r>
        <w:rPr>
          <w:szCs w:val="24"/>
        </w:rPr>
        <w:t xml:space="preserve"> Como resultados, apresentam que o</w:t>
      </w:r>
      <w:r w:rsidRPr="000F1F99">
        <w:rPr>
          <w:szCs w:val="24"/>
        </w:rPr>
        <w:t xml:space="preserve"> gerenciamento de resultados</w:t>
      </w:r>
      <w:r>
        <w:rPr>
          <w:szCs w:val="24"/>
        </w:rPr>
        <w:t xml:space="preserve"> é utilizado com mais frequência em bancos com capital estrangeiro, por meio</w:t>
      </w:r>
      <w:r w:rsidRPr="000F1F99">
        <w:rPr>
          <w:szCs w:val="24"/>
        </w:rPr>
        <w:t xml:space="preserve"> da PCLD</w:t>
      </w:r>
      <w:r>
        <w:rPr>
          <w:szCs w:val="24"/>
        </w:rPr>
        <w:t xml:space="preserve">. Por outro lado, </w:t>
      </w:r>
      <w:r w:rsidRPr="000F1F99">
        <w:rPr>
          <w:szCs w:val="24"/>
        </w:rPr>
        <w:t xml:space="preserve">os bancos com capital nacional </w:t>
      </w:r>
      <w:r>
        <w:rPr>
          <w:szCs w:val="24"/>
        </w:rPr>
        <w:t>apresentam uma</w:t>
      </w:r>
      <w:r w:rsidRPr="000F1F99">
        <w:rPr>
          <w:szCs w:val="24"/>
        </w:rPr>
        <w:t xml:space="preserve"> relação meno</w:t>
      </w:r>
      <w:r>
        <w:rPr>
          <w:szCs w:val="24"/>
        </w:rPr>
        <w:t>s frequente de gerenciamento de resultados por meio d</w:t>
      </w:r>
      <w:r w:rsidRPr="000F1F99">
        <w:rPr>
          <w:szCs w:val="24"/>
        </w:rPr>
        <w:t xml:space="preserve">a PCLD. </w:t>
      </w:r>
    </w:p>
    <w:p w:rsidR="009400FC" w:rsidRDefault="009400FC" w:rsidP="009400FC">
      <w:pPr>
        <w:rPr>
          <w:szCs w:val="24"/>
        </w:rPr>
      </w:pPr>
    </w:p>
    <w:p w:rsidR="00F538D6" w:rsidRPr="00EF1F05" w:rsidRDefault="00F538D6" w:rsidP="00F538D6">
      <w:pPr>
        <w:ind w:firstLine="0"/>
        <w:rPr>
          <w:b/>
          <w:szCs w:val="24"/>
        </w:rPr>
      </w:pPr>
      <w:r w:rsidRPr="00EF1F05">
        <w:rPr>
          <w:b/>
          <w:szCs w:val="24"/>
        </w:rPr>
        <w:lastRenderedPageBreak/>
        <w:t>3 Procedimentos Metodológicos</w:t>
      </w:r>
    </w:p>
    <w:p w:rsidR="00F538D6" w:rsidRDefault="00F538D6" w:rsidP="00F538D6">
      <w:pPr>
        <w:rPr>
          <w:szCs w:val="24"/>
        </w:rPr>
      </w:pPr>
    </w:p>
    <w:p w:rsidR="00F538D6" w:rsidRDefault="00F538D6" w:rsidP="00F538D6">
      <w:pPr>
        <w:rPr>
          <w:szCs w:val="24"/>
        </w:rPr>
      </w:pPr>
      <w:r w:rsidRPr="004466C1">
        <w:rPr>
          <w:szCs w:val="24"/>
        </w:rPr>
        <w:t xml:space="preserve">Nessa seção são apresentados os procedimentos metodológicos </w:t>
      </w:r>
      <w:r>
        <w:rPr>
          <w:szCs w:val="24"/>
        </w:rPr>
        <w:t xml:space="preserve">adotados para </w:t>
      </w:r>
      <w:r w:rsidRPr="004466C1">
        <w:rPr>
          <w:szCs w:val="24"/>
        </w:rPr>
        <w:t>essa pesquisa</w:t>
      </w:r>
      <w:r>
        <w:rPr>
          <w:szCs w:val="24"/>
        </w:rPr>
        <w:t>. P</w:t>
      </w:r>
      <w:r w:rsidRPr="004466C1">
        <w:rPr>
          <w:szCs w:val="24"/>
        </w:rPr>
        <w:t xml:space="preserve">rimeiramente </w:t>
      </w:r>
      <w:r>
        <w:rPr>
          <w:szCs w:val="24"/>
        </w:rPr>
        <w:t xml:space="preserve">definindo </w:t>
      </w:r>
      <w:r w:rsidRPr="004466C1">
        <w:rPr>
          <w:szCs w:val="24"/>
        </w:rPr>
        <w:t>a classificação metodológica, em seguida</w:t>
      </w:r>
      <w:r>
        <w:rPr>
          <w:szCs w:val="24"/>
        </w:rPr>
        <w:t xml:space="preserve"> apresentando</w:t>
      </w:r>
      <w:r w:rsidRPr="004466C1">
        <w:rPr>
          <w:szCs w:val="24"/>
        </w:rPr>
        <w:t xml:space="preserve"> a </w:t>
      </w:r>
      <w:r>
        <w:rPr>
          <w:szCs w:val="24"/>
        </w:rPr>
        <w:t xml:space="preserve">população, a </w:t>
      </w:r>
      <w:r w:rsidRPr="004466C1">
        <w:rPr>
          <w:szCs w:val="24"/>
        </w:rPr>
        <w:t xml:space="preserve">amostra e o procedimento de coleta de dados e por fim demonstrando os </w:t>
      </w:r>
      <w:r>
        <w:rPr>
          <w:szCs w:val="24"/>
        </w:rPr>
        <w:t>modelos estatísticos utilizados na pesquisa.</w:t>
      </w:r>
    </w:p>
    <w:p w:rsidR="00F538D6" w:rsidRDefault="00F538D6" w:rsidP="00F538D6">
      <w:pPr>
        <w:rPr>
          <w:szCs w:val="24"/>
        </w:rPr>
      </w:pPr>
    </w:p>
    <w:p w:rsidR="00F538D6" w:rsidRPr="00EF1F05" w:rsidRDefault="00F538D6" w:rsidP="00F538D6">
      <w:pPr>
        <w:ind w:firstLine="0"/>
        <w:rPr>
          <w:b/>
          <w:szCs w:val="24"/>
        </w:rPr>
      </w:pPr>
      <w:r w:rsidRPr="00EF1F05">
        <w:rPr>
          <w:b/>
          <w:szCs w:val="24"/>
        </w:rPr>
        <w:t xml:space="preserve">3.1 Classificação </w:t>
      </w:r>
      <w:r>
        <w:rPr>
          <w:b/>
          <w:szCs w:val="24"/>
        </w:rPr>
        <w:t>M</w:t>
      </w:r>
      <w:r w:rsidRPr="00EF1F05">
        <w:rPr>
          <w:b/>
          <w:szCs w:val="24"/>
        </w:rPr>
        <w:t>etodológica</w:t>
      </w:r>
    </w:p>
    <w:p w:rsidR="00F538D6" w:rsidRDefault="00F538D6" w:rsidP="00F538D6">
      <w:pPr>
        <w:rPr>
          <w:szCs w:val="24"/>
        </w:rPr>
      </w:pPr>
    </w:p>
    <w:p w:rsidR="00F538D6" w:rsidRDefault="00F538D6" w:rsidP="00F538D6">
      <w:pPr>
        <w:rPr>
          <w:szCs w:val="24"/>
        </w:rPr>
      </w:pPr>
      <w:r>
        <w:rPr>
          <w:szCs w:val="24"/>
        </w:rPr>
        <w:t xml:space="preserve">O presente estudo se classifica como quantitativo, descritivo e documental. No que diz respeito à abordagem do problema, a pesquisa é definida como quantitativa, pois </w:t>
      </w:r>
      <w:r w:rsidRPr="00864498">
        <w:rPr>
          <w:szCs w:val="24"/>
        </w:rPr>
        <w:t xml:space="preserve">o tratamento dos dados passa estritamente por técnicas estatísticas. No processo de desenvolvimento da pesquisa, </w:t>
      </w:r>
      <w:r>
        <w:rPr>
          <w:szCs w:val="24"/>
        </w:rPr>
        <w:t>o método</w:t>
      </w:r>
      <w:r w:rsidRPr="00864498">
        <w:rPr>
          <w:szCs w:val="24"/>
        </w:rPr>
        <w:t xml:space="preserve"> quantitativ</w:t>
      </w:r>
      <w:r>
        <w:rPr>
          <w:szCs w:val="24"/>
        </w:rPr>
        <w:t>o</w:t>
      </w:r>
      <w:r w:rsidRPr="00864498">
        <w:rPr>
          <w:szCs w:val="24"/>
        </w:rPr>
        <w:t xml:space="preserve"> busca classificar a relação entre </w:t>
      </w:r>
      <w:r>
        <w:rPr>
          <w:szCs w:val="24"/>
        </w:rPr>
        <w:t xml:space="preserve">as </w:t>
      </w:r>
      <w:r w:rsidRPr="00864498">
        <w:rPr>
          <w:szCs w:val="24"/>
        </w:rPr>
        <w:t xml:space="preserve">variáveis para garantir a precisão dos resultados, </w:t>
      </w:r>
      <w:r>
        <w:rPr>
          <w:szCs w:val="24"/>
        </w:rPr>
        <w:t xml:space="preserve">dessa forma </w:t>
      </w:r>
      <w:r w:rsidRPr="00864498">
        <w:rPr>
          <w:szCs w:val="24"/>
        </w:rPr>
        <w:t>evitando distorções nas interpretações (</w:t>
      </w:r>
      <w:proofErr w:type="spellStart"/>
      <w:r w:rsidRPr="00864498">
        <w:rPr>
          <w:szCs w:val="24"/>
        </w:rPr>
        <w:t>P</w:t>
      </w:r>
      <w:r>
        <w:rPr>
          <w:szCs w:val="24"/>
        </w:rPr>
        <w:t>rodanov</w:t>
      </w:r>
      <w:proofErr w:type="spellEnd"/>
      <w:r>
        <w:rPr>
          <w:szCs w:val="24"/>
        </w:rPr>
        <w:t xml:space="preserve"> &amp;</w:t>
      </w:r>
      <w:r w:rsidRPr="00864498">
        <w:rPr>
          <w:szCs w:val="24"/>
        </w:rPr>
        <w:t xml:space="preserve"> F</w:t>
      </w:r>
      <w:r>
        <w:rPr>
          <w:szCs w:val="24"/>
        </w:rPr>
        <w:t>reitas</w:t>
      </w:r>
      <w:r w:rsidRPr="00864498">
        <w:rPr>
          <w:szCs w:val="24"/>
        </w:rPr>
        <w:t>, 2013).</w:t>
      </w:r>
    </w:p>
    <w:p w:rsidR="00F538D6" w:rsidRPr="00F829D5" w:rsidRDefault="00F538D6" w:rsidP="00F538D6">
      <w:pPr>
        <w:rPr>
          <w:szCs w:val="24"/>
        </w:rPr>
      </w:pPr>
      <w:r w:rsidRPr="00F829D5">
        <w:rPr>
          <w:szCs w:val="24"/>
        </w:rPr>
        <w:t>Com relação aos objetivos, es</w:t>
      </w:r>
      <w:r>
        <w:rPr>
          <w:szCs w:val="24"/>
        </w:rPr>
        <w:t>s</w:t>
      </w:r>
      <w:r w:rsidRPr="00F829D5">
        <w:rPr>
          <w:szCs w:val="24"/>
        </w:rPr>
        <w:t xml:space="preserve">a pesquisa é caracterizada como descritiva, </w:t>
      </w:r>
      <w:r>
        <w:rPr>
          <w:szCs w:val="24"/>
        </w:rPr>
        <w:t>visto que</w:t>
      </w:r>
      <w:r w:rsidRPr="00F829D5">
        <w:rPr>
          <w:szCs w:val="24"/>
        </w:rPr>
        <w:t xml:space="preserve"> busca registrar e descrever observações, com a finalidade de explicar e interpretar os fatos</w:t>
      </w:r>
      <w:r>
        <w:rPr>
          <w:szCs w:val="24"/>
        </w:rPr>
        <w:t xml:space="preserve"> ocorridos</w:t>
      </w:r>
      <w:r w:rsidRPr="00F829D5">
        <w:rPr>
          <w:szCs w:val="24"/>
        </w:rPr>
        <w:t>. A pesquisa descritiva tem</w:t>
      </w:r>
      <w:r>
        <w:rPr>
          <w:szCs w:val="24"/>
        </w:rPr>
        <w:t xml:space="preserve"> por finalidade,</w:t>
      </w:r>
      <w:r w:rsidRPr="00F829D5">
        <w:rPr>
          <w:szCs w:val="24"/>
        </w:rPr>
        <w:t xml:space="preserve"> principalmente</w:t>
      </w:r>
      <w:r>
        <w:rPr>
          <w:szCs w:val="24"/>
        </w:rPr>
        <w:t>,</w:t>
      </w:r>
      <w:r w:rsidRPr="00F829D5">
        <w:rPr>
          <w:szCs w:val="24"/>
        </w:rPr>
        <w:t xml:space="preserve"> descrever as características de uma população ou fenômeno específico, estabelecendo vínculo entre </w:t>
      </w:r>
      <w:r>
        <w:rPr>
          <w:szCs w:val="24"/>
        </w:rPr>
        <w:t xml:space="preserve">as </w:t>
      </w:r>
      <w:r w:rsidRPr="00F829D5">
        <w:rPr>
          <w:szCs w:val="24"/>
        </w:rPr>
        <w:t>variáveis (G</w:t>
      </w:r>
      <w:r>
        <w:rPr>
          <w:szCs w:val="24"/>
        </w:rPr>
        <w:t>il</w:t>
      </w:r>
      <w:r w:rsidRPr="00F829D5">
        <w:rPr>
          <w:szCs w:val="24"/>
        </w:rPr>
        <w:t>, 2012).</w:t>
      </w:r>
    </w:p>
    <w:p w:rsidR="00F538D6" w:rsidRDefault="00F538D6" w:rsidP="00F538D6">
      <w:pPr>
        <w:rPr>
          <w:szCs w:val="24"/>
        </w:rPr>
      </w:pPr>
      <w:r>
        <w:rPr>
          <w:szCs w:val="24"/>
        </w:rPr>
        <w:t xml:space="preserve">Quanto aos </w:t>
      </w:r>
      <w:r w:rsidRPr="00F829D5">
        <w:rPr>
          <w:szCs w:val="24"/>
        </w:rPr>
        <w:t xml:space="preserve">procedimentos, define-se como pesquisa documental, por utilizar-se de coleta e organização de informações </w:t>
      </w:r>
      <w:r>
        <w:rPr>
          <w:szCs w:val="24"/>
        </w:rPr>
        <w:t>advindas de</w:t>
      </w:r>
      <w:r w:rsidRPr="00F829D5">
        <w:rPr>
          <w:szCs w:val="24"/>
        </w:rPr>
        <w:t xml:space="preserve"> documentos sem tratamento analítico. A pesquisa documental opera com documentos como fonte de dados, informações e evidências, através de fontes primárias</w:t>
      </w:r>
      <w:r>
        <w:rPr>
          <w:szCs w:val="24"/>
        </w:rPr>
        <w:t>, as quais</w:t>
      </w:r>
      <w:r w:rsidRPr="00F829D5">
        <w:rPr>
          <w:szCs w:val="24"/>
        </w:rPr>
        <w:t xml:space="preserve"> ainda não foram utilizadas em análises (</w:t>
      </w:r>
      <w:r>
        <w:rPr>
          <w:szCs w:val="24"/>
        </w:rPr>
        <w:t xml:space="preserve">Martins &amp; </w:t>
      </w:r>
      <w:proofErr w:type="spellStart"/>
      <w:r>
        <w:rPr>
          <w:szCs w:val="24"/>
        </w:rPr>
        <w:t>Theóphilo</w:t>
      </w:r>
      <w:proofErr w:type="spellEnd"/>
      <w:r w:rsidRPr="00F829D5">
        <w:rPr>
          <w:szCs w:val="24"/>
        </w:rPr>
        <w:t>, 2016).</w:t>
      </w:r>
    </w:p>
    <w:p w:rsidR="00F538D6" w:rsidRDefault="00F538D6" w:rsidP="00F538D6">
      <w:pPr>
        <w:rPr>
          <w:szCs w:val="24"/>
        </w:rPr>
      </w:pPr>
    </w:p>
    <w:p w:rsidR="00F538D6" w:rsidRPr="00EF1F05" w:rsidRDefault="00F538D6" w:rsidP="00F538D6">
      <w:pPr>
        <w:ind w:firstLine="0"/>
        <w:rPr>
          <w:b/>
          <w:szCs w:val="24"/>
        </w:rPr>
      </w:pPr>
      <w:r w:rsidRPr="00EF1F05">
        <w:rPr>
          <w:b/>
          <w:szCs w:val="24"/>
        </w:rPr>
        <w:t xml:space="preserve">3.2 </w:t>
      </w:r>
      <w:r>
        <w:rPr>
          <w:b/>
          <w:szCs w:val="24"/>
        </w:rPr>
        <w:t>População, A</w:t>
      </w:r>
      <w:r w:rsidRPr="00EF1F05">
        <w:rPr>
          <w:b/>
          <w:szCs w:val="24"/>
        </w:rPr>
        <w:t xml:space="preserve">mostra e </w:t>
      </w:r>
      <w:r>
        <w:rPr>
          <w:b/>
          <w:szCs w:val="24"/>
        </w:rPr>
        <w:t>C</w:t>
      </w:r>
      <w:r w:rsidRPr="00EF1F05">
        <w:rPr>
          <w:b/>
          <w:szCs w:val="24"/>
        </w:rPr>
        <w:t xml:space="preserve">oleta de </w:t>
      </w:r>
      <w:r>
        <w:rPr>
          <w:b/>
          <w:szCs w:val="24"/>
        </w:rPr>
        <w:t>D</w:t>
      </w:r>
      <w:r w:rsidRPr="00EF1F05">
        <w:rPr>
          <w:b/>
          <w:szCs w:val="24"/>
        </w:rPr>
        <w:t>ados</w:t>
      </w:r>
    </w:p>
    <w:p w:rsidR="00F538D6" w:rsidRDefault="00F538D6" w:rsidP="00F538D6">
      <w:pPr>
        <w:rPr>
          <w:szCs w:val="24"/>
        </w:rPr>
      </w:pPr>
    </w:p>
    <w:p w:rsidR="00F538D6" w:rsidRDefault="00F538D6" w:rsidP="00F538D6">
      <w:pPr>
        <w:rPr>
          <w:szCs w:val="24"/>
        </w:rPr>
      </w:pPr>
      <w:r>
        <w:rPr>
          <w:szCs w:val="24"/>
        </w:rPr>
        <w:t>A população dessa pesquisa é composta pelas</w:t>
      </w:r>
      <w:r w:rsidRPr="009D4965">
        <w:rPr>
          <w:szCs w:val="24"/>
        </w:rPr>
        <w:t xml:space="preserve"> companhias</w:t>
      </w:r>
      <w:r>
        <w:rPr>
          <w:szCs w:val="24"/>
        </w:rPr>
        <w:t xml:space="preserve"> que apresentam as demonstrações financeiras no site do Banco Central do Brasil (BACEN) ao final do exercício de 2017, especificamente as companhias classificadas nos seguintes tipos de instituição, conforme demonstrado na Tabela 2.</w:t>
      </w:r>
    </w:p>
    <w:p w:rsidR="00F538D6" w:rsidRDefault="00F538D6" w:rsidP="00F538D6">
      <w:pPr>
        <w:rPr>
          <w:szCs w:val="24"/>
        </w:rPr>
      </w:pPr>
    </w:p>
    <w:p w:rsidR="00F538D6" w:rsidRDefault="00F538D6" w:rsidP="00F538D6">
      <w:pPr>
        <w:pStyle w:val="Legenda"/>
        <w:keepNext/>
        <w:ind w:firstLine="0"/>
        <w:rPr>
          <w:b w:val="0"/>
          <w:noProof/>
          <w:szCs w:val="24"/>
        </w:rPr>
      </w:pPr>
      <w:r w:rsidRPr="001B125D">
        <w:rPr>
          <w:b w:val="0"/>
          <w:szCs w:val="24"/>
        </w:rPr>
        <w:t xml:space="preserve">Tabela </w:t>
      </w:r>
      <w:r>
        <w:rPr>
          <w:b w:val="0"/>
          <w:szCs w:val="24"/>
        </w:rPr>
        <w:t>2</w:t>
      </w:r>
    </w:p>
    <w:p w:rsidR="00F538D6" w:rsidRPr="001B125D" w:rsidRDefault="00F538D6" w:rsidP="00F538D6">
      <w:pPr>
        <w:pStyle w:val="Legenda"/>
        <w:keepNext/>
        <w:ind w:firstLine="0"/>
        <w:rPr>
          <w:szCs w:val="24"/>
        </w:rPr>
      </w:pPr>
      <w:r w:rsidRPr="001B125D">
        <w:rPr>
          <w:noProof/>
          <w:szCs w:val="24"/>
        </w:rPr>
        <w:t>Tipo de instituição</w:t>
      </w:r>
    </w:p>
    <w:tbl>
      <w:tblPr>
        <w:tblStyle w:val="Tabelacomgrade"/>
        <w:tblW w:w="5000" w:type="pct"/>
        <w:jc w:val="center"/>
        <w:tblBorders>
          <w:left w:val="none" w:sz="0" w:space="0" w:color="auto"/>
          <w:right w:val="none" w:sz="0" w:space="0" w:color="auto"/>
        </w:tblBorders>
        <w:tblLook w:val="04A0" w:firstRow="1" w:lastRow="0" w:firstColumn="1" w:lastColumn="0" w:noHBand="0" w:noVBand="1"/>
      </w:tblPr>
      <w:tblGrid>
        <w:gridCol w:w="7397"/>
        <w:gridCol w:w="2224"/>
      </w:tblGrid>
      <w:tr w:rsidR="00F538D6" w:rsidRPr="00251D5D" w:rsidTr="00F538D6">
        <w:trPr>
          <w:jc w:val="center"/>
        </w:trPr>
        <w:tc>
          <w:tcPr>
            <w:tcW w:w="3844" w:type="pct"/>
            <w:vAlign w:val="center"/>
          </w:tcPr>
          <w:p w:rsidR="00F538D6" w:rsidRPr="00251D5D" w:rsidRDefault="00F538D6" w:rsidP="00F538D6">
            <w:pPr>
              <w:spacing w:before="40" w:after="40"/>
              <w:ind w:firstLine="0"/>
              <w:jc w:val="center"/>
              <w:rPr>
                <w:rFonts w:ascii="Times New Roman" w:eastAsia="Times New Roman" w:hAnsi="Times New Roman"/>
                <w:b/>
                <w:sz w:val="20"/>
              </w:rPr>
            </w:pPr>
            <w:r w:rsidRPr="00251D5D">
              <w:rPr>
                <w:rFonts w:ascii="Times New Roman" w:eastAsia="Times New Roman" w:hAnsi="Times New Roman"/>
                <w:b/>
                <w:sz w:val="20"/>
              </w:rPr>
              <w:t>Tipo de instituição</w:t>
            </w:r>
          </w:p>
        </w:tc>
        <w:tc>
          <w:tcPr>
            <w:tcW w:w="1156" w:type="pct"/>
            <w:vAlign w:val="center"/>
          </w:tcPr>
          <w:p w:rsidR="00F538D6" w:rsidRPr="00251D5D" w:rsidRDefault="00F538D6" w:rsidP="00F538D6">
            <w:pPr>
              <w:spacing w:before="40" w:after="40"/>
              <w:ind w:right="-93" w:firstLine="0"/>
              <w:jc w:val="center"/>
              <w:rPr>
                <w:rFonts w:ascii="Times New Roman" w:eastAsia="Times New Roman" w:hAnsi="Times New Roman"/>
                <w:b/>
                <w:sz w:val="20"/>
              </w:rPr>
            </w:pPr>
            <w:r w:rsidRPr="00251D5D">
              <w:rPr>
                <w:rFonts w:ascii="Times New Roman" w:eastAsia="Times New Roman" w:hAnsi="Times New Roman"/>
                <w:b/>
                <w:sz w:val="20"/>
              </w:rPr>
              <w:t>Quantidade de Companhias em 2017</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Sociedades corretoras de títulos e valores mobiliários e câmbio</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132</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Sociedades distribuidoras de títulos e valores mobiliários</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94</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Sociedades de crédito, financiamento e investimento</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56</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Sociedades de crédito imobiliário</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1</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Associações de poupança e empréstimo</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1</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Companhias hipotecárias</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7</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lastRenderedPageBreak/>
              <w:t>Sociedades de arrendamento mercantil</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23</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Agências de fomento</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16</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Sociedades de crédito ao microempreendedor e à empresa de pequeno porte</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38</w:t>
            </w:r>
          </w:p>
        </w:tc>
      </w:tr>
      <w:tr w:rsidR="00F538D6" w:rsidRPr="00251D5D" w:rsidTr="00F538D6">
        <w:trPr>
          <w:jc w:val="center"/>
        </w:trPr>
        <w:tc>
          <w:tcPr>
            <w:tcW w:w="3844" w:type="pct"/>
            <w:vAlign w:val="center"/>
          </w:tcPr>
          <w:p w:rsidR="00F538D6" w:rsidRPr="00251D5D" w:rsidRDefault="00F538D6" w:rsidP="00F538D6">
            <w:pPr>
              <w:spacing w:before="40" w:after="40"/>
              <w:ind w:firstLine="0"/>
              <w:rPr>
                <w:rFonts w:ascii="Times New Roman" w:eastAsia="Times New Roman" w:hAnsi="Times New Roman"/>
                <w:sz w:val="20"/>
              </w:rPr>
            </w:pPr>
            <w:r w:rsidRPr="00251D5D">
              <w:rPr>
                <w:rFonts w:ascii="Times New Roman" w:eastAsia="Times New Roman" w:hAnsi="Times New Roman"/>
                <w:sz w:val="20"/>
              </w:rPr>
              <w:t>Instituições de pagamento</w:t>
            </w:r>
          </w:p>
        </w:tc>
        <w:tc>
          <w:tcPr>
            <w:tcW w:w="1156" w:type="pct"/>
            <w:vAlign w:val="center"/>
          </w:tcPr>
          <w:p w:rsidR="00F538D6" w:rsidRPr="00251D5D" w:rsidRDefault="00F538D6" w:rsidP="00F538D6">
            <w:pPr>
              <w:spacing w:before="40" w:after="40"/>
              <w:ind w:right="-93" w:hanging="23"/>
              <w:jc w:val="center"/>
              <w:rPr>
                <w:rFonts w:ascii="Times New Roman" w:eastAsia="Times New Roman" w:hAnsi="Times New Roman"/>
                <w:sz w:val="20"/>
              </w:rPr>
            </w:pPr>
            <w:r w:rsidRPr="00251D5D">
              <w:rPr>
                <w:rFonts w:ascii="Times New Roman" w:eastAsia="Times New Roman" w:hAnsi="Times New Roman"/>
                <w:sz w:val="20"/>
              </w:rPr>
              <w:t>6</w:t>
            </w:r>
          </w:p>
        </w:tc>
      </w:tr>
      <w:tr w:rsidR="00F538D6" w:rsidRPr="00251D5D" w:rsidTr="00F538D6">
        <w:trPr>
          <w:jc w:val="center"/>
        </w:trPr>
        <w:tc>
          <w:tcPr>
            <w:tcW w:w="3844" w:type="pct"/>
            <w:vAlign w:val="center"/>
          </w:tcPr>
          <w:p w:rsidR="00F538D6" w:rsidRPr="00863DA1" w:rsidRDefault="00F538D6" w:rsidP="00F538D6">
            <w:pPr>
              <w:spacing w:before="40" w:after="40" w:line="276" w:lineRule="auto"/>
              <w:ind w:firstLine="0"/>
              <w:rPr>
                <w:rFonts w:ascii="Times New Roman" w:eastAsia="Times New Roman" w:hAnsi="Times New Roman"/>
                <w:b/>
                <w:sz w:val="20"/>
              </w:rPr>
            </w:pPr>
            <w:r w:rsidRPr="00863DA1">
              <w:rPr>
                <w:rFonts w:ascii="Times New Roman" w:eastAsia="Times New Roman" w:hAnsi="Times New Roman"/>
                <w:b/>
                <w:sz w:val="20"/>
              </w:rPr>
              <w:t>TOTAL</w:t>
            </w:r>
          </w:p>
        </w:tc>
        <w:tc>
          <w:tcPr>
            <w:tcW w:w="1156" w:type="pct"/>
            <w:vAlign w:val="center"/>
          </w:tcPr>
          <w:p w:rsidR="00F538D6" w:rsidRPr="00863DA1" w:rsidRDefault="00F538D6" w:rsidP="00F538D6">
            <w:pPr>
              <w:spacing w:before="40" w:after="40" w:line="276" w:lineRule="auto"/>
              <w:ind w:right="-93" w:hanging="23"/>
              <w:jc w:val="center"/>
              <w:rPr>
                <w:rFonts w:ascii="Times New Roman" w:eastAsia="Times New Roman" w:hAnsi="Times New Roman"/>
                <w:b/>
                <w:sz w:val="20"/>
              </w:rPr>
            </w:pPr>
            <w:r w:rsidRPr="00863DA1">
              <w:rPr>
                <w:rFonts w:ascii="Times New Roman" w:eastAsia="Times New Roman" w:hAnsi="Times New Roman"/>
                <w:b/>
                <w:sz w:val="20"/>
              </w:rPr>
              <w:t>374</w:t>
            </w:r>
          </w:p>
        </w:tc>
      </w:tr>
    </w:tbl>
    <w:p w:rsidR="00F538D6" w:rsidRPr="0055155D" w:rsidRDefault="00F538D6" w:rsidP="00F538D6">
      <w:pPr>
        <w:ind w:firstLine="0"/>
        <w:rPr>
          <w:sz w:val="20"/>
        </w:rPr>
      </w:pPr>
      <w:r w:rsidRPr="001E58C7">
        <w:rPr>
          <w:b/>
          <w:sz w:val="20"/>
        </w:rPr>
        <w:t>Nota.</w:t>
      </w:r>
      <w:r w:rsidRPr="001E58C7">
        <w:rPr>
          <w:sz w:val="20"/>
        </w:rPr>
        <w:t xml:space="preserve"> Fonte: Elaborada a partir de Banco Central do Brasil (2018). </w:t>
      </w:r>
      <w:r w:rsidRPr="00863DA1">
        <w:rPr>
          <w:i/>
          <w:sz w:val="20"/>
        </w:rPr>
        <w:t>Perguntas frequentes</w:t>
      </w:r>
      <w:r w:rsidRPr="001E58C7">
        <w:rPr>
          <w:sz w:val="20"/>
        </w:rPr>
        <w:t xml:space="preserve">. Recuperado de </w:t>
      </w:r>
      <w:r w:rsidRPr="00863DA1">
        <w:t>https://www.bcb.gov.br/pre/bc_atende/port/fintechs.asp?idpai=FAQCIDADAO</w:t>
      </w:r>
    </w:p>
    <w:p w:rsidR="00F538D6" w:rsidRDefault="00F538D6" w:rsidP="00F538D6">
      <w:pPr>
        <w:rPr>
          <w:szCs w:val="24"/>
        </w:rPr>
      </w:pPr>
    </w:p>
    <w:p w:rsidR="00F538D6" w:rsidRDefault="00F538D6" w:rsidP="00F538D6">
      <w:pPr>
        <w:rPr>
          <w:szCs w:val="24"/>
        </w:rPr>
      </w:pPr>
      <w:r>
        <w:rPr>
          <w:szCs w:val="24"/>
        </w:rPr>
        <w:t xml:space="preserve">É possível verificar na Tabela 2, que ao final do exercício de 2017, totalizam-se 374 companhias com informações financeiras disponíveis no BACEN, para a população estabelecida. Para selecionar a amostra, foi definida a utilização das instituições que </w:t>
      </w:r>
      <w:r w:rsidRPr="001E61D8">
        <w:rPr>
          <w:szCs w:val="24"/>
        </w:rPr>
        <w:t>apresentar</w:t>
      </w:r>
      <w:r>
        <w:rPr>
          <w:szCs w:val="24"/>
        </w:rPr>
        <w:t>a</w:t>
      </w:r>
      <w:r w:rsidRPr="001E61D8">
        <w:rPr>
          <w:szCs w:val="24"/>
        </w:rPr>
        <w:t>m saldos na rubrica: 1.6.9.00.00-8 (Provisões para operações de crédito</w:t>
      </w:r>
      <w:r w:rsidR="003E0661">
        <w:rPr>
          <w:szCs w:val="24"/>
        </w:rPr>
        <w:t>, neste estudo denominada de Provisões para Perdas de Créditos</w:t>
      </w:r>
      <w:r w:rsidRPr="001E61D8">
        <w:rPr>
          <w:szCs w:val="24"/>
        </w:rPr>
        <w:t>)</w:t>
      </w:r>
      <w:r>
        <w:rPr>
          <w:szCs w:val="24"/>
        </w:rPr>
        <w:t>, qu</w:t>
      </w:r>
      <w:r w:rsidRPr="00387E05">
        <w:rPr>
          <w:szCs w:val="24"/>
        </w:rPr>
        <w:t>e em 2017 totalizam 114 companhias.</w:t>
      </w:r>
    </w:p>
    <w:p w:rsidR="00F538D6" w:rsidRDefault="00F538D6" w:rsidP="00F538D6">
      <w:pPr>
        <w:rPr>
          <w:szCs w:val="24"/>
        </w:rPr>
      </w:pPr>
      <w:r>
        <w:rPr>
          <w:szCs w:val="24"/>
        </w:rPr>
        <w:t xml:space="preserve">Após a seleção da amostra, foram formulados dois grupos de instituições, um denominado de </w:t>
      </w:r>
      <w:proofErr w:type="spellStart"/>
      <w:r>
        <w:rPr>
          <w:i/>
          <w:szCs w:val="24"/>
        </w:rPr>
        <w:t>FinTechs</w:t>
      </w:r>
      <w:proofErr w:type="spellEnd"/>
      <w:r>
        <w:rPr>
          <w:szCs w:val="24"/>
        </w:rPr>
        <w:t xml:space="preserve">, onde foram alocadas as sociedades de créditos, com base na </w:t>
      </w:r>
      <w:r w:rsidRPr="00264434">
        <w:rPr>
          <w:szCs w:val="24"/>
        </w:rPr>
        <w:t xml:space="preserve">Resolução do Conselho Monetário Nacional </w:t>
      </w:r>
      <w:r>
        <w:rPr>
          <w:szCs w:val="24"/>
        </w:rPr>
        <w:t xml:space="preserve">- </w:t>
      </w:r>
      <w:r w:rsidRPr="00264434">
        <w:rPr>
          <w:szCs w:val="24"/>
        </w:rPr>
        <w:t>CMN nº 4.656 (2018)</w:t>
      </w:r>
      <w:r>
        <w:rPr>
          <w:szCs w:val="24"/>
        </w:rPr>
        <w:t xml:space="preserve"> e o outro grupo denominado de Não-</w:t>
      </w:r>
      <w:proofErr w:type="spellStart"/>
      <w:r>
        <w:rPr>
          <w:i/>
          <w:szCs w:val="24"/>
        </w:rPr>
        <w:t>FinTechs</w:t>
      </w:r>
      <w:proofErr w:type="spellEnd"/>
      <w:r>
        <w:rPr>
          <w:szCs w:val="24"/>
        </w:rPr>
        <w:t>, onde foram distribuídas as demais instituições. Na Tabela 3, são apresentados esses dois grupos.</w:t>
      </w:r>
    </w:p>
    <w:p w:rsidR="00F538D6" w:rsidRDefault="00F538D6" w:rsidP="00F538D6">
      <w:pPr>
        <w:rPr>
          <w:szCs w:val="24"/>
        </w:rPr>
      </w:pPr>
    </w:p>
    <w:p w:rsidR="00F538D6" w:rsidRDefault="00F538D6" w:rsidP="00F538D6">
      <w:pPr>
        <w:pStyle w:val="Legenda"/>
        <w:keepNext/>
        <w:ind w:firstLine="0"/>
        <w:rPr>
          <w:noProof/>
          <w:szCs w:val="24"/>
        </w:rPr>
      </w:pPr>
      <w:r w:rsidRPr="001B125D">
        <w:rPr>
          <w:b w:val="0"/>
          <w:szCs w:val="24"/>
        </w:rPr>
        <w:t xml:space="preserve">Tabela </w:t>
      </w:r>
      <w:r>
        <w:rPr>
          <w:b w:val="0"/>
          <w:szCs w:val="24"/>
        </w:rPr>
        <w:t>3</w:t>
      </w:r>
    </w:p>
    <w:p w:rsidR="00F538D6" w:rsidRPr="001B125D" w:rsidRDefault="00F538D6" w:rsidP="00F538D6">
      <w:pPr>
        <w:pStyle w:val="Legenda"/>
        <w:keepNext/>
        <w:ind w:firstLine="0"/>
        <w:rPr>
          <w:szCs w:val="24"/>
        </w:rPr>
      </w:pPr>
      <w:r w:rsidRPr="001B125D">
        <w:rPr>
          <w:noProof/>
          <w:szCs w:val="24"/>
        </w:rPr>
        <w:t>Grupos de amostra</w:t>
      </w:r>
    </w:p>
    <w:tbl>
      <w:tblPr>
        <w:tblStyle w:val="Tabelacomgrade"/>
        <w:tblW w:w="5000" w:type="pct"/>
        <w:jc w:val="center"/>
        <w:tblBorders>
          <w:left w:val="none" w:sz="0" w:space="0" w:color="auto"/>
          <w:right w:val="none" w:sz="0" w:space="0" w:color="auto"/>
        </w:tblBorders>
        <w:tblLayout w:type="fixed"/>
        <w:tblLook w:val="04A0" w:firstRow="1" w:lastRow="0" w:firstColumn="1" w:lastColumn="0" w:noHBand="0" w:noVBand="1"/>
      </w:tblPr>
      <w:tblGrid>
        <w:gridCol w:w="3501"/>
        <w:gridCol w:w="1329"/>
        <w:gridCol w:w="3498"/>
        <w:gridCol w:w="1293"/>
      </w:tblGrid>
      <w:tr w:rsidR="00F538D6" w:rsidTr="00F538D6">
        <w:trPr>
          <w:jc w:val="center"/>
        </w:trPr>
        <w:tc>
          <w:tcPr>
            <w:tcW w:w="1819" w:type="pct"/>
            <w:vAlign w:val="center"/>
          </w:tcPr>
          <w:p w:rsidR="00F538D6" w:rsidRPr="00414FA2" w:rsidRDefault="00F538D6" w:rsidP="00F538D6">
            <w:pPr>
              <w:spacing w:before="40" w:after="40"/>
              <w:ind w:firstLine="0"/>
              <w:jc w:val="center"/>
              <w:rPr>
                <w:rFonts w:ascii="Times New Roman" w:eastAsia="Times New Roman" w:hAnsi="Times New Roman"/>
                <w:b/>
                <w:i/>
                <w:sz w:val="20"/>
              </w:rPr>
            </w:pPr>
            <w:r>
              <w:rPr>
                <w:rFonts w:ascii="Times New Roman" w:eastAsia="Times New Roman" w:hAnsi="Times New Roman"/>
                <w:b/>
                <w:sz w:val="20"/>
              </w:rPr>
              <w:t xml:space="preserve">Grupo </w:t>
            </w:r>
            <w:proofErr w:type="spellStart"/>
            <w:r>
              <w:rPr>
                <w:rFonts w:ascii="Times New Roman" w:eastAsia="Times New Roman" w:hAnsi="Times New Roman"/>
                <w:b/>
                <w:i/>
                <w:sz w:val="20"/>
              </w:rPr>
              <w:t>FinTechs</w:t>
            </w:r>
            <w:proofErr w:type="spellEnd"/>
          </w:p>
        </w:tc>
        <w:tc>
          <w:tcPr>
            <w:tcW w:w="690" w:type="pct"/>
            <w:vAlign w:val="center"/>
          </w:tcPr>
          <w:p w:rsidR="00F538D6" w:rsidRPr="0055155D" w:rsidRDefault="00F538D6" w:rsidP="00F538D6">
            <w:pPr>
              <w:spacing w:before="40" w:after="40"/>
              <w:ind w:firstLine="0"/>
              <w:jc w:val="center"/>
              <w:rPr>
                <w:rFonts w:ascii="Times New Roman" w:eastAsia="Times New Roman" w:hAnsi="Times New Roman"/>
                <w:b/>
                <w:sz w:val="20"/>
              </w:rPr>
            </w:pPr>
            <w:r w:rsidRPr="0055155D">
              <w:rPr>
                <w:rFonts w:ascii="Times New Roman" w:eastAsia="Times New Roman" w:hAnsi="Times New Roman"/>
                <w:b/>
                <w:sz w:val="20"/>
              </w:rPr>
              <w:t>Quantidade em 2017</w:t>
            </w:r>
          </w:p>
        </w:tc>
        <w:tc>
          <w:tcPr>
            <w:tcW w:w="1818" w:type="pct"/>
            <w:vAlign w:val="center"/>
          </w:tcPr>
          <w:p w:rsidR="00F538D6" w:rsidRPr="00414FA2" w:rsidRDefault="00F538D6" w:rsidP="00F538D6">
            <w:pPr>
              <w:spacing w:before="40" w:after="40"/>
              <w:ind w:firstLine="0"/>
              <w:jc w:val="center"/>
              <w:rPr>
                <w:rFonts w:ascii="Times New Roman" w:eastAsia="Times New Roman" w:hAnsi="Times New Roman"/>
                <w:b/>
                <w:i/>
                <w:sz w:val="20"/>
              </w:rPr>
            </w:pPr>
            <w:r>
              <w:rPr>
                <w:rFonts w:ascii="Times New Roman" w:eastAsia="Times New Roman" w:hAnsi="Times New Roman"/>
                <w:b/>
                <w:sz w:val="20"/>
              </w:rPr>
              <w:t>Grupo Não-</w:t>
            </w:r>
            <w:proofErr w:type="spellStart"/>
            <w:r>
              <w:rPr>
                <w:rFonts w:ascii="Times New Roman" w:eastAsia="Times New Roman" w:hAnsi="Times New Roman"/>
                <w:b/>
                <w:i/>
                <w:sz w:val="20"/>
              </w:rPr>
              <w:t>FinTechs</w:t>
            </w:r>
            <w:proofErr w:type="spellEnd"/>
          </w:p>
        </w:tc>
        <w:tc>
          <w:tcPr>
            <w:tcW w:w="672" w:type="pct"/>
            <w:vAlign w:val="center"/>
          </w:tcPr>
          <w:p w:rsidR="00F538D6" w:rsidRPr="0055155D" w:rsidRDefault="00F538D6" w:rsidP="00F538D6">
            <w:pPr>
              <w:spacing w:before="40" w:after="40"/>
              <w:ind w:firstLine="0"/>
              <w:jc w:val="center"/>
              <w:rPr>
                <w:rFonts w:ascii="Times New Roman" w:eastAsia="Times New Roman" w:hAnsi="Times New Roman"/>
                <w:b/>
                <w:sz w:val="20"/>
              </w:rPr>
            </w:pPr>
            <w:r w:rsidRPr="0055155D">
              <w:rPr>
                <w:rFonts w:ascii="Times New Roman" w:eastAsia="Times New Roman" w:hAnsi="Times New Roman"/>
                <w:b/>
                <w:sz w:val="20"/>
              </w:rPr>
              <w:t>Quantidade em 2017</w:t>
            </w:r>
          </w:p>
        </w:tc>
      </w:tr>
      <w:tr w:rsidR="00F538D6" w:rsidTr="00F538D6">
        <w:trPr>
          <w:jc w:val="center"/>
        </w:trPr>
        <w:tc>
          <w:tcPr>
            <w:tcW w:w="1819" w:type="pct"/>
            <w:vAlign w:val="center"/>
          </w:tcPr>
          <w:p w:rsidR="00F538D6" w:rsidRPr="0055155D" w:rsidRDefault="00F538D6" w:rsidP="00F538D6">
            <w:pPr>
              <w:spacing w:before="40" w:after="40"/>
              <w:ind w:firstLine="0"/>
              <w:jc w:val="left"/>
              <w:rPr>
                <w:rFonts w:ascii="Times New Roman" w:eastAsia="Times New Roman" w:hAnsi="Times New Roman"/>
                <w:sz w:val="20"/>
              </w:rPr>
            </w:pPr>
            <w:r w:rsidRPr="0055155D">
              <w:rPr>
                <w:rFonts w:ascii="Times New Roman" w:eastAsia="Times New Roman" w:hAnsi="Times New Roman"/>
                <w:sz w:val="20"/>
              </w:rPr>
              <w:t>Sociedades de crédit</w:t>
            </w:r>
            <w:r>
              <w:rPr>
                <w:rFonts w:ascii="Times New Roman" w:eastAsia="Times New Roman" w:hAnsi="Times New Roman"/>
                <w:sz w:val="20"/>
              </w:rPr>
              <w:t>o, financiamento e investimento</w:t>
            </w:r>
          </w:p>
        </w:tc>
        <w:tc>
          <w:tcPr>
            <w:tcW w:w="690"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53</w:t>
            </w:r>
          </w:p>
        </w:tc>
        <w:tc>
          <w:tcPr>
            <w:tcW w:w="1818" w:type="pct"/>
            <w:vAlign w:val="center"/>
          </w:tcPr>
          <w:p w:rsidR="00F538D6" w:rsidRPr="00387E05" w:rsidRDefault="00F538D6" w:rsidP="00F538D6">
            <w:pPr>
              <w:spacing w:before="40" w:after="40"/>
              <w:ind w:firstLine="0"/>
              <w:jc w:val="left"/>
              <w:rPr>
                <w:rFonts w:ascii="Times New Roman" w:eastAsia="Times New Roman" w:hAnsi="Times New Roman"/>
                <w:sz w:val="20"/>
              </w:rPr>
            </w:pPr>
            <w:r w:rsidRPr="00387E05">
              <w:rPr>
                <w:rFonts w:ascii="Times New Roman" w:eastAsia="Times New Roman" w:hAnsi="Times New Roman"/>
                <w:sz w:val="20"/>
              </w:rPr>
              <w:t>Agências de fomento</w:t>
            </w:r>
          </w:p>
        </w:tc>
        <w:tc>
          <w:tcPr>
            <w:tcW w:w="672"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16</w:t>
            </w:r>
          </w:p>
        </w:tc>
      </w:tr>
      <w:tr w:rsidR="00F538D6" w:rsidTr="00F538D6">
        <w:trPr>
          <w:jc w:val="center"/>
        </w:trPr>
        <w:tc>
          <w:tcPr>
            <w:tcW w:w="1819" w:type="pct"/>
            <w:vAlign w:val="center"/>
          </w:tcPr>
          <w:p w:rsidR="00F538D6" w:rsidRPr="0055155D" w:rsidRDefault="00F538D6" w:rsidP="00F538D6">
            <w:pPr>
              <w:spacing w:before="40" w:after="40"/>
              <w:ind w:firstLine="0"/>
              <w:jc w:val="left"/>
              <w:rPr>
                <w:rFonts w:ascii="Times New Roman" w:eastAsia="Times New Roman" w:hAnsi="Times New Roman"/>
                <w:sz w:val="20"/>
              </w:rPr>
            </w:pPr>
            <w:r w:rsidRPr="0055155D">
              <w:rPr>
                <w:rFonts w:ascii="Times New Roman" w:eastAsia="Times New Roman" w:hAnsi="Times New Roman"/>
                <w:sz w:val="20"/>
              </w:rPr>
              <w:t>Sociedades de crédito ao microempreended</w:t>
            </w:r>
            <w:r>
              <w:rPr>
                <w:rFonts w:ascii="Times New Roman" w:eastAsia="Times New Roman" w:hAnsi="Times New Roman"/>
                <w:sz w:val="20"/>
              </w:rPr>
              <w:t>or e à empresa de pequeno porte</w:t>
            </w:r>
          </w:p>
        </w:tc>
        <w:tc>
          <w:tcPr>
            <w:tcW w:w="690"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35</w:t>
            </w:r>
          </w:p>
        </w:tc>
        <w:tc>
          <w:tcPr>
            <w:tcW w:w="1818" w:type="pct"/>
            <w:vAlign w:val="center"/>
          </w:tcPr>
          <w:p w:rsidR="00F538D6" w:rsidRPr="00387E05" w:rsidRDefault="00F538D6" w:rsidP="00F538D6">
            <w:pPr>
              <w:spacing w:before="40" w:after="40"/>
              <w:ind w:firstLine="0"/>
              <w:jc w:val="left"/>
              <w:rPr>
                <w:rFonts w:ascii="Times New Roman" w:eastAsia="Times New Roman" w:hAnsi="Times New Roman"/>
                <w:sz w:val="20"/>
              </w:rPr>
            </w:pPr>
            <w:r w:rsidRPr="00387E05">
              <w:rPr>
                <w:rFonts w:ascii="Times New Roman" w:eastAsia="Times New Roman" w:hAnsi="Times New Roman"/>
                <w:sz w:val="20"/>
              </w:rPr>
              <w:t>Companhias hipotecárias</w:t>
            </w:r>
          </w:p>
        </w:tc>
        <w:tc>
          <w:tcPr>
            <w:tcW w:w="672"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6</w:t>
            </w:r>
          </w:p>
        </w:tc>
      </w:tr>
      <w:tr w:rsidR="00F538D6" w:rsidTr="00F538D6">
        <w:trPr>
          <w:jc w:val="center"/>
        </w:trPr>
        <w:tc>
          <w:tcPr>
            <w:tcW w:w="1819" w:type="pct"/>
            <w:vAlign w:val="center"/>
          </w:tcPr>
          <w:p w:rsidR="00F538D6" w:rsidRPr="0055155D" w:rsidRDefault="00F538D6" w:rsidP="00F538D6">
            <w:pPr>
              <w:spacing w:before="40" w:after="40"/>
              <w:ind w:firstLine="0"/>
              <w:jc w:val="left"/>
              <w:rPr>
                <w:rFonts w:ascii="Times New Roman" w:eastAsia="Times New Roman" w:hAnsi="Times New Roman"/>
                <w:sz w:val="20"/>
              </w:rPr>
            </w:pPr>
            <w:r w:rsidRPr="0055155D">
              <w:rPr>
                <w:rFonts w:ascii="Times New Roman" w:eastAsia="Times New Roman" w:hAnsi="Times New Roman"/>
                <w:sz w:val="20"/>
              </w:rPr>
              <w:t>Sociedades de crédito imobiliário</w:t>
            </w:r>
          </w:p>
        </w:tc>
        <w:tc>
          <w:tcPr>
            <w:tcW w:w="690"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1</w:t>
            </w:r>
          </w:p>
        </w:tc>
        <w:tc>
          <w:tcPr>
            <w:tcW w:w="1818" w:type="pct"/>
            <w:vAlign w:val="center"/>
          </w:tcPr>
          <w:p w:rsidR="00F538D6" w:rsidRPr="00387E05" w:rsidRDefault="00F538D6" w:rsidP="00F538D6">
            <w:pPr>
              <w:spacing w:before="40" w:after="40"/>
              <w:ind w:firstLine="0"/>
              <w:jc w:val="left"/>
              <w:rPr>
                <w:rFonts w:ascii="Times New Roman" w:eastAsia="Times New Roman" w:hAnsi="Times New Roman"/>
                <w:sz w:val="20"/>
              </w:rPr>
            </w:pPr>
            <w:r w:rsidRPr="00387E05">
              <w:rPr>
                <w:rFonts w:ascii="Times New Roman" w:eastAsia="Times New Roman" w:hAnsi="Times New Roman"/>
                <w:sz w:val="20"/>
              </w:rPr>
              <w:t>Sociedades corretoras de títulos e valores mobiliários e câmbio</w:t>
            </w:r>
          </w:p>
        </w:tc>
        <w:tc>
          <w:tcPr>
            <w:tcW w:w="672"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2</w:t>
            </w:r>
          </w:p>
        </w:tc>
      </w:tr>
      <w:tr w:rsidR="00F538D6" w:rsidTr="00F538D6">
        <w:trPr>
          <w:jc w:val="center"/>
        </w:trPr>
        <w:tc>
          <w:tcPr>
            <w:tcW w:w="1819" w:type="pct"/>
            <w:vAlign w:val="center"/>
          </w:tcPr>
          <w:p w:rsidR="00F538D6" w:rsidRPr="0055155D" w:rsidRDefault="00F538D6" w:rsidP="00F538D6">
            <w:pPr>
              <w:spacing w:before="40" w:after="40"/>
              <w:jc w:val="left"/>
              <w:rPr>
                <w:rFonts w:ascii="Times New Roman" w:eastAsia="Times New Roman" w:hAnsi="Times New Roman"/>
                <w:sz w:val="20"/>
              </w:rPr>
            </w:pPr>
          </w:p>
        </w:tc>
        <w:tc>
          <w:tcPr>
            <w:tcW w:w="690" w:type="pct"/>
            <w:vAlign w:val="center"/>
          </w:tcPr>
          <w:p w:rsidR="00F538D6" w:rsidRPr="00387E05" w:rsidRDefault="00F538D6" w:rsidP="00F538D6">
            <w:pPr>
              <w:spacing w:before="40" w:after="40"/>
              <w:jc w:val="center"/>
              <w:rPr>
                <w:rFonts w:ascii="Times New Roman" w:eastAsia="Times New Roman" w:hAnsi="Times New Roman"/>
                <w:sz w:val="20"/>
              </w:rPr>
            </w:pPr>
          </w:p>
        </w:tc>
        <w:tc>
          <w:tcPr>
            <w:tcW w:w="1818" w:type="pct"/>
            <w:vAlign w:val="center"/>
          </w:tcPr>
          <w:p w:rsidR="00F538D6" w:rsidRPr="00387E05" w:rsidRDefault="00F538D6" w:rsidP="00F538D6">
            <w:pPr>
              <w:spacing w:before="40" w:after="40"/>
              <w:ind w:firstLine="0"/>
              <w:jc w:val="left"/>
              <w:rPr>
                <w:rFonts w:ascii="Times New Roman" w:eastAsia="Times New Roman" w:hAnsi="Times New Roman"/>
                <w:sz w:val="20"/>
              </w:rPr>
            </w:pPr>
            <w:r w:rsidRPr="00387E05">
              <w:rPr>
                <w:rFonts w:ascii="Times New Roman" w:eastAsia="Times New Roman" w:hAnsi="Times New Roman"/>
                <w:sz w:val="20"/>
              </w:rPr>
              <w:t>Associações de poupança e empréstimo</w:t>
            </w:r>
          </w:p>
        </w:tc>
        <w:tc>
          <w:tcPr>
            <w:tcW w:w="672"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1</w:t>
            </w:r>
          </w:p>
        </w:tc>
      </w:tr>
      <w:tr w:rsidR="00F538D6" w:rsidTr="00F538D6">
        <w:trPr>
          <w:jc w:val="center"/>
        </w:trPr>
        <w:tc>
          <w:tcPr>
            <w:tcW w:w="1819" w:type="pct"/>
            <w:vAlign w:val="center"/>
          </w:tcPr>
          <w:p w:rsidR="00F538D6" w:rsidRPr="0055155D" w:rsidRDefault="00F538D6" w:rsidP="00F538D6">
            <w:pPr>
              <w:spacing w:before="40" w:after="40"/>
              <w:jc w:val="left"/>
              <w:rPr>
                <w:rFonts w:ascii="Times New Roman" w:eastAsia="Times New Roman" w:hAnsi="Times New Roman"/>
                <w:sz w:val="20"/>
              </w:rPr>
            </w:pPr>
          </w:p>
        </w:tc>
        <w:tc>
          <w:tcPr>
            <w:tcW w:w="690" w:type="pct"/>
            <w:vAlign w:val="center"/>
          </w:tcPr>
          <w:p w:rsidR="00F538D6" w:rsidRPr="00387E05" w:rsidRDefault="00F538D6" w:rsidP="00F538D6">
            <w:pPr>
              <w:spacing w:before="40" w:after="40"/>
              <w:jc w:val="center"/>
              <w:rPr>
                <w:rFonts w:ascii="Times New Roman" w:eastAsia="Times New Roman" w:hAnsi="Times New Roman"/>
                <w:sz w:val="20"/>
              </w:rPr>
            </w:pPr>
          </w:p>
        </w:tc>
        <w:tc>
          <w:tcPr>
            <w:tcW w:w="1818" w:type="pct"/>
            <w:vAlign w:val="center"/>
          </w:tcPr>
          <w:p w:rsidR="00F538D6" w:rsidRPr="00387E05" w:rsidRDefault="00F538D6" w:rsidP="00F538D6">
            <w:pPr>
              <w:spacing w:before="40" w:after="40"/>
              <w:ind w:firstLine="0"/>
              <w:jc w:val="left"/>
              <w:rPr>
                <w:rFonts w:ascii="Times New Roman" w:eastAsia="Times New Roman" w:hAnsi="Times New Roman"/>
                <w:sz w:val="20"/>
              </w:rPr>
            </w:pPr>
            <w:r w:rsidRPr="00387E05">
              <w:rPr>
                <w:rFonts w:ascii="Times New Roman" w:eastAsia="Times New Roman" w:hAnsi="Times New Roman"/>
                <w:sz w:val="20"/>
              </w:rPr>
              <w:t>Sociedades de arrendamento mercantil</w:t>
            </w:r>
          </w:p>
        </w:tc>
        <w:tc>
          <w:tcPr>
            <w:tcW w:w="672"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0</w:t>
            </w:r>
          </w:p>
        </w:tc>
      </w:tr>
      <w:tr w:rsidR="00F538D6" w:rsidTr="00F538D6">
        <w:trPr>
          <w:jc w:val="center"/>
        </w:trPr>
        <w:tc>
          <w:tcPr>
            <w:tcW w:w="1819" w:type="pct"/>
            <w:vAlign w:val="center"/>
          </w:tcPr>
          <w:p w:rsidR="00F538D6" w:rsidRPr="0055155D" w:rsidRDefault="00F538D6" w:rsidP="00F538D6">
            <w:pPr>
              <w:spacing w:before="40" w:after="40"/>
              <w:jc w:val="left"/>
              <w:rPr>
                <w:rFonts w:ascii="Times New Roman" w:eastAsia="Times New Roman" w:hAnsi="Times New Roman"/>
                <w:sz w:val="20"/>
              </w:rPr>
            </w:pPr>
          </w:p>
        </w:tc>
        <w:tc>
          <w:tcPr>
            <w:tcW w:w="690" w:type="pct"/>
            <w:vAlign w:val="center"/>
          </w:tcPr>
          <w:p w:rsidR="00F538D6" w:rsidRPr="00387E05" w:rsidRDefault="00F538D6" w:rsidP="00F538D6">
            <w:pPr>
              <w:spacing w:before="40" w:after="40"/>
              <w:jc w:val="center"/>
              <w:rPr>
                <w:rFonts w:ascii="Times New Roman" w:eastAsia="Times New Roman" w:hAnsi="Times New Roman"/>
                <w:sz w:val="20"/>
              </w:rPr>
            </w:pPr>
          </w:p>
        </w:tc>
        <w:tc>
          <w:tcPr>
            <w:tcW w:w="1818" w:type="pct"/>
            <w:vAlign w:val="center"/>
          </w:tcPr>
          <w:p w:rsidR="00F538D6" w:rsidRPr="0055155D" w:rsidRDefault="00F538D6" w:rsidP="00F538D6">
            <w:pPr>
              <w:spacing w:before="40" w:after="40"/>
              <w:ind w:firstLine="0"/>
              <w:jc w:val="left"/>
              <w:rPr>
                <w:rFonts w:ascii="Times New Roman" w:eastAsia="Times New Roman" w:hAnsi="Times New Roman"/>
                <w:sz w:val="20"/>
              </w:rPr>
            </w:pPr>
            <w:r>
              <w:rPr>
                <w:rFonts w:ascii="Times New Roman" w:eastAsia="Times New Roman" w:hAnsi="Times New Roman"/>
                <w:sz w:val="20"/>
              </w:rPr>
              <w:t>Instituições de pagamento</w:t>
            </w:r>
          </w:p>
        </w:tc>
        <w:tc>
          <w:tcPr>
            <w:tcW w:w="672"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0</w:t>
            </w:r>
          </w:p>
        </w:tc>
      </w:tr>
      <w:tr w:rsidR="00F538D6" w:rsidTr="00F538D6">
        <w:trPr>
          <w:jc w:val="center"/>
        </w:trPr>
        <w:tc>
          <w:tcPr>
            <w:tcW w:w="1819" w:type="pct"/>
            <w:vAlign w:val="center"/>
          </w:tcPr>
          <w:p w:rsidR="00F538D6" w:rsidRDefault="00F538D6" w:rsidP="00F538D6">
            <w:pPr>
              <w:spacing w:before="40" w:after="40"/>
              <w:jc w:val="left"/>
              <w:rPr>
                <w:rFonts w:ascii="Times New Roman" w:eastAsia="Times New Roman" w:hAnsi="Times New Roman"/>
                <w:sz w:val="20"/>
              </w:rPr>
            </w:pPr>
          </w:p>
        </w:tc>
        <w:tc>
          <w:tcPr>
            <w:tcW w:w="690" w:type="pct"/>
            <w:vAlign w:val="center"/>
          </w:tcPr>
          <w:p w:rsidR="00F538D6" w:rsidRPr="00387E05" w:rsidRDefault="00F538D6" w:rsidP="00F538D6">
            <w:pPr>
              <w:spacing w:before="40" w:after="40"/>
              <w:jc w:val="center"/>
              <w:rPr>
                <w:rFonts w:ascii="Times New Roman" w:eastAsia="Times New Roman" w:hAnsi="Times New Roman"/>
                <w:sz w:val="20"/>
              </w:rPr>
            </w:pPr>
          </w:p>
        </w:tc>
        <w:tc>
          <w:tcPr>
            <w:tcW w:w="1818" w:type="pct"/>
            <w:vAlign w:val="center"/>
          </w:tcPr>
          <w:p w:rsidR="00F538D6" w:rsidRPr="00387E05" w:rsidRDefault="00F538D6" w:rsidP="00F538D6">
            <w:pPr>
              <w:spacing w:before="40" w:after="40"/>
              <w:ind w:firstLine="0"/>
              <w:jc w:val="left"/>
              <w:rPr>
                <w:rFonts w:ascii="Times New Roman" w:eastAsia="Times New Roman" w:hAnsi="Times New Roman"/>
                <w:sz w:val="20"/>
              </w:rPr>
            </w:pPr>
            <w:r w:rsidRPr="00387E05">
              <w:rPr>
                <w:rFonts w:ascii="Times New Roman" w:eastAsia="Times New Roman" w:hAnsi="Times New Roman"/>
                <w:sz w:val="20"/>
              </w:rPr>
              <w:t>Sociedades distribuidoras de títulos e valores mobiliários</w:t>
            </w:r>
          </w:p>
        </w:tc>
        <w:tc>
          <w:tcPr>
            <w:tcW w:w="672" w:type="pct"/>
            <w:vAlign w:val="center"/>
          </w:tcPr>
          <w:p w:rsidR="00F538D6" w:rsidRPr="00387E05" w:rsidRDefault="00F538D6" w:rsidP="00F538D6">
            <w:pPr>
              <w:spacing w:before="40" w:after="40"/>
              <w:ind w:firstLine="0"/>
              <w:jc w:val="center"/>
              <w:rPr>
                <w:rFonts w:ascii="Times New Roman" w:eastAsia="Times New Roman" w:hAnsi="Times New Roman"/>
                <w:sz w:val="20"/>
              </w:rPr>
            </w:pPr>
            <w:r w:rsidRPr="00387E05">
              <w:rPr>
                <w:rFonts w:ascii="Times New Roman" w:eastAsia="Times New Roman" w:hAnsi="Times New Roman"/>
                <w:sz w:val="20"/>
              </w:rPr>
              <w:t>0</w:t>
            </w:r>
          </w:p>
        </w:tc>
      </w:tr>
      <w:tr w:rsidR="00F538D6" w:rsidRPr="00675832" w:rsidTr="00F538D6">
        <w:trPr>
          <w:jc w:val="center"/>
        </w:trPr>
        <w:tc>
          <w:tcPr>
            <w:tcW w:w="1819" w:type="pct"/>
            <w:vAlign w:val="center"/>
          </w:tcPr>
          <w:p w:rsidR="00F538D6" w:rsidRPr="00863DA1" w:rsidRDefault="00F538D6" w:rsidP="00F538D6">
            <w:pPr>
              <w:spacing w:before="40" w:after="40"/>
              <w:ind w:firstLine="0"/>
              <w:jc w:val="left"/>
              <w:rPr>
                <w:rFonts w:ascii="Times New Roman" w:eastAsia="Times New Roman" w:hAnsi="Times New Roman"/>
                <w:b/>
                <w:sz w:val="20"/>
              </w:rPr>
            </w:pPr>
            <w:r w:rsidRPr="00863DA1">
              <w:rPr>
                <w:rFonts w:ascii="Times New Roman" w:eastAsia="Times New Roman" w:hAnsi="Times New Roman"/>
                <w:b/>
                <w:sz w:val="20"/>
              </w:rPr>
              <w:t>TOTAL</w:t>
            </w:r>
          </w:p>
        </w:tc>
        <w:tc>
          <w:tcPr>
            <w:tcW w:w="690" w:type="pct"/>
            <w:vAlign w:val="center"/>
          </w:tcPr>
          <w:p w:rsidR="00F538D6" w:rsidRPr="00863DA1" w:rsidRDefault="00F538D6" w:rsidP="00F538D6">
            <w:pPr>
              <w:spacing w:before="40" w:after="40" w:line="276" w:lineRule="auto"/>
              <w:ind w:firstLine="0"/>
              <w:jc w:val="center"/>
              <w:rPr>
                <w:rFonts w:ascii="Times New Roman" w:eastAsia="Times New Roman" w:hAnsi="Times New Roman"/>
                <w:b/>
                <w:sz w:val="20"/>
              </w:rPr>
            </w:pPr>
            <w:r w:rsidRPr="00863DA1">
              <w:rPr>
                <w:rFonts w:ascii="Times New Roman" w:eastAsia="Times New Roman" w:hAnsi="Times New Roman"/>
                <w:b/>
                <w:sz w:val="20"/>
              </w:rPr>
              <w:t>89</w:t>
            </w:r>
          </w:p>
        </w:tc>
        <w:tc>
          <w:tcPr>
            <w:tcW w:w="1818" w:type="pct"/>
            <w:vAlign w:val="center"/>
          </w:tcPr>
          <w:p w:rsidR="00F538D6" w:rsidRPr="00863DA1" w:rsidRDefault="00F538D6" w:rsidP="00F538D6">
            <w:pPr>
              <w:spacing w:before="40" w:after="40"/>
              <w:ind w:firstLine="0"/>
              <w:jc w:val="left"/>
              <w:rPr>
                <w:rFonts w:ascii="Times New Roman" w:eastAsia="Times New Roman" w:hAnsi="Times New Roman"/>
                <w:b/>
                <w:sz w:val="20"/>
              </w:rPr>
            </w:pPr>
            <w:r w:rsidRPr="00863DA1">
              <w:rPr>
                <w:rFonts w:ascii="Times New Roman" w:eastAsia="Times New Roman" w:hAnsi="Times New Roman"/>
                <w:b/>
                <w:sz w:val="20"/>
              </w:rPr>
              <w:t>TOTAL</w:t>
            </w:r>
          </w:p>
        </w:tc>
        <w:tc>
          <w:tcPr>
            <w:tcW w:w="672" w:type="pct"/>
            <w:vAlign w:val="center"/>
          </w:tcPr>
          <w:p w:rsidR="00F538D6" w:rsidRPr="00863DA1" w:rsidRDefault="00F538D6" w:rsidP="00F538D6">
            <w:pPr>
              <w:spacing w:before="40" w:after="40" w:line="276" w:lineRule="auto"/>
              <w:ind w:firstLine="0"/>
              <w:jc w:val="center"/>
              <w:rPr>
                <w:rFonts w:ascii="Times New Roman" w:eastAsia="Times New Roman" w:hAnsi="Times New Roman"/>
                <w:b/>
                <w:sz w:val="20"/>
              </w:rPr>
            </w:pPr>
            <w:r w:rsidRPr="00863DA1">
              <w:rPr>
                <w:rFonts w:ascii="Times New Roman" w:eastAsia="Times New Roman" w:hAnsi="Times New Roman"/>
                <w:b/>
                <w:sz w:val="20"/>
              </w:rPr>
              <w:t>25</w:t>
            </w:r>
          </w:p>
        </w:tc>
      </w:tr>
    </w:tbl>
    <w:p w:rsidR="00F538D6" w:rsidRPr="0055155D" w:rsidRDefault="00F538D6" w:rsidP="00F538D6">
      <w:pPr>
        <w:ind w:firstLine="0"/>
        <w:rPr>
          <w:sz w:val="20"/>
        </w:rPr>
      </w:pPr>
      <w:r>
        <w:rPr>
          <w:b/>
          <w:sz w:val="20"/>
        </w:rPr>
        <w:t>Nota.</w:t>
      </w:r>
      <w:r>
        <w:rPr>
          <w:sz w:val="20"/>
        </w:rPr>
        <w:t xml:space="preserve"> Fonte: Elaborada a partir de dados da pesquisa.</w:t>
      </w:r>
    </w:p>
    <w:p w:rsidR="00F538D6" w:rsidRDefault="00F538D6" w:rsidP="00F538D6">
      <w:pPr>
        <w:rPr>
          <w:szCs w:val="24"/>
        </w:rPr>
      </w:pPr>
    </w:p>
    <w:p w:rsidR="00F538D6" w:rsidRPr="00585B8E" w:rsidRDefault="00F538D6" w:rsidP="00F538D6">
      <w:pPr>
        <w:rPr>
          <w:szCs w:val="24"/>
        </w:rPr>
      </w:pPr>
      <w:r>
        <w:rPr>
          <w:szCs w:val="24"/>
        </w:rPr>
        <w:t>A coleta de dados ocorreu através do site do BACEN, utilizando as demonstrações contábeis anuais, do período de 2009 a 2017, pois optou</w:t>
      </w:r>
      <w:r w:rsidR="003E0661">
        <w:rPr>
          <w:szCs w:val="24"/>
        </w:rPr>
        <w:t>-se</w:t>
      </w:r>
      <w:r>
        <w:rPr>
          <w:szCs w:val="24"/>
        </w:rPr>
        <w:t xml:space="preserve"> </w:t>
      </w:r>
      <w:r w:rsidR="003E0661">
        <w:rPr>
          <w:szCs w:val="24"/>
        </w:rPr>
        <w:t xml:space="preserve">em </w:t>
      </w:r>
      <w:r>
        <w:rPr>
          <w:szCs w:val="24"/>
        </w:rPr>
        <w:t>analisar o período após a crise de 2008.</w:t>
      </w:r>
      <w:r w:rsidRPr="00585B8E">
        <w:rPr>
          <w:szCs w:val="24"/>
        </w:rPr>
        <w:t xml:space="preserve"> </w:t>
      </w:r>
    </w:p>
    <w:p w:rsidR="00F538D6" w:rsidRDefault="00F538D6" w:rsidP="00F538D6">
      <w:pPr>
        <w:rPr>
          <w:szCs w:val="24"/>
        </w:rPr>
      </w:pPr>
    </w:p>
    <w:p w:rsidR="00F538D6" w:rsidRPr="00EF1F05" w:rsidRDefault="00F538D6" w:rsidP="00F538D6">
      <w:pPr>
        <w:ind w:firstLine="0"/>
        <w:rPr>
          <w:b/>
          <w:szCs w:val="24"/>
        </w:rPr>
      </w:pPr>
      <w:r w:rsidRPr="00EF1F05">
        <w:rPr>
          <w:b/>
          <w:szCs w:val="24"/>
        </w:rPr>
        <w:t xml:space="preserve">3.3 </w:t>
      </w:r>
      <w:r>
        <w:rPr>
          <w:b/>
          <w:szCs w:val="24"/>
        </w:rPr>
        <w:t>Descrição do M</w:t>
      </w:r>
      <w:r w:rsidRPr="00EF1F05">
        <w:rPr>
          <w:b/>
          <w:szCs w:val="24"/>
        </w:rPr>
        <w:t>odelo</w:t>
      </w:r>
      <w:r>
        <w:rPr>
          <w:b/>
          <w:szCs w:val="24"/>
        </w:rPr>
        <w:t xml:space="preserve"> Operacional</w:t>
      </w:r>
    </w:p>
    <w:p w:rsidR="00F538D6" w:rsidRDefault="00F538D6" w:rsidP="00F538D6">
      <w:pPr>
        <w:rPr>
          <w:szCs w:val="24"/>
        </w:rPr>
      </w:pPr>
    </w:p>
    <w:p w:rsidR="00F538D6" w:rsidRDefault="00F538D6" w:rsidP="00F538D6">
      <w:pPr>
        <w:rPr>
          <w:szCs w:val="24"/>
        </w:rPr>
      </w:pPr>
      <w:r>
        <w:rPr>
          <w:szCs w:val="24"/>
        </w:rPr>
        <w:t xml:space="preserve">Nessa pesquisa foi utilizada a regressão linear múltipla com dados em painel, contemplando o período de 2009 a 2017. Foi aplicado o modelo de regressão adaptado de Peterson &amp; </w:t>
      </w:r>
      <w:proofErr w:type="spellStart"/>
      <w:r>
        <w:rPr>
          <w:szCs w:val="24"/>
        </w:rPr>
        <w:t>Ar</w:t>
      </w:r>
      <w:r w:rsidR="003E0661">
        <w:rPr>
          <w:szCs w:val="24"/>
        </w:rPr>
        <w:t>u</w:t>
      </w:r>
      <w:r>
        <w:rPr>
          <w:szCs w:val="24"/>
        </w:rPr>
        <w:t>n</w:t>
      </w:r>
      <w:proofErr w:type="spellEnd"/>
      <w:r>
        <w:rPr>
          <w:szCs w:val="24"/>
        </w:rPr>
        <w:t xml:space="preserve"> (2018), conforme demonstrado na Equação 1.</w:t>
      </w:r>
    </w:p>
    <w:p w:rsidR="00F538D6" w:rsidRDefault="00F538D6" w:rsidP="00F538D6">
      <w:pPr>
        <w:rPr>
          <w:szCs w:val="24"/>
        </w:rPr>
      </w:pPr>
    </w:p>
    <w:p w:rsidR="00F538D6" w:rsidRPr="00803C34" w:rsidRDefault="00F538D6" w:rsidP="00F538D6">
      <w:pPr>
        <w:ind w:firstLine="0"/>
        <w:jc w:val="center"/>
        <w:rPr>
          <w:szCs w:val="24"/>
        </w:rPr>
      </w:pPr>
      <w:proofErr w:type="spellStart"/>
      <w:r w:rsidRPr="005A3948">
        <w:rPr>
          <w:i/>
        </w:rPr>
        <w:t>LLP</w:t>
      </w:r>
      <w:r w:rsidRPr="005A3948">
        <w:rPr>
          <w:i/>
          <w:vertAlign w:val="subscript"/>
        </w:rPr>
        <w:t>it</w:t>
      </w:r>
      <w:proofErr w:type="spellEnd"/>
      <w:r w:rsidRPr="005A3948">
        <w:rPr>
          <w:i/>
        </w:rPr>
        <w:t xml:space="preserve"> = β</w:t>
      </w:r>
      <w:r w:rsidRPr="005A3948">
        <w:rPr>
          <w:i/>
          <w:vertAlign w:val="subscript"/>
        </w:rPr>
        <w:t>0</w:t>
      </w:r>
      <w:r w:rsidRPr="005A3948">
        <w:rPr>
          <w:i/>
        </w:rPr>
        <w:t xml:space="preserve"> + β</w:t>
      </w:r>
      <w:r w:rsidRPr="005A3948">
        <w:rPr>
          <w:i/>
          <w:vertAlign w:val="subscript"/>
        </w:rPr>
        <w:t>1</w:t>
      </w:r>
      <w:r w:rsidRPr="005A3948">
        <w:rPr>
          <w:i/>
        </w:rPr>
        <w:t>EBTP</w:t>
      </w:r>
      <w:r w:rsidRPr="005A3948">
        <w:rPr>
          <w:i/>
          <w:vertAlign w:val="subscript"/>
        </w:rPr>
        <w:t>it</w:t>
      </w:r>
      <w:r w:rsidRPr="005A3948">
        <w:rPr>
          <w:i/>
        </w:rPr>
        <w:t xml:space="preserve"> + β</w:t>
      </w:r>
      <w:r w:rsidRPr="005A3948">
        <w:rPr>
          <w:i/>
          <w:vertAlign w:val="subscript"/>
        </w:rPr>
        <w:t>2</w:t>
      </w:r>
      <w:r w:rsidRPr="005A3948">
        <w:rPr>
          <w:i/>
        </w:rPr>
        <w:t>CAR</w:t>
      </w:r>
      <w:r w:rsidRPr="005A3948">
        <w:rPr>
          <w:i/>
          <w:vertAlign w:val="subscript"/>
        </w:rPr>
        <w:t>it</w:t>
      </w:r>
      <w:r w:rsidRPr="005A3948">
        <w:rPr>
          <w:i/>
        </w:rPr>
        <w:t xml:space="preserve"> + β</w:t>
      </w:r>
      <w:r w:rsidRPr="005A3948">
        <w:rPr>
          <w:i/>
          <w:vertAlign w:val="subscript"/>
        </w:rPr>
        <w:t>3</w:t>
      </w:r>
      <w:r w:rsidRPr="005A3948">
        <w:rPr>
          <w:i/>
        </w:rPr>
        <w:t>NPL</w:t>
      </w:r>
      <w:r w:rsidRPr="005A3948">
        <w:rPr>
          <w:i/>
          <w:vertAlign w:val="subscript"/>
        </w:rPr>
        <w:t>it</w:t>
      </w:r>
      <w:r w:rsidRPr="005A3948">
        <w:rPr>
          <w:i/>
        </w:rPr>
        <w:t xml:space="preserve"> + β</w:t>
      </w:r>
      <w:r w:rsidRPr="005A3948">
        <w:rPr>
          <w:i/>
          <w:vertAlign w:val="subscript"/>
        </w:rPr>
        <w:t>4</w:t>
      </w:r>
      <w:r w:rsidRPr="005A3948">
        <w:rPr>
          <w:i/>
        </w:rPr>
        <w:t>LOAN</w:t>
      </w:r>
      <w:r w:rsidRPr="005A3948">
        <w:rPr>
          <w:i/>
          <w:vertAlign w:val="subscript"/>
        </w:rPr>
        <w:t>it</w:t>
      </w:r>
      <w:r w:rsidRPr="005A3948">
        <w:rPr>
          <w:i/>
        </w:rPr>
        <w:t>t + β</w:t>
      </w:r>
      <w:r w:rsidRPr="005A3948">
        <w:rPr>
          <w:i/>
          <w:vertAlign w:val="subscript"/>
        </w:rPr>
        <w:t>5</w:t>
      </w:r>
      <w:r w:rsidRPr="005A3948">
        <w:rPr>
          <w:i/>
        </w:rPr>
        <w:t>SIZE</w:t>
      </w:r>
      <w:r w:rsidRPr="005A3948">
        <w:rPr>
          <w:i/>
          <w:vertAlign w:val="subscript"/>
        </w:rPr>
        <w:t>it</w:t>
      </w:r>
      <w:r w:rsidRPr="005A3948">
        <w:rPr>
          <w:i/>
        </w:rPr>
        <w:t xml:space="preserve"> + β</w:t>
      </w:r>
      <w:r w:rsidRPr="005A3948">
        <w:rPr>
          <w:i/>
          <w:vertAlign w:val="subscript"/>
        </w:rPr>
        <w:t>6</w:t>
      </w:r>
      <w:r w:rsidRPr="005A3948">
        <w:rPr>
          <w:i/>
        </w:rPr>
        <w:t>∆GDP</w:t>
      </w:r>
      <w:r w:rsidRPr="005A3948">
        <w:rPr>
          <w:i/>
          <w:vertAlign w:val="subscript"/>
        </w:rPr>
        <w:t>t</w:t>
      </w:r>
      <w:r w:rsidRPr="005A3948">
        <w:rPr>
          <w:i/>
        </w:rPr>
        <w:t xml:space="preserve"> +</w:t>
      </w:r>
      <w:r w:rsidRPr="005A3948">
        <w:t xml:space="preserve"> </w:t>
      </w:r>
      <w:proofErr w:type="spellStart"/>
      <w:r>
        <w:t>ε</w:t>
      </w:r>
      <w:r w:rsidRPr="005A3948">
        <w:rPr>
          <w:i/>
          <w:vertAlign w:val="subscript"/>
        </w:rPr>
        <w:t>it</w:t>
      </w:r>
      <w:proofErr w:type="spellEnd"/>
      <w:r w:rsidRPr="00964FC0">
        <w:t xml:space="preserve"> (1)</w:t>
      </w:r>
    </w:p>
    <w:p w:rsidR="00F538D6" w:rsidRPr="00560B6D" w:rsidRDefault="00F538D6" w:rsidP="00F538D6">
      <w:pPr>
        <w:rPr>
          <w:szCs w:val="24"/>
        </w:rPr>
      </w:pPr>
    </w:p>
    <w:p w:rsidR="00F538D6" w:rsidRDefault="00F538D6" w:rsidP="00F538D6">
      <w:pPr>
        <w:ind w:firstLine="0"/>
        <w:rPr>
          <w:szCs w:val="24"/>
        </w:rPr>
      </w:pPr>
      <w:r>
        <w:rPr>
          <w:szCs w:val="24"/>
        </w:rPr>
        <w:t>em que:</w:t>
      </w:r>
    </w:p>
    <w:p w:rsidR="00F538D6" w:rsidRDefault="00F538D6" w:rsidP="00F538D6">
      <w:pPr>
        <w:ind w:left="993" w:hanging="993"/>
        <w:rPr>
          <w:i/>
          <w:sz w:val="20"/>
        </w:rPr>
      </w:pPr>
      <w:proofErr w:type="spellStart"/>
      <w:r w:rsidRPr="00887DE2">
        <w:rPr>
          <w:i/>
        </w:rPr>
        <w:t>LLP</w:t>
      </w:r>
      <w:r w:rsidRPr="00887DE2">
        <w:rPr>
          <w:i/>
          <w:vertAlign w:val="subscript"/>
        </w:rPr>
        <w:t>it</w:t>
      </w:r>
      <w:proofErr w:type="spellEnd"/>
      <w:r w:rsidRPr="00887DE2">
        <w:rPr>
          <w:i/>
        </w:rPr>
        <w:t xml:space="preserve"> </w:t>
      </w:r>
      <w:r w:rsidRPr="00803C34">
        <w:rPr>
          <w:i/>
          <w:szCs w:val="24"/>
        </w:rPr>
        <w:t xml:space="preserve">= </w:t>
      </w:r>
      <w:r w:rsidRPr="005A3948">
        <w:rPr>
          <w:szCs w:val="24"/>
        </w:rPr>
        <w:t xml:space="preserve">Total das provisões para operações de crédito ponderado pelo ativo total do banco </w:t>
      </w:r>
      <w:r w:rsidRPr="005A3948">
        <w:rPr>
          <w:i/>
          <w:szCs w:val="24"/>
        </w:rPr>
        <w:t>i</w:t>
      </w:r>
      <w:r w:rsidRPr="005A3948">
        <w:rPr>
          <w:szCs w:val="24"/>
        </w:rPr>
        <w:t xml:space="preserve"> no ano </w:t>
      </w:r>
      <w:r w:rsidRPr="005A3948">
        <w:rPr>
          <w:i/>
          <w:szCs w:val="24"/>
        </w:rPr>
        <w:t>t</w:t>
      </w:r>
      <w:r>
        <w:rPr>
          <w:i/>
          <w:szCs w:val="24"/>
        </w:rPr>
        <w:t>;</w:t>
      </w:r>
    </w:p>
    <w:p w:rsidR="00F538D6" w:rsidRDefault="00F538D6" w:rsidP="00F538D6">
      <w:pPr>
        <w:ind w:left="993" w:hanging="993"/>
        <w:rPr>
          <w:i/>
          <w:sz w:val="20"/>
        </w:rPr>
      </w:pPr>
      <w:proofErr w:type="spellStart"/>
      <w:r w:rsidRPr="00887DE2">
        <w:rPr>
          <w:i/>
        </w:rPr>
        <w:t>EBTP</w:t>
      </w:r>
      <w:r w:rsidRPr="00887DE2">
        <w:rPr>
          <w:i/>
          <w:vertAlign w:val="subscript"/>
        </w:rPr>
        <w:t>it</w:t>
      </w:r>
      <w:proofErr w:type="spellEnd"/>
      <w:r w:rsidRPr="00887DE2">
        <w:rPr>
          <w:i/>
        </w:rPr>
        <w:t xml:space="preserve"> </w:t>
      </w:r>
      <w:r w:rsidRPr="00803C34">
        <w:rPr>
          <w:i/>
          <w:szCs w:val="24"/>
        </w:rPr>
        <w:t xml:space="preserve">= </w:t>
      </w:r>
      <w:r>
        <w:rPr>
          <w:szCs w:val="24"/>
        </w:rPr>
        <w:t>L</w:t>
      </w:r>
      <w:r w:rsidRPr="005A3948">
        <w:rPr>
          <w:szCs w:val="24"/>
        </w:rPr>
        <w:t xml:space="preserve">ucros antes de impostos e provisões para perdas </w:t>
      </w:r>
      <w:r w:rsidRPr="00887DE2">
        <w:rPr>
          <w:szCs w:val="24"/>
        </w:rPr>
        <w:t>ponderado</w:t>
      </w:r>
      <w:r>
        <w:rPr>
          <w:szCs w:val="24"/>
        </w:rPr>
        <w:t>s</w:t>
      </w:r>
      <w:r w:rsidRPr="00887DE2">
        <w:rPr>
          <w:szCs w:val="24"/>
        </w:rPr>
        <w:t xml:space="preserve"> pelo ativo total do banco </w:t>
      </w:r>
      <w:r w:rsidRPr="00887DE2">
        <w:rPr>
          <w:i/>
          <w:szCs w:val="24"/>
        </w:rPr>
        <w:t>i</w:t>
      </w:r>
      <w:r w:rsidRPr="00887DE2">
        <w:rPr>
          <w:szCs w:val="24"/>
        </w:rPr>
        <w:t xml:space="preserve"> no ano </w:t>
      </w:r>
      <w:r w:rsidRPr="00887DE2">
        <w:rPr>
          <w:i/>
          <w:szCs w:val="24"/>
        </w:rPr>
        <w:t>t</w:t>
      </w:r>
      <w:r>
        <w:rPr>
          <w:i/>
          <w:szCs w:val="24"/>
        </w:rPr>
        <w:t>;</w:t>
      </w:r>
    </w:p>
    <w:p w:rsidR="00F538D6" w:rsidRPr="00803C34" w:rsidRDefault="00F538D6" w:rsidP="00F538D6">
      <w:pPr>
        <w:ind w:left="993" w:hanging="993"/>
        <w:rPr>
          <w:szCs w:val="24"/>
        </w:rPr>
      </w:pPr>
      <w:proofErr w:type="spellStart"/>
      <w:r w:rsidRPr="00887DE2">
        <w:rPr>
          <w:i/>
        </w:rPr>
        <w:t>CAR</w:t>
      </w:r>
      <w:r w:rsidRPr="00887DE2">
        <w:rPr>
          <w:i/>
          <w:vertAlign w:val="subscript"/>
        </w:rPr>
        <w:t>it</w:t>
      </w:r>
      <w:proofErr w:type="spellEnd"/>
      <w:r w:rsidRPr="00887DE2">
        <w:rPr>
          <w:i/>
        </w:rPr>
        <w:t xml:space="preserve"> </w:t>
      </w:r>
      <w:r w:rsidRPr="00803C34">
        <w:rPr>
          <w:i/>
          <w:szCs w:val="24"/>
        </w:rPr>
        <w:t xml:space="preserve">= </w:t>
      </w:r>
      <w:r w:rsidRPr="005A3948">
        <w:rPr>
          <w:szCs w:val="24"/>
        </w:rPr>
        <w:t xml:space="preserve">Relação de capital de Nível 1 (não ajustado para </w:t>
      </w:r>
      <w:proofErr w:type="spellStart"/>
      <w:r w:rsidRPr="005A3948">
        <w:rPr>
          <w:szCs w:val="24"/>
        </w:rPr>
        <w:t>LLPs</w:t>
      </w:r>
      <w:proofErr w:type="spellEnd"/>
      <w:r w:rsidRPr="005A3948">
        <w:rPr>
          <w:szCs w:val="24"/>
        </w:rPr>
        <w:t>) dividido pelo total de ativos ponderados pelo risco</w:t>
      </w:r>
      <w:r w:rsidRPr="00887DE2">
        <w:rPr>
          <w:szCs w:val="24"/>
        </w:rPr>
        <w:t xml:space="preserve"> do banco </w:t>
      </w:r>
      <w:r w:rsidRPr="00887DE2">
        <w:rPr>
          <w:i/>
          <w:szCs w:val="24"/>
        </w:rPr>
        <w:t>i</w:t>
      </w:r>
      <w:r w:rsidRPr="00887DE2">
        <w:rPr>
          <w:szCs w:val="24"/>
        </w:rPr>
        <w:t xml:space="preserve"> no ano </w:t>
      </w:r>
      <w:r w:rsidRPr="00887DE2">
        <w:rPr>
          <w:i/>
          <w:szCs w:val="24"/>
        </w:rPr>
        <w:t>t</w:t>
      </w:r>
      <w:r>
        <w:rPr>
          <w:i/>
          <w:szCs w:val="24"/>
        </w:rPr>
        <w:t>;</w:t>
      </w:r>
    </w:p>
    <w:p w:rsidR="00F538D6" w:rsidRDefault="00F538D6" w:rsidP="00F538D6">
      <w:pPr>
        <w:spacing w:before="40" w:after="40"/>
        <w:ind w:firstLine="0"/>
        <w:rPr>
          <w:i/>
          <w:szCs w:val="24"/>
        </w:rPr>
      </w:pPr>
      <w:proofErr w:type="spellStart"/>
      <w:r w:rsidRPr="00803C34">
        <w:rPr>
          <w:i/>
        </w:rPr>
        <w:t>NPL</w:t>
      </w:r>
      <w:r w:rsidRPr="00803C34">
        <w:rPr>
          <w:i/>
          <w:vertAlign w:val="subscript"/>
        </w:rPr>
        <w:t>it</w:t>
      </w:r>
      <w:proofErr w:type="spellEnd"/>
      <w:r w:rsidRPr="00803C34">
        <w:rPr>
          <w:i/>
        </w:rPr>
        <w:t xml:space="preserve"> </w:t>
      </w:r>
      <w:r w:rsidRPr="005A3948">
        <w:rPr>
          <w:i/>
        </w:rPr>
        <w:t>=</w:t>
      </w:r>
      <w:r w:rsidRPr="00803C34">
        <w:rPr>
          <w:i/>
        </w:rPr>
        <w:t xml:space="preserve"> </w:t>
      </w:r>
      <w:r w:rsidRPr="005A3948">
        <w:t>Relação da provisão operações de crédito sobre o crédito bruto</w:t>
      </w:r>
      <w:r w:rsidRPr="00803C34">
        <w:rPr>
          <w:szCs w:val="24"/>
        </w:rPr>
        <w:t xml:space="preserve"> </w:t>
      </w:r>
      <w:r w:rsidRPr="00887DE2">
        <w:rPr>
          <w:szCs w:val="24"/>
        </w:rPr>
        <w:t xml:space="preserve">do banco </w:t>
      </w:r>
      <w:r w:rsidRPr="00887DE2">
        <w:rPr>
          <w:i/>
          <w:szCs w:val="24"/>
        </w:rPr>
        <w:t>i</w:t>
      </w:r>
      <w:r w:rsidRPr="00887DE2">
        <w:rPr>
          <w:szCs w:val="24"/>
        </w:rPr>
        <w:t xml:space="preserve"> no ano </w:t>
      </w:r>
      <w:r w:rsidRPr="00887DE2">
        <w:rPr>
          <w:i/>
          <w:szCs w:val="24"/>
        </w:rPr>
        <w:t>t</w:t>
      </w:r>
      <w:r>
        <w:rPr>
          <w:i/>
          <w:szCs w:val="24"/>
        </w:rPr>
        <w:t>;</w:t>
      </w:r>
    </w:p>
    <w:p w:rsidR="00F538D6" w:rsidRPr="00117AE8" w:rsidRDefault="00F538D6" w:rsidP="00F538D6">
      <w:pPr>
        <w:spacing w:before="40" w:after="40"/>
        <w:ind w:firstLine="0"/>
      </w:pPr>
      <w:proofErr w:type="spellStart"/>
      <w:r w:rsidRPr="00117AE8">
        <w:rPr>
          <w:i/>
        </w:rPr>
        <w:t>LOAN</w:t>
      </w:r>
      <w:r w:rsidRPr="00117AE8">
        <w:rPr>
          <w:i/>
          <w:vertAlign w:val="subscript"/>
        </w:rPr>
        <w:t>it</w:t>
      </w:r>
      <w:proofErr w:type="spellEnd"/>
      <w:r>
        <w:t xml:space="preserve"> = </w:t>
      </w:r>
      <w:r w:rsidRPr="00117AE8">
        <w:t>Variação das provisões para operações de crédito</w:t>
      </w:r>
      <w:r w:rsidRPr="00117AE8">
        <w:rPr>
          <w:szCs w:val="24"/>
        </w:rPr>
        <w:t xml:space="preserve"> </w:t>
      </w:r>
      <w:r w:rsidRPr="00887DE2">
        <w:rPr>
          <w:szCs w:val="24"/>
        </w:rPr>
        <w:t xml:space="preserve">do banco </w:t>
      </w:r>
      <w:r w:rsidRPr="00887DE2">
        <w:rPr>
          <w:i/>
          <w:szCs w:val="24"/>
        </w:rPr>
        <w:t>i</w:t>
      </w:r>
      <w:r w:rsidRPr="00887DE2">
        <w:rPr>
          <w:szCs w:val="24"/>
        </w:rPr>
        <w:t xml:space="preserve"> no ano </w:t>
      </w:r>
      <w:r w:rsidRPr="00887DE2">
        <w:rPr>
          <w:i/>
          <w:szCs w:val="24"/>
        </w:rPr>
        <w:t>t</w:t>
      </w:r>
      <w:r>
        <w:rPr>
          <w:szCs w:val="24"/>
        </w:rPr>
        <w:t>;</w:t>
      </w:r>
    </w:p>
    <w:p w:rsidR="00F538D6" w:rsidRPr="00803C34" w:rsidRDefault="00F538D6" w:rsidP="00F538D6">
      <w:pPr>
        <w:ind w:left="993" w:hanging="993"/>
        <w:rPr>
          <w:szCs w:val="24"/>
        </w:rPr>
      </w:pPr>
      <w:proofErr w:type="spellStart"/>
      <w:r w:rsidRPr="00887DE2">
        <w:rPr>
          <w:i/>
        </w:rPr>
        <w:t>SIZE</w:t>
      </w:r>
      <w:r w:rsidRPr="00887DE2">
        <w:rPr>
          <w:i/>
          <w:vertAlign w:val="subscript"/>
        </w:rPr>
        <w:t>it</w:t>
      </w:r>
      <w:proofErr w:type="spellEnd"/>
      <w:r w:rsidRPr="00887DE2">
        <w:rPr>
          <w:i/>
        </w:rPr>
        <w:t xml:space="preserve"> </w:t>
      </w:r>
      <w:r>
        <w:rPr>
          <w:i/>
        </w:rPr>
        <w:t>=</w:t>
      </w:r>
      <w:r w:rsidRPr="00887DE2">
        <w:rPr>
          <w:i/>
        </w:rPr>
        <w:t xml:space="preserve"> </w:t>
      </w:r>
      <w:r>
        <w:rPr>
          <w:szCs w:val="24"/>
        </w:rPr>
        <w:t xml:space="preserve">Ativo total </w:t>
      </w:r>
      <w:r w:rsidRPr="00887DE2">
        <w:rPr>
          <w:szCs w:val="24"/>
        </w:rPr>
        <w:t xml:space="preserve">do banco </w:t>
      </w:r>
      <w:r w:rsidRPr="00887DE2">
        <w:rPr>
          <w:i/>
          <w:szCs w:val="24"/>
        </w:rPr>
        <w:t>i</w:t>
      </w:r>
      <w:r w:rsidRPr="00887DE2">
        <w:rPr>
          <w:szCs w:val="24"/>
        </w:rPr>
        <w:t xml:space="preserve"> no ano </w:t>
      </w:r>
      <w:r w:rsidRPr="00887DE2">
        <w:rPr>
          <w:i/>
          <w:szCs w:val="24"/>
        </w:rPr>
        <w:t>t</w:t>
      </w:r>
      <w:r>
        <w:rPr>
          <w:i/>
          <w:szCs w:val="24"/>
        </w:rPr>
        <w:t>;</w:t>
      </w:r>
    </w:p>
    <w:p w:rsidR="00F538D6" w:rsidRDefault="00F538D6" w:rsidP="00F538D6">
      <w:pPr>
        <w:ind w:left="993" w:hanging="993"/>
        <w:rPr>
          <w:i/>
        </w:rPr>
      </w:pPr>
      <w:r w:rsidRPr="00887DE2">
        <w:rPr>
          <w:i/>
        </w:rPr>
        <w:t>∆</w:t>
      </w:r>
      <w:proofErr w:type="spellStart"/>
      <w:r w:rsidRPr="00887DE2">
        <w:rPr>
          <w:i/>
        </w:rPr>
        <w:t>GDP</w:t>
      </w:r>
      <w:r w:rsidRPr="00887DE2">
        <w:rPr>
          <w:i/>
          <w:vertAlign w:val="subscript"/>
        </w:rPr>
        <w:t>t</w:t>
      </w:r>
      <w:proofErr w:type="spellEnd"/>
      <w:r w:rsidRPr="00887DE2">
        <w:rPr>
          <w:i/>
        </w:rPr>
        <w:t xml:space="preserve"> </w:t>
      </w:r>
      <w:r>
        <w:rPr>
          <w:i/>
        </w:rPr>
        <w:t>=</w:t>
      </w:r>
      <w:r w:rsidRPr="005A3948">
        <w:t xml:space="preserve"> Taxa real de crescimento do produto interno bruto</w:t>
      </w:r>
      <w:r>
        <w:t xml:space="preserve"> do ano </w:t>
      </w:r>
      <w:r w:rsidRPr="005A3948">
        <w:rPr>
          <w:i/>
        </w:rPr>
        <w:t>t-1</w:t>
      </w:r>
      <w:r>
        <w:t xml:space="preserve"> para o ano</w:t>
      </w:r>
      <w:r w:rsidRPr="005A3948">
        <w:rPr>
          <w:i/>
        </w:rPr>
        <w:t xml:space="preserve"> t</w:t>
      </w:r>
      <w:r>
        <w:rPr>
          <w:i/>
        </w:rPr>
        <w:t>;</w:t>
      </w:r>
    </w:p>
    <w:p w:rsidR="00F538D6" w:rsidRPr="00887DE2" w:rsidRDefault="00F538D6" w:rsidP="00F538D6">
      <w:pPr>
        <w:ind w:left="993" w:hanging="993"/>
        <w:rPr>
          <w:sz w:val="32"/>
          <w:szCs w:val="24"/>
        </w:rPr>
      </w:pPr>
      <w:proofErr w:type="spellStart"/>
      <w:r>
        <w:rPr>
          <w:i/>
        </w:rPr>
        <w:t>ε</w:t>
      </w:r>
      <w:r w:rsidRPr="00803C34">
        <w:rPr>
          <w:i/>
          <w:vertAlign w:val="subscript"/>
        </w:rPr>
        <w:t>it</w:t>
      </w:r>
      <w:proofErr w:type="spellEnd"/>
      <w:r w:rsidRPr="00803C34">
        <w:rPr>
          <w:i/>
        </w:rPr>
        <w:t xml:space="preserve"> </w:t>
      </w:r>
      <w:r w:rsidRPr="00887DE2">
        <w:rPr>
          <w:i/>
        </w:rPr>
        <w:t>=</w:t>
      </w:r>
      <w:r w:rsidRPr="00803C34">
        <w:rPr>
          <w:i/>
        </w:rPr>
        <w:t xml:space="preserve"> </w:t>
      </w:r>
      <w:r>
        <w:t>erro da estimação</w:t>
      </w:r>
      <w:r>
        <w:rPr>
          <w:i/>
        </w:rPr>
        <w:t>.</w:t>
      </w:r>
    </w:p>
    <w:p w:rsidR="00F538D6" w:rsidRDefault="00F538D6" w:rsidP="00F538D6">
      <w:pPr>
        <w:rPr>
          <w:szCs w:val="24"/>
        </w:rPr>
      </w:pPr>
    </w:p>
    <w:p w:rsidR="00F538D6" w:rsidRDefault="00F538D6" w:rsidP="00F538D6">
      <w:pPr>
        <w:rPr>
          <w:szCs w:val="24"/>
        </w:rPr>
      </w:pPr>
      <w:r>
        <w:rPr>
          <w:szCs w:val="24"/>
        </w:rPr>
        <w:t xml:space="preserve">Com base na literatura sobre o tema, </w:t>
      </w:r>
      <w:r w:rsidRPr="00D06028">
        <w:rPr>
          <w:szCs w:val="24"/>
        </w:rPr>
        <w:t xml:space="preserve">espera-se um sinal positivo e significante para o coeficiente de </w:t>
      </w:r>
      <w:proofErr w:type="spellStart"/>
      <w:r w:rsidRPr="00863DA1">
        <w:rPr>
          <w:i/>
          <w:szCs w:val="24"/>
        </w:rPr>
        <w:t>EBTP</w:t>
      </w:r>
      <w:r w:rsidRPr="00887DE2">
        <w:rPr>
          <w:i/>
          <w:vertAlign w:val="subscript"/>
        </w:rPr>
        <w:t>it</w:t>
      </w:r>
      <w:proofErr w:type="spellEnd"/>
      <w:r w:rsidRPr="00D06028">
        <w:rPr>
          <w:szCs w:val="24"/>
        </w:rPr>
        <w:t>, indicando que o nível de gerenciamento de resultados aumenta quando há crescimento nos lucros antes de impostos e provisões para perdas.</w:t>
      </w:r>
      <w:r>
        <w:rPr>
          <w:szCs w:val="24"/>
        </w:rPr>
        <w:t xml:space="preserve"> Para o coeficiente </w:t>
      </w:r>
      <w:proofErr w:type="spellStart"/>
      <w:r w:rsidRPr="00863DA1">
        <w:rPr>
          <w:i/>
          <w:szCs w:val="24"/>
        </w:rPr>
        <w:t>CAR</w:t>
      </w:r>
      <w:r w:rsidRPr="00887DE2">
        <w:rPr>
          <w:i/>
          <w:vertAlign w:val="subscript"/>
        </w:rPr>
        <w:t>it</w:t>
      </w:r>
      <w:proofErr w:type="spellEnd"/>
      <w:r>
        <w:rPr>
          <w:szCs w:val="24"/>
        </w:rPr>
        <w:t xml:space="preserve">, espera-se apresentar um sinal negativo e significante, indicando que os bancos buscam manter </w:t>
      </w:r>
      <w:proofErr w:type="spellStart"/>
      <w:r w:rsidRPr="00863DA1">
        <w:rPr>
          <w:i/>
          <w:szCs w:val="24"/>
        </w:rPr>
        <w:t>LLP</w:t>
      </w:r>
      <w:r w:rsidRPr="006A155D">
        <w:rPr>
          <w:i/>
          <w:vertAlign w:val="subscript"/>
        </w:rPr>
        <w:t>it</w:t>
      </w:r>
      <w:proofErr w:type="spellEnd"/>
      <w:r>
        <w:rPr>
          <w:szCs w:val="24"/>
        </w:rPr>
        <w:t xml:space="preserve"> mais altas quando apresentam </w:t>
      </w:r>
      <w:proofErr w:type="spellStart"/>
      <w:r w:rsidRPr="00863DA1">
        <w:rPr>
          <w:i/>
          <w:szCs w:val="24"/>
        </w:rPr>
        <w:t>CAR</w:t>
      </w:r>
      <w:r w:rsidRPr="00887DE2">
        <w:rPr>
          <w:i/>
          <w:vertAlign w:val="subscript"/>
        </w:rPr>
        <w:t>it</w:t>
      </w:r>
      <w:proofErr w:type="spellEnd"/>
      <w:r>
        <w:rPr>
          <w:szCs w:val="24"/>
        </w:rPr>
        <w:t xml:space="preserve"> baixo e com isso compensando o seu capital regulatório. Para o coeficiente </w:t>
      </w:r>
      <w:proofErr w:type="spellStart"/>
      <w:r w:rsidRPr="00863DA1">
        <w:rPr>
          <w:i/>
          <w:szCs w:val="24"/>
        </w:rPr>
        <w:t>NPL</w:t>
      </w:r>
      <w:r w:rsidRPr="00887DE2">
        <w:rPr>
          <w:i/>
          <w:vertAlign w:val="subscript"/>
        </w:rPr>
        <w:t>it</w:t>
      </w:r>
      <w:proofErr w:type="spellEnd"/>
      <w:r>
        <w:rPr>
          <w:szCs w:val="24"/>
        </w:rPr>
        <w:t xml:space="preserve">, a presença de um sinal positivo e significante, indica que no momento em que se esperam maiores perdas de créditos reais há um possível aumento nas provisões específicas. No coeficiente </w:t>
      </w:r>
      <w:proofErr w:type="spellStart"/>
      <w:r w:rsidRPr="00863DA1">
        <w:rPr>
          <w:i/>
          <w:szCs w:val="24"/>
        </w:rPr>
        <w:t>LOAN</w:t>
      </w:r>
      <w:r w:rsidRPr="00887DE2">
        <w:rPr>
          <w:i/>
          <w:vertAlign w:val="subscript"/>
        </w:rPr>
        <w:t>it</w:t>
      </w:r>
      <w:proofErr w:type="spellEnd"/>
      <w:r>
        <w:rPr>
          <w:szCs w:val="24"/>
        </w:rPr>
        <w:t xml:space="preserve">, espera-se obter um sinal negativo e significante, evidenciando que a redução nas Provisões para </w:t>
      </w:r>
      <w:r w:rsidR="003E0661">
        <w:rPr>
          <w:szCs w:val="24"/>
        </w:rPr>
        <w:t>Perdas</w:t>
      </w:r>
      <w:r>
        <w:rPr>
          <w:szCs w:val="24"/>
        </w:rPr>
        <w:t xml:space="preserve"> de Crédito indica presença de gerenciamento de resultados. Espera-se para o coeficiente </w:t>
      </w:r>
      <w:proofErr w:type="spellStart"/>
      <w:r w:rsidRPr="00863DA1">
        <w:rPr>
          <w:i/>
          <w:szCs w:val="24"/>
        </w:rPr>
        <w:t>SIZE</w:t>
      </w:r>
      <w:r w:rsidRPr="00887DE2">
        <w:rPr>
          <w:i/>
          <w:vertAlign w:val="subscript"/>
        </w:rPr>
        <w:t>it</w:t>
      </w:r>
      <w:proofErr w:type="spellEnd"/>
      <w:r>
        <w:rPr>
          <w:szCs w:val="24"/>
        </w:rPr>
        <w:t xml:space="preserve">, um sinal negativo e significante, sugerindo que os bancos maiores não necessariamente apresentam gerenciamento de resultados mais frequentes do que nos bancos menores. E por fim, para o coeficiente </w:t>
      </w:r>
      <w:r w:rsidRPr="00863DA1">
        <w:rPr>
          <w:i/>
          <w:szCs w:val="24"/>
        </w:rPr>
        <w:t>∆</w:t>
      </w:r>
      <w:proofErr w:type="spellStart"/>
      <w:r w:rsidRPr="00863DA1">
        <w:rPr>
          <w:i/>
          <w:szCs w:val="24"/>
        </w:rPr>
        <w:t>GDP</w:t>
      </w:r>
      <w:r w:rsidRPr="00887DE2">
        <w:rPr>
          <w:i/>
          <w:vertAlign w:val="subscript"/>
        </w:rPr>
        <w:t>t</w:t>
      </w:r>
      <w:proofErr w:type="spellEnd"/>
      <w:r>
        <w:rPr>
          <w:szCs w:val="24"/>
        </w:rPr>
        <w:t xml:space="preserve">, espera-se obter um sinal negativo e significante, pois com o aumento do </w:t>
      </w:r>
      <w:r w:rsidRPr="002A4E2A">
        <w:rPr>
          <w:szCs w:val="24"/>
        </w:rPr>
        <w:t>PIB</w:t>
      </w:r>
      <w:r>
        <w:rPr>
          <w:szCs w:val="24"/>
        </w:rPr>
        <w:t xml:space="preserve"> é possível identificar um</w:t>
      </w:r>
      <w:r w:rsidRPr="002A4E2A">
        <w:rPr>
          <w:szCs w:val="24"/>
        </w:rPr>
        <w:t xml:space="preserve"> bom desempenho da economia</w:t>
      </w:r>
      <w:r>
        <w:rPr>
          <w:szCs w:val="24"/>
        </w:rPr>
        <w:t xml:space="preserve"> e dessa forma indicando que o gerenciamento de resultados por meio das provisões tende a ser menor</w:t>
      </w:r>
      <w:r w:rsidRPr="002A4E2A">
        <w:rPr>
          <w:szCs w:val="24"/>
        </w:rPr>
        <w:t>.</w:t>
      </w:r>
    </w:p>
    <w:p w:rsidR="00F538D6" w:rsidRPr="00444660" w:rsidRDefault="00F538D6" w:rsidP="00F538D6">
      <w:pPr>
        <w:rPr>
          <w:szCs w:val="24"/>
        </w:rPr>
      </w:pPr>
    </w:p>
    <w:p w:rsidR="00F538D6" w:rsidRDefault="00F538D6" w:rsidP="00F538D6">
      <w:pPr>
        <w:ind w:firstLine="0"/>
        <w:rPr>
          <w:szCs w:val="24"/>
        </w:rPr>
      </w:pPr>
      <w:r>
        <w:rPr>
          <w:b/>
          <w:szCs w:val="24"/>
        </w:rPr>
        <w:t>4 Análise dos Resultados</w:t>
      </w:r>
    </w:p>
    <w:p w:rsidR="00F538D6" w:rsidRDefault="00F538D6" w:rsidP="00F538D6">
      <w:pPr>
        <w:rPr>
          <w:szCs w:val="24"/>
        </w:rPr>
      </w:pPr>
    </w:p>
    <w:p w:rsidR="00F538D6" w:rsidRPr="00EF1F05" w:rsidRDefault="00F538D6" w:rsidP="00F538D6">
      <w:pPr>
        <w:ind w:firstLine="0"/>
        <w:rPr>
          <w:b/>
          <w:szCs w:val="24"/>
        </w:rPr>
      </w:pPr>
      <w:r>
        <w:rPr>
          <w:b/>
          <w:szCs w:val="24"/>
        </w:rPr>
        <w:t>4</w:t>
      </w:r>
      <w:r w:rsidRPr="00EF1F05">
        <w:rPr>
          <w:b/>
          <w:szCs w:val="24"/>
        </w:rPr>
        <w:t>.</w:t>
      </w:r>
      <w:r>
        <w:rPr>
          <w:b/>
          <w:szCs w:val="24"/>
        </w:rPr>
        <w:t>1</w:t>
      </w:r>
      <w:r w:rsidRPr="00EF1F05">
        <w:rPr>
          <w:b/>
          <w:szCs w:val="24"/>
        </w:rPr>
        <w:t xml:space="preserve"> </w:t>
      </w:r>
      <w:r>
        <w:rPr>
          <w:b/>
          <w:szCs w:val="24"/>
        </w:rPr>
        <w:t>Estatística Descritiva</w:t>
      </w:r>
    </w:p>
    <w:p w:rsidR="00F538D6" w:rsidRDefault="00F538D6" w:rsidP="00F538D6">
      <w:pPr>
        <w:rPr>
          <w:szCs w:val="24"/>
        </w:rPr>
      </w:pPr>
    </w:p>
    <w:p w:rsidR="00F538D6" w:rsidRDefault="00F538D6" w:rsidP="00F538D6">
      <w:pPr>
        <w:rPr>
          <w:szCs w:val="24"/>
        </w:rPr>
      </w:pPr>
      <w:r>
        <w:rPr>
          <w:szCs w:val="24"/>
        </w:rPr>
        <w:t xml:space="preserve">Na </w:t>
      </w:r>
      <w:r w:rsidRPr="00422DF5">
        <w:rPr>
          <w:szCs w:val="24"/>
        </w:rPr>
        <w:t xml:space="preserve">Tabela </w:t>
      </w:r>
      <w:r>
        <w:rPr>
          <w:szCs w:val="24"/>
        </w:rPr>
        <w:t>4</w:t>
      </w:r>
      <w:r w:rsidRPr="00422DF5">
        <w:rPr>
          <w:szCs w:val="24"/>
        </w:rPr>
        <w:t xml:space="preserve"> </w:t>
      </w:r>
      <w:r>
        <w:rPr>
          <w:szCs w:val="24"/>
        </w:rPr>
        <w:t>é possível analisar</w:t>
      </w:r>
      <w:r w:rsidRPr="00422DF5">
        <w:rPr>
          <w:szCs w:val="24"/>
        </w:rPr>
        <w:t xml:space="preserve"> a estatística descritiva</w:t>
      </w:r>
      <w:r>
        <w:rPr>
          <w:szCs w:val="24"/>
        </w:rPr>
        <w:t xml:space="preserve"> das variáveis utilizadas para a </w:t>
      </w:r>
      <w:r w:rsidRPr="00422DF5">
        <w:rPr>
          <w:szCs w:val="24"/>
        </w:rPr>
        <w:t xml:space="preserve">estimação dos </w:t>
      </w:r>
      <w:proofErr w:type="spellStart"/>
      <w:r w:rsidRPr="00EE5A0C">
        <w:rPr>
          <w:i/>
          <w:szCs w:val="24"/>
        </w:rPr>
        <w:t>accruals</w:t>
      </w:r>
      <w:proofErr w:type="spellEnd"/>
      <w:r w:rsidRPr="00206B23">
        <w:rPr>
          <w:szCs w:val="24"/>
        </w:rPr>
        <w:t xml:space="preserve"> </w:t>
      </w:r>
      <w:r w:rsidRPr="009F616A">
        <w:rPr>
          <w:szCs w:val="24"/>
        </w:rPr>
        <w:t>discricionários,</w:t>
      </w:r>
      <w:r w:rsidRPr="00206B23">
        <w:rPr>
          <w:szCs w:val="24"/>
        </w:rPr>
        <w:t xml:space="preserve"> </w:t>
      </w:r>
      <w:r>
        <w:rPr>
          <w:szCs w:val="24"/>
        </w:rPr>
        <w:t xml:space="preserve">tomando como base o modelo adaptado de Peterson &amp; </w:t>
      </w:r>
      <w:proofErr w:type="spellStart"/>
      <w:r>
        <w:rPr>
          <w:szCs w:val="24"/>
        </w:rPr>
        <w:t>Ar</w:t>
      </w:r>
      <w:r w:rsidR="003E0661">
        <w:rPr>
          <w:szCs w:val="24"/>
        </w:rPr>
        <w:t>u</w:t>
      </w:r>
      <w:r>
        <w:rPr>
          <w:szCs w:val="24"/>
        </w:rPr>
        <w:t>n</w:t>
      </w:r>
      <w:proofErr w:type="spellEnd"/>
      <w:r>
        <w:rPr>
          <w:szCs w:val="24"/>
        </w:rPr>
        <w:t xml:space="preserve"> (2018)</w:t>
      </w:r>
      <w:r w:rsidRPr="00422DF5">
        <w:rPr>
          <w:szCs w:val="24"/>
        </w:rPr>
        <w:t>.</w:t>
      </w:r>
      <w:r>
        <w:rPr>
          <w:szCs w:val="24"/>
        </w:rPr>
        <w:t xml:space="preserve"> As análises foram segregadas por grupos de análise – Geral, não </w:t>
      </w:r>
      <w:proofErr w:type="spellStart"/>
      <w:r w:rsidRPr="00F56BC5">
        <w:rPr>
          <w:i/>
          <w:szCs w:val="24"/>
        </w:rPr>
        <w:t>Fintechs</w:t>
      </w:r>
      <w:proofErr w:type="spellEnd"/>
      <w:r>
        <w:rPr>
          <w:szCs w:val="24"/>
        </w:rPr>
        <w:t xml:space="preserve"> e </w:t>
      </w:r>
      <w:proofErr w:type="spellStart"/>
      <w:r w:rsidRPr="00F56BC5">
        <w:rPr>
          <w:i/>
          <w:szCs w:val="24"/>
        </w:rPr>
        <w:t>Fintechs</w:t>
      </w:r>
      <w:proofErr w:type="spellEnd"/>
      <w:r>
        <w:rPr>
          <w:szCs w:val="24"/>
        </w:rPr>
        <w:t>.</w:t>
      </w:r>
    </w:p>
    <w:p w:rsidR="00F538D6" w:rsidRDefault="00F538D6" w:rsidP="00F538D6">
      <w:pPr>
        <w:rPr>
          <w:szCs w:val="24"/>
        </w:rPr>
      </w:pPr>
    </w:p>
    <w:p w:rsidR="00F538D6" w:rsidRPr="001B125D" w:rsidRDefault="00F538D6" w:rsidP="00F538D6">
      <w:pPr>
        <w:pStyle w:val="Legenda"/>
        <w:keepNext/>
        <w:ind w:firstLine="0"/>
        <w:rPr>
          <w:b w:val="0"/>
          <w:szCs w:val="24"/>
        </w:rPr>
      </w:pPr>
      <w:r w:rsidRPr="001B125D">
        <w:rPr>
          <w:b w:val="0"/>
          <w:szCs w:val="24"/>
        </w:rPr>
        <w:t xml:space="preserve">Tabela </w:t>
      </w:r>
      <w:r>
        <w:rPr>
          <w:b w:val="0"/>
          <w:szCs w:val="24"/>
        </w:rPr>
        <w:t>4</w:t>
      </w:r>
    </w:p>
    <w:p w:rsidR="00F538D6" w:rsidRPr="001B125D" w:rsidRDefault="00F538D6" w:rsidP="00F538D6">
      <w:pPr>
        <w:pStyle w:val="Legenda"/>
        <w:keepNext/>
        <w:ind w:firstLine="0"/>
        <w:rPr>
          <w:i/>
          <w:szCs w:val="24"/>
        </w:rPr>
      </w:pPr>
      <w:r w:rsidRPr="001B125D">
        <w:rPr>
          <w:noProof/>
          <w:szCs w:val="24"/>
        </w:rPr>
        <w:t>Estastística Descritiva</w:t>
      </w:r>
    </w:p>
    <w:tbl>
      <w:tblPr>
        <w:tblW w:w="5000" w:type="pct"/>
        <w:tblBorders>
          <w:top w:val="single" w:sz="4" w:space="0" w:color="auto"/>
          <w:bottom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27"/>
        <w:gridCol w:w="1136"/>
        <w:gridCol w:w="1136"/>
        <w:gridCol w:w="1136"/>
        <w:gridCol w:w="1136"/>
        <w:gridCol w:w="1136"/>
        <w:gridCol w:w="1138"/>
      </w:tblGrid>
      <w:tr w:rsidR="00F538D6" w:rsidRPr="002E165C" w:rsidTr="00F538D6">
        <w:trPr>
          <w:trHeight w:val="300"/>
        </w:trPr>
        <w:tc>
          <w:tcPr>
            <w:tcW w:w="1429" w:type="pct"/>
            <w:tcBorders>
              <w:top w:val="single" w:sz="4" w:space="0" w:color="auto"/>
              <w:bottom w:val="single" w:sz="4" w:space="0" w:color="auto"/>
              <w:right w:val="nil"/>
            </w:tcBorders>
            <w:shd w:val="clear" w:color="auto" w:fill="auto"/>
            <w:noWrap/>
            <w:vAlign w:val="bottom"/>
            <w:hideMark/>
          </w:tcPr>
          <w:p w:rsidR="00F538D6" w:rsidRPr="00863DA1" w:rsidRDefault="00F538D6" w:rsidP="00F538D6">
            <w:pPr>
              <w:ind w:firstLine="0"/>
              <w:rPr>
                <w:i/>
                <w:sz w:val="20"/>
              </w:rPr>
            </w:pPr>
          </w:p>
        </w:tc>
        <w:tc>
          <w:tcPr>
            <w:tcW w:w="595" w:type="pct"/>
            <w:tcBorders>
              <w:top w:val="single" w:sz="4" w:space="0" w:color="auto"/>
              <w:left w:val="nil"/>
              <w:bottom w:val="single" w:sz="4" w:space="0" w:color="auto"/>
              <w:right w:val="nil"/>
            </w:tcBorders>
            <w:shd w:val="clear" w:color="auto" w:fill="auto"/>
            <w:noWrap/>
            <w:vAlign w:val="bottom"/>
            <w:hideMark/>
          </w:tcPr>
          <w:p w:rsidR="00F538D6" w:rsidRPr="00863DA1" w:rsidRDefault="00F538D6" w:rsidP="00F538D6">
            <w:pPr>
              <w:ind w:firstLine="0"/>
              <w:jc w:val="center"/>
              <w:rPr>
                <w:b/>
                <w:bCs/>
                <w:i/>
                <w:color w:val="000000"/>
                <w:sz w:val="20"/>
              </w:rPr>
            </w:pPr>
            <w:proofErr w:type="spellStart"/>
            <w:r w:rsidRPr="00863DA1">
              <w:rPr>
                <w:b/>
                <w:bCs/>
                <w:i/>
                <w:color w:val="000000"/>
                <w:sz w:val="20"/>
              </w:rPr>
              <w:t>LLP</w:t>
            </w:r>
            <w:r w:rsidRPr="00675832">
              <w:rPr>
                <w:i/>
                <w:vertAlign w:val="subscript"/>
              </w:rPr>
              <w:t>it</w:t>
            </w:r>
            <w:proofErr w:type="spellEnd"/>
          </w:p>
        </w:tc>
        <w:tc>
          <w:tcPr>
            <w:tcW w:w="595" w:type="pct"/>
            <w:tcBorders>
              <w:top w:val="single" w:sz="4" w:space="0" w:color="auto"/>
              <w:left w:val="nil"/>
              <w:bottom w:val="single" w:sz="4" w:space="0" w:color="auto"/>
              <w:right w:val="nil"/>
            </w:tcBorders>
            <w:shd w:val="clear" w:color="auto" w:fill="auto"/>
            <w:noWrap/>
            <w:vAlign w:val="bottom"/>
            <w:hideMark/>
          </w:tcPr>
          <w:p w:rsidR="00F538D6" w:rsidRPr="00863DA1" w:rsidRDefault="00F538D6" w:rsidP="00F538D6">
            <w:pPr>
              <w:ind w:firstLine="0"/>
              <w:jc w:val="center"/>
              <w:rPr>
                <w:b/>
                <w:bCs/>
                <w:i/>
                <w:color w:val="000000"/>
                <w:sz w:val="20"/>
              </w:rPr>
            </w:pPr>
            <w:proofErr w:type="spellStart"/>
            <w:r w:rsidRPr="00863DA1">
              <w:rPr>
                <w:b/>
                <w:bCs/>
                <w:i/>
                <w:color w:val="000000"/>
                <w:sz w:val="20"/>
              </w:rPr>
              <w:t>EBTP</w:t>
            </w:r>
            <w:r w:rsidRPr="00675832">
              <w:rPr>
                <w:i/>
                <w:vertAlign w:val="subscript"/>
              </w:rPr>
              <w:t>it</w:t>
            </w:r>
            <w:proofErr w:type="spellEnd"/>
          </w:p>
        </w:tc>
        <w:tc>
          <w:tcPr>
            <w:tcW w:w="595" w:type="pct"/>
            <w:tcBorders>
              <w:top w:val="single" w:sz="4" w:space="0" w:color="auto"/>
              <w:left w:val="nil"/>
              <w:bottom w:val="single" w:sz="4" w:space="0" w:color="auto"/>
              <w:right w:val="nil"/>
            </w:tcBorders>
            <w:shd w:val="clear" w:color="auto" w:fill="auto"/>
            <w:noWrap/>
            <w:vAlign w:val="bottom"/>
            <w:hideMark/>
          </w:tcPr>
          <w:p w:rsidR="00F538D6" w:rsidRPr="00863DA1" w:rsidRDefault="00F538D6" w:rsidP="00F538D6">
            <w:pPr>
              <w:ind w:firstLine="0"/>
              <w:jc w:val="center"/>
              <w:rPr>
                <w:b/>
                <w:bCs/>
                <w:i/>
                <w:color w:val="000000"/>
                <w:sz w:val="20"/>
              </w:rPr>
            </w:pPr>
            <w:proofErr w:type="spellStart"/>
            <w:r w:rsidRPr="00863DA1">
              <w:rPr>
                <w:b/>
                <w:bCs/>
                <w:i/>
                <w:color w:val="000000"/>
                <w:sz w:val="20"/>
              </w:rPr>
              <w:t>CAR</w:t>
            </w:r>
            <w:r w:rsidRPr="00675832">
              <w:rPr>
                <w:i/>
                <w:vertAlign w:val="subscript"/>
              </w:rPr>
              <w:t>it</w:t>
            </w:r>
            <w:proofErr w:type="spellEnd"/>
          </w:p>
        </w:tc>
        <w:tc>
          <w:tcPr>
            <w:tcW w:w="595" w:type="pct"/>
            <w:tcBorders>
              <w:top w:val="single" w:sz="4" w:space="0" w:color="auto"/>
              <w:left w:val="nil"/>
              <w:bottom w:val="single" w:sz="4" w:space="0" w:color="auto"/>
              <w:right w:val="nil"/>
            </w:tcBorders>
            <w:shd w:val="clear" w:color="auto" w:fill="auto"/>
            <w:noWrap/>
            <w:vAlign w:val="bottom"/>
            <w:hideMark/>
          </w:tcPr>
          <w:p w:rsidR="00F538D6" w:rsidRPr="00863DA1" w:rsidRDefault="00F538D6" w:rsidP="00F538D6">
            <w:pPr>
              <w:ind w:firstLine="0"/>
              <w:jc w:val="center"/>
              <w:rPr>
                <w:b/>
                <w:bCs/>
                <w:i/>
                <w:color w:val="000000"/>
                <w:sz w:val="20"/>
              </w:rPr>
            </w:pPr>
            <w:proofErr w:type="spellStart"/>
            <w:r w:rsidRPr="00863DA1">
              <w:rPr>
                <w:b/>
                <w:bCs/>
                <w:i/>
                <w:color w:val="000000"/>
                <w:sz w:val="20"/>
              </w:rPr>
              <w:t>NPL</w:t>
            </w:r>
            <w:r w:rsidRPr="00675832">
              <w:rPr>
                <w:i/>
                <w:vertAlign w:val="subscript"/>
              </w:rPr>
              <w:t>it</w:t>
            </w:r>
            <w:proofErr w:type="spellEnd"/>
          </w:p>
        </w:tc>
        <w:tc>
          <w:tcPr>
            <w:tcW w:w="595" w:type="pct"/>
            <w:tcBorders>
              <w:top w:val="single" w:sz="4" w:space="0" w:color="auto"/>
              <w:left w:val="nil"/>
              <w:bottom w:val="single" w:sz="4" w:space="0" w:color="auto"/>
              <w:right w:val="nil"/>
            </w:tcBorders>
            <w:shd w:val="clear" w:color="auto" w:fill="auto"/>
            <w:noWrap/>
            <w:vAlign w:val="bottom"/>
            <w:hideMark/>
          </w:tcPr>
          <w:p w:rsidR="00F538D6" w:rsidRPr="00863DA1" w:rsidRDefault="00F538D6" w:rsidP="00F538D6">
            <w:pPr>
              <w:ind w:firstLine="0"/>
              <w:jc w:val="center"/>
              <w:rPr>
                <w:b/>
                <w:bCs/>
                <w:i/>
                <w:color w:val="000000"/>
                <w:sz w:val="20"/>
              </w:rPr>
            </w:pPr>
            <w:proofErr w:type="spellStart"/>
            <w:r w:rsidRPr="00863DA1">
              <w:rPr>
                <w:b/>
                <w:bCs/>
                <w:i/>
                <w:color w:val="000000"/>
                <w:sz w:val="20"/>
              </w:rPr>
              <w:t>LOAN</w:t>
            </w:r>
            <w:r w:rsidRPr="00675832">
              <w:rPr>
                <w:i/>
                <w:vertAlign w:val="subscript"/>
              </w:rPr>
              <w:t>it</w:t>
            </w:r>
            <w:proofErr w:type="spellEnd"/>
          </w:p>
        </w:tc>
        <w:tc>
          <w:tcPr>
            <w:tcW w:w="596" w:type="pct"/>
            <w:tcBorders>
              <w:top w:val="single" w:sz="4" w:space="0" w:color="auto"/>
              <w:left w:val="nil"/>
              <w:bottom w:val="single" w:sz="4" w:space="0" w:color="auto"/>
            </w:tcBorders>
            <w:shd w:val="clear" w:color="auto" w:fill="auto"/>
            <w:noWrap/>
            <w:vAlign w:val="bottom"/>
            <w:hideMark/>
          </w:tcPr>
          <w:p w:rsidR="00F538D6" w:rsidRPr="00863DA1" w:rsidRDefault="00F538D6" w:rsidP="00F538D6">
            <w:pPr>
              <w:ind w:firstLine="0"/>
              <w:jc w:val="center"/>
              <w:rPr>
                <w:b/>
                <w:bCs/>
                <w:i/>
                <w:color w:val="000000"/>
                <w:sz w:val="20"/>
              </w:rPr>
            </w:pPr>
            <w:proofErr w:type="spellStart"/>
            <w:r w:rsidRPr="00863DA1">
              <w:rPr>
                <w:b/>
                <w:bCs/>
                <w:i/>
                <w:color w:val="000000"/>
                <w:sz w:val="20"/>
              </w:rPr>
              <w:t>SIZE</w:t>
            </w:r>
            <w:r w:rsidRPr="00675832">
              <w:rPr>
                <w:i/>
                <w:vertAlign w:val="subscript"/>
              </w:rPr>
              <w:t>it</w:t>
            </w:r>
            <w:proofErr w:type="spellEnd"/>
          </w:p>
        </w:tc>
      </w:tr>
      <w:tr w:rsidR="00F538D6" w:rsidRPr="002E165C" w:rsidTr="00F538D6">
        <w:trPr>
          <w:trHeight w:val="300"/>
        </w:trPr>
        <w:tc>
          <w:tcPr>
            <w:tcW w:w="5000" w:type="pct"/>
            <w:gridSpan w:val="7"/>
            <w:tcBorders>
              <w:top w:val="single" w:sz="4" w:space="0" w:color="auto"/>
            </w:tcBorders>
            <w:shd w:val="clear" w:color="auto" w:fill="auto"/>
            <w:noWrap/>
            <w:vAlign w:val="bottom"/>
            <w:hideMark/>
          </w:tcPr>
          <w:p w:rsidR="00F538D6" w:rsidRPr="00D07C25" w:rsidRDefault="00F538D6" w:rsidP="00F538D6">
            <w:pPr>
              <w:ind w:firstLine="0"/>
              <w:rPr>
                <w:b/>
                <w:bCs/>
                <w:color w:val="000000"/>
                <w:sz w:val="20"/>
              </w:rPr>
            </w:pPr>
            <w:r w:rsidRPr="00D07C25">
              <w:rPr>
                <w:b/>
                <w:bCs/>
                <w:color w:val="000000"/>
                <w:sz w:val="20"/>
              </w:rPr>
              <w:t xml:space="preserve">Painel </w:t>
            </w:r>
            <w:r>
              <w:rPr>
                <w:b/>
                <w:bCs/>
                <w:color w:val="000000"/>
                <w:sz w:val="20"/>
              </w:rPr>
              <w:t>A</w:t>
            </w:r>
            <w:r w:rsidRPr="00D07C25">
              <w:rPr>
                <w:b/>
                <w:bCs/>
                <w:color w:val="000000"/>
                <w:sz w:val="20"/>
              </w:rPr>
              <w:t xml:space="preserve"> </w:t>
            </w:r>
            <w:r w:rsidR="003E0661">
              <w:rPr>
                <w:b/>
                <w:bCs/>
                <w:color w:val="000000"/>
                <w:sz w:val="20"/>
              </w:rPr>
              <w:t>–</w:t>
            </w:r>
            <w:r w:rsidRPr="00D07C25">
              <w:rPr>
                <w:b/>
                <w:bCs/>
                <w:color w:val="000000"/>
                <w:sz w:val="20"/>
              </w:rPr>
              <w:t xml:space="preserve"> </w:t>
            </w:r>
            <w:r>
              <w:rPr>
                <w:b/>
                <w:bCs/>
                <w:color w:val="000000"/>
                <w:sz w:val="20"/>
              </w:rPr>
              <w:t>Geral</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observações</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1028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1028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1028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1028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1028</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1028</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média</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0,0736</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0,0227</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2,4482</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0,1749</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1,2038</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17,6829</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desvio-padrão</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0,0890</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0,0866</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6,3418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0,2438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4,0391</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2,9273</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mediana</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0,0427</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0,0138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0,6560</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0,0847</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0,2523</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17,9841</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mínimo</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0,0001</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-0,3163</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0,0002</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0,0035</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-0,9644</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12,2271</w:t>
            </w:r>
          </w:p>
        </w:tc>
      </w:tr>
      <w:tr w:rsidR="00F538D6" w:rsidRPr="002E165C" w:rsidTr="00F538D6">
        <w:trPr>
          <w:trHeight w:val="300"/>
        </w:trPr>
        <w:tc>
          <w:tcPr>
            <w:tcW w:w="1429" w:type="pct"/>
            <w:tcBorders>
              <w:bottom w:val="single" w:sz="4" w:space="0" w:color="auto"/>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máximo</w:t>
            </w:r>
          </w:p>
        </w:tc>
        <w:tc>
          <w:tcPr>
            <w:tcW w:w="595" w:type="pct"/>
            <w:tcBorders>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0,4873</w:t>
            </w:r>
          </w:p>
        </w:tc>
        <w:tc>
          <w:tcPr>
            <w:tcW w:w="595" w:type="pct"/>
            <w:tcBorders>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0,3104</w:t>
            </w:r>
          </w:p>
        </w:tc>
        <w:tc>
          <w:tcPr>
            <w:tcW w:w="595" w:type="pct"/>
            <w:tcBorders>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40,6550</w:t>
            </w:r>
          </w:p>
        </w:tc>
        <w:tc>
          <w:tcPr>
            <w:tcW w:w="595" w:type="pct"/>
            <w:tcBorders>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1,5086</w:t>
            </w:r>
          </w:p>
        </w:tc>
        <w:tc>
          <w:tcPr>
            <w:tcW w:w="595" w:type="pct"/>
            <w:tcBorders>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30,9537</w:t>
            </w:r>
          </w:p>
        </w:tc>
        <w:tc>
          <w:tcPr>
            <w:tcW w:w="596" w:type="pct"/>
            <w:tcBorders>
              <w:left w:val="nil"/>
              <w:bottom w:val="single" w:sz="4" w:space="0" w:color="auto"/>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24,1642</w:t>
            </w:r>
          </w:p>
        </w:tc>
      </w:tr>
      <w:tr w:rsidR="00F538D6" w:rsidRPr="002E165C" w:rsidTr="00F538D6">
        <w:trPr>
          <w:trHeight w:val="300"/>
        </w:trPr>
        <w:tc>
          <w:tcPr>
            <w:tcW w:w="5000" w:type="pct"/>
            <w:gridSpan w:val="7"/>
            <w:tcBorders>
              <w:top w:val="single" w:sz="4" w:space="0" w:color="auto"/>
            </w:tcBorders>
            <w:shd w:val="clear" w:color="auto" w:fill="auto"/>
            <w:noWrap/>
            <w:vAlign w:val="bottom"/>
            <w:hideMark/>
          </w:tcPr>
          <w:p w:rsidR="00F538D6" w:rsidRPr="00D65475" w:rsidRDefault="00F538D6" w:rsidP="00F538D6">
            <w:pPr>
              <w:ind w:firstLine="0"/>
              <w:rPr>
                <w:b/>
                <w:bCs/>
                <w:color w:val="000000"/>
                <w:sz w:val="20"/>
              </w:rPr>
            </w:pPr>
            <w:r w:rsidRPr="00D65475">
              <w:rPr>
                <w:b/>
                <w:bCs/>
                <w:color w:val="000000"/>
                <w:sz w:val="20"/>
              </w:rPr>
              <w:t xml:space="preserve">Painel B - Não </w:t>
            </w:r>
            <w:proofErr w:type="spellStart"/>
            <w:r w:rsidRPr="00D65475">
              <w:rPr>
                <w:b/>
                <w:bCs/>
                <w:i/>
                <w:color w:val="000000"/>
                <w:sz w:val="20"/>
              </w:rPr>
              <w:t>FinTech</w:t>
            </w:r>
            <w:r w:rsidR="003E0661">
              <w:rPr>
                <w:b/>
                <w:bCs/>
                <w:i/>
                <w:color w:val="000000"/>
                <w:sz w:val="20"/>
              </w:rPr>
              <w:t>s</w:t>
            </w:r>
            <w:proofErr w:type="spellEnd"/>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observações</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213</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213</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213</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213</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213</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213</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média</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0,0276</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0,0066</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4,3077</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0,1052</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1,1915</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19,1121</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desvio-padrão</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0,0316</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0,0212</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8,0353</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0,1705</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4,1741</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1,7706</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mediana</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0,0170</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0,0068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1,3824</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0,0595</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0,2969</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19,2940</w:t>
            </w:r>
          </w:p>
        </w:tc>
      </w:tr>
      <w:tr w:rsidR="00F538D6" w:rsidRPr="002E165C" w:rsidTr="00F538D6">
        <w:trPr>
          <w:trHeight w:val="300"/>
        </w:trPr>
        <w:tc>
          <w:tcPr>
            <w:tcW w:w="1429" w:type="pct"/>
            <w:tcBorders>
              <w:bottom w:val="nil"/>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mínimo</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0,0001</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-0,0485</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0,0002</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0,0035</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-0,9644</w:t>
            </w:r>
          </w:p>
        </w:tc>
        <w:tc>
          <w:tcPr>
            <w:tcW w:w="596" w:type="pct"/>
            <w:tcBorders>
              <w:left w:val="nil"/>
              <w:bottom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15,4097</w:t>
            </w:r>
          </w:p>
        </w:tc>
      </w:tr>
      <w:tr w:rsidR="00F538D6" w:rsidRPr="002E165C" w:rsidTr="00F538D6">
        <w:trPr>
          <w:trHeight w:val="300"/>
        </w:trPr>
        <w:tc>
          <w:tcPr>
            <w:tcW w:w="1429" w:type="pct"/>
            <w:tcBorders>
              <w:top w:val="nil"/>
              <w:bottom w:val="single" w:sz="4" w:space="0" w:color="auto"/>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máximo</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0,2246</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0,0821</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40,6550</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1,5086</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30,9537</w:t>
            </w:r>
          </w:p>
        </w:tc>
        <w:tc>
          <w:tcPr>
            <w:tcW w:w="596" w:type="pct"/>
            <w:tcBorders>
              <w:top w:val="nil"/>
              <w:left w:val="nil"/>
              <w:bottom w:val="single" w:sz="4" w:space="0" w:color="auto"/>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22,7163</w:t>
            </w:r>
          </w:p>
        </w:tc>
      </w:tr>
      <w:tr w:rsidR="00F538D6" w:rsidRPr="002E165C" w:rsidTr="00F538D6">
        <w:trPr>
          <w:trHeight w:val="300"/>
        </w:trPr>
        <w:tc>
          <w:tcPr>
            <w:tcW w:w="5000" w:type="pct"/>
            <w:gridSpan w:val="7"/>
            <w:tcBorders>
              <w:top w:val="single" w:sz="4" w:space="0" w:color="auto"/>
            </w:tcBorders>
            <w:shd w:val="clear" w:color="auto" w:fill="auto"/>
            <w:noWrap/>
            <w:vAlign w:val="bottom"/>
            <w:hideMark/>
          </w:tcPr>
          <w:p w:rsidR="00F538D6" w:rsidRPr="00D65475" w:rsidRDefault="00F538D6" w:rsidP="00F538D6">
            <w:pPr>
              <w:ind w:firstLine="0"/>
              <w:rPr>
                <w:b/>
                <w:bCs/>
                <w:color w:val="000000"/>
                <w:sz w:val="20"/>
              </w:rPr>
            </w:pPr>
            <w:r w:rsidRPr="00D65475">
              <w:rPr>
                <w:b/>
                <w:bCs/>
                <w:color w:val="000000"/>
                <w:sz w:val="20"/>
              </w:rPr>
              <w:t xml:space="preserve">Painel C </w:t>
            </w:r>
            <w:r w:rsidR="003E0661">
              <w:rPr>
                <w:b/>
                <w:bCs/>
                <w:color w:val="000000"/>
                <w:sz w:val="20"/>
              </w:rPr>
              <w:t>–</w:t>
            </w:r>
            <w:r w:rsidRPr="00D65475">
              <w:rPr>
                <w:b/>
                <w:bCs/>
                <w:color w:val="000000"/>
                <w:sz w:val="20"/>
              </w:rPr>
              <w:t xml:space="preserve"> </w:t>
            </w:r>
            <w:proofErr w:type="spellStart"/>
            <w:r w:rsidRPr="00D65475">
              <w:rPr>
                <w:b/>
                <w:bCs/>
                <w:i/>
                <w:color w:val="000000"/>
                <w:sz w:val="20"/>
              </w:rPr>
              <w:t>FinTech</w:t>
            </w:r>
            <w:r w:rsidR="003E0661">
              <w:rPr>
                <w:b/>
                <w:bCs/>
                <w:i/>
                <w:color w:val="000000"/>
                <w:sz w:val="20"/>
              </w:rPr>
              <w:t>s</w:t>
            </w:r>
            <w:proofErr w:type="spellEnd"/>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observações</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815</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815</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815</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815</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815</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815</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média</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0,0856</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0,0269</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1,9622</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0,1931</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1,2070</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17,3094</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desvio-padrão</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0,0950</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0,0962</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5,7258</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0,2566</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4,0057</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3,0529</w:t>
            </w:r>
          </w:p>
        </w:tc>
      </w:tr>
      <w:tr w:rsidR="00F538D6" w:rsidRPr="002E165C" w:rsidTr="00F538D6">
        <w:trPr>
          <w:trHeight w:val="300"/>
        </w:trPr>
        <w:tc>
          <w:tcPr>
            <w:tcW w:w="1429" w:type="pct"/>
            <w:tcBorders>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mediana</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0,0544</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0,0195</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0,5219</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0,0959</w:t>
            </w:r>
          </w:p>
        </w:tc>
        <w:tc>
          <w:tcPr>
            <w:tcW w:w="595" w:type="pct"/>
            <w:tcBorders>
              <w:left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0,2449</w:t>
            </w:r>
          </w:p>
        </w:tc>
        <w:tc>
          <w:tcPr>
            <w:tcW w:w="596" w:type="pct"/>
            <w:tcBorders>
              <w:lef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17,5500</w:t>
            </w:r>
          </w:p>
        </w:tc>
      </w:tr>
      <w:tr w:rsidR="00F538D6" w:rsidRPr="002E165C" w:rsidTr="00F538D6">
        <w:trPr>
          <w:trHeight w:val="300"/>
        </w:trPr>
        <w:tc>
          <w:tcPr>
            <w:tcW w:w="1429" w:type="pct"/>
            <w:tcBorders>
              <w:bottom w:val="nil"/>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mínimo</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0,0001</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-0,3163</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0,0002</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0,0035</w:t>
            </w:r>
          </w:p>
        </w:tc>
        <w:tc>
          <w:tcPr>
            <w:tcW w:w="595" w:type="pct"/>
            <w:tcBorders>
              <w:left w:val="nil"/>
              <w:bottom w:val="nil"/>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-0,9644</w:t>
            </w:r>
          </w:p>
        </w:tc>
        <w:tc>
          <w:tcPr>
            <w:tcW w:w="596" w:type="pct"/>
            <w:tcBorders>
              <w:left w:val="nil"/>
              <w:bottom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12,2271</w:t>
            </w:r>
          </w:p>
        </w:tc>
      </w:tr>
      <w:tr w:rsidR="00F538D6" w:rsidRPr="002E165C" w:rsidTr="00F538D6">
        <w:trPr>
          <w:trHeight w:val="300"/>
        </w:trPr>
        <w:tc>
          <w:tcPr>
            <w:tcW w:w="1429" w:type="pct"/>
            <w:tcBorders>
              <w:top w:val="nil"/>
              <w:bottom w:val="single" w:sz="4" w:space="0" w:color="auto"/>
              <w:right w:val="nil"/>
            </w:tcBorders>
            <w:shd w:val="clear" w:color="auto" w:fill="auto"/>
            <w:noWrap/>
            <w:vAlign w:val="bottom"/>
            <w:hideMark/>
          </w:tcPr>
          <w:p w:rsidR="00F538D6" w:rsidRPr="00D65475" w:rsidRDefault="00F538D6" w:rsidP="00F538D6">
            <w:pPr>
              <w:ind w:firstLine="0"/>
              <w:rPr>
                <w:color w:val="000000"/>
                <w:sz w:val="20"/>
              </w:rPr>
            </w:pPr>
            <w:r w:rsidRPr="00D65475">
              <w:rPr>
                <w:color w:val="000000"/>
                <w:sz w:val="20"/>
              </w:rPr>
              <w:t>máximo</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0,4873</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0,3104</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40,6550</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1,5086</w:t>
            </w:r>
          </w:p>
        </w:tc>
        <w:tc>
          <w:tcPr>
            <w:tcW w:w="595" w:type="pct"/>
            <w:tcBorders>
              <w:top w:val="nil"/>
              <w:left w:val="nil"/>
              <w:bottom w:val="single" w:sz="4" w:space="0" w:color="auto"/>
              <w:right w:val="nil"/>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30,9537</w:t>
            </w:r>
          </w:p>
        </w:tc>
        <w:tc>
          <w:tcPr>
            <w:tcW w:w="596" w:type="pct"/>
            <w:tcBorders>
              <w:top w:val="nil"/>
              <w:left w:val="nil"/>
              <w:bottom w:val="single" w:sz="4" w:space="0" w:color="auto"/>
            </w:tcBorders>
            <w:shd w:val="clear" w:color="auto" w:fill="auto"/>
            <w:noWrap/>
            <w:vAlign w:val="bottom"/>
            <w:hideMark/>
          </w:tcPr>
          <w:p w:rsidR="00F538D6" w:rsidRPr="00D65475" w:rsidRDefault="00F538D6" w:rsidP="00F538D6">
            <w:pPr>
              <w:ind w:firstLine="0"/>
              <w:jc w:val="right"/>
              <w:rPr>
                <w:color w:val="000000"/>
                <w:sz w:val="20"/>
              </w:rPr>
            </w:pPr>
            <w:r w:rsidRPr="00D65475">
              <w:rPr>
                <w:color w:val="000000"/>
                <w:sz w:val="20"/>
              </w:rPr>
              <w:t>24,1642</w:t>
            </w:r>
          </w:p>
        </w:tc>
      </w:tr>
    </w:tbl>
    <w:p w:rsidR="00F538D6" w:rsidRDefault="00F538D6" w:rsidP="00F538D6">
      <w:pPr>
        <w:ind w:right="1986" w:firstLine="0"/>
        <w:rPr>
          <w:sz w:val="20"/>
        </w:rPr>
      </w:pPr>
      <w:r w:rsidRPr="001B125D">
        <w:rPr>
          <w:b/>
          <w:sz w:val="20"/>
        </w:rPr>
        <w:t>Nota</w:t>
      </w:r>
      <w:r>
        <w:rPr>
          <w:b/>
          <w:sz w:val="20"/>
        </w:rPr>
        <w:t xml:space="preserve">. </w:t>
      </w:r>
      <w:r>
        <w:rPr>
          <w:sz w:val="20"/>
        </w:rPr>
        <w:t xml:space="preserve">Fonte: </w:t>
      </w:r>
      <w:r w:rsidRPr="00BC2BB2">
        <w:rPr>
          <w:sz w:val="20"/>
        </w:rPr>
        <w:t>Elaborada a partir de dados da pesquisa.</w:t>
      </w:r>
    </w:p>
    <w:p w:rsidR="00F538D6" w:rsidRDefault="00F538D6" w:rsidP="00F538D6">
      <w:pPr>
        <w:ind w:right="1986" w:firstLine="0"/>
        <w:rPr>
          <w:sz w:val="20"/>
        </w:rPr>
      </w:pPr>
      <w:r w:rsidRPr="00A24569">
        <w:rPr>
          <w:sz w:val="20"/>
        </w:rPr>
        <w:t>***</w:t>
      </w:r>
      <w:r>
        <w:rPr>
          <w:sz w:val="20"/>
        </w:rPr>
        <w:t xml:space="preserve">, </w:t>
      </w:r>
      <w:r w:rsidRPr="00A24569">
        <w:rPr>
          <w:sz w:val="20"/>
        </w:rPr>
        <w:t>**</w:t>
      </w:r>
      <w:r>
        <w:rPr>
          <w:sz w:val="20"/>
        </w:rPr>
        <w:t xml:space="preserve"> e </w:t>
      </w:r>
      <w:r w:rsidRPr="00A24569">
        <w:rPr>
          <w:sz w:val="20"/>
        </w:rPr>
        <w:t>*</w:t>
      </w:r>
      <w:r>
        <w:rPr>
          <w:sz w:val="20"/>
        </w:rPr>
        <w:t xml:space="preserve">, </w:t>
      </w:r>
      <w:r w:rsidRPr="00A24569">
        <w:rPr>
          <w:sz w:val="20"/>
        </w:rPr>
        <w:t>significante</w:t>
      </w:r>
      <w:r>
        <w:rPr>
          <w:sz w:val="20"/>
        </w:rPr>
        <w:t>s</w:t>
      </w:r>
      <w:r w:rsidRPr="00A24569">
        <w:rPr>
          <w:sz w:val="20"/>
        </w:rPr>
        <w:t xml:space="preserve"> ao nível de 1%</w:t>
      </w:r>
      <w:r>
        <w:rPr>
          <w:sz w:val="20"/>
        </w:rPr>
        <w:t xml:space="preserve">, 5% e </w:t>
      </w:r>
      <w:r w:rsidRPr="00A24569">
        <w:rPr>
          <w:sz w:val="20"/>
        </w:rPr>
        <w:t>10%</w:t>
      </w:r>
      <w:r>
        <w:rPr>
          <w:sz w:val="20"/>
        </w:rPr>
        <w:t>, respectivamente.</w:t>
      </w:r>
    </w:p>
    <w:p w:rsidR="00F538D6" w:rsidRDefault="00F538D6" w:rsidP="00F538D6">
      <w:pPr>
        <w:autoSpaceDE w:val="0"/>
        <w:autoSpaceDN w:val="0"/>
        <w:adjustRightInd w:val="0"/>
        <w:rPr>
          <w:szCs w:val="24"/>
        </w:rPr>
      </w:pPr>
    </w:p>
    <w:p w:rsidR="00F538D6" w:rsidRPr="002F09F2" w:rsidRDefault="00F538D6" w:rsidP="00F538D6">
      <w:pPr>
        <w:rPr>
          <w:szCs w:val="24"/>
        </w:rPr>
      </w:pPr>
      <w:r w:rsidRPr="002F09F2">
        <w:rPr>
          <w:szCs w:val="24"/>
        </w:rPr>
        <w:t xml:space="preserve">No Painel A da Tabela </w:t>
      </w:r>
      <w:r>
        <w:rPr>
          <w:szCs w:val="24"/>
        </w:rPr>
        <w:t>4</w:t>
      </w:r>
      <w:r w:rsidRPr="002F09F2">
        <w:rPr>
          <w:szCs w:val="24"/>
        </w:rPr>
        <w:t xml:space="preserve"> a variável </w:t>
      </w:r>
      <w:proofErr w:type="spellStart"/>
      <w:r w:rsidRPr="00863DA1">
        <w:rPr>
          <w:i/>
          <w:szCs w:val="24"/>
        </w:rPr>
        <w:t>EBTP</w:t>
      </w:r>
      <w:r w:rsidRPr="00675832">
        <w:rPr>
          <w:i/>
          <w:vertAlign w:val="subscript"/>
        </w:rPr>
        <w:t>it</w:t>
      </w:r>
      <w:proofErr w:type="spellEnd"/>
      <w:r w:rsidRPr="002F09F2">
        <w:rPr>
          <w:szCs w:val="24"/>
        </w:rPr>
        <w:t xml:space="preserve"> (Geral) apresenta uma média positiva (0,0227) indicando que</w:t>
      </w:r>
      <w:r>
        <w:rPr>
          <w:szCs w:val="24"/>
        </w:rPr>
        <w:t>,</w:t>
      </w:r>
      <w:r w:rsidRPr="002F09F2">
        <w:rPr>
          <w:szCs w:val="24"/>
        </w:rPr>
        <w:t xml:space="preserve"> em média</w:t>
      </w:r>
      <w:r>
        <w:rPr>
          <w:szCs w:val="24"/>
        </w:rPr>
        <w:t>,</w:t>
      </w:r>
      <w:r w:rsidRPr="002F09F2">
        <w:rPr>
          <w:szCs w:val="24"/>
        </w:rPr>
        <w:t xml:space="preserve"> as companhias utilizam o gerenciamento de resultados quando apresentam melhores resultados antes de impostos e provisões para perdas. Nos Painéis B e C a variável </w:t>
      </w:r>
      <w:proofErr w:type="spellStart"/>
      <w:r w:rsidRPr="00863DA1">
        <w:rPr>
          <w:i/>
          <w:szCs w:val="24"/>
        </w:rPr>
        <w:t>EBTP</w:t>
      </w:r>
      <w:r w:rsidRPr="00675832">
        <w:rPr>
          <w:i/>
          <w:vertAlign w:val="subscript"/>
        </w:rPr>
        <w:t>i</w:t>
      </w:r>
      <w:r w:rsidRPr="00887DE2">
        <w:rPr>
          <w:i/>
          <w:vertAlign w:val="subscript"/>
        </w:rPr>
        <w:t>t</w:t>
      </w:r>
      <w:proofErr w:type="spellEnd"/>
      <w:r w:rsidRPr="002F09F2">
        <w:rPr>
          <w:szCs w:val="24"/>
        </w:rPr>
        <w:t xml:space="preserve"> (</w:t>
      </w:r>
      <w:proofErr w:type="spellStart"/>
      <w:r w:rsidRPr="002F09F2">
        <w:rPr>
          <w:i/>
          <w:szCs w:val="24"/>
        </w:rPr>
        <w:t>FinTech</w:t>
      </w:r>
      <w:proofErr w:type="spellEnd"/>
      <w:r w:rsidRPr="002F09F2">
        <w:rPr>
          <w:szCs w:val="24"/>
        </w:rPr>
        <w:t xml:space="preserve"> e não </w:t>
      </w:r>
      <w:proofErr w:type="spellStart"/>
      <w:r w:rsidRPr="002F09F2">
        <w:rPr>
          <w:i/>
          <w:szCs w:val="24"/>
        </w:rPr>
        <w:t>FinTech</w:t>
      </w:r>
      <w:proofErr w:type="spellEnd"/>
      <w:r w:rsidRPr="002F09F2">
        <w:rPr>
          <w:szCs w:val="24"/>
        </w:rPr>
        <w:t xml:space="preserve">) apresenta uma média mais alta nas IF </w:t>
      </w:r>
      <w:proofErr w:type="spellStart"/>
      <w:r w:rsidRPr="002F09F2">
        <w:rPr>
          <w:i/>
          <w:szCs w:val="24"/>
        </w:rPr>
        <w:t>FinTechs</w:t>
      </w:r>
      <w:proofErr w:type="spellEnd"/>
      <w:r w:rsidRPr="002F09F2">
        <w:rPr>
          <w:szCs w:val="24"/>
        </w:rPr>
        <w:t xml:space="preserve"> (0,0269) do que nas não </w:t>
      </w:r>
      <w:proofErr w:type="spellStart"/>
      <w:r w:rsidRPr="002F09F2">
        <w:rPr>
          <w:i/>
          <w:szCs w:val="24"/>
        </w:rPr>
        <w:t>FinTechs</w:t>
      </w:r>
      <w:proofErr w:type="spellEnd"/>
      <w:r w:rsidRPr="002F09F2">
        <w:rPr>
          <w:szCs w:val="24"/>
        </w:rPr>
        <w:t xml:space="preserve"> (0,0066).</w:t>
      </w:r>
    </w:p>
    <w:p w:rsidR="00F538D6" w:rsidRPr="00EE5A0C" w:rsidRDefault="00D93F27" w:rsidP="00F538D6">
      <w:pPr>
        <w:rPr>
          <w:szCs w:val="24"/>
        </w:rPr>
      </w:pPr>
      <w:r>
        <w:rPr>
          <w:szCs w:val="24"/>
        </w:rPr>
        <w:t>Foi realizado o</w:t>
      </w:r>
      <w:r w:rsidR="00F538D6" w:rsidRPr="00EE5A0C">
        <w:rPr>
          <w:szCs w:val="24"/>
        </w:rPr>
        <w:t xml:space="preserve"> teste Shapiro-</w:t>
      </w:r>
      <w:proofErr w:type="spellStart"/>
      <w:r w:rsidR="00F538D6" w:rsidRPr="00EE5A0C">
        <w:rPr>
          <w:szCs w:val="24"/>
        </w:rPr>
        <w:t>Wilk</w:t>
      </w:r>
      <w:proofErr w:type="spellEnd"/>
      <w:r>
        <w:rPr>
          <w:szCs w:val="24"/>
        </w:rPr>
        <w:t xml:space="preserve"> que</w:t>
      </w:r>
      <w:r w:rsidR="00F538D6" w:rsidRPr="00EE5A0C">
        <w:rPr>
          <w:szCs w:val="24"/>
        </w:rPr>
        <w:t xml:space="preserve"> indicou que as variáveis desta pesquisa não seguem um</w:t>
      </w:r>
      <w:r w:rsidR="00F538D6">
        <w:rPr>
          <w:szCs w:val="24"/>
        </w:rPr>
        <w:t>a</w:t>
      </w:r>
      <w:r w:rsidR="00F538D6" w:rsidRPr="00EE5A0C">
        <w:rPr>
          <w:szCs w:val="24"/>
        </w:rPr>
        <w:t xml:space="preserve"> distribuição normal</w:t>
      </w:r>
      <w:r>
        <w:rPr>
          <w:szCs w:val="24"/>
        </w:rPr>
        <w:t>. Sendo</w:t>
      </w:r>
      <w:r w:rsidR="00F538D6" w:rsidRPr="00EE5A0C">
        <w:rPr>
          <w:szCs w:val="24"/>
        </w:rPr>
        <w:t xml:space="preserve"> assim</w:t>
      </w:r>
      <w:r>
        <w:rPr>
          <w:szCs w:val="24"/>
        </w:rPr>
        <w:t xml:space="preserve">, procedeu-se </w:t>
      </w:r>
      <w:r w:rsidR="00F538D6" w:rsidRPr="00EE5A0C">
        <w:rPr>
          <w:szCs w:val="24"/>
        </w:rPr>
        <w:t>uma análise da corre</w:t>
      </w:r>
      <w:r>
        <w:rPr>
          <w:szCs w:val="24"/>
        </w:rPr>
        <w:t>la</w:t>
      </w:r>
      <w:r w:rsidR="00F538D6" w:rsidRPr="00EE5A0C">
        <w:rPr>
          <w:szCs w:val="24"/>
        </w:rPr>
        <w:t xml:space="preserve">ção de </w:t>
      </w:r>
      <w:proofErr w:type="spellStart"/>
      <w:r w:rsidR="00F538D6" w:rsidRPr="00EE5A0C">
        <w:rPr>
          <w:szCs w:val="24"/>
        </w:rPr>
        <w:lastRenderedPageBreak/>
        <w:t>Spearman</w:t>
      </w:r>
      <w:proofErr w:type="spellEnd"/>
      <w:r w:rsidR="00F538D6">
        <w:rPr>
          <w:szCs w:val="24"/>
        </w:rPr>
        <w:t>, conforme a apresentada na Tabela 5</w:t>
      </w:r>
      <w:r w:rsidR="00F538D6" w:rsidRPr="00EE5A0C">
        <w:rPr>
          <w:szCs w:val="24"/>
        </w:rPr>
        <w:t>.</w:t>
      </w:r>
    </w:p>
    <w:p w:rsidR="00F538D6" w:rsidRPr="00EE5A0C" w:rsidRDefault="00F538D6" w:rsidP="00F538D6">
      <w:pPr>
        <w:rPr>
          <w:szCs w:val="24"/>
        </w:rPr>
      </w:pPr>
    </w:p>
    <w:p w:rsidR="00F538D6" w:rsidRPr="001B125D" w:rsidRDefault="00F538D6" w:rsidP="00F538D6">
      <w:pPr>
        <w:pStyle w:val="Legenda"/>
        <w:keepNext/>
        <w:ind w:firstLine="0"/>
        <w:rPr>
          <w:b w:val="0"/>
          <w:noProof/>
          <w:szCs w:val="24"/>
        </w:rPr>
      </w:pPr>
      <w:r w:rsidRPr="001B125D">
        <w:rPr>
          <w:b w:val="0"/>
          <w:szCs w:val="24"/>
        </w:rPr>
        <w:t xml:space="preserve">Tabela </w:t>
      </w:r>
      <w:r>
        <w:rPr>
          <w:b w:val="0"/>
          <w:szCs w:val="24"/>
        </w:rPr>
        <w:t>5</w:t>
      </w:r>
    </w:p>
    <w:p w:rsidR="00F538D6" w:rsidRPr="001B125D" w:rsidRDefault="00F538D6" w:rsidP="00F538D6">
      <w:pPr>
        <w:pStyle w:val="Legenda"/>
        <w:keepNext/>
        <w:ind w:firstLine="0"/>
        <w:rPr>
          <w:i/>
          <w:szCs w:val="24"/>
        </w:rPr>
      </w:pPr>
      <w:r w:rsidRPr="001B125D">
        <w:rPr>
          <w:noProof/>
          <w:szCs w:val="24"/>
        </w:rPr>
        <w:t>Análise de Correlação de Spearman</w:t>
      </w:r>
    </w:p>
    <w:tbl>
      <w:tblPr>
        <w:tblW w:w="5000" w:type="pct"/>
        <w:tblCellMar>
          <w:left w:w="70" w:type="dxa"/>
          <w:right w:w="70" w:type="dxa"/>
        </w:tblCellMar>
        <w:tblLook w:val="04A0" w:firstRow="1" w:lastRow="0" w:firstColumn="1" w:lastColumn="0" w:noHBand="0" w:noVBand="1"/>
      </w:tblPr>
      <w:tblGrid>
        <w:gridCol w:w="2052"/>
        <w:gridCol w:w="1071"/>
        <w:gridCol w:w="1071"/>
        <w:gridCol w:w="1071"/>
        <w:gridCol w:w="1071"/>
        <w:gridCol w:w="1071"/>
        <w:gridCol w:w="1071"/>
        <w:gridCol w:w="1067"/>
      </w:tblGrid>
      <w:tr w:rsidR="00F538D6" w:rsidRPr="001D082B" w:rsidTr="00F538D6">
        <w:trPr>
          <w:trHeight w:val="300"/>
        </w:trPr>
        <w:tc>
          <w:tcPr>
            <w:tcW w:w="1075" w:type="pct"/>
            <w:tcBorders>
              <w:top w:val="single" w:sz="4" w:space="0" w:color="auto"/>
              <w:left w:val="nil"/>
              <w:bottom w:val="single" w:sz="4" w:space="0" w:color="auto"/>
              <w:right w:val="nil"/>
            </w:tcBorders>
            <w:shd w:val="clear" w:color="auto" w:fill="auto"/>
            <w:noWrap/>
            <w:vAlign w:val="bottom"/>
          </w:tcPr>
          <w:p w:rsidR="00F538D6" w:rsidRPr="001D082B" w:rsidRDefault="00F538D6" w:rsidP="00F538D6">
            <w:pPr>
              <w:ind w:firstLine="0"/>
              <w:rPr>
                <w:szCs w:val="24"/>
              </w:rPr>
            </w:pPr>
          </w:p>
        </w:tc>
        <w:tc>
          <w:tcPr>
            <w:tcW w:w="561" w:type="pct"/>
            <w:tcBorders>
              <w:top w:val="single" w:sz="4" w:space="0" w:color="auto"/>
              <w:left w:val="nil"/>
              <w:bottom w:val="single" w:sz="4" w:space="0" w:color="auto"/>
              <w:right w:val="nil"/>
            </w:tcBorders>
            <w:shd w:val="clear" w:color="auto" w:fill="auto"/>
            <w:noWrap/>
            <w:vAlign w:val="bottom"/>
          </w:tcPr>
          <w:p w:rsidR="00F538D6" w:rsidRPr="001D082B" w:rsidRDefault="00F538D6" w:rsidP="00F538D6">
            <w:pPr>
              <w:ind w:firstLine="0"/>
              <w:jc w:val="center"/>
              <w:rPr>
                <w:rFonts w:ascii="Calibri" w:hAnsi="Calibri" w:cs="Calibri"/>
                <w:color w:val="000000"/>
              </w:rPr>
            </w:pPr>
            <w:r w:rsidRPr="00D07C25">
              <w:rPr>
                <w:b/>
                <w:bCs/>
                <w:color w:val="000000"/>
                <w:sz w:val="20"/>
              </w:rPr>
              <w:t>LLP</w:t>
            </w:r>
          </w:p>
        </w:tc>
        <w:tc>
          <w:tcPr>
            <w:tcW w:w="561" w:type="pct"/>
            <w:tcBorders>
              <w:top w:val="single" w:sz="4" w:space="0" w:color="auto"/>
              <w:left w:val="nil"/>
              <w:bottom w:val="single" w:sz="4" w:space="0" w:color="auto"/>
              <w:right w:val="nil"/>
            </w:tcBorders>
            <w:shd w:val="clear" w:color="auto" w:fill="auto"/>
            <w:noWrap/>
            <w:vAlign w:val="bottom"/>
          </w:tcPr>
          <w:p w:rsidR="00F538D6" w:rsidRPr="001D082B" w:rsidRDefault="00F538D6" w:rsidP="00F538D6">
            <w:pPr>
              <w:ind w:firstLine="0"/>
              <w:jc w:val="center"/>
              <w:rPr>
                <w:rFonts w:ascii="Calibri" w:hAnsi="Calibri" w:cs="Calibri"/>
                <w:color w:val="000000"/>
              </w:rPr>
            </w:pPr>
            <w:r w:rsidRPr="00D07C25">
              <w:rPr>
                <w:b/>
                <w:bCs/>
                <w:color w:val="000000"/>
                <w:sz w:val="20"/>
              </w:rPr>
              <w:t>EBTP</w:t>
            </w:r>
          </w:p>
        </w:tc>
        <w:tc>
          <w:tcPr>
            <w:tcW w:w="561" w:type="pct"/>
            <w:tcBorders>
              <w:top w:val="single" w:sz="4" w:space="0" w:color="auto"/>
              <w:left w:val="nil"/>
              <w:bottom w:val="single" w:sz="4" w:space="0" w:color="auto"/>
              <w:right w:val="nil"/>
            </w:tcBorders>
            <w:shd w:val="clear" w:color="auto" w:fill="auto"/>
            <w:noWrap/>
            <w:vAlign w:val="bottom"/>
          </w:tcPr>
          <w:p w:rsidR="00F538D6" w:rsidRPr="001D082B" w:rsidRDefault="00F538D6" w:rsidP="00F538D6">
            <w:pPr>
              <w:ind w:firstLine="0"/>
              <w:jc w:val="center"/>
              <w:rPr>
                <w:rFonts w:ascii="Calibri" w:hAnsi="Calibri" w:cs="Calibri"/>
                <w:color w:val="000000"/>
              </w:rPr>
            </w:pPr>
            <w:r w:rsidRPr="00D07C25">
              <w:rPr>
                <w:b/>
                <w:bCs/>
                <w:color w:val="000000"/>
                <w:sz w:val="20"/>
              </w:rPr>
              <w:t>CAR</w:t>
            </w:r>
          </w:p>
        </w:tc>
        <w:tc>
          <w:tcPr>
            <w:tcW w:w="561" w:type="pct"/>
            <w:tcBorders>
              <w:top w:val="single" w:sz="4" w:space="0" w:color="auto"/>
              <w:left w:val="nil"/>
              <w:bottom w:val="single" w:sz="4" w:space="0" w:color="auto"/>
              <w:right w:val="nil"/>
            </w:tcBorders>
            <w:shd w:val="clear" w:color="auto" w:fill="auto"/>
            <w:noWrap/>
            <w:vAlign w:val="bottom"/>
          </w:tcPr>
          <w:p w:rsidR="00F538D6" w:rsidRPr="001D082B" w:rsidRDefault="00F538D6" w:rsidP="00F538D6">
            <w:pPr>
              <w:ind w:firstLine="0"/>
              <w:jc w:val="center"/>
              <w:rPr>
                <w:rFonts w:ascii="Calibri" w:hAnsi="Calibri" w:cs="Calibri"/>
                <w:color w:val="000000"/>
              </w:rPr>
            </w:pPr>
            <w:r w:rsidRPr="00D07C25">
              <w:rPr>
                <w:b/>
                <w:bCs/>
                <w:color w:val="000000"/>
                <w:sz w:val="20"/>
              </w:rPr>
              <w:t>NPL</w:t>
            </w:r>
          </w:p>
        </w:tc>
        <w:tc>
          <w:tcPr>
            <w:tcW w:w="561" w:type="pct"/>
            <w:tcBorders>
              <w:top w:val="single" w:sz="4" w:space="0" w:color="auto"/>
              <w:left w:val="nil"/>
              <w:bottom w:val="single" w:sz="4" w:space="0" w:color="auto"/>
              <w:right w:val="nil"/>
            </w:tcBorders>
            <w:shd w:val="clear" w:color="auto" w:fill="auto"/>
            <w:noWrap/>
            <w:vAlign w:val="bottom"/>
          </w:tcPr>
          <w:p w:rsidR="00F538D6" w:rsidRPr="001D082B" w:rsidRDefault="00F538D6" w:rsidP="00F538D6">
            <w:pPr>
              <w:ind w:firstLine="0"/>
              <w:jc w:val="center"/>
              <w:rPr>
                <w:rFonts w:ascii="Calibri" w:hAnsi="Calibri" w:cs="Calibri"/>
                <w:color w:val="000000"/>
              </w:rPr>
            </w:pPr>
            <w:r w:rsidRPr="00D07C25">
              <w:rPr>
                <w:b/>
                <w:bCs/>
                <w:color w:val="000000"/>
                <w:sz w:val="20"/>
              </w:rPr>
              <w:t>LOAN</w:t>
            </w:r>
          </w:p>
        </w:tc>
        <w:tc>
          <w:tcPr>
            <w:tcW w:w="561" w:type="pct"/>
            <w:tcBorders>
              <w:top w:val="single" w:sz="4" w:space="0" w:color="auto"/>
              <w:left w:val="nil"/>
              <w:bottom w:val="single" w:sz="4" w:space="0" w:color="auto"/>
              <w:right w:val="nil"/>
            </w:tcBorders>
            <w:shd w:val="clear" w:color="auto" w:fill="auto"/>
            <w:noWrap/>
            <w:vAlign w:val="bottom"/>
          </w:tcPr>
          <w:p w:rsidR="00F538D6" w:rsidRPr="001D082B" w:rsidRDefault="00F538D6" w:rsidP="00F538D6">
            <w:pPr>
              <w:ind w:firstLine="0"/>
              <w:jc w:val="center"/>
              <w:rPr>
                <w:rFonts w:ascii="Calibri" w:hAnsi="Calibri" w:cs="Calibri"/>
                <w:color w:val="000000"/>
              </w:rPr>
            </w:pPr>
            <w:r w:rsidRPr="00D07C25">
              <w:rPr>
                <w:b/>
                <w:bCs/>
                <w:color w:val="000000"/>
                <w:sz w:val="20"/>
              </w:rPr>
              <w:t>SIZE</w:t>
            </w:r>
          </w:p>
        </w:tc>
        <w:tc>
          <w:tcPr>
            <w:tcW w:w="561" w:type="pct"/>
            <w:tcBorders>
              <w:top w:val="single" w:sz="4" w:space="0" w:color="auto"/>
              <w:left w:val="nil"/>
              <w:bottom w:val="single" w:sz="4" w:space="0" w:color="auto"/>
              <w:right w:val="nil"/>
            </w:tcBorders>
            <w:shd w:val="clear" w:color="auto" w:fill="auto"/>
            <w:noWrap/>
            <w:vAlign w:val="bottom"/>
          </w:tcPr>
          <w:p w:rsidR="00F538D6" w:rsidRPr="005D5F9B" w:rsidRDefault="00F538D6" w:rsidP="00F538D6">
            <w:pPr>
              <w:ind w:firstLine="0"/>
              <w:jc w:val="center"/>
              <w:rPr>
                <w:b/>
                <w:bCs/>
                <w:color w:val="000000"/>
                <w:sz w:val="20"/>
              </w:rPr>
            </w:pPr>
            <w:r w:rsidRPr="005D5F9B">
              <w:rPr>
                <w:b/>
                <w:bCs/>
                <w:color w:val="000000"/>
                <w:sz w:val="20"/>
              </w:rPr>
              <w:t>GDP</w:t>
            </w:r>
          </w:p>
        </w:tc>
      </w:tr>
      <w:tr w:rsidR="00F538D6" w:rsidRPr="005D5F9B" w:rsidTr="00F538D6">
        <w:trPr>
          <w:trHeight w:val="300"/>
        </w:trPr>
        <w:tc>
          <w:tcPr>
            <w:tcW w:w="1075" w:type="pct"/>
            <w:tcBorders>
              <w:top w:val="nil"/>
              <w:left w:val="nil"/>
              <w:bottom w:val="nil"/>
              <w:right w:val="nil"/>
            </w:tcBorders>
            <w:shd w:val="clear" w:color="auto" w:fill="auto"/>
            <w:noWrap/>
            <w:vAlign w:val="center"/>
          </w:tcPr>
          <w:p w:rsidR="00F538D6" w:rsidRPr="005D5F9B" w:rsidRDefault="00F538D6" w:rsidP="00F538D6">
            <w:pPr>
              <w:ind w:firstLine="0"/>
              <w:rPr>
                <w:color w:val="000000"/>
                <w:sz w:val="20"/>
              </w:rPr>
            </w:pPr>
            <w:r w:rsidRPr="005D5F9B">
              <w:rPr>
                <w:bCs/>
                <w:color w:val="000000"/>
                <w:sz w:val="20"/>
              </w:rPr>
              <w:t>LLP</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1</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r>
      <w:tr w:rsidR="00F538D6" w:rsidRPr="005D5F9B" w:rsidTr="00F538D6">
        <w:trPr>
          <w:trHeight w:val="300"/>
        </w:trPr>
        <w:tc>
          <w:tcPr>
            <w:tcW w:w="1075" w:type="pct"/>
            <w:tcBorders>
              <w:top w:val="nil"/>
              <w:left w:val="nil"/>
              <w:bottom w:val="nil"/>
              <w:right w:val="nil"/>
            </w:tcBorders>
            <w:shd w:val="clear" w:color="auto" w:fill="auto"/>
            <w:noWrap/>
            <w:vAlign w:val="center"/>
          </w:tcPr>
          <w:p w:rsidR="00F538D6" w:rsidRPr="005D5F9B" w:rsidRDefault="00F538D6" w:rsidP="00F538D6">
            <w:pPr>
              <w:ind w:firstLine="0"/>
              <w:rPr>
                <w:color w:val="000000"/>
                <w:sz w:val="20"/>
              </w:rPr>
            </w:pPr>
            <w:r w:rsidRPr="005D5F9B">
              <w:rPr>
                <w:bCs/>
                <w:color w:val="000000"/>
                <w:sz w:val="20"/>
              </w:rPr>
              <w:t>EBTP</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0.0918</w:t>
            </w:r>
            <w:r w:rsidRPr="00887DE2">
              <w:rPr>
                <w:color w:val="000000"/>
                <w:sz w:val="20"/>
                <w:vertAlign w:val="superscript"/>
              </w:rPr>
              <w:t>***</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1</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r>
      <w:tr w:rsidR="00F538D6" w:rsidRPr="005D5F9B" w:rsidTr="00F538D6">
        <w:trPr>
          <w:trHeight w:val="300"/>
        </w:trPr>
        <w:tc>
          <w:tcPr>
            <w:tcW w:w="1075" w:type="pct"/>
            <w:tcBorders>
              <w:top w:val="nil"/>
              <w:left w:val="nil"/>
              <w:bottom w:val="nil"/>
              <w:right w:val="nil"/>
            </w:tcBorders>
            <w:shd w:val="clear" w:color="auto" w:fill="auto"/>
            <w:noWrap/>
            <w:vAlign w:val="center"/>
          </w:tcPr>
          <w:p w:rsidR="00F538D6" w:rsidRPr="005D5F9B" w:rsidRDefault="00F538D6" w:rsidP="00F538D6">
            <w:pPr>
              <w:ind w:firstLine="0"/>
              <w:rPr>
                <w:color w:val="000000"/>
                <w:sz w:val="20"/>
              </w:rPr>
            </w:pPr>
            <w:r w:rsidRPr="005D5F9B">
              <w:rPr>
                <w:bCs/>
                <w:color w:val="000000"/>
                <w:sz w:val="20"/>
              </w:rPr>
              <w:t>CAR</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-0.1776</w:t>
            </w:r>
            <w:r w:rsidRPr="00887DE2">
              <w:rPr>
                <w:color w:val="000000"/>
                <w:sz w:val="20"/>
                <w:vertAlign w:val="superscript"/>
              </w:rPr>
              <w:t>***</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-0,0461</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1</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r>
      <w:tr w:rsidR="00F538D6" w:rsidRPr="005D5F9B" w:rsidTr="00F538D6">
        <w:trPr>
          <w:trHeight w:val="300"/>
        </w:trPr>
        <w:tc>
          <w:tcPr>
            <w:tcW w:w="1075" w:type="pct"/>
            <w:tcBorders>
              <w:top w:val="nil"/>
              <w:left w:val="nil"/>
              <w:bottom w:val="nil"/>
              <w:right w:val="nil"/>
            </w:tcBorders>
            <w:shd w:val="clear" w:color="auto" w:fill="auto"/>
            <w:noWrap/>
            <w:vAlign w:val="center"/>
          </w:tcPr>
          <w:p w:rsidR="00F538D6" w:rsidRPr="005D5F9B" w:rsidRDefault="00F538D6" w:rsidP="00F538D6">
            <w:pPr>
              <w:ind w:firstLine="0"/>
              <w:rPr>
                <w:color w:val="000000"/>
                <w:sz w:val="20"/>
              </w:rPr>
            </w:pPr>
            <w:r w:rsidRPr="005D5F9B">
              <w:rPr>
                <w:bCs/>
                <w:color w:val="000000"/>
                <w:sz w:val="20"/>
              </w:rPr>
              <w:t>NPL</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0.7944</w:t>
            </w:r>
            <w:r w:rsidRPr="00887DE2">
              <w:rPr>
                <w:color w:val="000000"/>
                <w:sz w:val="20"/>
                <w:vertAlign w:val="superscript"/>
              </w:rPr>
              <w:t>***</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-0,0474</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0,0375</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1</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r>
      <w:tr w:rsidR="00F538D6" w:rsidRPr="005D5F9B" w:rsidTr="00F538D6">
        <w:trPr>
          <w:trHeight w:val="300"/>
        </w:trPr>
        <w:tc>
          <w:tcPr>
            <w:tcW w:w="1075" w:type="pct"/>
            <w:tcBorders>
              <w:top w:val="nil"/>
              <w:left w:val="nil"/>
              <w:bottom w:val="nil"/>
              <w:right w:val="nil"/>
            </w:tcBorders>
            <w:shd w:val="clear" w:color="auto" w:fill="auto"/>
            <w:noWrap/>
            <w:vAlign w:val="center"/>
          </w:tcPr>
          <w:p w:rsidR="00F538D6" w:rsidRPr="005D5F9B" w:rsidRDefault="00F538D6" w:rsidP="00F538D6">
            <w:pPr>
              <w:ind w:firstLine="0"/>
              <w:rPr>
                <w:color w:val="000000"/>
                <w:sz w:val="20"/>
              </w:rPr>
            </w:pPr>
            <w:r w:rsidRPr="005D5F9B">
              <w:rPr>
                <w:bCs/>
                <w:color w:val="000000"/>
                <w:sz w:val="20"/>
              </w:rPr>
              <w:t>LOAN</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0.0846</w:t>
            </w:r>
            <w:r w:rsidRPr="00887DE2">
              <w:rPr>
                <w:color w:val="000000"/>
                <w:sz w:val="20"/>
                <w:vertAlign w:val="superscript"/>
              </w:rPr>
              <w:t>***</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0,0223</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-0.0707</w:t>
            </w:r>
            <w:r w:rsidRPr="00887DE2">
              <w:rPr>
                <w:color w:val="000000"/>
                <w:sz w:val="20"/>
                <w:vertAlign w:val="superscript"/>
              </w:rPr>
              <w:t>**</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-0,0105</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1</w:t>
            </w: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jc w:val="right"/>
              <w:rPr>
                <w:color w:val="000000"/>
                <w:sz w:val="20"/>
              </w:rPr>
            </w:pPr>
          </w:p>
        </w:tc>
        <w:tc>
          <w:tcPr>
            <w:tcW w:w="561" w:type="pct"/>
            <w:tcBorders>
              <w:top w:val="nil"/>
              <w:left w:val="nil"/>
              <w:bottom w:val="nil"/>
              <w:right w:val="nil"/>
            </w:tcBorders>
            <w:shd w:val="clear" w:color="auto" w:fill="auto"/>
            <w:noWrap/>
            <w:vAlign w:val="bottom"/>
          </w:tcPr>
          <w:p w:rsidR="00F538D6" w:rsidRPr="00560B6D" w:rsidRDefault="00F538D6" w:rsidP="00F538D6">
            <w:pPr>
              <w:ind w:firstLine="0"/>
              <w:rPr>
                <w:sz w:val="20"/>
              </w:rPr>
            </w:pPr>
          </w:p>
        </w:tc>
      </w:tr>
      <w:tr w:rsidR="00F538D6" w:rsidRPr="005D5F9B" w:rsidTr="00F538D6">
        <w:trPr>
          <w:trHeight w:val="300"/>
        </w:trPr>
        <w:tc>
          <w:tcPr>
            <w:tcW w:w="1075" w:type="pct"/>
            <w:tcBorders>
              <w:top w:val="nil"/>
              <w:left w:val="nil"/>
              <w:right w:val="nil"/>
            </w:tcBorders>
            <w:shd w:val="clear" w:color="auto" w:fill="auto"/>
            <w:noWrap/>
            <w:vAlign w:val="center"/>
          </w:tcPr>
          <w:p w:rsidR="00F538D6" w:rsidRPr="005D5F9B" w:rsidRDefault="00F538D6" w:rsidP="00F538D6">
            <w:pPr>
              <w:ind w:firstLine="0"/>
              <w:rPr>
                <w:color w:val="000000"/>
                <w:sz w:val="20"/>
              </w:rPr>
            </w:pPr>
            <w:r w:rsidRPr="005D5F9B">
              <w:rPr>
                <w:bCs/>
                <w:color w:val="000000"/>
                <w:sz w:val="20"/>
              </w:rPr>
              <w:t>SIZE</w:t>
            </w:r>
          </w:p>
        </w:tc>
        <w:tc>
          <w:tcPr>
            <w:tcW w:w="561" w:type="pct"/>
            <w:tcBorders>
              <w:top w:val="nil"/>
              <w:left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-0,0604</w:t>
            </w:r>
            <w:r w:rsidRPr="00887DE2">
              <w:rPr>
                <w:color w:val="000000"/>
                <w:sz w:val="20"/>
                <w:vertAlign w:val="superscript"/>
              </w:rPr>
              <w:t>*</w:t>
            </w:r>
          </w:p>
        </w:tc>
        <w:tc>
          <w:tcPr>
            <w:tcW w:w="561" w:type="pct"/>
            <w:tcBorders>
              <w:top w:val="nil"/>
              <w:left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-0,0604</w:t>
            </w:r>
            <w:r w:rsidRPr="00887DE2">
              <w:rPr>
                <w:color w:val="000000"/>
                <w:sz w:val="20"/>
                <w:vertAlign w:val="superscript"/>
              </w:rPr>
              <w:t>*</w:t>
            </w:r>
          </w:p>
        </w:tc>
        <w:tc>
          <w:tcPr>
            <w:tcW w:w="561" w:type="pct"/>
            <w:tcBorders>
              <w:top w:val="nil"/>
              <w:left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-0.3709</w:t>
            </w:r>
            <w:r w:rsidRPr="00887DE2">
              <w:rPr>
                <w:color w:val="000000"/>
                <w:sz w:val="20"/>
                <w:vertAlign w:val="superscript"/>
              </w:rPr>
              <w:t>***</w:t>
            </w:r>
          </w:p>
        </w:tc>
        <w:tc>
          <w:tcPr>
            <w:tcW w:w="561" w:type="pct"/>
            <w:tcBorders>
              <w:top w:val="nil"/>
              <w:left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-0,0559</w:t>
            </w:r>
            <w:r w:rsidRPr="00887DE2">
              <w:rPr>
                <w:color w:val="000000"/>
                <w:sz w:val="20"/>
                <w:vertAlign w:val="superscript"/>
              </w:rPr>
              <w:t>*</w:t>
            </w:r>
          </w:p>
        </w:tc>
        <w:tc>
          <w:tcPr>
            <w:tcW w:w="561" w:type="pct"/>
            <w:tcBorders>
              <w:top w:val="nil"/>
              <w:left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-0.0909</w:t>
            </w:r>
            <w:r w:rsidRPr="00887DE2">
              <w:rPr>
                <w:color w:val="000000"/>
                <w:sz w:val="20"/>
                <w:vertAlign w:val="superscript"/>
              </w:rPr>
              <w:t>***</w:t>
            </w:r>
          </w:p>
        </w:tc>
        <w:tc>
          <w:tcPr>
            <w:tcW w:w="561" w:type="pct"/>
            <w:tcBorders>
              <w:top w:val="nil"/>
              <w:left w:val="nil"/>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1</w:t>
            </w:r>
          </w:p>
        </w:tc>
        <w:tc>
          <w:tcPr>
            <w:tcW w:w="561" w:type="pct"/>
            <w:tcBorders>
              <w:top w:val="nil"/>
              <w:left w:val="nil"/>
              <w:right w:val="nil"/>
            </w:tcBorders>
            <w:shd w:val="clear" w:color="auto" w:fill="auto"/>
            <w:noWrap/>
            <w:vAlign w:val="bottom"/>
          </w:tcPr>
          <w:p w:rsidR="00F538D6" w:rsidRPr="00560B6D" w:rsidRDefault="00F538D6" w:rsidP="00F538D6">
            <w:pPr>
              <w:ind w:firstLine="0"/>
              <w:jc w:val="right"/>
              <w:rPr>
                <w:color w:val="000000"/>
                <w:sz w:val="20"/>
              </w:rPr>
            </w:pPr>
          </w:p>
        </w:tc>
      </w:tr>
      <w:tr w:rsidR="00F538D6" w:rsidRPr="005D5F9B" w:rsidTr="00F538D6">
        <w:trPr>
          <w:trHeight w:val="300"/>
        </w:trPr>
        <w:tc>
          <w:tcPr>
            <w:tcW w:w="1075" w:type="pct"/>
            <w:tcBorders>
              <w:top w:val="nil"/>
              <w:left w:val="nil"/>
              <w:bottom w:val="single" w:sz="4" w:space="0" w:color="auto"/>
              <w:right w:val="nil"/>
            </w:tcBorders>
            <w:shd w:val="clear" w:color="auto" w:fill="auto"/>
            <w:noWrap/>
            <w:vAlign w:val="center"/>
          </w:tcPr>
          <w:p w:rsidR="00F538D6" w:rsidRPr="00675832" w:rsidRDefault="00F538D6" w:rsidP="00F538D6">
            <w:pPr>
              <w:ind w:firstLine="0"/>
              <w:rPr>
                <w:color w:val="000000"/>
                <w:sz w:val="20"/>
              </w:rPr>
            </w:pPr>
            <w:r w:rsidRPr="003D1F4F">
              <w:rPr>
                <w:i/>
                <w:sz w:val="20"/>
              </w:rPr>
              <w:t>∆</w:t>
            </w:r>
            <w:r w:rsidRPr="00675832">
              <w:rPr>
                <w:bCs/>
                <w:color w:val="000000"/>
                <w:sz w:val="20"/>
              </w:rPr>
              <w:t>GDP</w:t>
            </w:r>
          </w:p>
        </w:tc>
        <w:tc>
          <w:tcPr>
            <w:tcW w:w="561" w:type="pct"/>
            <w:tcBorders>
              <w:top w:val="nil"/>
              <w:left w:val="nil"/>
              <w:bottom w:val="single" w:sz="4" w:space="0" w:color="auto"/>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-0,0293</w:t>
            </w:r>
          </w:p>
        </w:tc>
        <w:tc>
          <w:tcPr>
            <w:tcW w:w="561" w:type="pct"/>
            <w:tcBorders>
              <w:top w:val="nil"/>
              <w:left w:val="nil"/>
              <w:bottom w:val="single" w:sz="4" w:space="0" w:color="auto"/>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0,0289</w:t>
            </w:r>
          </w:p>
        </w:tc>
        <w:tc>
          <w:tcPr>
            <w:tcW w:w="561" w:type="pct"/>
            <w:tcBorders>
              <w:top w:val="nil"/>
              <w:left w:val="nil"/>
              <w:bottom w:val="single" w:sz="4" w:space="0" w:color="auto"/>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-0,0165</w:t>
            </w:r>
          </w:p>
        </w:tc>
        <w:tc>
          <w:tcPr>
            <w:tcW w:w="561" w:type="pct"/>
            <w:tcBorders>
              <w:top w:val="nil"/>
              <w:left w:val="nil"/>
              <w:bottom w:val="single" w:sz="4" w:space="0" w:color="auto"/>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-0,0415</w:t>
            </w:r>
          </w:p>
        </w:tc>
        <w:tc>
          <w:tcPr>
            <w:tcW w:w="561" w:type="pct"/>
            <w:tcBorders>
              <w:top w:val="nil"/>
              <w:left w:val="nil"/>
              <w:bottom w:val="single" w:sz="4" w:space="0" w:color="auto"/>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-0.1228</w:t>
            </w:r>
            <w:r w:rsidRPr="00887DE2">
              <w:rPr>
                <w:color w:val="000000"/>
                <w:sz w:val="20"/>
                <w:vertAlign w:val="superscript"/>
              </w:rPr>
              <w:t>***</w:t>
            </w:r>
          </w:p>
        </w:tc>
        <w:tc>
          <w:tcPr>
            <w:tcW w:w="561" w:type="pct"/>
            <w:tcBorders>
              <w:top w:val="nil"/>
              <w:left w:val="nil"/>
              <w:bottom w:val="single" w:sz="4" w:space="0" w:color="auto"/>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0,0261</w:t>
            </w:r>
          </w:p>
        </w:tc>
        <w:tc>
          <w:tcPr>
            <w:tcW w:w="561" w:type="pct"/>
            <w:tcBorders>
              <w:top w:val="nil"/>
              <w:left w:val="nil"/>
              <w:bottom w:val="single" w:sz="4" w:space="0" w:color="auto"/>
              <w:right w:val="nil"/>
            </w:tcBorders>
            <w:shd w:val="clear" w:color="auto" w:fill="auto"/>
            <w:noWrap/>
            <w:vAlign w:val="bottom"/>
          </w:tcPr>
          <w:p w:rsidR="00F538D6" w:rsidRPr="00560B6D" w:rsidRDefault="00F538D6" w:rsidP="00F538D6">
            <w:pPr>
              <w:ind w:firstLine="0"/>
              <w:jc w:val="right"/>
              <w:rPr>
                <w:color w:val="000000"/>
                <w:sz w:val="20"/>
              </w:rPr>
            </w:pPr>
            <w:r w:rsidRPr="00560B6D">
              <w:rPr>
                <w:color w:val="000000"/>
                <w:sz w:val="20"/>
              </w:rPr>
              <w:t>1</w:t>
            </w:r>
          </w:p>
        </w:tc>
      </w:tr>
    </w:tbl>
    <w:p w:rsidR="00F538D6" w:rsidRPr="00A24569" w:rsidRDefault="00F538D6" w:rsidP="00F538D6">
      <w:pPr>
        <w:ind w:right="1986" w:firstLine="0"/>
        <w:rPr>
          <w:sz w:val="20"/>
        </w:rPr>
      </w:pPr>
      <w:r w:rsidRPr="001B125D">
        <w:rPr>
          <w:b/>
          <w:sz w:val="20"/>
        </w:rPr>
        <w:t>Nota</w:t>
      </w:r>
      <w:r>
        <w:rPr>
          <w:b/>
          <w:sz w:val="20"/>
        </w:rPr>
        <w:t xml:space="preserve">. </w:t>
      </w:r>
      <w:r>
        <w:rPr>
          <w:sz w:val="20"/>
        </w:rPr>
        <w:t xml:space="preserve">Fonte: </w:t>
      </w:r>
      <w:r w:rsidRPr="00BC2BB2">
        <w:rPr>
          <w:sz w:val="20"/>
        </w:rPr>
        <w:t>Elaborada a partir de dados da pesquisa.</w:t>
      </w:r>
    </w:p>
    <w:p w:rsidR="00F538D6" w:rsidRDefault="00F538D6" w:rsidP="00F538D6">
      <w:pPr>
        <w:ind w:right="1986" w:firstLine="0"/>
        <w:rPr>
          <w:sz w:val="20"/>
        </w:rPr>
      </w:pPr>
      <w:r w:rsidRPr="00A24569">
        <w:rPr>
          <w:sz w:val="20"/>
        </w:rPr>
        <w:t>***</w:t>
      </w:r>
      <w:r>
        <w:rPr>
          <w:sz w:val="20"/>
        </w:rPr>
        <w:t xml:space="preserve">, </w:t>
      </w:r>
      <w:r w:rsidRPr="00A24569">
        <w:rPr>
          <w:sz w:val="20"/>
        </w:rPr>
        <w:t>**</w:t>
      </w:r>
      <w:r>
        <w:rPr>
          <w:sz w:val="20"/>
        </w:rPr>
        <w:t xml:space="preserve"> e </w:t>
      </w:r>
      <w:r w:rsidRPr="00A24569">
        <w:rPr>
          <w:sz w:val="20"/>
        </w:rPr>
        <w:t>*</w:t>
      </w:r>
      <w:r>
        <w:rPr>
          <w:sz w:val="20"/>
        </w:rPr>
        <w:t xml:space="preserve">, </w:t>
      </w:r>
      <w:r w:rsidRPr="00A24569">
        <w:rPr>
          <w:sz w:val="20"/>
        </w:rPr>
        <w:t>significante</w:t>
      </w:r>
      <w:r>
        <w:rPr>
          <w:sz w:val="20"/>
        </w:rPr>
        <w:t>s</w:t>
      </w:r>
      <w:r w:rsidRPr="00A24569">
        <w:rPr>
          <w:sz w:val="20"/>
        </w:rPr>
        <w:t xml:space="preserve"> ao nível de 1%</w:t>
      </w:r>
      <w:r>
        <w:rPr>
          <w:sz w:val="20"/>
        </w:rPr>
        <w:t xml:space="preserve">, 5% e </w:t>
      </w:r>
      <w:r w:rsidRPr="00A24569">
        <w:rPr>
          <w:sz w:val="20"/>
        </w:rPr>
        <w:t>10%</w:t>
      </w:r>
      <w:r>
        <w:rPr>
          <w:sz w:val="20"/>
        </w:rPr>
        <w:t>, respectivamente.</w:t>
      </w:r>
    </w:p>
    <w:p w:rsidR="00F538D6" w:rsidRDefault="00F538D6" w:rsidP="00F538D6">
      <w:pPr>
        <w:autoSpaceDE w:val="0"/>
        <w:autoSpaceDN w:val="0"/>
        <w:adjustRightInd w:val="0"/>
        <w:rPr>
          <w:szCs w:val="24"/>
        </w:rPr>
      </w:pPr>
    </w:p>
    <w:p w:rsidR="00F538D6" w:rsidRDefault="00F538D6" w:rsidP="00F538D6">
      <w:pPr>
        <w:rPr>
          <w:szCs w:val="24"/>
        </w:rPr>
      </w:pPr>
      <w:r>
        <w:rPr>
          <w:szCs w:val="24"/>
        </w:rPr>
        <w:t>A partir da Tabela 5 é possível verificar que há uma correlação negativa</w:t>
      </w:r>
      <w:r w:rsidRPr="00110942">
        <w:rPr>
          <w:szCs w:val="24"/>
        </w:rPr>
        <w:t xml:space="preserve"> e</w:t>
      </w:r>
      <w:r>
        <w:rPr>
          <w:szCs w:val="24"/>
        </w:rPr>
        <w:t xml:space="preserve">ntre a variável </w:t>
      </w:r>
      <w:r w:rsidRPr="00863DA1">
        <w:rPr>
          <w:i/>
          <w:szCs w:val="24"/>
        </w:rPr>
        <w:t>CAR</w:t>
      </w:r>
      <w:r>
        <w:rPr>
          <w:szCs w:val="24"/>
        </w:rPr>
        <w:t xml:space="preserve"> e a variável </w:t>
      </w:r>
      <w:proofErr w:type="spellStart"/>
      <w:r w:rsidRPr="00863DA1">
        <w:rPr>
          <w:i/>
          <w:szCs w:val="24"/>
        </w:rPr>
        <w:t>LOAN</w:t>
      </w:r>
      <w:r w:rsidRPr="00887DE2">
        <w:rPr>
          <w:i/>
          <w:vertAlign w:val="subscript"/>
        </w:rPr>
        <w:t>it</w:t>
      </w:r>
      <w:proofErr w:type="spellEnd"/>
      <w:r>
        <w:rPr>
          <w:szCs w:val="24"/>
        </w:rPr>
        <w:t xml:space="preserve"> (-0,0707), o que indica que à medida que aumenta (diminui) o Capital de Nível 1, a variação das provisões para </w:t>
      </w:r>
      <w:r w:rsidR="00D93F27">
        <w:rPr>
          <w:szCs w:val="24"/>
        </w:rPr>
        <w:t>perdas</w:t>
      </w:r>
      <w:r>
        <w:rPr>
          <w:szCs w:val="24"/>
        </w:rPr>
        <w:t xml:space="preserve"> de crédito tende a diminuir (aumentar). Ainda pode ser destacado que existe uma correlação positiva forte entre a variável </w:t>
      </w:r>
      <w:proofErr w:type="spellStart"/>
      <w:r w:rsidRPr="00863DA1">
        <w:rPr>
          <w:i/>
          <w:szCs w:val="24"/>
        </w:rPr>
        <w:t>LOAN</w:t>
      </w:r>
      <w:r w:rsidRPr="00887DE2">
        <w:rPr>
          <w:i/>
          <w:vertAlign w:val="subscript"/>
        </w:rPr>
        <w:t>it</w:t>
      </w:r>
      <w:proofErr w:type="spellEnd"/>
      <w:r>
        <w:rPr>
          <w:szCs w:val="24"/>
        </w:rPr>
        <w:t xml:space="preserve"> e </w:t>
      </w:r>
      <w:proofErr w:type="spellStart"/>
      <w:r w:rsidRPr="00863DA1">
        <w:rPr>
          <w:i/>
          <w:szCs w:val="24"/>
        </w:rPr>
        <w:t>LLP</w:t>
      </w:r>
      <w:r w:rsidRPr="00887DE2">
        <w:rPr>
          <w:i/>
          <w:vertAlign w:val="subscript"/>
        </w:rPr>
        <w:t>it</w:t>
      </w:r>
      <w:proofErr w:type="spellEnd"/>
      <w:r>
        <w:rPr>
          <w:szCs w:val="24"/>
        </w:rPr>
        <w:t xml:space="preserve"> (0,0846), indicando que a variação das provisões para</w:t>
      </w:r>
      <w:r w:rsidR="00D93F27">
        <w:rPr>
          <w:szCs w:val="24"/>
        </w:rPr>
        <w:t xml:space="preserve"> perdas</w:t>
      </w:r>
      <w:r>
        <w:rPr>
          <w:szCs w:val="24"/>
        </w:rPr>
        <w:t xml:space="preserve"> de crédito aumenta (diminui) à medida que o total das provisões aumenta (diminui). </w:t>
      </w:r>
      <w:r w:rsidRPr="006A155D">
        <w:rPr>
          <w:szCs w:val="24"/>
        </w:rPr>
        <w:t xml:space="preserve">Ao que se refere à significância das correlações, apenas a variável </w:t>
      </w:r>
      <w:r w:rsidRPr="003D1F4F">
        <w:rPr>
          <w:i/>
        </w:rPr>
        <w:t>∆</w:t>
      </w:r>
      <w:proofErr w:type="spellStart"/>
      <w:r w:rsidRPr="003D1F4F">
        <w:rPr>
          <w:i/>
          <w:szCs w:val="24"/>
        </w:rPr>
        <w:t>GDP</w:t>
      </w:r>
      <w:r w:rsidRPr="00887DE2">
        <w:rPr>
          <w:i/>
          <w:vertAlign w:val="subscript"/>
        </w:rPr>
        <w:t>t</w:t>
      </w:r>
      <w:proofErr w:type="spellEnd"/>
      <w:r w:rsidRPr="003D1F4F">
        <w:rPr>
          <w:szCs w:val="24"/>
        </w:rPr>
        <w:t xml:space="preserve"> não apresentou relação significativa com o </w:t>
      </w:r>
      <w:proofErr w:type="spellStart"/>
      <w:r w:rsidRPr="003D1F4F">
        <w:rPr>
          <w:i/>
          <w:szCs w:val="24"/>
        </w:rPr>
        <w:t>LLP</w:t>
      </w:r>
      <w:r w:rsidRPr="00887DE2">
        <w:rPr>
          <w:i/>
          <w:vertAlign w:val="subscript"/>
        </w:rPr>
        <w:t>it</w:t>
      </w:r>
      <w:proofErr w:type="spellEnd"/>
      <w:r w:rsidRPr="003D1F4F">
        <w:rPr>
          <w:szCs w:val="24"/>
        </w:rPr>
        <w:t xml:space="preserve">, </w:t>
      </w:r>
      <w:r w:rsidRPr="006A155D">
        <w:rPr>
          <w:szCs w:val="24"/>
        </w:rPr>
        <w:t>demostrando que</w:t>
      </w:r>
      <w:r>
        <w:rPr>
          <w:szCs w:val="24"/>
        </w:rPr>
        <w:t xml:space="preserve">, </w:t>
      </w:r>
      <w:r w:rsidRPr="003D1F4F">
        <w:rPr>
          <w:szCs w:val="24"/>
        </w:rPr>
        <w:t>o aumento do PIB não pode ser visto como um parâmetro que explica o gerenciamento de resultados por meio das provisões</w:t>
      </w:r>
      <w:r>
        <w:rPr>
          <w:szCs w:val="24"/>
        </w:rPr>
        <w:t>, diferentemente do esperado</w:t>
      </w:r>
      <w:r w:rsidRPr="003D1F4F">
        <w:rPr>
          <w:szCs w:val="24"/>
        </w:rPr>
        <w:t>.</w:t>
      </w:r>
      <w:r>
        <w:rPr>
          <w:szCs w:val="24"/>
        </w:rPr>
        <w:t xml:space="preserve"> Pois, nos estudos de Peterson e </w:t>
      </w:r>
      <w:proofErr w:type="spellStart"/>
      <w:r>
        <w:rPr>
          <w:szCs w:val="24"/>
        </w:rPr>
        <w:t>Ar</w:t>
      </w:r>
      <w:r w:rsidR="00D93F27">
        <w:rPr>
          <w:szCs w:val="24"/>
        </w:rPr>
        <w:t>u</w:t>
      </w:r>
      <w:r>
        <w:rPr>
          <w:szCs w:val="24"/>
        </w:rPr>
        <w:t>n</w:t>
      </w:r>
      <w:proofErr w:type="spellEnd"/>
      <w:r>
        <w:rPr>
          <w:szCs w:val="24"/>
        </w:rPr>
        <w:t xml:space="preserve"> (2018), a</w:t>
      </w:r>
      <w:r w:rsidRPr="003D1F4F">
        <w:rPr>
          <w:szCs w:val="24"/>
        </w:rPr>
        <w:t xml:space="preserve"> suavização de resultados </w:t>
      </w:r>
      <w:r>
        <w:rPr>
          <w:szCs w:val="24"/>
        </w:rPr>
        <w:t>foi</w:t>
      </w:r>
      <w:r w:rsidRPr="003D1F4F">
        <w:rPr>
          <w:szCs w:val="24"/>
        </w:rPr>
        <w:t xml:space="preserve"> mais pronunciada entre os bancos sistêmicos no período pós-crise.</w:t>
      </w:r>
    </w:p>
    <w:p w:rsidR="00F538D6" w:rsidRDefault="00F538D6" w:rsidP="00F538D6">
      <w:pPr>
        <w:rPr>
          <w:b/>
          <w:szCs w:val="24"/>
        </w:rPr>
      </w:pPr>
    </w:p>
    <w:p w:rsidR="00F538D6" w:rsidRDefault="00F538D6" w:rsidP="00F538D6">
      <w:pPr>
        <w:ind w:firstLine="0"/>
        <w:rPr>
          <w:b/>
          <w:szCs w:val="24"/>
        </w:rPr>
      </w:pPr>
      <w:r>
        <w:rPr>
          <w:b/>
          <w:szCs w:val="24"/>
        </w:rPr>
        <w:t>4</w:t>
      </w:r>
      <w:r w:rsidRPr="00EF1F05">
        <w:rPr>
          <w:b/>
          <w:szCs w:val="24"/>
        </w:rPr>
        <w:t>.</w:t>
      </w:r>
      <w:r>
        <w:rPr>
          <w:b/>
          <w:szCs w:val="24"/>
        </w:rPr>
        <w:t>2</w:t>
      </w:r>
      <w:r w:rsidRPr="00EF1F05">
        <w:rPr>
          <w:b/>
          <w:szCs w:val="24"/>
        </w:rPr>
        <w:t xml:space="preserve"> </w:t>
      </w:r>
      <w:r>
        <w:rPr>
          <w:b/>
          <w:szCs w:val="24"/>
        </w:rPr>
        <w:t>Análise de Regressão</w:t>
      </w:r>
    </w:p>
    <w:p w:rsidR="00F538D6" w:rsidRDefault="00F538D6" w:rsidP="00F538D6">
      <w:pPr>
        <w:autoSpaceDE w:val="0"/>
        <w:autoSpaceDN w:val="0"/>
        <w:adjustRightInd w:val="0"/>
        <w:rPr>
          <w:szCs w:val="24"/>
        </w:rPr>
      </w:pPr>
    </w:p>
    <w:p w:rsidR="00F538D6" w:rsidRDefault="00F538D6" w:rsidP="00F538D6">
      <w:pPr>
        <w:autoSpaceDE w:val="0"/>
        <w:autoSpaceDN w:val="0"/>
        <w:adjustRightInd w:val="0"/>
        <w:rPr>
          <w:szCs w:val="24"/>
        </w:rPr>
      </w:pPr>
      <w:r>
        <w:rPr>
          <w:szCs w:val="24"/>
        </w:rPr>
        <w:t xml:space="preserve">Para verificar a existência de comportamento discricionário distinto entre as instituições financeiras classificadas como </w:t>
      </w:r>
      <w:proofErr w:type="spellStart"/>
      <w:r w:rsidRPr="00A46AAE">
        <w:rPr>
          <w:i/>
          <w:szCs w:val="24"/>
        </w:rPr>
        <w:t>Fin</w:t>
      </w:r>
      <w:r>
        <w:rPr>
          <w:i/>
          <w:szCs w:val="24"/>
        </w:rPr>
        <w:t>T</w:t>
      </w:r>
      <w:r w:rsidRPr="00A46AAE">
        <w:rPr>
          <w:i/>
          <w:szCs w:val="24"/>
        </w:rPr>
        <w:t>ech</w:t>
      </w:r>
      <w:proofErr w:type="spellEnd"/>
      <w:r>
        <w:rPr>
          <w:szCs w:val="24"/>
        </w:rPr>
        <w:t xml:space="preserve"> e aquelas não </w:t>
      </w:r>
      <w:proofErr w:type="spellStart"/>
      <w:r w:rsidRPr="00A46AAE">
        <w:rPr>
          <w:i/>
          <w:szCs w:val="24"/>
        </w:rPr>
        <w:t>Fin</w:t>
      </w:r>
      <w:r>
        <w:rPr>
          <w:i/>
          <w:szCs w:val="24"/>
        </w:rPr>
        <w:t>T</w:t>
      </w:r>
      <w:r w:rsidRPr="00A46AAE">
        <w:rPr>
          <w:i/>
          <w:szCs w:val="24"/>
        </w:rPr>
        <w:t>ech</w:t>
      </w:r>
      <w:proofErr w:type="spellEnd"/>
      <w:r>
        <w:rPr>
          <w:szCs w:val="24"/>
        </w:rPr>
        <w:t xml:space="preserve">, esta pesquisa realizou as estimações conforme as Equações 1 e 2, apresentadas na Tabela 6. Na primeira coluna (1), encontra-se </w:t>
      </w:r>
      <w:r w:rsidR="00D93F27">
        <w:rPr>
          <w:szCs w:val="24"/>
        </w:rPr>
        <w:t>as</w:t>
      </w:r>
      <w:r>
        <w:rPr>
          <w:szCs w:val="24"/>
        </w:rPr>
        <w:t xml:space="preserve"> estima</w:t>
      </w:r>
      <w:r w:rsidR="00D93F27">
        <w:rPr>
          <w:szCs w:val="24"/>
        </w:rPr>
        <w:t>ções</w:t>
      </w:r>
      <w:r>
        <w:rPr>
          <w:szCs w:val="24"/>
        </w:rPr>
        <w:t xml:space="preserve"> </w:t>
      </w:r>
      <w:r w:rsidR="00D93F27">
        <w:rPr>
          <w:szCs w:val="24"/>
        </w:rPr>
        <w:t>d</w:t>
      </w:r>
      <w:r>
        <w:rPr>
          <w:szCs w:val="24"/>
        </w:rPr>
        <w:t xml:space="preserve">a Equação 1 com base em todas as instituições financeiras da amostra, afim de identificar a discricionariedade da amostra geral. Nas colunas (2) e (3), respectivamente, são apresentadas as estimações para as amostras das </w:t>
      </w:r>
      <w:proofErr w:type="spellStart"/>
      <w:r w:rsidRPr="00A46AAE">
        <w:rPr>
          <w:i/>
          <w:szCs w:val="24"/>
        </w:rPr>
        <w:t>Fin</w:t>
      </w:r>
      <w:r>
        <w:rPr>
          <w:i/>
          <w:szCs w:val="24"/>
        </w:rPr>
        <w:t>T</w:t>
      </w:r>
      <w:r w:rsidRPr="00A46AAE">
        <w:rPr>
          <w:i/>
          <w:szCs w:val="24"/>
        </w:rPr>
        <w:t>ech</w:t>
      </w:r>
      <w:r>
        <w:rPr>
          <w:i/>
          <w:szCs w:val="24"/>
        </w:rPr>
        <w:t>s</w:t>
      </w:r>
      <w:proofErr w:type="spellEnd"/>
      <w:r>
        <w:rPr>
          <w:szCs w:val="24"/>
        </w:rPr>
        <w:t xml:space="preserve"> e das não </w:t>
      </w:r>
      <w:proofErr w:type="spellStart"/>
      <w:r w:rsidRPr="00A46AAE">
        <w:rPr>
          <w:i/>
          <w:szCs w:val="24"/>
        </w:rPr>
        <w:t>Fin</w:t>
      </w:r>
      <w:r>
        <w:rPr>
          <w:i/>
          <w:szCs w:val="24"/>
        </w:rPr>
        <w:t>T</w:t>
      </w:r>
      <w:r w:rsidRPr="00A46AAE">
        <w:rPr>
          <w:i/>
          <w:szCs w:val="24"/>
        </w:rPr>
        <w:t>ech</w:t>
      </w:r>
      <w:r>
        <w:rPr>
          <w:i/>
          <w:szCs w:val="24"/>
        </w:rPr>
        <w:t>s</w:t>
      </w:r>
      <w:proofErr w:type="spellEnd"/>
      <w:r>
        <w:rPr>
          <w:szCs w:val="24"/>
        </w:rPr>
        <w:t>, com o intuito de comparar o comportamento oportun</w:t>
      </w:r>
      <w:r w:rsidR="00D93F27">
        <w:rPr>
          <w:szCs w:val="24"/>
        </w:rPr>
        <w:t>ista</w:t>
      </w:r>
      <w:r>
        <w:rPr>
          <w:szCs w:val="24"/>
        </w:rPr>
        <w:t xml:space="preserve"> desses dois grupos </w:t>
      </w:r>
      <w:r w:rsidR="00D93F27">
        <w:rPr>
          <w:szCs w:val="24"/>
        </w:rPr>
        <w:t xml:space="preserve">de </w:t>
      </w:r>
      <w:r>
        <w:rPr>
          <w:szCs w:val="24"/>
        </w:rPr>
        <w:t xml:space="preserve">instituições financeiras. Por fim, na coluna (4) é apresentado a estimação dos parâmetros para a Equação 2, na qual inclui uma variável para identificar as </w:t>
      </w:r>
      <w:proofErr w:type="spellStart"/>
      <w:r>
        <w:rPr>
          <w:szCs w:val="24"/>
        </w:rPr>
        <w:t>IFs</w:t>
      </w:r>
      <w:proofErr w:type="spellEnd"/>
      <w:r>
        <w:rPr>
          <w:szCs w:val="24"/>
        </w:rPr>
        <w:t xml:space="preserve"> </w:t>
      </w:r>
      <w:proofErr w:type="spellStart"/>
      <w:r w:rsidRPr="00A46AAE">
        <w:rPr>
          <w:i/>
          <w:szCs w:val="24"/>
        </w:rPr>
        <w:t>Fin</w:t>
      </w:r>
      <w:r>
        <w:rPr>
          <w:i/>
          <w:szCs w:val="24"/>
        </w:rPr>
        <w:t>T</w:t>
      </w:r>
      <w:r w:rsidRPr="00A46AAE">
        <w:rPr>
          <w:i/>
          <w:szCs w:val="24"/>
        </w:rPr>
        <w:t>ech</w:t>
      </w:r>
      <w:r>
        <w:rPr>
          <w:i/>
          <w:szCs w:val="24"/>
        </w:rPr>
        <w:t>s</w:t>
      </w:r>
      <w:proofErr w:type="spellEnd"/>
      <w:r>
        <w:rPr>
          <w:szCs w:val="24"/>
        </w:rPr>
        <w:t xml:space="preserve"> (</w:t>
      </w:r>
      <w:r w:rsidRPr="00BA6292">
        <w:rPr>
          <w:i/>
          <w:szCs w:val="24"/>
        </w:rPr>
        <w:t>F</w:t>
      </w:r>
      <w:r w:rsidRPr="00BA6292">
        <w:rPr>
          <w:i/>
          <w:szCs w:val="24"/>
          <w:vertAlign w:val="subscript"/>
        </w:rPr>
        <w:t>it</w:t>
      </w:r>
      <w:r>
        <w:rPr>
          <w:szCs w:val="24"/>
        </w:rPr>
        <w:t xml:space="preserve">) e as duas iterações, também para capturar o comportamento diferente entre </w:t>
      </w:r>
      <w:proofErr w:type="spellStart"/>
      <w:r w:rsidRPr="00A46AAE">
        <w:rPr>
          <w:i/>
          <w:szCs w:val="24"/>
        </w:rPr>
        <w:t>Fin</w:t>
      </w:r>
      <w:r>
        <w:rPr>
          <w:i/>
          <w:szCs w:val="24"/>
        </w:rPr>
        <w:t>T</w:t>
      </w:r>
      <w:r w:rsidRPr="00A46AAE">
        <w:rPr>
          <w:i/>
          <w:szCs w:val="24"/>
        </w:rPr>
        <w:t>ech</w:t>
      </w:r>
      <w:r>
        <w:rPr>
          <w:i/>
          <w:szCs w:val="24"/>
        </w:rPr>
        <w:t>s</w:t>
      </w:r>
      <w:proofErr w:type="spellEnd"/>
      <w:r>
        <w:rPr>
          <w:szCs w:val="24"/>
        </w:rPr>
        <w:t xml:space="preserve"> e não </w:t>
      </w:r>
      <w:proofErr w:type="spellStart"/>
      <w:r w:rsidRPr="00A46AAE">
        <w:rPr>
          <w:i/>
          <w:szCs w:val="24"/>
        </w:rPr>
        <w:t>Fin</w:t>
      </w:r>
      <w:r>
        <w:rPr>
          <w:i/>
          <w:szCs w:val="24"/>
        </w:rPr>
        <w:t>T</w:t>
      </w:r>
      <w:r w:rsidRPr="00A46AAE">
        <w:rPr>
          <w:i/>
          <w:szCs w:val="24"/>
        </w:rPr>
        <w:t>ech</w:t>
      </w:r>
      <w:r>
        <w:rPr>
          <w:i/>
          <w:szCs w:val="24"/>
        </w:rPr>
        <w:t>s</w:t>
      </w:r>
      <w:proofErr w:type="spellEnd"/>
      <w:r>
        <w:rPr>
          <w:szCs w:val="24"/>
        </w:rPr>
        <w:t>.</w:t>
      </w:r>
    </w:p>
    <w:p w:rsidR="00F538D6" w:rsidRDefault="00F538D6" w:rsidP="00F538D6">
      <w:pPr>
        <w:rPr>
          <w:szCs w:val="24"/>
        </w:rPr>
      </w:pPr>
      <w:r>
        <w:rPr>
          <w:szCs w:val="24"/>
        </w:rPr>
        <w:t xml:space="preserve"> </w:t>
      </w:r>
    </w:p>
    <w:p w:rsidR="00F538D6" w:rsidRPr="001B125D" w:rsidRDefault="00F538D6" w:rsidP="00F538D6">
      <w:pPr>
        <w:pStyle w:val="Legenda"/>
        <w:keepNext/>
        <w:ind w:firstLine="0"/>
        <w:rPr>
          <w:b w:val="0"/>
        </w:rPr>
      </w:pPr>
      <w:r>
        <w:rPr>
          <w:b w:val="0"/>
        </w:rPr>
        <w:lastRenderedPageBreak/>
        <w:t>Tabela 6</w:t>
      </w:r>
    </w:p>
    <w:p w:rsidR="00F538D6" w:rsidRPr="001B125D" w:rsidRDefault="00F538D6" w:rsidP="00F538D6">
      <w:pPr>
        <w:pStyle w:val="Legenda"/>
        <w:keepNext/>
        <w:ind w:firstLine="0"/>
        <w:rPr>
          <w:i/>
        </w:rPr>
      </w:pPr>
      <w:r w:rsidRPr="001B125D">
        <w:rPr>
          <w:noProof/>
        </w:rPr>
        <w:t>Análise de Regressão – Dados Completos</w:t>
      </w:r>
    </w:p>
    <w:tbl>
      <w:tblPr>
        <w:tblW w:w="5000" w:type="pct"/>
        <w:jc w:val="center"/>
        <w:tblLayout w:type="fixed"/>
        <w:tblCellMar>
          <w:left w:w="75" w:type="dxa"/>
          <w:right w:w="75" w:type="dxa"/>
        </w:tblCellMar>
        <w:tblLook w:val="0000" w:firstRow="0" w:lastRow="0" w:firstColumn="0" w:lastColumn="0" w:noHBand="0" w:noVBand="0"/>
      </w:tblPr>
      <w:tblGrid>
        <w:gridCol w:w="2372"/>
        <w:gridCol w:w="1529"/>
        <w:gridCol w:w="1529"/>
        <w:gridCol w:w="1987"/>
        <w:gridCol w:w="2138"/>
      </w:tblGrid>
      <w:tr w:rsidR="00F538D6" w:rsidRPr="003B4330" w:rsidTr="00F538D6">
        <w:trPr>
          <w:jc w:val="center"/>
        </w:trPr>
        <w:tc>
          <w:tcPr>
            <w:tcW w:w="1241" w:type="pct"/>
            <w:tcBorders>
              <w:top w:val="single" w:sz="6" w:space="0" w:color="auto"/>
              <w:left w:val="nil"/>
              <w:bottom w:val="nil"/>
              <w:right w:val="nil"/>
            </w:tcBorders>
          </w:tcPr>
          <w:p w:rsidR="00F538D6" w:rsidRPr="003B4330" w:rsidRDefault="00F538D6" w:rsidP="00F538D6">
            <w:pPr>
              <w:autoSpaceDE w:val="0"/>
              <w:autoSpaceDN w:val="0"/>
              <w:adjustRightInd w:val="0"/>
              <w:ind w:firstLine="0"/>
              <w:rPr>
                <w:b/>
                <w:sz w:val="20"/>
              </w:rPr>
            </w:pPr>
            <w:bookmarkStart w:id="1" w:name="_Hlk2200420"/>
          </w:p>
        </w:tc>
        <w:tc>
          <w:tcPr>
            <w:tcW w:w="800" w:type="pct"/>
            <w:tcBorders>
              <w:top w:val="single" w:sz="6" w:space="0" w:color="auto"/>
              <w:left w:val="nil"/>
              <w:bottom w:val="nil"/>
              <w:right w:val="nil"/>
            </w:tcBorders>
          </w:tcPr>
          <w:p w:rsidR="00F538D6" w:rsidRPr="003B4330" w:rsidRDefault="00F538D6" w:rsidP="00F538D6">
            <w:pPr>
              <w:autoSpaceDE w:val="0"/>
              <w:autoSpaceDN w:val="0"/>
              <w:adjustRightInd w:val="0"/>
              <w:ind w:firstLine="0"/>
              <w:jc w:val="center"/>
              <w:rPr>
                <w:b/>
                <w:sz w:val="20"/>
              </w:rPr>
            </w:pPr>
            <w:r w:rsidRPr="003B4330">
              <w:rPr>
                <w:b/>
                <w:sz w:val="20"/>
              </w:rPr>
              <w:t>Geral</w:t>
            </w:r>
          </w:p>
        </w:tc>
        <w:tc>
          <w:tcPr>
            <w:tcW w:w="800" w:type="pct"/>
            <w:tcBorders>
              <w:top w:val="single" w:sz="6" w:space="0" w:color="auto"/>
              <w:left w:val="nil"/>
              <w:bottom w:val="nil"/>
              <w:right w:val="nil"/>
            </w:tcBorders>
          </w:tcPr>
          <w:p w:rsidR="00F538D6" w:rsidRPr="00A46AAE" w:rsidRDefault="00F538D6" w:rsidP="00F538D6">
            <w:pPr>
              <w:autoSpaceDE w:val="0"/>
              <w:autoSpaceDN w:val="0"/>
              <w:adjustRightInd w:val="0"/>
              <w:ind w:firstLine="0"/>
              <w:jc w:val="center"/>
              <w:rPr>
                <w:b/>
                <w:i/>
                <w:sz w:val="20"/>
              </w:rPr>
            </w:pPr>
            <w:proofErr w:type="spellStart"/>
            <w:r w:rsidRPr="00A46AAE">
              <w:rPr>
                <w:b/>
                <w:i/>
                <w:sz w:val="20"/>
              </w:rPr>
              <w:t>Fin</w:t>
            </w:r>
            <w:r>
              <w:rPr>
                <w:b/>
                <w:i/>
                <w:sz w:val="20"/>
              </w:rPr>
              <w:t>T</w:t>
            </w:r>
            <w:r w:rsidRPr="00A46AAE">
              <w:rPr>
                <w:b/>
                <w:i/>
                <w:sz w:val="20"/>
              </w:rPr>
              <w:t>ech</w:t>
            </w:r>
            <w:proofErr w:type="spellEnd"/>
          </w:p>
        </w:tc>
        <w:tc>
          <w:tcPr>
            <w:tcW w:w="1040" w:type="pct"/>
            <w:tcBorders>
              <w:top w:val="single" w:sz="6" w:space="0" w:color="auto"/>
              <w:left w:val="nil"/>
              <w:bottom w:val="nil"/>
              <w:right w:val="nil"/>
            </w:tcBorders>
          </w:tcPr>
          <w:p w:rsidR="00F538D6" w:rsidRPr="003B4330" w:rsidRDefault="00F538D6" w:rsidP="00F538D6">
            <w:pPr>
              <w:autoSpaceDE w:val="0"/>
              <w:autoSpaceDN w:val="0"/>
              <w:adjustRightInd w:val="0"/>
              <w:ind w:firstLine="0"/>
              <w:jc w:val="center"/>
              <w:rPr>
                <w:b/>
                <w:sz w:val="20"/>
              </w:rPr>
            </w:pPr>
            <w:r w:rsidRPr="003B4330">
              <w:rPr>
                <w:b/>
                <w:sz w:val="20"/>
              </w:rPr>
              <w:t xml:space="preserve">Não </w:t>
            </w:r>
            <w:proofErr w:type="spellStart"/>
            <w:r w:rsidRPr="00A46AAE">
              <w:rPr>
                <w:b/>
                <w:i/>
                <w:sz w:val="20"/>
              </w:rPr>
              <w:t>Fin</w:t>
            </w:r>
            <w:r>
              <w:rPr>
                <w:b/>
                <w:i/>
                <w:sz w:val="20"/>
              </w:rPr>
              <w:t>T</w:t>
            </w:r>
            <w:r w:rsidRPr="00A46AAE">
              <w:rPr>
                <w:b/>
                <w:i/>
                <w:sz w:val="20"/>
              </w:rPr>
              <w:t>ech</w:t>
            </w:r>
            <w:proofErr w:type="spellEnd"/>
          </w:p>
        </w:tc>
        <w:tc>
          <w:tcPr>
            <w:tcW w:w="1120" w:type="pct"/>
            <w:tcBorders>
              <w:top w:val="single" w:sz="6" w:space="0" w:color="auto"/>
              <w:left w:val="nil"/>
              <w:bottom w:val="nil"/>
              <w:right w:val="nil"/>
            </w:tcBorders>
          </w:tcPr>
          <w:p w:rsidR="00F538D6" w:rsidRPr="003B4330" w:rsidRDefault="00F538D6" w:rsidP="00F538D6">
            <w:pPr>
              <w:autoSpaceDE w:val="0"/>
              <w:autoSpaceDN w:val="0"/>
              <w:adjustRightInd w:val="0"/>
              <w:ind w:firstLine="0"/>
              <w:jc w:val="center"/>
              <w:rPr>
                <w:b/>
                <w:sz w:val="20"/>
              </w:rPr>
            </w:pPr>
            <w:proofErr w:type="spellStart"/>
            <w:r w:rsidRPr="003B4330">
              <w:rPr>
                <w:b/>
                <w:sz w:val="20"/>
              </w:rPr>
              <w:t>Dummy</w:t>
            </w:r>
            <w:proofErr w:type="spellEnd"/>
            <w:r w:rsidRPr="003B4330">
              <w:rPr>
                <w:b/>
                <w:sz w:val="20"/>
              </w:rPr>
              <w:t xml:space="preserve"> </w:t>
            </w:r>
            <w:proofErr w:type="spellStart"/>
            <w:r w:rsidRPr="00A46AAE">
              <w:rPr>
                <w:b/>
                <w:i/>
                <w:sz w:val="20"/>
              </w:rPr>
              <w:t>Fin</w:t>
            </w:r>
            <w:r>
              <w:rPr>
                <w:b/>
                <w:i/>
                <w:sz w:val="20"/>
              </w:rPr>
              <w:t>T</w:t>
            </w:r>
            <w:r w:rsidRPr="00A46AAE">
              <w:rPr>
                <w:b/>
                <w:i/>
                <w:sz w:val="20"/>
              </w:rPr>
              <w:t>ech</w:t>
            </w:r>
            <w:proofErr w:type="spellEnd"/>
          </w:p>
        </w:tc>
      </w:tr>
      <w:tr w:rsidR="00F538D6" w:rsidRPr="003B4330" w:rsidTr="00F538D6">
        <w:trPr>
          <w:jc w:val="center"/>
        </w:trPr>
        <w:tc>
          <w:tcPr>
            <w:tcW w:w="1241" w:type="pct"/>
            <w:tcBorders>
              <w:top w:val="nil"/>
              <w:left w:val="nil"/>
              <w:bottom w:val="single" w:sz="6" w:space="0" w:color="auto"/>
              <w:right w:val="nil"/>
            </w:tcBorders>
          </w:tcPr>
          <w:p w:rsidR="00F538D6" w:rsidRPr="003B4330" w:rsidRDefault="00F538D6" w:rsidP="00F538D6">
            <w:pPr>
              <w:autoSpaceDE w:val="0"/>
              <w:autoSpaceDN w:val="0"/>
              <w:adjustRightInd w:val="0"/>
              <w:ind w:firstLine="0"/>
              <w:rPr>
                <w:b/>
                <w:sz w:val="20"/>
              </w:rPr>
            </w:pPr>
          </w:p>
        </w:tc>
        <w:tc>
          <w:tcPr>
            <w:tcW w:w="800" w:type="pct"/>
            <w:tcBorders>
              <w:top w:val="nil"/>
              <w:left w:val="nil"/>
              <w:bottom w:val="single" w:sz="6" w:space="0" w:color="auto"/>
              <w:right w:val="nil"/>
            </w:tcBorders>
          </w:tcPr>
          <w:p w:rsidR="00F538D6" w:rsidRPr="003B4330" w:rsidRDefault="00F538D6" w:rsidP="00F538D6">
            <w:pPr>
              <w:autoSpaceDE w:val="0"/>
              <w:autoSpaceDN w:val="0"/>
              <w:adjustRightInd w:val="0"/>
              <w:ind w:firstLine="0"/>
              <w:jc w:val="center"/>
              <w:rPr>
                <w:b/>
                <w:sz w:val="20"/>
              </w:rPr>
            </w:pPr>
            <w:r w:rsidRPr="003B4330">
              <w:rPr>
                <w:b/>
                <w:sz w:val="20"/>
              </w:rPr>
              <w:t>(1)</w:t>
            </w:r>
          </w:p>
        </w:tc>
        <w:tc>
          <w:tcPr>
            <w:tcW w:w="800" w:type="pct"/>
            <w:tcBorders>
              <w:top w:val="nil"/>
              <w:left w:val="nil"/>
              <w:bottom w:val="single" w:sz="6" w:space="0" w:color="auto"/>
              <w:right w:val="nil"/>
            </w:tcBorders>
          </w:tcPr>
          <w:p w:rsidR="00F538D6" w:rsidRPr="003B4330" w:rsidRDefault="00F538D6" w:rsidP="00F538D6">
            <w:pPr>
              <w:autoSpaceDE w:val="0"/>
              <w:autoSpaceDN w:val="0"/>
              <w:adjustRightInd w:val="0"/>
              <w:ind w:firstLine="0"/>
              <w:jc w:val="center"/>
              <w:rPr>
                <w:b/>
                <w:sz w:val="20"/>
              </w:rPr>
            </w:pPr>
            <w:r w:rsidRPr="003B4330">
              <w:rPr>
                <w:b/>
                <w:sz w:val="20"/>
              </w:rPr>
              <w:t>(2)</w:t>
            </w:r>
          </w:p>
        </w:tc>
        <w:tc>
          <w:tcPr>
            <w:tcW w:w="1040" w:type="pct"/>
            <w:tcBorders>
              <w:top w:val="nil"/>
              <w:left w:val="nil"/>
              <w:bottom w:val="single" w:sz="6" w:space="0" w:color="auto"/>
              <w:right w:val="nil"/>
            </w:tcBorders>
          </w:tcPr>
          <w:p w:rsidR="00F538D6" w:rsidRPr="003B4330" w:rsidRDefault="00F538D6" w:rsidP="00F538D6">
            <w:pPr>
              <w:autoSpaceDE w:val="0"/>
              <w:autoSpaceDN w:val="0"/>
              <w:adjustRightInd w:val="0"/>
              <w:ind w:firstLine="0"/>
              <w:jc w:val="center"/>
              <w:rPr>
                <w:b/>
                <w:sz w:val="20"/>
              </w:rPr>
            </w:pPr>
            <w:r w:rsidRPr="003B4330">
              <w:rPr>
                <w:b/>
                <w:sz w:val="20"/>
              </w:rPr>
              <w:t>(3)</w:t>
            </w:r>
          </w:p>
        </w:tc>
        <w:tc>
          <w:tcPr>
            <w:tcW w:w="1120" w:type="pct"/>
            <w:tcBorders>
              <w:top w:val="nil"/>
              <w:left w:val="nil"/>
              <w:bottom w:val="single" w:sz="6" w:space="0" w:color="auto"/>
              <w:right w:val="nil"/>
            </w:tcBorders>
          </w:tcPr>
          <w:p w:rsidR="00F538D6" w:rsidRPr="003B4330" w:rsidRDefault="00F538D6" w:rsidP="00F538D6">
            <w:pPr>
              <w:autoSpaceDE w:val="0"/>
              <w:autoSpaceDN w:val="0"/>
              <w:adjustRightInd w:val="0"/>
              <w:ind w:firstLine="0"/>
              <w:jc w:val="center"/>
              <w:rPr>
                <w:b/>
                <w:sz w:val="20"/>
              </w:rPr>
            </w:pPr>
            <w:r w:rsidRPr="003B4330">
              <w:rPr>
                <w:b/>
                <w:sz w:val="20"/>
              </w:rPr>
              <w:t>(4)</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Pr>
                <w:sz w:val="20"/>
              </w:rPr>
              <w:t>c</w:t>
            </w:r>
            <w:r w:rsidRPr="009134CE">
              <w:rPr>
                <w:sz w:val="20"/>
              </w:rPr>
              <w:t>onstant</w:t>
            </w:r>
            <w:r>
              <w:rPr>
                <w:sz w:val="20"/>
              </w:rPr>
              <w:t>e</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123*</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119</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099</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115</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EBTP</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155***</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156***</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136*</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136</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CAR</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NPL</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152***</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155***</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109***</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109***</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LOAN</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001*</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001**</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SIZE</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010**</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010**</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006</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006</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3D1F4F">
              <w:rPr>
                <w:i/>
              </w:rPr>
              <w:t>∆</w:t>
            </w:r>
            <w:r w:rsidRPr="009134CE">
              <w:rPr>
                <w:sz w:val="20"/>
              </w:rPr>
              <w:t>GDP</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001**</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001*</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Pr>
                <w:sz w:val="20"/>
              </w:rPr>
              <w:t>F</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Pr>
                <w:sz w:val="20"/>
              </w:rPr>
              <w:t>0,000</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FEBTP</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020</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FCAR</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000</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FNPL</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047</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FLOAN</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001*</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FSIZE</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004</w:t>
            </w:r>
          </w:p>
        </w:tc>
      </w:tr>
      <w:tr w:rsidR="00F538D6" w:rsidRPr="009134CE" w:rsidTr="00F538D6">
        <w:trPr>
          <w:jc w:val="center"/>
        </w:trPr>
        <w:tc>
          <w:tcPr>
            <w:tcW w:w="1241" w:type="pct"/>
            <w:tcBorders>
              <w:top w:val="nil"/>
              <w:left w:val="nil"/>
              <w:right w:val="nil"/>
            </w:tcBorders>
          </w:tcPr>
          <w:p w:rsidR="00F538D6" w:rsidRPr="009134CE" w:rsidRDefault="00F538D6" w:rsidP="00F538D6">
            <w:pPr>
              <w:autoSpaceDE w:val="0"/>
              <w:autoSpaceDN w:val="0"/>
              <w:adjustRightInd w:val="0"/>
              <w:ind w:firstLine="0"/>
              <w:rPr>
                <w:sz w:val="20"/>
              </w:rPr>
            </w:pPr>
            <w:r w:rsidRPr="009134CE">
              <w:rPr>
                <w:sz w:val="20"/>
              </w:rPr>
              <w:t>FGDP</w:t>
            </w:r>
          </w:p>
        </w:tc>
        <w:tc>
          <w:tcPr>
            <w:tcW w:w="800" w:type="pct"/>
            <w:tcBorders>
              <w:top w:val="nil"/>
              <w:left w:val="nil"/>
              <w:right w:val="nil"/>
            </w:tcBorders>
          </w:tcPr>
          <w:p w:rsidR="00F538D6" w:rsidRPr="009134CE" w:rsidRDefault="00F538D6" w:rsidP="00F538D6">
            <w:pPr>
              <w:autoSpaceDE w:val="0"/>
              <w:autoSpaceDN w:val="0"/>
              <w:adjustRightInd w:val="0"/>
              <w:ind w:firstLine="0"/>
              <w:jc w:val="right"/>
              <w:rPr>
                <w:sz w:val="20"/>
              </w:rPr>
            </w:pPr>
          </w:p>
        </w:tc>
        <w:tc>
          <w:tcPr>
            <w:tcW w:w="800" w:type="pct"/>
            <w:tcBorders>
              <w:top w:val="nil"/>
              <w:left w:val="nil"/>
              <w:right w:val="nil"/>
            </w:tcBorders>
          </w:tcPr>
          <w:p w:rsidR="00F538D6" w:rsidRPr="009134CE" w:rsidRDefault="00F538D6" w:rsidP="00F538D6">
            <w:pPr>
              <w:autoSpaceDE w:val="0"/>
              <w:autoSpaceDN w:val="0"/>
              <w:adjustRightInd w:val="0"/>
              <w:ind w:firstLine="0"/>
              <w:jc w:val="right"/>
              <w:rPr>
                <w:sz w:val="20"/>
              </w:rPr>
            </w:pPr>
          </w:p>
        </w:tc>
        <w:tc>
          <w:tcPr>
            <w:tcW w:w="1040" w:type="pct"/>
            <w:tcBorders>
              <w:top w:val="nil"/>
              <w:left w:val="nil"/>
              <w:right w:val="nil"/>
            </w:tcBorders>
          </w:tcPr>
          <w:p w:rsidR="00F538D6" w:rsidRPr="009134CE" w:rsidRDefault="00F538D6" w:rsidP="00F538D6">
            <w:pPr>
              <w:autoSpaceDE w:val="0"/>
              <w:autoSpaceDN w:val="0"/>
              <w:adjustRightInd w:val="0"/>
              <w:ind w:firstLine="0"/>
              <w:jc w:val="right"/>
              <w:rPr>
                <w:sz w:val="20"/>
              </w:rPr>
            </w:pPr>
          </w:p>
        </w:tc>
        <w:tc>
          <w:tcPr>
            <w:tcW w:w="1120" w:type="pct"/>
            <w:tcBorders>
              <w:top w:val="nil"/>
              <w:left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001</w:t>
            </w:r>
          </w:p>
        </w:tc>
      </w:tr>
      <w:tr w:rsidR="00F538D6" w:rsidRPr="00397CD7" w:rsidTr="00F538D6">
        <w:trPr>
          <w:jc w:val="center"/>
        </w:trPr>
        <w:tc>
          <w:tcPr>
            <w:tcW w:w="1241" w:type="pct"/>
            <w:tcBorders>
              <w:left w:val="nil"/>
              <w:bottom w:val="single" w:sz="4" w:space="0" w:color="auto"/>
              <w:right w:val="nil"/>
            </w:tcBorders>
          </w:tcPr>
          <w:p w:rsidR="00F538D6" w:rsidRPr="005A3948" w:rsidRDefault="00F538D6" w:rsidP="00F538D6">
            <w:pPr>
              <w:autoSpaceDE w:val="0"/>
              <w:autoSpaceDN w:val="0"/>
              <w:adjustRightInd w:val="0"/>
              <w:ind w:firstLine="0"/>
              <w:rPr>
                <w:sz w:val="10"/>
                <w:szCs w:val="10"/>
              </w:rPr>
            </w:pPr>
          </w:p>
        </w:tc>
        <w:tc>
          <w:tcPr>
            <w:tcW w:w="800" w:type="pct"/>
            <w:tcBorders>
              <w:left w:val="nil"/>
              <w:bottom w:val="single" w:sz="4" w:space="0" w:color="auto"/>
              <w:right w:val="nil"/>
            </w:tcBorders>
          </w:tcPr>
          <w:p w:rsidR="00F538D6" w:rsidRPr="005A3948" w:rsidRDefault="00F538D6" w:rsidP="00F538D6">
            <w:pPr>
              <w:autoSpaceDE w:val="0"/>
              <w:autoSpaceDN w:val="0"/>
              <w:adjustRightInd w:val="0"/>
              <w:ind w:firstLine="0"/>
              <w:jc w:val="right"/>
              <w:rPr>
                <w:sz w:val="10"/>
                <w:szCs w:val="10"/>
              </w:rPr>
            </w:pPr>
          </w:p>
        </w:tc>
        <w:tc>
          <w:tcPr>
            <w:tcW w:w="800" w:type="pct"/>
            <w:tcBorders>
              <w:left w:val="nil"/>
              <w:bottom w:val="single" w:sz="4" w:space="0" w:color="auto"/>
              <w:right w:val="nil"/>
            </w:tcBorders>
          </w:tcPr>
          <w:p w:rsidR="00F538D6" w:rsidRPr="005A3948" w:rsidRDefault="00F538D6" w:rsidP="00F538D6">
            <w:pPr>
              <w:autoSpaceDE w:val="0"/>
              <w:autoSpaceDN w:val="0"/>
              <w:adjustRightInd w:val="0"/>
              <w:ind w:firstLine="0"/>
              <w:jc w:val="right"/>
              <w:rPr>
                <w:sz w:val="10"/>
                <w:szCs w:val="10"/>
              </w:rPr>
            </w:pPr>
          </w:p>
        </w:tc>
        <w:tc>
          <w:tcPr>
            <w:tcW w:w="1040" w:type="pct"/>
            <w:tcBorders>
              <w:left w:val="nil"/>
              <w:bottom w:val="single" w:sz="4" w:space="0" w:color="auto"/>
              <w:right w:val="nil"/>
            </w:tcBorders>
          </w:tcPr>
          <w:p w:rsidR="00F538D6" w:rsidRPr="005A3948" w:rsidRDefault="00F538D6" w:rsidP="00F538D6">
            <w:pPr>
              <w:autoSpaceDE w:val="0"/>
              <w:autoSpaceDN w:val="0"/>
              <w:adjustRightInd w:val="0"/>
              <w:ind w:firstLine="0"/>
              <w:jc w:val="right"/>
              <w:rPr>
                <w:sz w:val="10"/>
                <w:szCs w:val="10"/>
              </w:rPr>
            </w:pPr>
          </w:p>
        </w:tc>
        <w:tc>
          <w:tcPr>
            <w:tcW w:w="1120" w:type="pct"/>
            <w:tcBorders>
              <w:left w:val="nil"/>
              <w:bottom w:val="single" w:sz="4" w:space="0" w:color="auto"/>
              <w:right w:val="nil"/>
            </w:tcBorders>
          </w:tcPr>
          <w:p w:rsidR="00F538D6" w:rsidRPr="005A3948" w:rsidRDefault="00F538D6" w:rsidP="00F538D6">
            <w:pPr>
              <w:autoSpaceDE w:val="0"/>
              <w:autoSpaceDN w:val="0"/>
              <w:adjustRightInd w:val="0"/>
              <w:ind w:firstLine="0"/>
              <w:jc w:val="right"/>
              <w:rPr>
                <w:sz w:val="10"/>
                <w:szCs w:val="10"/>
              </w:rPr>
            </w:pPr>
          </w:p>
        </w:tc>
      </w:tr>
      <w:tr w:rsidR="00F538D6" w:rsidRPr="009134CE" w:rsidTr="00F538D6">
        <w:trPr>
          <w:jc w:val="center"/>
        </w:trPr>
        <w:tc>
          <w:tcPr>
            <w:tcW w:w="1241" w:type="pct"/>
            <w:tcBorders>
              <w:top w:val="single" w:sz="4" w:space="0" w:color="auto"/>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Observa</w:t>
            </w:r>
            <w:r>
              <w:rPr>
                <w:sz w:val="20"/>
              </w:rPr>
              <w:t>ções</w:t>
            </w:r>
          </w:p>
        </w:tc>
        <w:tc>
          <w:tcPr>
            <w:tcW w:w="800" w:type="pct"/>
            <w:tcBorders>
              <w:top w:val="single" w:sz="4" w:space="0" w:color="auto"/>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1</w:t>
            </w:r>
            <w:r>
              <w:rPr>
                <w:sz w:val="20"/>
              </w:rPr>
              <w:t>.</w:t>
            </w:r>
            <w:r w:rsidRPr="009134CE">
              <w:rPr>
                <w:sz w:val="20"/>
              </w:rPr>
              <w:t>028</w:t>
            </w:r>
          </w:p>
        </w:tc>
        <w:tc>
          <w:tcPr>
            <w:tcW w:w="800" w:type="pct"/>
            <w:tcBorders>
              <w:top w:val="single" w:sz="4" w:space="0" w:color="auto"/>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815</w:t>
            </w:r>
          </w:p>
        </w:tc>
        <w:tc>
          <w:tcPr>
            <w:tcW w:w="1040" w:type="pct"/>
            <w:tcBorders>
              <w:top w:val="single" w:sz="4" w:space="0" w:color="auto"/>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213</w:t>
            </w:r>
          </w:p>
        </w:tc>
        <w:tc>
          <w:tcPr>
            <w:tcW w:w="1120" w:type="pct"/>
            <w:tcBorders>
              <w:top w:val="single" w:sz="4" w:space="0" w:color="auto"/>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1</w:t>
            </w:r>
            <w:r>
              <w:rPr>
                <w:sz w:val="20"/>
              </w:rPr>
              <w:t>.</w:t>
            </w:r>
            <w:r w:rsidRPr="009134CE">
              <w:rPr>
                <w:sz w:val="20"/>
              </w:rPr>
              <w:t>028</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N</w:t>
            </w:r>
            <w:r>
              <w:rPr>
                <w:sz w:val="20"/>
              </w:rPr>
              <w:t>úmeros de</w:t>
            </w:r>
            <w:r w:rsidRPr="009134CE">
              <w:rPr>
                <w:sz w:val="20"/>
              </w:rPr>
              <w:t xml:space="preserve"> </w:t>
            </w:r>
            <w:r>
              <w:rPr>
                <w:sz w:val="20"/>
              </w:rPr>
              <w:t>Firmas</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180</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143</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37</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180</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sidRPr="009134CE">
              <w:rPr>
                <w:sz w:val="20"/>
              </w:rPr>
              <w:t>R</w:t>
            </w:r>
            <w:r>
              <w:rPr>
                <w:sz w:val="20"/>
              </w:rPr>
              <w:t>²</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330</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331</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494</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335</w:t>
            </w:r>
          </w:p>
        </w:tc>
      </w:tr>
      <w:tr w:rsidR="00F538D6" w:rsidRPr="009134CE" w:rsidTr="00F538D6">
        <w:trPr>
          <w:jc w:val="center"/>
        </w:trPr>
        <w:tc>
          <w:tcPr>
            <w:tcW w:w="1241" w:type="pct"/>
            <w:tcBorders>
              <w:top w:val="nil"/>
              <w:left w:val="nil"/>
              <w:bottom w:val="nil"/>
              <w:right w:val="nil"/>
            </w:tcBorders>
          </w:tcPr>
          <w:p w:rsidR="00F538D6" w:rsidRPr="009134CE" w:rsidRDefault="00F538D6" w:rsidP="00F538D6">
            <w:pPr>
              <w:autoSpaceDE w:val="0"/>
              <w:autoSpaceDN w:val="0"/>
              <w:adjustRightInd w:val="0"/>
              <w:ind w:firstLine="0"/>
              <w:rPr>
                <w:sz w:val="20"/>
              </w:rPr>
            </w:pPr>
            <w:r>
              <w:rPr>
                <w:sz w:val="20"/>
              </w:rPr>
              <w:t>R² a</w:t>
            </w:r>
            <w:r w:rsidRPr="009134CE">
              <w:rPr>
                <w:sz w:val="20"/>
              </w:rPr>
              <w:t>j</w:t>
            </w:r>
            <w:r>
              <w:rPr>
                <w:sz w:val="20"/>
              </w:rPr>
              <w:t>ustado</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183</w:t>
            </w:r>
          </w:p>
        </w:tc>
        <w:tc>
          <w:tcPr>
            <w:tcW w:w="80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182</w:t>
            </w:r>
          </w:p>
        </w:tc>
        <w:tc>
          <w:tcPr>
            <w:tcW w:w="104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369</w:t>
            </w:r>
          </w:p>
        </w:tc>
        <w:tc>
          <w:tcPr>
            <w:tcW w:w="1120" w:type="pct"/>
            <w:tcBorders>
              <w:top w:val="nil"/>
              <w:left w:val="nil"/>
              <w:bottom w:val="nil"/>
              <w:right w:val="nil"/>
            </w:tcBorders>
          </w:tcPr>
          <w:p w:rsidR="00F538D6" w:rsidRPr="009134CE" w:rsidRDefault="00F538D6" w:rsidP="00F538D6">
            <w:pPr>
              <w:autoSpaceDE w:val="0"/>
              <w:autoSpaceDN w:val="0"/>
              <w:adjustRightInd w:val="0"/>
              <w:ind w:firstLine="0"/>
              <w:jc w:val="right"/>
              <w:rPr>
                <w:sz w:val="20"/>
              </w:rPr>
            </w:pPr>
            <w:r w:rsidRPr="009134CE">
              <w:rPr>
                <w:sz w:val="20"/>
              </w:rPr>
              <w:t>0</w:t>
            </w:r>
            <w:r>
              <w:rPr>
                <w:sz w:val="20"/>
              </w:rPr>
              <w:t>,</w:t>
            </w:r>
            <w:r w:rsidRPr="009134CE">
              <w:rPr>
                <w:sz w:val="20"/>
              </w:rPr>
              <w:t>183</w:t>
            </w:r>
          </w:p>
        </w:tc>
      </w:tr>
      <w:tr w:rsidR="00F538D6" w:rsidRPr="009134CE" w:rsidTr="00F538D6">
        <w:tblPrEx>
          <w:tblBorders>
            <w:bottom w:val="single" w:sz="6" w:space="0" w:color="auto"/>
          </w:tblBorders>
        </w:tblPrEx>
        <w:trPr>
          <w:jc w:val="center"/>
        </w:trPr>
        <w:tc>
          <w:tcPr>
            <w:tcW w:w="1241" w:type="pct"/>
            <w:tcBorders>
              <w:top w:val="nil"/>
              <w:left w:val="nil"/>
              <w:bottom w:val="single" w:sz="6" w:space="0" w:color="auto"/>
              <w:right w:val="nil"/>
            </w:tcBorders>
          </w:tcPr>
          <w:p w:rsidR="00F538D6" w:rsidRPr="009134CE" w:rsidRDefault="00F538D6" w:rsidP="00F538D6">
            <w:pPr>
              <w:autoSpaceDE w:val="0"/>
              <w:autoSpaceDN w:val="0"/>
              <w:adjustRightInd w:val="0"/>
              <w:ind w:firstLine="0"/>
              <w:rPr>
                <w:sz w:val="20"/>
              </w:rPr>
            </w:pPr>
            <w:r w:rsidRPr="009134CE">
              <w:rPr>
                <w:sz w:val="20"/>
              </w:rPr>
              <w:t xml:space="preserve">F </w:t>
            </w:r>
            <w:proofErr w:type="spellStart"/>
            <w:r w:rsidRPr="009134CE">
              <w:rPr>
                <w:sz w:val="20"/>
              </w:rPr>
              <w:t>test</w:t>
            </w:r>
            <w:proofErr w:type="spellEnd"/>
          </w:p>
        </w:tc>
        <w:tc>
          <w:tcPr>
            <w:tcW w:w="800" w:type="pct"/>
            <w:tcBorders>
              <w:top w:val="nil"/>
              <w:left w:val="nil"/>
              <w:bottom w:val="single" w:sz="6" w:space="0" w:color="auto"/>
              <w:right w:val="nil"/>
            </w:tcBorders>
          </w:tcPr>
          <w:p w:rsidR="00F538D6" w:rsidRPr="009134CE" w:rsidRDefault="00F538D6" w:rsidP="00F538D6">
            <w:pPr>
              <w:autoSpaceDE w:val="0"/>
              <w:autoSpaceDN w:val="0"/>
              <w:adjustRightInd w:val="0"/>
              <w:ind w:firstLine="0"/>
              <w:jc w:val="right"/>
              <w:rPr>
                <w:sz w:val="20"/>
              </w:rPr>
            </w:pPr>
            <w:r w:rsidRPr="009134CE">
              <w:rPr>
                <w:sz w:val="20"/>
              </w:rPr>
              <w:t>69</w:t>
            </w:r>
            <w:r>
              <w:rPr>
                <w:sz w:val="20"/>
              </w:rPr>
              <w:t>,</w:t>
            </w:r>
            <w:r w:rsidRPr="009134CE">
              <w:rPr>
                <w:sz w:val="20"/>
              </w:rPr>
              <w:t>116</w:t>
            </w:r>
          </w:p>
        </w:tc>
        <w:tc>
          <w:tcPr>
            <w:tcW w:w="800" w:type="pct"/>
            <w:tcBorders>
              <w:top w:val="nil"/>
              <w:left w:val="nil"/>
              <w:bottom w:val="single" w:sz="6" w:space="0" w:color="auto"/>
              <w:right w:val="nil"/>
            </w:tcBorders>
          </w:tcPr>
          <w:p w:rsidR="00F538D6" w:rsidRPr="009134CE" w:rsidRDefault="00F538D6" w:rsidP="00F538D6">
            <w:pPr>
              <w:autoSpaceDE w:val="0"/>
              <w:autoSpaceDN w:val="0"/>
              <w:adjustRightInd w:val="0"/>
              <w:ind w:firstLine="0"/>
              <w:jc w:val="right"/>
              <w:rPr>
                <w:sz w:val="20"/>
              </w:rPr>
            </w:pPr>
            <w:r w:rsidRPr="009134CE">
              <w:rPr>
                <w:sz w:val="20"/>
              </w:rPr>
              <w:t>54</w:t>
            </w:r>
            <w:r>
              <w:rPr>
                <w:sz w:val="20"/>
              </w:rPr>
              <w:t>,</w:t>
            </w:r>
            <w:r w:rsidRPr="009134CE">
              <w:rPr>
                <w:sz w:val="20"/>
              </w:rPr>
              <w:t>942</w:t>
            </w:r>
          </w:p>
        </w:tc>
        <w:tc>
          <w:tcPr>
            <w:tcW w:w="1040" w:type="pct"/>
            <w:tcBorders>
              <w:top w:val="nil"/>
              <w:left w:val="nil"/>
              <w:bottom w:val="single" w:sz="6" w:space="0" w:color="auto"/>
              <w:right w:val="nil"/>
            </w:tcBorders>
          </w:tcPr>
          <w:p w:rsidR="00F538D6" w:rsidRPr="009134CE" w:rsidRDefault="00F538D6" w:rsidP="00F538D6">
            <w:pPr>
              <w:autoSpaceDE w:val="0"/>
              <w:autoSpaceDN w:val="0"/>
              <w:adjustRightInd w:val="0"/>
              <w:ind w:firstLine="0"/>
              <w:jc w:val="right"/>
              <w:rPr>
                <w:sz w:val="20"/>
              </w:rPr>
            </w:pPr>
            <w:r w:rsidRPr="009134CE">
              <w:rPr>
                <w:sz w:val="20"/>
              </w:rPr>
              <w:t>27</w:t>
            </w:r>
            <w:r>
              <w:rPr>
                <w:sz w:val="20"/>
              </w:rPr>
              <w:t>,</w:t>
            </w:r>
            <w:r w:rsidRPr="009134CE">
              <w:rPr>
                <w:sz w:val="20"/>
              </w:rPr>
              <w:t>637</w:t>
            </w:r>
          </w:p>
        </w:tc>
        <w:tc>
          <w:tcPr>
            <w:tcW w:w="1120" w:type="pct"/>
            <w:tcBorders>
              <w:top w:val="nil"/>
              <w:left w:val="nil"/>
              <w:bottom w:val="single" w:sz="6" w:space="0" w:color="auto"/>
              <w:right w:val="nil"/>
            </w:tcBorders>
          </w:tcPr>
          <w:p w:rsidR="00F538D6" w:rsidRPr="009134CE" w:rsidRDefault="00F538D6" w:rsidP="00F538D6">
            <w:pPr>
              <w:autoSpaceDE w:val="0"/>
              <w:autoSpaceDN w:val="0"/>
              <w:adjustRightInd w:val="0"/>
              <w:ind w:firstLine="0"/>
              <w:jc w:val="right"/>
              <w:rPr>
                <w:sz w:val="20"/>
              </w:rPr>
            </w:pPr>
            <w:r w:rsidRPr="009134CE">
              <w:rPr>
                <w:sz w:val="20"/>
              </w:rPr>
              <w:t>35</w:t>
            </w:r>
            <w:r>
              <w:rPr>
                <w:sz w:val="20"/>
              </w:rPr>
              <w:t>,</w:t>
            </w:r>
            <w:r w:rsidRPr="009134CE">
              <w:rPr>
                <w:sz w:val="20"/>
              </w:rPr>
              <w:t>063</w:t>
            </w:r>
          </w:p>
        </w:tc>
      </w:tr>
    </w:tbl>
    <w:bookmarkEnd w:id="1"/>
    <w:p w:rsidR="00F538D6" w:rsidRPr="00A24569" w:rsidRDefault="00F538D6" w:rsidP="00F538D6">
      <w:pPr>
        <w:ind w:right="1986" w:firstLine="0"/>
        <w:rPr>
          <w:sz w:val="20"/>
        </w:rPr>
      </w:pPr>
      <w:r w:rsidRPr="001B125D">
        <w:rPr>
          <w:b/>
          <w:sz w:val="20"/>
        </w:rPr>
        <w:t>Nota</w:t>
      </w:r>
      <w:r>
        <w:rPr>
          <w:b/>
          <w:sz w:val="20"/>
        </w:rPr>
        <w:t xml:space="preserve">. </w:t>
      </w:r>
      <w:r>
        <w:rPr>
          <w:sz w:val="20"/>
        </w:rPr>
        <w:t xml:space="preserve">Fonte: </w:t>
      </w:r>
      <w:r w:rsidRPr="00BC2BB2">
        <w:rPr>
          <w:sz w:val="20"/>
        </w:rPr>
        <w:t>Elaborada a partir de dados da pesquisa.</w:t>
      </w:r>
    </w:p>
    <w:p w:rsidR="00F538D6" w:rsidRDefault="00F538D6" w:rsidP="00F538D6">
      <w:pPr>
        <w:ind w:right="1986" w:firstLine="0"/>
        <w:rPr>
          <w:sz w:val="20"/>
        </w:rPr>
      </w:pPr>
      <w:r w:rsidRPr="00A24569">
        <w:rPr>
          <w:sz w:val="20"/>
        </w:rPr>
        <w:t>***</w:t>
      </w:r>
      <w:r>
        <w:rPr>
          <w:sz w:val="20"/>
        </w:rPr>
        <w:t xml:space="preserve">, </w:t>
      </w:r>
      <w:r w:rsidRPr="00A24569">
        <w:rPr>
          <w:sz w:val="20"/>
        </w:rPr>
        <w:t>**</w:t>
      </w:r>
      <w:r>
        <w:rPr>
          <w:sz w:val="20"/>
        </w:rPr>
        <w:t xml:space="preserve"> e </w:t>
      </w:r>
      <w:r w:rsidRPr="00A24569">
        <w:rPr>
          <w:sz w:val="20"/>
        </w:rPr>
        <w:t>*</w:t>
      </w:r>
      <w:r>
        <w:rPr>
          <w:sz w:val="20"/>
        </w:rPr>
        <w:t xml:space="preserve">, </w:t>
      </w:r>
      <w:r w:rsidRPr="00A24569">
        <w:rPr>
          <w:sz w:val="20"/>
        </w:rPr>
        <w:t>significante</w:t>
      </w:r>
      <w:r>
        <w:rPr>
          <w:sz w:val="20"/>
        </w:rPr>
        <w:t>s</w:t>
      </w:r>
      <w:r w:rsidRPr="00A24569">
        <w:rPr>
          <w:sz w:val="20"/>
        </w:rPr>
        <w:t xml:space="preserve"> ao nível de 1%</w:t>
      </w:r>
      <w:r>
        <w:rPr>
          <w:sz w:val="20"/>
        </w:rPr>
        <w:t xml:space="preserve">, 5% e </w:t>
      </w:r>
      <w:r w:rsidRPr="00A24569">
        <w:rPr>
          <w:sz w:val="20"/>
        </w:rPr>
        <w:t>10%</w:t>
      </w:r>
      <w:r>
        <w:rPr>
          <w:sz w:val="20"/>
        </w:rPr>
        <w:t>, respectivamente.</w:t>
      </w:r>
    </w:p>
    <w:p w:rsidR="00F538D6" w:rsidRDefault="00F538D6" w:rsidP="00F538D6">
      <w:pPr>
        <w:rPr>
          <w:szCs w:val="24"/>
        </w:rPr>
      </w:pPr>
    </w:p>
    <w:p w:rsidR="00F538D6" w:rsidRPr="0006053A" w:rsidRDefault="00F538D6" w:rsidP="00F538D6">
      <w:pPr>
        <w:tabs>
          <w:tab w:val="left" w:pos="851"/>
        </w:tabs>
        <w:rPr>
          <w:szCs w:val="24"/>
        </w:rPr>
      </w:pPr>
      <w:r>
        <w:rPr>
          <w:szCs w:val="24"/>
        </w:rPr>
        <w:t>Como pode ser observado, o</w:t>
      </w:r>
      <w:r w:rsidRPr="006B1E7B">
        <w:rPr>
          <w:szCs w:val="24"/>
        </w:rPr>
        <w:t xml:space="preserve"> </w:t>
      </w:r>
      <w:r>
        <w:rPr>
          <w:szCs w:val="24"/>
        </w:rPr>
        <w:t>l</w:t>
      </w:r>
      <w:r w:rsidRPr="005A3948">
        <w:rPr>
          <w:szCs w:val="24"/>
        </w:rPr>
        <w:t>ucro antes de impostos e provisões para perdas</w:t>
      </w:r>
      <w:r>
        <w:rPr>
          <w:szCs w:val="24"/>
        </w:rPr>
        <w:t xml:space="preserve"> (</w:t>
      </w:r>
      <w:proofErr w:type="spellStart"/>
      <w:r w:rsidRPr="006B1E7B">
        <w:rPr>
          <w:i/>
          <w:szCs w:val="24"/>
        </w:rPr>
        <w:t>EBTP</w:t>
      </w:r>
      <w:r w:rsidRPr="006B1E7B">
        <w:rPr>
          <w:i/>
          <w:szCs w:val="24"/>
          <w:vertAlign w:val="subscript"/>
        </w:rPr>
        <w:t>it</w:t>
      </w:r>
      <w:proofErr w:type="spellEnd"/>
      <w:r>
        <w:rPr>
          <w:szCs w:val="24"/>
        </w:rPr>
        <w:t xml:space="preserve">) tem coeficiente significativo e negativo para as três primeiras estimações (Geral, </w:t>
      </w:r>
      <w:proofErr w:type="spellStart"/>
      <w:r w:rsidRPr="00A46AAE">
        <w:rPr>
          <w:i/>
          <w:szCs w:val="24"/>
        </w:rPr>
        <w:t>Fin</w:t>
      </w:r>
      <w:r>
        <w:rPr>
          <w:i/>
          <w:szCs w:val="24"/>
        </w:rPr>
        <w:t>T</w:t>
      </w:r>
      <w:r w:rsidRPr="00A46AAE">
        <w:rPr>
          <w:i/>
          <w:szCs w:val="24"/>
        </w:rPr>
        <w:t>ech</w:t>
      </w:r>
      <w:proofErr w:type="spellEnd"/>
      <w:r>
        <w:rPr>
          <w:szCs w:val="24"/>
        </w:rPr>
        <w:t xml:space="preserve"> e não </w:t>
      </w:r>
      <w:proofErr w:type="spellStart"/>
      <w:r w:rsidRPr="00A46AAE">
        <w:rPr>
          <w:i/>
          <w:szCs w:val="24"/>
        </w:rPr>
        <w:t>Fin</w:t>
      </w:r>
      <w:r>
        <w:rPr>
          <w:i/>
          <w:szCs w:val="24"/>
        </w:rPr>
        <w:t>T</w:t>
      </w:r>
      <w:r w:rsidRPr="00A46AAE">
        <w:rPr>
          <w:i/>
          <w:szCs w:val="24"/>
        </w:rPr>
        <w:t>ech</w:t>
      </w:r>
      <w:proofErr w:type="spellEnd"/>
      <w:r>
        <w:rPr>
          <w:szCs w:val="24"/>
        </w:rPr>
        <w:t>). Esses resultados sugerem que a provisão para</w:t>
      </w:r>
      <w:r w:rsidR="00D93F27">
        <w:rPr>
          <w:szCs w:val="24"/>
        </w:rPr>
        <w:t xml:space="preserve"> perdas</w:t>
      </w:r>
      <w:r>
        <w:rPr>
          <w:szCs w:val="24"/>
        </w:rPr>
        <w:t xml:space="preserve"> de créditos (</w:t>
      </w:r>
      <w:proofErr w:type="spellStart"/>
      <w:r w:rsidRPr="003D1F4F">
        <w:rPr>
          <w:i/>
          <w:szCs w:val="24"/>
        </w:rPr>
        <w:t>LLP</w:t>
      </w:r>
      <w:r w:rsidRPr="003D1F4F">
        <w:rPr>
          <w:i/>
          <w:szCs w:val="24"/>
          <w:vertAlign w:val="subscript"/>
        </w:rPr>
        <w:t>it</w:t>
      </w:r>
      <w:proofErr w:type="spellEnd"/>
      <w:r>
        <w:rPr>
          <w:szCs w:val="24"/>
        </w:rPr>
        <w:t>) das instituições financeiras (</w:t>
      </w:r>
      <w:proofErr w:type="spellStart"/>
      <w:r w:rsidRPr="00A46AAE">
        <w:rPr>
          <w:i/>
          <w:szCs w:val="24"/>
        </w:rPr>
        <w:t>Fin</w:t>
      </w:r>
      <w:r>
        <w:rPr>
          <w:i/>
          <w:szCs w:val="24"/>
        </w:rPr>
        <w:t>T</w:t>
      </w:r>
      <w:r w:rsidRPr="00A46AAE">
        <w:rPr>
          <w:i/>
          <w:szCs w:val="24"/>
        </w:rPr>
        <w:t>ech</w:t>
      </w:r>
      <w:r>
        <w:rPr>
          <w:i/>
          <w:szCs w:val="24"/>
        </w:rPr>
        <w:t>s</w:t>
      </w:r>
      <w:proofErr w:type="spellEnd"/>
      <w:r>
        <w:rPr>
          <w:szCs w:val="24"/>
        </w:rPr>
        <w:t xml:space="preserve"> ou não) no período analisado, em média, tem comportamento inverso a variável </w:t>
      </w:r>
      <w:proofErr w:type="spellStart"/>
      <w:r w:rsidRPr="006B1E7B">
        <w:rPr>
          <w:i/>
          <w:szCs w:val="24"/>
        </w:rPr>
        <w:t>EBTP</w:t>
      </w:r>
      <w:r w:rsidRPr="006B1E7B">
        <w:rPr>
          <w:i/>
          <w:szCs w:val="24"/>
          <w:vertAlign w:val="subscript"/>
        </w:rPr>
        <w:t>it</w:t>
      </w:r>
      <w:proofErr w:type="spellEnd"/>
      <w:r>
        <w:rPr>
          <w:szCs w:val="24"/>
        </w:rPr>
        <w:t>, ou seja, quando há um aumento (redução) no lucro antes de impostos e provisões para perdas, a</w:t>
      </w:r>
      <w:r w:rsidR="00D93F27">
        <w:rPr>
          <w:szCs w:val="24"/>
        </w:rPr>
        <w:t>s</w:t>
      </w:r>
      <w:r>
        <w:rPr>
          <w:szCs w:val="24"/>
        </w:rPr>
        <w:t xml:space="preserve"> </w:t>
      </w:r>
      <w:proofErr w:type="spellStart"/>
      <w:r>
        <w:rPr>
          <w:szCs w:val="24"/>
        </w:rPr>
        <w:t>IFs</w:t>
      </w:r>
      <w:proofErr w:type="spellEnd"/>
      <w:r>
        <w:rPr>
          <w:szCs w:val="24"/>
        </w:rPr>
        <w:t xml:space="preserve"> apresenta</w:t>
      </w:r>
      <w:r w:rsidR="00D93F27">
        <w:rPr>
          <w:szCs w:val="24"/>
        </w:rPr>
        <w:t>m</w:t>
      </w:r>
      <w:r>
        <w:rPr>
          <w:szCs w:val="24"/>
        </w:rPr>
        <w:t xml:space="preserve"> uma redução (aumento) no volume de provisão para </w:t>
      </w:r>
      <w:r w:rsidR="00D93F27">
        <w:rPr>
          <w:szCs w:val="24"/>
        </w:rPr>
        <w:t>perdas</w:t>
      </w:r>
      <w:r>
        <w:rPr>
          <w:szCs w:val="24"/>
        </w:rPr>
        <w:t xml:space="preserve"> de créditos. Esse resultado contraria o esperado, entretanto, </w:t>
      </w:r>
      <w:r w:rsidRPr="00351632">
        <w:rPr>
          <w:szCs w:val="24"/>
        </w:rPr>
        <w:t xml:space="preserve">Araújo </w:t>
      </w:r>
      <w:r w:rsidRPr="003D1F4F">
        <w:rPr>
          <w:i/>
          <w:szCs w:val="24"/>
        </w:rPr>
        <w:t>et al.</w:t>
      </w:r>
      <w:r w:rsidRPr="0006053A">
        <w:rPr>
          <w:szCs w:val="24"/>
        </w:rPr>
        <w:t xml:space="preserve"> (201</w:t>
      </w:r>
      <w:r>
        <w:rPr>
          <w:szCs w:val="24"/>
        </w:rPr>
        <w:t>8</w:t>
      </w:r>
      <w:r w:rsidRPr="0006053A">
        <w:rPr>
          <w:szCs w:val="24"/>
        </w:rPr>
        <w:t>)</w:t>
      </w:r>
      <w:r>
        <w:rPr>
          <w:szCs w:val="24"/>
        </w:rPr>
        <w:t xml:space="preserve"> encontraram que a variável </w:t>
      </w:r>
      <w:proofErr w:type="spellStart"/>
      <w:r w:rsidRPr="0006053A">
        <w:rPr>
          <w:i/>
          <w:szCs w:val="24"/>
        </w:rPr>
        <w:t>EBTP</w:t>
      </w:r>
      <w:r w:rsidRPr="0006053A">
        <w:rPr>
          <w:i/>
          <w:szCs w:val="24"/>
          <w:vertAlign w:val="subscript"/>
        </w:rPr>
        <w:t>it</w:t>
      </w:r>
      <w:proofErr w:type="spellEnd"/>
      <w:r>
        <w:rPr>
          <w:szCs w:val="24"/>
        </w:rPr>
        <w:t xml:space="preserve"> </w:t>
      </w:r>
      <w:r w:rsidRPr="0006053A">
        <w:rPr>
          <w:szCs w:val="24"/>
        </w:rPr>
        <w:t xml:space="preserve">se revelou significativa </w:t>
      </w:r>
      <w:r>
        <w:rPr>
          <w:szCs w:val="24"/>
        </w:rPr>
        <w:t xml:space="preserve">para instituições financeiras espanholas, sugerindo que não existem </w:t>
      </w:r>
      <w:r w:rsidRPr="0006053A">
        <w:rPr>
          <w:szCs w:val="24"/>
        </w:rPr>
        <w:t>evidências de prática</w:t>
      </w:r>
      <w:r>
        <w:rPr>
          <w:szCs w:val="24"/>
        </w:rPr>
        <w:t>s oportun</w:t>
      </w:r>
      <w:r w:rsidR="00D93F27">
        <w:rPr>
          <w:szCs w:val="24"/>
        </w:rPr>
        <w:t>i</w:t>
      </w:r>
      <w:r>
        <w:rPr>
          <w:szCs w:val="24"/>
        </w:rPr>
        <w:t xml:space="preserve">stas </w:t>
      </w:r>
      <w:r w:rsidRPr="0006053A">
        <w:rPr>
          <w:szCs w:val="24"/>
        </w:rPr>
        <w:t>com o uso de provisões pelos</w:t>
      </w:r>
      <w:r>
        <w:rPr>
          <w:szCs w:val="24"/>
        </w:rPr>
        <w:t xml:space="preserve"> </w:t>
      </w:r>
      <w:r w:rsidRPr="0006053A">
        <w:rPr>
          <w:szCs w:val="24"/>
        </w:rPr>
        <w:t>bancos espanhóis.</w:t>
      </w:r>
      <w:r>
        <w:rPr>
          <w:szCs w:val="24"/>
        </w:rPr>
        <w:t xml:space="preserve"> Por fim, no modelo da equação 2, com a variável </w:t>
      </w:r>
      <w:proofErr w:type="spellStart"/>
      <w:r w:rsidRPr="006C5A0D">
        <w:rPr>
          <w:i/>
          <w:szCs w:val="24"/>
        </w:rPr>
        <w:t>dummy</w:t>
      </w:r>
      <w:proofErr w:type="spellEnd"/>
      <w:r>
        <w:rPr>
          <w:szCs w:val="24"/>
        </w:rPr>
        <w:t xml:space="preserve"> F e suas interações, o </w:t>
      </w:r>
      <w:proofErr w:type="spellStart"/>
      <w:r w:rsidRPr="00DA7E4A">
        <w:rPr>
          <w:i/>
          <w:szCs w:val="24"/>
        </w:rPr>
        <w:t>EBTP</w:t>
      </w:r>
      <w:r w:rsidRPr="00DA7E4A">
        <w:rPr>
          <w:i/>
          <w:szCs w:val="24"/>
          <w:vertAlign w:val="subscript"/>
        </w:rPr>
        <w:t>it</w:t>
      </w:r>
      <w:proofErr w:type="spellEnd"/>
      <w:r>
        <w:rPr>
          <w:szCs w:val="24"/>
        </w:rPr>
        <w:t xml:space="preserve"> não foi significativo.</w:t>
      </w:r>
    </w:p>
    <w:p w:rsidR="00F538D6" w:rsidRPr="005A3948" w:rsidRDefault="00F538D6" w:rsidP="00F538D6">
      <w:r>
        <w:rPr>
          <w:szCs w:val="24"/>
        </w:rPr>
        <w:t>Como apresentado na Tabela 6, a r</w:t>
      </w:r>
      <w:r w:rsidRPr="005A3948">
        <w:rPr>
          <w:szCs w:val="24"/>
        </w:rPr>
        <w:t xml:space="preserve">elação de </w:t>
      </w:r>
      <w:r w:rsidR="00D93F27">
        <w:rPr>
          <w:szCs w:val="24"/>
        </w:rPr>
        <w:t>C</w:t>
      </w:r>
      <w:r w:rsidRPr="005A3948">
        <w:rPr>
          <w:szCs w:val="24"/>
        </w:rPr>
        <w:t>apital de Nível 1</w:t>
      </w:r>
      <w:r w:rsidR="00D93F27">
        <w:rPr>
          <w:szCs w:val="24"/>
        </w:rPr>
        <w:t>,</w:t>
      </w:r>
      <w:r w:rsidRPr="005A3948">
        <w:rPr>
          <w:szCs w:val="24"/>
        </w:rPr>
        <w:t xml:space="preserve"> dividido pelo total de ativos ponderados pelo risco</w:t>
      </w:r>
      <w:r>
        <w:rPr>
          <w:szCs w:val="24"/>
        </w:rPr>
        <w:t xml:space="preserve"> (</w:t>
      </w:r>
      <w:proofErr w:type="spellStart"/>
      <w:r w:rsidRPr="007F0578">
        <w:rPr>
          <w:i/>
          <w:szCs w:val="24"/>
        </w:rPr>
        <w:t>CAR</w:t>
      </w:r>
      <w:r w:rsidRPr="007F0578">
        <w:rPr>
          <w:i/>
          <w:szCs w:val="24"/>
          <w:vertAlign w:val="subscript"/>
        </w:rPr>
        <w:t>it</w:t>
      </w:r>
      <w:proofErr w:type="spellEnd"/>
      <w:r>
        <w:rPr>
          <w:szCs w:val="24"/>
        </w:rPr>
        <w:t>)</w:t>
      </w:r>
      <w:r w:rsidR="00D93F27">
        <w:rPr>
          <w:szCs w:val="24"/>
        </w:rPr>
        <w:t>,</w:t>
      </w:r>
      <w:r>
        <w:rPr>
          <w:szCs w:val="24"/>
        </w:rPr>
        <w:t xml:space="preserve"> não se mostrou significativa para explicar o comportamento da provisão para </w:t>
      </w:r>
      <w:r w:rsidR="00D93F27">
        <w:rPr>
          <w:szCs w:val="24"/>
        </w:rPr>
        <w:t>perdas</w:t>
      </w:r>
      <w:r>
        <w:rPr>
          <w:szCs w:val="24"/>
        </w:rPr>
        <w:t xml:space="preserve"> de créditos (</w:t>
      </w:r>
      <w:proofErr w:type="spellStart"/>
      <w:r w:rsidRPr="00ED5383">
        <w:rPr>
          <w:i/>
          <w:szCs w:val="24"/>
        </w:rPr>
        <w:t>LLP</w:t>
      </w:r>
      <w:r w:rsidRPr="00ED5383">
        <w:rPr>
          <w:i/>
          <w:szCs w:val="24"/>
          <w:vertAlign w:val="subscript"/>
        </w:rPr>
        <w:t>it</w:t>
      </w:r>
      <w:proofErr w:type="spellEnd"/>
      <w:r>
        <w:rPr>
          <w:szCs w:val="24"/>
        </w:rPr>
        <w:t xml:space="preserve">), para todas as amostras. Já a variável </w:t>
      </w:r>
      <w:proofErr w:type="spellStart"/>
      <w:r w:rsidRPr="00803C34">
        <w:rPr>
          <w:i/>
        </w:rPr>
        <w:t>NPL</w:t>
      </w:r>
      <w:r w:rsidRPr="00803C34">
        <w:rPr>
          <w:i/>
          <w:vertAlign w:val="subscript"/>
        </w:rPr>
        <w:t>it</w:t>
      </w:r>
      <w:proofErr w:type="spellEnd"/>
      <w:r>
        <w:rPr>
          <w:i/>
        </w:rPr>
        <w:t>,</w:t>
      </w:r>
      <w:r w:rsidRPr="000D5AF1">
        <w:t xml:space="preserve"> que </w:t>
      </w:r>
      <w:r>
        <w:t>representa a r</w:t>
      </w:r>
      <w:r w:rsidRPr="005A3948">
        <w:t xml:space="preserve">elação da provisão </w:t>
      </w:r>
      <w:r w:rsidR="00D93F27">
        <w:t>perdas</w:t>
      </w:r>
      <w:r w:rsidRPr="005A3948">
        <w:t xml:space="preserve"> de crédito sobre o crédito bruto</w:t>
      </w:r>
      <w:r>
        <w:rPr>
          <w:szCs w:val="24"/>
        </w:rPr>
        <w:t xml:space="preserve">, se mostrou significativa para todas as estimações, a um nível de 1%, inclusive para o modelo da Equação 2. Com base nos resultados dos modelos utilizados nesta pesquisa, pode-se considerar que a </w:t>
      </w:r>
      <w:proofErr w:type="spellStart"/>
      <w:r w:rsidRPr="005D0415">
        <w:rPr>
          <w:i/>
          <w:szCs w:val="24"/>
        </w:rPr>
        <w:t>NPL</w:t>
      </w:r>
      <w:r w:rsidRPr="005D0415">
        <w:rPr>
          <w:i/>
          <w:szCs w:val="24"/>
          <w:vertAlign w:val="subscript"/>
        </w:rPr>
        <w:t>it</w:t>
      </w:r>
      <w:proofErr w:type="spellEnd"/>
      <w:r>
        <w:rPr>
          <w:szCs w:val="24"/>
        </w:rPr>
        <w:t xml:space="preserve"> é o fator economicamente mais determinante para a provisão para </w:t>
      </w:r>
      <w:r w:rsidR="00D93F27">
        <w:rPr>
          <w:szCs w:val="24"/>
        </w:rPr>
        <w:t>perdas</w:t>
      </w:r>
      <w:r>
        <w:rPr>
          <w:szCs w:val="24"/>
        </w:rPr>
        <w:t xml:space="preserve"> de créditos.</w:t>
      </w:r>
    </w:p>
    <w:p w:rsidR="00F538D6" w:rsidRDefault="00F538D6" w:rsidP="00F538D6">
      <w:pPr>
        <w:rPr>
          <w:szCs w:val="24"/>
        </w:rPr>
      </w:pPr>
      <w:r>
        <w:rPr>
          <w:szCs w:val="24"/>
        </w:rPr>
        <w:t xml:space="preserve">A </w:t>
      </w:r>
      <w:r w:rsidRPr="0040564E">
        <w:rPr>
          <w:szCs w:val="24"/>
        </w:rPr>
        <w:t xml:space="preserve">variação das provisões para </w:t>
      </w:r>
      <w:r w:rsidR="00D93F27">
        <w:rPr>
          <w:szCs w:val="24"/>
        </w:rPr>
        <w:t>perdas</w:t>
      </w:r>
      <w:r w:rsidRPr="0040564E">
        <w:rPr>
          <w:szCs w:val="24"/>
        </w:rPr>
        <w:t xml:space="preserve"> de crédito</w:t>
      </w:r>
      <w:r>
        <w:rPr>
          <w:szCs w:val="24"/>
        </w:rPr>
        <w:t xml:space="preserve"> (</w:t>
      </w:r>
      <w:proofErr w:type="spellStart"/>
      <w:r>
        <w:rPr>
          <w:i/>
          <w:szCs w:val="24"/>
        </w:rPr>
        <w:t>LOAN</w:t>
      </w:r>
      <w:r w:rsidRPr="004B7F05">
        <w:rPr>
          <w:i/>
          <w:szCs w:val="24"/>
          <w:vertAlign w:val="subscript"/>
        </w:rPr>
        <w:t>it</w:t>
      </w:r>
      <w:proofErr w:type="spellEnd"/>
      <w:r>
        <w:rPr>
          <w:szCs w:val="24"/>
        </w:rPr>
        <w:t xml:space="preserve">) se mostrou significativa </w:t>
      </w:r>
      <w:r>
        <w:rPr>
          <w:szCs w:val="24"/>
        </w:rPr>
        <w:lastRenderedPageBreak/>
        <w:t xml:space="preserve">somente para a estimação com amostra Geral (1) e </w:t>
      </w:r>
      <w:r w:rsidR="00D93F27">
        <w:rPr>
          <w:szCs w:val="24"/>
        </w:rPr>
        <w:t xml:space="preserve">com a </w:t>
      </w:r>
      <w:r>
        <w:rPr>
          <w:szCs w:val="24"/>
        </w:rPr>
        <w:t>a</w:t>
      </w:r>
      <w:r w:rsidR="00D93F27">
        <w:rPr>
          <w:szCs w:val="24"/>
        </w:rPr>
        <w:t>mostra</w:t>
      </w:r>
      <w:r>
        <w:rPr>
          <w:szCs w:val="24"/>
        </w:rPr>
        <w:t xml:space="preserve"> das </w:t>
      </w:r>
      <w:proofErr w:type="spellStart"/>
      <w:r w:rsidRPr="00A46AAE">
        <w:rPr>
          <w:i/>
          <w:szCs w:val="24"/>
        </w:rPr>
        <w:t>Fin</w:t>
      </w:r>
      <w:r>
        <w:rPr>
          <w:i/>
          <w:szCs w:val="24"/>
        </w:rPr>
        <w:t>T</w:t>
      </w:r>
      <w:r w:rsidRPr="00A46AAE">
        <w:rPr>
          <w:i/>
          <w:szCs w:val="24"/>
        </w:rPr>
        <w:t>ech</w:t>
      </w:r>
      <w:proofErr w:type="spellEnd"/>
      <w:r>
        <w:rPr>
          <w:szCs w:val="24"/>
        </w:rPr>
        <w:t xml:space="preserve"> (2). Apesar dessa variável ser estatisticamente significativa, </w:t>
      </w:r>
      <w:r w:rsidRPr="009C0472">
        <w:rPr>
          <w:szCs w:val="24"/>
        </w:rPr>
        <w:t>a um n</w:t>
      </w:r>
      <w:r>
        <w:rPr>
          <w:szCs w:val="24"/>
        </w:rPr>
        <w:t>í</w:t>
      </w:r>
      <w:r w:rsidRPr="009C0472">
        <w:rPr>
          <w:szCs w:val="24"/>
        </w:rPr>
        <w:t xml:space="preserve">vel </w:t>
      </w:r>
      <w:r>
        <w:rPr>
          <w:szCs w:val="24"/>
        </w:rPr>
        <w:t xml:space="preserve">de </w:t>
      </w:r>
      <w:r w:rsidRPr="009C0472">
        <w:rPr>
          <w:szCs w:val="24"/>
        </w:rPr>
        <w:t>10%</w:t>
      </w:r>
      <w:r>
        <w:rPr>
          <w:szCs w:val="24"/>
        </w:rPr>
        <w:t xml:space="preserve">, o seu coeficiente não é economicamente significativo para explicar o comportamento da provisão para </w:t>
      </w:r>
      <w:r w:rsidR="00D93F27">
        <w:rPr>
          <w:szCs w:val="24"/>
        </w:rPr>
        <w:t>perdas</w:t>
      </w:r>
      <w:r>
        <w:rPr>
          <w:szCs w:val="24"/>
        </w:rPr>
        <w:t xml:space="preserve"> de créditos.</w:t>
      </w:r>
    </w:p>
    <w:p w:rsidR="00F538D6" w:rsidRDefault="00F538D6" w:rsidP="00F538D6">
      <w:pPr>
        <w:rPr>
          <w:szCs w:val="24"/>
        </w:rPr>
      </w:pPr>
      <w:r>
        <w:rPr>
          <w:szCs w:val="24"/>
        </w:rPr>
        <w:t xml:space="preserve">As variáveis </w:t>
      </w:r>
      <w:proofErr w:type="spellStart"/>
      <w:r w:rsidRPr="00C52100">
        <w:rPr>
          <w:i/>
          <w:szCs w:val="24"/>
        </w:rPr>
        <w:t>SIZE</w:t>
      </w:r>
      <w:r w:rsidRPr="00C52100">
        <w:rPr>
          <w:i/>
          <w:szCs w:val="24"/>
          <w:vertAlign w:val="subscript"/>
        </w:rPr>
        <w:t>it</w:t>
      </w:r>
      <w:proofErr w:type="spellEnd"/>
      <w:r>
        <w:rPr>
          <w:szCs w:val="24"/>
        </w:rPr>
        <w:t xml:space="preserve"> (tamanho do ativo) e </w:t>
      </w:r>
      <w:r w:rsidRPr="00C52100">
        <w:rPr>
          <w:i/>
          <w:szCs w:val="24"/>
        </w:rPr>
        <w:t>∆</w:t>
      </w:r>
      <w:proofErr w:type="spellStart"/>
      <w:r w:rsidRPr="00C52100">
        <w:rPr>
          <w:i/>
          <w:szCs w:val="24"/>
        </w:rPr>
        <w:t>GDP</w:t>
      </w:r>
      <w:r w:rsidRPr="00C52100">
        <w:rPr>
          <w:i/>
          <w:szCs w:val="24"/>
          <w:vertAlign w:val="subscript"/>
        </w:rPr>
        <w:t>t</w:t>
      </w:r>
      <w:proofErr w:type="spellEnd"/>
      <w:r>
        <w:rPr>
          <w:szCs w:val="24"/>
        </w:rPr>
        <w:t xml:space="preserve"> (t</w:t>
      </w:r>
      <w:r w:rsidRPr="005A3948">
        <w:t>axa real de crescimento do produto interno bruto</w:t>
      </w:r>
      <w:r>
        <w:rPr>
          <w:szCs w:val="24"/>
        </w:rPr>
        <w:t xml:space="preserve">) foram, respectivamente, significativas positiva e negativamente, para as estimações com a amostra Geral e das </w:t>
      </w:r>
      <w:proofErr w:type="spellStart"/>
      <w:r w:rsidRPr="00A46AAE">
        <w:rPr>
          <w:i/>
          <w:szCs w:val="24"/>
        </w:rPr>
        <w:t>Fin</w:t>
      </w:r>
      <w:r>
        <w:rPr>
          <w:i/>
          <w:szCs w:val="24"/>
        </w:rPr>
        <w:t>T</w:t>
      </w:r>
      <w:r w:rsidRPr="00A46AAE">
        <w:rPr>
          <w:i/>
          <w:szCs w:val="24"/>
        </w:rPr>
        <w:t>ech</w:t>
      </w:r>
      <w:r>
        <w:rPr>
          <w:i/>
          <w:szCs w:val="24"/>
        </w:rPr>
        <w:t>s</w:t>
      </w:r>
      <w:proofErr w:type="spellEnd"/>
      <w:r>
        <w:rPr>
          <w:szCs w:val="24"/>
        </w:rPr>
        <w:t>. Por fim, a variável de interação (</w:t>
      </w:r>
      <w:r w:rsidRPr="00C52100">
        <w:rPr>
          <w:i/>
          <w:szCs w:val="24"/>
        </w:rPr>
        <w:t>F</w:t>
      </w:r>
      <w:r w:rsidRPr="00C52100">
        <w:rPr>
          <w:i/>
          <w:szCs w:val="24"/>
          <w:vertAlign w:val="subscript"/>
        </w:rPr>
        <w:t>it</w:t>
      </w:r>
      <w:r>
        <w:rPr>
          <w:szCs w:val="24"/>
        </w:rPr>
        <w:t xml:space="preserve">) e as de interação não foram significativas para a Equação 2. </w:t>
      </w:r>
    </w:p>
    <w:p w:rsidR="00F538D6" w:rsidRDefault="00F538D6" w:rsidP="00F538D6">
      <w:pPr>
        <w:rPr>
          <w:szCs w:val="24"/>
        </w:rPr>
      </w:pPr>
      <w:r>
        <w:rPr>
          <w:szCs w:val="24"/>
        </w:rPr>
        <w:t xml:space="preserve">De modo geral, observa-se que a amostra relacionada às instituições não </w:t>
      </w:r>
      <w:proofErr w:type="spellStart"/>
      <w:r w:rsidRPr="00A46AAE">
        <w:rPr>
          <w:i/>
          <w:szCs w:val="24"/>
        </w:rPr>
        <w:t>Fin</w:t>
      </w:r>
      <w:r>
        <w:rPr>
          <w:i/>
          <w:szCs w:val="24"/>
        </w:rPr>
        <w:t>T</w:t>
      </w:r>
      <w:r w:rsidRPr="00A46AAE">
        <w:rPr>
          <w:i/>
          <w:szCs w:val="24"/>
        </w:rPr>
        <w:t>ech</w:t>
      </w:r>
      <w:r w:rsidR="00D93F27">
        <w:rPr>
          <w:i/>
          <w:szCs w:val="24"/>
        </w:rPr>
        <w:t>s</w:t>
      </w:r>
      <w:proofErr w:type="spellEnd"/>
      <w:r>
        <w:rPr>
          <w:szCs w:val="24"/>
        </w:rPr>
        <w:t xml:space="preserve"> apresentam melhor ajustamento para estimação do </w:t>
      </w:r>
      <w:proofErr w:type="spellStart"/>
      <w:r w:rsidRPr="00604561">
        <w:rPr>
          <w:i/>
          <w:szCs w:val="24"/>
        </w:rPr>
        <w:t>LLP</w:t>
      </w:r>
      <w:r w:rsidRPr="00604561">
        <w:rPr>
          <w:i/>
          <w:vertAlign w:val="subscript"/>
        </w:rPr>
        <w:t>i</w:t>
      </w:r>
      <w:r w:rsidRPr="00887DE2">
        <w:rPr>
          <w:i/>
          <w:vertAlign w:val="subscript"/>
        </w:rPr>
        <w:t>t</w:t>
      </w:r>
      <w:proofErr w:type="spellEnd"/>
      <w:r>
        <w:rPr>
          <w:szCs w:val="24"/>
        </w:rPr>
        <w:t xml:space="preserve">, baseando-se no </w:t>
      </w:r>
      <w:r w:rsidRPr="003D1F4F">
        <w:rPr>
          <w:i/>
          <w:szCs w:val="24"/>
        </w:rPr>
        <w:t>R²</w:t>
      </w:r>
      <w:r>
        <w:rPr>
          <w:szCs w:val="24"/>
        </w:rPr>
        <w:t xml:space="preserve"> ajustados para todas as estimações, o que implica que tais organizações tendem a adotar medidas de gerenciamento de resultados maiores do que as </w:t>
      </w:r>
      <w:proofErr w:type="spellStart"/>
      <w:r w:rsidRPr="00A46AAE">
        <w:rPr>
          <w:i/>
          <w:szCs w:val="24"/>
        </w:rPr>
        <w:t>Fin</w:t>
      </w:r>
      <w:r>
        <w:rPr>
          <w:i/>
          <w:szCs w:val="24"/>
        </w:rPr>
        <w:t>T</w:t>
      </w:r>
      <w:r w:rsidRPr="00A46AAE">
        <w:rPr>
          <w:i/>
          <w:szCs w:val="24"/>
        </w:rPr>
        <w:t>ech</w:t>
      </w:r>
      <w:r w:rsidR="00D93F27">
        <w:rPr>
          <w:i/>
          <w:szCs w:val="24"/>
        </w:rPr>
        <w:t>s</w:t>
      </w:r>
      <w:proofErr w:type="spellEnd"/>
      <w:r w:rsidRPr="003D1F4F">
        <w:rPr>
          <w:szCs w:val="24"/>
        </w:rPr>
        <w:t xml:space="preserve"> analisadas</w:t>
      </w:r>
      <w:r>
        <w:rPr>
          <w:szCs w:val="24"/>
        </w:rPr>
        <w:t xml:space="preserve">, corroborando os resultados auferidos em Peterson e </w:t>
      </w:r>
      <w:proofErr w:type="spellStart"/>
      <w:r>
        <w:rPr>
          <w:szCs w:val="24"/>
        </w:rPr>
        <w:t>Ar</w:t>
      </w:r>
      <w:r w:rsidR="00D93F27">
        <w:rPr>
          <w:szCs w:val="24"/>
        </w:rPr>
        <w:t>u</w:t>
      </w:r>
      <w:r>
        <w:rPr>
          <w:szCs w:val="24"/>
        </w:rPr>
        <w:t>n</w:t>
      </w:r>
      <w:proofErr w:type="spellEnd"/>
      <w:r>
        <w:rPr>
          <w:szCs w:val="24"/>
        </w:rPr>
        <w:t xml:space="preserve"> (2018).</w:t>
      </w:r>
    </w:p>
    <w:p w:rsidR="00F538D6" w:rsidRDefault="00F538D6" w:rsidP="00F538D6">
      <w:pPr>
        <w:rPr>
          <w:szCs w:val="24"/>
        </w:rPr>
      </w:pPr>
    </w:p>
    <w:p w:rsidR="00F538D6" w:rsidRPr="00C839B4" w:rsidRDefault="00F538D6" w:rsidP="00F538D6">
      <w:pPr>
        <w:ind w:firstLine="0"/>
        <w:rPr>
          <w:b/>
          <w:szCs w:val="24"/>
        </w:rPr>
      </w:pPr>
      <w:r>
        <w:rPr>
          <w:b/>
          <w:szCs w:val="24"/>
        </w:rPr>
        <w:t xml:space="preserve">4.3 </w:t>
      </w:r>
      <w:r w:rsidRPr="00C839B4">
        <w:rPr>
          <w:b/>
          <w:szCs w:val="24"/>
        </w:rPr>
        <w:t>An</w:t>
      </w:r>
      <w:r>
        <w:rPr>
          <w:b/>
          <w:szCs w:val="24"/>
        </w:rPr>
        <w:t>á</w:t>
      </w:r>
      <w:r w:rsidRPr="00C839B4">
        <w:rPr>
          <w:b/>
          <w:szCs w:val="24"/>
        </w:rPr>
        <w:t>lise de Sensibil</w:t>
      </w:r>
      <w:r>
        <w:rPr>
          <w:b/>
          <w:szCs w:val="24"/>
        </w:rPr>
        <w:t>i</w:t>
      </w:r>
      <w:r w:rsidRPr="00C839B4">
        <w:rPr>
          <w:b/>
          <w:szCs w:val="24"/>
        </w:rPr>
        <w:t>dade</w:t>
      </w:r>
    </w:p>
    <w:p w:rsidR="00F538D6" w:rsidRDefault="00F538D6" w:rsidP="00F538D6">
      <w:pPr>
        <w:rPr>
          <w:szCs w:val="24"/>
        </w:rPr>
      </w:pPr>
    </w:p>
    <w:p w:rsidR="00F538D6" w:rsidRDefault="00F538D6" w:rsidP="00F538D6">
      <w:pPr>
        <w:rPr>
          <w:szCs w:val="24"/>
        </w:rPr>
      </w:pPr>
      <w:r w:rsidRPr="00C839B4">
        <w:rPr>
          <w:szCs w:val="24"/>
        </w:rPr>
        <w:t>Para</w:t>
      </w:r>
      <w:r>
        <w:rPr>
          <w:szCs w:val="24"/>
        </w:rPr>
        <w:t xml:space="preserve"> essa pesquisa, buscando</w:t>
      </w:r>
      <w:r w:rsidRPr="00C839B4">
        <w:rPr>
          <w:szCs w:val="24"/>
        </w:rPr>
        <w:t xml:space="preserve"> verificar </w:t>
      </w:r>
      <w:r>
        <w:rPr>
          <w:szCs w:val="24"/>
        </w:rPr>
        <w:t>se há</w:t>
      </w:r>
      <w:r w:rsidRPr="00C839B4">
        <w:rPr>
          <w:szCs w:val="24"/>
        </w:rPr>
        <w:t xml:space="preserve"> comportamento discricionário</w:t>
      </w:r>
      <w:r>
        <w:rPr>
          <w:szCs w:val="24"/>
        </w:rPr>
        <w:t xml:space="preserve"> nas </w:t>
      </w:r>
      <w:r w:rsidRPr="00C839B4">
        <w:rPr>
          <w:szCs w:val="24"/>
        </w:rPr>
        <w:t xml:space="preserve">instituições financeiras classificadas como </w:t>
      </w:r>
      <w:proofErr w:type="spellStart"/>
      <w:r w:rsidRPr="00DE734B">
        <w:rPr>
          <w:i/>
          <w:szCs w:val="24"/>
        </w:rPr>
        <w:t>FinTech</w:t>
      </w:r>
      <w:r>
        <w:rPr>
          <w:szCs w:val="24"/>
        </w:rPr>
        <w:t>s</w:t>
      </w:r>
      <w:proofErr w:type="spellEnd"/>
      <w:r w:rsidRPr="00C839B4">
        <w:rPr>
          <w:szCs w:val="24"/>
        </w:rPr>
        <w:t xml:space="preserve"> e não </w:t>
      </w:r>
      <w:proofErr w:type="spellStart"/>
      <w:r w:rsidRPr="00DE734B">
        <w:rPr>
          <w:i/>
          <w:szCs w:val="24"/>
        </w:rPr>
        <w:t>FinTech</w:t>
      </w:r>
      <w:r>
        <w:rPr>
          <w:szCs w:val="24"/>
        </w:rPr>
        <w:t>s</w:t>
      </w:r>
      <w:proofErr w:type="spellEnd"/>
      <w:r>
        <w:rPr>
          <w:szCs w:val="24"/>
        </w:rPr>
        <w:t>,</w:t>
      </w:r>
      <w:r w:rsidRPr="00DE734B">
        <w:rPr>
          <w:szCs w:val="24"/>
        </w:rPr>
        <w:t xml:space="preserve"> </w:t>
      </w:r>
      <w:r>
        <w:rPr>
          <w:szCs w:val="24"/>
        </w:rPr>
        <w:t xml:space="preserve">nessa subseção são analisadas </w:t>
      </w:r>
      <w:r w:rsidRPr="00C839B4">
        <w:rPr>
          <w:szCs w:val="24"/>
        </w:rPr>
        <w:t>as var</w:t>
      </w:r>
      <w:r>
        <w:rPr>
          <w:szCs w:val="24"/>
        </w:rPr>
        <w:t>iá</w:t>
      </w:r>
      <w:r w:rsidRPr="00C839B4">
        <w:rPr>
          <w:szCs w:val="24"/>
        </w:rPr>
        <w:t xml:space="preserve">veis com os </w:t>
      </w:r>
      <w:r w:rsidRPr="00DE734B">
        <w:rPr>
          <w:i/>
          <w:szCs w:val="24"/>
        </w:rPr>
        <w:t>outliers</w:t>
      </w:r>
      <w:r w:rsidRPr="00C839B4">
        <w:rPr>
          <w:szCs w:val="24"/>
        </w:rPr>
        <w:t>.</w:t>
      </w:r>
      <w:r>
        <w:rPr>
          <w:szCs w:val="24"/>
        </w:rPr>
        <w:t xml:space="preserve"> A </w:t>
      </w:r>
      <w:r w:rsidRPr="00C839B4">
        <w:rPr>
          <w:szCs w:val="24"/>
        </w:rPr>
        <w:t xml:space="preserve">pesquisa </w:t>
      </w:r>
      <w:r>
        <w:rPr>
          <w:szCs w:val="24"/>
        </w:rPr>
        <w:t xml:space="preserve">foi </w:t>
      </w:r>
      <w:r w:rsidRPr="00C839B4">
        <w:rPr>
          <w:szCs w:val="24"/>
        </w:rPr>
        <w:t>realiz</w:t>
      </w:r>
      <w:r>
        <w:rPr>
          <w:szCs w:val="24"/>
        </w:rPr>
        <w:t>ada</w:t>
      </w:r>
      <w:r w:rsidRPr="00C839B4">
        <w:rPr>
          <w:szCs w:val="24"/>
        </w:rPr>
        <w:t xml:space="preserve"> </w:t>
      </w:r>
      <w:r>
        <w:rPr>
          <w:szCs w:val="24"/>
        </w:rPr>
        <w:t xml:space="preserve">com </w:t>
      </w:r>
      <w:r w:rsidRPr="00C839B4">
        <w:rPr>
          <w:szCs w:val="24"/>
        </w:rPr>
        <w:t xml:space="preserve">as estimações conforme as Equações 1 e 2, apresentadas na Tabela </w:t>
      </w:r>
      <w:r>
        <w:rPr>
          <w:szCs w:val="24"/>
        </w:rPr>
        <w:t>7</w:t>
      </w:r>
      <w:r w:rsidRPr="00C839B4">
        <w:rPr>
          <w:szCs w:val="24"/>
        </w:rPr>
        <w:t>.</w:t>
      </w:r>
      <w:r>
        <w:rPr>
          <w:szCs w:val="24"/>
        </w:rPr>
        <w:t xml:space="preserve"> Na</w:t>
      </w:r>
      <w:r w:rsidRPr="00C839B4">
        <w:rPr>
          <w:szCs w:val="24"/>
        </w:rPr>
        <w:t xml:space="preserve"> primeira coluna (1), foi estimad</w:t>
      </w:r>
      <w:r>
        <w:rPr>
          <w:szCs w:val="24"/>
        </w:rPr>
        <w:t>a a Equação 1 com base na amostra geral d</w:t>
      </w:r>
      <w:r w:rsidRPr="00C839B4">
        <w:rPr>
          <w:szCs w:val="24"/>
        </w:rPr>
        <w:t xml:space="preserve">as instituições financeiras, afim de identificar a discricionariedade. Nas colunas (2) e (3), respectivamente, são apresentadas as estimações para as amostras das </w:t>
      </w:r>
      <w:proofErr w:type="spellStart"/>
      <w:r w:rsidRPr="00DE734B">
        <w:rPr>
          <w:i/>
          <w:szCs w:val="24"/>
        </w:rPr>
        <w:t>FinTechs</w:t>
      </w:r>
      <w:proofErr w:type="spellEnd"/>
      <w:r>
        <w:rPr>
          <w:szCs w:val="24"/>
        </w:rPr>
        <w:t xml:space="preserve"> e</w:t>
      </w:r>
      <w:r w:rsidRPr="00C839B4">
        <w:rPr>
          <w:szCs w:val="24"/>
        </w:rPr>
        <w:t xml:space="preserve"> não </w:t>
      </w:r>
      <w:proofErr w:type="spellStart"/>
      <w:r w:rsidRPr="00DE734B">
        <w:rPr>
          <w:i/>
          <w:szCs w:val="24"/>
        </w:rPr>
        <w:t>FinTechs</w:t>
      </w:r>
      <w:proofErr w:type="spellEnd"/>
      <w:r w:rsidRPr="00C839B4">
        <w:rPr>
          <w:szCs w:val="24"/>
        </w:rPr>
        <w:t xml:space="preserve">, </w:t>
      </w:r>
      <w:r>
        <w:rPr>
          <w:szCs w:val="24"/>
        </w:rPr>
        <w:t>buscando</w:t>
      </w:r>
      <w:r w:rsidRPr="00C839B4">
        <w:rPr>
          <w:szCs w:val="24"/>
        </w:rPr>
        <w:t xml:space="preserve"> compara</w:t>
      </w:r>
      <w:r>
        <w:rPr>
          <w:szCs w:val="24"/>
        </w:rPr>
        <w:t>r o comportamento oportun</w:t>
      </w:r>
      <w:r w:rsidR="00D93F27">
        <w:rPr>
          <w:szCs w:val="24"/>
        </w:rPr>
        <w:t>i</w:t>
      </w:r>
      <w:r>
        <w:rPr>
          <w:szCs w:val="24"/>
        </w:rPr>
        <w:t>s</w:t>
      </w:r>
      <w:r w:rsidR="00D93F27">
        <w:rPr>
          <w:szCs w:val="24"/>
        </w:rPr>
        <w:t>ta</w:t>
      </w:r>
      <w:r w:rsidRPr="00C839B4">
        <w:rPr>
          <w:szCs w:val="24"/>
        </w:rPr>
        <w:t xml:space="preserve"> desses dois grupos instituições financeiras. Por fim, na coluna (4) é apresentad</w:t>
      </w:r>
      <w:r>
        <w:rPr>
          <w:szCs w:val="24"/>
        </w:rPr>
        <w:t>a</w:t>
      </w:r>
      <w:r w:rsidRPr="00C839B4">
        <w:rPr>
          <w:szCs w:val="24"/>
        </w:rPr>
        <w:t xml:space="preserve"> a estimação dos parâmetros para a Equação 2, na qual inclui um</w:t>
      </w:r>
      <w:r>
        <w:rPr>
          <w:szCs w:val="24"/>
        </w:rPr>
        <w:t>a</w:t>
      </w:r>
      <w:r w:rsidRPr="00C839B4">
        <w:rPr>
          <w:szCs w:val="24"/>
        </w:rPr>
        <w:t xml:space="preserve"> variável para identificar as </w:t>
      </w:r>
      <w:proofErr w:type="spellStart"/>
      <w:r w:rsidRPr="00C839B4">
        <w:rPr>
          <w:szCs w:val="24"/>
        </w:rPr>
        <w:t>IFs</w:t>
      </w:r>
      <w:proofErr w:type="spellEnd"/>
      <w:r w:rsidRPr="00DE734B">
        <w:rPr>
          <w:i/>
          <w:szCs w:val="24"/>
        </w:rPr>
        <w:t xml:space="preserve"> </w:t>
      </w:r>
      <w:proofErr w:type="spellStart"/>
      <w:r w:rsidRPr="00DE734B">
        <w:rPr>
          <w:i/>
          <w:szCs w:val="24"/>
        </w:rPr>
        <w:t>FinTechs</w:t>
      </w:r>
      <w:proofErr w:type="spellEnd"/>
      <w:r w:rsidRPr="00C839B4">
        <w:rPr>
          <w:szCs w:val="24"/>
        </w:rPr>
        <w:t xml:space="preserve"> (</w:t>
      </w:r>
      <w:r w:rsidRPr="003D1F4F">
        <w:rPr>
          <w:i/>
          <w:szCs w:val="24"/>
        </w:rPr>
        <w:t>F</w:t>
      </w:r>
      <w:r w:rsidRPr="003D1F4F">
        <w:rPr>
          <w:i/>
          <w:szCs w:val="24"/>
          <w:vertAlign w:val="subscript"/>
        </w:rPr>
        <w:t>it</w:t>
      </w:r>
      <w:r w:rsidRPr="00C839B4">
        <w:rPr>
          <w:szCs w:val="24"/>
        </w:rPr>
        <w:t xml:space="preserve">) e as duas iterações, também para capturar o comportamento diferente entre </w:t>
      </w:r>
      <w:proofErr w:type="spellStart"/>
      <w:r w:rsidRPr="00DE734B">
        <w:rPr>
          <w:i/>
          <w:szCs w:val="24"/>
        </w:rPr>
        <w:t>FinTechs</w:t>
      </w:r>
      <w:proofErr w:type="spellEnd"/>
      <w:r w:rsidRPr="00C839B4">
        <w:rPr>
          <w:szCs w:val="24"/>
        </w:rPr>
        <w:t xml:space="preserve"> e não </w:t>
      </w:r>
      <w:proofErr w:type="spellStart"/>
      <w:r w:rsidRPr="00DE734B">
        <w:rPr>
          <w:i/>
          <w:szCs w:val="24"/>
        </w:rPr>
        <w:t>FinTechs</w:t>
      </w:r>
      <w:proofErr w:type="spellEnd"/>
      <w:r w:rsidRPr="00C839B4">
        <w:rPr>
          <w:szCs w:val="24"/>
        </w:rPr>
        <w:t>.</w:t>
      </w:r>
    </w:p>
    <w:p w:rsidR="00F538D6" w:rsidRDefault="00F538D6" w:rsidP="00F538D6">
      <w:pPr>
        <w:rPr>
          <w:szCs w:val="24"/>
        </w:rPr>
      </w:pPr>
    </w:p>
    <w:p w:rsidR="00F538D6" w:rsidRPr="00DE734B" w:rsidRDefault="00F538D6" w:rsidP="00F538D6">
      <w:pPr>
        <w:pStyle w:val="Legenda"/>
        <w:keepNext/>
        <w:ind w:firstLine="0"/>
        <w:rPr>
          <w:b w:val="0"/>
        </w:rPr>
      </w:pPr>
      <w:r w:rsidRPr="00DE734B">
        <w:rPr>
          <w:b w:val="0"/>
        </w:rPr>
        <w:t xml:space="preserve">Tabela </w:t>
      </w:r>
      <w:r>
        <w:rPr>
          <w:b w:val="0"/>
        </w:rPr>
        <w:t>7</w:t>
      </w:r>
    </w:p>
    <w:p w:rsidR="00F538D6" w:rsidRPr="00DE734B" w:rsidRDefault="00F538D6" w:rsidP="00F538D6">
      <w:pPr>
        <w:pStyle w:val="Legenda"/>
        <w:keepNext/>
        <w:ind w:firstLine="0"/>
      </w:pPr>
      <w:r w:rsidRPr="00DE734B">
        <w:t xml:space="preserve">Análise de Regressão – Dados Completos - com </w:t>
      </w:r>
      <w:r w:rsidRPr="00DE734B">
        <w:rPr>
          <w:i/>
        </w:rPr>
        <w:t>outliers</w:t>
      </w:r>
    </w:p>
    <w:tbl>
      <w:tblPr>
        <w:tblW w:w="5000" w:type="pct"/>
        <w:jc w:val="center"/>
        <w:tblLayout w:type="fixed"/>
        <w:tblCellMar>
          <w:left w:w="75" w:type="dxa"/>
          <w:right w:w="75" w:type="dxa"/>
        </w:tblCellMar>
        <w:tblLook w:val="0000" w:firstRow="0" w:lastRow="0" w:firstColumn="0" w:lastColumn="0" w:noHBand="0" w:noVBand="0"/>
      </w:tblPr>
      <w:tblGrid>
        <w:gridCol w:w="2372"/>
        <w:gridCol w:w="1529"/>
        <w:gridCol w:w="1529"/>
        <w:gridCol w:w="1987"/>
        <w:gridCol w:w="2138"/>
      </w:tblGrid>
      <w:tr w:rsidR="00F538D6" w:rsidRPr="00C839B4" w:rsidTr="00F538D6">
        <w:trPr>
          <w:jc w:val="center"/>
        </w:trPr>
        <w:tc>
          <w:tcPr>
            <w:tcW w:w="1241" w:type="pct"/>
            <w:tcBorders>
              <w:top w:val="single" w:sz="6" w:space="0" w:color="auto"/>
              <w:left w:val="nil"/>
              <w:bottom w:val="nil"/>
              <w:right w:val="nil"/>
            </w:tcBorders>
          </w:tcPr>
          <w:p w:rsidR="00F538D6" w:rsidRPr="00C839B4" w:rsidRDefault="00F538D6" w:rsidP="00F538D6">
            <w:pPr>
              <w:autoSpaceDE w:val="0"/>
              <w:autoSpaceDN w:val="0"/>
              <w:adjustRightInd w:val="0"/>
              <w:ind w:firstLine="0"/>
              <w:rPr>
                <w:sz w:val="20"/>
              </w:rPr>
            </w:pPr>
          </w:p>
        </w:tc>
        <w:tc>
          <w:tcPr>
            <w:tcW w:w="800" w:type="pct"/>
            <w:tcBorders>
              <w:top w:val="single" w:sz="6" w:space="0" w:color="auto"/>
              <w:left w:val="nil"/>
              <w:bottom w:val="nil"/>
              <w:right w:val="nil"/>
            </w:tcBorders>
          </w:tcPr>
          <w:p w:rsidR="00F538D6" w:rsidRPr="00C839B4" w:rsidRDefault="00F538D6" w:rsidP="00F538D6">
            <w:pPr>
              <w:autoSpaceDE w:val="0"/>
              <w:autoSpaceDN w:val="0"/>
              <w:adjustRightInd w:val="0"/>
              <w:ind w:firstLine="0"/>
              <w:jc w:val="center"/>
              <w:rPr>
                <w:sz w:val="20"/>
              </w:rPr>
            </w:pPr>
            <w:r w:rsidRPr="003B4330">
              <w:rPr>
                <w:b/>
                <w:sz w:val="20"/>
              </w:rPr>
              <w:t>Geral</w:t>
            </w:r>
          </w:p>
        </w:tc>
        <w:tc>
          <w:tcPr>
            <w:tcW w:w="800" w:type="pct"/>
            <w:tcBorders>
              <w:top w:val="single" w:sz="6" w:space="0" w:color="auto"/>
              <w:left w:val="nil"/>
              <w:bottom w:val="nil"/>
              <w:right w:val="nil"/>
            </w:tcBorders>
          </w:tcPr>
          <w:p w:rsidR="00F538D6" w:rsidRPr="00C839B4" w:rsidRDefault="00F538D6" w:rsidP="00F538D6">
            <w:pPr>
              <w:autoSpaceDE w:val="0"/>
              <w:autoSpaceDN w:val="0"/>
              <w:adjustRightInd w:val="0"/>
              <w:ind w:firstLine="0"/>
              <w:jc w:val="center"/>
              <w:rPr>
                <w:sz w:val="20"/>
              </w:rPr>
            </w:pPr>
            <w:proofErr w:type="spellStart"/>
            <w:r w:rsidRPr="00A46AAE">
              <w:rPr>
                <w:b/>
                <w:i/>
                <w:sz w:val="20"/>
              </w:rPr>
              <w:t>Fin</w:t>
            </w:r>
            <w:r>
              <w:rPr>
                <w:b/>
                <w:i/>
                <w:sz w:val="20"/>
              </w:rPr>
              <w:t>T</w:t>
            </w:r>
            <w:r w:rsidRPr="00A46AAE">
              <w:rPr>
                <w:b/>
                <w:i/>
                <w:sz w:val="20"/>
              </w:rPr>
              <w:t>ech</w:t>
            </w:r>
            <w:proofErr w:type="spellEnd"/>
          </w:p>
        </w:tc>
        <w:tc>
          <w:tcPr>
            <w:tcW w:w="1040" w:type="pct"/>
            <w:tcBorders>
              <w:top w:val="single" w:sz="6" w:space="0" w:color="auto"/>
              <w:left w:val="nil"/>
              <w:bottom w:val="nil"/>
              <w:right w:val="nil"/>
            </w:tcBorders>
          </w:tcPr>
          <w:p w:rsidR="00F538D6" w:rsidRPr="00C839B4" w:rsidRDefault="00F538D6" w:rsidP="00F538D6">
            <w:pPr>
              <w:autoSpaceDE w:val="0"/>
              <w:autoSpaceDN w:val="0"/>
              <w:adjustRightInd w:val="0"/>
              <w:ind w:firstLine="0"/>
              <w:jc w:val="center"/>
              <w:rPr>
                <w:sz w:val="20"/>
              </w:rPr>
            </w:pPr>
            <w:r w:rsidRPr="003B4330">
              <w:rPr>
                <w:b/>
                <w:sz w:val="20"/>
              </w:rPr>
              <w:t xml:space="preserve">Não </w:t>
            </w:r>
            <w:proofErr w:type="spellStart"/>
            <w:r w:rsidRPr="00A46AAE">
              <w:rPr>
                <w:b/>
                <w:i/>
                <w:sz w:val="20"/>
              </w:rPr>
              <w:t>Fin</w:t>
            </w:r>
            <w:r>
              <w:rPr>
                <w:b/>
                <w:i/>
                <w:sz w:val="20"/>
              </w:rPr>
              <w:t>T</w:t>
            </w:r>
            <w:r w:rsidRPr="00A46AAE">
              <w:rPr>
                <w:b/>
                <w:i/>
                <w:sz w:val="20"/>
              </w:rPr>
              <w:t>ech</w:t>
            </w:r>
            <w:proofErr w:type="spellEnd"/>
          </w:p>
        </w:tc>
        <w:tc>
          <w:tcPr>
            <w:tcW w:w="1120" w:type="pct"/>
            <w:tcBorders>
              <w:top w:val="single" w:sz="6" w:space="0" w:color="auto"/>
              <w:left w:val="nil"/>
              <w:bottom w:val="nil"/>
              <w:right w:val="nil"/>
            </w:tcBorders>
          </w:tcPr>
          <w:p w:rsidR="00F538D6" w:rsidRPr="00C839B4" w:rsidRDefault="00F538D6" w:rsidP="00F538D6">
            <w:pPr>
              <w:autoSpaceDE w:val="0"/>
              <w:autoSpaceDN w:val="0"/>
              <w:adjustRightInd w:val="0"/>
              <w:ind w:firstLine="0"/>
              <w:jc w:val="center"/>
              <w:rPr>
                <w:sz w:val="20"/>
              </w:rPr>
            </w:pPr>
            <w:proofErr w:type="spellStart"/>
            <w:r w:rsidRPr="003B4330">
              <w:rPr>
                <w:b/>
                <w:sz w:val="20"/>
              </w:rPr>
              <w:t>Dummy</w:t>
            </w:r>
            <w:proofErr w:type="spellEnd"/>
            <w:r w:rsidRPr="003B4330">
              <w:rPr>
                <w:b/>
                <w:sz w:val="20"/>
              </w:rPr>
              <w:t xml:space="preserve"> </w:t>
            </w:r>
            <w:proofErr w:type="spellStart"/>
            <w:r w:rsidRPr="00A46AAE">
              <w:rPr>
                <w:b/>
                <w:i/>
                <w:sz w:val="20"/>
              </w:rPr>
              <w:t>Fin</w:t>
            </w:r>
            <w:r>
              <w:rPr>
                <w:b/>
                <w:i/>
                <w:sz w:val="20"/>
              </w:rPr>
              <w:t>T</w:t>
            </w:r>
            <w:r w:rsidRPr="00A46AAE">
              <w:rPr>
                <w:b/>
                <w:i/>
                <w:sz w:val="20"/>
              </w:rPr>
              <w:t>ech</w:t>
            </w:r>
            <w:proofErr w:type="spellEnd"/>
          </w:p>
        </w:tc>
      </w:tr>
      <w:tr w:rsidR="00F538D6" w:rsidRPr="00C839B4" w:rsidTr="00F538D6">
        <w:trPr>
          <w:jc w:val="center"/>
        </w:trPr>
        <w:tc>
          <w:tcPr>
            <w:tcW w:w="1241" w:type="pct"/>
            <w:tcBorders>
              <w:top w:val="nil"/>
              <w:left w:val="nil"/>
              <w:bottom w:val="single" w:sz="6" w:space="0" w:color="auto"/>
              <w:right w:val="nil"/>
            </w:tcBorders>
          </w:tcPr>
          <w:p w:rsidR="00F538D6" w:rsidRPr="00C839B4" w:rsidRDefault="00F538D6" w:rsidP="00F538D6">
            <w:pPr>
              <w:autoSpaceDE w:val="0"/>
              <w:autoSpaceDN w:val="0"/>
              <w:adjustRightInd w:val="0"/>
              <w:ind w:firstLine="0"/>
              <w:rPr>
                <w:sz w:val="20"/>
              </w:rPr>
            </w:pPr>
          </w:p>
        </w:tc>
        <w:tc>
          <w:tcPr>
            <w:tcW w:w="800" w:type="pct"/>
            <w:tcBorders>
              <w:top w:val="nil"/>
              <w:left w:val="nil"/>
              <w:bottom w:val="single" w:sz="6" w:space="0" w:color="auto"/>
              <w:right w:val="nil"/>
            </w:tcBorders>
          </w:tcPr>
          <w:p w:rsidR="00F538D6" w:rsidRPr="00C839B4" w:rsidRDefault="00F538D6" w:rsidP="00F538D6">
            <w:pPr>
              <w:autoSpaceDE w:val="0"/>
              <w:autoSpaceDN w:val="0"/>
              <w:adjustRightInd w:val="0"/>
              <w:ind w:firstLine="0"/>
              <w:jc w:val="center"/>
              <w:rPr>
                <w:sz w:val="20"/>
              </w:rPr>
            </w:pPr>
            <w:r w:rsidRPr="003B4330">
              <w:rPr>
                <w:b/>
                <w:sz w:val="20"/>
              </w:rPr>
              <w:t>(1)</w:t>
            </w:r>
          </w:p>
        </w:tc>
        <w:tc>
          <w:tcPr>
            <w:tcW w:w="800" w:type="pct"/>
            <w:tcBorders>
              <w:top w:val="nil"/>
              <w:left w:val="nil"/>
              <w:bottom w:val="single" w:sz="6" w:space="0" w:color="auto"/>
              <w:right w:val="nil"/>
            </w:tcBorders>
          </w:tcPr>
          <w:p w:rsidR="00F538D6" w:rsidRPr="00C839B4" w:rsidRDefault="00F538D6" w:rsidP="00F538D6">
            <w:pPr>
              <w:autoSpaceDE w:val="0"/>
              <w:autoSpaceDN w:val="0"/>
              <w:adjustRightInd w:val="0"/>
              <w:ind w:firstLine="0"/>
              <w:jc w:val="center"/>
              <w:rPr>
                <w:sz w:val="20"/>
              </w:rPr>
            </w:pPr>
            <w:r w:rsidRPr="003B4330">
              <w:rPr>
                <w:b/>
                <w:sz w:val="20"/>
              </w:rPr>
              <w:t>(2)</w:t>
            </w:r>
          </w:p>
        </w:tc>
        <w:tc>
          <w:tcPr>
            <w:tcW w:w="1040" w:type="pct"/>
            <w:tcBorders>
              <w:top w:val="nil"/>
              <w:left w:val="nil"/>
              <w:bottom w:val="single" w:sz="6" w:space="0" w:color="auto"/>
              <w:right w:val="nil"/>
            </w:tcBorders>
          </w:tcPr>
          <w:p w:rsidR="00F538D6" w:rsidRPr="00C839B4" w:rsidRDefault="00F538D6" w:rsidP="00F538D6">
            <w:pPr>
              <w:autoSpaceDE w:val="0"/>
              <w:autoSpaceDN w:val="0"/>
              <w:adjustRightInd w:val="0"/>
              <w:ind w:firstLine="0"/>
              <w:jc w:val="center"/>
              <w:rPr>
                <w:sz w:val="20"/>
              </w:rPr>
            </w:pPr>
            <w:r w:rsidRPr="003B4330">
              <w:rPr>
                <w:b/>
                <w:sz w:val="20"/>
              </w:rPr>
              <w:t>(3)</w:t>
            </w:r>
          </w:p>
        </w:tc>
        <w:tc>
          <w:tcPr>
            <w:tcW w:w="1120" w:type="pct"/>
            <w:tcBorders>
              <w:top w:val="nil"/>
              <w:left w:val="nil"/>
              <w:bottom w:val="single" w:sz="6" w:space="0" w:color="auto"/>
              <w:right w:val="nil"/>
            </w:tcBorders>
          </w:tcPr>
          <w:p w:rsidR="00F538D6" w:rsidRPr="00C839B4" w:rsidRDefault="00F538D6" w:rsidP="00F538D6">
            <w:pPr>
              <w:autoSpaceDE w:val="0"/>
              <w:autoSpaceDN w:val="0"/>
              <w:adjustRightInd w:val="0"/>
              <w:ind w:firstLine="0"/>
              <w:jc w:val="center"/>
              <w:rPr>
                <w:sz w:val="20"/>
              </w:rPr>
            </w:pPr>
            <w:r w:rsidRPr="003B4330">
              <w:rPr>
                <w:b/>
                <w:sz w:val="20"/>
              </w:rPr>
              <w:t>(4)</w:t>
            </w:r>
          </w:p>
        </w:tc>
      </w:tr>
      <w:tr w:rsidR="00F538D6" w:rsidRPr="00C839B4" w:rsidTr="00F538D6">
        <w:trPr>
          <w:jc w:val="center"/>
        </w:trPr>
        <w:tc>
          <w:tcPr>
            <w:tcW w:w="1241" w:type="pct"/>
            <w:tcBorders>
              <w:top w:val="nil"/>
              <w:left w:val="nil"/>
              <w:bottom w:val="nil"/>
              <w:right w:val="nil"/>
            </w:tcBorders>
          </w:tcPr>
          <w:p w:rsidR="00F538D6" w:rsidRPr="00C839B4" w:rsidRDefault="00D93F27" w:rsidP="00F538D6">
            <w:pPr>
              <w:autoSpaceDE w:val="0"/>
              <w:autoSpaceDN w:val="0"/>
              <w:adjustRightInd w:val="0"/>
              <w:ind w:firstLine="0"/>
              <w:rPr>
                <w:sz w:val="20"/>
              </w:rPr>
            </w:pPr>
            <w:r>
              <w:rPr>
                <w:sz w:val="20"/>
              </w:rPr>
              <w:t>C</w:t>
            </w:r>
            <w:r w:rsidR="00F538D6" w:rsidRPr="00C839B4">
              <w:rPr>
                <w:sz w:val="20"/>
              </w:rPr>
              <w:t>onstant</w:t>
            </w:r>
            <w:r w:rsidR="00F538D6">
              <w:rPr>
                <w:sz w:val="20"/>
              </w:rPr>
              <w:t>e</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149**</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139**</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090</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129**</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EBTP</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107***</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092***</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140*</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140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CAR</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sidRPr="00C839B4">
              <w:rPr>
                <w:sz w:val="20"/>
              </w:rPr>
              <w:t>NPL</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229***</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249***</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110***</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110***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LOAN</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001**</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001***</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SIZE</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010***</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010***</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006</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006</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sidRPr="00C839B4">
              <w:rPr>
                <w:sz w:val="20"/>
              </w:rPr>
              <w:t>GDP</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001***</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001**</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F</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0,000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FEBTP</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048</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FCAR</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sidRPr="00C839B4">
              <w:rPr>
                <w:sz w:val="20"/>
              </w:rPr>
              <w:t>FNPL</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139***</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FLOAN</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002*</w:t>
            </w:r>
          </w:p>
        </w:tc>
      </w:tr>
      <w:tr w:rsidR="00F538D6" w:rsidRPr="00C839B4" w:rsidTr="00F538D6">
        <w:trPr>
          <w:jc w:val="center"/>
        </w:trPr>
        <w:tc>
          <w:tcPr>
            <w:tcW w:w="1241" w:type="pct"/>
            <w:tcBorders>
              <w:top w:val="nil"/>
              <w:left w:val="nil"/>
              <w:right w:val="nil"/>
            </w:tcBorders>
          </w:tcPr>
          <w:p w:rsidR="00F538D6" w:rsidRPr="00C839B4" w:rsidRDefault="00F538D6" w:rsidP="00F538D6">
            <w:pPr>
              <w:autoSpaceDE w:val="0"/>
              <w:autoSpaceDN w:val="0"/>
              <w:adjustRightInd w:val="0"/>
              <w:ind w:firstLine="0"/>
              <w:rPr>
                <w:sz w:val="20"/>
              </w:rPr>
            </w:pPr>
            <w:r>
              <w:rPr>
                <w:sz w:val="20"/>
              </w:rPr>
              <w:t>FSIZE</w:t>
            </w:r>
          </w:p>
        </w:tc>
        <w:tc>
          <w:tcPr>
            <w:tcW w:w="800" w:type="pct"/>
            <w:tcBorders>
              <w:top w:val="nil"/>
              <w:left w:val="nil"/>
              <w:right w:val="nil"/>
            </w:tcBorders>
          </w:tcPr>
          <w:p w:rsidR="00F538D6" w:rsidRPr="00C839B4" w:rsidRDefault="00F538D6" w:rsidP="00F538D6">
            <w:pPr>
              <w:autoSpaceDE w:val="0"/>
              <w:autoSpaceDN w:val="0"/>
              <w:adjustRightInd w:val="0"/>
              <w:ind w:firstLine="0"/>
              <w:jc w:val="center"/>
              <w:rPr>
                <w:sz w:val="20"/>
              </w:rPr>
            </w:pPr>
          </w:p>
        </w:tc>
        <w:tc>
          <w:tcPr>
            <w:tcW w:w="800" w:type="pct"/>
            <w:tcBorders>
              <w:top w:val="nil"/>
              <w:left w:val="nil"/>
              <w:right w:val="nil"/>
            </w:tcBorders>
          </w:tcPr>
          <w:p w:rsidR="00F538D6" w:rsidRPr="00C839B4" w:rsidRDefault="00F538D6" w:rsidP="00F538D6">
            <w:pPr>
              <w:autoSpaceDE w:val="0"/>
              <w:autoSpaceDN w:val="0"/>
              <w:adjustRightInd w:val="0"/>
              <w:ind w:firstLine="0"/>
              <w:jc w:val="center"/>
              <w:rPr>
                <w:sz w:val="20"/>
              </w:rPr>
            </w:pPr>
          </w:p>
        </w:tc>
        <w:tc>
          <w:tcPr>
            <w:tcW w:w="1040" w:type="pct"/>
            <w:tcBorders>
              <w:top w:val="nil"/>
              <w:left w:val="nil"/>
              <w:right w:val="nil"/>
            </w:tcBorders>
          </w:tcPr>
          <w:p w:rsidR="00F538D6" w:rsidRPr="00C839B4" w:rsidRDefault="00F538D6" w:rsidP="00F538D6">
            <w:pPr>
              <w:autoSpaceDE w:val="0"/>
              <w:autoSpaceDN w:val="0"/>
              <w:adjustRightInd w:val="0"/>
              <w:ind w:firstLine="0"/>
              <w:jc w:val="center"/>
              <w:rPr>
                <w:sz w:val="20"/>
              </w:rPr>
            </w:pPr>
          </w:p>
        </w:tc>
        <w:tc>
          <w:tcPr>
            <w:tcW w:w="1120" w:type="pct"/>
            <w:tcBorders>
              <w:top w:val="nil"/>
              <w:left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005</w:t>
            </w:r>
          </w:p>
        </w:tc>
      </w:tr>
      <w:tr w:rsidR="00F538D6" w:rsidRPr="00C839B4" w:rsidTr="00F538D6">
        <w:trPr>
          <w:jc w:val="center"/>
        </w:trPr>
        <w:tc>
          <w:tcPr>
            <w:tcW w:w="1241" w:type="pct"/>
            <w:tcBorders>
              <w:top w:val="nil"/>
              <w:left w:val="nil"/>
              <w:bottom w:val="single" w:sz="4" w:space="0" w:color="auto"/>
              <w:right w:val="nil"/>
            </w:tcBorders>
          </w:tcPr>
          <w:p w:rsidR="00F538D6" w:rsidRDefault="00F538D6" w:rsidP="00F538D6">
            <w:pPr>
              <w:autoSpaceDE w:val="0"/>
              <w:autoSpaceDN w:val="0"/>
              <w:adjustRightInd w:val="0"/>
              <w:ind w:firstLine="0"/>
              <w:rPr>
                <w:sz w:val="20"/>
              </w:rPr>
            </w:pPr>
            <w:r w:rsidRPr="00C839B4">
              <w:rPr>
                <w:sz w:val="20"/>
              </w:rPr>
              <w:lastRenderedPageBreak/>
              <w:t>FGDP</w:t>
            </w:r>
          </w:p>
          <w:p w:rsidR="00F538D6" w:rsidRPr="00C839B4" w:rsidRDefault="00F538D6" w:rsidP="00F538D6">
            <w:pPr>
              <w:autoSpaceDE w:val="0"/>
              <w:autoSpaceDN w:val="0"/>
              <w:adjustRightInd w:val="0"/>
              <w:ind w:firstLine="0"/>
              <w:rPr>
                <w:sz w:val="10"/>
                <w:szCs w:val="10"/>
              </w:rPr>
            </w:pPr>
          </w:p>
        </w:tc>
        <w:tc>
          <w:tcPr>
            <w:tcW w:w="800" w:type="pct"/>
            <w:tcBorders>
              <w:top w:val="nil"/>
              <w:left w:val="nil"/>
              <w:bottom w:val="single" w:sz="4" w:space="0" w:color="auto"/>
              <w:right w:val="nil"/>
            </w:tcBorders>
          </w:tcPr>
          <w:p w:rsidR="00F538D6" w:rsidRPr="00C839B4" w:rsidRDefault="00F538D6" w:rsidP="00F538D6">
            <w:pPr>
              <w:autoSpaceDE w:val="0"/>
              <w:autoSpaceDN w:val="0"/>
              <w:adjustRightInd w:val="0"/>
              <w:ind w:firstLine="0"/>
              <w:jc w:val="center"/>
              <w:rPr>
                <w:sz w:val="20"/>
              </w:rPr>
            </w:pPr>
          </w:p>
        </w:tc>
        <w:tc>
          <w:tcPr>
            <w:tcW w:w="800" w:type="pct"/>
            <w:tcBorders>
              <w:top w:val="nil"/>
              <w:left w:val="nil"/>
              <w:bottom w:val="single" w:sz="4" w:space="0" w:color="auto"/>
              <w:right w:val="nil"/>
            </w:tcBorders>
          </w:tcPr>
          <w:p w:rsidR="00F538D6" w:rsidRPr="00C839B4" w:rsidRDefault="00F538D6" w:rsidP="00F538D6">
            <w:pPr>
              <w:autoSpaceDE w:val="0"/>
              <w:autoSpaceDN w:val="0"/>
              <w:adjustRightInd w:val="0"/>
              <w:ind w:firstLine="0"/>
              <w:jc w:val="center"/>
              <w:rPr>
                <w:sz w:val="20"/>
              </w:rPr>
            </w:pPr>
          </w:p>
        </w:tc>
        <w:tc>
          <w:tcPr>
            <w:tcW w:w="1040" w:type="pct"/>
            <w:tcBorders>
              <w:top w:val="nil"/>
              <w:left w:val="nil"/>
              <w:bottom w:val="single" w:sz="4" w:space="0" w:color="auto"/>
              <w:right w:val="nil"/>
            </w:tcBorders>
          </w:tcPr>
          <w:p w:rsidR="00F538D6" w:rsidRPr="00C839B4" w:rsidRDefault="00F538D6" w:rsidP="00F538D6">
            <w:pPr>
              <w:autoSpaceDE w:val="0"/>
              <w:autoSpaceDN w:val="0"/>
              <w:adjustRightInd w:val="0"/>
              <w:ind w:firstLine="0"/>
              <w:jc w:val="center"/>
              <w:rPr>
                <w:sz w:val="20"/>
              </w:rPr>
            </w:pPr>
          </w:p>
        </w:tc>
        <w:tc>
          <w:tcPr>
            <w:tcW w:w="1120" w:type="pct"/>
            <w:tcBorders>
              <w:top w:val="nil"/>
              <w:left w:val="nil"/>
              <w:bottom w:val="single" w:sz="4" w:space="0" w:color="auto"/>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001</w:t>
            </w:r>
          </w:p>
        </w:tc>
      </w:tr>
      <w:tr w:rsidR="00F538D6" w:rsidRPr="00C839B4" w:rsidTr="00F538D6">
        <w:trPr>
          <w:jc w:val="center"/>
        </w:trPr>
        <w:tc>
          <w:tcPr>
            <w:tcW w:w="1241" w:type="pct"/>
            <w:tcBorders>
              <w:top w:val="single" w:sz="4" w:space="0" w:color="auto"/>
              <w:left w:val="nil"/>
              <w:bottom w:val="nil"/>
              <w:right w:val="nil"/>
            </w:tcBorders>
          </w:tcPr>
          <w:p w:rsidR="00F538D6" w:rsidRPr="00C839B4" w:rsidRDefault="00F538D6" w:rsidP="00F538D6">
            <w:pPr>
              <w:autoSpaceDE w:val="0"/>
              <w:autoSpaceDN w:val="0"/>
              <w:adjustRightInd w:val="0"/>
              <w:ind w:firstLine="0"/>
              <w:rPr>
                <w:sz w:val="20"/>
              </w:rPr>
            </w:pPr>
            <w:r w:rsidRPr="009134CE">
              <w:rPr>
                <w:sz w:val="20"/>
              </w:rPr>
              <w:t>Observa</w:t>
            </w:r>
            <w:r>
              <w:rPr>
                <w:sz w:val="20"/>
              </w:rPr>
              <w:t>ções</w:t>
            </w:r>
          </w:p>
        </w:tc>
        <w:tc>
          <w:tcPr>
            <w:tcW w:w="800" w:type="pct"/>
            <w:tcBorders>
              <w:top w:val="single" w:sz="4" w:space="0" w:color="auto"/>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1</w:t>
            </w:r>
            <w:r>
              <w:rPr>
                <w:sz w:val="20"/>
              </w:rPr>
              <w:t>.</w:t>
            </w:r>
            <w:r w:rsidRPr="00C839B4">
              <w:rPr>
                <w:sz w:val="20"/>
              </w:rPr>
              <w:t>0</w:t>
            </w:r>
            <w:r w:rsidR="00D93F27">
              <w:rPr>
                <w:sz w:val="20"/>
              </w:rPr>
              <w:t>90</w:t>
            </w:r>
          </w:p>
        </w:tc>
        <w:tc>
          <w:tcPr>
            <w:tcW w:w="800" w:type="pct"/>
            <w:tcBorders>
              <w:top w:val="single" w:sz="4" w:space="0" w:color="auto"/>
              <w:left w:val="nil"/>
              <w:bottom w:val="nil"/>
              <w:right w:val="nil"/>
            </w:tcBorders>
          </w:tcPr>
          <w:p w:rsidR="00F538D6" w:rsidRPr="00C839B4" w:rsidRDefault="00D93F27" w:rsidP="00F538D6">
            <w:pPr>
              <w:autoSpaceDE w:val="0"/>
              <w:autoSpaceDN w:val="0"/>
              <w:adjustRightInd w:val="0"/>
              <w:ind w:firstLine="0"/>
              <w:jc w:val="center"/>
              <w:rPr>
                <w:sz w:val="20"/>
              </w:rPr>
            </w:pPr>
            <w:r>
              <w:rPr>
                <w:sz w:val="20"/>
              </w:rPr>
              <w:t>852</w:t>
            </w:r>
          </w:p>
        </w:tc>
        <w:tc>
          <w:tcPr>
            <w:tcW w:w="1040" w:type="pct"/>
            <w:tcBorders>
              <w:top w:val="single" w:sz="4" w:space="0" w:color="auto"/>
              <w:left w:val="nil"/>
              <w:bottom w:val="nil"/>
              <w:right w:val="nil"/>
            </w:tcBorders>
          </w:tcPr>
          <w:p w:rsidR="00F538D6" w:rsidRPr="00C839B4" w:rsidRDefault="00D93F27" w:rsidP="00F538D6">
            <w:pPr>
              <w:autoSpaceDE w:val="0"/>
              <w:autoSpaceDN w:val="0"/>
              <w:adjustRightInd w:val="0"/>
              <w:ind w:firstLine="0"/>
              <w:jc w:val="center"/>
              <w:rPr>
                <w:sz w:val="20"/>
              </w:rPr>
            </w:pPr>
            <w:r>
              <w:rPr>
                <w:sz w:val="20"/>
              </w:rPr>
              <w:t>238</w:t>
            </w:r>
          </w:p>
        </w:tc>
        <w:tc>
          <w:tcPr>
            <w:tcW w:w="1120" w:type="pct"/>
            <w:tcBorders>
              <w:top w:val="single" w:sz="4" w:space="0" w:color="auto"/>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1</w:t>
            </w:r>
            <w:r>
              <w:rPr>
                <w:sz w:val="20"/>
              </w:rPr>
              <w:t>.</w:t>
            </w:r>
            <w:r w:rsidRPr="00C839B4">
              <w:rPr>
                <w:sz w:val="20"/>
              </w:rPr>
              <w:t>0</w:t>
            </w:r>
            <w:r w:rsidR="00D93F27">
              <w:rPr>
                <w:sz w:val="20"/>
              </w:rPr>
              <w:t>90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sidRPr="009134CE">
              <w:rPr>
                <w:sz w:val="20"/>
              </w:rPr>
              <w:t>N</w:t>
            </w:r>
            <w:r>
              <w:rPr>
                <w:sz w:val="20"/>
              </w:rPr>
              <w:t>úmeros de</w:t>
            </w:r>
            <w:r w:rsidRPr="009134CE">
              <w:rPr>
                <w:sz w:val="20"/>
              </w:rPr>
              <w:t xml:space="preserve"> </w:t>
            </w:r>
            <w:r>
              <w:rPr>
                <w:sz w:val="20"/>
              </w:rPr>
              <w:t>Firmas</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180</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143</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37</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180</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sidRPr="009134CE">
              <w:rPr>
                <w:sz w:val="20"/>
              </w:rPr>
              <w:t>R</w:t>
            </w:r>
            <w:r>
              <w:rPr>
                <w:sz w:val="20"/>
              </w:rPr>
              <w:t>²</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0,491</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0,513</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0,489</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Pr>
                <w:sz w:val="20"/>
              </w:rPr>
              <w:t>0,512</w:t>
            </w:r>
          </w:p>
        </w:tc>
      </w:tr>
      <w:tr w:rsidR="00F538D6" w:rsidRPr="00C839B4" w:rsidTr="00F538D6">
        <w:trPr>
          <w:jc w:val="center"/>
        </w:trPr>
        <w:tc>
          <w:tcPr>
            <w:tcW w:w="1241" w:type="pct"/>
            <w:tcBorders>
              <w:top w:val="nil"/>
              <w:left w:val="nil"/>
              <w:bottom w:val="nil"/>
              <w:right w:val="nil"/>
            </w:tcBorders>
          </w:tcPr>
          <w:p w:rsidR="00F538D6" w:rsidRPr="00C839B4" w:rsidRDefault="00F538D6" w:rsidP="00F538D6">
            <w:pPr>
              <w:autoSpaceDE w:val="0"/>
              <w:autoSpaceDN w:val="0"/>
              <w:adjustRightInd w:val="0"/>
              <w:ind w:firstLine="0"/>
              <w:rPr>
                <w:sz w:val="20"/>
              </w:rPr>
            </w:pPr>
            <w:r>
              <w:rPr>
                <w:sz w:val="20"/>
              </w:rPr>
              <w:t>R² a</w:t>
            </w:r>
            <w:r w:rsidRPr="009134CE">
              <w:rPr>
                <w:sz w:val="20"/>
              </w:rPr>
              <w:t>j</w:t>
            </w:r>
            <w:r>
              <w:rPr>
                <w:sz w:val="20"/>
              </w:rPr>
              <w:t>ustado</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379</w:t>
            </w:r>
          </w:p>
        </w:tc>
        <w:tc>
          <w:tcPr>
            <w:tcW w:w="80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404</w:t>
            </w:r>
          </w:p>
        </w:tc>
        <w:tc>
          <w:tcPr>
            <w:tcW w:w="104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363</w:t>
            </w:r>
          </w:p>
        </w:tc>
        <w:tc>
          <w:tcPr>
            <w:tcW w:w="1120" w:type="pct"/>
            <w:tcBorders>
              <w:top w:val="nil"/>
              <w:left w:val="nil"/>
              <w:bottom w:val="nil"/>
              <w:right w:val="nil"/>
            </w:tcBorders>
          </w:tcPr>
          <w:p w:rsidR="00F538D6" w:rsidRPr="00C839B4" w:rsidRDefault="00F538D6" w:rsidP="00F538D6">
            <w:pPr>
              <w:autoSpaceDE w:val="0"/>
              <w:autoSpaceDN w:val="0"/>
              <w:adjustRightInd w:val="0"/>
              <w:ind w:firstLine="0"/>
              <w:jc w:val="center"/>
              <w:rPr>
                <w:sz w:val="20"/>
              </w:rPr>
            </w:pPr>
            <w:r w:rsidRPr="00C839B4">
              <w:rPr>
                <w:sz w:val="20"/>
              </w:rPr>
              <w:t>0</w:t>
            </w:r>
            <w:r>
              <w:rPr>
                <w:sz w:val="20"/>
              </w:rPr>
              <w:t>,</w:t>
            </w:r>
            <w:r w:rsidRPr="00C839B4">
              <w:rPr>
                <w:sz w:val="20"/>
              </w:rPr>
              <w:t>400</w:t>
            </w:r>
          </w:p>
        </w:tc>
      </w:tr>
      <w:tr w:rsidR="00F538D6" w:rsidRPr="00C839B4" w:rsidTr="00F538D6">
        <w:tblPrEx>
          <w:tblBorders>
            <w:bottom w:val="single" w:sz="6" w:space="0" w:color="auto"/>
          </w:tblBorders>
        </w:tblPrEx>
        <w:trPr>
          <w:jc w:val="center"/>
        </w:trPr>
        <w:tc>
          <w:tcPr>
            <w:tcW w:w="1241" w:type="pct"/>
            <w:tcBorders>
              <w:top w:val="nil"/>
              <w:left w:val="nil"/>
              <w:bottom w:val="single" w:sz="6" w:space="0" w:color="auto"/>
              <w:right w:val="nil"/>
            </w:tcBorders>
          </w:tcPr>
          <w:p w:rsidR="00F538D6" w:rsidRPr="00C839B4" w:rsidRDefault="00F538D6" w:rsidP="00F538D6">
            <w:pPr>
              <w:autoSpaceDE w:val="0"/>
              <w:autoSpaceDN w:val="0"/>
              <w:adjustRightInd w:val="0"/>
              <w:ind w:firstLine="0"/>
              <w:rPr>
                <w:sz w:val="20"/>
              </w:rPr>
            </w:pPr>
            <w:r w:rsidRPr="009134CE">
              <w:rPr>
                <w:sz w:val="20"/>
              </w:rPr>
              <w:t xml:space="preserve">F </w:t>
            </w:r>
            <w:proofErr w:type="spellStart"/>
            <w:r w:rsidRPr="009134CE">
              <w:rPr>
                <w:sz w:val="20"/>
              </w:rPr>
              <w:t>test</w:t>
            </w:r>
            <w:proofErr w:type="spellEnd"/>
          </w:p>
        </w:tc>
        <w:tc>
          <w:tcPr>
            <w:tcW w:w="800" w:type="pct"/>
            <w:tcBorders>
              <w:top w:val="nil"/>
              <w:left w:val="nil"/>
              <w:bottom w:val="single" w:sz="6" w:space="0" w:color="auto"/>
              <w:right w:val="nil"/>
            </w:tcBorders>
          </w:tcPr>
          <w:p w:rsidR="00F538D6" w:rsidRPr="00C839B4" w:rsidRDefault="00F538D6" w:rsidP="00F538D6">
            <w:pPr>
              <w:autoSpaceDE w:val="0"/>
              <w:autoSpaceDN w:val="0"/>
              <w:adjustRightInd w:val="0"/>
              <w:ind w:firstLine="0"/>
              <w:jc w:val="center"/>
              <w:rPr>
                <w:sz w:val="20"/>
              </w:rPr>
            </w:pPr>
            <w:r w:rsidRPr="00C839B4">
              <w:rPr>
                <w:sz w:val="20"/>
              </w:rPr>
              <w:t>135</w:t>
            </w:r>
            <w:r>
              <w:rPr>
                <w:sz w:val="20"/>
              </w:rPr>
              <w:t>,</w:t>
            </w:r>
            <w:r w:rsidRPr="00C839B4">
              <w:rPr>
                <w:sz w:val="20"/>
              </w:rPr>
              <w:t>477</w:t>
            </w:r>
          </w:p>
        </w:tc>
        <w:tc>
          <w:tcPr>
            <w:tcW w:w="800" w:type="pct"/>
            <w:tcBorders>
              <w:top w:val="nil"/>
              <w:left w:val="nil"/>
              <w:bottom w:val="single" w:sz="6" w:space="0" w:color="auto"/>
              <w:right w:val="nil"/>
            </w:tcBorders>
          </w:tcPr>
          <w:p w:rsidR="00F538D6" w:rsidRPr="00C839B4" w:rsidRDefault="00F538D6" w:rsidP="00F538D6">
            <w:pPr>
              <w:autoSpaceDE w:val="0"/>
              <w:autoSpaceDN w:val="0"/>
              <w:adjustRightInd w:val="0"/>
              <w:ind w:firstLine="0"/>
              <w:jc w:val="center"/>
              <w:rPr>
                <w:sz w:val="20"/>
              </w:rPr>
            </w:pPr>
            <w:r w:rsidRPr="00C839B4">
              <w:rPr>
                <w:sz w:val="20"/>
              </w:rPr>
              <w:t>116</w:t>
            </w:r>
            <w:r>
              <w:rPr>
                <w:sz w:val="20"/>
              </w:rPr>
              <w:t>,</w:t>
            </w:r>
            <w:r w:rsidRPr="00C839B4">
              <w:rPr>
                <w:sz w:val="20"/>
              </w:rPr>
              <w:t>765</w:t>
            </w:r>
          </w:p>
        </w:tc>
        <w:tc>
          <w:tcPr>
            <w:tcW w:w="1040" w:type="pct"/>
            <w:tcBorders>
              <w:top w:val="nil"/>
              <w:left w:val="nil"/>
              <w:bottom w:val="single" w:sz="6" w:space="0" w:color="auto"/>
              <w:right w:val="nil"/>
            </w:tcBorders>
          </w:tcPr>
          <w:p w:rsidR="00F538D6" w:rsidRPr="00C839B4" w:rsidRDefault="00F538D6" w:rsidP="00F538D6">
            <w:pPr>
              <w:autoSpaceDE w:val="0"/>
              <w:autoSpaceDN w:val="0"/>
              <w:adjustRightInd w:val="0"/>
              <w:ind w:firstLine="0"/>
              <w:jc w:val="center"/>
              <w:rPr>
                <w:sz w:val="20"/>
              </w:rPr>
            </w:pPr>
            <w:r w:rsidRPr="00C839B4">
              <w:rPr>
                <w:sz w:val="20"/>
              </w:rPr>
              <w:t>27</w:t>
            </w:r>
            <w:r>
              <w:rPr>
                <w:sz w:val="20"/>
              </w:rPr>
              <w:t>,</w:t>
            </w:r>
            <w:r w:rsidRPr="00C839B4">
              <w:rPr>
                <w:sz w:val="20"/>
              </w:rPr>
              <w:t>137</w:t>
            </w:r>
          </w:p>
        </w:tc>
        <w:tc>
          <w:tcPr>
            <w:tcW w:w="1120" w:type="pct"/>
            <w:tcBorders>
              <w:top w:val="nil"/>
              <w:left w:val="nil"/>
              <w:bottom w:val="single" w:sz="6" w:space="0" w:color="auto"/>
              <w:right w:val="nil"/>
            </w:tcBorders>
          </w:tcPr>
          <w:p w:rsidR="00F538D6" w:rsidRPr="00C839B4" w:rsidRDefault="00F538D6" w:rsidP="00F538D6">
            <w:pPr>
              <w:autoSpaceDE w:val="0"/>
              <w:autoSpaceDN w:val="0"/>
              <w:adjustRightInd w:val="0"/>
              <w:ind w:firstLine="0"/>
              <w:jc w:val="center"/>
              <w:rPr>
                <w:sz w:val="20"/>
              </w:rPr>
            </w:pPr>
            <w:r w:rsidRPr="00C839B4">
              <w:rPr>
                <w:sz w:val="20"/>
              </w:rPr>
              <w:t>73</w:t>
            </w:r>
            <w:r>
              <w:rPr>
                <w:sz w:val="20"/>
              </w:rPr>
              <w:t>,</w:t>
            </w:r>
            <w:r w:rsidRPr="00C839B4">
              <w:rPr>
                <w:sz w:val="20"/>
              </w:rPr>
              <w:t>087</w:t>
            </w:r>
          </w:p>
        </w:tc>
      </w:tr>
    </w:tbl>
    <w:p w:rsidR="00F538D6" w:rsidRPr="00A24569" w:rsidRDefault="00F538D6" w:rsidP="00F538D6">
      <w:pPr>
        <w:ind w:right="1986" w:firstLine="0"/>
        <w:rPr>
          <w:sz w:val="20"/>
        </w:rPr>
      </w:pPr>
      <w:r w:rsidRPr="001B125D">
        <w:rPr>
          <w:b/>
          <w:sz w:val="20"/>
        </w:rPr>
        <w:t>Nota</w:t>
      </w:r>
      <w:r>
        <w:rPr>
          <w:b/>
          <w:sz w:val="20"/>
        </w:rPr>
        <w:t xml:space="preserve">. </w:t>
      </w:r>
      <w:r>
        <w:rPr>
          <w:sz w:val="20"/>
        </w:rPr>
        <w:t xml:space="preserve">Fonte: </w:t>
      </w:r>
      <w:r w:rsidRPr="00BC2BB2">
        <w:rPr>
          <w:sz w:val="20"/>
        </w:rPr>
        <w:t>Elaborada a partir de dados da pesquisa.</w:t>
      </w:r>
    </w:p>
    <w:p w:rsidR="00F538D6" w:rsidRDefault="00F538D6" w:rsidP="00F538D6">
      <w:pPr>
        <w:ind w:right="1986" w:firstLine="0"/>
        <w:rPr>
          <w:sz w:val="20"/>
        </w:rPr>
      </w:pPr>
      <w:r w:rsidRPr="00A24569">
        <w:rPr>
          <w:sz w:val="20"/>
        </w:rPr>
        <w:t>***</w:t>
      </w:r>
      <w:r>
        <w:rPr>
          <w:sz w:val="20"/>
        </w:rPr>
        <w:t xml:space="preserve">, </w:t>
      </w:r>
      <w:r w:rsidRPr="00A24569">
        <w:rPr>
          <w:sz w:val="20"/>
        </w:rPr>
        <w:t>**</w:t>
      </w:r>
      <w:r>
        <w:rPr>
          <w:sz w:val="20"/>
        </w:rPr>
        <w:t xml:space="preserve"> e </w:t>
      </w:r>
      <w:r w:rsidRPr="00A24569">
        <w:rPr>
          <w:sz w:val="20"/>
        </w:rPr>
        <w:t>*</w:t>
      </w:r>
      <w:r>
        <w:rPr>
          <w:sz w:val="20"/>
        </w:rPr>
        <w:t xml:space="preserve">, </w:t>
      </w:r>
      <w:r w:rsidRPr="00A24569">
        <w:rPr>
          <w:sz w:val="20"/>
        </w:rPr>
        <w:t>significante</w:t>
      </w:r>
      <w:r>
        <w:rPr>
          <w:sz w:val="20"/>
        </w:rPr>
        <w:t>s</w:t>
      </w:r>
      <w:r w:rsidRPr="00A24569">
        <w:rPr>
          <w:sz w:val="20"/>
        </w:rPr>
        <w:t xml:space="preserve"> ao nível de 1%</w:t>
      </w:r>
      <w:r>
        <w:rPr>
          <w:sz w:val="20"/>
        </w:rPr>
        <w:t xml:space="preserve">, 5% e </w:t>
      </w:r>
      <w:r w:rsidRPr="00A24569">
        <w:rPr>
          <w:sz w:val="20"/>
        </w:rPr>
        <w:t>10%</w:t>
      </w:r>
      <w:r>
        <w:rPr>
          <w:sz w:val="20"/>
        </w:rPr>
        <w:t>, respectivamente.</w:t>
      </w:r>
    </w:p>
    <w:p w:rsidR="00F538D6" w:rsidRDefault="00F538D6" w:rsidP="00F538D6">
      <w:pPr>
        <w:autoSpaceDE w:val="0"/>
        <w:autoSpaceDN w:val="0"/>
        <w:adjustRightInd w:val="0"/>
        <w:jc w:val="center"/>
        <w:rPr>
          <w:szCs w:val="24"/>
        </w:rPr>
      </w:pPr>
    </w:p>
    <w:p w:rsidR="00F538D6" w:rsidRPr="00D65475" w:rsidRDefault="00F538D6" w:rsidP="00F538D6">
      <w:pPr>
        <w:autoSpaceDE w:val="0"/>
        <w:autoSpaceDN w:val="0"/>
        <w:adjustRightInd w:val="0"/>
        <w:rPr>
          <w:szCs w:val="24"/>
        </w:rPr>
      </w:pPr>
      <w:r>
        <w:rPr>
          <w:szCs w:val="24"/>
        </w:rPr>
        <w:t xml:space="preserve">Na análise da Tabela 7 é possível verificar que </w:t>
      </w:r>
      <w:r w:rsidRPr="00D65475">
        <w:rPr>
          <w:szCs w:val="24"/>
        </w:rPr>
        <w:t>o lucro antes de impostos e provisões para perdas (</w:t>
      </w:r>
      <w:proofErr w:type="spellStart"/>
      <w:r w:rsidRPr="00D65475">
        <w:rPr>
          <w:szCs w:val="24"/>
        </w:rPr>
        <w:t>EBTPit</w:t>
      </w:r>
      <w:proofErr w:type="spellEnd"/>
      <w:r w:rsidRPr="00D65475">
        <w:rPr>
          <w:szCs w:val="24"/>
        </w:rPr>
        <w:t xml:space="preserve">) </w:t>
      </w:r>
      <w:r>
        <w:rPr>
          <w:szCs w:val="24"/>
        </w:rPr>
        <w:t xml:space="preserve">apresenta </w:t>
      </w:r>
      <w:r w:rsidRPr="00D65475">
        <w:rPr>
          <w:szCs w:val="24"/>
        </w:rPr>
        <w:t xml:space="preserve">coeficiente significativo e negativo para </w:t>
      </w:r>
      <w:r>
        <w:rPr>
          <w:szCs w:val="24"/>
        </w:rPr>
        <w:t xml:space="preserve">as estimações da amostra </w:t>
      </w:r>
      <w:r w:rsidRPr="00D65475">
        <w:rPr>
          <w:szCs w:val="24"/>
        </w:rPr>
        <w:t>Geral</w:t>
      </w:r>
      <w:r>
        <w:rPr>
          <w:szCs w:val="24"/>
        </w:rPr>
        <w:t xml:space="preserve"> (</w:t>
      </w:r>
      <w:r w:rsidRPr="008C5824">
        <w:rPr>
          <w:szCs w:val="24"/>
        </w:rPr>
        <w:t>-0.107</w:t>
      </w:r>
      <w:r>
        <w:rPr>
          <w:szCs w:val="24"/>
        </w:rPr>
        <w:t>)</w:t>
      </w:r>
      <w:r w:rsidRPr="00D65475">
        <w:rPr>
          <w:szCs w:val="24"/>
        </w:rPr>
        <w:t xml:space="preserve">, </w:t>
      </w:r>
      <w:r>
        <w:rPr>
          <w:szCs w:val="24"/>
        </w:rPr>
        <w:t xml:space="preserve">de </w:t>
      </w:r>
      <w:proofErr w:type="spellStart"/>
      <w:r w:rsidRPr="00D65475">
        <w:rPr>
          <w:i/>
          <w:szCs w:val="24"/>
        </w:rPr>
        <w:t>FinTech</w:t>
      </w:r>
      <w:proofErr w:type="spellEnd"/>
      <w:r w:rsidRPr="00D65475">
        <w:rPr>
          <w:szCs w:val="24"/>
        </w:rPr>
        <w:t xml:space="preserve"> </w:t>
      </w:r>
      <w:r>
        <w:rPr>
          <w:szCs w:val="24"/>
        </w:rPr>
        <w:t>(</w:t>
      </w:r>
      <w:r w:rsidRPr="008C5824">
        <w:rPr>
          <w:szCs w:val="24"/>
        </w:rPr>
        <w:t>-0.092</w:t>
      </w:r>
      <w:r>
        <w:rPr>
          <w:szCs w:val="24"/>
        </w:rPr>
        <w:t xml:space="preserve">) </w:t>
      </w:r>
      <w:r w:rsidRPr="00D65475">
        <w:rPr>
          <w:szCs w:val="24"/>
        </w:rPr>
        <w:t xml:space="preserve">e </w:t>
      </w:r>
      <w:r>
        <w:rPr>
          <w:szCs w:val="24"/>
        </w:rPr>
        <w:t xml:space="preserve">de </w:t>
      </w:r>
      <w:r w:rsidRPr="00D65475">
        <w:rPr>
          <w:szCs w:val="24"/>
        </w:rPr>
        <w:t xml:space="preserve">não </w:t>
      </w:r>
      <w:proofErr w:type="spellStart"/>
      <w:r w:rsidRPr="00D65475">
        <w:rPr>
          <w:i/>
          <w:szCs w:val="24"/>
        </w:rPr>
        <w:t>FinTech</w:t>
      </w:r>
      <w:proofErr w:type="spellEnd"/>
      <w:r>
        <w:rPr>
          <w:szCs w:val="24"/>
        </w:rPr>
        <w:t xml:space="preserve"> (</w:t>
      </w:r>
      <w:r w:rsidRPr="008C5824">
        <w:rPr>
          <w:szCs w:val="24"/>
        </w:rPr>
        <w:t>-0.140</w:t>
      </w:r>
      <w:r>
        <w:rPr>
          <w:szCs w:val="24"/>
        </w:rPr>
        <w:t>).</w:t>
      </w:r>
      <w:r w:rsidRPr="00D65475">
        <w:rPr>
          <w:szCs w:val="24"/>
        </w:rPr>
        <w:t xml:space="preserve"> </w:t>
      </w:r>
      <w:r>
        <w:rPr>
          <w:szCs w:val="24"/>
        </w:rPr>
        <w:t xml:space="preserve">Tais </w:t>
      </w:r>
      <w:r w:rsidRPr="00D65475">
        <w:rPr>
          <w:szCs w:val="24"/>
        </w:rPr>
        <w:t xml:space="preserve">resultados </w:t>
      </w:r>
      <w:r>
        <w:rPr>
          <w:szCs w:val="24"/>
        </w:rPr>
        <w:t>possibilitam entender</w:t>
      </w:r>
      <w:r w:rsidRPr="00D65475">
        <w:rPr>
          <w:szCs w:val="24"/>
        </w:rPr>
        <w:t xml:space="preserve"> que</w:t>
      </w:r>
      <w:r>
        <w:rPr>
          <w:szCs w:val="24"/>
        </w:rPr>
        <w:t xml:space="preserve"> em média</w:t>
      </w:r>
      <w:r w:rsidRPr="00D65475">
        <w:rPr>
          <w:szCs w:val="24"/>
        </w:rPr>
        <w:t xml:space="preserve"> a provisão para </w:t>
      </w:r>
      <w:r w:rsidR="00D93F27">
        <w:rPr>
          <w:szCs w:val="24"/>
        </w:rPr>
        <w:t>perdas</w:t>
      </w:r>
      <w:r w:rsidRPr="00D65475">
        <w:rPr>
          <w:szCs w:val="24"/>
        </w:rPr>
        <w:t xml:space="preserve"> de créditos (</w:t>
      </w:r>
      <w:proofErr w:type="spellStart"/>
      <w:r w:rsidRPr="003D1F4F">
        <w:rPr>
          <w:i/>
          <w:szCs w:val="24"/>
        </w:rPr>
        <w:t>LLP</w:t>
      </w:r>
      <w:r w:rsidRPr="003D1F4F">
        <w:rPr>
          <w:i/>
          <w:szCs w:val="24"/>
          <w:vertAlign w:val="subscript"/>
        </w:rPr>
        <w:t>it</w:t>
      </w:r>
      <w:proofErr w:type="spellEnd"/>
      <w:r w:rsidRPr="00D65475">
        <w:rPr>
          <w:szCs w:val="24"/>
        </w:rPr>
        <w:t>) das instituições financeiras (</w:t>
      </w:r>
      <w:proofErr w:type="spellStart"/>
      <w:r w:rsidRPr="00D65475">
        <w:rPr>
          <w:i/>
          <w:szCs w:val="24"/>
        </w:rPr>
        <w:t>FinTechs</w:t>
      </w:r>
      <w:proofErr w:type="spellEnd"/>
      <w:r w:rsidRPr="00D65475">
        <w:rPr>
          <w:szCs w:val="24"/>
        </w:rPr>
        <w:t xml:space="preserve"> ou não)</w:t>
      </w:r>
      <w:r>
        <w:rPr>
          <w:szCs w:val="24"/>
        </w:rPr>
        <w:t xml:space="preserve"> para </w:t>
      </w:r>
      <w:r w:rsidRPr="00D65475">
        <w:rPr>
          <w:szCs w:val="24"/>
        </w:rPr>
        <w:t>o período analisado,</w:t>
      </w:r>
      <w:r>
        <w:rPr>
          <w:szCs w:val="24"/>
        </w:rPr>
        <w:t xml:space="preserve"> se</w:t>
      </w:r>
      <w:r w:rsidRPr="00D65475">
        <w:rPr>
          <w:szCs w:val="24"/>
        </w:rPr>
        <w:t xml:space="preserve"> comportam</w:t>
      </w:r>
      <w:r>
        <w:rPr>
          <w:szCs w:val="24"/>
        </w:rPr>
        <w:t xml:space="preserve"> de forma</w:t>
      </w:r>
      <w:r w:rsidRPr="00D65475">
        <w:rPr>
          <w:szCs w:val="24"/>
        </w:rPr>
        <w:t xml:space="preserve"> invers</w:t>
      </w:r>
      <w:r>
        <w:rPr>
          <w:szCs w:val="24"/>
        </w:rPr>
        <w:t>a</w:t>
      </w:r>
      <w:r w:rsidRPr="00D65475">
        <w:rPr>
          <w:szCs w:val="24"/>
        </w:rPr>
        <w:t xml:space="preserve"> a variável </w:t>
      </w:r>
      <w:proofErr w:type="spellStart"/>
      <w:r w:rsidRPr="003D1F4F">
        <w:rPr>
          <w:i/>
          <w:szCs w:val="24"/>
        </w:rPr>
        <w:t>EBTP</w:t>
      </w:r>
      <w:r w:rsidRPr="003D1F4F">
        <w:rPr>
          <w:i/>
          <w:szCs w:val="24"/>
          <w:vertAlign w:val="subscript"/>
        </w:rPr>
        <w:t>it</w:t>
      </w:r>
      <w:proofErr w:type="spellEnd"/>
      <w:r w:rsidRPr="003D1F4F">
        <w:rPr>
          <w:i/>
          <w:szCs w:val="24"/>
        </w:rPr>
        <w:t>,</w:t>
      </w:r>
      <w:r w:rsidRPr="00D65475">
        <w:rPr>
          <w:szCs w:val="24"/>
        </w:rPr>
        <w:t xml:space="preserve"> ou seja, </w:t>
      </w:r>
      <w:r>
        <w:rPr>
          <w:szCs w:val="24"/>
        </w:rPr>
        <w:t>no momento em que ocorre</w:t>
      </w:r>
      <w:r w:rsidRPr="00D65475">
        <w:rPr>
          <w:szCs w:val="24"/>
        </w:rPr>
        <w:t xml:space="preserve"> um aumento (redução) no lucro antes de impostos e provisões para perdas, a</w:t>
      </w:r>
      <w:r>
        <w:rPr>
          <w:szCs w:val="24"/>
        </w:rPr>
        <w:t>s</w:t>
      </w:r>
      <w:r w:rsidRPr="00D65475">
        <w:rPr>
          <w:szCs w:val="24"/>
        </w:rPr>
        <w:t xml:space="preserve"> </w:t>
      </w:r>
      <w:proofErr w:type="spellStart"/>
      <w:r w:rsidRPr="00D65475">
        <w:rPr>
          <w:szCs w:val="24"/>
        </w:rPr>
        <w:t>IFs</w:t>
      </w:r>
      <w:proofErr w:type="spellEnd"/>
      <w:r w:rsidRPr="00D65475">
        <w:rPr>
          <w:szCs w:val="24"/>
        </w:rPr>
        <w:t xml:space="preserve"> apresenta</w:t>
      </w:r>
      <w:r>
        <w:rPr>
          <w:szCs w:val="24"/>
        </w:rPr>
        <w:t>m</w:t>
      </w:r>
      <w:r w:rsidRPr="00D65475">
        <w:rPr>
          <w:szCs w:val="24"/>
        </w:rPr>
        <w:t xml:space="preserve"> uma redução (aumento) no volume de provisão para </w:t>
      </w:r>
      <w:r w:rsidR="00D93F27">
        <w:rPr>
          <w:szCs w:val="24"/>
        </w:rPr>
        <w:t>perdas</w:t>
      </w:r>
      <w:r w:rsidRPr="00D65475">
        <w:rPr>
          <w:szCs w:val="24"/>
        </w:rPr>
        <w:t xml:space="preserve"> de créditos. </w:t>
      </w:r>
      <w:r>
        <w:rPr>
          <w:szCs w:val="24"/>
        </w:rPr>
        <w:t>O</w:t>
      </w:r>
      <w:r w:rsidRPr="00D65475">
        <w:rPr>
          <w:szCs w:val="24"/>
        </w:rPr>
        <w:t xml:space="preserve"> resultado</w:t>
      </w:r>
      <w:r>
        <w:rPr>
          <w:szCs w:val="24"/>
        </w:rPr>
        <w:t xml:space="preserve"> evidenciado</w:t>
      </w:r>
      <w:r w:rsidRPr="00D65475">
        <w:rPr>
          <w:szCs w:val="24"/>
        </w:rPr>
        <w:t xml:space="preserve"> contraria o esperado, </w:t>
      </w:r>
      <w:r>
        <w:rPr>
          <w:szCs w:val="24"/>
        </w:rPr>
        <w:t>visto que</w:t>
      </w:r>
      <w:r w:rsidRPr="00D65475">
        <w:rPr>
          <w:szCs w:val="24"/>
        </w:rPr>
        <w:t xml:space="preserve"> Araújo </w:t>
      </w:r>
      <w:r w:rsidRPr="003D1F4F">
        <w:rPr>
          <w:i/>
          <w:szCs w:val="24"/>
        </w:rPr>
        <w:t>et al.</w:t>
      </w:r>
      <w:r w:rsidRPr="00D65475">
        <w:rPr>
          <w:szCs w:val="24"/>
        </w:rPr>
        <w:t xml:space="preserve"> (2018) </w:t>
      </w:r>
      <w:r>
        <w:rPr>
          <w:szCs w:val="24"/>
        </w:rPr>
        <w:t>apresentaram</w:t>
      </w:r>
      <w:r w:rsidRPr="00D65475">
        <w:rPr>
          <w:szCs w:val="24"/>
        </w:rPr>
        <w:t xml:space="preserve"> que a variável </w:t>
      </w:r>
      <w:proofErr w:type="spellStart"/>
      <w:r w:rsidRPr="003D1F4F">
        <w:rPr>
          <w:i/>
          <w:szCs w:val="24"/>
        </w:rPr>
        <w:t>EBTP</w:t>
      </w:r>
      <w:r w:rsidRPr="003D1F4F">
        <w:rPr>
          <w:i/>
          <w:szCs w:val="24"/>
          <w:vertAlign w:val="subscript"/>
        </w:rPr>
        <w:t>it</w:t>
      </w:r>
      <w:proofErr w:type="spellEnd"/>
      <w:r w:rsidRPr="00D65475">
        <w:rPr>
          <w:szCs w:val="24"/>
        </w:rPr>
        <w:t xml:space="preserve"> se revelou significativa para instituições financeiras espanholas,</w:t>
      </w:r>
      <w:r>
        <w:rPr>
          <w:szCs w:val="24"/>
        </w:rPr>
        <w:t xml:space="preserve"> o que</w:t>
      </w:r>
      <w:r w:rsidRPr="00D65475">
        <w:rPr>
          <w:szCs w:val="24"/>
        </w:rPr>
        <w:t xml:space="preserve"> suger</w:t>
      </w:r>
      <w:r>
        <w:rPr>
          <w:szCs w:val="24"/>
        </w:rPr>
        <w:t>e</w:t>
      </w:r>
      <w:r w:rsidRPr="00D65475">
        <w:rPr>
          <w:szCs w:val="24"/>
        </w:rPr>
        <w:t xml:space="preserve"> que não existem evidências de práticas </w:t>
      </w:r>
      <w:r>
        <w:rPr>
          <w:szCs w:val="24"/>
        </w:rPr>
        <w:t xml:space="preserve">de gerenciamento de resultados com a provisão para </w:t>
      </w:r>
      <w:r w:rsidR="00D93F27">
        <w:rPr>
          <w:szCs w:val="24"/>
        </w:rPr>
        <w:t>perdas</w:t>
      </w:r>
      <w:r>
        <w:rPr>
          <w:szCs w:val="24"/>
        </w:rPr>
        <w:t xml:space="preserve"> de crédito</w:t>
      </w:r>
      <w:r w:rsidRPr="00D65475">
        <w:rPr>
          <w:szCs w:val="24"/>
        </w:rPr>
        <w:t xml:space="preserve"> pelos bancos espanhóis. </w:t>
      </w:r>
      <w:r>
        <w:rPr>
          <w:szCs w:val="24"/>
        </w:rPr>
        <w:t>E n</w:t>
      </w:r>
      <w:r w:rsidRPr="00D65475">
        <w:rPr>
          <w:szCs w:val="24"/>
        </w:rPr>
        <w:t xml:space="preserve">o modelo da equação 2, com a variável </w:t>
      </w:r>
      <w:proofErr w:type="spellStart"/>
      <w:r w:rsidRPr="008C5824">
        <w:rPr>
          <w:i/>
          <w:szCs w:val="24"/>
        </w:rPr>
        <w:t>dummy</w:t>
      </w:r>
      <w:proofErr w:type="spellEnd"/>
      <w:r w:rsidRPr="00D65475">
        <w:rPr>
          <w:szCs w:val="24"/>
        </w:rPr>
        <w:t xml:space="preserve"> </w:t>
      </w:r>
      <w:r w:rsidRPr="003D1F4F">
        <w:rPr>
          <w:i/>
          <w:szCs w:val="24"/>
        </w:rPr>
        <w:t>F</w:t>
      </w:r>
      <w:r w:rsidRPr="003D1F4F">
        <w:rPr>
          <w:i/>
          <w:vertAlign w:val="subscript"/>
        </w:rPr>
        <w:t>i</w:t>
      </w:r>
      <w:r w:rsidRPr="00887DE2">
        <w:rPr>
          <w:i/>
          <w:vertAlign w:val="subscript"/>
        </w:rPr>
        <w:t>t</w:t>
      </w:r>
      <w:r w:rsidRPr="00D65475">
        <w:rPr>
          <w:szCs w:val="24"/>
        </w:rPr>
        <w:t xml:space="preserve"> e </w:t>
      </w:r>
      <w:r>
        <w:rPr>
          <w:szCs w:val="24"/>
        </w:rPr>
        <w:t xml:space="preserve">as </w:t>
      </w:r>
      <w:r w:rsidRPr="00D65475">
        <w:rPr>
          <w:szCs w:val="24"/>
        </w:rPr>
        <w:t xml:space="preserve">suas interações, o </w:t>
      </w:r>
      <w:proofErr w:type="spellStart"/>
      <w:r w:rsidRPr="003D1F4F">
        <w:rPr>
          <w:i/>
          <w:szCs w:val="24"/>
        </w:rPr>
        <w:t>EBTP</w:t>
      </w:r>
      <w:r w:rsidRPr="003D1F4F">
        <w:rPr>
          <w:i/>
          <w:szCs w:val="24"/>
          <w:vertAlign w:val="subscript"/>
        </w:rPr>
        <w:t>i</w:t>
      </w:r>
      <w:r w:rsidRPr="003D1F4F">
        <w:rPr>
          <w:szCs w:val="24"/>
          <w:vertAlign w:val="subscript"/>
        </w:rPr>
        <w:t>t</w:t>
      </w:r>
      <w:proofErr w:type="spellEnd"/>
      <w:r w:rsidRPr="00D65475">
        <w:rPr>
          <w:szCs w:val="24"/>
        </w:rPr>
        <w:t xml:space="preserve"> </w:t>
      </w:r>
      <w:r>
        <w:rPr>
          <w:szCs w:val="24"/>
        </w:rPr>
        <w:t xml:space="preserve">(0,000) </w:t>
      </w:r>
      <w:r w:rsidRPr="00D65475">
        <w:rPr>
          <w:szCs w:val="24"/>
        </w:rPr>
        <w:t>não foi significativo.</w:t>
      </w:r>
    </w:p>
    <w:p w:rsidR="00F538D6" w:rsidRPr="00D65475" w:rsidRDefault="00F538D6" w:rsidP="00F538D6">
      <w:pPr>
        <w:autoSpaceDE w:val="0"/>
        <w:autoSpaceDN w:val="0"/>
        <w:adjustRightInd w:val="0"/>
        <w:rPr>
          <w:szCs w:val="24"/>
        </w:rPr>
      </w:pPr>
      <w:r w:rsidRPr="00D65475">
        <w:rPr>
          <w:szCs w:val="24"/>
        </w:rPr>
        <w:t xml:space="preserve">Como </w:t>
      </w:r>
      <w:r>
        <w:rPr>
          <w:szCs w:val="24"/>
        </w:rPr>
        <w:t>pode ser observado</w:t>
      </w:r>
      <w:r w:rsidRPr="00D65475">
        <w:rPr>
          <w:szCs w:val="24"/>
        </w:rPr>
        <w:t xml:space="preserve"> na Tabela </w:t>
      </w:r>
      <w:r>
        <w:rPr>
          <w:szCs w:val="24"/>
        </w:rPr>
        <w:t>7</w:t>
      </w:r>
      <w:r w:rsidRPr="00D65475">
        <w:rPr>
          <w:szCs w:val="24"/>
        </w:rPr>
        <w:t xml:space="preserve">, a relação de </w:t>
      </w:r>
      <w:r w:rsidR="00D93F27">
        <w:rPr>
          <w:szCs w:val="24"/>
        </w:rPr>
        <w:t>C</w:t>
      </w:r>
      <w:r w:rsidRPr="00D65475">
        <w:rPr>
          <w:szCs w:val="24"/>
        </w:rPr>
        <w:t>apital de Nível 1 dividido pelo total de ativos ponderados pelo risco (</w:t>
      </w:r>
      <w:proofErr w:type="spellStart"/>
      <w:r w:rsidRPr="003D1F4F">
        <w:rPr>
          <w:i/>
          <w:szCs w:val="24"/>
        </w:rPr>
        <w:t>CAR</w:t>
      </w:r>
      <w:r w:rsidRPr="003D1F4F">
        <w:rPr>
          <w:i/>
          <w:szCs w:val="24"/>
          <w:vertAlign w:val="subscript"/>
        </w:rPr>
        <w:t>it</w:t>
      </w:r>
      <w:proofErr w:type="spellEnd"/>
      <w:r w:rsidRPr="00D65475">
        <w:rPr>
          <w:szCs w:val="24"/>
        </w:rPr>
        <w:t>) não se mostrou significativa</w:t>
      </w:r>
      <w:r>
        <w:rPr>
          <w:szCs w:val="24"/>
        </w:rPr>
        <w:t xml:space="preserve"> (-0,000)</w:t>
      </w:r>
      <w:r w:rsidRPr="00D65475">
        <w:rPr>
          <w:szCs w:val="24"/>
        </w:rPr>
        <w:t xml:space="preserve"> para explicar o comportamento da provisão para</w:t>
      </w:r>
      <w:r w:rsidR="00D93F27">
        <w:rPr>
          <w:szCs w:val="24"/>
        </w:rPr>
        <w:t xml:space="preserve"> perdas</w:t>
      </w:r>
      <w:r w:rsidRPr="00D65475">
        <w:rPr>
          <w:szCs w:val="24"/>
        </w:rPr>
        <w:t xml:space="preserve"> de créditos (</w:t>
      </w:r>
      <w:proofErr w:type="spellStart"/>
      <w:r w:rsidRPr="003D1F4F">
        <w:rPr>
          <w:i/>
          <w:szCs w:val="24"/>
        </w:rPr>
        <w:t>LLP</w:t>
      </w:r>
      <w:r w:rsidRPr="003D1F4F">
        <w:rPr>
          <w:i/>
          <w:szCs w:val="24"/>
          <w:vertAlign w:val="subscript"/>
        </w:rPr>
        <w:t>it</w:t>
      </w:r>
      <w:proofErr w:type="spellEnd"/>
      <w:r w:rsidRPr="00D65475">
        <w:rPr>
          <w:szCs w:val="24"/>
        </w:rPr>
        <w:t xml:space="preserve">), para todas as amostras. </w:t>
      </w:r>
    </w:p>
    <w:p w:rsidR="00F538D6" w:rsidRPr="00D65475" w:rsidRDefault="00F538D6" w:rsidP="00F538D6">
      <w:pPr>
        <w:autoSpaceDE w:val="0"/>
        <w:autoSpaceDN w:val="0"/>
        <w:adjustRightInd w:val="0"/>
        <w:rPr>
          <w:szCs w:val="24"/>
        </w:rPr>
      </w:pPr>
      <w:r>
        <w:rPr>
          <w:szCs w:val="24"/>
        </w:rPr>
        <w:t xml:space="preserve">Por outro lado, </w:t>
      </w:r>
      <w:r w:rsidRPr="00D65475">
        <w:rPr>
          <w:szCs w:val="24"/>
        </w:rPr>
        <w:t>a relação da provisão</w:t>
      </w:r>
      <w:r w:rsidR="00D93F27">
        <w:rPr>
          <w:szCs w:val="24"/>
        </w:rPr>
        <w:t xml:space="preserve"> perdas</w:t>
      </w:r>
      <w:r w:rsidRPr="00D65475">
        <w:rPr>
          <w:szCs w:val="24"/>
        </w:rPr>
        <w:t xml:space="preserve"> de crédito sobre o crédito bruto</w:t>
      </w:r>
      <w:r>
        <w:rPr>
          <w:szCs w:val="24"/>
        </w:rPr>
        <w:t>, representada pel</w:t>
      </w:r>
      <w:r w:rsidRPr="00D65475">
        <w:rPr>
          <w:szCs w:val="24"/>
        </w:rPr>
        <w:t xml:space="preserve">a variável </w:t>
      </w:r>
      <w:proofErr w:type="spellStart"/>
      <w:r w:rsidRPr="003D1F4F">
        <w:rPr>
          <w:i/>
          <w:szCs w:val="24"/>
        </w:rPr>
        <w:t>NPL</w:t>
      </w:r>
      <w:r w:rsidRPr="00887DE2">
        <w:rPr>
          <w:i/>
          <w:vertAlign w:val="subscript"/>
        </w:rPr>
        <w:t>it</w:t>
      </w:r>
      <w:proofErr w:type="spellEnd"/>
      <w:r w:rsidRPr="00D65475">
        <w:rPr>
          <w:szCs w:val="24"/>
        </w:rPr>
        <w:t>, se mostrou significativa para todas as estimações</w:t>
      </w:r>
      <w:r>
        <w:rPr>
          <w:szCs w:val="24"/>
        </w:rPr>
        <w:t xml:space="preserve"> (Geral </w:t>
      </w:r>
      <w:r w:rsidRPr="008C5824">
        <w:rPr>
          <w:szCs w:val="24"/>
        </w:rPr>
        <w:t>0</w:t>
      </w:r>
      <w:r>
        <w:rPr>
          <w:szCs w:val="24"/>
        </w:rPr>
        <w:t>,</w:t>
      </w:r>
      <w:r w:rsidRPr="008C5824">
        <w:rPr>
          <w:szCs w:val="24"/>
        </w:rPr>
        <w:t>229</w:t>
      </w:r>
      <w:r>
        <w:rPr>
          <w:szCs w:val="24"/>
        </w:rPr>
        <w:t xml:space="preserve">; </w:t>
      </w:r>
      <w:proofErr w:type="spellStart"/>
      <w:r>
        <w:rPr>
          <w:i/>
          <w:szCs w:val="24"/>
        </w:rPr>
        <w:t>FinTech</w:t>
      </w:r>
      <w:proofErr w:type="spellEnd"/>
      <w:r>
        <w:rPr>
          <w:szCs w:val="24"/>
        </w:rPr>
        <w:t xml:space="preserve"> </w:t>
      </w:r>
      <w:r w:rsidRPr="008C5824">
        <w:rPr>
          <w:szCs w:val="24"/>
        </w:rPr>
        <w:t>0</w:t>
      </w:r>
      <w:r>
        <w:rPr>
          <w:szCs w:val="24"/>
        </w:rPr>
        <w:t>,</w:t>
      </w:r>
      <w:r w:rsidRPr="008C5824">
        <w:rPr>
          <w:szCs w:val="24"/>
        </w:rPr>
        <w:t>249</w:t>
      </w:r>
      <w:r>
        <w:rPr>
          <w:szCs w:val="24"/>
        </w:rPr>
        <w:t xml:space="preserve">; Não </w:t>
      </w:r>
      <w:proofErr w:type="spellStart"/>
      <w:r w:rsidRPr="008C5824">
        <w:rPr>
          <w:i/>
          <w:szCs w:val="24"/>
        </w:rPr>
        <w:t>FinTech</w:t>
      </w:r>
      <w:proofErr w:type="spellEnd"/>
      <w:r w:rsidRPr="008C5824">
        <w:rPr>
          <w:szCs w:val="24"/>
        </w:rPr>
        <w:t xml:space="preserve"> 0</w:t>
      </w:r>
      <w:r>
        <w:rPr>
          <w:szCs w:val="24"/>
        </w:rPr>
        <w:t>,</w:t>
      </w:r>
      <w:r w:rsidRPr="008C5824">
        <w:rPr>
          <w:szCs w:val="24"/>
        </w:rPr>
        <w:t>110</w:t>
      </w:r>
      <w:r>
        <w:rPr>
          <w:szCs w:val="24"/>
        </w:rPr>
        <w:t>)</w:t>
      </w:r>
      <w:r w:rsidRPr="00D65475">
        <w:rPr>
          <w:szCs w:val="24"/>
        </w:rPr>
        <w:t xml:space="preserve">, a um nível de 1%, inclusive para o modelo da Equação 2. Com base nos resultados dos modelos utilizados nesta pesquisa, pode-se considerar que a </w:t>
      </w:r>
      <w:proofErr w:type="spellStart"/>
      <w:r w:rsidRPr="003D1F4F">
        <w:rPr>
          <w:i/>
          <w:szCs w:val="24"/>
        </w:rPr>
        <w:t>NPL</w:t>
      </w:r>
      <w:r w:rsidRPr="003D1F4F">
        <w:rPr>
          <w:szCs w:val="24"/>
          <w:vertAlign w:val="subscript"/>
        </w:rPr>
        <w:t>it</w:t>
      </w:r>
      <w:proofErr w:type="spellEnd"/>
      <w:r w:rsidRPr="00D65475">
        <w:rPr>
          <w:szCs w:val="24"/>
        </w:rPr>
        <w:t xml:space="preserve"> é o fator economicamente mais determinante para a provisão para</w:t>
      </w:r>
      <w:r w:rsidR="00D93F27">
        <w:rPr>
          <w:szCs w:val="24"/>
        </w:rPr>
        <w:t xml:space="preserve"> perdas</w:t>
      </w:r>
      <w:r w:rsidRPr="00D65475">
        <w:rPr>
          <w:szCs w:val="24"/>
        </w:rPr>
        <w:t xml:space="preserve"> de créditos</w:t>
      </w:r>
      <w:r>
        <w:rPr>
          <w:szCs w:val="24"/>
        </w:rPr>
        <w:t xml:space="preserve">, mesmo com os </w:t>
      </w:r>
      <w:r>
        <w:rPr>
          <w:i/>
          <w:szCs w:val="24"/>
        </w:rPr>
        <w:t>outliers</w:t>
      </w:r>
      <w:r w:rsidRPr="00D65475">
        <w:rPr>
          <w:szCs w:val="24"/>
        </w:rPr>
        <w:t>.</w:t>
      </w:r>
    </w:p>
    <w:p w:rsidR="00F538D6" w:rsidRPr="00D65475" w:rsidRDefault="00F538D6" w:rsidP="00F538D6">
      <w:pPr>
        <w:autoSpaceDE w:val="0"/>
        <w:autoSpaceDN w:val="0"/>
        <w:adjustRightInd w:val="0"/>
        <w:rPr>
          <w:szCs w:val="24"/>
        </w:rPr>
      </w:pPr>
      <w:r>
        <w:rPr>
          <w:szCs w:val="24"/>
        </w:rPr>
        <w:t>É possível verificar que a v</w:t>
      </w:r>
      <w:r w:rsidRPr="00D65475">
        <w:rPr>
          <w:szCs w:val="24"/>
        </w:rPr>
        <w:t xml:space="preserve">ariação das provisões para </w:t>
      </w:r>
      <w:r w:rsidR="00D93F27">
        <w:rPr>
          <w:szCs w:val="24"/>
        </w:rPr>
        <w:t>perdas</w:t>
      </w:r>
      <w:r w:rsidRPr="00D65475">
        <w:rPr>
          <w:szCs w:val="24"/>
        </w:rPr>
        <w:t xml:space="preserve"> de crédito (</w:t>
      </w:r>
      <w:proofErr w:type="spellStart"/>
      <w:r w:rsidRPr="00D93F27">
        <w:rPr>
          <w:i/>
          <w:szCs w:val="24"/>
        </w:rPr>
        <w:t>LOAN</w:t>
      </w:r>
      <w:r w:rsidR="00D93F27" w:rsidRPr="00D93F27">
        <w:rPr>
          <w:i/>
          <w:szCs w:val="24"/>
          <w:vertAlign w:val="subscript"/>
        </w:rPr>
        <w:t>it</w:t>
      </w:r>
      <w:proofErr w:type="spellEnd"/>
      <w:r w:rsidRPr="00D65475">
        <w:rPr>
          <w:szCs w:val="24"/>
        </w:rPr>
        <w:t xml:space="preserve">) se mostrou significativa somente para a estimação com amostra Geral (1) e a das </w:t>
      </w:r>
      <w:proofErr w:type="spellStart"/>
      <w:r w:rsidRPr="00BB5024">
        <w:rPr>
          <w:i/>
          <w:szCs w:val="24"/>
        </w:rPr>
        <w:t>FinTechs</w:t>
      </w:r>
      <w:proofErr w:type="spellEnd"/>
      <w:r>
        <w:rPr>
          <w:szCs w:val="24"/>
        </w:rPr>
        <w:t xml:space="preserve"> (2). Apesar dessa</w:t>
      </w:r>
      <w:r w:rsidRPr="00D65475">
        <w:rPr>
          <w:szCs w:val="24"/>
        </w:rPr>
        <w:t xml:space="preserve"> variável ser estatisticamente significativa, a um nível de 10%, o seu coeficiente não é economicamente significativo para explicar o comportamento da provisão para </w:t>
      </w:r>
      <w:r w:rsidR="00D93F27">
        <w:rPr>
          <w:szCs w:val="24"/>
        </w:rPr>
        <w:t>perdas</w:t>
      </w:r>
      <w:r w:rsidRPr="00D65475">
        <w:rPr>
          <w:szCs w:val="24"/>
        </w:rPr>
        <w:t xml:space="preserve"> de créditos.</w:t>
      </w:r>
    </w:p>
    <w:p w:rsidR="00F538D6" w:rsidRPr="00D65475" w:rsidRDefault="00F538D6" w:rsidP="00F538D6">
      <w:pPr>
        <w:autoSpaceDE w:val="0"/>
        <w:autoSpaceDN w:val="0"/>
        <w:adjustRightInd w:val="0"/>
        <w:rPr>
          <w:szCs w:val="24"/>
        </w:rPr>
      </w:pPr>
      <w:r>
        <w:rPr>
          <w:szCs w:val="24"/>
        </w:rPr>
        <w:t>Para</w:t>
      </w:r>
      <w:r w:rsidRPr="00D65475">
        <w:rPr>
          <w:szCs w:val="24"/>
        </w:rPr>
        <w:t xml:space="preserve"> variáveis </w:t>
      </w:r>
      <w:proofErr w:type="spellStart"/>
      <w:r w:rsidRPr="003D1F4F">
        <w:rPr>
          <w:i/>
          <w:szCs w:val="24"/>
        </w:rPr>
        <w:t>SIZE</w:t>
      </w:r>
      <w:r w:rsidRPr="003D1F4F">
        <w:rPr>
          <w:i/>
          <w:szCs w:val="24"/>
          <w:vertAlign w:val="subscript"/>
        </w:rPr>
        <w:t>it</w:t>
      </w:r>
      <w:proofErr w:type="spellEnd"/>
      <w:r w:rsidRPr="003D1F4F">
        <w:rPr>
          <w:szCs w:val="24"/>
          <w:vertAlign w:val="subscript"/>
        </w:rPr>
        <w:t xml:space="preserve"> </w:t>
      </w:r>
      <w:r w:rsidRPr="00D65475">
        <w:rPr>
          <w:szCs w:val="24"/>
        </w:rPr>
        <w:t xml:space="preserve">(tamanho do ativo) e </w:t>
      </w:r>
      <w:r w:rsidRPr="003D1F4F">
        <w:rPr>
          <w:i/>
          <w:szCs w:val="24"/>
        </w:rPr>
        <w:t>∆</w:t>
      </w:r>
      <w:proofErr w:type="spellStart"/>
      <w:r w:rsidRPr="003D1F4F">
        <w:rPr>
          <w:i/>
          <w:szCs w:val="24"/>
        </w:rPr>
        <w:t>GDP</w:t>
      </w:r>
      <w:r w:rsidRPr="003D1F4F">
        <w:rPr>
          <w:i/>
          <w:szCs w:val="24"/>
          <w:vertAlign w:val="subscript"/>
        </w:rPr>
        <w:t>t</w:t>
      </w:r>
      <w:proofErr w:type="spellEnd"/>
      <w:r w:rsidRPr="00D65475">
        <w:rPr>
          <w:szCs w:val="24"/>
        </w:rPr>
        <w:t xml:space="preserve"> (taxa real de crescimento do produto interno bruto) </w:t>
      </w:r>
      <w:r>
        <w:rPr>
          <w:szCs w:val="24"/>
        </w:rPr>
        <w:t>se mostraram</w:t>
      </w:r>
      <w:r w:rsidRPr="00D65475">
        <w:rPr>
          <w:szCs w:val="24"/>
        </w:rPr>
        <w:t xml:space="preserve">, respectivamente, significativas positiva e negativamente, para as estimações com a amostra Geral e das </w:t>
      </w:r>
      <w:proofErr w:type="spellStart"/>
      <w:r w:rsidRPr="00BB5024">
        <w:rPr>
          <w:i/>
          <w:szCs w:val="24"/>
        </w:rPr>
        <w:t>FinTechs</w:t>
      </w:r>
      <w:proofErr w:type="spellEnd"/>
      <w:r w:rsidRPr="00D65475">
        <w:rPr>
          <w:szCs w:val="24"/>
        </w:rPr>
        <w:t xml:space="preserve">. </w:t>
      </w:r>
      <w:r>
        <w:rPr>
          <w:szCs w:val="24"/>
        </w:rPr>
        <w:t>E</w:t>
      </w:r>
      <w:r w:rsidRPr="00D65475">
        <w:rPr>
          <w:szCs w:val="24"/>
        </w:rPr>
        <w:t xml:space="preserve"> a variável de interação (</w:t>
      </w:r>
      <w:r w:rsidRPr="003D1F4F">
        <w:rPr>
          <w:i/>
          <w:szCs w:val="24"/>
        </w:rPr>
        <w:t>F</w:t>
      </w:r>
      <w:r w:rsidRPr="003D1F4F">
        <w:rPr>
          <w:i/>
          <w:szCs w:val="24"/>
          <w:vertAlign w:val="subscript"/>
        </w:rPr>
        <w:t>it</w:t>
      </w:r>
      <w:r w:rsidRPr="00D65475">
        <w:rPr>
          <w:szCs w:val="24"/>
        </w:rPr>
        <w:t xml:space="preserve">) e as de interação não foram significativas para a Equação 2. </w:t>
      </w:r>
    </w:p>
    <w:p w:rsidR="00F538D6" w:rsidRDefault="00F538D6" w:rsidP="00F538D6">
      <w:pPr>
        <w:rPr>
          <w:szCs w:val="24"/>
        </w:rPr>
      </w:pPr>
      <w:r>
        <w:rPr>
          <w:szCs w:val="24"/>
        </w:rPr>
        <w:t xml:space="preserve">Por fim, verifica-se com a análise de sensibilidade que as empresas não </w:t>
      </w:r>
      <w:proofErr w:type="spellStart"/>
      <w:r w:rsidRPr="00A46AAE">
        <w:rPr>
          <w:i/>
          <w:szCs w:val="24"/>
        </w:rPr>
        <w:t>Fin</w:t>
      </w:r>
      <w:r>
        <w:rPr>
          <w:i/>
          <w:szCs w:val="24"/>
        </w:rPr>
        <w:t>T</w:t>
      </w:r>
      <w:r w:rsidRPr="00A46AAE">
        <w:rPr>
          <w:i/>
          <w:szCs w:val="24"/>
        </w:rPr>
        <w:t>ech</w:t>
      </w:r>
      <w:proofErr w:type="spellEnd"/>
      <w:r>
        <w:rPr>
          <w:szCs w:val="24"/>
        </w:rPr>
        <w:t xml:space="preserve"> ainda apresentam </w:t>
      </w:r>
      <w:r w:rsidRPr="00C839B4">
        <w:rPr>
          <w:szCs w:val="24"/>
        </w:rPr>
        <w:t xml:space="preserve">comportamento </w:t>
      </w:r>
      <w:r>
        <w:rPr>
          <w:szCs w:val="24"/>
        </w:rPr>
        <w:t xml:space="preserve">mais </w:t>
      </w:r>
      <w:r w:rsidRPr="00C839B4">
        <w:rPr>
          <w:szCs w:val="24"/>
        </w:rPr>
        <w:t>discricionário</w:t>
      </w:r>
      <w:r>
        <w:rPr>
          <w:szCs w:val="24"/>
        </w:rPr>
        <w:t xml:space="preserve"> nas </w:t>
      </w:r>
      <w:r w:rsidRPr="00C839B4">
        <w:rPr>
          <w:szCs w:val="24"/>
        </w:rPr>
        <w:t>instituições financeiras</w:t>
      </w:r>
      <w:r>
        <w:rPr>
          <w:szCs w:val="24"/>
        </w:rPr>
        <w:t xml:space="preserve">, tendo em vista o </w:t>
      </w:r>
      <w:r w:rsidRPr="00604561">
        <w:rPr>
          <w:i/>
          <w:szCs w:val="24"/>
        </w:rPr>
        <w:t>R²</w:t>
      </w:r>
      <w:r>
        <w:rPr>
          <w:szCs w:val="24"/>
        </w:rPr>
        <w:t xml:space="preserve"> ajustados para todas as estimações, assim como evidenciado em Peterson e </w:t>
      </w:r>
      <w:proofErr w:type="spellStart"/>
      <w:r>
        <w:rPr>
          <w:szCs w:val="24"/>
        </w:rPr>
        <w:t>Ar</w:t>
      </w:r>
      <w:r w:rsidR="00D93F27">
        <w:rPr>
          <w:szCs w:val="24"/>
        </w:rPr>
        <w:t>u</w:t>
      </w:r>
      <w:r>
        <w:rPr>
          <w:szCs w:val="24"/>
        </w:rPr>
        <w:t>n</w:t>
      </w:r>
      <w:proofErr w:type="spellEnd"/>
      <w:r>
        <w:rPr>
          <w:szCs w:val="24"/>
        </w:rPr>
        <w:t xml:space="preserve"> (2018).</w:t>
      </w:r>
    </w:p>
    <w:p w:rsidR="00F538D6" w:rsidRDefault="00F538D6" w:rsidP="00F538D6">
      <w:pPr>
        <w:rPr>
          <w:szCs w:val="24"/>
        </w:rPr>
      </w:pPr>
    </w:p>
    <w:p w:rsidR="00F538D6" w:rsidRDefault="00F538D6" w:rsidP="00F538D6">
      <w:pPr>
        <w:ind w:firstLine="0"/>
        <w:rPr>
          <w:szCs w:val="24"/>
        </w:rPr>
      </w:pPr>
      <w:r>
        <w:rPr>
          <w:b/>
          <w:szCs w:val="24"/>
        </w:rPr>
        <w:t>5 Considerações Finais</w:t>
      </w:r>
    </w:p>
    <w:p w:rsidR="00F538D6" w:rsidRDefault="00F538D6" w:rsidP="00F538D6">
      <w:pPr>
        <w:rPr>
          <w:szCs w:val="24"/>
        </w:rPr>
      </w:pPr>
    </w:p>
    <w:p w:rsidR="00F538D6" w:rsidRPr="00D16D9E" w:rsidRDefault="00F538D6" w:rsidP="00F538D6">
      <w:pPr>
        <w:rPr>
          <w:szCs w:val="24"/>
        </w:rPr>
      </w:pPr>
      <w:r>
        <w:rPr>
          <w:szCs w:val="24"/>
        </w:rPr>
        <w:t xml:space="preserve">Tendo em vista que </w:t>
      </w:r>
      <w:r w:rsidR="00D93F27">
        <w:rPr>
          <w:szCs w:val="24"/>
        </w:rPr>
        <w:t xml:space="preserve">o </w:t>
      </w:r>
      <w:r>
        <w:rPr>
          <w:szCs w:val="24"/>
        </w:rPr>
        <w:t xml:space="preserve">EM é representado pela modificação intencional </w:t>
      </w:r>
      <w:r w:rsidRPr="008B77F3">
        <w:rPr>
          <w:szCs w:val="24"/>
        </w:rPr>
        <w:t xml:space="preserve">nos resultados contábeis </w:t>
      </w:r>
      <w:r>
        <w:rPr>
          <w:szCs w:val="24"/>
        </w:rPr>
        <w:t xml:space="preserve">e </w:t>
      </w:r>
      <w:r w:rsidRPr="008B77F3">
        <w:rPr>
          <w:szCs w:val="24"/>
        </w:rPr>
        <w:t xml:space="preserve">tem por finalidade </w:t>
      </w:r>
      <w:r>
        <w:rPr>
          <w:szCs w:val="24"/>
        </w:rPr>
        <w:t>atender aos</w:t>
      </w:r>
      <w:r w:rsidRPr="008B77F3">
        <w:rPr>
          <w:szCs w:val="24"/>
        </w:rPr>
        <w:t xml:space="preserve"> </w:t>
      </w:r>
      <w:r>
        <w:rPr>
          <w:szCs w:val="24"/>
        </w:rPr>
        <w:t>objetivos</w:t>
      </w:r>
      <w:r w:rsidRPr="008B77F3">
        <w:rPr>
          <w:szCs w:val="24"/>
        </w:rPr>
        <w:t xml:space="preserve"> particulares, </w:t>
      </w:r>
      <w:r>
        <w:rPr>
          <w:szCs w:val="24"/>
        </w:rPr>
        <w:t xml:space="preserve">onde </w:t>
      </w:r>
      <w:r w:rsidRPr="008B77F3">
        <w:rPr>
          <w:szCs w:val="24"/>
        </w:rPr>
        <w:t>os gestores modificam os resultados contábeis</w:t>
      </w:r>
      <w:r>
        <w:rPr>
          <w:szCs w:val="24"/>
        </w:rPr>
        <w:t>, e</w:t>
      </w:r>
      <w:r w:rsidRPr="00D16D9E">
        <w:rPr>
          <w:szCs w:val="24"/>
        </w:rPr>
        <w:t xml:space="preserve">sta pesquisa buscou analisar o comportamento discricionário das </w:t>
      </w:r>
      <w:proofErr w:type="spellStart"/>
      <w:r w:rsidRPr="00D16D9E">
        <w:rPr>
          <w:i/>
          <w:szCs w:val="24"/>
        </w:rPr>
        <w:t>FinTechs</w:t>
      </w:r>
      <w:proofErr w:type="spellEnd"/>
      <w:r w:rsidRPr="00D16D9E">
        <w:rPr>
          <w:szCs w:val="24"/>
        </w:rPr>
        <w:t xml:space="preserve"> brasileiras, no período de 2009 </w:t>
      </w:r>
      <w:proofErr w:type="gramStart"/>
      <w:r w:rsidRPr="00D16D9E">
        <w:rPr>
          <w:szCs w:val="24"/>
        </w:rPr>
        <w:t>à</w:t>
      </w:r>
      <w:proofErr w:type="gramEnd"/>
      <w:r w:rsidRPr="00D16D9E">
        <w:rPr>
          <w:szCs w:val="24"/>
        </w:rPr>
        <w:t xml:space="preserve"> 2017.</w:t>
      </w:r>
      <w:r w:rsidRPr="00D16D9E">
        <w:t xml:space="preserve"> </w:t>
      </w:r>
      <w:r w:rsidRPr="00D16D9E">
        <w:rPr>
          <w:szCs w:val="24"/>
        </w:rPr>
        <w:t xml:space="preserve">Para tanto, a pesquisa utilizou como variável dependente o total das provisões para </w:t>
      </w:r>
      <w:r w:rsidR="00D93F27">
        <w:rPr>
          <w:szCs w:val="24"/>
        </w:rPr>
        <w:t>perdas</w:t>
      </w:r>
      <w:r w:rsidRPr="00D16D9E">
        <w:rPr>
          <w:szCs w:val="24"/>
        </w:rPr>
        <w:t xml:space="preserve"> de crédito ponderado pelo ativo total e, como variáveis independentes: o lucro antes de impostos e provisões para perdas ponderados pelo ativo total, a relação de </w:t>
      </w:r>
      <w:r w:rsidR="00D93F27">
        <w:rPr>
          <w:szCs w:val="24"/>
        </w:rPr>
        <w:t>C</w:t>
      </w:r>
      <w:r w:rsidRPr="00D16D9E">
        <w:rPr>
          <w:szCs w:val="24"/>
        </w:rPr>
        <w:t xml:space="preserve">apital de Nível 1 dividido pelo total de ativos ponderados pelo risco, a relação da provisão </w:t>
      </w:r>
      <w:r w:rsidR="00D93F27">
        <w:rPr>
          <w:szCs w:val="24"/>
        </w:rPr>
        <w:t>perdas</w:t>
      </w:r>
      <w:r w:rsidRPr="00D16D9E">
        <w:rPr>
          <w:szCs w:val="24"/>
        </w:rPr>
        <w:t xml:space="preserve"> de crédito ponderado pelo crédito bruto, a variação das provisões para </w:t>
      </w:r>
      <w:r w:rsidR="00D93F27">
        <w:rPr>
          <w:szCs w:val="24"/>
        </w:rPr>
        <w:t>perdas</w:t>
      </w:r>
      <w:r w:rsidRPr="00D16D9E">
        <w:rPr>
          <w:szCs w:val="24"/>
        </w:rPr>
        <w:t xml:space="preserve"> de crédito, o ativo total e a taxa real de crescimento do produto interno bruto.</w:t>
      </w:r>
    </w:p>
    <w:p w:rsidR="00F538D6" w:rsidRPr="0006053A" w:rsidRDefault="00F538D6" w:rsidP="00F538D6">
      <w:pPr>
        <w:tabs>
          <w:tab w:val="left" w:pos="851"/>
        </w:tabs>
        <w:rPr>
          <w:szCs w:val="24"/>
        </w:rPr>
      </w:pPr>
      <w:r w:rsidRPr="00D16D9E">
        <w:rPr>
          <w:szCs w:val="24"/>
        </w:rPr>
        <w:t>A partir dos dados obtidos, é possível observar que o lucro antes de impostos e provisões para perdas (</w:t>
      </w:r>
      <w:proofErr w:type="spellStart"/>
      <w:r w:rsidRPr="00D16D9E">
        <w:rPr>
          <w:i/>
          <w:szCs w:val="24"/>
        </w:rPr>
        <w:t>EBTP</w:t>
      </w:r>
      <w:r w:rsidRPr="00D16D9E">
        <w:rPr>
          <w:i/>
          <w:szCs w:val="24"/>
          <w:vertAlign w:val="subscript"/>
        </w:rPr>
        <w:t>it</w:t>
      </w:r>
      <w:proofErr w:type="spellEnd"/>
      <w:r w:rsidRPr="00D16D9E">
        <w:rPr>
          <w:szCs w:val="24"/>
        </w:rPr>
        <w:t xml:space="preserve">) se apresentou como a variável mais significativa para as estimações da amostra Geral, da </w:t>
      </w:r>
      <w:proofErr w:type="spellStart"/>
      <w:r w:rsidRPr="00D16D9E">
        <w:rPr>
          <w:i/>
          <w:szCs w:val="24"/>
        </w:rPr>
        <w:t>FinTechs</w:t>
      </w:r>
      <w:proofErr w:type="spellEnd"/>
      <w:r w:rsidRPr="00D16D9E">
        <w:rPr>
          <w:szCs w:val="24"/>
        </w:rPr>
        <w:t xml:space="preserve"> e da Não </w:t>
      </w:r>
      <w:proofErr w:type="spellStart"/>
      <w:r w:rsidRPr="00D16D9E">
        <w:rPr>
          <w:i/>
          <w:szCs w:val="24"/>
        </w:rPr>
        <w:t>FinTechs</w:t>
      </w:r>
      <w:proofErr w:type="spellEnd"/>
      <w:r w:rsidRPr="00D16D9E">
        <w:rPr>
          <w:szCs w:val="24"/>
        </w:rPr>
        <w:t xml:space="preserve">. Com isso, sugerindo que no momento em que ocorre um aumento (redução) no lucro antes de impostos e provisões para perdas, as </w:t>
      </w:r>
      <w:proofErr w:type="spellStart"/>
      <w:r w:rsidRPr="00D16D9E">
        <w:rPr>
          <w:szCs w:val="24"/>
        </w:rPr>
        <w:t>IFs</w:t>
      </w:r>
      <w:proofErr w:type="spellEnd"/>
      <w:r w:rsidRPr="00D16D9E">
        <w:rPr>
          <w:szCs w:val="24"/>
        </w:rPr>
        <w:t xml:space="preserve"> apresentam uma redução (aumento) no volume de provisão para operações de créditos. Dessa forma, contrariando a pesquisa de Araújo </w:t>
      </w:r>
      <w:r w:rsidRPr="003D1F4F">
        <w:rPr>
          <w:i/>
          <w:szCs w:val="24"/>
        </w:rPr>
        <w:t>et al.</w:t>
      </w:r>
      <w:r w:rsidRPr="00D16D9E">
        <w:rPr>
          <w:szCs w:val="24"/>
        </w:rPr>
        <w:t xml:space="preserve"> (2018), que reflete que a variável </w:t>
      </w:r>
      <w:proofErr w:type="spellStart"/>
      <w:r w:rsidRPr="00D16D9E">
        <w:rPr>
          <w:i/>
          <w:szCs w:val="24"/>
        </w:rPr>
        <w:t>EBTP</w:t>
      </w:r>
      <w:r w:rsidRPr="00D16D9E">
        <w:rPr>
          <w:i/>
          <w:szCs w:val="24"/>
          <w:vertAlign w:val="subscript"/>
        </w:rPr>
        <w:t>it</w:t>
      </w:r>
      <w:proofErr w:type="spellEnd"/>
      <w:r w:rsidRPr="00D16D9E">
        <w:rPr>
          <w:szCs w:val="24"/>
        </w:rPr>
        <w:t xml:space="preserve"> se revelou significativa para instituições financeiras espanholas e assim, sugerindo que não existem evidências de práticas oportun</w:t>
      </w:r>
      <w:r w:rsidR="00D93F27">
        <w:rPr>
          <w:szCs w:val="24"/>
        </w:rPr>
        <w:t>i</w:t>
      </w:r>
      <w:r w:rsidRPr="00D16D9E">
        <w:rPr>
          <w:szCs w:val="24"/>
        </w:rPr>
        <w:t>stas com o uso de provisões pelos bancos espanhóis.</w:t>
      </w:r>
    </w:p>
    <w:p w:rsidR="00F538D6" w:rsidRPr="00D16D9E" w:rsidRDefault="00F538D6" w:rsidP="00F538D6">
      <w:pPr>
        <w:rPr>
          <w:szCs w:val="24"/>
        </w:rPr>
      </w:pPr>
      <w:r>
        <w:rPr>
          <w:szCs w:val="24"/>
        </w:rPr>
        <w:t xml:space="preserve">No que diz respeito à </w:t>
      </w:r>
      <w:r w:rsidRPr="00D16D9E">
        <w:t xml:space="preserve">relação da provisão </w:t>
      </w:r>
      <w:r>
        <w:t xml:space="preserve">de </w:t>
      </w:r>
      <w:r w:rsidR="00D93F27">
        <w:t>perdas</w:t>
      </w:r>
      <w:r w:rsidRPr="00D16D9E">
        <w:t xml:space="preserve"> de crédito sobre o</w:t>
      </w:r>
      <w:r>
        <w:t xml:space="preserve"> total de</w:t>
      </w:r>
      <w:r w:rsidRPr="00D16D9E">
        <w:t xml:space="preserve"> crédito bruto</w:t>
      </w:r>
      <w:r w:rsidRPr="00D16D9E">
        <w:rPr>
          <w:szCs w:val="24"/>
        </w:rPr>
        <w:t>,</w:t>
      </w:r>
      <w:r>
        <w:rPr>
          <w:szCs w:val="24"/>
        </w:rPr>
        <w:t xml:space="preserve"> a </w:t>
      </w:r>
      <w:r w:rsidRPr="00D16D9E">
        <w:rPr>
          <w:szCs w:val="24"/>
        </w:rPr>
        <w:t xml:space="preserve">variável </w:t>
      </w:r>
      <w:proofErr w:type="spellStart"/>
      <w:r w:rsidRPr="00D16D9E">
        <w:rPr>
          <w:i/>
        </w:rPr>
        <w:t>NPL</w:t>
      </w:r>
      <w:r w:rsidRPr="00D16D9E">
        <w:rPr>
          <w:i/>
          <w:vertAlign w:val="subscript"/>
        </w:rPr>
        <w:t>it</w:t>
      </w:r>
      <w:proofErr w:type="spellEnd"/>
      <w:r w:rsidRPr="00D16D9E">
        <w:rPr>
          <w:i/>
        </w:rPr>
        <w:t xml:space="preserve">, </w:t>
      </w:r>
      <w:r w:rsidRPr="00D16D9E">
        <w:rPr>
          <w:szCs w:val="24"/>
        </w:rPr>
        <w:t xml:space="preserve">se mostrou significativa para todas as estimações, a um nível de 1%. Com base nos resultados dos modelos utilizados nesta pesquisa, pode-se considerar que a </w:t>
      </w:r>
      <w:proofErr w:type="spellStart"/>
      <w:r w:rsidRPr="00D16D9E">
        <w:rPr>
          <w:i/>
          <w:szCs w:val="24"/>
        </w:rPr>
        <w:t>NPL</w:t>
      </w:r>
      <w:r w:rsidRPr="00D16D9E">
        <w:rPr>
          <w:i/>
          <w:szCs w:val="24"/>
          <w:vertAlign w:val="subscript"/>
        </w:rPr>
        <w:t>it</w:t>
      </w:r>
      <w:proofErr w:type="spellEnd"/>
      <w:r w:rsidRPr="00D16D9E">
        <w:rPr>
          <w:szCs w:val="24"/>
        </w:rPr>
        <w:t xml:space="preserve"> é o fator economicamente mais determinante para a provisão para </w:t>
      </w:r>
      <w:r w:rsidR="00D93F27">
        <w:rPr>
          <w:szCs w:val="24"/>
        </w:rPr>
        <w:t>perdas</w:t>
      </w:r>
      <w:r w:rsidRPr="00D16D9E">
        <w:rPr>
          <w:szCs w:val="24"/>
        </w:rPr>
        <w:t xml:space="preserve"> de créditos.</w:t>
      </w:r>
      <w:r>
        <w:rPr>
          <w:szCs w:val="24"/>
        </w:rPr>
        <w:t xml:space="preserve"> </w:t>
      </w:r>
      <w:r w:rsidRPr="00D16D9E">
        <w:rPr>
          <w:szCs w:val="24"/>
        </w:rPr>
        <w:t>A variação das provisões para</w:t>
      </w:r>
      <w:r w:rsidR="00D93F27">
        <w:rPr>
          <w:szCs w:val="24"/>
        </w:rPr>
        <w:t xml:space="preserve"> perdas</w:t>
      </w:r>
      <w:r w:rsidRPr="00D16D9E">
        <w:rPr>
          <w:szCs w:val="24"/>
        </w:rPr>
        <w:t xml:space="preserve"> de crédito</w:t>
      </w:r>
      <w:r>
        <w:rPr>
          <w:szCs w:val="24"/>
        </w:rPr>
        <w:t xml:space="preserve">, representada pela variável </w:t>
      </w:r>
      <w:proofErr w:type="spellStart"/>
      <w:r w:rsidRPr="00D16D9E">
        <w:rPr>
          <w:i/>
          <w:szCs w:val="24"/>
        </w:rPr>
        <w:t>LOAN</w:t>
      </w:r>
      <w:r w:rsidRPr="00D16D9E">
        <w:rPr>
          <w:i/>
          <w:szCs w:val="24"/>
          <w:vertAlign w:val="subscript"/>
        </w:rPr>
        <w:t>it</w:t>
      </w:r>
      <w:proofErr w:type="spellEnd"/>
      <w:r>
        <w:rPr>
          <w:szCs w:val="24"/>
        </w:rPr>
        <w:t xml:space="preserve">, </w:t>
      </w:r>
      <w:r w:rsidRPr="00D16D9E">
        <w:rPr>
          <w:szCs w:val="24"/>
        </w:rPr>
        <w:t xml:space="preserve">se mostrou significativa somente para a estimação com amostra Geral (1) e a das </w:t>
      </w:r>
      <w:proofErr w:type="spellStart"/>
      <w:r w:rsidRPr="00D16D9E">
        <w:rPr>
          <w:i/>
          <w:szCs w:val="24"/>
        </w:rPr>
        <w:t>FinTech</w:t>
      </w:r>
      <w:r>
        <w:rPr>
          <w:i/>
          <w:szCs w:val="24"/>
        </w:rPr>
        <w:t>s</w:t>
      </w:r>
      <w:proofErr w:type="spellEnd"/>
      <w:r w:rsidRPr="00D16D9E">
        <w:rPr>
          <w:szCs w:val="24"/>
        </w:rPr>
        <w:t xml:space="preserve"> (2).</w:t>
      </w:r>
      <w:r>
        <w:rPr>
          <w:szCs w:val="24"/>
        </w:rPr>
        <w:t xml:space="preserve"> Mesmo que </w:t>
      </w:r>
      <w:r w:rsidRPr="00D16D9E">
        <w:rPr>
          <w:szCs w:val="24"/>
        </w:rPr>
        <w:t>a variável se</w:t>
      </w:r>
      <w:r>
        <w:rPr>
          <w:szCs w:val="24"/>
        </w:rPr>
        <w:t>ja</w:t>
      </w:r>
      <w:r w:rsidRPr="00D16D9E">
        <w:rPr>
          <w:szCs w:val="24"/>
        </w:rPr>
        <w:t xml:space="preserve"> estatisticamente significativa, a um nível de 10%, o seu coeficiente não é economicamente significativo para explicar o comportamento da provisão para </w:t>
      </w:r>
      <w:r w:rsidR="00D93F27">
        <w:rPr>
          <w:szCs w:val="24"/>
        </w:rPr>
        <w:t>perdas</w:t>
      </w:r>
      <w:r w:rsidRPr="00D16D9E">
        <w:rPr>
          <w:szCs w:val="24"/>
        </w:rPr>
        <w:t xml:space="preserve"> de créditos.</w:t>
      </w:r>
    </w:p>
    <w:p w:rsidR="00F538D6" w:rsidRDefault="00F538D6" w:rsidP="00F538D6">
      <w:pPr>
        <w:rPr>
          <w:szCs w:val="24"/>
        </w:rPr>
      </w:pPr>
      <w:r>
        <w:rPr>
          <w:szCs w:val="24"/>
        </w:rPr>
        <w:t xml:space="preserve">Nesse sentido, conforme o esperado, as </w:t>
      </w:r>
      <w:proofErr w:type="spellStart"/>
      <w:r>
        <w:rPr>
          <w:i/>
          <w:szCs w:val="24"/>
        </w:rPr>
        <w:t>FinTechs</w:t>
      </w:r>
      <w:proofErr w:type="spellEnd"/>
      <w:r>
        <w:rPr>
          <w:szCs w:val="24"/>
        </w:rPr>
        <w:t xml:space="preserve"> apresentam comportamento discricionário e </w:t>
      </w:r>
      <w:r w:rsidRPr="00162B27">
        <w:rPr>
          <w:szCs w:val="24"/>
        </w:rPr>
        <w:t>evidências de práticas oportun</w:t>
      </w:r>
      <w:r w:rsidR="00D93F27">
        <w:rPr>
          <w:szCs w:val="24"/>
        </w:rPr>
        <w:t>is</w:t>
      </w:r>
      <w:r w:rsidRPr="00162B27">
        <w:rPr>
          <w:szCs w:val="24"/>
        </w:rPr>
        <w:t xml:space="preserve">tas </w:t>
      </w:r>
      <w:r>
        <w:rPr>
          <w:szCs w:val="24"/>
        </w:rPr>
        <w:t>através do</w:t>
      </w:r>
      <w:r w:rsidRPr="00162B27">
        <w:rPr>
          <w:szCs w:val="24"/>
        </w:rPr>
        <w:t xml:space="preserve"> uso de provisõe</w:t>
      </w:r>
      <w:r>
        <w:rPr>
          <w:szCs w:val="24"/>
        </w:rPr>
        <w:t xml:space="preserve">s para </w:t>
      </w:r>
      <w:r w:rsidR="00D93F27">
        <w:rPr>
          <w:szCs w:val="24"/>
        </w:rPr>
        <w:t>perdas</w:t>
      </w:r>
      <w:r>
        <w:rPr>
          <w:szCs w:val="24"/>
        </w:rPr>
        <w:t xml:space="preserve"> de crédito. Esse resultado corrobora o estudo de Peterson &amp; </w:t>
      </w:r>
      <w:proofErr w:type="spellStart"/>
      <w:r>
        <w:rPr>
          <w:szCs w:val="24"/>
        </w:rPr>
        <w:t>Ar</w:t>
      </w:r>
      <w:r w:rsidR="00D93F27">
        <w:rPr>
          <w:szCs w:val="24"/>
        </w:rPr>
        <w:t>u</w:t>
      </w:r>
      <w:r>
        <w:rPr>
          <w:szCs w:val="24"/>
        </w:rPr>
        <w:t>n</w:t>
      </w:r>
      <w:proofErr w:type="spellEnd"/>
      <w:r>
        <w:rPr>
          <w:szCs w:val="24"/>
        </w:rPr>
        <w:t xml:space="preserve"> (2018), onde indica que </w:t>
      </w:r>
      <w:r w:rsidRPr="00162B27">
        <w:rPr>
          <w:szCs w:val="24"/>
        </w:rPr>
        <w:t>bancos sistêmicos</w:t>
      </w:r>
      <w:r>
        <w:rPr>
          <w:szCs w:val="24"/>
        </w:rPr>
        <w:t xml:space="preserve"> – que oferecem riscos a economia, assim como as </w:t>
      </w:r>
      <w:proofErr w:type="spellStart"/>
      <w:r>
        <w:rPr>
          <w:i/>
          <w:szCs w:val="24"/>
        </w:rPr>
        <w:t>FinTechs</w:t>
      </w:r>
      <w:proofErr w:type="spellEnd"/>
      <w:r>
        <w:rPr>
          <w:szCs w:val="24"/>
        </w:rPr>
        <w:t xml:space="preserve"> –</w:t>
      </w:r>
      <w:r w:rsidRPr="00162B27">
        <w:rPr>
          <w:szCs w:val="24"/>
        </w:rPr>
        <w:t xml:space="preserve"> usam provisões para perdas com empréstimos (</w:t>
      </w:r>
      <w:proofErr w:type="spellStart"/>
      <w:r w:rsidRPr="003D1F4F">
        <w:rPr>
          <w:i/>
          <w:szCs w:val="24"/>
        </w:rPr>
        <w:t>LLP</w:t>
      </w:r>
      <w:r w:rsidRPr="003D1F4F">
        <w:rPr>
          <w:i/>
          <w:szCs w:val="24"/>
          <w:vertAlign w:val="subscript"/>
        </w:rPr>
        <w:t>it</w:t>
      </w:r>
      <w:proofErr w:type="spellEnd"/>
      <w:r w:rsidRPr="00162B27">
        <w:rPr>
          <w:szCs w:val="24"/>
        </w:rPr>
        <w:t>) para suavizar os resultados em maior escala</w:t>
      </w:r>
      <w:r>
        <w:rPr>
          <w:szCs w:val="24"/>
        </w:rPr>
        <w:t xml:space="preserve"> </w:t>
      </w:r>
      <w:r w:rsidRPr="00162B27">
        <w:rPr>
          <w:szCs w:val="24"/>
        </w:rPr>
        <w:t>do que os bancos não sistêmicos.</w:t>
      </w:r>
    </w:p>
    <w:p w:rsidR="00F538D6" w:rsidRDefault="00F538D6" w:rsidP="00F538D6">
      <w:pPr>
        <w:rPr>
          <w:szCs w:val="24"/>
        </w:rPr>
      </w:pPr>
      <w:r w:rsidRPr="00162B27">
        <w:rPr>
          <w:szCs w:val="24"/>
        </w:rPr>
        <w:t xml:space="preserve">Por fim, </w:t>
      </w:r>
      <w:r>
        <w:rPr>
          <w:szCs w:val="24"/>
        </w:rPr>
        <w:t xml:space="preserve">é possível </w:t>
      </w:r>
      <w:r w:rsidRPr="00162B27">
        <w:rPr>
          <w:szCs w:val="24"/>
        </w:rPr>
        <w:t xml:space="preserve">afirmar que </w:t>
      </w:r>
      <w:r>
        <w:rPr>
          <w:szCs w:val="24"/>
        </w:rPr>
        <w:t>a presente pesquisa</w:t>
      </w:r>
      <w:r w:rsidRPr="00162B27">
        <w:rPr>
          <w:szCs w:val="24"/>
        </w:rPr>
        <w:t xml:space="preserve"> </w:t>
      </w:r>
      <w:r>
        <w:rPr>
          <w:szCs w:val="24"/>
        </w:rPr>
        <w:t xml:space="preserve">contribuiu </w:t>
      </w:r>
      <w:r w:rsidRPr="00732BA1">
        <w:rPr>
          <w:szCs w:val="24"/>
        </w:rPr>
        <w:t>para a melhor compreensão sobre o comportamento oportun</w:t>
      </w:r>
      <w:r w:rsidR="00D93F27">
        <w:rPr>
          <w:szCs w:val="24"/>
        </w:rPr>
        <w:t>ista</w:t>
      </w:r>
      <w:r w:rsidRPr="00732BA1">
        <w:rPr>
          <w:szCs w:val="24"/>
        </w:rPr>
        <w:t xml:space="preserve"> dos gestores, em particular, aqueles</w:t>
      </w:r>
      <w:r>
        <w:rPr>
          <w:szCs w:val="24"/>
        </w:rPr>
        <w:t xml:space="preserve"> que atuam</w:t>
      </w:r>
      <w:r w:rsidRPr="00732BA1">
        <w:rPr>
          <w:szCs w:val="24"/>
        </w:rPr>
        <w:t xml:space="preserve"> em empresas </w:t>
      </w:r>
      <w:r w:rsidRPr="00732BA1">
        <w:rPr>
          <w:i/>
          <w:szCs w:val="24"/>
        </w:rPr>
        <w:t>startups</w:t>
      </w:r>
      <w:r w:rsidRPr="00732BA1">
        <w:rPr>
          <w:szCs w:val="24"/>
        </w:rPr>
        <w:t xml:space="preserve"> e </w:t>
      </w:r>
      <w:r>
        <w:rPr>
          <w:szCs w:val="24"/>
        </w:rPr>
        <w:t>com inovações tecnológicas</w:t>
      </w:r>
      <w:r w:rsidRPr="00732BA1">
        <w:rPr>
          <w:szCs w:val="24"/>
        </w:rPr>
        <w:t>, contribuindo assim para os agentes, investidores, gestores, reguladores, entre outros, que atuam no sistema financeiro.</w:t>
      </w:r>
      <w:r>
        <w:rPr>
          <w:szCs w:val="24"/>
        </w:rPr>
        <w:t xml:space="preserve"> </w:t>
      </w:r>
      <w:r w:rsidRPr="00162B27">
        <w:rPr>
          <w:szCs w:val="24"/>
        </w:rPr>
        <w:t xml:space="preserve">Para estudos futuros, sugere-se a inclusão </w:t>
      </w:r>
      <w:r w:rsidR="00D93F27">
        <w:rPr>
          <w:szCs w:val="24"/>
        </w:rPr>
        <w:t xml:space="preserve">de </w:t>
      </w:r>
      <w:r>
        <w:rPr>
          <w:szCs w:val="24"/>
        </w:rPr>
        <w:t>outras variáveis no modelo de regressão e a inclusão de um maior número de observações.</w:t>
      </w:r>
    </w:p>
    <w:p w:rsidR="00F538D6" w:rsidRDefault="00F538D6" w:rsidP="00F538D6">
      <w:pPr>
        <w:rPr>
          <w:szCs w:val="24"/>
        </w:rPr>
      </w:pPr>
    </w:p>
    <w:p w:rsidR="00F538D6" w:rsidRDefault="00F538D6" w:rsidP="00F538D6">
      <w:pPr>
        <w:rPr>
          <w:szCs w:val="24"/>
        </w:rPr>
      </w:pPr>
      <w:r>
        <w:rPr>
          <w:b/>
          <w:szCs w:val="24"/>
        </w:rPr>
        <w:t>REFERÊNCIAS</w:t>
      </w:r>
    </w:p>
    <w:p w:rsidR="00F538D6" w:rsidRDefault="00F538D6" w:rsidP="00F538D6">
      <w:pPr>
        <w:rPr>
          <w:szCs w:val="24"/>
        </w:rPr>
      </w:pPr>
    </w:p>
    <w:p w:rsidR="00F538D6" w:rsidRPr="00496255" w:rsidRDefault="00F538D6" w:rsidP="00F538D6">
      <w:pPr>
        <w:ind w:left="709" w:hanging="709"/>
        <w:rPr>
          <w:szCs w:val="24"/>
        </w:rPr>
      </w:pPr>
      <w:r w:rsidRPr="00496255">
        <w:rPr>
          <w:szCs w:val="24"/>
        </w:rPr>
        <w:t>Araújo, A. M. H. B.</w:t>
      </w:r>
      <w:r>
        <w:rPr>
          <w:szCs w:val="24"/>
        </w:rPr>
        <w:t>,</w:t>
      </w:r>
      <w:r w:rsidRPr="00496255">
        <w:rPr>
          <w:szCs w:val="24"/>
        </w:rPr>
        <w:t xml:space="preserve"> Lustosa, P. R. B.</w:t>
      </w:r>
      <w:r>
        <w:rPr>
          <w:szCs w:val="24"/>
        </w:rPr>
        <w:t>,</w:t>
      </w:r>
      <w:r w:rsidRPr="00496255">
        <w:rPr>
          <w:szCs w:val="24"/>
        </w:rPr>
        <w:t xml:space="preserve"> &amp; Paulo, E. (2018). A ciclicidade da provisão para créditos de liquidação duvidosa sob três diferentes modelos contábeis: Reino Unido, Espanha e Brasil. </w:t>
      </w:r>
      <w:r w:rsidRPr="000141FB">
        <w:rPr>
          <w:i/>
          <w:szCs w:val="24"/>
        </w:rPr>
        <w:t>Revista Contabilidade &amp; Finanças</w:t>
      </w:r>
      <w:r w:rsidRPr="000141FB">
        <w:rPr>
          <w:szCs w:val="24"/>
        </w:rPr>
        <w:t>, 29(</w:t>
      </w:r>
      <w:r w:rsidRPr="00496255">
        <w:rPr>
          <w:szCs w:val="24"/>
        </w:rPr>
        <w:t>76</w:t>
      </w:r>
      <w:r w:rsidRPr="000141FB">
        <w:rPr>
          <w:szCs w:val="24"/>
        </w:rPr>
        <w:t>)</w:t>
      </w:r>
      <w:r w:rsidRPr="00496255">
        <w:rPr>
          <w:szCs w:val="24"/>
        </w:rPr>
        <w:t>, p. 97-113.</w:t>
      </w:r>
    </w:p>
    <w:p w:rsidR="00F538D6" w:rsidRPr="00496255" w:rsidRDefault="00F538D6" w:rsidP="00F538D6">
      <w:pPr>
        <w:ind w:left="709" w:hanging="709"/>
        <w:rPr>
          <w:szCs w:val="24"/>
        </w:rPr>
      </w:pPr>
    </w:p>
    <w:p w:rsidR="00F538D6" w:rsidRPr="00496255" w:rsidRDefault="00F538D6" w:rsidP="00F538D6">
      <w:pPr>
        <w:ind w:left="709" w:hanging="709"/>
        <w:rPr>
          <w:szCs w:val="24"/>
        </w:rPr>
      </w:pPr>
      <w:bookmarkStart w:id="2" w:name="_Hlk2260748"/>
      <w:r w:rsidRPr="00496255">
        <w:rPr>
          <w:szCs w:val="24"/>
        </w:rPr>
        <w:t xml:space="preserve">Banco Central do Brasil (2018). </w:t>
      </w:r>
      <w:r w:rsidRPr="003D1F4F">
        <w:rPr>
          <w:i/>
          <w:szCs w:val="24"/>
        </w:rPr>
        <w:t>Perguntas frequentes.</w:t>
      </w:r>
      <w:r w:rsidRPr="001E58C7">
        <w:rPr>
          <w:szCs w:val="24"/>
        </w:rPr>
        <w:t xml:space="preserve"> </w:t>
      </w:r>
      <w:r w:rsidRPr="00496255">
        <w:rPr>
          <w:szCs w:val="24"/>
        </w:rPr>
        <w:t>Recuperado de https://www.bcb.gov.br/pre/bc_atende/port/fintechs.asp?idpai=FAQCIDADAO</w:t>
      </w:r>
    </w:p>
    <w:bookmarkEnd w:id="2"/>
    <w:p w:rsidR="00F538D6" w:rsidRPr="00496255" w:rsidRDefault="00F538D6" w:rsidP="00F538D6">
      <w:pPr>
        <w:ind w:left="709" w:hanging="709"/>
        <w:rPr>
          <w:szCs w:val="24"/>
        </w:rPr>
      </w:pPr>
    </w:p>
    <w:p w:rsidR="00F538D6" w:rsidRPr="00496255" w:rsidRDefault="00F538D6" w:rsidP="00F538D6">
      <w:pPr>
        <w:ind w:left="709" w:hanging="709"/>
        <w:rPr>
          <w:szCs w:val="24"/>
        </w:rPr>
      </w:pPr>
      <w:r w:rsidRPr="00496255">
        <w:rPr>
          <w:szCs w:val="24"/>
        </w:rPr>
        <w:t xml:space="preserve">Barbosa, R. R. (2018). </w:t>
      </w:r>
      <w:proofErr w:type="spellStart"/>
      <w:r w:rsidRPr="00496255">
        <w:rPr>
          <w:i/>
          <w:szCs w:val="24"/>
        </w:rPr>
        <w:t>Fintechs</w:t>
      </w:r>
      <w:proofErr w:type="spellEnd"/>
      <w:r w:rsidRPr="00496255">
        <w:rPr>
          <w:i/>
          <w:szCs w:val="24"/>
        </w:rPr>
        <w:t>: A atuação das empresas de tecnologia de serviço financeiro no setor bancário e financeiro brasileiro.</w:t>
      </w:r>
      <w:r w:rsidRPr="00496255">
        <w:rPr>
          <w:szCs w:val="24"/>
        </w:rPr>
        <w:t xml:space="preserve"> Dissertação de Mestrado Profissional em Administração, Escola de Administração, Universidade Federal do Rio Grande do Sul, Porto Alegre.</w:t>
      </w:r>
    </w:p>
    <w:p w:rsidR="00F538D6" w:rsidRPr="00496255" w:rsidRDefault="00F538D6" w:rsidP="00F538D6">
      <w:pPr>
        <w:ind w:left="709" w:hanging="709"/>
        <w:rPr>
          <w:szCs w:val="24"/>
        </w:rPr>
      </w:pPr>
    </w:p>
    <w:p w:rsidR="00F538D6" w:rsidRPr="005A3948" w:rsidRDefault="00F538D6" w:rsidP="00F538D6">
      <w:pPr>
        <w:ind w:left="709" w:hanging="709"/>
        <w:rPr>
          <w:szCs w:val="24"/>
          <w:lang w:val="en-US"/>
        </w:rPr>
      </w:pPr>
      <w:proofErr w:type="spellStart"/>
      <w:r w:rsidRPr="000141FB">
        <w:rPr>
          <w:szCs w:val="24"/>
          <w:lang w:val="en-US"/>
        </w:rPr>
        <w:t>Boshkov</w:t>
      </w:r>
      <w:proofErr w:type="spellEnd"/>
      <w:r w:rsidRPr="000141FB">
        <w:rPr>
          <w:szCs w:val="24"/>
          <w:lang w:val="en-US"/>
        </w:rPr>
        <w:t xml:space="preserve">, T. (2018). Level of deepening financial infrastructure, fintech companies and financial inclusion: theory and evidence. </w:t>
      </w:r>
      <w:r w:rsidRPr="005A3948">
        <w:rPr>
          <w:i/>
          <w:szCs w:val="24"/>
          <w:lang w:val="en-US"/>
        </w:rPr>
        <w:t>International Journal of Information, Business and Management</w:t>
      </w:r>
      <w:r w:rsidRPr="005A3948">
        <w:rPr>
          <w:szCs w:val="24"/>
          <w:lang w:val="en-US"/>
        </w:rPr>
        <w:t>, 10(4), p. 21-29.</w:t>
      </w:r>
    </w:p>
    <w:p w:rsidR="00F538D6" w:rsidRPr="005A3948" w:rsidRDefault="00F538D6" w:rsidP="00F538D6">
      <w:pPr>
        <w:ind w:left="709" w:hanging="709"/>
        <w:rPr>
          <w:szCs w:val="24"/>
          <w:lang w:val="en-US"/>
        </w:rPr>
      </w:pPr>
    </w:p>
    <w:p w:rsidR="00F538D6" w:rsidRPr="00496255" w:rsidRDefault="00F538D6" w:rsidP="00F538D6">
      <w:pPr>
        <w:ind w:left="709" w:hanging="709"/>
        <w:rPr>
          <w:szCs w:val="24"/>
        </w:rPr>
      </w:pPr>
      <w:r w:rsidRPr="003D1F4F">
        <w:rPr>
          <w:szCs w:val="24"/>
        </w:rPr>
        <w:t>Dantas, J. A., Medeiros, O. R. de</w:t>
      </w:r>
      <w:r>
        <w:rPr>
          <w:szCs w:val="24"/>
        </w:rPr>
        <w:t>,</w:t>
      </w:r>
      <w:r w:rsidRPr="003D1F4F">
        <w:rPr>
          <w:szCs w:val="24"/>
        </w:rPr>
        <w:t xml:space="preserve"> Galdi, F. C.</w:t>
      </w:r>
      <w:r>
        <w:rPr>
          <w:szCs w:val="24"/>
        </w:rPr>
        <w:t>,</w:t>
      </w:r>
      <w:r w:rsidRPr="003D1F4F">
        <w:rPr>
          <w:szCs w:val="24"/>
        </w:rPr>
        <w:t xml:space="preserve"> &amp; Costa, F. M. (2013). </w:t>
      </w:r>
      <w:r w:rsidRPr="00496255">
        <w:rPr>
          <w:szCs w:val="24"/>
        </w:rPr>
        <w:t xml:space="preserve">Gerenciamento de Resultados em Bancos com Uso de TVM: Validação de modelo de dois estágios. </w:t>
      </w:r>
      <w:r w:rsidRPr="00496255">
        <w:rPr>
          <w:i/>
          <w:szCs w:val="24"/>
        </w:rPr>
        <w:t>Revista Contabilidade e Finanças – USP</w:t>
      </w:r>
      <w:r w:rsidRPr="00496255">
        <w:rPr>
          <w:szCs w:val="24"/>
        </w:rPr>
        <w:t>, 24(61), p. 37-54.</w:t>
      </w:r>
    </w:p>
    <w:p w:rsidR="00F538D6" w:rsidRPr="00496255" w:rsidRDefault="00F538D6" w:rsidP="00F538D6">
      <w:pPr>
        <w:ind w:left="709" w:hanging="709"/>
        <w:rPr>
          <w:szCs w:val="24"/>
        </w:rPr>
      </w:pPr>
    </w:p>
    <w:p w:rsidR="00F538D6" w:rsidRPr="000141FB" w:rsidRDefault="00F538D6" w:rsidP="00F538D6">
      <w:pPr>
        <w:ind w:left="709" w:hanging="709"/>
        <w:rPr>
          <w:szCs w:val="24"/>
          <w:lang w:val="en-US"/>
        </w:rPr>
      </w:pPr>
      <w:proofErr w:type="spellStart"/>
      <w:r w:rsidRPr="003D1F4F">
        <w:rPr>
          <w:szCs w:val="24"/>
          <w:lang w:val="en-US"/>
        </w:rPr>
        <w:t>Dechow</w:t>
      </w:r>
      <w:proofErr w:type="spellEnd"/>
      <w:r w:rsidRPr="003D1F4F">
        <w:rPr>
          <w:szCs w:val="24"/>
          <w:lang w:val="en-US"/>
        </w:rPr>
        <w:t xml:space="preserve">, P. M., Ge, W. &amp; </w:t>
      </w:r>
      <w:proofErr w:type="spellStart"/>
      <w:r w:rsidRPr="003D1F4F">
        <w:rPr>
          <w:szCs w:val="24"/>
          <w:lang w:val="en-US"/>
        </w:rPr>
        <w:t>Schrand</w:t>
      </w:r>
      <w:proofErr w:type="spellEnd"/>
      <w:r w:rsidRPr="003D1F4F">
        <w:rPr>
          <w:szCs w:val="24"/>
          <w:lang w:val="en-US"/>
        </w:rPr>
        <w:t xml:space="preserve">, C. (2010). </w:t>
      </w:r>
      <w:r w:rsidRPr="000141FB">
        <w:rPr>
          <w:szCs w:val="24"/>
          <w:lang w:val="en-US"/>
        </w:rPr>
        <w:t xml:space="preserve">Understanding earnings quality: a review of the proxies, their determinants and their consequences. </w:t>
      </w:r>
      <w:r w:rsidRPr="000141FB">
        <w:rPr>
          <w:i/>
          <w:szCs w:val="24"/>
          <w:lang w:val="en-US"/>
        </w:rPr>
        <w:t>Journal of Accounting and Economics</w:t>
      </w:r>
      <w:r w:rsidRPr="000141FB">
        <w:rPr>
          <w:szCs w:val="24"/>
          <w:lang w:val="en-US"/>
        </w:rPr>
        <w:t>, 50(1) p. 344–401.</w:t>
      </w:r>
    </w:p>
    <w:p w:rsidR="00F538D6" w:rsidRPr="000141FB" w:rsidRDefault="00F538D6" w:rsidP="00F538D6">
      <w:pPr>
        <w:ind w:left="709" w:hanging="709"/>
        <w:rPr>
          <w:szCs w:val="24"/>
          <w:lang w:val="en-US"/>
        </w:rPr>
      </w:pPr>
    </w:p>
    <w:p w:rsidR="00F538D6" w:rsidRPr="000141FB" w:rsidRDefault="00F538D6" w:rsidP="00F538D6">
      <w:pPr>
        <w:ind w:left="709" w:hanging="709"/>
        <w:rPr>
          <w:szCs w:val="24"/>
          <w:lang w:val="en-US"/>
        </w:rPr>
      </w:pPr>
      <w:proofErr w:type="spellStart"/>
      <w:r w:rsidRPr="000141FB">
        <w:rPr>
          <w:szCs w:val="24"/>
          <w:lang w:val="en-US"/>
        </w:rPr>
        <w:t>Dechow</w:t>
      </w:r>
      <w:proofErr w:type="spellEnd"/>
      <w:r w:rsidRPr="000141FB">
        <w:rPr>
          <w:szCs w:val="24"/>
          <w:lang w:val="en-US"/>
        </w:rPr>
        <w:t>, P.</w:t>
      </w:r>
      <w:r>
        <w:rPr>
          <w:szCs w:val="24"/>
          <w:lang w:val="en-US"/>
        </w:rPr>
        <w:t>, &amp;</w:t>
      </w:r>
      <w:r w:rsidRPr="000141FB">
        <w:rPr>
          <w:szCs w:val="24"/>
          <w:lang w:val="en-US"/>
        </w:rPr>
        <w:t xml:space="preserve"> </w:t>
      </w:r>
      <w:proofErr w:type="spellStart"/>
      <w:r w:rsidRPr="000141FB">
        <w:rPr>
          <w:szCs w:val="24"/>
          <w:lang w:val="en-US"/>
        </w:rPr>
        <w:t>Schrand</w:t>
      </w:r>
      <w:proofErr w:type="spellEnd"/>
      <w:r w:rsidRPr="000141FB">
        <w:rPr>
          <w:szCs w:val="24"/>
          <w:lang w:val="en-US"/>
        </w:rPr>
        <w:t xml:space="preserve">, C. (2004). </w:t>
      </w:r>
      <w:r w:rsidRPr="003D1F4F">
        <w:rPr>
          <w:i/>
          <w:szCs w:val="24"/>
          <w:lang w:val="en-US"/>
        </w:rPr>
        <w:t>Earnings quality</w:t>
      </w:r>
      <w:r w:rsidRPr="000141FB">
        <w:rPr>
          <w:szCs w:val="24"/>
          <w:lang w:val="en-US"/>
        </w:rPr>
        <w:t>. Charlottesville, Virginia: CFA Institute.</w:t>
      </w:r>
    </w:p>
    <w:p w:rsidR="00F538D6" w:rsidRPr="000141FB" w:rsidRDefault="00F538D6" w:rsidP="00F538D6">
      <w:pPr>
        <w:ind w:left="709" w:hanging="709"/>
        <w:rPr>
          <w:szCs w:val="24"/>
          <w:lang w:val="en-US"/>
        </w:rPr>
      </w:pPr>
    </w:p>
    <w:p w:rsidR="00F538D6" w:rsidRPr="00496255" w:rsidRDefault="00F538D6" w:rsidP="00F538D6">
      <w:pPr>
        <w:ind w:left="709" w:hanging="709"/>
        <w:rPr>
          <w:szCs w:val="24"/>
        </w:rPr>
      </w:pPr>
      <w:proofErr w:type="spellStart"/>
      <w:r w:rsidRPr="000141FB">
        <w:rPr>
          <w:szCs w:val="24"/>
          <w:lang w:val="en-US"/>
        </w:rPr>
        <w:t>Elnahass</w:t>
      </w:r>
      <w:proofErr w:type="spellEnd"/>
      <w:r w:rsidRPr="000141FB">
        <w:rPr>
          <w:szCs w:val="24"/>
          <w:lang w:val="en-US"/>
        </w:rPr>
        <w:t>, M.</w:t>
      </w:r>
      <w:r>
        <w:rPr>
          <w:szCs w:val="24"/>
          <w:lang w:val="en-US"/>
        </w:rPr>
        <w:t>,</w:t>
      </w:r>
      <w:r w:rsidRPr="000141FB">
        <w:rPr>
          <w:szCs w:val="24"/>
          <w:lang w:val="en-US"/>
        </w:rPr>
        <w:t xml:space="preserve"> </w:t>
      </w:r>
      <w:proofErr w:type="spellStart"/>
      <w:r w:rsidRPr="000141FB">
        <w:rPr>
          <w:szCs w:val="24"/>
          <w:lang w:val="en-US"/>
        </w:rPr>
        <w:t>Izzeldinb</w:t>
      </w:r>
      <w:proofErr w:type="spellEnd"/>
      <w:r w:rsidRPr="000141FB">
        <w:rPr>
          <w:szCs w:val="24"/>
          <w:lang w:val="en-US"/>
        </w:rPr>
        <w:t>, M.</w:t>
      </w:r>
      <w:r>
        <w:rPr>
          <w:szCs w:val="24"/>
          <w:lang w:val="en-US"/>
        </w:rPr>
        <w:t>,</w:t>
      </w:r>
      <w:r w:rsidRPr="000141FB">
        <w:rPr>
          <w:szCs w:val="24"/>
          <w:lang w:val="en-US"/>
        </w:rPr>
        <w:t xml:space="preserve"> &amp; </w:t>
      </w:r>
      <w:proofErr w:type="spellStart"/>
      <w:r w:rsidRPr="000141FB">
        <w:rPr>
          <w:szCs w:val="24"/>
          <w:lang w:val="en-US"/>
        </w:rPr>
        <w:t>Steeleb</w:t>
      </w:r>
      <w:proofErr w:type="spellEnd"/>
      <w:r w:rsidRPr="000141FB">
        <w:rPr>
          <w:szCs w:val="24"/>
          <w:lang w:val="en-US"/>
        </w:rPr>
        <w:t xml:space="preserve">, G. (2018). Capital and Earnings Management: Evidence from Alternative Banking Business Models. </w:t>
      </w:r>
      <w:proofErr w:type="spellStart"/>
      <w:r w:rsidRPr="000141FB">
        <w:rPr>
          <w:i/>
          <w:szCs w:val="24"/>
        </w:rPr>
        <w:t>International</w:t>
      </w:r>
      <w:proofErr w:type="spellEnd"/>
      <w:r w:rsidRPr="000141FB">
        <w:rPr>
          <w:i/>
          <w:szCs w:val="24"/>
        </w:rPr>
        <w:t xml:space="preserve"> </w:t>
      </w:r>
      <w:proofErr w:type="spellStart"/>
      <w:r w:rsidRPr="000141FB">
        <w:rPr>
          <w:i/>
          <w:szCs w:val="24"/>
        </w:rPr>
        <w:t>Journal</w:t>
      </w:r>
      <w:proofErr w:type="spellEnd"/>
      <w:r w:rsidRPr="000141FB">
        <w:rPr>
          <w:i/>
          <w:szCs w:val="24"/>
        </w:rPr>
        <w:t xml:space="preserve"> </w:t>
      </w:r>
      <w:proofErr w:type="spellStart"/>
      <w:r w:rsidRPr="000141FB">
        <w:rPr>
          <w:i/>
          <w:szCs w:val="24"/>
        </w:rPr>
        <w:t>of</w:t>
      </w:r>
      <w:proofErr w:type="spellEnd"/>
      <w:r w:rsidRPr="000141FB">
        <w:rPr>
          <w:i/>
          <w:szCs w:val="24"/>
        </w:rPr>
        <w:t xml:space="preserve"> </w:t>
      </w:r>
      <w:proofErr w:type="spellStart"/>
      <w:r w:rsidRPr="000141FB">
        <w:rPr>
          <w:i/>
          <w:szCs w:val="24"/>
        </w:rPr>
        <w:t>Accounting</w:t>
      </w:r>
      <w:proofErr w:type="spellEnd"/>
      <w:r w:rsidRPr="00496255">
        <w:rPr>
          <w:szCs w:val="24"/>
        </w:rPr>
        <w:t xml:space="preserve">, </w:t>
      </w:r>
      <w:r w:rsidRPr="000141FB">
        <w:rPr>
          <w:szCs w:val="24"/>
        </w:rPr>
        <w:t>53(</w:t>
      </w:r>
      <w:r w:rsidRPr="00496255">
        <w:rPr>
          <w:szCs w:val="24"/>
        </w:rPr>
        <w:t>1</w:t>
      </w:r>
      <w:r w:rsidRPr="000141FB">
        <w:rPr>
          <w:szCs w:val="24"/>
        </w:rPr>
        <w:t>), p</w:t>
      </w:r>
      <w:r w:rsidRPr="00496255">
        <w:rPr>
          <w:szCs w:val="24"/>
        </w:rPr>
        <w:t>. 20-32.</w:t>
      </w:r>
    </w:p>
    <w:p w:rsidR="00F538D6" w:rsidRPr="00496255" w:rsidRDefault="00F538D6" w:rsidP="00F538D6">
      <w:pPr>
        <w:ind w:left="709" w:hanging="709"/>
        <w:rPr>
          <w:szCs w:val="24"/>
        </w:rPr>
      </w:pPr>
    </w:p>
    <w:p w:rsidR="00F538D6" w:rsidRPr="00496255" w:rsidRDefault="00F538D6" w:rsidP="00F538D6">
      <w:pPr>
        <w:ind w:left="709" w:hanging="709"/>
        <w:rPr>
          <w:szCs w:val="24"/>
        </w:rPr>
      </w:pPr>
      <w:r w:rsidRPr="00496255">
        <w:rPr>
          <w:szCs w:val="24"/>
        </w:rPr>
        <w:t>Ferreira, C. A.</w:t>
      </w:r>
      <w:r>
        <w:rPr>
          <w:szCs w:val="24"/>
        </w:rPr>
        <w:t>,</w:t>
      </w:r>
      <w:r w:rsidRPr="00496255">
        <w:rPr>
          <w:szCs w:val="24"/>
        </w:rPr>
        <w:t xml:space="preserve"> Portugal Junior, P. S.</w:t>
      </w:r>
      <w:r>
        <w:rPr>
          <w:szCs w:val="24"/>
        </w:rPr>
        <w:t>,</w:t>
      </w:r>
      <w:r w:rsidRPr="00496255">
        <w:rPr>
          <w:szCs w:val="24"/>
        </w:rPr>
        <w:t xml:space="preserve"> Silva, S. W.</w:t>
      </w:r>
      <w:r>
        <w:rPr>
          <w:szCs w:val="24"/>
        </w:rPr>
        <w:t>,</w:t>
      </w:r>
      <w:r w:rsidRPr="00496255">
        <w:rPr>
          <w:szCs w:val="24"/>
        </w:rPr>
        <w:t xml:space="preserve"> &amp; Portugal, N. S. (2017). Novas evoluções do mercado de crédito: uma análise sobre as </w:t>
      </w:r>
      <w:proofErr w:type="spellStart"/>
      <w:r w:rsidRPr="00496255">
        <w:rPr>
          <w:szCs w:val="24"/>
        </w:rPr>
        <w:t>fintechs</w:t>
      </w:r>
      <w:proofErr w:type="spellEnd"/>
      <w:r w:rsidRPr="00496255">
        <w:rPr>
          <w:szCs w:val="24"/>
        </w:rPr>
        <w:t xml:space="preserve">. </w:t>
      </w:r>
      <w:r w:rsidRPr="003D1F4F">
        <w:rPr>
          <w:i/>
          <w:szCs w:val="24"/>
        </w:rPr>
        <w:t>Anais do Simpósio Internacional de Gestão de Projetos, Inovação e Sustentabilidade</w:t>
      </w:r>
      <w:r w:rsidRPr="00496255">
        <w:rPr>
          <w:szCs w:val="24"/>
        </w:rPr>
        <w:t>, São Paulo, SP, Brasil, 6.</w:t>
      </w:r>
    </w:p>
    <w:p w:rsidR="00F538D6" w:rsidRPr="00496255" w:rsidRDefault="00F538D6" w:rsidP="00F538D6">
      <w:pPr>
        <w:ind w:left="709" w:hanging="709"/>
        <w:rPr>
          <w:szCs w:val="24"/>
        </w:rPr>
      </w:pPr>
    </w:p>
    <w:p w:rsidR="00F538D6" w:rsidRPr="00496255" w:rsidRDefault="00F538D6" w:rsidP="00F538D6">
      <w:pPr>
        <w:ind w:left="709" w:hanging="709"/>
        <w:rPr>
          <w:szCs w:val="24"/>
        </w:rPr>
      </w:pPr>
      <w:r w:rsidRPr="00496255">
        <w:rPr>
          <w:szCs w:val="24"/>
        </w:rPr>
        <w:t xml:space="preserve">Gil, A. C. (2012). </w:t>
      </w:r>
      <w:r w:rsidRPr="003D1F4F">
        <w:rPr>
          <w:i/>
          <w:szCs w:val="24"/>
        </w:rPr>
        <w:t>Métodos e técnicas de pesquisa social.</w:t>
      </w:r>
      <w:r w:rsidRPr="00496255">
        <w:rPr>
          <w:szCs w:val="24"/>
        </w:rPr>
        <w:t xml:space="preserve"> (6. ed.) São Paulo: Atlas.</w:t>
      </w:r>
    </w:p>
    <w:p w:rsidR="00F538D6" w:rsidRPr="00496255" w:rsidRDefault="00F538D6" w:rsidP="00F538D6">
      <w:pPr>
        <w:ind w:left="709" w:hanging="709"/>
        <w:rPr>
          <w:szCs w:val="24"/>
        </w:rPr>
      </w:pPr>
    </w:p>
    <w:p w:rsidR="00F538D6" w:rsidRPr="00496255" w:rsidRDefault="00F538D6" w:rsidP="00F538D6">
      <w:pPr>
        <w:ind w:left="709" w:hanging="709"/>
        <w:rPr>
          <w:szCs w:val="24"/>
        </w:rPr>
      </w:pPr>
      <w:r w:rsidRPr="00496255">
        <w:rPr>
          <w:szCs w:val="24"/>
        </w:rPr>
        <w:t>Macedo, M. A. S.</w:t>
      </w:r>
      <w:r>
        <w:rPr>
          <w:szCs w:val="24"/>
        </w:rPr>
        <w:t>, &amp;</w:t>
      </w:r>
      <w:r w:rsidRPr="00496255">
        <w:rPr>
          <w:szCs w:val="24"/>
        </w:rPr>
        <w:t xml:space="preserve"> Kelly, V. L. A. (2016). Gerenciamento de resultados em instituições financeiras no brasil uma análise com base em provisões para crédito de liquidação duvidosa. </w:t>
      </w:r>
      <w:r w:rsidRPr="000141FB">
        <w:rPr>
          <w:i/>
          <w:szCs w:val="24"/>
        </w:rPr>
        <w:t>Revista Evidenciação Contábil &amp; Finanças</w:t>
      </w:r>
      <w:r w:rsidRPr="00496255">
        <w:rPr>
          <w:szCs w:val="24"/>
        </w:rPr>
        <w:t>, 4(2), p.82-96.</w:t>
      </w:r>
    </w:p>
    <w:p w:rsidR="00F538D6" w:rsidRPr="00496255" w:rsidRDefault="00F538D6" w:rsidP="00F538D6">
      <w:pPr>
        <w:ind w:left="709" w:hanging="709"/>
        <w:rPr>
          <w:szCs w:val="24"/>
        </w:rPr>
      </w:pPr>
    </w:p>
    <w:p w:rsidR="00F538D6" w:rsidRPr="00496255" w:rsidRDefault="00F538D6" w:rsidP="00F538D6">
      <w:pPr>
        <w:ind w:left="709" w:hanging="709"/>
        <w:rPr>
          <w:szCs w:val="24"/>
        </w:rPr>
      </w:pPr>
      <w:r w:rsidRPr="00496255">
        <w:rPr>
          <w:szCs w:val="24"/>
        </w:rPr>
        <w:t xml:space="preserve">Martinez, A. L. (2001). </w:t>
      </w:r>
      <w:r w:rsidRPr="00496255">
        <w:rPr>
          <w:i/>
          <w:szCs w:val="24"/>
        </w:rPr>
        <w:t xml:space="preserve">“Gerenciamento” dos resultados contábeis: estudo empírico das </w:t>
      </w:r>
      <w:r w:rsidRPr="00496255">
        <w:rPr>
          <w:i/>
          <w:szCs w:val="24"/>
        </w:rPr>
        <w:lastRenderedPageBreak/>
        <w:t>companhias abertas brasileiras</w:t>
      </w:r>
      <w:r w:rsidRPr="00496255">
        <w:rPr>
          <w:szCs w:val="24"/>
        </w:rPr>
        <w:t>. Tese de Doutorado em Ciências Contábeis, Faculdade de Economia, Administração e Contabilidade, Universidade de São Paulo, São Paulo.</w:t>
      </w:r>
    </w:p>
    <w:p w:rsidR="00F538D6" w:rsidRPr="00496255" w:rsidRDefault="00F538D6" w:rsidP="00F538D6">
      <w:pPr>
        <w:ind w:left="709" w:hanging="709"/>
        <w:rPr>
          <w:szCs w:val="24"/>
        </w:rPr>
      </w:pPr>
    </w:p>
    <w:p w:rsidR="00F538D6" w:rsidRPr="000141FB" w:rsidRDefault="00F538D6" w:rsidP="00F538D6">
      <w:pPr>
        <w:ind w:left="709" w:hanging="709"/>
        <w:rPr>
          <w:szCs w:val="24"/>
        </w:rPr>
      </w:pPr>
      <w:r w:rsidRPr="000141FB">
        <w:rPr>
          <w:szCs w:val="24"/>
          <w:lang w:val="en-US"/>
        </w:rPr>
        <w:t>Martins, G. A.</w:t>
      </w:r>
      <w:r>
        <w:rPr>
          <w:szCs w:val="24"/>
          <w:lang w:val="en-US"/>
        </w:rPr>
        <w:t>, &amp;</w:t>
      </w:r>
      <w:r w:rsidRPr="000141FB">
        <w:rPr>
          <w:szCs w:val="24"/>
          <w:lang w:val="en-US"/>
        </w:rPr>
        <w:t xml:space="preserve"> </w:t>
      </w:r>
      <w:proofErr w:type="spellStart"/>
      <w:r w:rsidRPr="000141FB">
        <w:rPr>
          <w:szCs w:val="24"/>
          <w:lang w:val="en-US"/>
        </w:rPr>
        <w:t>Theóphilo</w:t>
      </w:r>
      <w:proofErr w:type="spellEnd"/>
      <w:r w:rsidRPr="000141FB">
        <w:rPr>
          <w:szCs w:val="24"/>
          <w:lang w:val="en-US"/>
        </w:rPr>
        <w:t xml:space="preserve">, C. R. (2016). </w:t>
      </w:r>
      <w:r w:rsidRPr="000141FB">
        <w:rPr>
          <w:szCs w:val="24"/>
        </w:rPr>
        <w:t>Metodologia da investigação científica para ciências sociais aplicadas. (3. ed.) São Paulo: Altas.</w:t>
      </w:r>
    </w:p>
    <w:p w:rsidR="00F538D6" w:rsidRPr="00496255" w:rsidRDefault="00F538D6" w:rsidP="00F538D6">
      <w:pPr>
        <w:ind w:left="709" w:hanging="709"/>
        <w:rPr>
          <w:szCs w:val="24"/>
        </w:rPr>
      </w:pPr>
    </w:p>
    <w:p w:rsidR="00F538D6" w:rsidRPr="00496255" w:rsidRDefault="00F538D6" w:rsidP="00F538D6">
      <w:pPr>
        <w:ind w:left="709" w:hanging="709"/>
        <w:rPr>
          <w:szCs w:val="24"/>
        </w:rPr>
      </w:pPr>
      <w:r w:rsidRPr="00496255">
        <w:rPr>
          <w:szCs w:val="24"/>
        </w:rPr>
        <w:t xml:space="preserve">Paulo, E. (2007). </w:t>
      </w:r>
      <w:r w:rsidRPr="00496255">
        <w:rPr>
          <w:i/>
          <w:szCs w:val="24"/>
        </w:rPr>
        <w:t>Manipulação das informações contábeis: uma análise teórica e empírica sobre os modelos operacionais de detecção de gerenciamento de resultados</w:t>
      </w:r>
      <w:r w:rsidRPr="00496255">
        <w:rPr>
          <w:szCs w:val="24"/>
        </w:rPr>
        <w:t>. Tese de Doutorado em Controladoria e Contabilidade, Faculdade de Economia, Administração e Contabilidade, Universidade de São Paulo, São Paulo.</w:t>
      </w:r>
    </w:p>
    <w:p w:rsidR="00F538D6" w:rsidRPr="00496255" w:rsidRDefault="00F538D6" w:rsidP="00F538D6">
      <w:pPr>
        <w:ind w:left="709" w:hanging="709"/>
        <w:rPr>
          <w:szCs w:val="24"/>
        </w:rPr>
      </w:pPr>
    </w:p>
    <w:p w:rsidR="00F538D6" w:rsidRPr="005A3948" w:rsidRDefault="00F538D6" w:rsidP="00F538D6">
      <w:pPr>
        <w:ind w:left="709" w:hanging="709"/>
        <w:rPr>
          <w:szCs w:val="24"/>
          <w:lang w:val="en-US"/>
        </w:rPr>
      </w:pPr>
      <w:r w:rsidRPr="000141FB">
        <w:rPr>
          <w:szCs w:val="24"/>
          <w:lang w:val="en-US"/>
        </w:rPr>
        <w:t>Peterson, O</w:t>
      </w:r>
      <w:r>
        <w:rPr>
          <w:szCs w:val="24"/>
          <w:lang w:val="en-US"/>
        </w:rPr>
        <w:t>., &amp;</w:t>
      </w:r>
      <w:r w:rsidRPr="000141FB">
        <w:rPr>
          <w:szCs w:val="24"/>
          <w:lang w:val="en-US"/>
        </w:rPr>
        <w:t xml:space="preserve"> Arun, T. (2018). Income smoothing among European systemic and non-systemic banks. </w:t>
      </w:r>
      <w:r w:rsidRPr="005A3948">
        <w:rPr>
          <w:i/>
          <w:szCs w:val="24"/>
          <w:lang w:val="en-US"/>
        </w:rPr>
        <w:t>The British Accounting Review</w:t>
      </w:r>
      <w:r w:rsidRPr="005A3948">
        <w:rPr>
          <w:szCs w:val="24"/>
          <w:lang w:val="en-US"/>
        </w:rPr>
        <w:t>, 50 (5), p. 539-558.</w:t>
      </w:r>
    </w:p>
    <w:p w:rsidR="00F538D6" w:rsidRPr="005A3948" w:rsidRDefault="00F538D6" w:rsidP="00F538D6">
      <w:pPr>
        <w:ind w:left="709" w:hanging="709"/>
        <w:rPr>
          <w:szCs w:val="24"/>
          <w:lang w:val="en-US"/>
        </w:rPr>
      </w:pPr>
    </w:p>
    <w:p w:rsidR="00F538D6" w:rsidRPr="00496255" w:rsidRDefault="00F538D6" w:rsidP="00F538D6">
      <w:pPr>
        <w:ind w:left="709" w:hanging="709"/>
        <w:rPr>
          <w:szCs w:val="24"/>
        </w:rPr>
      </w:pPr>
      <w:proofErr w:type="spellStart"/>
      <w:r w:rsidRPr="003D1F4F">
        <w:rPr>
          <w:szCs w:val="24"/>
        </w:rPr>
        <w:t>Prodanov</w:t>
      </w:r>
      <w:proofErr w:type="spellEnd"/>
      <w:r w:rsidRPr="003D1F4F">
        <w:rPr>
          <w:szCs w:val="24"/>
        </w:rPr>
        <w:t xml:space="preserve">, C. C., &amp; Freitas, E. C. de. </w:t>
      </w:r>
      <w:r w:rsidRPr="00496255">
        <w:rPr>
          <w:szCs w:val="24"/>
        </w:rPr>
        <w:t xml:space="preserve">(2013). Metodologia do trabalho científico: métodos e técnicas da pesquisa e do trabalho acadêmico. (2. ed.) Novo Hamburgo: </w:t>
      </w:r>
      <w:proofErr w:type="spellStart"/>
      <w:r w:rsidRPr="00496255">
        <w:rPr>
          <w:szCs w:val="24"/>
        </w:rPr>
        <w:t>Feevale</w:t>
      </w:r>
      <w:proofErr w:type="spellEnd"/>
      <w:r w:rsidRPr="00496255">
        <w:rPr>
          <w:szCs w:val="24"/>
        </w:rPr>
        <w:t>.</w:t>
      </w:r>
    </w:p>
    <w:p w:rsidR="00F538D6" w:rsidRPr="00496255" w:rsidRDefault="00F538D6" w:rsidP="00F538D6">
      <w:pPr>
        <w:ind w:left="709" w:hanging="709"/>
        <w:rPr>
          <w:szCs w:val="24"/>
        </w:rPr>
      </w:pPr>
    </w:p>
    <w:p w:rsidR="00F538D6" w:rsidRPr="00496255" w:rsidRDefault="00F538D6" w:rsidP="00F538D6">
      <w:pPr>
        <w:ind w:left="709" w:hanging="709"/>
        <w:rPr>
          <w:szCs w:val="24"/>
        </w:rPr>
      </w:pPr>
      <w:proofErr w:type="spellStart"/>
      <w:r w:rsidRPr="001E58C7">
        <w:rPr>
          <w:szCs w:val="24"/>
        </w:rPr>
        <w:t>PricewaterhouseCoopers</w:t>
      </w:r>
      <w:proofErr w:type="spellEnd"/>
      <w:r w:rsidRPr="001E58C7" w:rsidDel="001E58C7">
        <w:rPr>
          <w:szCs w:val="24"/>
        </w:rPr>
        <w:t xml:space="preserve"> </w:t>
      </w:r>
      <w:r w:rsidRPr="00496255">
        <w:rPr>
          <w:szCs w:val="24"/>
        </w:rPr>
        <w:t xml:space="preserve">(2016, agosto 09). Pesquisa da </w:t>
      </w:r>
      <w:proofErr w:type="spellStart"/>
      <w:r w:rsidRPr="00496255">
        <w:rPr>
          <w:szCs w:val="24"/>
        </w:rPr>
        <w:t>PwC</w:t>
      </w:r>
      <w:proofErr w:type="spellEnd"/>
      <w:r w:rsidRPr="00496255">
        <w:rPr>
          <w:szCs w:val="24"/>
        </w:rPr>
        <w:t xml:space="preserve"> aponta que 76% das instituições bancárias se sentem ameaçadas pelo avanço das </w:t>
      </w:r>
      <w:proofErr w:type="spellStart"/>
      <w:r w:rsidRPr="00496255">
        <w:rPr>
          <w:szCs w:val="24"/>
        </w:rPr>
        <w:t>FinTechs</w:t>
      </w:r>
      <w:proofErr w:type="spellEnd"/>
      <w:r w:rsidRPr="00496255">
        <w:rPr>
          <w:szCs w:val="24"/>
        </w:rPr>
        <w:t xml:space="preserve"> [Site]. Recuperado de https://www.pwc.com.br/pt/sala-de-imprensa/noticias/76-instituicoes-bancarias-sentem-ameacadas-avanco-FinTechs.html.</w:t>
      </w:r>
    </w:p>
    <w:p w:rsidR="00F538D6" w:rsidRPr="00496255" w:rsidRDefault="00F538D6" w:rsidP="00F538D6">
      <w:pPr>
        <w:ind w:left="709" w:hanging="709"/>
        <w:rPr>
          <w:szCs w:val="24"/>
        </w:rPr>
      </w:pPr>
    </w:p>
    <w:p w:rsidR="00F538D6" w:rsidRPr="00496255" w:rsidRDefault="00F538D6" w:rsidP="00F538D6">
      <w:pPr>
        <w:ind w:left="709" w:hanging="709"/>
        <w:rPr>
          <w:szCs w:val="24"/>
        </w:rPr>
      </w:pPr>
      <w:proofErr w:type="spellStart"/>
      <w:r w:rsidRPr="001E58C7">
        <w:rPr>
          <w:szCs w:val="24"/>
        </w:rPr>
        <w:t>PricewaterhouseCoopers</w:t>
      </w:r>
      <w:proofErr w:type="spellEnd"/>
      <w:r w:rsidRPr="001E58C7" w:rsidDel="001E58C7">
        <w:rPr>
          <w:szCs w:val="24"/>
        </w:rPr>
        <w:t xml:space="preserve"> </w:t>
      </w:r>
      <w:r w:rsidRPr="00496255">
        <w:rPr>
          <w:szCs w:val="24"/>
        </w:rPr>
        <w:t xml:space="preserve">(2018). Pesquisa </w:t>
      </w:r>
      <w:proofErr w:type="spellStart"/>
      <w:r w:rsidRPr="00496255">
        <w:rPr>
          <w:szCs w:val="24"/>
        </w:rPr>
        <w:t>Fintech</w:t>
      </w:r>
      <w:proofErr w:type="spellEnd"/>
      <w:r w:rsidRPr="00496255">
        <w:rPr>
          <w:szCs w:val="24"/>
        </w:rPr>
        <w:t xml:space="preserve"> </w:t>
      </w:r>
      <w:proofErr w:type="spellStart"/>
      <w:r w:rsidRPr="00496255">
        <w:rPr>
          <w:szCs w:val="24"/>
        </w:rPr>
        <w:t>Deep</w:t>
      </w:r>
      <w:proofErr w:type="spellEnd"/>
      <w:r w:rsidRPr="00496255">
        <w:rPr>
          <w:szCs w:val="24"/>
        </w:rPr>
        <w:t xml:space="preserve"> </w:t>
      </w:r>
      <w:proofErr w:type="spellStart"/>
      <w:r w:rsidRPr="00496255">
        <w:rPr>
          <w:szCs w:val="24"/>
        </w:rPr>
        <w:t>Dive</w:t>
      </w:r>
      <w:proofErr w:type="spellEnd"/>
      <w:r w:rsidRPr="00496255">
        <w:rPr>
          <w:szCs w:val="24"/>
        </w:rPr>
        <w:t xml:space="preserve"> 2018 [Site]. Recuperado de https://www.pwc.com.br/pt/setores-de-atividade/financeiro/2018/pub-fdd-18.pdf.</w:t>
      </w:r>
    </w:p>
    <w:p w:rsidR="00F538D6" w:rsidRPr="00496255" w:rsidRDefault="00F538D6" w:rsidP="00F538D6">
      <w:pPr>
        <w:ind w:left="709" w:hanging="709"/>
        <w:rPr>
          <w:szCs w:val="24"/>
        </w:rPr>
      </w:pPr>
    </w:p>
    <w:p w:rsidR="00F538D6" w:rsidRPr="00496255" w:rsidRDefault="00F538D6" w:rsidP="00F538D6">
      <w:pPr>
        <w:ind w:left="709" w:hanging="709"/>
        <w:rPr>
          <w:szCs w:val="24"/>
        </w:rPr>
      </w:pPr>
      <w:r w:rsidRPr="00496255">
        <w:rPr>
          <w:szCs w:val="24"/>
        </w:rPr>
        <w:t xml:space="preserve">Resolução do Conselho Monetário Nacional [CMN] nº 4.656, de 26 de abril de 2018. Dispõe sobre a sociedade de crédito direto e a sociedade de empréstimo entre pessoas, disciplina </w:t>
      </w:r>
      <w:proofErr w:type="spellStart"/>
      <w:r w:rsidRPr="00496255">
        <w:rPr>
          <w:szCs w:val="24"/>
        </w:rPr>
        <w:t>arealização</w:t>
      </w:r>
      <w:proofErr w:type="spellEnd"/>
      <w:r w:rsidRPr="00496255">
        <w:rPr>
          <w:szCs w:val="24"/>
        </w:rPr>
        <w:t xml:space="preserve"> de operações de empréstimo e de financiamento entre pessoas por meio de plataforma eletrônica e estabelece os requisitos e os procedimentos para autorização para funcionamento, transferência de controle societário, reorganização societária e cancelamento da autorização dessas instituições. Recuperado de https://www.bcb.gov.br/pre/normativos/busca/downloadNormativo.asp?arquivo=/Lists/Normativos/Attachments/50579/Res_4656_v1_O.pdf</w:t>
      </w:r>
    </w:p>
    <w:p w:rsidR="00F538D6" w:rsidRPr="00496255" w:rsidRDefault="00F538D6" w:rsidP="00F538D6">
      <w:pPr>
        <w:ind w:left="709" w:hanging="709"/>
        <w:rPr>
          <w:szCs w:val="24"/>
        </w:rPr>
      </w:pPr>
    </w:p>
    <w:p w:rsidR="00F538D6" w:rsidRPr="005A3948" w:rsidRDefault="00F538D6" w:rsidP="00F538D6">
      <w:pPr>
        <w:ind w:left="709" w:hanging="709"/>
        <w:rPr>
          <w:szCs w:val="24"/>
          <w:lang w:val="en-US"/>
        </w:rPr>
      </w:pPr>
      <w:r w:rsidRPr="000141FB">
        <w:rPr>
          <w:szCs w:val="24"/>
          <w:lang w:val="en-US"/>
        </w:rPr>
        <w:t xml:space="preserve">Schipper, K. (1989). Commentary on earnings management. </w:t>
      </w:r>
      <w:r w:rsidRPr="005A3948">
        <w:rPr>
          <w:i/>
          <w:szCs w:val="24"/>
          <w:lang w:val="en-US"/>
        </w:rPr>
        <w:t>Accounting Horizons</w:t>
      </w:r>
      <w:r w:rsidRPr="005A3948">
        <w:rPr>
          <w:szCs w:val="24"/>
          <w:lang w:val="en-US"/>
        </w:rPr>
        <w:t>, 3(1), p. 91-102.</w:t>
      </w:r>
    </w:p>
    <w:p w:rsidR="00F538D6" w:rsidRPr="005A3948" w:rsidRDefault="00F538D6" w:rsidP="00F538D6">
      <w:pPr>
        <w:ind w:left="709" w:hanging="709"/>
        <w:rPr>
          <w:szCs w:val="24"/>
          <w:lang w:val="en-US"/>
        </w:rPr>
      </w:pPr>
    </w:p>
    <w:p w:rsidR="00EC6EDB" w:rsidRPr="00EC6EDB" w:rsidRDefault="00F538D6" w:rsidP="00F538D6">
      <w:pPr>
        <w:ind w:left="709" w:hanging="709"/>
      </w:pPr>
      <w:r w:rsidRPr="003D1F4F">
        <w:rPr>
          <w:szCs w:val="24"/>
        </w:rPr>
        <w:t xml:space="preserve">Sousa, L. O., &amp; </w:t>
      </w:r>
      <w:proofErr w:type="spellStart"/>
      <w:r w:rsidRPr="003D1F4F">
        <w:rPr>
          <w:szCs w:val="24"/>
        </w:rPr>
        <w:t>Bressan</w:t>
      </w:r>
      <w:proofErr w:type="spellEnd"/>
      <w:r w:rsidRPr="003D1F4F">
        <w:rPr>
          <w:szCs w:val="24"/>
        </w:rPr>
        <w:t xml:space="preserve">, V. G. F. (2018). </w:t>
      </w:r>
      <w:r w:rsidRPr="00496255">
        <w:rPr>
          <w:szCs w:val="24"/>
        </w:rPr>
        <w:t>Gerenciamento de Resultados em Bancos: Indícios relacionados à aversão a divulgação de prejuízos.</w:t>
      </w:r>
      <w:r w:rsidRPr="00496255">
        <w:t xml:space="preserve"> </w:t>
      </w:r>
      <w:r w:rsidRPr="00496255">
        <w:rPr>
          <w:i/>
          <w:szCs w:val="24"/>
        </w:rPr>
        <w:t>Revista Evidenciação Contábil &amp; Finanças</w:t>
      </w:r>
      <w:r w:rsidRPr="00496255">
        <w:rPr>
          <w:szCs w:val="24"/>
        </w:rPr>
        <w:t>, 6(1), p. 83-100.</w:t>
      </w:r>
    </w:p>
    <w:sectPr w:rsidR="00EC6EDB" w:rsidRPr="00EC6EDB" w:rsidSect="00C271A6">
      <w:headerReference w:type="default" r:id="rId8"/>
      <w:footerReference w:type="default" r:id="rId9"/>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55A" w:rsidRDefault="00A5755A" w:rsidP="005840EF">
      <w:r>
        <w:separator/>
      </w:r>
    </w:p>
  </w:endnote>
  <w:endnote w:type="continuationSeparator" w:id="0">
    <w:p w:rsidR="00A5755A" w:rsidRDefault="00A5755A"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8D6" w:rsidRPr="00F05FBB" w:rsidRDefault="00F538D6"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w:t>
    </w:r>
    <w:r w:rsidRPr="00F05FBB">
      <w:rPr>
        <w:sz w:val="20"/>
      </w:rPr>
      <w:fldChar w:fldCharType="end"/>
    </w:r>
  </w:p>
  <w:p w:rsidR="00F538D6" w:rsidRPr="00862FD2" w:rsidRDefault="00F538D6"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55A" w:rsidRDefault="00A5755A" w:rsidP="005840EF">
      <w:r>
        <w:separator/>
      </w:r>
    </w:p>
  </w:footnote>
  <w:footnote w:type="continuationSeparator" w:id="0">
    <w:p w:rsidR="00A5755A" w:rsidRDefault="00A5755A"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8D6" w:rsidRPr="004E0B39" w:rsidRDefault="00F538D6"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40F"/>
    <w:rsid w:val="000011A2"/>
    <w:rsid w:val="000103E0"/>
    <w:rsid w:val="00021054"/>
    <w:rsid w:val="0006261D"/>
    <w:rsid w:val="000720BF"/>
    <w:rsid w:val="000D7722"/>
    <w:rsid w:val="000F0530"/>
    <w:rsid w:val="001457BE"/>
    <w:rsid w:val="00160E08"/>
    <w:rsid w:val="001E2E6C"/>
    <w:rsid w:val="0020354A"/>
    <w:rsid w:val="002056D7"/>
    <w:rsid w:val="002136AE"/>
    <w:rsid w:val="00244401"/>
    <w:rsid w:val="00244C0A"/>
    <w:rsid w:val="002566DC"/>
    <w:rsid w:val="00263CEF"/>
    <w:rsid w:val="002826C0"/>
    <w:rsid w:val="002B78FC"/>
    <w:rsid w:val="002C7235"/>
    <w:rsid w:val="00303C6F"/>
    <w:rsid w:val="00371DFF"/>
    <w:rsid w:val="003923C3"/>
    <w:rsid w:val="00395244"/>
    <w:rsid w:val="003A3639"/>
    <w:rsid w:val="003E0661"/>
    <w:rsid w:val="00406C08"/>
    <w:rsid w:val="00423365"/>
    <w:rsid w:val="004251EF"/>
    <w:rsid w:val="00436527"/>
    <w:rsid w:val="004704AA"/>
    <w:rsid w:val="00472EE1"/>
    <w:rsid w:val="0048579A"/>
    <w:rsid w:val="0049262F"/>
    <w:rsid w:val="004E0B39"/>
    <w:rsid w:val="00511038"/>
    <w:rsid w:val="00523BAB"/>
    <w:rsid w:val="00531A76"/>
    <w:rsid w:val="0055088A"/>
    <w:rsid w:val="005840EF"/>
    <w:rsid w:val="005D0785"/>
    <w:rsid w:val="005D711E"/>
    <w:rsid w:val="00606F36"/>
    <w:rsid w:val="0063432D"/>
    <w:rsid w:val="006750E6"/>
    <w:rsid w:val="00683BE5"/>
    <w:rsid w:val="006C284A"/>
    <w:rsid w:val="006D02CA"/>
    <w:rsid w:val="006D340F"/>
    <w:rsid w:val="00710D8D"/>
    <w:rsid w:val="00714245"/>
    <w:rsid w:val="007610C6"/>
    <w:rsid w:val="007C0C2C"/>
    <w:rsid w:val="007F1447"/>
    <w:rsid w:val="00862FD2"/>
    <w:rsid w:val="00865A23"/>
    <w:rsid w:val="00866591"/>
    <w:rsid w:val="008902BE"/>
    <w:rsid w:val="008A1488"/>
    <w:rsid w:val="008B21BE"/>
    <w:rsid w:val="008F1B7C"/>
    <w:rsid w:val="008F67F7"/>
    <w:rsid w:val="0092413C"/>
    <w:rsid w:val="009400FC"/>
    <w:rsid w:val="00943459"/>
    <w:rsid w:val="00952306"/>
    <w:rsid w:val="009724D8"/>
    <w:rsid w:val="009976D2"/>
    <w:rsid w:val="009B11E7"/>
    <w:rsid w:val="009B3488"/>
    <w:rsid w:val="009C7DFA"/>
    <w:rsid w:val="009D68AF"/>
    <w:rsid w:val="009E6E23"/>
    <w:rsid w:val="00A01395"/>
    <w:rsid w:val="00A16D53"/>
    <w:rsid w:val="00A5755A"/>
    <w:rsid w:val="00A80641"/>
    <w:rsid w:val="00AB5527"/>
    <w:rsid w:val="00AC61AF"/>
    <w:rsid w:val="00AC7E25"/>
    <w:rsid w:val="00B12485"/>
    <w:rsid w:val="00B169EE"/>
    <w:rsid w:val="00B25FFE"/>
    <w:rsid w:val="00B801AB"/>
    <w:rsid w:val="00BC4277"/>
    <w:rsid w:val="00C01F1F"/>
    <w:rsid w:val="00C22A7A"/>
    <w:rsid w:val="00C271A6"/>
    <w:rsid w:val="00C671EC"/>
    <w:rsid w:val="00C84F71"/>
    <w:rsid w:val="00CF0D35"/>
    <w:rsid w:val="00D2342D"/>
    <w:rsid w:val="00D86B5F"/>
    <w:rsid w:val="00D93F27"/>
    <w:rsid w:val="00D94E67"/>
    <w:rsid w:val="00DA5E5B"/>
    <w:rsid w:val="00DE1E14"/>
    <w:rsid w:val="00DE631D"/>
    <w:rsid w:val="00DE75F7"/>
    <w:rsid w:val="00E1786F"/>
    <w:rsid w:val="00E24E18"/>
    <w:rsid w:val="00E94A5E"/>
    <w:rsid w:val="00EC6EDB"/>
    <w:rsid w:val="00ED6578"/>
    <w:rsid w:val="00EF213A"/>
    <w:rsid w:val="00F05FBB"/>
    <w:rsid w:val="00F538D6"/>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277F3BC"/>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EF504-CEB6-40A1-AA97-B0CF7258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6977</Words>
  <Characters>37677</Characters>
  <Application>Microsoft Office Word</Application>
  <DocSecurity>0</DocSecurity>
  <Lines>313</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Willian Diehl</cp:lastModifiedBy>
  <cp:revision>5</cp:revision>
  <cp:lastPrinted>2016-08-30T16:57:00Z</cp:lastPrinted>
  <dcterms:created xsi:type="dcterms:W3CDTF">2019-05-10T17:00:00Z</dcterms:created>
  <dcterms:modified xsi:type="dcterms:W3CDTF">2019-07-09T01:28:00Z</dcterms:modified>
</cp:coreProperties>
</file>