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C21" w:rsidRPr="007B611F" w:rsidRDefault="007C3C21" w:rsidP="007C3C21">
      <w:pPr>
        <w:widowControl/>
        <w:suppressLineNumbers w:val="0"/>
        <w:shd w:val="clear" w:color="auto" w:fill="FFFFFF"/>
        <w:suppressAutoHyphens w:val="0"/>
        <w:ind w:firstLine="0"/>
        <w:jc w:val="center"/>
        <w:rPr>
          <w:rFonts w:eastAsia="Calibri"/>
          <w:b/>
          <w:color w:val="000000" w:themeColor="text1"/>
          <w:szCs w:val="24"/>
          <w:lang w:eastAsia="en-US"/>
        </w:rPr>
      </w:pPr>
    </w:p>
    <w:p w:rsidR="007C3C21" w:rsidRPr="007B611F" w:rsidRDefault="0043121A" w:rsidP="00C01D2B">
      <w:pPr>
        <w:widowControl/>
        <w:suppressLineNumbers w:val="0"/>
        <w:shd w:val="clear" w:color="auto" w:fill="FFFFFF"/>
        <w:suppressAutoHyphens w:val="0"/>
        <w:ind w:firstLine="0"/>
        <w:jc w:val="center"/>
        <w:rPr>
          <w:rFonts w:eastAsia="Calibri"/>
          <w:b/>
          <w:color w:val="000000" w:themeColor="text1"/>
          <w:szCs w:val="24"/>
          <w:lang w:eastAsia="en-US"/>
        </w:rPr>
      </w:pPr>
      <w:r w:rsidRPr="007B611F">
        <w:rPr>
          <w:rFonts w:eastAsia="Calibri"/>
          <w:b/>
          <w:color w:val="000000" w:themeColor="text1"/>
          <w:szCs w:val="24"/>
          <w:lang w:eastAsia="en-US"/>
        </w:rPr>
        <w:t>Análise dos d</w:t>
      </w:r>
      <w:r w:rsidR="007C3C21" w:rsidRPr="007B611F">
        <w:rPr>
          <w:rFonts w:eastAsia="Calibri"/>
          <w:b/>
          <w:color w:val="000000" w:themeColor="text1"/>
          <w:szCs w:val="24"/>
          <w:lang w:eastAsia="en-US"/>
        </w:rPr>
        <w:t>eterminantes do endividamento dos municípios da Região Metropolitana de Goiânia à luz da Lei de Responsabilidade Fiscal.</w:t>
      </w:r>
    </w:p>
    <w:p w:rsidR="00A92F7A" w:rsidRPr="007B611F" w:rsidRDefault="00A92F7A" w:rsidP="007C3C21">
      <w:pPr>
        <w:widowControl/>
        <w:suppressLineNumbers w:val="0"/>
        <w:shd w:val="clear" w:color="auto" w:fill="FFFFFF"/>
        <w:suppressAutoHyphens w:val="0"/>
        <w:ind w:firstLine="0"/>
        <w:jc w:val="right"/>
        <w:rPr>
          <w:rFonts w:eastAsia="Calibri"/>
          <w:b/>
          <w:i/>
          <w:color w:val="000000" w:themeColor="text1"/>
          <w:szCs w:val="24"/>
          <w:lang w:eastAsia="en-US"/>
        </w:rPr>
      </w:pPr>
    </w:p>
    <w:p w:rsidR="007C3C21" w:rsidRPr="007B611F" w:rsidRDefault="007C3C21" w:rsidP="007C3C21">
      <w:pPr>
        <w:widowControl/>
        <w:suppressLineNumbers w:val="0"/>
        <w:shd w:val="clear" w:color="auto" w:fill="FFFFFF"/>
        <w:suppressAutoHyphens w:val="0"/>
        <w:ind w:firstLine="0"/>
        <w:jc w:val="right"/>
        <w:rPr>
          <w:rFonts w:eastAsia="Calibri"/>
          <w:b/>
          <w:color w:val="000000" w:themeColor="text1"/>
          <w:szCs w:val="24"/>
          <w:lang w:eastAsia="en-US"/>
        </w:rPr>
      </w:pPr>
    </w:p>
    <w:p w:rsidR="006C7AE7" w:rsidRPr="007B611F" w:rsidRDefault="006C7AE7" w:rsidP="006C7AE7">
      <w:pPr>
        <w:widowControl/>
        <w:suppressLineNumbers w:val="0"/>
        <w:shd w:val="clear" w:color="auto" w:fill="FFFFFF"/>
        <w:suppressAutoHyphens w:val="0"/>
        <w:ind w:firstLine="0"/>
        <w:jc w:val="right"/>
        <w:rPr>
          <w:rFonts w:eastAsia="Calibri"/>
          <w:b/>
          <w:color w:val="000000" w:themeColor="text1"/>
          <w:szCs w:val="24"/>
          <w:lang w:eastAsia="en-US"/>
        </w:rPr>
      </w:pPr>
      <w:r w:rsidRPr="007B611F">
        <w:rPr>
          <w:rFonts w:eastAsia="Calibri"/>
          <w:b/>
          <w:color w:val="000000" w:themeColor="text1"/>
          <w:szCs w:val="24"/>
          <w:lang w:eastAsia="en-US"/>
        </w:rPr>
        <w:t xml:space="preserve">Thaís </w:t>
      </w:r>
      <w:proofErr w:type="spellStart"/>
      <w:r w:rsidRPr="007B611F">
        <w:rPr>
          <w:rFonts w:eastAsia="Calibri"/>
          <w:b/>
          <w:color w:val="000000" w:themeColor="text1"/>
          <w:szCs w:val="24"/>
          <w:lang w:eastAsia="en-US"/>
        </w:rPr>
        <w:t>Brugnera</w:t>
      </w:r>
      <w:proofErr w:type="spellEnd"/>
      <w:r w:rsidRPr="007B611F">
        <w:rPr>
          <w:rFonts w:eastAsia="Calibri"/>
          <w:b/>
          <w:color w:val="000000" w:themeColor="text1"/>
          <w:szCs w:val="24"/>
          <w:lang w:eastAsia="en-US"/>
        </w:rPr>
        <w:t xml:space="preserve"> dos Santos</w:t>
      </w:r>
    </w:p>
    <w:p w:rsidR="006C7AE7" w:rsidRPr="007B611F" w:rsidRDefault="006C7AE7" w:rsidP="006C7AE7">
      <w:pPr>
        <w:widowControl/>
        <w:suppressLineNumbers w:val="0"/>
        <w:shd w:val="clear" w:color="auto" w:fill="FFFFFF"/>
        <w:suppressAutoHyphens w:val="0"/>
        <w:ind w:firstLine="0"/>
        <w:jc w:val="right"/>
        <w:rPr>
          <w:rFonts w:eastAsia="Calibri"/>
          <w:b/>
          <w:color w:val="000000" w:themeColor="text1"/>
          <w:szCs w:val="24"/>
          <w:lang w:eastAsia="en-US"/>
        </w:rPr>
      </w:pPr>
      <w:r w:rsidRPr="007B611F">
        <w:rPr>
          <w:rFonts w:eastAsia="Calibri"/>
          <w:b/>
          <w:color w:val="000000" w:themeColor="text1"/>
          <w:szCs w:val="24"/>
          <w:lang w:eastAsia="en-US"/>
        </w:rPr>
        <w:t>Universidade Federal de Goiás (UFG)</w:t>
      </w:r>
    </w:p>
    <w:p w:rsidR="006C7AE7" w:rsidRPr="007B611F" w:rsidRDefault="006C7AE7" w:rsidP="006C7AE7">
      <w:pPr>
        <w:widowControl/>
        <w:suppressLineNumbers w:val="0"/>
        <w:shd w:val="clear" w:color="auto" w:fill="FFFFFF"/>
        <w:suppressAutoHyphens w:val="0"/>
        <w:ind w:firstLine="0"/>
        <w:jc w:val="right"/>
        <w:rPr>
          <w:rFonts w:eastAsia="Calibri"/>
          <w:b/>
          <w:i/>
          <w:color w:val="000000" w:themeColor="text1"/>
          <w:szCs w:val="24"/>
          <w:lang w:eastAsia="en-US"/>
        </w:rPr>
      </w:pPr>
      <w:r w:rsidRPr="007B611F">
        <w:rPr>
          <w:rFonts w:eastAsia="Calibri"/>
          <w:b/>
          <w:i/>
          <w:color w:val="000000" w:themeColor="text1"/>
          <w:szCs w:val="24"/>
          <w:lang w:eastAsia="en-US"/>
        </w:rPr>
        <w:t>thaisbrugnera@hotmail.com</w:t>
      </w:r>
    </w:p>
    <w:p w:rsidR="002149AF" w:rsidRPr="007B611F" w:rsidRDefault="002149AF" w:rsidP="006C7AE7">
      <w:pPr>
        <w:widowControl/>
        <w:suppressLineNumbers w:val="0"/>
        <w:shd w:val="clear" w:color="auto" w:fill="FFFFFF"/>
        <w:suppressAutoHyphens w:val="0"/>
        <w:ind w:firstLine="0"/>
        <w:jc w:val="right"/>
        <w:rPr>
          <w:rFonts w:eastAsia="Calibri"/>
          <w:b/>
          <w:i/>
          <w:color w:val="000000" w:themeColor="text1"/>
          <w:szCs w:val="24"/>
          <w:lang w:eastAsia="en-US"/>
        </w:rPr>
      </w:pPr>
    </w:p>
    <w:p w:rsidR="002149AF" w:rsidRPr="007B611F" w:rsidRDefault="002149AF" w:rsidP="002149AF">
      <w:pPr>
        <w:widowControl/>
        <w:suppressLineNumbers w:val="0"/>
        <w:shd w:val="clear" w:color="auto" w:fill="FFFFFF"/>
        <w:suppressAutoHyphens w:val="0"/>
        <w:ind w:firstLine="0"/>
        <w:jc w:val="right"/>
        <w:rPr>
          <w:rFonts w:eastAsia="Calibri"/>
          <w:b/>
          <w:color w:val="000000" w:themeColor="text1"/>
          <w:szCs w:val="24"/>
          <w:lang w:eastAsia="en-US"/>
        </w:rPr>
      </w:pPr>
      <w:r w:rsidRPr="007B611F">
        <w:rPr>
          <w:rFonts w:eastAsia="Calibri"/>
          <w:b/>
          <w:color w:val="000000" w:themeColor="text1"/>
          <w:szCs w:val="24"/>
          <w:lang w:eastAsia="en-US"/>
        </w:rPr>
        <w:t>Caio Freire de Sousa</w:t>
      </w:r>
    </w:p>
    <w:p w:rsidR="002149AF" w:rsidRPr="007B611F" w:rsidRDefault="002149AF" w:rsidP="002149AF">
      <w:pPr>
        <w:widowControl/>
        <w:suppressLineNumbers w:val="0"/>
        <w:shd w:val="clear" w:color="auto" w:fill="FFFFFF"/>
        <w:suppressAutoHyphens w:val="0"/>
        <w:ind w:firstLine="0"/>
        <w:jc w:val="right"/>
        <w:rPr>
          <w:rFonts w:eastAsia="Calibri"/>
          <w:b/>
          <w:color w:val="000000" w:themeColor="text1"/>
          <w:szCs w:val="24"/>
          <w:lang w:eastAsia="en-US"/>
        </w:rPr>
      </w:pPr>
      <w:r w:rsidRPr="007B611F">
        <w:rPr>
          <w:rFonts w:eastAsia="Calibri"/>
          <w:b/>
          <w:color w:val="000000" w:themeColor="text1"/>
          <w:szCs w:val="24"/>
          <w:lang w:eastAsia="en-US"/>
        </w:rPr>
        <w:t>Universidade Federal de Goiás (UFG)</w:t>
      </w:r>
    </w:p>
    <w:p w:rsidR="002149AF" w:rsidRPr="007B611F" w:rsidRDefault="002149AF" w:rsidP="002149AF">
      <w:pPr>
        <w:widowControl/>
        <w:suppressLineNumbers w:val="0"/>
        <w:shd w:val="clear" w:color="auto" w:fill="FFFFFF"/>
        <w:suppressAutoHyphens w:val="0"/>
        <w:ind w:firstLine="0"/>
        <w:jc w:val="right"/>
        <w:rPr>
          <w:rFonts w:eastAsia="Calibri"/>
          <w:b/>
          <w:i/>
          <w:color w:val="000000" w:themeColor="text1"/>
          <w:szCs w:val="24"/>
          <w:lang w:eastAsia="en-US"/>
        </w:rPr>
      </w:pPr>
      <w:r w:rsidRPr="007B611F">
        <w:rPr>
          <w:rFonts w:eastAsia="Calibri"/>
          <w:b/>
          <w:i/>
          <w:color w:val="000000" w:themeColor="text1"/>
          <w:szCs w:val="24"/>
          <w:lang w:eastAsia="en-US"/>
        </w:rPr>
        <w:t>caiofreiredesousa@gmail.com</w:t>
      </w:r>
    </w:p>
    <w:p w:rsidR="006C7AE7" w:rsidRPr="007B611F" w:rsidRDefault="006C7AE7" w:rsidP="007C3C21">
      <w:pPr>
        <w:widowControl/>
        <w:suppressLineNumbers w:val="0"/>
        <w:shd w:val="clear" w:color="auto" w:fill="FFFFFF"/>
        <w:suppressAutoHyphens w:val="0"/>
        <w:ind w:firstLine="0"/>
        <w:jc w:val="right"/>
        <w:rPr>
          <w:rFonts w:eastAsia="Calibri"/>
          <w:b/>
          <w:color w:val="000000" w:themeColor="text1"/>
          <w:szCs w:val="24"/>
          <w:lang w:eastAsia="en-US"/>
        </w:rPr>
      </w:pPr>
    </w:p>
    <w:p w:rsidR="007C3C21" w:rsidRPr="007B611F" w:rsidRDefault="007C3C21" w:rsidP="007C3C21">
      <w:pPr>
        <w:widowControl/>
        <w:suppressLineNumbers w:val="0"/>
        <w:shd w:val="clear" w:color="auto" w:fill="FFFFFF"/>
        <w:suppressAutoHyphens w:val="0"/>
        <w:ind w:firstLine="0"/>
        <w:jc w:val="right"/>
        <w:rPr>
          <w:rFonts w:eastAsia="Calibri"/>
          <w:b/>
          <w:color w:val="000000" w:themeColor="text1"/>
          <w:szCs w:val="24"/>
          <w:lang w:eastAsia="en-US"/>
        </w:rPr>
      </w:pPr>
      <w:r w:rsidRPr="007B611F">
        <w:rPr>
          <w:rFonts w:eastAsia="Calibri"/>
          <w:b/>
          <w:color w:val="000000" w:themeColor="text1"/>
          <w:szCs w:val="24"/>
          <w:lang w:eastAsia="en-US"/>
        </w:rPr>
        <w:t>Gabriel Silva de Lima</w:t>
      </w:r>
    </w:p>
    <w:p w:rsidR="007C3C21" w:rsidRPr="007B611F" w:rsidRDefault="007C3C21" w:rsidP="007C3C21">
      <w:pPr>
        <w:widowControl/>
        <w:suppressLineNumbers w:val="0"/>
        <w:shd w:val="clear" w:color="auto" w:fill="FFFFFF"/>
        <w:suppressAutoHyphens w:val="0"/>
        <w:ind w:firstLine="0"/>
        <w:jc w:val="right"/>
        <w:rPr>
          <w:rFonts w:eastAsia="Calibri"/>
          <w:b/>
          <w:color w:val="000000" w:themeColor="text1"/>
          <w:szCs w:val="24"/>
          <w:lang w:eastAsia="en-US"/>
        </w:rPr>
      </w:pPr>
      <w:r w:rsidRPr="007B611F">
        <w:rPr>
          <w:rFonts w:eastAsia="Calibri"/>
          <w:b/>
          <w:color w:val="000000" w:themeColor="text1"/>
          <w:szCs w:val="24"/>
          <w:lang w:eastAsia="en-US"/>
        </w:rPr>
        <w:t>Universidade Federal de Goiás (UFG)</w:t>
      </w:r>
    </w:p>
    <w:p w:rsidR="007C3C21" w:rsidRPr="007B611F" w:rsidRDefault="00A92F7A" w:rsidP="00A92F7A">
      <w:pPr>
        <w:widowControl/>
        <w:suppressLineNumbers w:val="0"/>
        <w:shd w:val="clear" w:color="auto" w:fill="FFFFFF"/>
        <w:suppressAutoHyphens w:val="0"/>
        <w:ind w:firstLine="0"/>
        <w:jc w:val="right"/>
        <w:rPr>
          <w:rFonts w:eastAsia="Calibri"/>
          <w:b/>
          <w:i/>
          <w:color w:val="000000" w:themeColor="text1"/>
          <w:szCs w:val="24"/>
          <w:lang w:eastAsia="en-US"/>
        </w:rPr>
      </w:pPr>
      <w:r w:rsidRPr="007B611F">
        <w:rPr>
          <w:b/>
          <w:i/>
          <w:color w:val="000000" w:themeColor="text1"/>
          <w:szCs w:val="24"/>
          <w:shd w:val="clear" w:color="auto" w:fill="FFFFFF"/>
        </w:rPr>
        <w:t>gabriellimaufg@gmail.com</w:t>
      </w:r>
    </w:p>
    <w:p w:rsidR="007C3C21" w:rsidRPr="007B611F" w:rsidRDefault="007C3C21" w:rsidP="007C3C21">
      <w:pPr>
        <w:widowControl/>
        <w:suppressLineNumbers w:val="0"/>
        <w:shd w:val="clear" w:color="auto" w:fill="FFFFFF"/>
        <w:suppressAutoHyphens w:val="0"/>
        <w:ind w:firstLine="0"/>
        <w:rPr>
          <w:rFonts w:eastAsia="Calibri"/>
          <w:color w:val="000000" w:themeColor="text1"/>
          <w:szCs w:val="24"/>
          <w:lang w:eastAsia="en-US"/>
        </w:rPr>
      </w:pPr>
    </w:p>
    <w:p w:rsidR="00A92F7A" w:rsidRPr="007B611F" w:rsidRDefault="00A92F7A" w:rsidP="00A92F7A">
      <w:pPr>
        <w:widowControl/>
        <w:suppressLineNumbers w:val="0"/>
        <w:shd w:val="clear" w:color="auto" w:fill="FFFFFF"/>
        <w:suppressAutoHyphens w:val="0"/>
        <w:ind w:firstLine="0"/>
        <w:jc w:val="right"/>
        <w:rPr>
          <w:rFonts w:eastAsia="Calibri"/>
          <w:b/>
          <w:color w:val="000000" w:themeColor="text1"/>
          <w:szCs w:val="24"/>
          <w:lang w:eastAsia="en-US"/>
        </w:rPr>
      </w:pPr>
      <w:r w:rsidRPr="007B611F">
        <w:rPr>
          <w:rFonts w:eastAsia="Calibri"/>
          <w:b/>
          <w:color w:val="000000" w:themeColor="text1"/>
          <w:szCs w:val="24"/>
          <w:lang w:eastAsia="en-US"/>
        </w:rPr>
        <w:t>Moisés Ferreira da Cunha</w:t>
      </w:r>
    </w:p>
    <w:p w:rsidR="00A92F7A" w:rsidRPr="007B611F" w:rsidRDefault="00A92F7A" w:rsidP="00A92F7A">
      <w:pPr>
        <w:widowControl/>
        <w:suppressLineNumbers w:val="0"/>
        <w:shd w:val="clear" w:color="auto" w:fill="FFFFFF"/>
        <w:suppressAutoHyphens w:val="0"/>
        <w:ind w:firstLine="0"/>
        <w:jc w:val="right"/>
        <w:rPr>
          <w:rFonts w:eastAsia="Calibri"/>
          <w:b/>
          <w:color w:val="000000" w:themeColor="text1"/>
          <w:szCs w:val="24"/>
          <w:lang w:eastAsia="en-US"/>
        </w:rPr>
      </w:pPr>
      <w:r w:rsidRPr="007B611F">
        <w:rPr>
          <w:rFonts w:eastAsia="Calibri"/>
          <w:b/>
          <w:color w:val="000000" w:themeColor="text1"/>
          <w:szCs w:val="24"/>
          <w:lang w:eastAsia="en-US"/>
        </w:rPr>
        <w:t>Universidade Federal de Goiás (UFG)</w:t>
      </w:r>
    </w:p>
    <w:p w:rsidR="00A92F7A" w:rsidRPr="009E3F12" w:rsidRDefault="00A92F7A" w:rsidP="00A92F7A">
      <w:pPr>
        <w:widowControl/>
        <w:suppressLineNumbers w:val="0"/>
        <w:shd w:val="clear" w:color="auto" w:fill="FFFFFF"/>
        <w:suppressAutoHyphens w:val="0"/>
        <w:ind w:firstLine="0"/>
        <w:jc w:val="right"/>
        <w:rPr>
          <w:rFonts w:eastAsia="Calibri"/>
          <w:b/>
          <w:i/>
          <w:color w:val="000000" w:themeColor="text1"/>
          <w:szCs w:val="24"/>
          <w:lang w:eastAsia="en-US"/>
        </w:rPr>
      </w:pPr>
      <w:r w:rsidRPr="007B611F">
        <w:rPr>
          <w:rFonts w:eastAsia="Calibri"/>
          <w:b/>
          <w:i/>
          <w:color w:val="000000" w:themeColor="text1"/>
          <w:szCs w:val="24"/>
          <w:lang w:eastAsia="en-US"/>
        </w:rPr>
        <w:t>moises.cunha2807@gmail.com</w:t>
      </w:r>
    </w:p>
    <w:p w:rsidR="007C3C21" w:rsidRPr="007B611F" w:rsidRDefault="007C3C21" w:rsidP="007C3C21">
      <w:pPr>
        <w:widowControl/>
        <w:suppressLineNumbers w:val="0"/>
        <w:shd w:val="clear" w:color="auto" w:fill="FFFFFF"/>
        <w:suppressAutoHyphens w:val="0"/>
        <w:ind w:firstLine="0"/>
        <w:rPr>
          <w:rFonts w:eastAsia="Calibri"/>
          <w:color w:val="000000" w:themeColor="text1"/>
          <w:szCs w:val="24"/>
          <w:lang w:eastAsia="en-US"/>
        </w:rPr>
      </w:pPr>
    </w:p>
    <w:p w:rsidR="006C7AE7" w:rsidRPr="007B611F" w:rsidRDefault="007C3C21" w:rsidP="006C7AE7">
      <w:pPr>
        <w:widowControl/>
        <w:suppressLineNumbers w:val="0"/>
        <w:shd w:val="clear" w:color="auto" w:fill="FFFFFF"/>
        <w:suppressAutoHyphens w:val="0"/>
        <w:ind w:firstLine="0"/>
        <w:rPr>
          <w:rFonts w:eastAsia="Calibri"/>
          <w:color w:val="000000" w:themeColor="text1"/>
          <w:szCs w:val="24"/>
          <w:lang w:eastAsia="en-US"/>
        </w:rPr>
      </w:pPr>
      <w:r w:rsidRPr="007B611F">
        <w:rPr>
          <w:rFonts w:eastAsia="Calibri"/>
          <w:b/>
          <w:color w:val="000000" w:themeColor="text1"/>
          <w:szCs w:val="24"/>
          <w:lang w:eastAsia="en-US"/>
        </w:rPr>
        <w:t xml:space="preserve">Resumo: </w:t>
      </w:r>
      <w:r w:rsidR="006C7AE7" w:rsidRPr="007B611F">
        <w:rPr>
          <w:rFonts w:eastAsia="Calibri"/>
          <w:color w:val="000000" w:themeColor="text1"/>
          <w:szCs w:val="24"/>
          <w:lang w:eastAsia="en-US"/>
        </w:rPr>
        <w:t>O objetivo deste trabalho foi analisar os determinantes do endividamento de quatorze municípios que compõe</w:t>
      </w:r>
      <w:r w:rsidR="006C7AE7" w:rsidRPr="007B611F">
        <w:rPr>
          <w:rFonts w:eastAsia="Calibri"/>
          <w:color w:val="000000" w:themeColor="text1"/>
          <w:szCs w:val="24"/>
        </w:rPr>
        <w:t>m</w:t>
      </w:r>
      <w:r w:rsidR="006C7AE7" w:rsidRPr="007B611F">
        <w:rPr>
          <w:rFonts w:eastAsia="Calibri"/>
          <w:color w:val="000000" w:themeColor="text1"/>
          <w:szCs w:val="24"/>
          <w:lang w:eastAsia="en-US"/>
        </w:rPr>
        <w:t xml:space="preserve"> a Região Metropolitana de Goiânia no período de 2003 a 2015. Para</w:t>
      </w:r>
      <w:r w:rsidR="00CE563D">
        <w:rPr>
          <w:rFonts w:eastAsia="Calibri"/>
          <w:color w:val="000000" w:themeColor="text1"/>
          <w:szCs w:val="24"/>
        </w:rPr>
        <w:t xml:space="preserve"> a consecução desta</w:t>
      </w:r>
      <w:r w:rsidR="006C7AE7" w:rsidRPr="007B611F">
        <w:rPr>
          <w:rFonts w:eastAsia="Calibri"/>
          <w:color w:val="000000" w:themeColor="text1"/>
          <w:szCs w:val="24"/>
        </w:rPr>
        <w:t xml:space="preserve"> pesquisa</w:t>
      </w:r>
      <w:r w:rsidR="00CE563D">
        <w:rPr>
          <w:rFonts w:eastAsia="Calibri"/>
          <w:color w:val="000000" w:themeColor="text1"/>
          <w:szCs w:val="24"/>
        </w:rPr>
        <w:t xml:space="preserve"> analítica</w:t>
      </w:r>
      <w:r w:rsidR="006C7AE7" w:rsidRPr="007B611F">
        <w:rPr>
          <w:rFonts w:eastAsia="Calibri"/>
          <w:color w:val="000000" w:themeColor="text1"/>
          <w:szCs w:val="24"/>
        </w:rPr>
        <w:t>, após uma revisão literária</w:t>
      </w:r>
      <w:r w:rsidR="006C7AE7" w:rsidRPr="007B611F">
        <w:rPr>
          <w:rFonts w:eastAsia="Calibri"/>
          <w:color w:val="000000" w:themeColor="text1"/>
          <w:szCs w:val="24"/>
          <w:lang w:eastAsia="en-US"/>
        </w:rPr>
        <w:t xml:space="preserve"> foi utilizada a técnica de regressão linear múltipla, com os dados sendo coletados através dos portais de transparência de cada município e também através de uma empresa de </w:t>
      </w:r>
      <w:r w:rsidR="006C7AE7" w:rsidRPr="007B611F">
        <w:rPr>
          <w:rFonts w:eastAsia="Calibri"/>
          <w:i/>
          <w:color w:val="000000" w:themeColor="text1"/>
          <w:szCs w:val="24"/>
          <w:lang w:eastAsia="en-US"/>
        </w:rPr>
        <w:t>softwares</w:t>
      </w:r>
      <w:r w:rsidR="006C7AE7" w:rsidRPr="007B611F">
        <w:rPr>
          <w:rFonts w:eastAsia="Calibri"/>
          <w:color w:val="000000" w:themeColor="text1"/>
          <w:szCs w:val="24"/>
          <w:lang w:eastAsia="en-US"/>
        </w:rPr>
        <w:t xml:space="preserve"> que presta serviços de disponibilização de dados junto </w:t>
      </w:r>
      <w:proofErr w:type="gramStart"/>
      <w:r w:rsidR="006C7AE7" w:rsidRPr="007B611F">
        <w:rPr>
          <w:rFonts w:eastAsia="Calibri"/>
          <w:color w:val="000000" w:themeColor="text1"/>
          <w:szCs w:val="24"/>
          <w:lang w:eastAsia="en-US"/>
        </w:rPr>
        <w:t>à</w:t>
      </w:r>
      <w:proofErr w:type="gramEnd"/>
      <w:r w:rsidR="006C7AE7" w:rsidRPr="007B611F">
        <w:rPr>
          <w:rFonts w:eastAsia="Calibri"/>
          <w:color w:val="000000" w:themeColor="text1"/>
          <w:szCs w:val="24"/>
          <w:lang w:eastAsia="en-US"/>
        </w:rPr>
        <w:t xml:space="preserve"> essas cidades. Primeiramente constatou-se que os municípios analisados na pesquisa não estão extrapolando os limites impostos pela Lei de Responsabilidade Fiscal. E após a operacionalização da regressão notou-se que os principais determinantes do endividamento foram </w:t>
      </w:r>
      <w:proofErr w:type="gramStart"/>
      <w:r w:rsidR="006C7AE7" w:rsidRPr="007B611F">
        <w:rPr>
          <w:rFonts w:eastAsia="Calibri"/>
          <w:color w:val="000000" w:themeColor="text1"/>
          <w:szCs w:val="24"/>
          <w:lang w:eastAsia="en-US"/>
        </w:rPr>
        <w:t>as</w:t>
      </w:r>
      <w:proofErr w:type="gramEnd"/>
      <w:r w:rsidR="006C7AE7" w:rsidRPr="007B611F">
        <w:rPr>
          <w:rFonts w:eastAsia="Calibri"/>
          <w:color w:val="000000" w:themeColor="text1"/>
          <w:szCs w:val="24"/>
          <w:lang w:eastAsia="en-US"/>
        </w:rPr>
        <w:t xml:space="preserve"> despesas de pessoal e o endividamento defasado. Concluiu-se que aparentemente a Lei de Responsabilidade Fiscal vem cumprindo o seu papel de contenção do déficit público e do endividame</w:t>
      </w:r>
      <w:r w:rsidR="006C7AE7" w:rsidRPr="007B611F">
        <w:rPr>
          <w:rFonts w:eastAsia="Calibri"/>
          <w:color w:val="000000" w:themeColor="text1"/>
          <w:szCs w:val="24"/>
        </w:rPr>
        <w:t>nto das cidades aqui analisadas. No entanto, apesar do aparente respeito aos padrões estabelecidos pela Lei de Responsabilidade Fiscal,</w:t>
      </w:r>
      <w:r w:rsidR="006C7AE7" w:rsidRPr="007B611F">
        <w:rPr>
          <w:rFonts w:eastAsia="Calibri"/>
          <w:color w:val="000000" w:themeColor="text1"/>
          <w:szCs w:val="24"/>
          <w:lang w:eastAsia="en-US"/>
        </w:rPr>
        <w:t xml:space="preserve"> alguns municípios, principalmente os menores, apresentaram valores significativos de dívidas, de forma que </w:t>
      </w:r>
      <w:proofErr w:type="gramStart"/>
      <w:r w:rsidR="006C7AE7" w:rsidRPr="007B611F">
        <w:rPr>
          <w:rFonts w:eastAsia="Calibri"/>
          <w:color w:val="000000" w:themeColor="text1"/>
          <w:szCs w:val="24"/>
          <w:lang w:eastAsia="en-US"/>
        </w:rPr>
        <w:t>faz-se</w:t>
      </w:r>
      <w:proofErr w:type="gramEnd"/>
      <w:r w:rsidR="006C7AE7" w:rsidRPr="007B611F">
        <w:rPr>
          <w:rFonts w:eastAsia="Calibri"/>
          <w:color w:val="000000" w:themeColor="text1"/>
          <w:szCs w:val="24"/>
          <w:lang w:eastAsia="en-US"/>
        </w:rPr>
        <w:t xml:space="preserve"> necessário entender quais são os determinantes desse endividamento, necessidade parcialmente suprida por esta pesquisa mas que pode ser complementada por outros estudos vindouros.</w:t>
      </w:r>
    </w:p>
    <w:p w:rsidR="009E3F12" w:rsidRPr="007B611F" w:rsidRDefault="009E3F12" w:rsidP="007C3C21">
      <w:pPr>
        <w:widowControl/>
        <w:suppressLineNumbers w:val="0"/>
        <w:shd w:val="clear" w:color="auto" w:fill="FFFFFF"/>
        <w:suppressAutoHyphens w:val="0"/>
        <w:ind w:firstLine="0"/>
        <w:rPr>
          <w:rFonts w:eastAsia="Calibri"/>
          <w:color w:val="000000" w:themeColor="text1"/>
          <w:szCs w:val="24"/>
          <w:lang w:eastAsia="en-US"/>
        </w:rPr>
      </w:pPr>
    </w:p>
    <w:p w:rsidR="007C3C21" w:rsidRPr="00633D45" w:rsidRDefault="007C3C21" w:rsidP="007C3C21">
      <w:pPr>
        <w:widowControl/>
        <w:suppressLineNumbers w:val="0"/>
        <w:shd w:val="clear" w:color="auto" w:fill="FFFFFF"/>
        <w:suppressAutoHyphens w:val="0"/>
        <w:ind w:firstLine="0"/>
        <w:rPr>
          <w:rFonts w:eastAsia="Calibri"/>
          <w:color w:val="000000" w:themeColor="text1"/>
          <w:szCs w:val="24"/>
          <w:lang w:eastAsia="en-US"/>
        </w:rPr>
      </w:pPr>
      <w:r w:rsidRPr="007B611F">
        <w:rPr>
          <w:rFonts w:eastAsia="Calibri"/>
          <w:b/>
          <w:color w:val="000000" w:themeColor="text1"/>
          <w:szCs w:val="24"/>
          <w:lang w:eastAsia="en-US"/>
        </w:rPr>
        <w:t xml:space="preserve">Palavras-Chave: </w:t>
      </w:r>
      <w:bookmarkStart w:id="0" w:name="_GoBack"/>
      <w:r w:rsidR="005E5548">
        <w:rPr>
          <w:rFonts w:eastAsia="Calibri"/>
          <w:color w:val="000000" w:themeColor="text1"/>
          <w:szCs w:val="24"/>
          <w:lang w:eastAsia="en-US"/>
        </w:rPr>
        <w:t>Endividamento Público; Lei de Responsabilidade Fiscal;</w:t>
      </w:r>
      <w:r w:rsidRPr="00C01D2B">
        <w:rPr>
          <w:rFonts w:eastAsia="Calibri"/>
          <w:color w:val="000000" w:themeColor="text1"/>
          <w:szCs w:val="24"/>
          <w:lang w:eastAsia="en-US"/>
        </w:rPr>
        <w:t xml:space="preserve"> </w:t>
      </w:r>
      <w:r w:rsidRPr="00633D45">
        <w:rPr>
          <w:rFonts w:eastAsia="Calibri"/>
          <w:color w:val="000000" w:themeColor="text1"/>
          <w:szCs w:val="24"/>
          <w:lang w:eastAsia="en-US"/>
        </w:rPr>
        <w:t xml:space="preserve">Finanças Municipais. </w:t>
      </w:r>
      <w:bookmarkEnd w:id="0"/>
    </w:p>
    <w:p w:rsidR="007C3C21" w:rsidRDefault="007C3C21" w:rsidP="007C3C21">
      <w:pPr>
        <w:widowControl/>
        <w:suppressLineNumbers w:val="0"/>
        <w:suppressAutoHyphens w:val="0"/>
        <w:ind w:firstLine="0"/>
        <w:rPr>
          <w:rFonts w:eastAsia="Calibri"/>
          <w:b/>
          <w:color w:val="000000" w:themeColor="text1"/>
          <w:szCs w:val="24"/>
          <w:lang w:eastAsia="en-US"/>
        </w:rPr>
      </w:pPr>
    </w:p>
    <w:p w:rsidR="009E3F12" w:rsidRPr="009E3F12" w:rsidRDefault="009E3F12" w:rsidP="007C3C21">
      <w:pPr>
        <w:widowControl/>
        <w:suppressLineNumbers w:val="0"/>
        <w:suppressAutoHyphens w:val="0"/>
        <w:ind w:firstLine="0"/>
        <w:rPr>
          <w:rFonts w:eastAsia="Calibri"/>
          <w:color w:val="000000" w:themeColor="text1"/>
          <w:szCs w:val="24"/>
          <w:lang w:eastAsia="en-US"/>
        </w:rPr>
      </w:pPr>
      <w:r>
        <w:rPr>
          <w:rFonts w:eastAsia="Calibri"/>
          <w:b/>
          <w:color w:val="000000" w:themeColor="text1"/>
          <w:szCs w:val="24"/>
          <w:lang w:eastAsia="en-US"/>
        </w:rPr>
        <w:t>Linha Temática:</w:t>
      </w:r>
      <w:r w:rsidR="00C01D2B">
        <w:rPr>
          <w:rFonts w:eastAsia="Calibri"/>
          <w:color w:val="000000" w:themeColor="text1"/>
          <w:szCs w:val="24"/>
          <w:lang w:eastAsia="en-US"/>
        </w:rPr>
        <w:t xml:space="preserve"> </w:t>
      </w:r>
      <w:r w:rsidR="000E7885">
        <w:rPr>
          <w:rFonts w:eastAsia="Calibri"/>
          <w:color w:val="000000" w:themeColor="text1"/>
          <w:szCs w:val="24"/>
          <w:lang w:eastAsia="en-US"/>
        </w:rPr>
        <w:t xml:space="preserve">Finanças e Mercados de Capitais - </w:t>
      </w:r>
      <w:r w:rsidR="003E1FCA">
        <w:rPr>
          <w:rFonts w:eastAsia="Calibri"/>
          <w:color w:val="000000" w:themeColor="text1"/>
          <w:szCs w:val="24"/>
          <w:lang w:eastAsia="en-US"/>
        </w:rPr>
        <w:t>Finanças Públicas</w:t>
      </w:r>
      <w:r w:rsidR="00C01D2B">
        <w:rPr>
          <w:rFonts w:eastAsia="Calibri"/>
          <w:color w:val="000000" w:themeColor="text1"/>
          <w:szCs w:val="24"/>
          <w:lang w:eastAsia="en-US"/>
        </w:rPr>
        <w:t>.</w:t>
      </w:r>
    </w:p>
    <w:p w:rsidR="007C3C21" w:rsidRDefault="007C3C21" w:rsidP="007C3C21">
      <w:pPr>
        <w:widowControl/>
        <w:suppressLineNumbers w:val="0"/>
        <w:suppressAutoHyphens w:val="0"/>
        <w:ind w:firstLine="0"/>
        <w:rPr>
          <w:rFonts w:eastAsia="Calibri"/>
          <w:b/>
          <w:color w:val="000000" w:themeColor="text1"/>
          <w:szCs w:val="24"/>
          <w:lang w:eastAsia="en-US"/>
        </w:rPr>
      </w:pPr>
    </w:p>
    <w:p w:rsidR="00C01D2B" w:rsidRPr="007B611F" w:rsidRDefault="00C01D2B" w:rsidP="007C3C21">
      <w:pPr>
        <w:widowControl/>
        <w:suppressLineNumbers w:val="0"/>
        <w:suppressAutoHyphens w:val="0"/>
        <w:ind w:firstLine="0"/>
        <w:rPr>
          <w:rFonts w:eastAsia="Calibri"/>
          <w:b/>
          <w:color w:val="000000" w:themeColor="text1"/>
          <w:szCs w:val="24"/>
          <w:lang w:eastAsia="en-US"/>
        </w:rPr>
      </w:pPr>
    </w:p>
    <w:p w:rsidR="007C3C21" w:rsidRPr="007B611F" w:rsidRDefault="007C3C21" w:rsidP="007C3C21">
      <w:pPr>
        <w:widowControl/>
        <w:suppressLineNumbers w:val="0"/>
        <w:suppressAutoHyphens w:val="0"/>
        <w:ind w:firstLine="0"/>
        <w:rPr>
          <w:rFonts w:eastAsia="Calibri"/>
          <w:b/>
          <w:color w:val="000000" w:themeColor="text1"/>
          <w:szCs w:val="24"/>
          <w:lang w:eastAsia="en-US"/>
        </w:rPr>
      </w:pPr>
      <w:proofErr w:type="gramStart"/>
      <w:r w:rsidRPr="007B611F">
        <w:rPr>
          <w:rFonts w:eastAsia="Calibri"/>
          <w:b/>
          <w:color w:val="000000" w:themeColor="text1"/>
          <w:szCs w:val="24"/>
          <w:lang w:eastAsia="en-US"/>
        </w:rPr>
        <w:lastRenderedPageBreak/>
        <w:t>1</w:t>
      </w:r>
      <w:proofErr w:type="gramEnd"/>
      <w:r w:rsidRPr="007B611F">
        <w:rPr>
          <w:rFonts w:eastAsia="Calibri"/>
          <w:b/>
          <w:color w:val="000000" w:themeColor="text1"/>
          <w:szCs w:val="24"/>
          <w:lang w:eastAsia="en-US"/>
        </w:rPr>
        <w:t xml:space="preserve"> I</w:t>
      </w:r>
      <w:r w:rsidR="00C01D2B" w:rsidRPr="007B611F">
        <w:rPr>
          <w:rFonts w:eastAsia="Calibri"/>
          <w:b/>
          <w:color w:val="000000" w:themeColor="text1"/>
          <w:szCs w:val="24"/>
          <w:lang w:eastAsia="en-US"/>
        </w:rPr>
        <w:t>ntrodução</w:t>
      </w:r>
    </w:p>
    <w:p w:rsidR="007C3C21" w:rsidRPr="007B611F" w:rsidRDefault="007C3C21" w:rsidP="007C3C21">
      <w:pPr>
        <w:widowControl/>
        <w:suppressLineNumbers w:val="0"/>
        <w:suppressAutoHyphens w:val="0"/>
        <w:ind w:firstLine="0"/>
        <w:rPr>
          <w:rFonts w:eastAsia="Calibri"/>
          <w:b/>
          <w:color w:val="000000" w:themeColor="text1"/>
          <w:szCs w:val="24"/>
          <w:lang w:eastAsia="en-US"/>
        </w:rPr>
      </w:pP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lang w:eastAsia="en-US"/>
        </w:rPr>
        <w:t>A partir da década de 80, com o advento da Constituição Federal e seguindo uma tendência mundial, tem ocorrido no Brasil um processo de maior descentralização administrativa, financeira e fiscal do Estado. Acompanhando esse movimento, os municípios se fortaleceram com a nova postura em termos de distribuição de receitas, pois a obtenção e o emprego dos recursos essenciais permitem atender as necessidades da sociedade em geral (M</w:t>
      </w:r>
      <w:r w:rsidR="00DE52C7" w:rsidRPr="007B611F">
        <w:rPr>
          <w:rFonts w:eastAsia="Calibri"/>
          <w:color w:val="000000" w:themeColor="text1"/>
          <w:szCs w:val="24"/>
          <w:lang w:eastAsia="en-US"/>
        </w:rPr>
        <w:t>atias-Pereira</w:t>
      </w:r>
      <w:r w:rsidRPr="007B611F">
        <w:rPr>
          <w:rFonts w:eastAsia="Calibri"/>
          <w:color w:val="000000" w:themeColor="text1"/>
          <w:szCs w:val="24"/>
          <w:lang w:eastAsia="en-US"/>
        </w:rPr>
        <w:t xml:space="preserve">, 2009). </w:t>
      </w: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lang w:eastAsia="en-US"/>
        </w:rPr>
        <w:t xml:space="preserve">A figura dos municípios, por estarem espacialmente mais próximos da população, tem papel de destaque na estrutura </w:t>
      </w:r>
      <w:proofErr w:type="gramStart"/>
      <w:r w:rsidRPr="007B611F">
        <w:rPr>
          <w:rFonts w:eastAsia="Calibri"/>
          <w:color w:val="000000" w:themeColor="text1"/>
          <w:szCs w:val="24"/>
          <w:lang w:eastAsia="en-US"/>
        </w:rPr>
        <w:t>político administrativa brasileira</w:t>
      </w:r>
      <w:proofErr w:type="gramEnd"/>
      <w:r w:rsidRPr="007B611F">
        <w:rPr>
          <w:rFonts w:eastAsia="Calibri"/>
          <w:color w:val="000000" w:themeColor="text1"/>
          <w:szCs w:val="24"/>
          <w:lang w:eastAsia="en-US"/>
        </w:rPr>
        <w:t>. Assim, o aumento constante da demanda social por bens e serviços públicos, até meados da década de 1990, ocasionou um crescente desequilíbrio nas contas de tais entes (</w:t>
      </w:r>
      <w:proofErr w:type="spellStart"/>
      <w:r w:rsidRPr="007B611F">
        <w:rPr>
          <w:rFonts w:eastAsia="Calibri"/>
          <w:color w:val="000000" w:themeColor="text1"/>
          <w:szCs w:val="24"/>
          <w:lang w:eastAsia="en-US"/>
        </w:rPr>
        <w:t>G</w:t>
      </w:r>
      <w:r w:rsidR="00DE52C7" w:rsidRPr="007B611F">
        <w:rPr>
          <w:rFonts w:eastAsia="Calibri"/>
          <w:color w:val="000000" w:themeColor="text1"/>
          <w:szCs w:val="24"/>
          <w:lang w:eastAsia="en-US"/>
        </w:rPr>
        <w:t>e</w:t>
      </w:r>
      <w:r w:rsidR="00817308" w:rsidRPr="007B611F">
        <w:rPr>
          <w:rFonts w:eastAsia="Calibri"/>
          <w:color w:val="000000" w:themeColor="text1"/>
          <w:szCs w:val="24"/>
          <w:lang w:eastAsia="en-US"/>
        </w:rPr>
        <w:t>rigk</w:t>
      </w:r>
      <w:proofErr w:type="spellEnd"/>
      <w:r w:rsidR="00817308" w:rsidRPr="007B611F">
        <w:rPr>
          <w:rFonts w:eastAsia="Calibri"/>
          <w:color w:val="000000" w:themeColor="text1"/>
          <w:szCs w:val="24"/>
          <w:lang w:eastAsia="en-US"/>
        </w:rPr>
        <w:t>,</w:t>
      </w:r>
      <w:r w:rsidR="00DE52C7" w:rsidRPr="007B611F">
        <w:rPr>
          <w:rFonts w:eastAsia="Calibri"/>
          <w:color w:val="000000" w:themeColor="text1"/>
          <w:szCs w:val="24"/>
          <w:lang w:eastAsia="en-US"/>
        </w:rPr>
        <w:t xml:space="preserve"> Clemente &amp; Ribeiro</w:t>
      </w:r>
      <w:r w:rsidRPr="007B611F">
        <w:rPr>
          <w:rFonts w:eastAsia="Calibri"/>
          <w:color w:val="000000" w:themeColor="text1"/>
          <w:szCs w:val="24"/>
          <w:lang w:eastAsia="en-US"/>
        </w:rPr>
        <w:t>, 2014; A</w:t>
      </w:r>
      <w:r w:rsidR="00DE52C7" w:rsidRPr="007B611F">
        <w:rPr>
          <w:rFonts w:eastAsia="Calibri"/>
          <w:color w:val="000000" w:themeColor="text1"/>
          <w:szCs w:val="24"/>
          <w:lang w:eastAsia="en-US"/>
        </w:rPr>
        <w:t>fonso</w:t>
      </w:r>
      <w:r w:rsidRPr="007B611F">
        <w:rPr>
          <w:rFonts w:eastAsia="Calibri"/>
          <w:color w:val="000000" w:themeColor="text1"/>
          <w:szCs w:val="24"/>
          <w:lang w:eastAsia="en-US"/>
        </w:rPr>
        <w:t xml:space="preserve"> </w:t>
      </w:r>
      <w:proofErr w:type="gramStart"/>
      <w:r w:rsidRPr="007B611F">
        <w:rPr>
          <w:rFonts w:eastAsia="Calibri"/>
          <w:color w:val="000000" w:themeColor="text1"/>
          <w:szCs w:val="24"/>
          <w:lang w:eastAsia="en-US"/>
        </w:rPr>
        <w:t>et</w:t>
      </w:r>
      <w:proofErr w:type="gramEnd"/>
      <w:r w:rsidRPr="007B611F">
        <w:rPr>
          <w:rFonts w:eastAsia="Calibri"/>
          <w:color w:val="000000" w:themeColor="text1"/>
          <w:szCs w:val="24"/>
          <w:lang w:eastAsia="en-US"/>
        </w:rPr>
        <w:t xml:space="preserve"> al., 2017). </w:t>
      </w: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lang w:eastAsia="en-US"/>
        </w:rPr>
        <w:t>Desde então, percebe-se as tentativas de controle dos dispêndios públicos, porém, com recursos cada vez mais escassos e as demandas crescentes dos cidadãos, a máquina pública passa a desembolsar mais do que arrecada, ocasionando o seu endividamento. As despesas mínimas para sustentar a estrutura administrativa do setor público mostram-se rígidas e o foco passou então a ser o aumento das receitas, o que acarretou a elevação exponencial na carga tributária ao longo dos anos (S</w:t>
      </w:r>
      <w:r w:rsidR="00753AA5" w:rsidRPr="007B611F">
        <w:rPr>
          <w:rFonts w:eastAsia="Calibri"/>
          <w:color w:val="000000" w:themeColor="text1"/>
          <w:szCs w:val="24"/>
          <w:lang w:eastAsia="en-US"/>
        </w:rPr>
        <w:t>oares</w:t>
      </w:r>
      <w:r w:rsidRPr="007B611F">
        <w:rPr>
          <w:rFonts w:eastAsia="Calibri"/>
          <w:color w:val="000000" w:themeColor="text1"/>
          <w:szCs w:val="24"/>
          <w:lang w:eastAsia="en-US"/>
        </w:rPr>
        <w:t xml:space="preserve"> </w:t>
      </w:r>
      <w:proofErr w:type="gramStart"/>
      <w:r w:rsidRPr="007B611F">
        <w:rPr>
          <w:rFonts w:eastAsia="Calibri"/>
          <w:color w:val="000000" w:themeColor="text1"/>
          <w:szCs w:val="24"/>
          <w:lang w:eastAsia="en-US"/>
        </w:rPr>
        <w:t>et</w:t>
      </w:r>
      <w:proofErr w:type="gramEnd"/>
      <w:r w:rsidRPr="007B611F">
        <w:rPr>
          <w:rFonts w:eastAsia="Calibri"/>
          <w:color w:val="000000" w:themeColor="text1"/>
          <w:szCs w:val="24"/>
          <w:lang w:eastAsia="en-US"/>
        </w:rPr>
        <w:t xml:space="preserve"> al., 2012).</w:t>
      </w: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lang w:eastAsia="en-US"/>
        </w:rPr>
        <w:t>Avaliar o desempenho das finanças públicas, sob o enfoque fiscal responsável, pauta-se em planejamento, controle, transparência e responsabilidade,</w:t>
      </w:r>
      <w:r w:rsidRPr="007B611F">
        <w:rPr>
          <w:rFonts w:eastAsia="Calibri"/>
          <w:color w:val="000000" w:themeColor="text1"/>
          <w:sz w:val="22"/>
          <w:szCs w:val="22"/>
          <w:lang w:eastAsia="en-US"/>
        </w:rPr>
        <w:t xml:space="preserve"> </w:t>
      </w:r>
      <w:r w:rsidRPr="007B611F">
        <w:rPr>
          <w:rFonts w:eastAsia="Calibri"/>
          <w:color w:val="000000" w:themeColor="text1"/>
          <w:szCs w:val="24"/>
          <w:lang w:eastAsia="en-US"/>
        </w:rPr>
        <w:t xml:space="preserve">nesse sentido, a Lei Complementar nº 101 de </w:t>
      </w:r>
      <w:proofErr w:type="gramStart"/>
      <w:r w:rsidRPr="007B611F">
        <w:rPr>
          <w:rFonts w:eastAsia="Calibri"/>
          <w:color w:val="000000" w:themeColor="text1"/>
          <w:szCs w:val="24"/>
          <w:lang w:eastAsia="en-US"/>
        </w:rPr>
        <w:t>4</w:t>
      </w:r>
      <w:proofErr w:type="gramEnd"/>
      <w:r w:rsidRPr="007B611F">
        <w:rPr>
          <w:rFonts w:eastAsia="Calibri"/>
          <w:color w:val="000000" w:themeColor="text1"/>
          <w:szCs w:val="24"/>
          <w:lang w:eastAsia="en-US"/>
        </w:rPr>
        <w:t xml:space="preserve"> de maio de 2000, também chamada de Lei de Responsabilidade Fiscal, foi promulgada com o intuito de atuar como mecanismo de controle, estabelecendo limites para despesas com pessoal e para a dívida pública, além da confecção de metas para o controle de receitas e despesas. Buscava-se equilibrar a disponibilidade de recursos a serem aplicados na melhoria dos serviços públicos e consequentemente proporcionar redução do </w:t>
      </w:r>
      <w:r w:rsidR="00753AA5" w:rsidRPr="007B611F">
        <w:rPr>
          <w:rFonts w:eastAsia="Calibri"/>
          <w:color w:val="000000" w:themeColor="text1"/>
          <w:szCs w:val="24"/>
          <w:lang w:eastAsia="en-US"/>
        </w:rPr>
        <w:t>déficit fiscal (Linhares,</w:t>
      </w:r>
      <w:r w:rsidR="00817308" w:rsidRPr="007B611F">
        <w:rPr>
          <w:rFonts w:eastAsia="Calibri"/>
          <w:color w:val="000000" w:themeColor="text1"/>
          <w:szCs w:val="24"/>
          <w:lang w:eastAsia="en-US"/>
        </w:rPr>
        <w:t xml:space="preserve"> P</w:t>
      </w:r>
      <w:r w:rsidR="00753AA5" w:rsidRPr="007B611F">
        <w:rPr>
          <w:rFonts w:eastAsia="Calibri"/>
          <w:color w:val="000000" w:themeColor="text1"/>
          <w:szCs w:val="24"/>
          <w:lang w:eastAsia="en-US"/>
        </w:rPr>
        <w:t>enna &amp;</w:t>
      </w:r>
      <w:r w:rsidR="00817308" w:rsidRPr="007B611F">
        <w:rPr>
          <w:rFonts w:eastAsia="Calibri"/>
          <w:color w:val="000000" w:themeColor="text1"/>
          <w:szCs w:val="24"/>
          <w:lang w:eastAsia="en-US"/>
        </w:rPr>
        <w:t xml:space="preserve"> Borges, 2013; C</w:t>
      </w:r>
      <w:r w:rsidR="00753AA5" w:rsidRPr="007B611F">
        <w:rPr>
          <w:rFonts w:eastAsia="Calibri"/>
          <w:color w:val="000000" w:themeColor="text1"/>
          <w:szCs w:val="24"/>
          <w:lang w:eastAsia="en-US"/>
        </w:rPr>
        <w:t>ruz &amp;</w:t>
      </w:r>
      <w:r w:rsidR="00817308" w:rsidRPr="007B611F">
        <w:rPr>
          <w:rFonts w:eastAsia="Calibri"/>
          <w:color w:val="000000" w:themeColor="text1"/>
          <w:szCs w:val="24"/>
          <w:lang w:eastAsia="en-US"/>
        </w:rPr>
        <w:t xml:space="preserve"> A</w:t>
      </w:r>
      <w:r w:rsidR="00753AA5" w:rsidRPr="007B611F">
        <w:rPr>
          <w:rFonts w:eastAsia="Calibri"/>
          <w:color w:val="000000" w:themeColor="text1"/>
          <w:szCs w:val="24"/>
          <w:lang w:eastAsia="en-US"/>
        </w:rPr>
        <w:t xml:space="preserve">fonso, 2018). </w:t>
      </w:r>
    </w:p>
    <w:p w:rsidR="007C3C21" w:rsidRPr="007B611F" w:rsidRDefault="007C3C21" w:rsidP="007C3C21">
      <w:pPr>
        <w:widowControl/>
        <w:suppressLineNumbers w:val="0"/>
        <w:suppressAutoHyphens w:val="0"/>
        <w:ind w:firstLine="720"/>
        <w:contextualSpacing/>
        <w:rPr>
          <w:rFonts w:eastAsia="Calibri"/>
          <w:color w:val="000000" w:themeColor="text1"/>
          <w:sz w:val="22"/>
          <w:szCs w:val="22"/>
          <w:lang w:eastAsia="en-US"/>
        </w:rPr>
      </w:pPr>
      <w:r w:rsidRPr="007B611F">
        <w:rPr>
          <w:rFonts w:eastAsia="Calibri"/>
          <w:color w:val="000000" w:themeColor="text1"/>
          <w:szCs w:val="24"/>
          <w:lang w:eastAsia="en-US"/>
        </w:rPr>
        <w:t xml:space="preserve">A partir de então </w:t>
      </w:r>
      <w:proofErr w:type="gramStart"/>
      <w:r w:rsidRPr="007B611F">
        <w:rPr>
          <w:rFonts w:eastAsia="Calibri"/>
          <w:color w:val="000000" w:themeColor="text1"/>
          <w:szCs w:val="24"/>
          <w:lang w:eastAsia="en-US"/>
        </w:rPr>
        <w:t>inicia-se</w:t>
      </w:r>
      <w:proofErr w:type="gramEnd"/>
      <w:r w:rsidRPr="007B611F">
        <w:rPr>
          <w:rFonts w:eastAsia="Calibri"/>
          <w:color w:val="000000" w:themeColor="text1"/>
          <w:szCs w:val="24"/>
          <w:lang w:eastAsia="en-US"/>
        </w:rPr>
        <w:t xml:space="preserve"> no Brasil um processo de combate ao desequilíbrio fiscal da administração pública nos três níveis de governo, por meio de um rígido controle do endividamento público (M</w:t>
      </w:r>
      <w:r w:rsidR="00817308" w:rsidRPr="007B611F">
        <w:rPr>
          <w:rFonts w:eastAsia="Calibri"/>
          <w:color w:val="000000" w:themeColor="text1"/>
          <w:szCs w:val="24"/>
          <w:lang w:eastAsia="en-US"/>
        </w:rPr>
        <w:t>atias-pereira</w:t>
      </w:r>
      <w:r w:rsidRPr="007B611F">
        <w:rPr>
          <w:rFonts w:eastAsia="Calibri"/>
          <w:color w:val="000000" w:themeColor="text1"/>
          <w:szCs w:val="24"/>
          <w:lang w:eastAsia="en-US"/>
        </w:rPr>
        <w:t xml:space="preserve">, 2006). </w:t>
      </w:r>
      <w:proofErr w:type="gramStart"/>
      <w:r w:rsidRPr="007B611F">
        <w:rPr>
          <w:rFonts w:eastAsia="Calibri"/>
          <w:color w:val="000000" w:themeColor="text1"/>
          <w:szCs w:val="24"/>
          <w:lang w:eastAsia="en-US"/>
        </w:rPr>
        <w:t>Fixou-se</w:t>
      </w:r>
      <w:proofErr w:type="gramEnd"/>
      <w:r w:rsidRPr="007B611F">
        <w:rPr>
          <w:rFonts w:eastAsia="Calibri"/>
          <w:color w:val="000000" w:themeColor="text1"/>
          <w:szCs w:val="24"/>
          <w:lang w:eastAsia="en-US"/>
        </w:rPr>
        <w:t xml:space="preserve"> limites para despesas com pessoal e para a dívida pública, estipulando ainda que fossem elaboradas metas para o controle de receitas e despesas.</w:t>
      </w:r>
      <w:r w:rsidRPr="007B611F">
        <w:rPr>
          <w:rFonts w:eastAsia="Calibri"/>
          <w:color w:val="000000" w:themeColor="text1"/>
          <w:sz w:val="22"/>
          <w:szCs w:val="22"/>
          <w:lang w:eastAsia="en-US"/>
        </w:rPr>
        <w:t xml:space="preserve"> </w:t>
      </w:r>
    </w:p>
    <w:p w:rsidR="007C3C21" w:rsidRPr="007B611F" w:rsidRDefault="007C3C21" w:rsidP="007C3C21">
      <w:pPr>
        <w:widowControl/>
        <w:suppressLineNumbers w:val="0"/>
        <w:suppressAutoHyphens w:val="0"/>
        <w:ind w:firstLine="720"/>
        <w:contextualSpacing/>
        <w:rPr>
          <w:rFonts w:eastAsia="Calibri"/>
          <w:color w:val="000000" w:themeColor="text1"/>
          <w:sz w:val="22"/>
          <w:szCs w:val="22"/>
          <w:lang w:eastAsia="en-US"/>
        </w:rPr>
      </w:pPr>
      <w:r w:rsidRPr="007B611F">
        <w:rPr>
          <w:rFonts w:eastAsia="Calibri"/>
          <w:color w:val="000000" w:themeColor="text1"/>
          <w:szCs w:val="24"/>
          <w:lang w:eastAsia="en-US"/>
        </w:rPr>
        <w:t xml:space="preserve">Desde a década de 1990, tanto o governo federal quanto estadual </w:t>
      </w:r>
      <w:proofErr w:type="gramStart"/>
      <w:r w:rsidRPr="007B611F">
        <w:rPr>
          <w:rFonts w:eastAsia="Calibri"/>
          <w:color w:val="000000" w:themeColor="text1"/>
          <w:szCs w:val="24"/>
          <w:lang w:eastAsia="en-US"/>
        </w:rPr>
        <w:t>implementou</w:t>
      </w:r>
      <w:proofErr w:type="gramEnd"/>
      <w:r w:rsidRPr="007B611F">
        <w:rPr>
          <w:rFonts w:eastAsia="Calibri"/>
          <w:color w:val="000000" w:themeColor="text1"/>
          <w:szCs w:val="24"/>
          <w:lang w:eastAsia="en-US"/>
        </w:rPr>
        <w:t xml:space="preserve"> diversas políticas e programas de descentralização, focando a municipalização de diversos serviços públicos essenciais. Assim, as finanças municipais</w:t>
      </w:r>
      <w:r w:rsidRPr="007B611F">
        <w:rPr>
          <w:rFonts w:eastAsia="Calibri"/>
          <w:color w:val="000000" w:themeColor="text1"/>
          <w:sz w:val="22"/>
          <w:szCs w:val="22"/>
          <w:lang w:eastAsia="en-US"/>
        </w:rPr>
        <w:t xml:space="preserve"> </w:t>
      </w:r>
      <w:r w:rsidRPr="007B611F">
        <w:rPr>
          <w:rFonts w:eastAsia="Calibri"/>
          <w:color w:val="000000" w:themeColor="text1"/>
          <w:szCs w:val="24"/>
          <w:lang w:eastAsia="en-US"/>
        </w:rPr>
        <w:t>representam dispositivo fundamental para estruturação do processo de desenvolvimento local, visando melhoria na distribuição de renda e na qualidade de vida, crescimento de postos de trabalho e geração de renda</w:t>
      </w:r>
      <w:r w:rsidRPr="007B611F">
        <w:rPr>
          <w:rFonts w:eastAsia="Calibri"/>
          <w:color w:val="000000" w:themeColor="text1"/>
          <w:sz w:val="22"/>
          <w:szCs w:val="22"/>
          <w:lang w:eastAsia="en-US"/>
        </w:rPr>
        <w:t xml:space="preserve"> </w:t>
      </w:r>
      <w:r w:rsidRPr="007B611F">
        <w:rPr>
          <w:rFonts w:eastAsia="Calibri"/>
          <w:color w:val="000000" w:themeColor="text1"/>
          <w:szCs w:val="24"/>
          <w:lang w:eastAsia="en-US"/>
        </w:rPr>
        <w:t>(</w:t>
      </w:r>
      <w:proofErr w:type="spellStart"/>
      <w:r w:rsidRPr="007B611F">
        <w:rPr>
          <w:rFonts w:eastAsia="Calibri"/>
          <w:color w:val="000000" w:themeColor="text1"/>
          <w:szCs w:val="24"/>
          <w:lang w:eastAsia="en-US"/>
        </w:rPr>
        <w:t>R</w:t>
      </w:r>
      <w:r w:rsidR="00817308" w:rsidRPr="007B611F">
        <w:rPr>
          <w:rFonts w:eastAsia="Calibri"/>
          <w:color w:val="000000" w:themeColor="text1"/>
          <w:szCs w:val="24"/>
          <w:lang w:eastAsia="en-US"/>
        </w:rPr>
        <w:t>omanatto</w:t>
      </w:r>
      <w:proofErr w:type="spellEnd"/>
      <w:r w:rsidR="00817308" w:rsidRPr="007B611F">
        <w:rPr>
          <w:rFonts w:eastAsia="Calibri"/>
          <w:color w:val="000000" w:themeColor="text1"/>
          <w:szCs w:val="24"/>
          <w:lang w:eastAsia="en-US"/>
        </w:rPr>
        <w:t>; Oliveira</w:t>
      </w:r>
      <w:r w:rsidRPr="007B611F">
        <w:rPr>
          <w:rFonts w:eastAsia="Calibri"/>
          <w:color w:val="000000" w:themeColor="text1"/>
          <w:szCs w:val="24"/>
          <w:lang w:eastAsia="en-US"/>
        </w:rPr>
        <w:t>, 2010).</w:t>
      </w:r>
      <w:r w:rsidRPr="007B611F">
        <w:rPr>
          <w:rFonts w:eastAsia="Calibri"/>
          <w:color w:val="000000" w:themeColor="text1"/>
          <w:sz w:val="22"/>
          <w:szCs w:val="22"/>
          <w:lang w:eastAsia="en-US"/>
        </w:rPr>
        <w:t xml:space="preserve"> </w:t>
      </w:r>
    </w:p>
    <w:p w:rsidR="007C3C21" w:rsidRPr="007B611F" w:rsidRDefault="007C3C21" w:rsidP="007C3C21">
      <w:pPr>
        <w:widowControl/>
        <w:suppressLineNumbers w:val="0"/>
        <w:suppressAutoHyphens w:val="0"/>
        <w:ind w:firstLine="720"/>
        <w:contextualSpacing/>
        <w:rPr>
          <w:rFonts w:eastAsia="Calibri"/>
          <w:color w:val="000000" w:themeColor="text1"/>
          <w:szCs w:val="24"/>
          <w:lang w:eastAsia="en-US"/>
        </w:rPr>
      </w:pPr>
      <w:r w:rsidRPr="007B611F">
        <w:rPr>
          <w:rFonts w:eastAsia="Calibri"/>
          <w:color w:val="000000" w:themeColor="text1"/>
          <w:szCs w:val="24"/>
          <w:lang w:eastAsia="en-US"/>
        </w:rPr>
        <w:t xml:space="preserve">Se tratando de municípios goianos, o conjunto dos 246 municípios que compõem o Estado conta com uma população de 6,921 milhões de habitantes, </w:t>
      </w:r>
      <w:proofErr w:type="gramStart"/>
      <w:r w:rsidRPr="007B611F">
        <w:rPr>
          <w:rFonts w:eastAsia="Calibri"/>
          <w:color w:val="000000" w:themeColor="text1"/>
          <w:szCs w:val="24"/>
          <w:lang w:eastAsia="en-US"/>
        </w:rPr>
        <w:t>cerca de 3,3</w:t>
      </w:r>
      <w:proofErr w:type="gramEnd"/>
      <w:r w:rsidRPr="007B611F">
        <w:rPr>
          <w:rFonts w:eastAsia="Calibri"/>
          <w:color w:val="000000" w:themeColor="text1"/>
          <w:szCs w:val="24"/>
          <w:lang w:eastAsia="en-US"/>
        </w:rPr>
        <w:t xml:space="preserve"> % da população brasileira. Ocupa, atualmente, a nona posição na economia nacional com um PIB, em 2017, de R$ 189 bilhões, que representa 2,8% do total dos estados da Federação. Desde 2010 a economia </w:t>
      </w:r>
      <w:r w:rsidRPr="007B611F">
        <w:rPr>
          <w:rFonts w:eastAsia="Calibri"/>
          <w:color w:val="000000" w:themeColor="text1"/>
          <w:szCs w:val="24"/>
          <w:lang w:eastAsia="en-US"/>
        </w:rPr>
        <w:lastRenderedPageBreak/>
        <w:t xml:space="preserve">goiana vem crescendo em média 1,4% ao ano, </w:t>
      </w:r>
      <w:proofErr w:type="gramStart"/>
      <w:r w:rsidRPr="007B611F">
        <w:rPr>
          <w:rFonts w:eastAsia="Calibri"/>
          <w:color w:val="000000" w:themeColor="text1"/>
          <w:szCs w:val="24"/>
          <w:lang w:eastAsia="en-US"/>
        </w:rPr>
        <w:t>performance</w:t>
      </w:r>
      <w:proofErr w:type="gramEnd"/>
      <w:r w:rsidRPr="007B611F">
        <w:rPr>
          <w:rFonts w:eastAsia="Calibri"/>
          <w:color w:val="000000" w:themeColor="text1"/>
          <w:szCs w:val="24"/>
          <w:lang w:eastAsia="en-US"/>
        </w:rPr>
        <w:t xml:space="preserve"> acima da nacional, que ficou em 0,48%, um bom resultado que preservou Goiás no grupo das 10 maiores economias entre os estados brasileiros. Dentre os diversos setores da economia, vem se destacando no estado o de serviços, cujo principal tributo é de competência municipal (I</w:t>
      </w:r>
      <w:r w:rsidR="00817308" w:rsidRPr="007B611F">
        <w:rPr>
          <w:rFonts w:eastAsia="Calibri"/>
          <w:color w:val="000000" w:themeColor="text1"/>
          <w:szCs w:val="24"/>
          <w:lang w:eastAsia="en-US"/>
        </w:rPr>
        <w:t>nstituto Mauro Borges</w:t>
      </w:r>
      <w:r w:rsidRPr="007B611F">
        <w:rPr>
          <w:rFonts w:eastAsia="Calibri"/>
          <w:color w:val="000000" w:themeColor="text1"/>
          <w:szCs w:val="24"/>
          <w:lang w:eastAsia="en-US"/>
        </w:rPr>
        <w:t xml:space="preserve">, 2018). Destacam-se dentre os municípios goianos, os pertencentes </w:t>
      </w:r>
      <w:proofErr w:type="gramStart"/>
      <w:r w:rsidRPr="007B611F">
        <w:rPr>
          <w:rFonts w:eastAsia="Calibri"/>
          <w:color w:val="000000" w:themeColor="text1"/>
          <w:szCs w:val="24"/>
          <w:lang w:eastAsia="en-US"/>
        </w:rPr>
        <w:t>a</w:t>
      </w:r>
      <w:proofErr w:type="gramEnd"/>
      <w:r w:rsidRPr="007B611F">
        <w:rPr>
          <w:rFonts w:eastAsia="Calibri"/>
          <w:color w:val="000000" w:themeColor="text1"/>
          <w:szCs w:val="24"/>
          <w:lang w:eastAsia="en-US"/>
        </w:rPr>
        <w:t xml:space="preserve"> região metropolitana de Goiânia que abrangem quase 40% da população e do PIB do Estado (</w:t>
      </w:r>
      <w:r w:rsidR="00817308" w:rsidRPr="007B611F">
        <w:rPr>
          <w:rFonts w:eastAsia="Calibri"/>
          <w:color w:val="000000" w:themeColor="text1"/>
          <w:szCs w:val="24"/>
          <w:shd w:val="clear" w:color="auto" w:fill="FFFFFF"/>
          <w:lang w:eastAsia="en-US"/>
        </w:rPr>
        <w:t xml:space="preserve">Fórum Nacional de Entidades </w:t>
      </w:r>
      <w:proofErr w:type="spellStart"/>
      <w:r w:rsidR="00817308" w:rsidRPr="007B611F">
        <w:rPr>
          <w:rFonts w:eastAsia="Calibri"/>
          <w:color w:val="000000" w:themeColor="text1"/>
          <w:szCs w:val="24"/>
          <w:shd w:val="clear" w:color="auto" w:fill="FFFFFF"/>
          <w:lang w:eastAsia="en-US"/>
        </w:rPr>
        <w:t>Metrolitanas</w:t>
      </w:r>
      <w:proofErr w:type="spellEnd"/>
      <w:r w:rsidRPr="007B611F">
        <w:rPr>
          <w:rFonts w:eastAsia="Calibri"/>
          <w:color w:val="000000" w:themeColor="text1"/>
          <w:szCs w:val="24"/>
          <w:lang w:eastAsia="en-US"/>
        </w:rPr>
        <w:t>, 2018).</w:t>
      </w:r>
    </w:p>
    <w:p w:rsidR="007C3C21" w:rsidRPr="007B611F" w:rsidRDefault="007C3C21" w:rsidP="007C3C21">
      <w:pPr>
        <w:widowControl/>
        <w:suppressLineNumbers w:val="0"/>
        <w:suppressAutoHyphens w:val="0"/>
        <w:ind w:firstLine="720"/>
        <w:contextualSpacing/>
        <w:rPr>
          <w:rFonts w:eastAsia="Calibri"/>
          <w:color w:val="000000" w:themeColor="text1"/>
          <w:szCs w:val="24"/>
          <w:lang w:eastAsia="en-US"/>
        </w:rPr>
      </w:pPr>
      <w:r w:rsidRPr="007B611F">
        <w:rPr>
          <w:rFonts w:eastAsia="Calibri"/>
          <w:color w:val="000000" w:themeColor="text1"/>
          <w:szCs w:val="24"/>
          <w:lang w:eastAsia="en-US"/>
        </w:rPr>
        <w:t>Visando a transparência e controle dos recursos, os municípios em atendimento a Lei de Responsabilidade Fiscal devem encaminhar relatórios a Câmara de Vereadores, a conselhos municipais e a órgãos de outras esferas de governo, estadual e municipal (B</w:t>
      </w:r>
      <w:r w:rsidR="00817308" w:rsidRPr="007B611F">
        <w:rPr>
          <w:rFonts w:eastAsia="Calibri"/>
          <w:color w:val="000000" w:themeColor="text1"/>
          <w:szCs w:val="24"/>
          <w:lang w:eastAsia="en-US"/>
        </w:rPr>
        <w:t>rasil</w:t>
      </w:r>
      <w:r w:rsidRPr="007B611F">
        <w:rPr>
          <w:rFonts w:eastAsia="Calibri"/>
          <w:color w:val="000000" w:themeColor="text1"/>
          <w:szCs w:val="24"/>
          <w:lang w:eastAsia="en-US"/>
        </w:rPr>
        <w:t>, 2000).</w:t>
      </w: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lang w:eastAsia="en-US"/>
        </w:rPr>
        <w:t xml:space="preserve"> Após 18 anos de criação da referida lei questiona-se a avaliação da gestão fiscal </w:t>
      </w:r>
      <w:proofErr w:type="gramStart"/>
      <w:r w:rsidRPr="007B611F">
        <w:rPr>
          <w:rFonts w:eastAsia="Calibri"/>
          <w:color w:val="000000" w:themeColor="text1"/>
          <w:szCs w:val="24"/>
          <w:lang w:eastAsia="en-US"/>
        </w:rPr>
        <w:t>sob enfoques</w:t>
      </w:r>
      <w:proofErr w:type="gramEnd"/>
      <w:r w:rsidRPr="007B611F">
        <w:rPr>
          <w:rFonts w:eastAsia="Calibri"/>
          <w:color w:val="000000" w:themeColor="text1"/>
          <w:szCs w:val="24"/>
          <w:lang w:eastAsia="en-US"/>
        </w:rPr>
        <w:t xml:space="preserve"> mais abrangentes, uma vez que esta impôs mudanças na forma de gestão, dando importância a resultados e não meramente a forma legal (</w:t>
      </w:r>
      <w:proofErr w:type="spellStart"/>
      <w:r w:rsidRPr="007B611F">
        <w:rPr>
          <w:rFonts w:eastAsia="Calibri"/>
          <w:color w:val="000000" w:themeColor="text1"/>
          <w:szCs w:val="24"/>
          <w:lang w:eastAsia="en-US"/>
        </w:rPr>
        <w:t>G</w:t>
      </w:r>
      <w:r w:rsidR="00817308" w:rsidRPr="007B611F">
        <w:rPr>
          <w:rFonts w:eastAsia="Calibri"/>
          <w:color w:val="000000" w:themeColor="text1"/>
          <w:szCs w:val="24"/>
          <w:lang w:eastAsia="en-US"/>
        </w:rPr>
        <w:t>erigk</w:t>
      </w:r>
      <w:proofErr w:type="spellEnd"/>
      <w:r w:rsidR="00817308" w:rsidRPr="007B611F">
        <w:rPr>
          <w:rFonts w:eastAsia="Calibri"/>
          <w:color w:val="000000" w:themeColor="text1"/>
          <w:szCs w:val="24"/>
          <w:lang w:eastAsia="en-US"/>
        </w:rPr>
        <w:t>,</w:t>
      </w:r>
      <w:r w:rsidRPr="007B611F">
        <w:rPr>
          <w:rFonts w:eastAsia="Calibri"/>
          <w:color w:val="000000" w:themeColor="text1"/>
          <w:szCs w:val="24"/>
          <w:lang w:eastAsia="en-US"/>
        </w:rPr>
        <w:t xml:space="preserve"> C</w:t>
      </w:r>
      <w:r w:rsidR="00817308" w:rsidRPr="007B611F">
        <w:rPr>
          <w:rFonts w:eastAsia="Calibri"/>
          <w:color w:val="000000" w:themeColor="text1"/>
          <w:szCs w:val="24"/>
          <w:lang w:eastAsia="en-US"/>
        </w:rPr>
        <w:t>lemente &amp;</w:t>
      </w:r>
      <w:r w:rsidRPr="007B611F">
        <w:rPr>
          <w:rFonts w:eastAsia="Calibri"/>
          <w:color w:val="000000" w:themeColor="text1"/>
          <w:szCs w:val="24"/>
          <w:lang w:eastAsia="en-US"/>
        </w:rPr>
        <w:t xml:space="preserve"> T</w:t>
      </w:r>
      <w:r w:rsidR="00FC2A60" w:rsidRPr="007B611F">
        <w:rPr>
          <w:rFonts w:eastAsia="Calibri"/>
          <w:color w:val="000000" w:themeColor="text1"/>
          <w:szCs w:val="24"/>
          <w:lang w:eastAsia="en-US"/>
        </w:rPr>
        <w:t>affarel</w:t>
      </w:r>
      <w:r w:rsidRPr="007B611F">
        <w:rPr>
          <w:rFonts w:eastAsia="Calibri"/>
          <w:color w:val="000000" w:themeColor="text1"/>
          <w:szCs w:val="24"/>
          <w:lang w:eastAsia="en-US"/>
        </w:rPr>
        <w:t xml:space="preserve">, 2010). Diante do exposto, surge a pergunta motivadora do estudo: Quais são os determinantes do endividamento dos municípios da região metropolitana de Goiânia à luz da Lei de Responsabilidade Fiscal? </w:t>
      </w: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lang w:eastAsia="en-US"/>
        </w:rPr>
        <w:t>Assim, o objetivo do trabalho é analisar os determinantes do endividamento dos municípios da região metropolitana de Goiânia no período de 2003 a 2015.</w:t>
      </w: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lang w:eastAsia="en-US"/>
        </w:rPr>
        <w:t xml:space="preserve">Busca-se com a realização do estudo preencher a lacuna de pesquisas relacionadas ao endividamento da região metropolitana de Goiânia, no período posterior a </w:t>
      </w:r>
      <w:proofErr w:type="gramStart"/>
      <w:r w:rsidRPr="007B611F">
        <w:rPr>
          <w:rFonts w:eastAsia="Calibri"/>
          <w:color w:val="000000" w:themeColor="text1"/>
          <w:szCs w:val="24"/>
          <w:lang w:eastAsia="en-US"/>
        </w:rPr>
        <w:t>implementação</w:t>
      </w:r>
      <w:proofErr w:type="gramEnd"/>
      <w:r w:rsidRPr="007B611F">
        <w:rPr>
          <w:rFonts w:eastAsia="Calibri"/>
          <w:color w:val="000000" w:themeColor="text1"/>
          <w:szCs w:val="24"/>
          <w:lang w:eastAsia="en-US"/>
        </w:rPr>
        <w:t xml:space="preserve"> da Lei de Responsabilidade Fiscal. A relevância do estudo se dá com a influência exercida pela região metropolitana de Goiânia no Estado de Goiás, uma vez que se concentra nessa região grande parte da população e do PIB do Estado.</w:t>
      </w:r>
    </w:p>
    <w:p w:rsidR="007C3C21"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lang w:eastAsia="en-US"/>
        </w:rPr>
        <w:t>A pesquisa será estruturada em cinco seções. Após esta introdução, apresenta-se o referencial teórico utilizado, na terceira seção aborda-se a metodologia, a quarta parte traz os resultados do estudo e por fim, a quinta seção traz algumas considerações finais obtidas com a realização da pesquisa.</w:t>
      </w:r>
      <w:bookmarkStart w:id="1" w:name="_Toc532147703"/>
    </w:p>
    <w:p w:rsidR="008814E9" w:rsidRDefault="008814E9" w:rsidP="007C3C21">
      <w:pPr>
        <w:widowControl/>
        <w:suppressLineNumbers w:val="0"/>
        <w:suppressAutoHyphens w:val="0"/>
        <w:ind w:firstLine="708"/>
        <w:rPr>
          <w:rFonts w:eastAsia="Calibri"/>
          <w:color w:val="000000" w:themeColor="text1"/>
          <w:szCs w:val="24"/>
          <w:lang w:eastAsia="en-US"/>
        </w:rPr>
      </w:pPr>
    </w:p>
    <w:p w:rsidR="008814E9" w:rsidRPr="007B611F" w:rsidRDefault="008814E9" w:rsidP="007C3C21">
      <w:pPr>
        <w:widowControl/>
        <w:suppressLineNumbers w:val="0"/>
        <w:suppressAutoHyphens w:val="0"/>
        <w:ind w:firstLine="708"/>
        <w:rPr>
          <w:rFonts w:eastAsia="Calibri"/>
          <w:color w:val="000000" w:themeColor="text1"/>
          <w:szCs w:val="24"/>
          <w:lang w:eastAsia="en-US"/>
        </w:rPr>
      </w:pPr>
    </w:p>
    <w:p w:rsidR="007C3C21" w:rsidRPr="007B611F" w:rsidRDefault="007C3C21" w:rsidP="008814E9">
      <w:pPr>
        <w:keepNext/>
        <w:keepLines/>
        <w:widowControl/>
        <w:suppressLineNumbers w:val="0"/>
        <w:suppressAutoHyphens w:val="0"/>
        <w:ind w:firstLine="0"/>
        <w:jc w:val="left"/>
        <w:outlineLvl w:val="0"/>
        <w:rPr>
          <w:rFonts w:eastAsia="Calibri Light"/>
          <w:b/>
          <w:bCs/>
          <w:color w:val="000000" w:themeColor="text1"/>
          <w:szCs w:val="24"/>
          <w:lang w:eastAsia="en-US"/>
        </w:rPr>
      </w:pPr>
      <w:proofErr w:type="gramStart"/>
      <w:r w:rsidRPr="007B611F">
        <w:rPr>
          <w:rFonts w:eastAsia="Calibri Light"/>
          <w:b/>
          <w:bCs/>
          <w:color w:val="000000" w:themeColor="text1"/>
          <w:szCs w:val="24"/>
          <w:lang w:eastAsia="en-US"/>
        </w:rPr>
        <w:t>2</w:t>
      </w:r>
      <w:proofErr w:type="gramEnd"/>
      <w:r w:rsidRPr="007B611F">
        <w:rPr>
          <w:rFonts w:eastAsia="Calibri Light"/>
          <w:b/>
          <w:bCs/>
          <w:color w:val="000000" w:themeColor="text1"/>
          <w:szCs w:val="24"/>
          <w:lang w:eastAsia="en-US"/>
        </w:rPr>
        <w:t xml:space="preserve"> R</w:t>
      </w:r>
      <w:r w:rsidR="00C01D2B">
        <w:rPr>
          <w:rFonts w:eastAsia="Calibri Light"/>
          <w:b/>
          <w:bCs/>
          <w:color w:val="000000" w:themeColor="text1"/>
          <w:szCs w:val="24"/>
          <w:lang w:eastAsia="en-US"/>
        </w:rPr>
        <w:t>eferencial T</w:t>
      </w:r>
      <w:r w:rsidR="00C01D2B" w:rsidRPr="007B611F">
        <w:rPr>
          <w:rFonts w:eastAsia="Calibri Light"/>
          <w:b/>
          <w:bCs/>
          <w:color w:val="000000" w:themeColor="text1"/>
          <w:szCs w:val="24"/>
          <w:lang w:eastAsia="en-US"/>
        </w:rPr>
        <w:t>eórico</w:t>
      </w:r>
      <w:bookmarkEnd w:id="1"/>
    </w:p>
    <w:p w:rsidR="007C3C21" w:rsidRPr="007B611F" w:rsidRDefault="007C3C21" w:rsidP="008814E9">
      <w:pPr>
        <w:keepNext/>
        <w:keepLines/>
        <w:widowControl/>
        <w:suppressLineNumbers w:val="0"/>
        <w:suppressAutoHyphens w:val="0"/>
        <w:ind w:firstLine="0"/>
        <w:jc w:val="left"/>
        <w:outlineLvl w:val="1"/>
        <w:rPr>
          <w:rFonts w:eastAsia="Calibri Light"/>
          <w:b/>
          <w:bCs/>
          <w:color w:val="000000" w:themeColor="text1"/>
          <w:szCs w:val="24"/>
          <w:lang w:eastAsia="en-US"/>
        </w:rPr>
      </w:pPr>
      <w:bookmarkStart w:id="2" w:name="_Toc532147704"/>
      <w:r w:rsidRPr="007B611F">
        <w:rPr>
          <w:rFonts w:eastAsia="Calibri Light"/>
          <w:b/>
          <w:bCs/>
          <w:color w:val="000000" w:themeColor="text1"/>
          <w:szCs w:val="24"/>
          <w:lang w:eastAsia="en-US"/>
        </w:rPr>
        <w:t>2.1 Finanças Públicas</w:t>
      </w:r>
      <w:bookmarkEnd w:id="2"/>
    </w:p>
    <w:p w:rsidR="007C3C21" w:rsidRPr="007B611F" w:rsidRDefault="007C3C21" w:rsidP="007C3C21">
      <w:pPr>
        <w:widowControl/>
        <w:suppressLineNumbers w:val="0"/>
        <w:suppressAutoHyphens w:val="0"/>
        <w:ind w:firstLine="0"/>
        <w:jc w:val="left"/>
        <w:rPr>
          <w:rFonts w:eastAsia="Calibri"/>
          <w:color w:val="000000" w:themeColor="text1"/>
          <w:szCs w:val="24"/>
          <w:lang w:eastAsia="en-US"/>
        </w:rPr>
      </w:pP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lang w:eastAsia="en-US"/>
        </w:rPr>
        <w:t>As falhas de mercado, tais como existência de bens públicos, monopólios naturais, externalidades, mercados incompletos, falhas de informação, ocorrência de desemprego e inflação, justificam a necessidade da atuação do Estado para guiar, corrigir e complementar o sistema de mercado que, de forma isolada, não é capaz de executar todas a</w:t>
      </w:r>
      <w:r w:rsidR="00FC2A60" w:rsidRPr="007B611F">
        <w:rPr>
          <w:rFonts w:eastAsia="Calibri"/>
          <w:color w:val="000000" w:themeColor="text1"/>
          <w:szCs w:val="24"/>
          <w:lang w:eastAsia="en-US"/>
        </w:rPr>
        <w:t>s funções econômicas (Giambiagi</w:t>
      </w:r>
      <w:proofErr w:type="gramStart"/>
      <w:r w:rsidR="00FC2A60" w:rsidRPr="007B611F">
        <w:rPr>
          <w:rFonts w:eastAsia="Calibri"/>
          <w:color w:val="000000" w:themeColor="text1"/>
          <w:szCs w:val="24"/>
          <w:lang w:eastAsia="en-US"/>
        </w:rPr>
        <w:t xml:space="preserve">, </w:t>
      </w:r>
      <w:proofErr w:type="spellStart"/>
      <w:r w:rsidR="00FC2A60" w:rsidRPr="007B611F">
        <w:rPr>
          <w:rFonts w:eastAsia="Calibri"/>
          <w:color w:val="000000" w:themeColor="text1"/>
          <w:szCs w:val="24"/>
          <w:lang w:eastAsia="en-US"/>
        </w:rPr>
        <w:t>Alem</w:t>
      </w:r>
      <w:proofErr w:type="spellEnd"/>
      <w:proofErr w:type="gramEnd"/>
      <w:r w:rsidR="00FC2A60" w:rsidRPr="007B611F">
        <w:rPr>
          <w:rFonts w:eastAsia="Calibri"/>
          <w:color w:val="000000" w:themeColor="text1"/>
          <w:szCs w:val="24"/>
          <w:lang w:eastAsia="en-US"/>
        </w:rPr>
        <w:t xml:space="preserve"> &amp; </w:t>
      </w:r>
      <w:proofErr w:type="spellStart"/>
      <w:r w:rsidR="00FC2A60" w:rsidRPr="007B611F">
        <w:rPr>
          <w:rFonts w:eastAsia="Calibri"/>
          <w:color w:val="000000" w:themeColor="text1"/>
          <w:szCs w:val="24"/>
          <w:lang w:eastAsia="en-US"/>
        </w:rPr>
        <w:t>Garson</w:t>
      </w:r>
      <w:proofErr w:type="spellEnd"/>
      <w:r w:rsidRPr="007B611F">
        <w:rPr>
          <w:rFonts w:eastAsia="Calibri"/>
          <w:color w:val="000000" w:themeColor="text1"/>
          <w:szCs w:val="24"/>
          <w:lang w:eastAsia="en-US"/>
        </w:rPr>
        <w:t>, 2015).</w:t>
      </w: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lang w:eastAsia="en-US"/>
        </w:rPr>
        <w:t xml:space="preserve">Assim, a atuação do governo por meio da política fiscal abrange as funções </w:t>
      </w:r>
      <w:proofErr w:type="spellStart"/>
      <w:r w:rsidRPr="007B611F">
        <w:rPr>
          <w:rFonts w:eastAsia="Calibri"/>
          <w:color w:val="000000" w:themeColor="text1"/>
          <w:szCs w:val="24"/>
          <w:lang w:eastAsia="en-US"/>
        </w:rPr>
        <w:t>alocativa</w:t>
      </w:r>
      <w:proofErr w:type="spellEnd"/>
      <w:r w:rsidRPr="007B611F">
        <w:rPr>
          <w:rFonts w:eastAsia="Calibri"/>
          <w:color w:val="000000" w:themeColor="text1"/>
          <w:szCs w:val="24"/>
          <w:lang w:eastAsia="en-US"/>
        </w:rPr>
        <w:t xml:space="preserve">, distributiva e estabilizadora. A função </w:t>
      </w:r>
      <w:proofErr w:type="spellStart"/>
      <w:r w:rsidRPr="007B611F">
        <w:rPr>
          <w:rFonts w:eastAsia="Calibri"/>
          <w:color w:val="000000" w:themeColor="text1"/>
          <w:szCs w:val="24"/>
          <w:lang w:eastAsia="en-US"/>
        </w:rPr>
        <w:t>alocativa</w:t>
      </w:r>
      <w:proofErr w:type="spellEnd"/>
      <w:r w:rsidRPr="007B611F">
        <w:rPr>
          <w:rFonts w:eastAsia="Calibri"/>
          <w:color w:val="000000" w:themeColor="text1"/>
          <w:szCs w:val="24"/>
          <w:lang w:eastAsia="en-US"/>
        </w:rPr>
        <w:t xml:space="preserve"> se refere ao fornecimento de bens públicos, visando promover ajustes na alocação de recursos. Quanto </w:t>
      </w:r>
      <w:proofErr w:type="gramStart"/>
      <w:r w:rsidRPr="007B611F">
        <w:rPr>
          <w:rFonts w:eastAsia="Calibri"/>
          <w:color w:val="000000" w:themeColor="text1"/>
          <w:szCs w:val="24"/>
          <w:lang w:eastAsia="en-US"/>
        </w:rPr>
        <w:t>a</w:t>
      </w:r>
      <w:proofErr w:type="gramEnd"/>
      <w:r w:rsidRPr="007B611F">
        <w:rPr>
          <w:rFonts w:eastAsia="Calibri"/>
          <w:color w:val="000000" w:themeColor="text1"/>
          <w:szCs w:val="24"/>
          <w:lang w:eastAsia="en-US"/>
        </w:rPr>
        <w:t xml:space="preserve"> função distributiva, visa promover ajustes na distribuição de rendas, objetivando a consecução de uma distribuição considerada justa pela sociedade. Por fim, a função estabilizadora trata da aplicação das políticas econômicas, a fim </w:t>
      </w:r>
      <w:r w:rsidRPr="007B611F">
        <w:rPr>
          <w:rFonts w:eastAsia="Calibri"/>
          <w:color w:val="000000" w:themeColor="text1"/>
          <w:szCs w:val="24"/>
          <w:lang w:eastAsia="en-US"/>
        </w:rPr>
        <w:lastRenderedPageBreak/>
        <w:t>de alcançar um alto nível de emprego, crescimento e estabilidade dos preços (</w:t>
      </w:r>
      <w:proofErr w:type="spellStart"/>
      <w:r w:rsidRPr="007B611F">
        <w:rPr>
          <w:rFonts w:eastAsia="Calibri"/>
          <w:color w:val="000000" w:themeColor="text1"/>
          <w:szCs w:val="24"/>
          <w:lang w:eastAsia="en-US"/>
        </w:rPr>
        <w:t>M</w:t>
      </w:r>
      <w:r w:rsidR="00FC2A60" w:rsidRPr="007B611F">
        <w:rPr>
          <w:rFonts w:eastAsia="Calibri"/>
          <w:color w:val="000000" w:themeColor="text1"/>
          <w:szCs w:val="24"/>
          <w:lang w:eastAsia="en-US"/>
        </w:rPr>
        <w:t>usgrave</w:t>
      </w:r>
      <w:proofErr w:type="spellEnd"/>
      <w:r w:rsidR="00FC2A60" w:rsidRPr="007B611F">
        <w:rPr>
          <w:rFonts w:eastAsia="Calibri"/>
          <w:color w:val="000000" w:themeColor="text1"/>
          <w:szCs w:val="24"/>
          <w:lang w:eastAsia="en-US"/>
        </w:rPr>
        <w:t xml:space="preserve"> &amp; </w:t>
      </w:r>
      <w:proofErr w:type="spellStart"/>
      <w:r w:rsidR="00FC2A60" w:rsidRPr="007B611F">
        <w:rPr>
          <w:rFonts w:eastAsia="Calibri"/>
          <w:color w:val="000000" w:themeColor="text1"/>
          <w:szCs w:val="24"/>
          <w:lang w:eastAsia="en-US"/>
        </w:rPr>
        <w:t>Musgrave</w:t>
      </w:r>
      <w:proofErr w:type="spellEnd"/>
      <w:r w:rsidRPr="007B611F">
        <w:rPr>
          <w:rFonts w:eastAsia="Calibri"/>
          <w:color w:val="000000" w:themeColor="text1"/>
          <w:szCs w:val="24"/>
          <w:lang w:eastAsia="en-US"/>
        </w:rPr>
        <w:t>, 1980).</w:t>
      </w: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lang w:eastAsia="en-US"/>
        </w:rPr>
        <w:t xml:space="preserve">Ao definir o termo finanças </w:t>
      </w:r>
      <w:proofErr w:type="gramStart"/>
      <w:r w:rsidRPr="007B611F">
        <w:rPr>
          <w:rFonts w:eastAsia="Calibri"/>
          <w:color w:val="000000" w:themeColor="text1"/>
          <w:szCs w:val="24"/>
          <w:lang w:eastAsia="en-US"/>
        </w:rPr>
        <w:t xml:space="preserve">públicas, </w:t>
      </w:r>
      <w:proofErr w:type="spellStart"/>
      <w:r w:rsidRPr="007B611F">
        <w:rPr>
          <w:rFonts w:eastAsia="Calibri"/>
          <w:color w:val="000000" w:themeColor="text1"/>
          <w:szCs w:val="24"/>
          <w:lang w:eastAsia="en-US"/>
        </w:rPr>
        <w:t>Crepaldi</w:t>
      </w:r>
      <w:proofErr w:type="spellEnd"/>
      <w:r w:rsidRPr="007B611F">
        <w:rPr>
          <w:rFonts w:eastAsia="Calibri"/>
          <w:color w:val="000000" w:themeColor="text1"/>
          <w:szCs w:val="24"/>
          <w:lang w:eastAsia="en-US"/>
        </w:rPr>
        <w:t xml:space="preserve"> e </w:t>
      </w:r>
      <w:proofErr w:type="spellStart"/>
      <w:r w:rsidRPr="007B611F">
        <w:rPr>
          <w:rFonts w:eastAsia="Calibri"/>
          <w:color w:val="000000" w:themeColor="text1"/>
          <w:szCs w:val="24"/>
          <w:lang w:eastAsia="en-US"/>
        </w:rPr>
        <w:t>Crepaldi</w:t>
      </w:r>
      <w:proofErr w:type="spellEnd"/>
      <w:r w:rsidRPr="007B611F">
        <w:rPr>
          <w:rFonts w:eastAsia="Calibri"/>
          <w:color w:val="000000" w:themeColor="text1"/>
          <w:szCs w:val="24"/>
          <w:lang w:eastAsia="en-US"/>
        </w:rPr>
        <w:t xml:space="preserve"> (2013)</w:t>
      </w:r>
      <w:proofErr w:type="gramEnd"/>
      <w:r w:rsidRPr="007B611F">
        <w:rPr>
          <w:rFonts w:eastAsia="Calibri"/>
          <w:color w:val="000000" w:themeColor="text1"/>
          <w:szCs w:val="24"/>
          <w:lang w:eastAsia="en-US"/>
        </w:rPr>
        <w:t xml:space="preserve"> afirmam que se trata do segmento da ciência econômica que cuida da participação do Estado na economia, podendo ser entendida como o conjunto de ações do Estado envolvidas na obtenção, gestão e aplicação dos recursos financeiros necessários para o alcance dos seus fins.  Para os autores, as finanças públicas podem ser desdobradas em receitas, despesas, orçamentos e créditos públicos.</w:t>
      </w: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lang w:eastAsia="en-US"/>
        </w:rPr>
        <w:t xml:space="preserve">O Brasil, por ser uma República Federativa tem como uma de suas características a autonomia constitucional de seus estados e municípios, concedendo aos mesmos a capacidade de se </w:t>
      </w:r>
      <w:proofErr w:type="gramStart"/>
      <w:r w:rsidRPr="007B611F">
        <w:rPr>
          <w:rFonts w:eastAsia="Calibri"/>
          <w:color w:val="000000" w:themeColor="text1"/>
          <w:szCs w:val="24"/>
          <w:lang w:eastAsia="en-US"/>
        </w:rPr>
        <w:t>auto organizar</w:t>
      </w:r>
      <w:proofErr w:type="gramEnd"/>
      <w:r w:rsidRPr="007B611F">
        <w:rPr>
          <w:rFonts w:eastAsia="Calibri"/>
          <w:color w:val="000000" w:themeColor="text1"/>
          <w:szCs w:val="24"/>
          <w:lang w:eastAsia="en-US"/>
        </w:rPr>
        <w:t xml:space="preserve">, legislar, governar e administrar. Ressalta-se que, historicamente, nem sempre foi assim, uma vez que houve momentos de grande centralização política e fiscal, como na época da ditadura militar. Entretanto, principalmente após </w:t>
      </w:r>
      <w:proofErr w:type="gramStart"/>
      <w:r w:rsidRPr="007B611F">
        <w:rPr>
          <w:rFonts w:eastAsia="Calibri"/>
          <w:color w:val="000000" w:themeColor="text1"/>
          <w:szCs w:val="24"/>
          <w:lang w:eastAsia="en-US"/>
        </w:rPr>
        <w:t>à</w:t>
      </w:r>
      <w:proofErr w:type="gramEnd"/>
      <w:r w:rsidRPr="007B611F">
        <w:rPr>
          <w:rFonts w:eastAsia="Calibri"/>
          <w:color w:val="000000" w:themeColor="text1"/>
          <w:szCs w:val="24"/>
          <w:lang w:eastAsia="en-US"/>
        </w:rPr>
        <w:t xml:space="preserve"> constituição de 1988 e com a instituição da Lei de Responsabilidade Fiscal, observa-se um grande aprofundamento no processo de descentralização e na autonomia dos entes federativos (A</w:t>
      </w:r>
      <w:r w:rsidR="00FC2A60" w:rsidRPr="007B611F">
        <w:rPr>
          <w:rFonts w:eastAsia="Calibri"/>
          <w:color w:val="000000" w:themeColor="text1"/>
          <w:szCs w:val="24"/>
          <w:lang w:eastAsia="en-US"/>
        </w:rPr>
        <w:t>fonso,</w:t>
      </w:r>
      <w:r w:rsidRPr="007B611F">
        <w:rPr>
          <w:rFonts w:eastAsia="Calibri"/>
          <w:color w:val="000000" w:themeColor="text1"/>
          <w:szCs w:val="24"/>
          <w:lang w:eastAsia="en-US"/>
        </w:rPr>
        <w:t xml:space="preserve"> A</w:t>
      </w:r>
      <w:r w:rsidR="00FC2A60" w:rsidRPr="007B611F">
        <w:rPr>
          <w:rFonts w:eastAsia="Calibri"/>
          <w:color w:val="000000" w:themeColor="text1"/>
          <w:szCs w:val="24"/>
          <w:lang w:eastAsia="en-US"/>
        </w:rPr>
        <w:t>raújo &amp;</w:t>
      </w:r>
      <w:r w:rsidRPr="007B611F">
        <w:rPr>
          <w:rFonts w:eastAsia="Calibri"/>
          <w:color w:val="000000" w:themeColor="text1"/>
          <w:szCs w:val="24"/>
          <w:lang w:eastAsia="en-US"/>
        </w:rPr>
        <w:t xml:space="preserve"> </w:t>
      </w:r>
      <w:proofErr w:type="spellStart"/>
      <w:r w:rsidRPr="007B611F">
        <w:rPr>
          <w:rFonts w:eastAsia="Calibri"/>
          <w:color w:val="000000" w:themeColor="text1"/>
          <w:szCs w:val="24"/>
          <w:lang w:eastAsia="en-US"/>
        </w:rPr>
        <w:t>K</w:t>
      </w:r>
      <w:r w:rsidR="00FC2A60" w:rsidRPr="007B611F">
        <w:rPr>
          <w:rFonts w:eastAsia="Calibri"/>
          <w:color w:val="000000" w:themeColor="text1"/>
          <w:szCs w:val="24"/>
          <w:lang w:eastAsia="en-US"/>
        </w:rPr>
        <w:t>hair</w:t>
      </w:r>
      <w:proofErr w:type="spellEnd"/>
      <w:r w:rsidRPr="007B611F">
        <w:rPr>
          <w:rFonts w:eastAsia="Calibri"/>
          <w:color w:val="000000" w:themeColor="text1"/>
          <w:szCs w:val="24"/>
          <w:lang w:eastAsia="en-US"/>
        </w:rPr>
        <w:t>, 2002; C</w:t>
      </w:r>
      <w:r w:rsidR="00FC2A60" w:rsidRPr="007B611F">
        <w:rPr>
          <w:rFonts w:eastAsia="Calibri"/>
          <w:color w:val="000000" w:themeColor="text1"/>
          <w:szCs w:val="24"/>
          <w:lang w:eastAsia="en-US"/>
        </w:rPr>
        <w:t>onti,</w:t>
      </w:r>
      <w:r w:rsidRPr="007B611F">
        <w:rPr>
          <w:rFonts w:eastAsia="Calibri"/>
          <w:color w:val="000000" w:themeColor="text1"/>
          <w:szCs w:val="24"/>
          <w:lang w:eastAsia="en-US"/>
        </w:rPr>
        <w:t xml:space="preserve"> 2004, p. 140-141).</w:t>
      </w:r>
    </w:p>
    <w:p w:rsidR="007C3C21" w:rsidRPr="007B611F" w:rsidRDefault="007C3C21"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lang w:eastAsia="en-US"/>
        </w:rPr>
        <w:t xml:space="preserve">Nesse diapasão, entende-se que </w:t>
      </w:r>
      <w:proofErr w:type="gramStart"/>
      <w:r w:rsidRPr="007B611F">
        <w:rPr>
          <w:rFonts w:eastAsia="Calibri"/>
          <w:color w:val="000000" w:themeColor="text1"/>
          <w:szCs w:val="24"/>
          <w:lang w:eastAsia="en-US"/>
        </w:rPr>
        <w:t>essa autonomia concedida aos estados e municípios os capacitam</w:t>
      </w:r>
      <w:proofErr w:type="gramEnd"/>
      <w:r w:rsidRPr="007B611F">
        <w:rPr>
          <w:rFonts w:eastAsia="Calibri"/>
          <w:color w:val="000000" w:themeColor="text1"/>
          <w:szCs w:val="24"/>
          <w:lang w:eastAsia="en-US"/>
        </w:rPr>
        <w:t xml:space="preserve"> de gerir os recursos que recebem junto aos seus residentes com mais propriedade e também utilizar os recursos recebidos através de transferências inter e intragovernamentais de maneira eficiente (C</w:t>
      </w:r>
      <w:r w:rsidR="00FC2A60" w:rsidRPr="007B611F">
        <w:rPr>
          <w:rFonts w:eastAsia="Calibri"/>
          <w:color w:val="000000" w:themeColor="text1"/>
          <w:szCs w:val="24"/>
          <w:lang w:eastAsia="en-US"/>
        </w:rPr>
        <w:t>onti</w:t>
      </w:r>
      <w:r w:rsidRPr="007B611F">
        <w:rPr>
          <w:rFonts w:eastAsia="Calibri"/>
          <w:color w:val="000000" w:themeColor="text1"/>
          <w:szCs w:val="24"/>
          <w:lang w:eastAsia="en-US"/>
        </w:rPr>
        <w:t>, 2004).</w:t>
      </w:r>
    </w:p>
    <w:p w:rsidR="007C3C21" w:rsidRPr="007B611F" w:rsidRDefault="007C3C21"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lang w:eastAsia="en-US"/>
        </w:rPr>
        <w:t>Nesse sentido, o estudo das finanças municipais, segundo Fisher (2015) se faz importante pela repercussão que o tema tem no cotidiano, uma vez que a maioria dos cidadãos sofre mais impacto das ações de gestão municipais e estaduais do que as de nível federal. É fato que os residentes dos municípios precisam ser contemplados diariamente com serviços como o fornecimento de água, policiamento e transporte público (F</w:t>
      </w:r>
      <w:r w:rsidR="00FC2A60" w:rsidRPr="007B611F">
        <w:rPr>
          <w:rFonts w:eastAsia="Calibri"/>
          <w:color w:val="000000" w:themeColor="text1"/>
          <w:szCs w:val="24"/>
          <w:lang w:eastAsia="en-US"/>
        </w:rPr>
        <w:t>isher</w:t>
      </w:r>
      <w:r w:rsidRPr="007B611F">
        <w:rPr>
          <w:rFonts w:eastAsia="Calibri"/>
          <w:color w:val="000000" w:themeColor="text1"/>
          <w:szCs w:val="24"/>
          <w:lang w:eastAsia="en-US"/>
        </w:rPr>
        <w:t>, 2015).</w:t>
      </w:r>
    </w:p>
    <w:p w:rsidR="007C3C21" w:rsidRPr="007B611F" w:rsidRDefault="007C3C21"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lang w:eastAsia="en-US"/>
        </w:rPr>
        <w:t>Dessa forma, os governos locais, por estarem mais próximos das populações as quais precisam atender, possuem mais informações sobre suas reais necessidades e, assim, podem realizar melhores análises quanto ao custo-benefício da alocação dos recursos públicos e executar ações que maximizem o bem-estar social (</w:t>
      </w:r>
      <w:proofErr w:type="spellStart"/>
      <w:r w:rsidRPr="007B611F">
        <w:rPr>
          <w:rFonts w:eastAsia="Calibri"/>
          <w:color w:val="000000" w:themeColor="text1"/>
          <w:szCs w:val="24"/>
          <w:lang w:eastAsia="en-US"/>
        </w:rPr>
        <w:t>O</w:t>
      </w:r>
      <w:r w:rsidR="00FC2A60" w:rsidRPr="007B611F">
        <w:rPr>
          <w:rFonts w:eastAsia="Calibri"/>
          <w:color w:val="000000" w:themeColor="text1"/>
          <w:szCs w:val="24"/>
          <w:lang w:eastAsia="en-US"/>
        </w:rPr>
        <w:t>ates</w:t>
      </w:r>
      <w:proofErr w:type="spellEnd"/>
      <w:r w:rsidRPr="007B611F">
        <w:rPr>
          <w:rFonts w:eastAsia="Calibri"/>
          <w:color w:val="000000" w:themeColor="text1"/>
          <w:szCs w:val="24"/>
          <w:lang w:eastAsia="en-US"/>
        </w:rPr>
        <w:t xml:space="preserve">, 1972; </w:t>
      </w:r>
      <w:proofErr w:type="spellStart"/>
      <w:r w:rsidRPr="007B611F">
        <w:rPr>
          <w:rFonts w:eastAsia="Calibri"/>
          <w:color w:val="000000" w:themeColor="text1"/>
          <w:szCs w:val="24"/>
          <w:lang w:eastAsia="en-US"/>
        </w:rPr>
        <w:t>P</w:t>
      </w:r>
      <w:r w:rsidR="00FC2A60" w:rsidRPr="007B611F">
        <w:rPr>
          <w:rFonts w:eastAsia="Calibri"/>
          <w:color w:val="000000" w:themeColor="text1"/>
          <w:szCs w:val="24"/>
          <w:lang w:eastAsia="en-US"/>
        </w:rPr>
        <w:t>osner</w:t>
      </w:r>
      <w:proofErr w:type="spellEnd"/>
      <w:r w:rsidRPr="007B611F">
        <w:rPr>
          <w:rFonts w:eastAsia="Calibri"/>
          <w:color w:val="000000" w:themeColor="text1"/>
          <w:szCs w:val="24"/>
          <w:lang w:eastAsia="en-US"/>
        </w:rPr>
        <w:t>, 2004).</w:t>
      </w:r>
    </w:p>
    <w:p w:rsidR="007C3C21" w:rsidRPr="007B611F" w:rsidRDefault="007C3C21"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lang w:eastAsia="en-US"/>
        </w:rPr>
        <w:t xml:space="preserve">Em consonância com o exposto, Macedo e </w:t>
      </w:r>
      <w:proofErr w:type="spellStart"/>
      <w:r w:rsidRPr="007B611F">
        <w:rPr>
          <w:rFonts w:eastAsia="Calibri"/>
          <w:color w:val="000000" w:themeColor="text1"/>
          <w:szCs w:val="24"/>
          <w:lang w:eastAsia="en-US"/>
        </w:rPr>
        <w:t>Corbari</w:t>
      </w:r>
      <w:proofErr w:type="spellEnd"/>
      <w:r w:rsidRPr="007B611F">
        <w:rPr>
          <w:rFonts w:eastAsia="Calibri"/>
          <w:color w:val="000000" w:themeColor="text1"/>
          <w:szCs w:val="24"/>
          <w:lang w:eastAsia="en-US"/>
        </w:rPr>
        <w:t xml:space="preserve"> (2009), encontraram evidências de que a autonomia crescente dos municípios brasileiros, aliada às restrições impostas por mecanismos como a Lei de Responsabilidade Fiscal, faz com que utilizem os seus recursos de maneira mais eficiente e também acabam incorrendo em menores níveis de dívida (M</w:t>
      </w:r>
      <w:r w:rsidR="00FC2A60" w:rsidRPr="007B611F">
        <w:rPr>
          <w:rFonts w:eastAsia="Calibri"/>
          <w:color w:val="000000" w:themeColor="text1"/>
          <w:szCs w:val="24"/>
          <w:lang w:eastAsia="en-US"/>
        </w:rPr>
        <w:t>acedo &amp;</w:t>
      </w:r>
      <w:r w:rsidRPr="007B611F">
        <w:rPr>
          <w:rFonts w:eastAsia="Calibri"/>
          <w:color w:val="000000" w:themeColor="text1"/>
          <w:szCs w:val="24"/>
          <w:lang w:eastAsia="en-US"/>
        </w:rPr>
        <w:t xml:space="preserve"> </w:t>
      </w:r>
      <w:proofErr w:type="spellStart"/>
      <w:r w:rsidR="00FC2A60" w:rsidRPr="007B611F">
        <w:rPr>
          <w:rFonts w:eastAsia="Calibri"/>
          <w:color w:val="000000" w:themeColor="text1"/>
          <w:szCs w:val="24"/>
          <w:lang w:eastAsia="en-US"/>
        </w:rPr>
        <w:t>Corbari</w:t>
      </w:r>
      <w:proofErr w:type="spellEnd"/>
      <w:r w:rsidRPr="007B611F">
        <w:rPr>
          <w:rFonts w:eastAsia="Calibri"/>
          <w:color w:val="000000" w:themeColor="text1"/>
          <w:szCs w:val="24"/>
          <w:lang w:eastAsia="en-US"/>
        </w:rPr>
        <w:t>, 2009).</w:t>
      </w:r>
    </w:p>
    <w:p w:rsidR="007C3C21" w:rsidRPr="007B611F" w:rsidRDefault="007C3C21"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lang w:eastAsia="en-US"/>
        </w:rPr>
        <w:t xml:space="preserve">No entanto, existem argumentos contrários às proposições supracitadas. Gomes e Mac </w:t>
      </w:r>
      <w:proofErr w:type="spellStart"/>
      <w:r w:rsidRPr="007B611F">
        <w:rPr>
          <w:rFonts w:eastAsia="Calibri"/>
          <w:color w:val="000000" w:themeColor="text1"/>
          <w:szCs w:val="24"/>
          <w:lang w:eastAsia="en-US"/>
        </w:rPr>
        <w:t>Dowell</w:t>
      </w:r>
      <w:proofErr w:type="spellEnd"/>
      <w:r w:rsidRPr="007B611F">
        <w:rPr>
          <w:rFonts w:eastAsia="Calibri"/>
          <w:color w:val="000000" w:themeColor="text1"/>
          <w:szCs w:val="24"/>
          <w:lang w:eastAsia="en-US"/>
        </w:rPr>
        <w:t xml:space="preserve"> (2000), por exemplo, ao realizarem estudo sobre a descentralização política, federalismo fiscal e criação de municípios no Brasil encontraram evidências de que o aumento de receitas disponíveis para os municípios tiveram algumas consequências indesejáveis (G</w:t>
      </w:r>
      <w:r w:rsidR="00FC2A60" w:rsidRPr="007B611F">
        <w:rPr>
          <w:rFonts w:eastAsia="Calibri"/>
          <w:color w:val="000000" w:themeColor="text1"/>
          <w:szCs w:val="24"/>
          <w:lang w:eastAsia="en-US"/>
        </w:rPr>
        <w:t>omes &amp;</w:t>
      </w:r>
      <w:r w:rsidRPr="007B611F">
        <w:rPr>
          <w:rFonts w:eastAsia="Calibri"/>
          <w:color w:val="000000" w:themeColor="text1"/>
          <w:szCs w:val="24"/>
          <w:lang w:eastAsia="en-US"/>
        </w:rPr>
        <w:t xml:space="preserve"> M</w:t>
      </w:r>
      <w:r w:rsidR="00FC2A60" w:rsidRPr="007B611F">
        <w:rPr>
          <w:rFonts w:eastAsia="Calibri"/>
          <w:color w:val="000000" w:themeColor="text1"/>
          <w:szCs w:val="24"/>
          <w:lang w:eastAsia="en-US"/>
        </w:rPr>
        <w:t>ac</w:t>
      </w:r>
      <w:r w:rsidRPr="007B611F">
        <w:rPr>
          <w:rFonts w:eastAsia="Calibri"/>
          <w:color w:val="000000" w:themeColor="text1"/>
          <w:szCs w:val="24"/>
          <w:lang w:eastAsia="en-US"/>
        </w:rPr>
        <w:t xml:space="preserve"> </w:t>
      </w:r>
      <w:proofErr w:type="spellStart"/>
      <w:r w:rsidRPr="007B611F">
        <w:rPr>
          <w:rFonts w:eastAsia="Calibri"/>
          <w:color w:val="000000" w:themeColor="text1"/>
          <w:szCs w:val="24"/>
          <w:lang w:eastAsia="en-US"/>
        </w:rPr>
        <w:t>D</w:t>
      </w:r>
      <w:r w:rsidR="00FC2A60" w:rsidRPr="007B611F">
        <w:rPr>
          <w:rFonts w:eastAsia="Calibri"/>
          <w:color w:val="000000" w:themeColor="text1"/>
          <w:szCs w:val="24"/>
          <w:lang w:eastAsia="en-US"/>
        </w:rPr>
        <w:t>owell</w:t>
      </w:r>
      <w:proofErr w:type="spellEnd"/>
      <w:r w:rsidRPr="007B611F">
        <w:rPr>
          <w:rFonts w:eastAsia="Calibri"/>
          <w:color w:val="000000" w:themeColor="text1"/>
          <w:szCs w:val="24"/>
          <w:lang w:eastAsia="en-US"/>
        </w:rPr>
        <w:t>, 2000).</w:t>
      </w:r>
    </w:p>
    <w:p w:rsidR="007C3C21" w:rsidRPr="007B611F" w:rsidRDefault="007C3C21"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lang w:eastAsia="en-US"/>
        </w:rPr>
        <w:t xml:space="preserve">Dentre essas consequências se destacam: o aumento do volume absoluto e relativo de transferências originárias nos municípios grandes para os pequenos, o que de acordo com os autores tende a desestimular a atividade produtiva nos grandes municípios; benefício de pequena parte da população de pequenos municípios e também o aumento de gastos desnecessários com estruturas do poder legislativo </w:t>
      </w:r>
      <w:r w:rsidR="00FC2A60" w:rsidRPr="007B611F">
        <w:rPr>
          <w:rFonts w:eastAsia="Calibri"/>
          <w:color w:val="000000" w:themeColor="text1"/>
          <w:szCs w:val="24"/>
          <w:lang w:eastAsia="en-US"/>
        </w:rPr>
        <w:t xml:space="preserve">(Gomes &amp; Mac </w:t>
      </w:r>
      <w:proofErr w:type="spellStart"/>
      <w:r w:rsidR="00FC2A60" w:rsidRPr="007B611F">
        <w:rPr>
          <w:rFonts w:eastAsia="Calibri"/>
          <w:color w:val="000000" w:themeColor="text1"/>
          <w:szCs w:val="24"/>
          <w:lang w:eastAsia="en-US"/>
        </w:rPr>
        <w:t>Dowell</w:t>
      </w:r>
      <w:proofErr w:type="spellEnd"/>
      <w:r w:rsidR="00FC2A60" w:rsidRPr="007B611F">
        <w:rPr>
          <w:rFonts w:eastAsia="Calibri"/>
          <w:color w:val="000000" w:themeColor="text1"/>
          <w:szCs w:val="24"/>
          <w:lang w:eastAsia="en-US"/>
        </w:rPr>
        <w:t>, 2000).</w:t>
      </w:r>
    </w:p>
    <w:p w:rsidR="007C3C21" w:rsidRPr="007B611F" w:rsidRDefault="007C3C21"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rPr>
        <w:lastRenderedPageBreak/>
        <w:t>Se tratando de finanças públicas no Brasil, torna-se imprescindível o estudo da Lei de Responsabilidade Fiscal que foi a lei responsável por estabelecer normas de finanças públicas direcionadas para a responsabilidade na gestão fiscal.</w:t>
      </w:r>
    </w:p>
    <w:p w:rsidR="007C3C21" w:rsidRPr="007B611F" w:rsidRDefault="007C3C21" w:rsidP="007C3C21">
      <w:pPr>
        <w:widowControl/>
        <w:suppressLineNumbers w:val="0"/>
        <w:suppressAutoHyphens w:val="0"/>
        <w:rPr>
          <w:rFonts w:eastAsia="Calibri"/>
          <w:color w:val="000000" w:themeColor="text1"/>
          <w:szCs w:val="24"/>
          <w:lang w:eastAsia="en-US"/>
        </w:rPr>
      </w:pPr>
    </w:p>
    <w:p w:rsidR="007C3C21" w:rsidRPr="007B611F" w:rsidRDefault="007C3C21" w:rsidP="007C3C21">
      <w:pPr>
        <w:widowControl/>
        <w:suppressLineNumbers w:val="0"/>
        <w:suppressAutoHyphens w:val="0"/>
        <w:ind w:firstLine="0"/>
        <w:rPr>
          <w:rFonts w:eastAsia="Calibri"/>
          <w:b/>
          <w:color w:val="000000" w:themeColor="text1"/>
          <w:szCs w:val="24"/>
          <w:lang w:eastAsia="en-US"/>
        </w:rPr>
      </w:pPr>
      <w:proofErr w:type="gramStart"/>
      <w:r w:rsidRPr="007B611F">
        <w:rPr>
          <w:rFonts w:eastAsia="Calibri"/>
          <w:b/>
          <w:color w:val="000000" w:themeColor="text1"/>
          <w:szCs w:val="24"/>
          <w:lang w:eastAsia="en-US"/>
        </w:rPr>
        <w:t>2.2 Lei</w:t>
      </w:r>
      <w:proofErr w:type="gramEnd"/>
      <w:r w:rsidRPr="007B611F">
        <w:rPr>
          <w:rFonts w:eastAsia="Calibri"/>
          <w:b/>
          <w:color w:val="000000" w:themeColor="text1"/>
          <w:szCs w:val="24"/>
          <w:lang w:eastAsia="en-US"/>
        </w:rPr>
        <w:t xml:space="preserve"> de Responsabilidade Fiscal</w:t>
      </w:r>
    </w:p>
    <w:p w:rsidR="007C3C21" w:rsidRPr="007B611F" w:rsidRDefault="007C3C21" w:rsidP="007C3C21">
      <w:pPr>
        <w:widowControl/>
        <w:suppressLineNumbers w:val="0"/>
        <w:suppressAutoHyphens w:val="0"/>
        <w:ind w:firstLine="0"/>
        <w:rPr>
          <w:rFonts w:eastAsia="Calibri"/>
          <w:b/>
          <w:color w:val="000000" w:themeColor="text1"/>
          <w:szCs w:val="24"/>
          <w:lang w:eastAsia="en-US"/>
        </w:rPr>
      </w:pP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rPr>
        <w:t xml:space="preserve">Para Matias-Pereira (2006) o objetivo da Lei de Responsabilidade Fiscal consiste em </w:t>
      </w:r>
      <w:r w:rsidRPr="007B611F">
        <w:rPr>
          <w:rFonts w:eastAsia="Calibri"/>
          <w:color w:val="000000" w:themeColor="text1"/>
          <w:szCs w:val="24"/>
          <w:lang w:eastAsia="en-US"/>
        </w:rPr>
        <w:t xml:space="preserve">aumentar a qualidade das ações referentes </w:t>
      </w:r>
      <w:proofErr w:type="gramStart"/>
      <w:r w:rsidRPr="007B611F">
        <w:rPr>
          <w:rFonts w:eastAsia="Calibri"/>
          <w:color w:val="000000" w:themeColor="text1"/>
          <w:szCs w:val="24"/>
          <w:lang w:eastAsia="en-US"/>
        </w:rPr>
        <w:t>a</w:t>
      </w:r>
      <w:proofErr w:type="gramEnd"/>
      <w:r w:rsidRPr="007B611F">
        <w:rPr>
          <w:rFonts w:eastAsia="Calibri"/>
          <w:color w:val="000000" w:themeColor="text1"/>
          <w:szCs w:val="24"/>
          <w:lang w:eastAsia="en-US"/>
        </w:rPr>
        <w:t xml:space="preserve"> gestão fiscal dos recursos públicos em todas as esferas de governo e prevenir os abusos que prejudicam o patrimônio público. </w:t>
      </w:r>
      <w:r w:rsidRPr="007B611F">
        <w:rPr>
          <w:rFonts w:eastAsia="Calibri"/>
          <w:color w:val="000000" w:themeColor="text1"/>
          <w:szCs w:val="24"/>
        </w:rPr>
        <w:t xml:space="preserve">Nesse sentido, Macedo e </w:t>
      </w:r>
      <w:proofErr w:type="spellStart"/>
      <w:r w:rsidRPr="007B611F">
        <w:rPr>
          <w:rFonts w:eastAsia="Calibri"/>
          <w:color w:val="000000" w:themeColor="text1"/>
          <w:szCs w:val="24"/>
        </w:rPr>
        <w:t>Corbari</w:t>
      </w:r>
      <w:proofErr w:type="spellEnd"/>
      <w:r w:rsidRPr="007B611F">
        <w:rPr>
          <w:rFonts w:eastAsia="Calibri"/>
          <w:color w:val="000000" w:themeColor="text1"/>
          <w:szCs w:val="24"/>
        </w:rPr>
        <w:t xml:space="preserve"> (2009) expõem que o objetivo da Lei de Responsabilidade Fiscal é a contenção do déficit público e do endividamento, através da manutenção do equilíbrio fiscal que se dá com o cumprimento das metas de resultado fiscal. </w:t>
      </w: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rPr>
        <w:t>Conforme o</w:t>
      </w:r>
      <w:proofErr w:type="gramStart"/>
      <w:r w:rsidRPr="007B611F">
        <w:rPr>
          <w:rFonts w:eastAsia="Calibri"/>
          <w:color w:val="000000" w:themeColor="text1"/>
          <w:szCs w:val="24"/>
        </w:rPr>
        <w:t xml:space="preserve"> </w:t>
      </w:r>
      <w:r w:rsidRPr="007B611F">
        <w:rPr>
          <w:rFonts w:eastAsia="Calibri"/>
          <w:color w:val="000000" w:themeColor="text1"/>
          <w:szCs w:val="24"/>
          <w:shd w:val="clear" w:color="auto" w:fill="FFFFFF"/>
          <w:lang w:eastAsia="en-US"/>
        </w:rPr>
        <w:t> </w:t>
      </w:r>
      <w:proofErr w:type="gramEnd"/>
      <w:r w:rsidRPr="007B611F">
        <w:rPr>
          <w:rFonts w:eastAsia="Calibri"/>
          <w:color w:val="000000" w:themeColor="text1"/>
          <w:szCs w:val="24"/>
          <w:shd w:val="clear" w:color="auto" w:fill="FFFFFF"/>
          <w:lang w:eastAsia="en-US"/>
        </w:rPr>
        <w:t>§ 1</w:t>
      </w:r>
      <w:r w:rsidRPr="007B611F">
        <w:rPr>
          <w:rFonts w:eastAsia="Calibri"/>
          <w:color w:val="000000" w:themeColor="text1"/>
          <w:szCs w:val="24"/>
          <w:u w:val="single"/>
          <w:shd w:val="clear" w:color="auto" w:fill="FFFFFF"/>
          <w:vertAlign w:val="superscript"/>
          <w:lang w:eastAsia="en-US"/>
        </w:rPr>
        <w:t>o</w:t>
      </w:r>
      <w:r w:rsidRPr="007B611F">
        <w:rPr>
          <w:rFonts w:eastAsia="Calibri"/>
          <w:color w:val="000000" w:themeColor="text1"/>
          <w:szCs w:val="24"/>
        </w:rPr>
        <w:t xml:space="preserve"> do Art. 1º da Lei de Responsabilidade Fiscal, são pressupostos da responsabilidade na gestão fiscal a ação planejada e transparente, a prevenção de riscos, a correção de desvios capazes de afetar o equilíbrio das contas públicas, o cumprimento de metas de resultado entre receitas e despesas, a obediência aos limites e condições referentes a </w:t>
      </w:r>
      <w:r w:rsidRPr="007B611F">
        <w:rPr>
          <w:rFonts w:eastAsia="Calibri"/>
          <w:color w:val="000000" w:themeColor="text1"/>
          <w:szCs w:val="24"/>
          <w:shd w:val="clear" w:color="auto" w:fill="FFFFFF"/>
          <w:lang w:eastAsia="en-US"/>
        </w:rPr>
        <w:t>renúncia de receita, despesas com pessoal, seguridade social, dívidas consolidadas e mobiliária, operações de crédito, concessão de garantia e inscrição em Restos a Pagar (B</w:t>
      </w:r>
      <w:r w:rsidR="00FC2A60" w:rsidRPr="007B611F">
        <w:rPr>
          <w:rFonts w:eastAsia="Calibri"/>
          <w:color w:val="000000" w:themeColor="text1"/>
          <w:szCs w:val="24"/>
          <w:shd w:val="clear" w:color="auto" w:fill="FFFFFF"/>
          <w:lang w:eastAsia="en-US"/>
        </w:rPr>
        <w:t>rasil</w:t>
      </w:r>
      <w:r w:rsidRPr="007B611F">
        <w:rPr>
          <w:rFonts w:eastAsia="Calibri"/>
          <w:color w:val="000000" w:themeColor="text1"/>
          <w:szCs w:val="24"/>
          <w:shd w:val="clear" w:color="auto" w:fill="FFFFFF"/>
          <w:lang w:eastAsia="en-US"/>
        </w:rPr>
        <w:t>, 2000).</w:t>
      </w:r>
    </w:p>
    <w:p w:rsidR="007C3C21" w:rsidRPr="007B611F" w:rsidRDefault="007C3C21" w:rsidP="007C3C21">
      <w:pPr>
        <w:widowControl/>
        <w:suppressLineNumbers w:val="0"/>
        <w:suppressAutoHyphens w:val="0"/>
        <w:ind w:firstLine="708"/>
        <w:rPr>
          <w:rFonts w:eastAsia="Calibri"/>
          <w:color w:val="000000" w:themeColor="text1"/>
          <w:szCs w:val="24"/>
          <w:highlight w:val="white"/>
          <w:lang w:eastAsia="en-US"/>
        </w:rPr>
      </w:pPr>
      <w:r w:rsidRPr="007B611F">
        <w:rPr>
          <w:rFonts w:eastAsia="Calibri"/>
          <w:color w:val="000000" w:themeColor="text1"/>
          <w:szCs w:val="24"/>
          <w:shd w:val="clear" w:color="auto" w:fill="FFFFFF"/>
          <w:lang w:eastAsia="en-US"/>
        </w:rPr>
        <w:t>A dívida pública consolidada ou fundada é definida no Art. 29, inciso I, da Lei de Responsabilidade fiscal como o “montante total, apurado sem duplicidade, das obrigações financeiras do ente da Federação, assumidas em virtude de leis, contratos, convênios ou tratados e da realização de operações de crédito, para amortização em prazo superior a doze meses”. Além disso, conforme o § 3</w:t>
      </w:r>
      <w:r w:rsidRPr="007B611F">
        <w:rPr>
          <w:rFonts w:eastAsia="Calibri"/>
          <w:color w:val="000000" w:themeColor="text1"/>
          <w:szCs w:val="24"/>
          <w:u w:val="single"/>
          <w:shd w:val="clear" w:color="auto" w:fill="FFFFFF"/>
          <w:vertAlign w:val="superscript"/>
          <w:lang w:eastAsia="en-US"/>
        </w:rPr>
        <w:t>o</w:t>
      </w:r>
      <w:r w:rsidRPr="007B611F">
        <w:rPr>
          <w:rFonts w:eastAsia="Calibri"/>
          <w:color w:val="000000" w:themeColor="text1"/>
          <w:szCs w:val="24"/>
          <w:shd w:val="clear" w:color="auto" w:fill="FFFFFF"/>
          <w:vertAlign w:val="superscript"/>
          <w:lang w:eastAsia="en-US"/>
        </w:rPr>
        <w:t xml:space="preserve"> </w:t>
      </w:r>
      <w:r w:rsidRPr="007B611F">
        <w:rPr>
          <w:rFonts w:eastAsia="Calibri"/>
          <w:color w:val="000000" w:themeColor="text1"/>
          <w:szCs w:val="24"/>
          <w:shd w:val="clear" w:color="auto" w:fill="FFFFFF"/>
          <w:lang w:eastAsia="en-US"/>
        </w:rPr>
        <w:t>do Art. 29 da Lei de Responsabilidade fiscal, também fazem parte da dívida pública consolidada as operações de créditos com prazo inferior a doze meses, cujas receitas tenham constado do orçamento (B</w:t>
      </w:r>
      <w:r w:rsidR="00FC2A60" w:rsidRPr="007B611F">
        <w:rPr>
          <w:rFonts w:eastAsia="Calibri"/>
          <w:color w:val="000000" w:themeColor="text1"/>
          <w:szCs w:val="24"/>
          <w:shd w:val="clear" w:color="auto" w:fill="FFFFFF"/>
          <w:lang w:eastAsia="en-US"/>
        </w:rPr>
        <w:t>rasil</w:t>
      </w:r>
      <w:r w:rsidRPr="007B611F">
        <w:rPr>
          <w:rFonts w:eastAsia="Calibri"/>
          <w:color w:val="000000" w:themeColor="text1"/>
          <w:szCs w:val="24"/>
          <w:shd w:val="clear" w:color="auto" w:fill="FFFFFF"/>
          <w:lang w:eastAsia="en-US"/>
        </w:rPr>
        <w:t>, 2000).</w:t>
      </w:r>
    </w:p>
    <w:p w:rsidR="007C3C21" w:rsidRPr="007B611F" w:rsidRDefault="007C3C21" w:rsidP="007C3C21">
      <w:pPr>
        <w:widowControl/>
        <w:suppressLineNumbers w:val="0"/>
        <w:suppressAutoHyphens w:val="0"/>
        <w:ind w:firstLine="708"/>
        <w:rPr>
          <w:rFonts w:eastAsia="Calibri"/>
          <w:color w:val="000000" w:themeColor="text1"/>
          <w:szCs w:val="24"/>
          <w:lang w:eastAsia="en-US"/>
        </w:rPr>
      </w:pPr>
      <w:r w:rsidRPr="007B611F">
        <w:rPr>
          <w:rFonts w:eastAsia="Calibri"/>
          <w:color w:val="000000" w:themeColor="text1"/>
          <w:szCs w:val="24"/>
          <w:shd w:val="clear" w:color="auto" w:fill="FFFFFF"/>
          <w:lang w:eastAsia="en-US"/>
        </w:rPr>
        <w:t xml:space="preserve">Quanto </w:t>
      </w:r>
      <w:proofErr w:type="gramStart"/>
      <w:r w:rsidRPr="007B611F">
        <w:rPr>
          <w:rFonts w:eastAsia="Calibri"/>
          <w:color w:val="000000" w:themeColor="text1"/>
          <w:szCs w:val="24"/>
          <w:shd w:val="clear" w:color="auto" w:fill="FFFFFF"/>
          <w:lang w:eastAsia="en-US"/>
        </w:rPr>
        <w:t>a</w:t>
      </w:r>
      <w:proofErr w:type="gramEnd"/>
      <w:r w:rsidRPr="007B611F">
        <w:rPr>
          <w:rFonts w:eastAsia="Calibri"/>
          <w:color w:val="000000" w:themeColor="text1"/>
          <w:szCs w:val="24"/>
          <w:shd w:val="clear" w:color="auto" w:fill="FFFFFF"/>
          <w:lang w:eastAsia="en-US"/>
        </w:rPr>
        <w:t xml:space="preserve"> dívida consolida líquida é estabelecida pelo Art. 1º, inciso V, da Resolução nº 40/2001 do Senado Federal e consiste no valor da dívida pública consolidada deduzido das disponibilidades de caixa, aplicações financeiras e demais haveres financeiros. Já a Receita corrente líquida dos municípios, conforme o Art. 2º da Resolução nº 40/2001 do Senado Federal, consiste na soma das receitas tributárias, de contribuições, patrimoniais, industriais, agropecuárias, de serviços, transferências correntes e outras receitas correntes deduzida da contribuição dos servidores para o custeio do sistema previdenciário e de assistência social e </w:t>
      </w:r>
      <w:r w:rsidRPr="007B611F">
        <w:rPr>
          <w:rFonts w:eastAsia="Calibri"/>
          <w:color w:val="000000" w:themeColor="text1"/>
          <w:szCs w:val="24"/>
          <w:lang w:eastAsia="en-US"/>
        </w:rPr>
        <w:t xml:space="preserve">as receitas provenientes de compensação financeira nas hipóteses de contagem recíproca do tempo de contribuição na administração pública e na atividade privada, rural e urbana para efeito de aposentadoria </w:t>
      </w:r>
      <w:r w:rsidRPr="007B611F">
        <w:rPr>
          <w:rFonts w:eastAsia="Calibri"/>
          <w:color w:val="000000" w:themeColor="text1"/>
          <w:szCs w:val="24"/>
          <w:shd w:val="clear" w:color="auto" w:fill="FFFFFF"/>
          <w:lang w:eastAsia="en-US"/>
        </w:rPr>
        <w:t>(B</w:t>
      </w:r>
      <w:r w:rsidR="00FC2A60" w:rsidRPr="007B611F">
        <w:rPr>
          <w:rFonts w:eastAsia="Calibri"/>
          <w:color w:val="000000" w:themeColor="text1"/>
          <w:szCs w:val="24"/>
          <w:shd w:val="clear" w:color="auto" w:fill="FFFFFF"/>
          <w:lang w:eastAsia="en-US"/>
        </w:rPr>
        <w:t>rasil</w:t>
      </w:r>
      <w:r w:rsidRPr="007B611F">
        <w:rPr>
          <w:rFonts w:eastAsia="Calibri"/>
          <w:color w:val="000000" w:themeColor="text1"/>
          <w:szCs w:val="24"/>
          <w:shd w:val="clear" w:color="auto" w:fill="FFFFFF"/>
          <w:lang w:eastAsia="en-US"/>
        </w:rPr>
        <w:t xml:space="preserve">, 2000). </w:t>
      </w:r>
    </w:p>
    <w:p w:rsidR="007C3C21" w:rsidRPr="007B611F" w:rsidRDefault="007C3C21"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 xml:space="preserve">Ao abordar o endividamento dos entes federados, o Art. 3º da Resolução nº 40/2001 do Senado Federal também estabeleceu os limites globais da Dívida consolidada líquida. No caso dos municípios a mesma não pode exceder a 1,2 vezes a Receita corrente líquida. Quanto aos limites de despesa com pessoal, foram estabelecidos pela própria Lei de Responsabilidade Fiscal, no Art. 19, sendo que, se tratando de municípios, não pode exceder a 60% da Receita corrente líquida </w:t>
      </w:r>
      <w:r w:rsidR="00FC2A60" w:rsidRPr="007B611F">
        <w:rPr>
          <w:rFonts w:eastAsia="Calibri"/>
          <w:color w:val="000000" w:themeColor="text1"/>
          <w:szCs w:val="24"/>
          <w:shd w:val="clear" w:color="auto" w:fill="FFFFFF"/>
          <w:lang w:eastAsia="en-US"/>
        </w:rPr>
        <w:t>(Brasil, 2000).</w:t>
      </w:r>
      <w:r w:rsidRPr="007B611F">
        <w:rPr>
          <w:rFonts w:eastAsia="Calibri"/>
          <w:color w:val="000000" w:themeColor="text1"/>
          <w:szCs w:val="24"/>
          <w:shd w:val="clear" w:color="auto" w:fill="FFFFFF"/>
          <w:lang w:eastAsia="en-US"/>
        </w:rPr>
        <w:t xml:space="preserve">  Assim, é fato que o endividamento dos entes públicos foi um dos principais pontos abordados pela Lei de Responsabilidade Fiscal. </w:t>
      </w:r>
    </w:p>
    <w:p w:rsidR="007C3C21" w:rsidRPr="007B611F" w:rsidRDefault="007C3C21" w:rsidP="007C3C21">
      <w:pPr>
        <w:widowControl/>
        <w:suppressLineNumbers w:val="0"/>
        <w:shd w:val="clear" w:color="auto" w:fill="FFFFFF"/>
        <w:suppressAutoHyphens w:val="0"/>
        <w:ind w:firstLine="0"/>
        <w:rPr>
          <w:rFonts w:eastAsia="Calibri"/>
          <w:color w:val="000000" w:themeColor="text1"/>
          <w:szCs w:val="24"/>
          <w:shd w:val="clear" w:color="auto" w:fill="FFFFFF"/>
          <w:lang w:eastAsia="en-US"/>
        </w:rPr>
      </w:pPr>
    </w:p>
    <w:p w:rsidR="007C3C21" w:rsidRPr="007B611F" w:rsidRDefault="007C3C21" w:rsidP="007C3C21">
      <w:pPr>
        <w:widowControl/>
        <w:suppressLineNumbers w:val="0"/>
        <w:shd w:val="clear" w:color="auto" w:fill="FFFFFF"/>
        <w:suppressAutoHyphens w:val="0"/>
        <w:ind w:firstLine="0"/>
        <w:rPr>
          <w:rFonts w:eastAsia="Calibri"/>
          <w:b/>
          <w:color w:val="000000" w:themeColor="text1"/>
          <w:szCs w:val="24"/>
          <w:shd w:val="clear" w:color="auto" w:fill="FFFFFF"/>
          <w:lang w:eastAsia="en-US"/>
        </w:rPr>
      </w:pPr>
      <w:proofErr w:type="gramStart"/>
      <w:r w:rsidRPr="007B611F">
        <w:rPr>
          <w:rFonts w:eastAsia="Calibri"/>
          <w:b/>
          <w:color w:val="000000" w:themeColor="text1"/>
          <w:szCs w:val="24"/>
          <w:shd w:val="clear" w:color="auto" w:fill="FFFFFF"/>
          <w:lang w:eastAsia="en-US"/>
        </w:rPr>
        <w:t>2.3 Endividamento</w:t>
      </w:r>
      <w:proofErr w:type="gramEnd"/>
      <w:r w:rsidRPr="007B611F">
        <w:rPr>
          <w:rFonts w:eastAsia="Calibri"/>
          <w:b/>
          <w:color w:val="000000" w:themeColor="text1"/>
          <w:szCs w:val="24"/>
          <w:shd w:val="clear" w:color="auto" w:fill="FFFFFF"/>
          <w:lang w:eastAsia="en-US"/>
        </w:rPr>
        <w:t xml:space="preserve"> público </w:t>
      </w:r>
    </w:p>
    <w:p w:rsidR="007C3C21" w:rsidRPr="007B611F" w:rsidRDefault="007C3C21" w:rsidP="007C3C21">
      <w:pPr>
        <w:widowControl/>
        <w:suppressLineNumbers w:val="0"/>
        <w:shd w:val="clear" w:color="auto" w:fill="FFFFFF"/>
        <w:suppressAutoHyphens w:val="0"/>
        <w:ind w:firstLine="0"/>
        <w:rPr>
          <w:rFonts w:eastAsia="Calibri"/>
          <w:color w:val="000000" w:themeColor="text1"/>
          <w:szCs w:val="24"/>
          <w:shd w:val="clear" w:color="auto" w:fill="FFFFFF"/>
          <w:lang w:eastAsia="en-US"/>
        </w:rPr>
      </w:pPr>
    </w:p>
    <w:p w:rsidR="007C3C21" w:rsidRPr="007B611F" w:rsidRDefault="007C3C21"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O endividamento do ente público revela-se como consequência do acumulo de despesas superiores às receitas. Observa-se que o ente visa atender a necessidade de seus cidadãos e para isso realiza o gerenciamento dos recursos, obtidos principalmente na forma de tributos. A ocorrência de déficit é premissa fundamental para a criação do fenômeno da dívida pública, ao compor uma fonte de recurso alternativa na tentativa de suprir a condição de desequilíbrio orçamentário (</w:t>
      </w:r>
      <w:proofErr w:type="spellStart"/>
      <w:r w:rsidRPr="007B611F">
        <w:rPr>
          <w:rFonts w:eastAsia="Calibri"/>
          <w:color w:val="000000" w:themeColor="text1"/>
          <w:szCs w:val="24"/>
          <w:shd w:val="clear" w:color="auto" w:fill="FFFFFF"/>
          <w:lang w:eastAsia="en-US"/>
        </w:rPr>
        <w:t>H</w:t>
      </w:r>
      <w:r w:rsidR="00FC2A60" w:rsidRPr="007B611F">
        <w:rPr>
          <w:rFonts w:eastAsia="Calibri"/>
          <w:color w:val="000000" w:themeColor="text1"/>
          <w:szCs w:val="24"/>
          <w:shd w:val="clear" w:color="auto" w:fill="FFFFFF"/>
          <w:lang w:eastAsia="en-US"/>
        </w:rPr>
        <w:t>erber</w:t>
      </w:r>
      <w:proofErr w:type="spellEnd"/>
      <w:r w:rsidRPr="007B611F">
        <w:rPr>
          <w:rFonts w:eastAsia="Calibri"/>
          <w:color w:val="000000" w:themeColor="text1"/>
          <w:szCs w:val="24"/>
          <w:shd w:val="clear" w:color="auto" w:fill="FFFFFF"/>
          <w:lang w:eastAsia="en-US"/>
        </w:rPr>
        <w:t>, 1983).</w:t>
      </w:r>
    </w:p>
    <w:p w:rsidR="007C3C21" w:rsidRPr="007B611F" w:rsidRDefault="007C3C21"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Para Barro (1979), existem duas fontes principais de financiamento para os bens e serviços oferecidos pelo governo, a receita tributária ou o endividamento. Assim, não sendo possível a execução de despesas por meio de mecanismos tributários, aumenta-se a constituição de dívidas. Em períodos de recessão e estagnação, o poder público teria que arcar com um determinado nível de gastos mantendo as taxas de impostos inalteradas, o que resulta no aumento do endividamento.</w:t>
      </w:r>
    </w:p>
    <w:p w:rsidR="007C3C21" w:rsidRPr="007B611F" w:rsidRDefault="007C3C21"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Na prática, a descentralização administrativa e fiscal baseada na arrecadação centralizada de tributos para posterior redistribuição aos governos locais tende a aumentar os gastos, pois, há uma tendência destes em aumentarem suas despesas sem elevar os impostos pagos pelos cidadãos. Como os fundos oriundos das transferências originam-se de uma base nacional, o governo local, frequentemente, não mensura o custo total desse aumento do gasto público (</w:t>
      </w:r>
      <w:proofErr w:type="spellStart"/>
      <w:r w:rsidRPr="007B611F">
        <w:rPr>
          <w:rFonts w:eastAsia="Calibri"/>
          <w:color w:val="000000" w:themeColor="text1"/>
          <w:szCs w:val="24"/>
          <w:shd w:val="clear" w:color="auto" w:fill="FFFFFF"/>
          <w:lang w:eastAsia="en-US"/>
        </w:rPr>
        <w:t>C</w:t>
      </w:r>
      <w:r w:rsidR="00FC2A60" w:rsidRPr="007B611F">
        <w:rPr>
          <w:rFonts w:eastAsia="Calibri"/>
          <w:color w:val="000000" w:themeColor="text1"/>
          <w:szCs w:val="24"/>
          <w:shd w:val="clear" w:color="auto" w:fill="FFFFFF"/>
          <w:lang w:eastAsia="en-US"/>
        </w:rPr>
        <w:t>orbari</w:t>
      </w:r>
      <w:proofErr w:type="spellEnd"/>
      <w:r w:rsidRPr="007B611F">
        <w:rPr>
          <w:rFonts w:eastAsia="Calibri"/>
          <w:color w:val="000000" w:themeColor="text1"/>
          <w:szCs w:val="24"/>
          <w:shd w:val="clear" w:color="auto" w:fill="FFFFFF"/>
          <w:lang w:eastAsia="en-US"/>
        </w:rPr>
        <w:t>, 2008).</w:t>
      </w:r>
    </w:p>
    <w:p w:rsidR="007C3C21" w:rsidRPr="007B611F" w:rsidRDefault="007C3C21"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 xml:space="preserve">Para Velasco (1997) em países nos quais decisões a respeito das despesas são tomadas por autoridades subnacionais, e que não possuem receitas próprias suficientes para cobrir os compromissos, a tendência é a dependência dos recursos do governo central ou o acúmulo crescente de déficits fiscais, levando a dívida pública </w:t>
      </w:r>
      <w:proofErr w:type="gramStart"/>
      <w:r w:rsidRPr="007B611F">
        <w:rPr>
          <w:rFonts w:eastAsia="Calibri"/>
          <w:color w:val="000000" w:themeColor="text1"/>
          <w:szCs w:val="24"/>
          <w:shd w:val="clear" w:color="auto" w:fill="FFFFFF"/>
          <w:lang w:eastAsia="en-US"/>
        </w:rPr>
        <w:t>ultrapassar</w:t>
      </w:r>
      <w:proofErr w:type="gramEnd"/>
      <w:r w:rsidRPr="007B611F">
        <w:rPr>
          <w:rFonts w:eastAsia="Calibri"/>
          <w:color w:val="000000" w:themeColor="text1"/>
          <w:szCs w:val="24"/>
          <w:shd w:val="clear" w:color="auto" w:fill="FFFFFF"/>
          <w:lang w:eastAsia="en-US"/>
        </w:rPr>
        <w:t xml:space="preserve"> os patamares prejudiciais a política econômica.</w:t>
      </w:r>
    </w:p>
    <w:p w:rsidR="007C3C21" w:rsidRPr="007B611F" w:rsidRDefault="007C3C21"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 xml:space="preserve">Diversos estudos se propuseram a elucidar o aumento do endividamento público, como Barro (1979), que diz ser o déficit público resultado da tentativa do ente governamental para diminuir os problemas com a variação de gastos </w:t>
      </w:r>
      <w:r w:rsidRPr="007B611F">
        <w:rPr>
          <w:rFonts w:eastAsia="Calibri"/>
          <w:i/>
          <w:color w:val="000000" w:themeColor="text1"/>
          <w:szCs w:val="24"/>
          <w:shd w:val="clear" w:color="auto" w:fill="FFFFFF"/>
          <w:lang w:eastAsia="en-US"/>
        </w:rPr>
        <w:t xml:space="preserve">versus </w:t>
      </w:r>
      <w:r w:rsidRPr="007B611F">
        <w:rPr>
          <w:rFonts w:eastAsia="Calibri"/>
          <w:iCs/>
          <w:color w:val="000000" w:themeColor="text1"/>
          <w:szCs w:val="24"/>
          <w:shd w:val="clear" w:color="auto" w:fill="FFFFFF"/>
          <w:lang w:eastAsia="en-US"/>
        </w:rPr>
        <w:t>a</w:t>
      </w:r>
      <w:r w:rsidRPr="007B611F">
        <w:rPr>
          <w:rFonts w:eastAsia="Calibri"/>
          <w:color w:val="000000" w:themeColor="text1"/>
          <w:szCs w:val="24"/>
          <w:shd w:val="clear" w:color="auto" w:fill="FFFFFF"/>
          <w:lang w:eastAsia="en-US"/>
        </w:rPr>
        <w:t xml:space="preserve"> arrecadação de tributos. Silva e Souza (2002)</w:t>
      </w:r>
      <w:proofErr w:type="gramStart"/>
      <w:r w:rsidRPr="007B611F">
        <w:rPr>
          <w:rFonts w:eastAsia="Calibri"/>
          <w:color w:val="000000" w:themeColor="text1"/>
          <w:szCs w:val="24"/>
          <w:shd w:val="clear" w:color="auto" w:fill="FFFFFF"/>
          <w:lang w:eastAsia="en-US"/>
        </w:rPr>
        <w:t>, apontam</w:t>
      </w:r>
      <w:proofErr w:type="gramEnd"/>
      <w:r w:rsidRPr="007B611F">
        <w:rPr>
          <w:rFonts w:eastAsia="Calibri"/>
          <w:color w:val="000000" w:themeColor="text1"/>
          <w:szCs w:val="24"/>
          <w:shd w:val="clear" w:color="auto" w:fill="FFFFFF"/>
          <w:lang w:eastAsia="en-US"/>
        </w:rPr>
        <w:t xml:space="preserve"> como fundamentais para a evolução da dívida dos estados a dependência de recursos transferidos pelo governo central, associados a uma limitação dos governos locais na captação de recursos próprios. </w:t>
      </w:r>
      <w:proofErr w:type="spellStart"/>
      <w:r w:rsidRPr="007B611F">
        <w:rPr>
          <w:rFonts w:eastAsia="Calibri"/>
          <w:color w:val="000000" w:themeColor="text1"/>
          <w:szCs w:val="24"/>
          <w:shd w:val="clear" w:color="auto" w:fill="FFFFFF"/>
          <w:lang w:eastAsia="en-US"/>
        </w:rPr>
        <w:t>Gobetti</w:t>
      </w:r>
      <w:proofErr w:type="spellEnd"/>
      <w:r w:rsidRPr="007B611F">
        <w:rPr>
          <w:rFonts w:eastAsia="Calibri"/>
          <w:color w:val="000000" w:themeColor="text1"/>
          <w:szCs w:val="24"/>
          <w:shd w:val="clear" w:color="auto" w:fill="FFFFFF"/>
          <w:lang w:eastAsia="en-US"/>
        </w:rPr>
        <w:t xml:space="preserve"> e </w:t>
      </w:r>
      <w:proofErr w:type="spellStart"/>
      <w:r w:rsidRPr="007B611F">
        <w:rPr>
          <w:rFonts w:eastAsia="Calibri"/>
          <w:color w:val="000000" w:themeColor="text1"/>
          <w:szCs w:val="24"/>
          <w:shd w:val="clear" w:color="auto" w:fill="FFFFFF"/>
          <w:lang w:eastAsia="en-US"/>
        </w:rPr>
        <w:t>Schetini</w:t>
      </w:r>
      <w:proofErr w:type="spellEnd"/>
      <w:r w:rsidRPr="007B611F">
        <w:rPr>
          <w:rFonts w:eastAsia="Calibri"/>
          <w:color w:val="000000" w:themeColor="text1"/>
          <w:szCs w:val="24"/>
          <w:shd w:val="clear" w:color="auto" w:fill="FFFFFF"/>
          <w:lang w:eastAsia="en-US"/>
        </w:rPr>
        <w:t xml:space="preserve"> (2010), concluíram em suas pesquisas que a taxa básica de juros e a inflação também influenciam no desempenho da dívida pública. </w:t>
      </w:r>
    </w:p>
    <w:p w:rsidR="007C3C21" w:rsidRPr="007B611F" w:rsidRDefault="007C3C21"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 xml:space="preserve">Alguns fatores podem influenciar no comportamento do endividamento público. Queiroz et. </w:t>
      </w:r>
      <w:proofErr w:type="gramStart"/>
      <w:r w:rsidRPr="007B611F">
        <w:rPr>
          <w:rFonts w:eastAsia="Calibri"/>
          <w:color w:val="000000" w:themeColor="text1"/>
          <w:szCs w:val="24"/>
          <w:shd w:val="clear" w:color="auto" w:fill="FFFFFF"/>
          <w:lang w:eastAsia="en-US"/>
        </w:rPr>
        <w:t>al</w:t>
      </w:r>
      <w:proofErr w:type="gramEnd"/>
      <w:r w:rsidRPr="007B611F">
        <w:rPr>
          <w:rFonts w:eastAsia="Calibri"/>
          <w:color w:val="000000" w:themeColor="text1"/>
          <w:szCs w:val="24"/>
          <w:shd w:val="clear" w:color="auto" w:fill="FFFFFF"/>
          <w:lang w:eastAsia="en-US"/>
        </w:rPr>
        <w:t xml:space="preserve"> (2018) observaram que o PIB e o tamanho da população são fatores determinantes da dívida pública dos estados brasileiros. Soares </w:t>
      </w:r>
      <w:proofErr w:type="gramStart"/>
      <w:r w:rsidRPr="007B611F">
        <w:rPr>
          <w:rFonts w:eastAsia="Calibri"/>
          <w:color w:val="000000" w:themeColor="text1"/>
          <w:szCs w:val="24"/>
          <w:shd w:val="clear" w:color="auto" w:fill="FFFFFF"/>
          <w:lang w:eastAsia="en-US"/>
        </w:rPr>
        <w:t>et</w:t>
      </w:r>
      <w:proofErr w:type="gramEnd"/>
      <w:r w:rsidRPr="007B611F">
        <w:rPr>
          <w:rFonts w:eastAsia="Calibri"/>
          <w:color w:val="000000" w:themeColor="text1"/>
          <w:szCs w:val="24"/>
          <w:shd w:val="clear" w:color="auto" w:fill="FFFFFF"/>
          <w:lang w:eastAsia="en-US"/>
        </w:rPr>
        <w:t xml:space="preserve"> al. (2013) encontraram que as variáveis endividamento defasado, despesas de investimentos, inflação e anos eleitorais foram importantes para explicar o endividamento dos estados brasileiros. Mello e </w:t>
      </w:r>
      <w:proofErr w:type="spellStart"/>
      <w:r w:rsidRPr="007B611F">
        <w:rPr>
          <w:rFonts w:eastAsia="Calibri"/>
          <w:color w:val="000000" w:themeColor="text1"/>
          <w:szCs w:val="24"/>
          <w:shd w:val="clear" w:color="auto" w:fill="FFFFFF"/>
          <w:lang w:eastAsia="en-US"/>
        </w:rPr>
        <w:t>Slomski</w:t>
      </w:r>
      <w:proofErr w:type="spellEnd"/>
      <w:r w:rsidRPr="007B611F">
        <w:rPr>
          <w:rFonts w:eastAsia="Calibri"/>
          <w:color w:val="000000" w:themeColor="text1"/>
          <w:szCs w:val="24"/>
          <w:shd w:val="clear" w:color="auto" w:fill="FFFFFF"/>
          <w:lang w:eastAsia="en-US"/>
        </w:rPr>
        <w:t xml:space="preserve"> (2009) identificaram que às receitas de transferências, receita per capita, cobertura corrente total e o endividamento do período anterior são influenciam o endividamento dos estados brasileiros.</w:t>
      </w:r>
    </w:p>
    <w:p w:rsidR="007C3C21" w:rsidRPr="007B611F" w:rsidRDefault="007C3C21"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 xml:space="preserve">Em se tratando de municípios, Macedo e </w:t>
      </w:r>
      <w:proofErr w:type="spellStart"/>
      <w:r w:rsidRPr="007B611F">
        <w:rPr>
          <w:rFonts w:eastAsia="Calibri"/>
          <w:color w:val="000000" w:themeColor="text1"/>
          <w:szCs w:val="24"/>
          <w:shd w:val="clear" w:color="auto" w:fill="FFFFFF"/>
          <w:lang w:eastAsia="en-US"/>
        </w:rPr>
        <w:t>Corbari</w:t>
      </w:r>
      <w:proofErr w:type="spellEnd"/>
      <w:r w:rsidRPr="007B611F">
        <w:rPr>
          <w:rFonts w:eastAsia="Calibri"/>
          <w:color w:val="000000" w:themeColor="text1"/>
          <w:szCs w:val="24"/>
          <w:shd w:val="clear" w:color="auto" w:fill="FFFFFF"/>
          <w:lang w:eastAsia="en-US"/>
        </w:rPr>
        <w:t xml:space="preserve"> (2009) verificaram a importância das </w:t>
      </w:r>
      <w:proofErr w:type="gramStart"/>
      <w:r w:rsidRPr="007B611F">
        <w:rPr>
          <w:rFonts w:eastAsia="Calibri"/>
          <w:color w:val="000000" w:themeColor="text1"/>
          <w:szCs w:val="24"/>
          <w:shd w:val="clear" w:color="auto" w:fill="FFFFFF"/>
          <w:lang w:eastAsia="en-US"/>
        </w:rPr>
        <w:t>variáveis endividamento</w:t>
      </w:r>
      <w:proofErr w:type="gramEnd"/>
      <w:r w:rsidRPr="007B611F">
        <w:rPr>
          <w:rFonts w:eastAsia="Calibri"/>
          <w:color w:val="000000" w:themeColor="text1"/>
          <w:szCs w:val="24"/>
          <w:shd w:val="clear" w:color="auto" w:fill="FFFFFF"/>
          <w:lang w:eastAsia="en-US"/>
        </w:rPr>
        <w:t xml:space="preserve"> defasado e estrutura de capital. Santana (2017) observou que </w:t>
      </w:r>
      <w:proofErr w:type="gramStart"/>
      <w:r w:rsidRPr="007B611F">
        <w:rPr>
          <w:rFonts w:eastAsia="Calibri"/>
          <w:color w:val="000000" w:themeColor="text1"/>
          <w:szCs w:val="24"/>
          <w:shd w:val="clear" w:color="auto" w:fill="FFFFFF"/>
          <w:lang w:eastAsia="en-US"/>
        </w:rPr>
        <w:t xml:space="preserve">as </w:t>
      </w:r>
      <w:r w:rsidRPr="007B611F">
        <w:rPr>
          <w:rFonts w:eastAsia="Calibri"/>
          <w:color w:val="000000" w:themeColor="text1"/>
          <w:szCs w:val="24"/>
          <w:shd w:val="clear" w:color="auto" w:fill="FFFFFF"/>
          <w:lang w:eastAsia="en-US"/>
        </w:rPr>
        <w:lastRenderedPageBreak/>
        <w:t>variáveis participação</w:t>
      </w:r>
      <w:proofErr w:type="gramEnd"/>
      <w:r w:rsidRPr="007B611F">
        <w:rPr>
          <w:rFonts w:eastAsia="Calibri"/>
          <w:color w:val="000000" w:themeColor="text1"/>
          <w:szCs w:val="24"/>
          <w:shd w:val="clear" w:color="auto" w:fill="FFFFFF"/>
          <w:lang w:eastAsia="en-US"/>
        </w:rPr>
        <w:t xml:space="preserve"> da receita tributária, participação na receita de capital, participação na receita do Fundo de Participação dos Municípios, participação na cota-parte do ICMS, participação nas transferências voluntárias, gastos com pessoal, despesas com investimentos, endividamento defasado e porte populacional possuem relação com o endividamento. Linhares, Penna e Borges (2013) identificaram que </w:t>
      </w:r>
      <w:proofErr w:type="gramStart"/>
      <w:r w:rsidRPr="007B611F">
        <w:rPr>
          <w:rFonts w:eastAsia="Calibri"/>
          <w:color w:val="000000" w:themeColor="text1"/>
          <w:szCs w:val="24"/>
          <w:shd w:val="clear" w:color="auto" w:fill="FFFFFF"/>
          <w:lang w:eastAsia="en-US"/>
        </w:rPr>
        <w:t>as variáveis endividamento</w:t>
      </w:r>
      <w:proofErr w:type="gramEnd"/>
      <w:r w:rsidRPr="007B611F">
        <w:rPr>
          <w:rFonts w:eastAsia="Calibri"/>
          <w:color w:val="000000" w:themeColor="text1"/>
          <w:szCs w:val="24"/>
          <w:shd w:val="clear" w:color="auto" w:fill="FFFFFF"/>
          <w:lang w:eastAsia="en-US"/>
        </w:rPr>
        <w:t xml:space="preserve"> defasado, grau de dependência, despesas com pessoal e despesas com investimento são capazes de influenciar o endividamento dos municípios do Piauí.</w:t>
      </w:r>
    </w:p>
    <w:p w:rsidR="007C3C21" w:rsidRPr="007B611F" w:rsidRDefault="007C3C21"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 xml:space="preserve">Por fim, </w:t>
      </w:r>
      <w:proofErr w:type="spellStart"/>
      <w:r w:rsidRPr="007B611F">
        <w:rPr>
          <w:rFonts w:eastAsia="Calibri"/>
          <w:color w:val="000000" w:themeColor="text1"/>
          <w:szCs w:val="24"/>
          <w:shd w:val="clear" w:color="auto" w:fill="FFFFFF"/>
          <w:lang w:eastAsia="en-US"/>
        </w:rPr>
        <w:t>Burchell</w:t>
      </w:r>
      <w:proofErr w:type="spellEnd"/>
      <w:r w:rsidRPr="007B611F">
        <w:rPr>
          <w:rFonts w:eastAsia="Calibri"/>
          <w:color w:val="000000" w:themeColor="text1"/>
          <w:szCs w:val="24"/>
          <w:shd w:val="clear" w:color="auto" w:fill="FFFFFF"/>
          <w:lang w:eastAsia="en-US"/>
        </w:rPr>
        <w:t xml:space="preserve"> (1984) relata ainda que mudanças no nível populacional influenciam o desempenho da dívida. Tais alterações podem significar, por um lado, procura por melhorias e consequentemente de renda, o que por sua vez afeta a demanda por serviços e produtos, e por outro, a diminuição da população ocasiona efeitos contrários na base da receita, pois a União realiza transferências intergovernamentais, em alguns casos, utilizando como parâmetros de cálculo o quantitativo da população e a renda familiar per capita.</w:t>
      </w:r>
    </w:p>
    <w:p w:rsidR="007C3C21" w:rsidRPr="007B611F" w:rsidRDefault="007C3C21"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 xml:space="preserve">Nesse contexto </w:t>
      </w:r>
      <w:proofErr w:type="spellStart"/>
      <w:r w:rsidRPr="007B611F">
        <w:rPr>
          <w:rFonts w:eastAsia="Calibri"/>
          <w:color w:val="000000" w:themeColor="text1"/>
          <w:szCs w:val="24"/>
          <w:shd w:val="clear" w:color="auto" w:fill="FFFFFF"/>
          <w:lang w:eastAsia="en-US"/>
        </w:rPr>
        <w:t>Oates</w:t>
      </w:r>
      <w:proofErr w:type="spellEnd"/>
      <w:r w:rsidRPr="007B611F">
        <w:rPr>
          <w:rFonts w:eastAsia="Calibri"/>
          <w:color w:val="000000" w:themeColor="text1"/>
          <w:szCs w:val="24"/>
          <w:shd w:val="clear" w:color="auto" w:fill="FFFFFF"/>
          <w:lang w:eastAsia="en-US"/>
        </w:rPr>
        <w:t xml:space="preserve"> (1999) discorre que os governos locais têm pouca influência nos níveis de emprego e renda a fim de realizar melhor distribuição igualitária de recursos. </w:t>
      </w:r>
      <w:proofErr w:type="gramStart"/>
      <w:r w:rsidRPr="007B611F">
        <w:rPr>
          <w:rFonts w:eastAsia="Calibri"/>
          <w:color w:val="000000" w:themeColor="text1"/>
          <w:szCs w:val="24"/>
          <w:shd w:val="clear" w:color="auto" w:fill="FFFFFF"/>
          <w:lang w:eastAsia="en-US"/>
        </w:rPr>
        <w:t>As atividades de equilíbrio macroeconômica</w:t>
      </w:r>
      <w:proofErr w:type="gramEnd"/>
      <w:r w:rsidRPr="007B611F">
        <w:rPr>
          <w:rFonts w:eastAsia="Calibri"/>
          <w:color w:val="000000" w:themeColor="text1"/>
          <w:szCs w:val="24"/>
          <w:shd w:val="clear" w:color="auto" w:fill="FFFFFF"/>
          <w:lang w:eastAsia="en-US"/>
        </w:rPr>
        <w:t xml:space="preserve"> e distribuição devem ser atribuídas ao governo central, porém, os entes locais por se encontrarem espacialmente mais próximo dos cidadãos, são aptos para executar a função de alocação de bens e serviços públicos de forma mais eficiente, justificando-se a descentralização dos recursos.</w:t>
      </w:r>
    </w:p>
    <w:p w:rsidR="007C3C21" w:rsidRPr="007B611F" w:rsidRDefault="007C3C21"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Além das delimitações para a constituição de dívida pública, os gestores públicos, seguindo os preceitos da LRF, devem demonstrar nos instrumentos</w:t>
      </w:r>
      <w:proofErr w:type="gramStart"/>
      <w:r w:rsidRPr="007B611F">
        <w:rPr>
          <w:rFonts w:eastAsia="Calibri"/>
          <w:color w:val="000000" w:themeColor="text1"/>
          <w:szCs w:val="24"/>
          <w:shd w:val="clear" w:color="auto" w:fill="FFFFFF"/>
          <w:lang w:eastAsia="en-US"/>
        </w:rPr>
        <w:t xml:space="preserve">   </w:t>
      </w:r>
      <w:proofErr w:type="gramEnd"/>
      <w:r w:rsidRPr="007B611F">
        <w:rPr>
          <w:rFonts w:eastAsia="Calibri"/>
          <w:color w:val="000000" w:themeColor="text1"/>
          <w:szCs w:val="24"/>
          <w:shd w:val="clear" w:color="auto" w:fill="FFFFFF"/>
          <w:lang w:eastAsia="en-US"/>
        </w:rPr>
        <w:t>de   planejamento as metas   a serem alcançadas anualmente envolvendo o endividamento por meio do resultado nominal, evidenciando se houve aumento ou diminuição da dívida pública (</w:t>
      </w:r>
      <w:proofErr w:type="spellStart"/>
      <w:r w:rsidRPr="007B611F">
        <w:rPr>
          <w:rFonts w:eastAsia="Calibri"/>
          <w:color w:val="000000" w:themeColor="text1"/>
          <w:szCs w:val="24"/>
          <w:shd w:val="clear" w:color="auto" w:fill="FFFFFF"/>
          <w:lang w:eastAsia="en-US"/>
        </w:rPr>
        <w:t>G</w:t>
      </w:r>
      <w:r w:rsidR="00592E70" w:rsidRPr="007B611F">
        <w:rPr>
          <w:rFonts w:eastAsia="Calibri"/>
          <w:color w:val="000000" w:themeColor="text1"/>
          <w:szCs w:val="24"/>
          <w:shd w:val="clear" w:color="auto" w:fill="FFFFFF"/>
          <w:lang w:eastAsia="en-US"/>
        </w:rPr>
        <w:t>erigk</w:t>
      </w:r>
      <w:proofErr w:type="spellEnd"/>
      <w:r w:rsidR="00592E70" w:rsidRPr="007B611F">
        <w:rPr>
          <w:rFonts w:eastAsia="Calibri"/>
          <w:color w:val="000000" w:themeColor="text1"/>
          <w:szCs w:val="24"/>
          <w:shd w:val="clear" w:color="auto" w:fill="FFFFFF"/>
          <w:lang w:eastAsia="en-US"/>
        </w:rPr>
        <w:t>, Clemente &amp; R</w:t>
      </w:r>
      <w:r w:rsidR="00877090" w:rsidRPr="007B611F">
        <w:rPr>
          <w:rFonts w:eastAsia="Calibri"/>
          <w:color w:val="000000" w:themeColor="text1"/>
          <w:szCs w:val="24"/>
          <w:shd w:val="clear" w:color="auto" w:fill="FFFFFF"/>
          <w:lang w:eastAsia="en-US"/>
        </w:rPr>
        <w:t>ibeiro</w:t>
      </w:r>
      <w:r w:rsidRPr="007B611F">
        <w:rPr>
          <w:rFonts w:eastAsia="Calibri"/>
          <w:color w:val="000000" w:themeColor="text1"/>
          <w:szCs w:val="24"/>
          <w:shd w:val="clear" w:color="auto" w:fill="FFFFFF"/>
          <w:lang w:eastAsia="en-US"/>
        </w:rPr>
        <w:t>, 2014).</w:t>
      </w:r>
    </w:p>
    <w:p w:rsidR="007C3C21" w:rsidRDefault="007C3C21"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p>
    <w:p w:rsidR="008814E9" w:rsidRPr="007B611F" w:rsidRDefault="008814E9" w:rsidP="007C3C21">
      <w:pPr>
        <w:widowControl/>
        <w:suppressLineNumbers w:val="0"/>
        <w:shd w:val="clear" w:color="auto" w:fill="FFFFFF"/>
        <w:suppressAutoHyphens w:val="0"/>
        <w:ind w:firstLine="708"/>
        <w:rPr>
          <w:rFonts w:eastAsia="Calibri"/>
          <w:color w:val="000000" w:themeColor="text1"/>
          <w:szCs w:val="24"/>
          <w:shd w:val="clear" w:color="auto" w:fill="FFFFFF"/>
          <w:lang w:eastAsia="en-US"/>
        </w:rPr>
      </w:pPr>
    </w:p>
    <w:p w:rsidR="007C3C21" w:rsidRPr="007B611F" w:rsidRDefault="007C3C21" w:rsidP="007C3C21">
      <w:pPr>
        <w:widowControl/>
        <w:suppressLineNumbers w:val="0"/>
        <w:suppressAutoHyphens w:val="0"/>
        <w:spacing w:after="160" w:line="256" w:lineRule="auto"/>
        <w:ind w:firstLine="0"/>
        <w:jc w:val="left"/>
        <w:rPr>
          <w:rFonts w:eastAsia="Calibri"/>
          <w:b/>
          <w:color w:val="000000" w:themeColor="text1"/>
          <w:szCs w:val="24"/>
          <w:lang w:eastAsia="en-US"/>
        </w:rPr>
      </w:pPr>
      <w:r w:rsidRPr="007B611F">
        <w:rPr>
          <w:rFonts w:eastAsia="Calibri"/>
          <w:b/>
          <w:color w:val="000000" w:themeColor="text1"/>
          <w:szCs w:val="24"/>
          <w:lang w:eastAsia="en-US"/>
        </w:rPr>
        <w:t>3. M</w:t>
      </w:r>
      <w:r w:rsidR="00C01D2B" w:rsidRPr="007B611F">
        <w:rPr>
          <w:rFonts w:eastAsia="Calibri"/>
          <w:b/>
          <w:color w:val="000000" w:themeColor="text1"/>
          <w:szCs w:val="24"/>
          <w:lang w:eastAsia="en-US"/>
        </w:rPr>
        <w:t>etodologia</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 xml:space="preserve">Visando a consecução da pesquisa, foi empregada uma abordagem quantitativa com a utilização de informações publicadas por municípios que compõe a Região Metropolitana de Goiás em seus portais de transparência, e também através de uma empresa de </w:t>
      </w:r>
      <w:r w:rsidRPr="007B611F">
        <w:rPr>
          <w:rFonts w:eastAsia="Calibri"/>
          <w:i/>
          <w:color w:val="000000" w:themeColor="text1"/>
          <w:szCs w:val="24"/>
          <w:lang w:eastAsia="en-US"/>
        </w:rPr>
        <w:t xml:space="preserve">softwares </w:t>
      </w:r>
      <w:r w:rsidRPr="007B611F">
        <w:rPr>
          <w:rFonts w:eastAsia="Calibri"/>
          <w:color w:val="000000" w:themeColor="text1"/>
          <w:szCs w:val="24"/>
          <w:lang w:eastAsia="en-US"/>
        </w:rPr>
        <w:t>que presta serviços de disponibilização de dados junto aos municípios da amostra que ainda não disponibilizam estes dados publicamente.</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 xml:space="preserve">A Região Metropolitana de Goiânia é constituída por vinte municípios, dos quais alguns ainda não disponibilizam publicamente ou disponibiliza com atrasos consideráveis as suas informações, de modo que </w:t>
      </w:r>
      <w:proofErr w:type="gramStart"/>
      <w:r w:rsidRPr="007B611F">
        <w:rPr>
          <w:rFonts w:eastAsia="Calibri"/>
          <w:color w:val="000000" w:themeColor="text1"/>
          <w:szCs w:val="24"/>
          <w:lang w:eastAsia="en-US"/>
        </w:rPr>
        <w:t>restringiu-se</w:t>
      </w:r>
      <w:proofErr w:type="gramEnd"/>
      <w:r w:rsidRPr="007B611F">
        <w:rPr>
          <w:rFonts w:eastAsia="Calibri"/>
          <w:color w:val="000000" w:themeColor="text1"/>
          <w:szCs w:val="24"/>
          <w:lang w:eastAsia="en-US"/>
        </w:rPr>
        <w:t xml:space="preserve"> a amostra da pesquisa à quatorze municípios: Aparecida de Goiânia, </w:t>
      </w:r>
      <w:proofErr w:type="spellStart"/>
      <w:r w:rsidRPr="007B611F">
        <w:rPr>
          <w:rFonts w:eastAsia="Calibri"/>
          <w:color w:val="000000" w:themeColor="text1"/>
          <w:szCs w:val="24"/>
          <w:lang w:eastAsia="en-US"/>
        </w:rPr>
        <w:t>Aragoiânia</w:t>
      </w:r>
      <w:proofErr w:type="spellEnd"/>
      <w:r w:rsidRPr="007B611F">
        <w:rPr>
          <w:rFonts w:eastAsia="Calibri"/>
          <w:color w:val="000000" w:themeColor="text1"/>
          <w:szCs w:val="24"/>
          <w:lang w:eastAsia="en-US"/>
        </w:rPr>
        <w:t>, Bela Vista de Goiás, Bonfinópolis, Goiânia, Goianira, Guapó, Goianápolis, Hidrolândia, Inhumas, Nerópolis, Nova Veneza, Senador Canedo e Trindade, dentre os anos de 2003 à 2015.</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lastRenderedPageBreak/>
        <w:t xml:space="preserve">Com base no exposto pela literatura foram escolhidas então as seguintes variáveis, apresentadas </w:t>
      </w:r>
      <w:r w:rsidR="00592E70" w:rsidRPr="007B611F">
        <w:rPr>
          <w:rFonts w:eastAsia="Calibri"/>
          <w:color w:val="000000" w:themeColor="text1"/>
          <w:szCs w:val="24"/>
          <w:lang w:eastAsia="en-US"/>
        </w:rPr>
        <w:t>na Tabela</w:t>
      </w:r>
      <w:r w:rsidRPr="007B611F">
        <w:rPr>
          <w:rFonts w:eastAsia="Calibri"/>
          <w:color w:val="000000" w:themeColor="text1"/>
          <w:szCs w:val="24"/>
          <w:lang w:eastAsia="en-US"/>
        </w:rPr>
        <w:t xml:space="preserve"> 1, para a operacionalização da pesquisa, por entender-se que as mesmas podem influenciar diretamente no endividamento municipal. </w:t>
      </w:r>
      <w:proofErr w:type="gramStart"/>
      <w:r w:rsidRPr="007B611F">
        <w:rPr>
          <w:rFonts w:eastAsia="Calibri"/>
          <w:color w:val="000000" w:themeColor="text1"/>
          <w:szCs w:val="24"/>
          <w:lang w:eastAsia="en-US"/>
        </w:rPr>
        <w:t>A variável dependente Endividamento</w:t>
      </w:r>
      <w:proofErr w:type="gramEnd"/>
      <w:r w:rsidRPr="007B611F">
        <w:rPr>
          <w:rFonts w:eastAsia="Calibri"/>
          <w:color w:val="000000" w:themeColor="text1"/>
          <w:szCs w:val="24"/>
          <w:lang w:eastAsia="en-US"/>
        </w:rPr>
        <w:t>, representada na fórmula por “</w:t>
      </w:r>
      <w:proofErr w:type="spellStart"/>
      <w:r w:rsidRPr="007B611F">
        <w:rPr>
          <w:rFonts w:eastAsia="Calibri"/>
          <w:color w:val="000000" w:themeColor="text1"/>
          <w:szCs w:val="24"/>
          <w:lang w:eastAsia="en-US"/>
        </w:rPr>
        <w:t>End</w:t>
      </w:r>
      <w:proofErr w:type="spellEnd"/>
      <w:r w:rsidRPr="007B611F">
        <w:rPr>
          <w:rFonts w:eastAsia="Calibri"/>
          <w:color w:val="000000" w:themeColor="text1"/>
          <w:szCs w:val="24"/>
          <w:lang w:eastAsia="en-US"/>
        </w:rPr>
        <w:t>” foi calculada dividindo-se a dívida consolidada líquida pela receita consolidada líquida (DCL/RCL).</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 xml:space="preserve">Já as variáveis independentes foram tratadas da seguinte forma: As despesas com pessoal - DP indicam a parcela da receita corrente líquida comprometida com essas despesas (DP/RCL). O Endividamento defasado - ED é representado pelo endividamento do período anterior, ou seja, a variável dependente com uma defasagem. O intuito do uso deste indicador é capturar um possível efeito contínuo de crescimento da dívida, uma vez que estudos empíricos constataram que municípios com maiores níveis de endividamento, tendem a recorrer cada vez mais </w:t>
      </w:r>
      <w:proofErr w:type="gramStart"/>
      <w:r w:rsidRPr="007B611F">
        <w:rPr>
          <w:rFonts w:eastAsia="Calibri"/>
          <w:color w:val="000000" w:themeColor="text1"/>
          <w:szCs w:val="24"/>
          <w:lang w:eastAsia="en-US"/>
        </w:rPr>
        <w:t>à</w:t>
      </w:r>
      <w:proofErr w:type="gramEnd"/>
      <w:r w:rsidRPr="007B611F">
        <w:rPr>
          <w:rFonts w:eastAsia="Calibri"/>
          <w:color w:val="000000" w:themeColor="text1"/>
          <w:szCs w:val="24"/>
          <w:lang w:eastAsia="en-US"/>
        </w:rPr>
        <w:t xml:space="preserve"> recursos de terceiros para cumprir suas obrigações, aumentando consequentemente seus endividamentos.</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Quanto ao Grau de Dependência – GD, esse indicador se calcula através da divisão entre receitas de transferências e receitas totais, indicando o quanto cada município depende de recursos de outras esferas governamentais. Entende-se que a dependência de transferências pode acabar influindo negativamente na gestão de recursos pelas administrações, e consequentemente aumentando as suas dívidas.</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Quanto às eleições - EL</w:t>
      </w:r>
      <w:proofErr w:type="gramStart"/>
      <w:r w:rsidRPr="007B611F">
        <w:rPr>
          <w:rFonts w:eastAsia="Calibri"/>
          <w:color w:val="000000" w:themeColor="text1"/>
          <w:szCs w:val="24"/>
          <w:lang w:eastAsia="en-US"/>
        </w:rPr>
        <w:t>, constrói-se</w:t>
      </w:r>
      <w:proofErr w:type="gramEnd"/>
      <w:r w:rsidRPr="007B611F">
        <w:rPr>
          <w:rFonts w:eastAsia="Calibri"/>
          <w:color w:val="000000" w:themeColor="text1"/>
          <w:szCs w:val="24"/>
          <w:lang w:eastAsia="en-US"/>
        </w:rPr>
        <w:t xml:space="preserve"> uma variável </w:t>
      </w:r>
      <w:proofErr w:type="spellStart"/>
      <w:r w:rsidRPr="007B611F">
        <w:rPr>
          <w:rFonts w:eastAsia="Calibri"/>
          <w:i/>
          <w:color w:val="000000" w:themeColor="text1"/>
          <w:szCs w:val="24"/>
          <w:lang w:eastAsia="en-US"/>
        </w:rPr>
        <w:t>dummy</w:t>
      </w:r>
      <w:proofErr w:type="spellEnd"/>
      <w:r w:rsidRPr="007B611F">
        <w:rPr>
          <w:rFonts w:eastAsia="Calibri"/>
          <w:color w:val="000000" w:themeColor="text1"/>
          <w:szCs w:val="24"/>
          <w:lang w:eastAsia="en-US"/>
        </w:rPr>
        <w:t xml:space="preserve"> que pretende captar o efeito do ciclo eleitoral no endividamento, sendo que o intuito da inclusão desse indicador é buscar captar se há alguma mudança no comportamento dos gestores em anos de pleitos eleitorais, temática abordada pela LRF, de forma que a variável assuma valor 1 em anos que há em eleição e 0 em anos que não há.</w:t>
      </w:r>
    </w:p>
    <w:p w:rsidR="007C3C21" w:rsidRPr="007B611F" w:rsidRDefault="007C3C21" w:rsidP="00C01D2B">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Por fim a variável PIB per Capita – PIB, busca entender qual a relação entre o PIB e a gestão de recursos de cada município, focando na quantidade populacional e na capacidade de geração de riqueza com o endividamento de cada cidade e por fim, a taxa real de juros – TX tem como objetivo medir o impacto da taxa de juros no crescimento da dívida de cada um dos municípios. A taxa foi calculada da seguinte forma: Taxa Real = (1+Taxa Selic</w:t>
      </w:r>
      <w:proofErr w:type="gramStart"/>
      <w:r w:rsidRPr="007B611F">
        <w:rPr>
          <w:rFonts w:eastAsia="Calibri"/>
          <w:color w:val="000000" w:themeColor="text1"/>
          <w:szCs w:val="24"/>
          <w:lang w:eastAsia="en-US"/>
        </w:rPr>
        <w:t>)</w:t>
      </w:r>
      <w:proofErr w:type="gramEnd"/>
      <w:r w:rsidRPr="007B611F">
        <w:rPr>
          <w:rFonts w:eastAsia="Calibri"/>
          <w:color w:val="000000" w:themeColor="text1"/>
          <w:szCs w:val="24"/>
          <w:lang w:eastAsia="en-US"/>
        </w:rPr>
        <w:t xml:space="preserve">/(1+Inflação). </w:t>
      </w:r>
    </w:p>
    <w:p w:rsidR="007C3C21" w:rsidRPr="007B611F" w:rsidRDefault="007C3C21" w:rsidP="007C3C21">
      <w:pPr>
        <w:widowControl/>
        <w:suppressLineNumbers w:val="0"/>
        <w:suppressAutoHyphens w:val="0"/>
        <w:spacing w:line="256" w:lineRule="auto"/>
        <w:jc w:val="center"/>
        <w:rPr>
          <w:rFonts w:eastAsia="Calibri"/>
          <w:color w:val="000000" w:themeColor="text1"/>
          <w:szCs w:val="24"/>
          <w:lang w:eastAsia="en-US"/>
        </w:rPr>
      </w:pPr>
    </w:p>
    <w:p w:rsidR="007C3C21" w:rsidRPr="008814E9" w:rsidRDefault="00677295" w:rsidP="00677295">
      <w:pPr>
        <w:widowControl/>
        <w:suppressLineNumbers w:val="0"/>
        <w:suppressAutoHyphens w:val="0"/>
        <w:spacing w:line="257" w:lineRule="auto"/>
        <w:ind w:firstLine="0"/>
        <w:jc w:val="left"/>
        <w:rPr>
          <w:rFonts w:eastAsia="Calibri"/>
          <w:color w:val="000000" w:themeColor="text1"/>
          <w:sz w:val="20"/>
          <w:lang w:eastAsia="en-US"/>
        </w:rPr>
      </w:pPr>
      <w:r w:rsidRPr="008814E9">
        <w:rPr>
          <w:rFonts w:eastAsia="Calibri"/>
          <w:color w:val="000000" w:themeColor="text1"/>
          <w:sz w:val="20"/>
          <w:lang w:eastAsia="en-US"/>
        </w:rPr>
        <w:t>Tabela</w:t>
      </w:r>
      <w:r w:rsidR="007C3C21" w:rsidRPr="008814E9">
        <w:rPr>
          <w:rFonts w:eastAsia="Calibri"/>
          <w:color w:val="000000" w:themeColor="text1"/>
          <w:sz w:val="20"/>
          <w:lang w:eastAsia="en-US"/>
        </w:rPr>
        <w:t xml:space="preserve"> 1 – Resumo das Variáveis da Pesquisa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3669"/>
        <w:gridCol w:w="965"/>
        <w:gridCol w:w="4906"/>
      </w:tblGrid>
      <w:tr w:rsidR="007B611F" w:rsidRPr="007B611F" w:rsidTr="007C3C21">
        <w:trPr>
          <w:trHeight w:val="300"/>
        </w:trPr>
        <w:tc>
          <w:tcPr>
            <w:tcW w:w="3488" w:type="dxa"/>
            <w:tcBorders>
              <w:top w:val="single" w:sz="4" w:space="0" w:color="000000"/>
              <w:left w:val="single" w:sz="4" w:space="0" w:color="000000"/>
              <w:bottom w:val="single" w:sz="4" w:space="0" w:color="000000"/>
              <w:right w:val="single" w:sz="4" w:space="0" w:color="000000"/>
            </w:tcBorders>
            <w:vAlign w:val="bottom"/>
            <w:hideMark/>
          </w:tcPr>
          <w:p w:rsidR="007C3C21" w:rsidRPr="007B611F" w:rsidRDefault="007C3C21" w:rsidP="007C3C21">
            <w:pPr>
              <w:widowControl/>
              <w:suppressLineNumbers w:val="0"/>
              <w:suppressAutoHyphens w:val="0"/>
              <w:ind w:firstLine="0"/>
              <w:jc w:val="center"/>
              <w:rPr>
                <w:b/>
                <w:bCs/>
                <w:color w:val="000000" w:themeColor="text1"/>
                <w:sz w:val="20"/>
              </w:rPr>
            </w:pPr>
            <w:r w:rsidRPr="007B611F">
              <w:rPr>
                <w:b/>
                <w:bCs/>
                <w:color w:val="000000" w:themeColor="text1"/>
                <w:sz w:val="20"/>
              </w:rPr>
              <w:t>Variáveis</w:t>
            </w:r>
          </w:p>
        </w:tc>
        <w:tc>
          <w:tcPr>
            <w:tcW w:w="918" w:type="dxa"/>
            <w:tcBorders>
              <w:top w:val="single" w:sz="4" w:space="0" w:color="000000"/>
              <w:left w:val="single" w:sz="4" w:space="0" w:color="000000"/>
              <w:bottom w:val="single" w:sz="4" w:space="0" w:color="000000"/>
              <w:right w:val="single" w:sz="4" w:space="0" w:color="000000"/>
            </w:tcBorders>
            <w:vAlign w:val="bottom"/>
            <w:hideMark/>
          </w:tcPr>
          <w:p w:rsidR="007C3C21" w:rsidRPr="007B611F" w:rsidRDefault="007C3C21" w:rsidP="007C3C21">
            <w:pPr>
              <w:widowControl/>
              <w:suppressLineNumbers w:val="0"/>
              <w:suppressAutoHyphens w:val="0"/>
              <w:ind w:firstLine="0"/>
              <w:jc w:val="center"/>
              <w:rPr>
                <w:b/>
                <w:bCs/>
                <w:color w:val="000000" w:themeColor="text1"/>
                <w:sz w:val="20"/>
              </w:rPr>
            </w:pPr>
            <w:r w:rsidRPr="007B611F">
              <w:rPr>
                <w:b/>
                <w:bCs/>
                <w:color w:val="000000" w:themeColor="text1"/>
                <w:sz w:val="20"/>
              </w:rPr>
              <w:t>Sigla</w:t>
            </w:r>
          </w:p>
        </w:tc>
        <w:tc>
          <w:tcPr>
            <w:tcW w:w="4665" w:type="dxa"/>
            <w:tcBorders>
              <w:top w:val="single" w:sz="4" w:space="0" w:color="000000"/>
              <w:left w:val="single" w:sz="4" w:space="0" w:color="000000"/>
              <w:bottom w:val="single" w:sz="4" w:space="0" w:color="000000"/>
              <w:right w:val="single" w:sz="4" w:space="0" w:color="000000"/>
            </w:tcBorders>
            <w:vAlign w:val="bottom"/>
            <w:hideMark/>
          </w:tcPr>
          <w:p w:rsidR="007C3C21" w:rsidRPr="007B611F" w:rsidRDefault="007C3C21" w:rsidP="007C3C21">
            <w:pPr>
              <w:widowControl/>
              <w:suppressLineNumbers w:val="0"/>
              <w:suppressAutoHyphens w:val="0"/>
              <w:ind w:firstLine="0"/>
              <w:jc w:val="center"/>
              <w:rPr>
                <w:b/>
                <w:bCs/>
                <w:color w:val="000000" w:themeColor="text1"/>
                <w:sz w:val="20"/>
              </w:rPr>
            </w:pPr>
            <w:r w:rsidRPr="007B611F">
              <w:rPr>
                <w:b/>
                <w:bCs/>
                <w:color w:val="000000" w:themeColor="text1"/>
                <w:sz w:val="20"/>
              </w:rPr>
              <w:t>Autor (</w:t>
            </w:r>
            <w:proofErr w:type="gramStart"/>
            <w:r w:rsidRPr="007B611F">
              <w:rPr>
                <w:b/>
                <w:bCs/>
                <w:color w:val="000000" w:themeColor="text1"/>
                <w:sz w:val="20"/>
              </w:rPr>
              <w:t>es</w:t>
            </w:r>
            <w:proofErr w:type="gramEnd"/>
            <w:r w:rsidRPr="007B611F">
              <w:rPr>
                <w:b/>
                <w:bCs/>
                <w:color w:val="000000" w:themeColor="text1"/>
                <w:sz w:val="20"/>
              </w:rPr>
              <w:t>)</w:t>
            </w:r>
          </w:p>
        </w:tc>
      </w:tr>
      <w:tr w:rsidR="007B611F" w:rsidRPr="007B611F" w:rsidTr="007C3C21">
        <w:trPr>
          <w:trHeight w:val="300"/>
        </w:trPr>
        <w:tc>
          <w:tcPr>
            <w:tcW w:w="9071" w:type="dxa"/>
            <w:gridSpan w:val="3"/>
            <w:tcBorders>
              <w:top w:val="single" w:sz="4" w:space="0" w:color="000000"/>
              <w:left w:val="single" w:sz="4" w:space="0" w:color="000000"/>
              <w:bottom w:val="single" w:sz="4" w:space="0" w:color="000000"/>
              <w:right w:val="single" w:sz="4" w:space="0" w:color="000000"/>
            </w:tcBorders>
            <w:vAlign w:val="bottom"/>
            <w:hideMark/>
          </w:tcPr>
          <w:p w:rsidR="007C3C21" w:rsidRPr="007B611F" w:rsidRDefault="007C3C21" w:rsidP="007C3C21">
            <w:pPr>
              <w:widowControl/>
              <w:suppressLineNumbers w:val="0"/>
              <w:suppressAutoHyphens w:val="0"/>
              <w:ind w:firstLine="0"/>
              <w:jc w:val="center"/>
              <w:rPr>
                <w:b/>
                <w:bCs/>
                <w:color w:val="000000" w:themeColor="text1"/>
                <w:sz w:val="20"/>
              </w:rPr>
            </w:pPr>
            <w:r w:rsidRPr="007B611F">
              <w:rPr>
                <w:b/>
                <w:bCs/>
                <w:color w:val="000000" w:themeColor="text1"/>
                <w:sz w:val="20"/>
              </w:rPr>
              <w:t>Variável Dependente</w:t>
            </w:r>
          </w:p>
        </w:tc>
      </w:tr>
      <w:tr w:rsidR="007B611F" w:rsidRPr="007B611F" w:rsidTr="007C3C21">
        <w:trPr>
          <w:trHeight w:val="765"/>
        </w:trPr>
        <w:tc>
          <w:tcPr>
            <w:tcW w:w="3488"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left"/>
              <w:rPr>
                <w:color w:val="000000" w:themeColor="text1"/>
                <w:sz w:val="20"/>
              </w:rPr>
            </w:pPr>
            <w:r w:rsidRPr="007B611F">
              <w:rPr>
                <w:color w:val="000000" w:themeColor="text1"/>
                <w:sz w:val="20"/>
              </w:rPr>
              <w:t>Endividamento</w:t>
            </w:r>
          </w:p>
        </w:tc>
        <w:tc>
          <w:tcPr>
            <w:tcW w:w="918"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proofErr w:type="spellStart"/>
            <w:r w:rsidRPr="007B611F">
              <w:rPr>
                <w:color w:val="000000" w:themeColor="text1"/>
                <w:sz w:val="20"/>
              </w:rPr>
              <w:t>End</w:t>
            </w:r>
            <w:proofErr w:type="spellEnd"/>
          </w:p>
        </w:tc>
        <w:tc>
          <w:tcPr>
            <w:tcW w:w="4665"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r w:rsidRPr="007B611F">
              <w:rPr>
                <w:color w:val="000000" w:themeColor="text1"/>
                <w:sz w:val="20"/>
              </w:rPr>
              <w:t xml:space="preserve">Costa (2008), Linhares, Penna e Borges (2013), Soares </w:t>
            </w:r>
            <w:proofErr w:type="gramStart"/>
            <w:r w:rsidRPr="007B611F">
              <w:rPr>
                <w:color w:val="000000" w:themeColor="text1"/>
                <w:sz w:val="20"/>
              </w:rPr>
              <w:t>et</w:t>
            </w:r>
            <w:proofErr w:type="gramEnd"/>
            <w:r w:rsidRPr="007B611F">
              <w:rPr>
                <w:color w:val="000000" w:themeColor="text1"/>
                <w:sz w:val="20"/>
              </w:rPr>
              <w:t xml:space="preserve"> al. (2010), Mello e </w:t>
            </w:r>
            <w:proofErr w:type="spellStart"/>
            <w:r w:rsidRPr="007B611F">
              <w:rPr>
                <w:color w:val="000000" w:themeColor="text1"/>
                <w:sz w:val="20"/>
              </w:rPr>
              <w:t>Slomski</w:t>
            </w:r>
            <w:proofErr w:type="spellEnd"/>
            <w:r w:rsidRPr="007B611F">
              <w:rPr>
                <w:color w:val="000000" w:themeColor="text1"/>
                <w:sz w:val="20"/>
              </w:rPr>
              <w:t xml:space="preserve"> (2009). </w:t>
            </w:r>
          </w:p>
        </w:tc>
      </w:tr>
      <w:tr w:rsidR="007B611F" w:rsidRPr="007B611F" w:rsidTr="007C3C21">
        <w:trPr>
          <w:trHeight w:val="300"/>
        </w:trPr>
        <w:tc>
          <w:tcPr>
            <w:tcW w:w="9071" w:type="dxa"/>
            <w:gridSpan w:val="3"/>
            <w:tcBorders>
              <w:top w:val="single" w:sz="4" w:space="0" w:color="000000"/>
              <w:left w:val="single" w:sz="4" w:space="0" w:color="000000"/>
              <w:bottom w:val="single" w:sz="4" w:space="0" w:color="000000"/>
              <w:right w:val="single" w:sz="4" w:space="0" w:color="000000"/>
            </w:tcBorders>
            <w:vAlign w:val="bottom"/>
            <w:hideMark/>
          </w:tcPr>
          <w:p w:rsidR="007C3C21" w:rsidRPr="007B611F" w:rsidRDefault="007C3C21" w:rsidP="007C3C21">
            <w:pPr>
              <w:widowControl/>
              <w:suppressLineNumbers w:val="0"/>
              <w:suppressAutoHyphens w:val="0"/>
              <w:ind w:firstLine="0"/>
              <w:jc w:val="center"/>
              <w:rPr>
                <w:b/>
                <w:bCs/>
                <w:color w:val="000000" w:themeColor="text1"/>
                <w:sz w:val="20"/>
              </w:rPr>
            </w:pPr>
            <w:r w:rsidRPr="007B611F">
              <w:rPr>
                <w:b/>
                <w:bCs/>
                <w:color w:val="000000" w:themeColor="text1"/>
                <w:sz w:val="20"/>
              </w:rPr>
              <w:t>Variáveis Independentes</w:t>
            </w:r>
          </w:p>
        </w:tc>
      </w:tr>
      <w:tr w:rsidR="007B611F" w:rsidRPr="007B611F" w:rsidTr="007C3C21">
        <w:trPr>
          <w:trHeight w:val="1020"/>
        </w:trPr>
        <w:tc>
          <w:tcPr>
            <w:tcW w:w="3488"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left"/>
              <w:rPr>
                <w:color w:val="000000" w:themeColor="text1"/>
                <w:sz w:val="20"/>
              </w:rPr>
            </w:pPr>
            <w:r w:rsidRPr="007B611F">
              <w:rPr>
                <w:color w:val="000000" w:themeColor="text1"/>
                <w:sz w:val="20"/>
              </w:rPr>
              <w:lastRenderedPageBreak/>
              <w:t>Despesas com Pessoal</w:t>
            </w:r>
          </w:p>
        </w:tc>
        <w:tc>
          <w:tcPr>
            <w:tcW w:w="918"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r w:rsidRPr="007B611F">
              <w:rPr>
                <w:color w:val="000000" w:themeColor="text1"/>
                <w:sz w:val="20"/>
              </w:rPr>
              <w:t>DP</w:t>
            </w:r>
          </w:p>
        </w:tc>
        <w:tc>
          <w:tcPr>
            <w:tcW w:w="4665"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r w:rsidRPr="007B611F">
              <w:rPr>
                <w:color w:val="000000" w:themeColor="text1"/>
                <w:sz w:val="20"/>
              </w:rPr>
              <w:t xml:space="preserve">Rocha e </w:t>
            </w:r>
            <w:proofErr w:type="spellStart"/>
            <w:r w:rsidRPr="007B611F">
              <w:rPr>
                <w:color w:val="000000" w:themeColor="text1"/>
                <w:sz w:val="20"/>
              </w:rPr>
              <w:t>Giuberti</w:t>
            </w:r>
            <w:proofErr w:type="spellEnd"/>
            <w:r w:rsidRPr="007B611F">
              <w:rPr>
                <w:color w:val="000000" w:themeColor="text1"/>
                <w:sz w:val="20"/>
              </w:rPr>
              <w:t xml:space="preserve"> (2004), Linhares, Penna e Borges (2013), Mello e </w:t>
            </w:r>
            <w:proofErr w:type="spellStart"/>
            <w:r w:rsidRPr="007B611F">
              <w:rPr>
                <w:color w:val="000000" w:themeColor="text1"/>
                <w:sz w:val="20"/>
              </w:rPr>
              <w:t>Slomski</w:t>
            </w:r>
            <w:proofErr w:type="spellEnd"/>
            <w:r w:rsidRPr="007B611F">
              <w:rPr>
                <w:color w:val="000000" w:themeColor="text1"/>
                <w:sz w:val="20"/>
              </w:rPr>
              <w:t xml:space="preserve"> (2009), </w:t>
            </w:r>
            <w:proofErr w:type="spellStart"/>
            <w:r w:rsidRPr="007B611F">
              <w:rPr>
                <w:color w:val="000000" w:themeColor="text1"/>
                <w:sz w:val="20"/>
              </w:rPr>
              <w:t>Gerick</w:t>
            </w:r>
            <w:proofErr w:type="spellEnd"/>
            <w:r w:rsidRPr="007B611F">
              <w:rPr>
                <w:color w:val="000000" w:themeColor="text1"/>
                <w:sz w:val="20"/>
              </w:rPr>
              <w:t>, Clemente e Ribeiro (2014</w:t>
            </w:r>
            <w:proofErr w:type="gramStart"/>
            <w:r w:rsidRPr="007B611F">
              <w:rPr>
                <w:color w:val="000000" w:themeColor="text1"/>
                <w:sz w:val="20"/>
              </w:rPr>
              <w:t>)</w:t>
            </w:r>
            <w:proofErr w:type="gramEnd"/>
          </w:p>
        </w:tc>
      </w:tr>
      <w:tr w:rsidR="007B611F" w:rsidRPr="007B611F" w:rsidTr="007C3C21">
        <w:trPr>
          <w:trHeight w:val="765"/>
        </w:trPr>
        <w:tc>
          <w:tcPr>
            <w:tcW w:w="3488"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left"/>
              <w:rPr>
                <w:color w:val="000000" w:themeColor="text1"/>
                <w:sz w:val="20"/>
              </w:rPr>
            </w:pPr>
            <w:r w:rsidRPr="007B611F">
              <w:rPr>
                <w:color w:val="000000" w:themeColor="text1"/>
                <w:sz w:val="20"/>
              </w:rPr>
              <w:t>Endividamento Defasado</w:t>
            </w:r>
          </w:p>
        </w:tc>
        <w:tc>
          <w:tcPr>
            <w:tcW w:w="918"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r w:rsidRPr="007B611F">
              <w:rPr>
                <w:color w:val="000000" w:themeColor="text1"/>
                <w:sz w:val="20"/>
              </w:rPr>
              <w:t>ED</w:t>
            </w:r>
          </w:p>
        </w:tc>
        <w:tc>
          <w:tcPr>
            <w:tcW w:w="4665"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proofErr w:type="spellStart"/>
            <w:r w:rsidRPr="007B611F">
              <w:rPr>
                <w:color w:val="000000" w:themeColor="text1"/>
                <w:sz w:val="20"/>
              </w:rPr>
              <w:t>Corbari</w:t>
            </w:r>
            <w:proofErr w:type="spellEnd"/>
            <w:r w:rsidRPr="007B611F">
              <w:rPr>
                <w:color w:val="000000" w:themeColor="text1"/>
                <w:sz w:val="20"/>
              </w:rPr>
              <w:t xml:space="preserve"> (2008), Linhares, Penna e Borges (2013)</w:t>
            </w:r>
            <w:proofErr w:type="gramStart"/>
            <w:r w:rsidRPr="007B611F">
              <w:rPr>
                <w:color w:val="000000" w:themeColor="text1"/>
                <w:sz w:val="20"/>
              </w:rPr>
              <w:t>, ,</w:t>
            </w:r>
            <w:proofErr w:type="gramEnd"/>
            <w:r w:rsidRPr="007B611F">
              <w:rPr>
                <w:color w:val="000000" w:themeColor="text1"/>
                <w:sz w:val="20"/>
              </w:rPr>
              <w:t xml:space="preserve"> Macedo e </w:t>
            </w:r>
            <w:proofErr w:type="spellStart"/>
            <w:r w:rsidRPr="007B611F">
              <w:rPr>
                <w:color w:val="000000" w:themeColor="text1"/>
                <w:sz w:val="20"/>
              </w:rPr>
              <w:t>Corbari</w:t>
            </w:r>
            <w:proofErr w:type="spellEnd"/>
            <w:r w:rsidRPr="007B611F">
              <w:rPr>
                <w:color w:val="000000" w:themeColor="text1"/>
                <w:sz w:val="20"/>
              </w:rPr>
              <w:t xml:space="preserve"> (2009)</w:t>
            </w:r>
          </w:p>
        </w:tc>
      </w:tr>
      <w:tr w:rsidR="007B611F" w:rsidRPr="007B611F" w:rsidTr="007C3C21">
        <w:trPr>
          <w:trHeight w:val="765"/>
        </w:trPr>
        <w:tc>
          <w:tcPr>
            <w:tcW w:w="3488" w:type="dxa"/>
            <w:tcBorders>
              <w:top w:val="single" w:sz="4" w:space="0" w:color="000000"/>
              <w:left w:val="single" w:sz="4" w:space="0" w:color="000000"/>
              <w:bottom w:val="single" w:sz="4" w:space="0" w:color="000000"/>
              <w:right w:val="single" w:sz="4" w:space="0" w:color="000000"/>
            </w:tcBorders>
            <w:vAlign w:val="bottom"/>
            <w:hideMark/>
          </w:tcPr>
          <w:p w:rsidR="007C3C21" w:rsidRPr="007B611F" w:rsidRDefault="007C3C21" w:rsidP="007C3C21">
            <w:pPr>
              <w:widowControl/>
              <w:suppressLineNumbers w:val="0"/>
              <w:suppressAutoHyphens w:val="0"/>
              <w:ind w:firstLine="0"/>
              <w:jc w:val="left"/>
              <w:rPr>
                <w:color w:val="000000" w:themeColor="text1"/>
                <w:sz w:val="20"/>
              </w:rPr>
            </w:pPr>
            <w:r w:rsidRPr="007B611F">
              <w:rPr>
                <w:color w:val="000000" w:themeColor="text1"/>
                <w:sz w:val="20"/>
              </w:rPr>
              <w:t>Grau de Dependência</w:t>
            </w:r>
          </w:p>
        </w:tc>
        <w:tc>
          <w:tcPr>
            <w:tcW w:w="918"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r w:rsidRPr="007B611F">
              <w:rPr>
                <w:color w:val="000000" w:themeColor="text1"/>
                <w:sz w:val="20"/>
              </w:rPr>
              <w:t>GD</w:t>
            </w:r>
          </w:p>
        </w:tc>
        <w:tc>
          <w:tcPr>
            <w:tcW w:w="4665"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r w:rsidRPr="007B611F">
              <w:rPr>
                <w:color w:val="000000" w:themeColor="text1"/>
                <w:sz w:val="20"/>
              </w:rPr>
              <w:t xml:space="preserve">Linhares, Penna e Borges (2013), Macedo e </w:t>
            </w:r>
            <w:proofErr w:type="spellStart"/>
            <w:r w:rsidRPr="007B611F">
              <w:rPr>
                <w:color w:val="000000" w:themeColor="text1"/>
                <w:sz w:val="20"/>
              </w:rPr>
              <w:t>Corbari</w:t>
            </w:r>
            <w:proofErr w:type="spellEnd"/>
            <w:r w:rsidRPr="007B611F">
              <w:rPr>
                <w:color w:val="000000" w:themeColor="text1"/>
                <w:sz w:val="20"/>
              </w:rPr>
              <w:t xml:space="preserve"> (2009), </w:t>
            </w:r>
            <w:proofErr w:type="spellStart"/>
            <w:r w:rsidRPr="007B611F">
              <w:rPr>
                <w:color w:val="000000" w:themeColor="text1"/>
                <w:sz w:val="20"/>
              </w:rPr>
              <w:t>Corbari</w:t>
            </w:r>
            <w:proofErr w:type="spellEnd"/>
            <w:r w:rsidRPr="007B611F">
              <w:rPr>
                <w:color w:val="000000" w:themeColor="text1"/>
                <w:sz w:val="20"/>
              </w:rPr>
              <w:t xml:space="preserve"> et. </w:t>
            </w:r>
            <w:proofErr w:type="gramStart"/>
            <w:r w:rsidRPr="007B611F">
              <w:rPr>
                <w:color w:val="000000" w:themeColor="text1"/>
                <w:sz w:val="20"/>
              </w:rPr>
              <w:t>al</w:t>
            </w:r>
            <w:proofErr w:type="gramEnd"/>
            <w:r w:rsidRPr="007B611F">
              <w:rPr>
                <w:color w:val="000000" w:themeColor="text1"/>
                <w:sz w:val="20"/>
              </w:rPr>
              <w:t xml:space="preserve"> (2014)</w:t>
            </w:r>
          </w:p>
        </w:tc>
      </w:tr>
      <w:tr w:rsidR="007B611F" w:rsidRPr="007B611F" w:rsidTr="007C3C21">
        <w:trPr>
          <w:trHeight w:val="510"/>
        </w:trPr>
        <w:tc>
          <w:tcPr>
            <w:tcW w:w="3488" w:type="dxa"/>
            <w:tcBorders>
              <w:top w:val="single" w:sz="4" w:space="0" w:color="000000"/>
              <w:left w:val="single" w:sz="4" w:space="0" w:color="000000"/>
              <w:bottom w:val="single" w:sz="4" w:space="0" w:color="000000"/>
              <w:right w:val="single" w:sz="4" w:space="0" w:color="000000"/>
            </w:tcBorders>
            <w:vAlign w:val="bottom"/>
            <w:hideMark/>
          </w:tcPr>
          <w:p w:rsidR="007C3C21" w:rsidRPr="007B611F" w:rsidRDefault="007C3C21" w:rsidP="007C3C21">
            <w:pPr>
              <w:widowControl/>
              <w:suppressLineNumbers w:val="0"/>
              <w:suppressAutoHyphens w:val="0"/>
              <w:ind w:firstLine="0"/>
              <w:jc w:val="left"/>
              <w:rPr>
                <w:color w:val="000000" w:themeColor="text1"/>
                <w:sz w:val="20"/>
              </w:rPr>
            </w:pPr>
            <w:r w:rsidRPr="007B611F">
              <w:rPr>
                <w:color w:val="000000" w:themeColor="text1"/>
                <w:sz w:val="20"/>
              </w:rPr>
              <w:t>Eleições</w:t>
            </w:r>
          </w:p>
        </w:tc>
        <w:tc>
          <w:tcPr>
            <w:tcW w:w="918"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r w:rsidRPr="007B611F">
              <w:rPr>
                <w:color w:val="000000" w:themeColor="text1"/>
                <w:sz w:val="20"/>
              </w:rPr>
              <w:t>EL</w:t>
            </w:r>
          </w:p>
        </w:tc>
        <w:tc>
          <w:tcPr>
            <w:tcW w:w="4665"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proofErr w:type="spellStart"/>
            <w:r w:rsidRPr="007B611F">
              <w:rPr>
                <w:color w:val="000000" w:themeColor="text1"/>
                <w:sz w:val="20"/>
              </w:rPr>
              <w:t>Gobetti</w:t>
            </w:r>
            <w:proofErr w:type="spellEnd"/>
            <w:r w:rsidRPr="007B611F">
              <w:rPr>
                <w:color w:val="000000" w:themeColor="text1"/>
                <w:sz w:val="20"/>
              </w:rPr>
              <w:t xml:space="preserve"> e </w:t>
            </w:r>
            <w:proofErr w:type="spellStart"/>
            <w:r w:rsidRPr="007B611F">
              <w:rPr>
                <w:color w:val="000000" w:themeColor="text1"/>
                <w:sz w:val="20"/>
              </w:rPr>
              <w:t>Schetinni</w:t>
            </w:r>
            <w:proofErr w:type="spellEnd"/>
            <w:r w:rsidRPr="007B611F">
              <w:rPr>
                <w:color w:val="000000" w:themeColor="text1"/>
                <w:sz w:val="20"/>
              </w:rPr>
              <w:t xml:space="preserve"> (2010), Soares </w:t>
            </w:r>
            <w:proofErr w:type="gramStart"/>
            <w:r w:rsidRPr="007B611F">
              <w:rPr>
                <w:color w:val="000000" w:themeColor="text1"/>
                <w:sz w:val="20"/>
              </w:rPr>
              <w:t>et</w:t>
            </w:r>
            <w:proofErr w:type="gramEnd"/>
            <w:r w:rsidRPr="007B611F">
              <w:rPr>
                <w:color w:val="000000" w:themeColor="text1"/>
                <w:sz w:val="20"/>
              </w:rPr>
              <w:t xml:space="preserve"> al. (2010)</w:t>
            </w:r>
          </w:p>
        </w:tc>
      </w:tr>
      <w:tr w:rsidR="007B611F" w:rsidRPr="007B611F" w:rsidTr="007C3C21">
        <w:trPr>
          <w:trHeight w:val="300"/>
        </w:trPr>
        <w:tc>
          <w:tcPr>
            <w:tcW w:w="3488" w:type="dxa"/>
            <w:tcBorders>
              <w:top w:val="single" w:sz="4" w:space="0" w:color="000000"/>
              <w:left w:val="single" w:sz="4" w:space="0" w:color="000000"/>
              <w:bottom w:val="single" w:sz="4" w:space="0" w:color="000000"/>
              <w:right w:val="single" w:sz="4" w:space="0" w:color="000000"/>
            </w:tcBorders>
            <w:vAlign w:val="bottom"/>
            <w:hideMark/>
          </w:tcPr>
          <w:p w:rsidR="007C3C21" w:rsidRPr="007B611F" w:rsidRDefault="007C3C21" w:rsidP="007C3C21">
            <w:pPr>
              <w:widowControl/>
              <w:suppressLineNumbers w:val="0"/>
              <w:suppressAutoHyphens w:val="0"/>
              <w:ind w:firstLine="0"/>
              <w:jc w:val="left"/>
              <w:rPr>
                <w:color w:val="000000" w:themeColor="text1"/>
                <w:sz w:val="20"/>
              </w:rPr>
            </w:pPr>
            <w:r w:rsidRPr="007B611F">
              <w:rPr>
                <w:color w:val="000000" w:themeColor="text1"/>
                <w:sz w:val="20"/>
              </w:rPr>
              <w:t>PIB per Capita</w:t>
            </w:r>
          </w:p>
        </w:tc>
        <w:tc>
          <w:tcPr>
            <w:tcW w:w="918"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r w:rsidRPr="007B611F">
              <w:rPr>
                <w:color w:val="000000" w:themeColor="text1"/>
                <w:sz w:val="20"/>
              </w:rPr>
              <w:t>PIB</w:t>
            </w:r>
          </w:p>
        </w:tc>
        <w:tc>
          <w:tcPr>
            <w:tcW w:w="4665"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r w:rsidRPr="007B611F">
              <w:rPr>
                <w:color w:val="000000" w:themeColor="text1"/>
                <w:sz w:val="20"/>
              </w:rPr>
              <w:t xml:space="preserve">Costa (2008), Pinto </w:t>
            </w:r>
            <w:proofErr w:type="gramStart"/>
            <w:r w:rsidRPr="007B611F">
              <w:rPr>
                <w:color w:val="000000" w:themeColor="text1"/>
                <w:sz w:val="20"/>
              </w:rPr>
              <w:t>et</w:t>
            </w:r>
            <w:proofErr w:type="gramEnd"/>
            <w:r w:rsidRPr="007B611F">
              <w:rPr>
                <w:color w:val="000000" w:themeColor="text1"/>
                <w:sz w:val="20"/>
              </w:rPr>
              <w:t xml:space="preserve"> al. (2013)</w:t>
            </w:r>
          </w:p>
        </w:tc>
      </w:tr>
      <w:tr w:rsidR="007B611F" w:rsidRPr="007B611F" w:rsidTr="007C3C21">
        <w:trPr>
          <w:trHeight w:val="300"/>
        </w:trPr>
        <w:tc>
          <w:tcPr>
            <w:tcW w:w="3488" w:type="dxa"/>
            <w:tcBorders>
              <w:top w:val="single" w:sz="4" w:space="0" w:color="000000"/>
              <w:left w:val="single" w:sz="4" w:space="0" w:color="000000"/>
              <w:bottom w:val="single" w:sz="4" w:space="0" w:color="000000"/>
              <w:right w:val="single" w:sz="4" w:space="0" w:color="000000"/>
            </w:tcBorders>
            <w:vAlign w:val="bottom"/>
            <w:hideMark/>
          </w:tcPr>
          <w:p w:rsidR="007C3C21" w:rsidRPr="007B611F" w:rsidRDefault="007C3C21" w:rsidP="007C3C21">
            <w:pPr>
              <w:widowControl/>
              <w:suppressLineNumbers w:val="0"/>
              <w:suppressAutoHyphens w:val="0"/>
              <w:ind w:firstLine="0"/>
              <w:jc w:val="left"/>
              <w:rPr>
                <w:color w:val="000000" w:themeColor="text1"/>
                <w:sz w:val="20"/>
              </w:rPr>
            </w:pPr>
            <w:r w:rsidRPr="007B611F">
              <w:rPr>
                <w:color w:val="000000" w:themeColor="text1"/>
                <w:sz w:val="20"/>
              </w:rPr>
              <w:t>Taxa Real de Juros</w:t>
            </w:r>
          </w:p>
        </w:tc>
        <w:tc>
          <w:tcPr>
            <w:tcW w:w="918" w:type="dxa"/>
            <w:tcBorders>
              <w:top w:val="single" w:sz="4" w:space="0" w:color="000000"/>
              <w:left w:val="single" w:sz="4" w:space="0" w:color="000000"/>
              <w:bottom w:val="single" w:sz="4" w:space="0" w:color="000000"/>
              <w:right w:val="single" w:sz="4" w:space="0" w:color="000000"/>
            </w:tcBorders>
            <w:vAlign w:val="bottom"/>
            <w:hideMark/>
          </w:tcPr>
          <w:p w:rsidR="007C3C21" w:rsidRPr="007B611F" w:rsidRDefault="007C3C21" w:rsidP="007C3C21">
            <w:pPr>
              <w:widowControl/>
              <w:suppressLineNumbers w:val="0"/>
              <w:suppressAutoHyphens w:val="0"/>
              <w:ind w:firstLine="0"/>
              <w:jc w:val="center"/>
              <w:rPr>
                <w:color w:val="000000" w:themeColor="text1"/>
                <w:sz w:val="20"/>
              </w:rPr>
            </w:pPr>
            <w:r w:rsidRPr="007B611F">
              <w:rPr>
                <w:color w:val="000000" w:themeColor="text1"/>
                <w:sz w:val="20"/>
              </w:rPr>
              <w:t>TX</w:t>
            </w:r>
          </w:p>
        </w:tc>
        <w:tc>
          <w:tcPr>
            <w:tcW w:w="4665" w:type="dxa"/>
            <w:tcBorders>
              <w:top w:val="single" w:sz="4" w:space="0" w:color="000000"/>
              <w:left w:val="single" w:sz="4" w:space="0" w:color="000000"/>
              <w:bottom w:val="single" w:sz="4" w:space="0" w:color="000000"/>
              <w:right w:val="single" w:sz="4" w:space="0" w:color="000000"/>
            </w:tcBorders>
            <w:vAlign w:val="center"/>
            <w:hideMark/>
          </w:tcPr>
          <w:p w:rsidR="007C3C21" w:rsidRPr="007B611F" w:rsidRDefault="007C3C21" w:rsidP="007C3C21">
            <w:pPr>
              <w:widowControl/>
              <w:suppressLineNumbers w:val="0"/>
              <w:suppressAutoHyphens w:val="0"/>
              <w:ind w:firstLine="0"/>
              <w:jc w:val="center"/>
              <w:rPr>
                <w:color w:val="000000" w:themeColor="text1"/>
                <w:sz w:val="20"/>
              </w:rPr>
            </w:pPr>
            <w:r w:rsidRPr="007B611F">
              <w:rPr>
                <w:color w:val="000000" w:themeColor="text1"/>
                <w:sz w:val="20"/>
              </w:rPr>
              <w:t>Costa (2008)</w:t>
            </w:r>
          </w:p>
        </w:tc>
      </w:tr>
    </w:tbl>
    <w:p w:rsidR="007C3C21" w:rsidRPr="007B611F" w:rsidRDefault="00677295" w:rsidP="00677295">
      <w:pPr>
        <w:widowControl/>
        <w:suppressLineNumbers w:val="0"/>
        <w:suppressAutoHyphens w:val="0"/>
        <w:spacing w:after="160" w:line="257" w:lineRule="auto"/>
        <w:ind w:firstLine="0"/>
        <w:rPr>
          <w:rFonts w:eastAsia="Calibri"/>
          <w:color w:val="000000" w:themeColor="text1"/>
          <w:sz w:val="20"/>
          <w:lang w:eastAsia="en-US"/>
        </w:rPr>
      </w:pPr>
      <w:r w:rsidRPr="007B611F">
        <w:rPr>
          <w:rFonts w:eastAsia="Calibri"/>
          <w:color w:val="000000" w:themeColor="text1"/>
          <w:sz w:val="20"/>
          <w:lang w:eastAsia="en-US"/>
        </w:rPr>
        <w:t>Fonte: Elaborado pelos autores</w:t>
      </w:r>
    </w:p>
    <w:p w:rsidR="00677295" w:rsidRPr="007B611F" w:rsidRDefault="00677295" w:rsidP="00677295">
      <w:pPr>
        <w:widowControl/>
        <w:suppressLineNumbers w:val="0"/>
        <w:suppressAutoHyphens w:val="0"/>
        <w:spacing w:after="160" w:line="257" w:lineRule="auto"/>
        <w:ind w:firstLine="0"/>
        <w:rPr>
          <w:rFonts w:eastAsia="Calibri"/>
          <w:color w:val="000000" w:themeColor="text1"/>
          <w:sz w:val="20"/>
          <w:lang w:eastAsia="en-US"/>
        </w:rPr>
      </w:pP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 xml:space="preserve">A partir do exposto, a fim de se aplicar a técnica de regressão linear múltipla, delineou-se então o seguinte modelo econométrico, visando então analisar os determinantes do endividamento dos municípios aqui analisados: </w:t>
      </w:r>
    </w:p>
    <w:p w:rsidR="007C3C21" w:rsidRPr="007B611F" w:rsidRDefault="007C3C21" w:rsidP="007C3C21">
      <w:pPr>
        <w:widowControl/>
        <w:suppressLineNumbers w:val="0"/>
        <w:suppressAutoHyphens w:val="0"/>
        <w:ind w:firstLine="0"/>
        <w:jc w:val="center"/>
        <w:rPr>
          <w:rFonts w:eastAsia="Calibri"/>
          <w:i/>
          <w:color w:val="000000" w:themeColor="text1"/>
          <w:szCs w:val="24"/>
          <w:lang w:eastAsia="en-US"/>
        </w:rPr>
      </w:pPr>
      <w:proofErr w:type="spellStart"/>
      <w:r w:rsidRPr="007B611F">
        <w:rPr>
          <w:rFonts w:eastAsia="Calibri"/>
          <w:i/>
          <w:color w:val="000000" w:themeColor="text1"/>
          <w:szCs w:val="24"/>
          <w:lang w:eastAsia="en-US"/>
        </w:rPr>
        <w:t>End</w:t>
      </w:r>
      <w:r w:rsidRPr="007B611F">
        <w:rPr>
          <w:rFonts w:eastAsia="Calibri"/>
          <w:i/>
          <w:color w:val="000000" w:themeColor="text1"/>
          <w:szCs w:val="24"/>
          <w:vertAlign w:val="subscript"/>
          <w:lang w:eastAsia="en-US"/>
        </w:rPr>
        <w:t>ij</w:t>
      </w:r>
      <w:proofErr w:type="spellEnd"/>
      <w:r w:rsidRPr="007B611F">
        <w:rPr>
          <w:rFonts w:eastAsia="Calibri"/>
          <w:i/>
          <w:color w:val="000000" w:themeColor="text1"/>
          <w:szCs w:val="24"/>
          <w:lang w:eastAsia="en-US"/>
        </w:rPr>
        <w:t xml:space="preserve"> = β</w:t>
      </w:r>
      <w:r w:rsidRPr="007B611F">
        <w:rPr>
          <w:rFonts w:eastAsia="Calibri"/>
          <w:i/>
          <w:color w:val="000000" w:themeColor="text1"/>
          <w:szCs w:val="24"/>
          <w:vertAlign w:val="subscript"/>
          <w:lang w:eastAsia="en-US"/>
        </w:rPr>
        <w:t>0</w:t>
      </w:r>
      <w:r w:rsidRPr="007B611F">
        <w:rPr>
          <w:rFonts w:eastAsia="Calibri"/>
          <w:i/>
          <w:color w:val="000000" w:themeColor="text1"/>
          <w:szCs w:val="24"/>
          <w:lang w:eastAsia="en-US"/>
        </w:rPr>
        <w:t xml:space="preserve"> + β</w:t>
      </w:r>
      <w:proofErr w:type="gramStart"/>
      <w:r w:rsidRPr="007B611F">
        <w:rPr>
          <w:rFonts w:eastAsia="Calibri"/>
          <w:i/>
          <w:color w:val="000000" w:themeColor="text1"/>
          <w:szCs w:val="24"/>
          <w:vertAlign w:val="subscript"/>
          <w:lang w:eastAsia="en-US"/>
        </w:rPr>
        <w:t>1</w:t>
      </w:r>
      <w:r w:rsidRPr="007B611F">
        <w:rPr>
          <w:rFonts w:eastAsia="Calibri"/>
          <w:i/>
          <w:color w:val="000000" w:themeColor="text1"/>
          <w:szCs w:val="24"/>
          <w:lang w:eastAsia="en-US"/>
        </w:rPr>
        <w:t>DP</w:t>
      </w:r>
      <w:r w:rsidRPr="007B611F">
        <w:rPr>
          <w:rFonts w:eastAsia="Calibri"/>
          <w:i/>
          <w:color w:val="000000" w:themeColor="text1"/>
          <w:szCs w:val="24"/>
          <w:vertAlign w:val="subscript"/>
          <w:lang w:eastAsia="en-US"/>
        </w:rPr>
        <w:t>ij</w:t>
      </w:r>
      <w:proofErr w:type="gramEnd"/>
      <w:r w:rsidRPr="007B611F">
        <w:rPr>
          <w:rFonts w:eastAsia="Calibri"/>
          <w:i/>
          <w:color w:val="000000" w:themeColor="text1"/>
          <w:szCs w:val="24"/>
          <w:lang w:eastAsia="en-US"/>
        </w:rPr>
        <w:t xml:space="preserve"> + β</w:t>
      </w:r>
      <w:r w:rsidRPr="007B611F">
        <w:rPr>
          <w:rFonts w:eastAsia="Calibri"/>
          <w:i/>
          <w:color w:val="000000" w:themeColor="text1"/>
          <w:szCs w:val="24"/>
          <w:vertAlign w:val="subscript"/>
          <w:lang w:eastAsia="en-US"/>
        </w:rPr>
        <w:t>2</w:t>
      </w:r>
      <w:r w:rsidRPr="007B611F">
        <w:rPr>
          <w:rFonts w:eastAsia="Calibri"/>
          <w:i/>
          <w:color w:val="000000" w:themeColor="text1"/>
          <w:szCs w:val="24"/>
          <w:lang w:eastAsia="en-US"/>
        </w:rPr>
        <w:t>ED</w:t>
      </w:r>
      <w:r w:rsidRPr="007B611F">
        <w:rPr>
          <w:rFonts w:eastAsia="Calibri"/>
          <w:i/>
          <w:color w:val="000000" w:themeColor="text1"/>
          <w:szCs w:val="24"/>
          <w:vertAlign w:val="subscript"/>
          <w:lang w:eastAsia="en-US"/>
        </w:rPr>
        <w:t>ij</w:t>
      </w:r>
      <w:r w:rsidRPr="007B611F">
        <w:rPr>
          <w:rFonts w:eastAsia="Calibri"/>
          <w:i/>
          <w:color w:val="000000" w:themeColor="text1"/>
          <w:szCs w:val="24"/>
          <w:lang w:eastAsia="en-US"/>
        </w:rPr>
        <w:t>+ β</w:t>
      </w:r>
      <w:r w:rsidRPr="007B611F">
        <w:rPr>
          <w:rFonts w:eastAsia="Calibri"/>
          <w:i/>
          <w:color w:val="000000" w:themeColor="text1"/>
          <w:szCs w:val="24"/>
          <w:vertAlign w:val="subscript"/>
          <w:lang w:eastAsia="en-US"/>
        </w:rPr>
        <w:t>3</w:t>
      </w:r>
      <w:r w:rsidRPr="007B611F">
        <w:rPr>
          <w:rFonts w:eastAsia="Calibri"/>
          <w:i/>
          <w:color w:val="000000" w:themeColor="text1"/>
          <w:szCs w:val="24"/>
          <w:lang w:eastAsia="en-US"/>
        </w:rPr>
        <w:t>GD</w:t>
      </w:r>
      <w:r w:rsidRPr="007B611F">
        <w:rPr>
          <w:rFonts w:eastAsia="Calibri"/>
          <w:i/>
          <w:color w:val="000000" w:themeColor="text1"/>
          <w:szCs w:val="24"/>
          <w:vertAlign w:val="subscript"/>
          <w:lang w:eastAsia="en-US"/>
        </w:rPr>
        <w:t>ij</w:t>
      </w:r>
      <w:r w:rsidRPr="007B611F">
        <w:rPr>
          <w:rFonts w:eastAsia="Calibri"/>
          <w:i/>
          <w:color w:val="000000" w:themeColor="text1"/>
          <w:szCs w:val="24"/>
          <w:lang w:eastAsia="en-US"/>
        </w:rPr>
        <w:t xml:space="preserve"> + β</w:t>
      </w:r>
      <w:r w:rsidRPr="007B611F">
        <w:rPr>
          <w:rFonts w:eastAsia="Calibri"/>
          <w:i/>
          <w:color w:val="000000" w:themeColor="text1"/>
          <w:szCs w:val="24"/>
          <w:vertAlign w:val="subscript"/>
          <w:lang w:eastAsia="en-US"/>
        </w:rPr>
        <w:t>4</w:t>
      </w:r>
      <w:r w:rsidRPr="007B611F">
        <w:rPr>
          <w:rFonts w:eastAsia="Calibri"/>
          <w:i/>
          <w:color w:val="000000" w:themeColor="text1"/>
          <w:szCs w:val="24"/>
          <w:lang w:eastAsia="en-US"/>
        </w:rPr>
        <w:t>EL</w:t>
      </w:r>
      <w:r w:rsidRPr="007B611F">
        <w:rPr>
          <w:rFonts w:eastAsia="Calibri"/>
          <w:i/>
          <w:color w:val="000000" w:themeColor="text1"/>
          <w:szCs w:val="24"/>
          <w:vertAlign w:val="subscript"/>
          <w:lang w:eastAsia="en-US"/>
        </w:rPr>
        <w:t>ij</w:t>
      </w:r>
      <w:r w:rsidRPr="007B611F">
        <w:rPr>
          <w:rFonts w:eastAsia="Calibri"/>
          <w:i/>
          <w:color w:val="000000" w:themeColor="text1"/>
          <w:szCs w:val="24"/>
          <w:lang w:eastAsia="en-US"/>
        </w:rPr>
        <w:t xml:space="preserve">  + β</w:t>
      </w:r>
      <w:r w:rsidRPr="007B611F">
        <w:rPr>
          <w:rFonts w:eastAsia="Calibri"/>
          <w:i/>
          <w:color w:val="000000" w:themeColor="text1"/>
          <w:szCs w:val="24"/>
          <w:vertAlign w:val="subscript"/>
          <w:lang w:eastAsia="en-US"/>
        </w:rPr>
        <w:t>5</w:t>
      </w:r>
      <w:r w:rsidRPr="007B611F">
        <w:rPr>
          <w:rFonts w:eastAsia="Calibri"/>
          <w:i/>
          <w:color w:val="000000" w:themeColor="text1"/>
          <w:szCs w:val="24"/>
          <w:lang w:eastAsia="en-US"/>
        </w:rPr>
        <w:t>PIB</w:t>
      </w:r>
      <w:r w:rsidRPr="007B611F">
        <w:rPr>
          <w:rFonts w:eastAsia="Calibri"/>
          <w:i/>
          <w:color w:val="000000" w:themeColor="text1"/>
          <w:szCs w:val="24"/>
          <w:vertAlign w:val="subscript"/>
          <w:lang w:eastAsia="en-US"/>
        </w:rPr>
        <w:t xml:space="preserve">ij  </w:t>
      </w:r>
      <w:r w:rsidRPr="007B611F">
        <w:rPr>
          <w:rFonts w:eastAsia="Calibri"/>
          <w:i/>
          <w:color w:val="000000" w:themeColor="text1"/>
          <w:szCs w:val="24"/>
          <w:lang w:eastAsia="en-US"/>
        </w:rPr>
        <w:t>+  β</w:t>
      </w:r>
      <w:r w:rsidRPr="007B611F">
        <w:rPr>
          <w:rFonts w:eastAsia="Calibri"/>
          <w:i/>
          <w:color w:val="000000" w:themeColor="text1"/>
          <w:szCs w:val="24"/>
          <w:vertAlign w:val="subscript"/>
          <w:lang w:eastAsia="en-US"/>
        </w:rPr>
        <w:t>6</w:t>
      </w:r>
      <w:r w:rsidRPr="007B611F">
        <w:rPr>
          <w:rFonts w:eastAsia="Calibri"/>
          <w:i/>
          <w:color w:val="000000" w:themeColor="text1"/>
          <w:szCs w:val="24"/>
          <w:lang w:eastAsia="en-US"/>
        </w:rPr>
        <w:t>TXij +</w:t>
      </w:r>
      <w:r w:rsidRPr="007B611F">
        <w:rPr>
          <w:rFonts w:eastAsia="Calibri"/>
          <w:color w:val="000000" w:themeColor="text1"/>
          <w:szCs w:val="24"/>
          <w:lang w:eastAsia="en-US"/>
        </w:rPr>
        <w:t xml:space="preserve"> </w:t>
      </w:r>
      <w:r w:rsidRPr="007B611F">
        <w:rPr>
          <w:rFonts w:ascii="Cambria Math" w:eastAsia="Calibri" w:hAnsi="Cambria Math" w:cs="Cambria Math"/>
          <w:color w:val="000000" w:themeColor="text1"/>
          <w:szCs w:val="24"/>
          <w:lang w:eastAsia="en-US"/>
        </w:rPr>
        <w:t>𝜀</w:t>
      </w:r>
      <w:r w:rsidRPr="007B611F">
        <w:rPr>
          <w:rFonts w:ascii="Cambria Math" w:eastAsia="Calibri" w:hAnsi="Cambria Math" w:cs="Cambria Math"/>
          <w:color w:val="000000" w:themeColor="text1"/>
          <w:szCs w:val="24"/>
          <w:vertAlign w:val="subscript"/>
          <w:lang w:eastAsia="en-US"/>
        </w:rPr>
        <w:t>𝑖𝑗</w:t>
      </w:r>
    </w:p>
    <w:p w:rsidR="007C3C21" w:rsidRPr="007B611F" w:rsidRDefault="007C3C21" w:rsidP="007C3C21">
      <w:pPr>
        <w:widowControl/>
        <w:suppressLineNumbers w:val="0"/>
        <w:suppressAutoHyphens w:val="0"/>
        <w:spacing w:after="160" w:line="256" w:lineRule="auto"/>
        <w:ind w:firstLine="0"/>
        <w:rPr>
          <w:rFonts w:eastAsia="Calibri"/>
          <w:i/>
          <w:color w:val="000000" w:themeColor="text1"/>
          <w:szCs w:val="24"/>
          <w:lang w:eastAsia="en-US"/>
        </w:rPr>
      </w:pPr>
    </w:p>
    <w:p w:rsidR="007C3C21" w:rsidRPr="007B611F" w:rsidRDefault="007C3C21" w:rsidP="007C3C21">
      <w:pPr>
        <w:widowControl/>
        <w:suppressLineNumbers w:val="0"/>
        <w:suppressAutoHyphens w:val="0"/>
        <w:spacing w:after="160" w:line="256" w:lineRule="auto"/>
        <w:ind w:firstLine="0"/>
        <w:rPr>
          <w:rFonts w:eastAsia="Calibri"/>
          <w:color w:val="000000" w:themeColor="text1"/>
          <w:szCs w:val="24"/>
          <w:lang w:eastAsia="en-US"/>
        </w:rPr>
      </w:pPr>
      <w:r w:rsidRPr="007B611F">
        <w:rPr>
          <w:rFonts w:eastAsia="Calibri"/>
          <w:color w:val="000000" w:themeColor="text1"/>
          <w:szCs w:val="24"/>
          <w:lang w:eastAsia="en-US"/>
        </w:rPr>
        <w:t xml:space="preserve">Em que </w:t>
      </w:r>
      <w:r w:rsidRPr="007B611F">
        <w:rPr>
          <w:rFonts w:eastAsia="Calibri"/>
          <w:i/>
          <w:color w:val="000000" w:themeColor="text1"/>
          <w:szCs w:val="24"/>
          <w:lang w:eastAsia="en-US"/>
        </w:rPr>
        <w:t>β</w:t>
      </w:r>
      <w:proofErr w:type="gramStart"/>
      <w:r w:rsidRPr="007B611F">
        <w:rPr>
          <w:rFonts w:eastAsia="Calibri"/>
          <w:i/>
          <w:color w:val="000000" w:themeColor="text1"/>
          <w:szCs w:val="24"/>
          <w:lang w:eastAsia="en-US"/>
        </w:rPr>
        <w:t>0</w:t>
      </w:r>
      <w:proofErr w:type="gramEnd"/>
      <w:r w:rsidRPr="007B611F">
        <w:rPr>
          <w:rFonts w:eastAsia="Calibri"/>
          <w:color w:val="000000" w:themeColor="text1"/>
          <w:szCs w:val="24"/>
          <w:lang w:eastAsia="en-US"/>
        </w:rPr>
        <w:t xml:space="preserve"> é o intercepto, i representa cada município, j cada unidade temporal, </w:t>
      </w:r>
      <w:r w:rsidRPr="007B611F">
        <w:rPr>
          <w:rFonts w:eastAsia="Calibri"/>
          <w:i/>
          <w:color w:val="000000" w:themeColor="text1"/>
          <w:szCs w:val="24"/>
          <w:lang w:eastAsia="en-US"/>
        </w:rPr>
        <w:t>β1... β6 =</w:t>
      </w:r>
      <w:r w:rsidRPr="007B611F">
        <w:rPr>
          <w:rFonts w:eastAsia="Calibri"/>
          <w:color w:val="000000" w:themeColor="text1"/>
          <w:szCs w:val="24"/>
          <w:lang w:eastAsia="en-US"/>
        </w:rPr>
        <w:t xml:space="preserve"> as constantes e </w:t>
      </w:r>
      <w:r w:rsidRPr="007B611F">
        <w:rPr>
          <w:rFonts w:ascii="Cambria Math" w:eastAsia="Calibri" w:hAnsi="Cambria Math" w:cs="Cambria Math"/>
          <w:color w:val="000000" w:themeColor="text1"/>
          <w:szCs w:val="24"/>
          <w:lang w:eastAsia="en-US"/>
        </w:rPr>
        <w:t>𝜀𝑖𝑗</w:t>
      </w:r>
      <w:proofErr w:type="gramStart"/>
      <w:r w:rsidRPr="007B611F">
        <w:rPr>
          <w:rFonts w:eastAsia="Calibri"/>
          <w:color w:val="000000" w:themeColor="text1"/>
          <w:szCs w:val="24"/>
          <w:lang w:eastAsia="en-US"/>
        </w:rPr>
        <w:t xml:space="preserve"> ,</w:t>
      </w:r>
      <w:proofErr w:type="gramEnd"/>
      <w:r w:rsidRPr="007B611F">
        <w:rPr>
          <w:rFonts w:eastAsia="Calibri"/>
          <w:color w:val="000000" w:themeColor="text1"/>
          <w:szCs w:val="24"/>
          <w:lang w:eastAsia="en-US"/>
        </w:rPr>
        <w:t xml:space="preserve"> o termo de erro da regressão.</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p>
    <w:p w:rsidR="007C3C21" w:rsidRPr="007B611F" w:rsidRDefault="007C3C21" w:rsidP="007C3C21">
      <w:pPr>
        <w:widowControl/>
        <w:suppressLineNumbers w:val="0"/>
        <w:suppressAutoHyphens w:val="0"/>
        <w:spacing w:after="160" w:line="256" w:lineRule="auto"/>
        <w:ind w:firstLine="0"/>
        <w:rPr>
          <w:rFonts w:eastAsia="Calibri"/>
          <w:b/>
          <w:color w:val="000000" w:themeColor="text1"/>
          <w:szCs w:val="24"/>
          <w:lang w:eastAsia="en-US"/>
        </w:rPr>
      </w:pPr>
      <w:r w:rsidRPr="007B611F">
        <w:rPr>
          <w:rFonts w:eastAsia="Calibri"/>
          <w:b/>
          <w:color w:val="000000" w:themeColor="text1"/>
          <w:szCs w:val="24"/>
          <w:lang w:eastAsia="en-US"/>
        </w:rPr>
        <w:t>4. A</w:t>
      </w:r>
      <w:r w:rsidR="00C01D2B" w:rsidRPr="007B611F">
        <w:rPr>
          <w:rFonts w:eastAsia="Calibri"/>
          <w:b/>
          <w:color w:val="000000" w:themeColor="text1"/>
          <w:szCs w:val="24"/>
          <w:lang w:eastAsia="en-US"/>
        </w:rPr>
        <w:t>nálise de resultados</w:t>
      </w:r>
    </w:p>
    <w:p w:rsidR="007C3C21" w:rsidRPr="00C01D2B"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Neste capítulo, estão destacados os resultados obtidos na pesquisa. A partir da operacionalização dos dados buscou-se analisar os determinantes do endividamento dos municípios da região metropolitana abarcados nesta pesquisa.</w:t>
      </w:r>
    </w:p>
    <w:p w:rsidR="007C3C21" w:rsidRPr="007B611F" w:rsidRDefault="007C3C21" w:rsidP="007C3C21">
      <w:pPr>
        <w:widowControl/>
        <w:suppressLineNumbers w:val="0"/>
        <w:suppressAutoHyphens w:val="0"/>
        <w:spacing w:after="160" w:line="256" w:lineRule="auto"/>
        <w:ind w:firstLine="0"/>
        <w:rPr>
          <w:rFonts w:eastAsia="Calibri"/>
          <w:b/>
          <w:color w:val="000000" w:themeColor="text1"/>
          <w:szCs w:val="24"/>
          <w:lang w:eastAsia="en-US"/>
        </w:rPr>
      </w:pPr>
      <w:proofErr w:type="gramStart"/>
      <w:r w:rsidRPr="007B611F">
        <w:rPr>
          <w:rFonts w:eastAsia="Calibri"/>
          <w:b/>
          <w:color w:val="000000" w:themeColor="text1"/>
          <w:szCs w:val="24"/>
          <w:lang w:eastAsia="en-US"/>
        </w:rPr>
        <w:t>4.1 Estatística</w:t>
      </w:r>
      <w:proofErr w:type="gramEnd"/>
      <w:r w:rsidRPr="007B611F">
        <w:rPr>
          <w:rFonts w:eastAsia="Calibri"/>
          <w:b/>
          <w:color w:val="000000" w:themeColor="text1"/>
          <w:szCs w:val="24"/>
          <w:lang w:eastAsia="en-US"/>
        </w:rPr>
        <w:t xml:space="preserve"> Descritiva</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 xml:space="preserve">Neste tópico </w:t>
      </w:r>
      <w:proofErr w:type="gramStart"/>
      <w:r w:rsidRPr="007B611F">
        <w:rPr>
          <w:rFonts w:eastAsia="Calibri"/>
          <w:color w:val="000000" w:themeColor="text1"/>
          <w:szCs w:val="24"/>
          <w:lang w:eastAsia="en-US"/>
        </w:rPr>
        <w:t>evidencia-se</w:t>
      </w:r>
      <w:proofErr w:type="gramEnd"/>
      <w:r w:rsidRPr="007B611F">
        <w:rPr>
          <w:rFonts w:eastAsia="Calibri"/>
          <w:color w:val="000000" w:themeColor="text1"/>
          <w:szCs w:val="24"/>
          <w:lang w:eastAsia="en-US"/>
        </w:rPr>
        <w:t xml:space="preserve"> os fatos mais significativos acerca das variáveis que const</w:t>
      </w:r>
      <w:r w:rsidR="00592E70" w:rsidRPr="007B611F">
        <w:rPr>
          <w:rFonts w:eastAsia="Calibri"/>
          <w:color w:val="000000" w:themeColor="text1"/>
          <w:szCs w:val="24"/>
          <w:lang w:eastAsia="en-US"/>
        </w:rPr>
        <w:t>ituem este trabalho. Na Tabela 2</w:t>
      </w:r>
      <w:r w:rsidRPr="007B611F">
        <w:rPr>
          <w:rFonts w:eastAsia="Calibri"/>
          <w:color w:val="000000" w:themeColor="text1"/>
          <w:szCs w:val="24"/>
          <w:lang w:eastAsia="en-US"/>
        </w:rPr>
        <w:t xml:space="preserve"> são apresentados os valores mínimos, máximos e médios de cada variável.</w:t>
      </w:r>
    </w:p>
    <w:p w:rsidR="007C3C21" w:rsidRPr="007B611F" w:rsidRDefault="007C3C21" w:rsidP="007C3C21">
      <w:pPr>
        <w:widowControl/>
        <w:suppressLineNumbers w:val="0"/>
        <w:suppressAutoHyphens w:val="0"/>
        <w:spacing w:line="256" w:lineRule="auto"/>
        <w:jc w:val="center"/>
        <w:rPr>
          <w:rFonts w:eastAsia="Calibri"/>
          <w:color w:val="000000" w:themeColor="text1"/>
          <w:sz w:val="22"/>
          <w:szCs w:val="22"/>
          <w:lang w:eastAsia="en-US"/>
        </w:rPr>
      </w:pPr>
    </w:p>
    <w:p w:rsidR="007C3C21" w:rsidRPr="008814E9" w:rsidRDefault="00677295" w:rsidP="00677295">
      <w:pPr>
        <w:widowControl/>
        <w:suppressLineNumbers w:val="0"/>
        <w:suppressAutoHyphens w:val="0"/>
        <w:spacing w:line="257" w:lineRule="auto"/>
        <w:ind w:firstLine="0"/>
        <w:jc w:val="left"/>
        <w:rPr>
          <w:rFonts w:eastAsia="Calibri"/>
          <w:color w:val="000000" w:themeColor="text1"/>
          <w:sz w:val="20"/>
          <w:lang w:eastAsia="en-US"/>
        </w:rPr>
      </w:pPr>
      <w:r w:rsidRPr="008814E9">
        <w:rPr>
          <w:rFonts w:eastAsia="Calibri"/>
          <w:color w:val="000000" w:themeColor="text1"/>
          <w:sz w:val="20"/>
          <w:lang w:eastAsia="en-US"/>
        </w:rPr>
        <w:t>Tabela 2</w:t>
      </w:r>
      <w:r w:rsidR="007C3C21" w:rsidRPr="008814E9">
        <w:rPr>
          <w:rFonts w:eastAsia="Calibri"/>
          <w:color w:val="000000" w:themeColor="text1"/>
          <w:sz w:val="20"/>
          <w:lang w:eastAsia="en-US"/>
        </w:rPr>
        <w:t>. Análise descritiva da amostra</w:t>
      </w:r>
    </w:p>
    <w:tbl>
      <w:tblPr>
        <w:tblW w:w="5000" w:type="pct"/>
        <w:tblBorders>
          <w:top w:val="single" w:sz="4" w:space="0" w:color="000000"/>
          <w:bottom w:val="single" w:sz="4" w:space="0" w:color="000000"/>
          <w:insideH w:val="single" w:sz="4" w:space="0" w:color="000000"/>
        </w:tblBorders>
        <w:tblCellMar>
          <w:left w:w="70" w:type="dxa"/>
          <w:right w:w="70" w:type="dxa"/>
        </w:tblCellMar>
        <w:tblLook w:val="04A0" w:firstRow="1" w:lastRow="0" w:firstColumn="1" w:lastColumn="0" w:noHBand="0" w:noVBand="1"/>
      </w:tblPr>
      <w:tblGrid>
        <w:gridCol w:w="1242"/>
        <w:gridCol w:w="1923"/>
        <w:gridCol w:w="1373"/>
        <w:gridCol w:w="1243"/>
        <w:gridCol w:w="1248"/>
        <w:gridCol w:w="1243"/>
        <w:gridCol w:w="1273"/>
      </w:tblGrid>
      <w:tr w:rsidR="007B611F" w:rsidRPr="00CE563D" w:rsidTr="007C3C21">
        <w:trPr>
          <w:trHeight w:val="300"/>
        </w:trPr>
        <w:tc>
          <w:tcPr>
            <w:tcW w:w="1180"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left"/>
              <w:rPr>
                <w:color w:val="000000" w:themeColor="text1"/>
                <w:sz w:val="20"/>
              </w:rPr>
            </w:pPr>
            <w:r w:rsidRPr="00CE563D">
              <w:rPr>
                <w:color w:val="000000" w:themeColor="text1"/>
                <w:sz w:val="20"/>
              </w:rPr>
              <w:t> </w:t>
            </w:r>
          </w:p>
        </w:tc>
        <w:tc>
          <w:tcPr>
            <w:tcW w:w="1827"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left"/>
              <w:rPr>
                <w:b/>
                <w:color w:val="000000" w:themeColor="text1"/>
                <w:sz w:val="20"/>
              </w:rPr>
            </w:pPr>
            <w:r w:rsidRPr="00CE563D">
              <w:rPr>
                <w:b/>
                <w:color w:val="000000" w:themeColor="text1"/>
                <w:sz w:val="20"/>
              </w:rPr>
              <w:t>Endividamento</w:t>
            </w:r>
          </w:p>
        </w:tc>
        <w:tc>
          <w:tcPr>
            <w:tcW w:w="1305"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left"/>
              <w:rPr>
                <w:b/>
                <w:color w:val="000000" w:themeColor="text1"/>
                <w:sz w:val="20"/>
              </w:rPr>
            </w:pPr>
            <w:r w:rsidRPr="00CE563D">
              <w:rPr>
                <w:b/>
                <w:color w:val="000000" w:themeColor="text1"/>
                <w:sz w:val="20"/>
              </w:rPr>
              <w:t>D. Pessoal</w:t>
            </w:r>
          </w:p>
        </w:tc>
        <w:tc>
          <w:tcPr>
            <w:tcW w:w="1181"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left"/>
              <w:rPr>
                <w:b/>
                <w:color w:val="000000" w:themeColor="text1"/>
                <w:sz w:val="20"/>
              </w:rPr>
            </w:pPr>
            <w:r w:rsidRPr="00CE563D">
              <w:rPr>
                <w:b/>
                <w:color w:val="000000" w:themeColor="text1"/>
                <w:sz w:val="20"/>
              </w:rPr>
              <w:t>Grau Dep.</w:t>
            </w:r>
          </w:p>
        </w:tc>
        <w:tc>
          <w:tcPr>
            <w:tcW w:w="1186"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left"/>
              <w:rPr>
                <w:b/>
                <w:color w:val="000000" w:themeColor="text1"/>
                <w:sz w:val="20"/>
              </w:rPr>
            </w:pPr>
            <w:r w:rsidRPr="00CE563D">
              <w:rPr>
                <w:b/>
                <w:color w:val="000000" w:themeColor="text1"/>
                <w:sz w:val="20"/>
              </w:rPr>
              <w:t>PIB Per</w:t>
            </w:r>
          </w:p>
        </w:tc>
        <w:tc>
          <w:tcPr>
            <w:tcW w:w="1181"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left"/>
              <w:rPr>
                <w:b/>
                <w:color w:val="000000" w:themeColor="text1"/>
                <w:sz w:val="20"/>
              </w:rPr>
            </w:pPr>
            <w:r w:rsidRPr="00CE563D">
              <w:rPr>
                <w:b/>
                <w:color w:val="000000" w:themeColor="text1"/>
                <w:sz w:val="20"/>
              </w:rPr>
              <w:t>End. def.</w:t>
            </w:r>
          </w:p>
        </w:tc>
        <w:tc>
          <w:tcPr>
            <w:tcW w:w="1210"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left"/>
              <w:rPr>
                <w:b/>
                <w:color w:val="000000" w:themeColor="text1"/>
                <w:sz w:val="20"/>
              </w:rPr>
            </w:pPr>
            <w:r w:rsidRPr="00CE563D">
              <w:rPr>
                <w:b/>
                <w:color w:val="000000" w:themeColor="text1"/>
                <w:sz w:val="20"/>
              </w:rPr>
              <w:t>Taxa Real</w:t>
            </w:r>
          </w:p>
        </w:tc>
      </w:tr>
      <w:tr w:rsidR="007B611F" w:rsidRPr="00CE563D" w:rsidTr="007C3C21">
        <w:trPr>
          <w:trHeight w:val="300"/>
        </w:trPr>
        <w:tc>
          <w:tcPr>
            <w:tcW w:w="1180"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left"/>
              <w:rPr>
                <w:color w:val="000000" w:themeColor="text1"/>
                <w:sz w:val="20"/>
              </w:rPr>
            </w:pPr>
            <w:r w:rsidRPr="00CE563D">
              <w:rPr>
                <w:color w:val="000000" w:themeColor="text1"/>
                <w:sz w:val="20"/>
              </w:rPr>
              <w:lastRenderedPageBreak/>
              <w:t>Mínimo</w:t>
            </w:r>
          </w:p>
        </w:tc>
        <w:tc>
          <w:tcPr>
            <w:tcW w:w="1827"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0.12</w:t>
            </w:r>
          </w:p>
        </w:tc>
        <w:tc>
          <w:tcPr>
            <w:tcW w:w="1305"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0.08</w:t>
            </w:r>
          </w:p>
        </w:tc>
        <w:tc>
          <w:tcPr>
            <w:tcW w:w="1181"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0.42</w:t>
            </w:r>
          </w:p>
        </w:tc>
        <w:tc>
          <w:tcPr>
            <w:tcW w:w="1186"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2521.63</w:t>
            </w:r>
          </w:p>
        </w:tc>
        <w:tc>
          <w:tcPr>
            <w:tcW w:w="1181"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0.00</w:t>
            </w:r>
          </w:p>
        </w:tc>
        <w:tc>
          <w:tcPr>
            <w:tcW w:w="1210"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2%</w:t>
            </w:r>
          </w:p>
        </w:tc>
      </w:tr>
      <w:tr w:rsidR="007B611F" w:rsidRPr="00CE563D" w:rsidTr="007C3C21">
        <w:trPr>
          <w:trHeight w:val="300"/>
        </w:trPr>
        <w:tc>
          <w:tcPr>
            <w:tcW w:w="1180"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left"/>
              <w:rPr>
                <w:color w:val="000000" w:themeColor="text1"/>
                <w:sz w:val="20"/>
              </w:rPr>
            </w:pPr>
            <w:r w:rsidRPr="00CE563D">
              <w:rPr>
                <w:color w:val="000000" w:themeColor="text1"/>
                <w:sz w:val="20"/>
              </w:rPr>
              <w:t>Média</w:t>
            </w:r>
          </w:p>
        </w:tc>
        <w:tc>
          <w:tcPr>
            <w:tcW w:w="1827"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0.61</w:t>
            </w:r>
          </w:p>
        </w:tc>
        <w:tc>
          <w:tcPr>
            <w:tcW w:w="1305"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0.24</w:t>
            </w:r>
          </w:p>
        </w:tc>
        <w:tc>
          <w:tcPr>
            <w:tcW w:w="1181"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0.81</w:t>
            </w:r>
          </w:p>
        </w:tc>
        <w:tc>
          <w:tcPr>
            <w:tcW w:w="1186"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5417.61</w:t>
            </w:r>
          </w:p>
        </w:tc>
        <w:tc>
          <w:tcPr>
            <w:tcW w:w="1181"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0.56</w:t>
            </w:r>
          </w:p>
        </w:tc>
        <w:tc>
          <w:tcPr>
            <w:tcW w:w="1210"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6%</w:t>
            </w:r>
          </w:p>
        </w:tc>
      </w:tr>
      <w:tr w:rsidR="007B611F" w:rsidRPr="00CE563D" w:rsidTr="007C3C21">
        <w:trPr>
          <w:trHeight w:val="300"/>
        </w:trPr>
        <w:tc>
          <w:tcPr>
            <w:tcW w:w="1180"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left"/>
              <w:rPr>
                <w:color w:val="000000" w:themeColor="text1"/>
                <w:sz w:val="20"/>
              </w:rPr>
            </w:pPr>
            <w:r w:rsidRPr="00CE563D">
              <w:rPr>
                <w:color w:val="000000" w:themeColor="text1"/>
                <w:sz w:val="20"/>
              </w:rPr>
              <w:t>Máximo</w:t>
            </w:r>
          </w:p>
        </w:tc>
        <w:tc>
          <w:tcPr>
            <w:tcW w:w="1827"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0.98</w:t>
            </w:r>
          </w:p>
        </w:tc>
        <w:tc>
          <w:tcPr>
            <w:tcW w:w="1305"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0.43</w:t>
            </w:r>
          </w:p>
        </w:tc>
        <w:tc>
          <w:tcPr>
            <w:tcW w:w="1181"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0.97</w:t>
            </w:r>
          </w:p>
        </w:tc>
        <w:tc>
          <w:tcPr>
            <w:tcW w:w="1186"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10392.56</w:t>
            </w:r>
          </w:p>
        </w:tc>
        <w:tc>
          <w:tcPr>
            <w:tcW w:w="1181"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0.98</w:t>
            </w:r>
          </w:p>
        </w:tc>
        <w:tc>
          <w:tcPr>
            <w:tcW w:w="1210" w:type="dxa"/>
            <w:tcBorders>
              <w:top w:val="single" w:sz="4" w:space="0" w:color="000000"/>
              <w:left w:val="nil"/>
              <w:bottom w:val="single" w:sz="4" w:space="0" w:color="000000"/>
              <w:right w:val="nil"/>
            </w:tcBorders>
            <w:vAlign w:val="bottom"/>
            <w:hideMark/>
          </w:tcPr>
          <w:p w:rsidR="007C3C21" w:rsidRPr="00CE563D" w:rsidRDefault="007C3C21" w:rsidP="007C3C21">
            <w:pPr>
              <w:widowControl/>
              <w:suppressLineNumbers w:val="0"/>
              <w:suppressAutoHyphens w:val="0"/>
              <w:ind w:firstLine="0"/>
              <w:jc w:val="right"/>
              <w:rPr>
                <w:color w:val="000000" w:themeColor="text1"/>
                <w:sz w:val="20"/>
              </w:rPr>
            </w:pPr>
            <w:r w:rsidRPr="00CE563D">
              <w:rPr>
                <w:color w:val="000000" w:themeColor="text1"/>
                <w:sz w:val="20"/>
              </w:rPr>
              <w:t>13%</w:t>
            </w:r>
          </w:p>
        </w:tc>
      </w:tr>
    </w:tbl>
    <w:p w:rsidR="007C3C21" w:rsidRPr="007B611F" w:rsidRDefault="007C3C21" w:rsidP="007C3C21">
      <w:pPr>
        <w:widowControl/>
        <w:suppressLineNumbers w:val="0"/>
        <w:suppressAutoHyphens w:val="0"/>
        <w:spacing w:line="256" w:lineRule="auto"/>
        <w:ind w:firstLine="0"/>
        <w:jc w:val="left"/>
        <w:rPr>
          <w:rFonts w:eastAsia="Calibri"/>
          <w:color w:val="000000" w:themeColor="text1"/>
          <w:sz w:val="20"/>
          <w:lang w:eastAsia="en-US"/>
        </w:rPr>
      </w:pPr>
      <w:r w:rsidRPr="007B611F">
        <w:rPr>
          <w:rFonts w:eastAsia="Calibri"/>
          <w:color w:val="000000" w:themeColor="text1"/>
          <w:sz w:val="20"/>
          <w:lang w:eastAsia="en-US"/>
        </w:rPr>
        <w:t>Fonte: Dados da Pesquisa</w:t>
      </w:r>
    </w:p>
    <w:p w:rsidR="007C3C21" w:rsidRPr="007B611F" w:rsidRDefault="007C3C21" w:rsidP="007C3C21">
      <w:pPr>
        <w:widowControl/>
        <w:suppressLineNumbers w:val="0"/>
        <w:suppressAutoHyphens w:val="0"/>
        <w:spacing w:line="256" w:lineRule="auto"/>
        <w:ind w:firstLine="0"/>
        <w:jc w:val="left"/>
        <w:rPr>
          <w:rFonts w:eastAsia="Calibri"/>
          <w:color w:val="000000" w:themeColor="text1"/>
          <w:sz w:val="20"/>
          <w:lang w:eastAsia="en-US"/>
        </w:rPr>
      </w:pPr>
      <w:r w:rsidRPr="007B611F">
        <w:rPr>
          <w:rFonts w:eastAsia="Calibri"/>
          <w:color w:val="000000" w:themeColor="text1"/>
          <w:sz w:val="20"/>
          <w:lang w:eastAsia="en-US"/>
        </w:rPr>
        <w:t>*Valores do PIB per capita em Reais (R$)</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Nessa etapa, analisa-se primeiramente se os municípios estão respeitando o limite de dívida estabelecido pela LRF, que estabelece que a dívida consolidada líquida – DCL, tenha no máximo 1,2 vezes (ou 120%) o valor da receita corrente líquida – RCL. Ressalta-se que é importante que esse limite não seja extrapolado, uma vez que caso isso aconteça, estes podem sofrer sanções como o veto a transferências e a inabilidade de contratação de operações de crédito (</w:t>
      </w:r>
      <w:r w:rsidR="00592E70" w:rsidRPr="007B611F">
        <w:rPr>
          <w:rFonts w:eastAsia="Calibri"/>
          <w:color w:val="000000" w:themeColor="text1"/>
          <w:szCs w:val="24"/>
          <w:lang w:eastAsia="en-US"/>
        </w:rPr>
        <w:t>Linhares, Penna &amp; Borges</w:t>
      </w:r>
      <w:r w:rsidRPr="007B611F">
        <w:rPr>
          <w:rFonts w:eastAsia="Calibri"/>
          <w:color w:val="000000" w:themeColor="text1"/>
          <w:szCs w:val="24"/>
          <w:lang w:eastAsia="en-US"/>
        </w:rPr>
        <w:t>, 2013; C</w:t>
      </w:r>
      <w:r w:rsidR="00592E70" w:rsidRPr="007B611F">
        <w:rPr>
          <w:rFonts w:eastAsia="Calibri"/>
          <w:color w:val="000000" w:themeColor="text1"/>
          <w:szCs w:val="24"/>
          <w:lang w:eastAsia="en-US"/>
        </w:rPr>
        <w:t>ruz</w:t>
      </w:r>
      <w:r w:rsidRPr="007B611F">
        <w:rPr>
          <w:rFonts w:eastAsia="Calibri"/>
          <w:color w:val="000000" w:themeColor="text1"/>
          <w:szCs w:val="24"/>
          <w:lang w:eastAsia="en-US"/>
        </w:rPr>
        <w:t xml:space="preserve"> </w:t>
      </w:r>
      <w:proofErr w:type="gramStart"/>
      <w:r w:rsidRPr="007B611F">
        <w:rPr>
          <w:rFonts w:eastAsia="Calibri"/>
          <w:color w:val="000000" w:themeColor="text1"/>
          <w:szCs w:val="24"/>
          <w:lang w:eastAsia="en-US"/>
        </w:rPr>
        <w:t>et</w:t>
      </w:r>
      <w:proofErr w:type="gramEnd"/>
      <w:r w:rsidRPr="007B611F">
        <w:rPr>
          <w:rFonts w:eastAsia="Calibri"/>
          <w:color w:val="000000" w:themeColor="text1"/>
          <w:szCs w:val="24"/>
          <w:lang w:eastAsia="en-US"/>
        </w:rPr>
        <w:t xml:space="preserve"> al., 2018).</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Tendo como base o exposto, percebe-se que nenhum dos municípios da Região Metropolitana de Goiânia ultrapassou os limites impostos pela legislação nos anos analisados, e que não se pode identificar nenhuma relação contínua de decréscimo ou crescimento da dívida em nenhuma das cidades. Quanto à análise individual, nota-se que a cidades com maiores endividamentos foram Nova Veneza e Hidrolândia, que tanto em termos populacionais, quanto em termos de receita foram dois dos menores municípios analisados na pesquisa.</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 xml:space="preserve">Tal achado contrapõe o exposto por alguns estudos como o de </w:t>
      </w:r>
      <w:proofErr w:type="spellStart"/>
      <w:r w:rsidRPr="007B611F">
        <w:rPr>
          <w:rFonts w:eastAsia="Calibri"/>
          <w:color w:val="000000" w:themeColor="text1"/>
          <w:szCs w:val="24"/>
          <w:lang w:eastAsia="en-US"/>
        </w:rPr>
        <w:t>Klering</w:t>
      </w:r>
      <w:proofErr w:type="spellEnd"/>
      <w:r w:rsidRPr="007B611F">
        <w:rPr>
          <w:rFonts w:eastAsia="Calibri"/>
          <w:color w:val="000000" w:themeColor="text1"/>
          <w:szCs w:val="24"/>
          <w:lang w:eastAsia="en-US"/>
        </w:rPr>
        <w:t xml:space="preserve">, </w:t>
      </w:r>
      <w:proofErr w:type="spellStart"/>
      <w:r w:rsidRPr="007B611F">
        <w:rPr>
          <w:rFonts w:eastAsia="Calibri"/>
          <w:color w:val="000000" w:themeColor="text1"/>
          <w:szCs w:val="24"/>
          <w:lang w:eastAsia="en-US"/>
        </w:rPr>
        <w:t>Kruel</w:t>
      </w:r>
      <w:proofErr w:type="spellEnd"/>
      <w:r w:rsidRPr="007B611F">
        <w:rPr>
          <w:rFonts w:eastAsia="Calibri"/>
          <w:color w:val="000000" w:themeColor="text1"/>
          <w:szCs w:val="24"/>
          <w:lang w:eastAsia="en-US"/>
        </w:rPr>
        <w:t xml:space="preserve"> e </w:t>
      </w:r>
      <w:proofErr w:type="spellStart"/>
      <w:r w:rsidRPr="007B611F">
        <w:rPr>
          <w:rFonts w:eastAsia="Calibri"/>
          <w:color w:val="000000" w:themeColor="text1"/>
          <w:szCs w:val="24"/>
          <w:lang w:eastAsia="en-US"/>
        </w:rPr>
        <w:t>Stranz</w:t>
      </w:r>
      <w:proofErr w:type="spellEnd"/>
      <w:r w:rsidRPr="007B611F">
        <w:rPr>
          <w:rFonts w:eastAsia="Calibri"/>
          <w:color w:val="000000" w:themeColor="text1"/>
          <w:szCs w:val="24"/>
          <w:lang w:eastAsia="en-US"/>
        </w:rPr>
        <w:t xml:space="preserve"> (2012), que demonstraram que no Brasil municípios menores tendem a gerir melhor seus recursos e consequentemente possuírem menores índices de endividamento. Em contrapartida, Goiânia foi </w:t>
      </w:r>
      <w:proofErr w:type="gramStart"/>
      <w:r w:rsidRPr="007B611F">
        <w:rPr>
          <w:rFonts w:eastAsia="Calibri"/>
          <w:color w:val="000000" w:themeColor="text1"/>
          <w:szCs w:val="24"/>
          <w:lang w:eastAsia="en-US"/>
        </w:rPr>
        <w:t>a</w:t>
      </w:r>
      <w:proofErr w:type="gramEnd"/>
      <w:r w:rsidRPr="007B611F">
        <w:rPr>
          <w:rFonts w:eastAsia="Calibri"/>
          <w:color w:val="000000" w:themeColor="text1"/>
          <w:szCs w:val="24"/>
          <w:lang w:eastAsia="en-US"/>
        </w:rPr>
        <w:t xml:space="preserve"> cidade que apresentou a menor relação de endividamento médio nos anos analisados.</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 xml:space="preserve">Acerca da análise da relação DP/RCL, sabe-se que o limite estipulado pela LRF é de 60%, mas aqui cabe analisar não apenas se os municípios estão extrapolando o limite previsto em lei ou não, uma vez que poucos municípios brasileiros ultrapassavam essa barreira mesmo antes da LRF, conforme exposto por </w:t>
      </w:r>
      <w:proofErr w:type="spellStart"/>
      <w:r w:rsidRPr="007B611F">
        <w:rPr>
          <w:rFonts w:eastAsia="Calibri"/>
          <w:color w:val="000000" w:themeColor="text1"/>
          <w:szCs w:val="24"/>
          <w:lang w:eastAsia="en-US"/>
        </w:rPr>
        <w:t>Santolin</w:t>
      </w:r>
      <w:proofErr w:type="spellEnd"/>
      <w:r w:rsidRPr="007B611F">
        <w:rPr>
          <w:rFonts w:eastAsia="Calibri"/>
          <w:color w:val="000000" w:themeColor="text1"/>
          <w:szCs w:val="24"/>
          <w:lang w:eastAsia="en-US"/>
        </w:rPr>
        <w:t>, Jayme Jr e Reis (2009). Mas, pode-se observar também o crescimento do índice durante os anos, visando entender se os gastos de cada município com pessoal estão aumentando de maneira significativa ou não.</w:t>
      </w:r>
    </w:p>
    <w:p w:rsidR="007C3C21" w:rsidRPr="007B611F" w:rsidRDefault="00592E70" w:rsidP="007C3C21">
      <w:pPr>
        <w:widowControl/>
        <w:suppressLineNumbers w:val="0"/>
        <w:suppressAutoHyphens w:val="0"/>
        <w:spacing w:line="256" w:lineRule="auto"/>
        <w:rPr>
          <w:rFonts w:eastAsia="Calibri"/>
          <w:color w:val="000000" w:themeColor="text1"/>
          <w:sz w:val="22"/>
          <w:szCs w:val="22"/>
          <w:lang w:eastAsia="en-US"/>
        </w:rPr>
      </w:pPr>
      <w:r w:rsidRPr="007B611F">
        <w:rPr>
          <w:rFonts w:eastAsia="Calibri"/>
          <w:color w:val="000000" w:themeColor="text1"/>
          <w:szCs w:val="24"/>
          <w:lang w:eastAsia="en-US"/>
        </w:rPr>
        <w:t>Conforme exposto na Tabela 2</w:t>
      </w:r>
      <w:r w:rsidR="007C3C21" w:rsidRPr="007B611F">
        <w:rPr>
          <w:rFonts w:eastAsia="Calibri"/>
          <w:color w:val="000000" w:themeColor="text1"/>
          <w:szCs w:val="24"/>
          <w:lang w:eastAsia="en-US"/>
        </w:rPr>
        <w:t xml:space="preserve">, nota-se que nenhum dos municípios da Região Metropolitana de Goiânia esteve perto de ultrapassar os limites estabelecidos pela LRF, sendo que os municípios de Guapó e Hidrolândia foram os que apresentaram a maior média de gastos com pessoal em relação </w:t>
      </w:r>
      <w:proofErr w:type="gramStart"/>
      <w:r w:rsidR="007C3C21" w:rsidRPr="007B611F">
        <w:rPr>
          <w:rFonts w:eastAsia="Calibri"/>
          <w:color w:val="000000" w:themeColor="text1"/>
          <w:szCs w:val="24"/>
          <w:lang w:eastAsia="en-US"/>
        </w:rPr>
        <w:t>a</w:t>
      </w:r>
      <w:proofErr w:type="gramEnd"/>
      <w:r w:rsidR="007C3C21" w:rsidRPr="007B611F">
        <w:rPr>
          <w:rFonts w:eastAsia="Calibri"/>
          <w:color w:val="000000" w:themeColor="text1"/>
          <w:szCs w:val="24"/>
          <w:lang w:eastAsia="en-US"/>
        </w:rPr>
        <w:t xml:space="preserve"> receita corrente líquida.</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 xml:space="preserve">Por fim, quanto ao grau de dependência, observou-se que o município mais dependente de receitas de transferência foi Bonfinópolis, e o menos dependente Goiânia (algo natural por esta ser a capital e maior cidade do estado). E a mesma relação se observou quanto ao PIB per capita. </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p>
    <w:p w:rsidR="007C3C21" w:rsidRPr="007B611F" w:rsidRDefault="007C3C21" w:rsidP="007C3C21">
      <w:pPr>
        <w:widowControl/>
        <w:suppressLineNumbers w:val="0"/>
        <w:suppressAutoHyphens w:val="0"/>
        <w:spacing w:after="160" w:line="256" w:lineRule="auto"/>
        <w:ind w:firstLine="0"/>
        <w:rPr>
          <w:rFonts w:eastAsia="Calibri"/>
          <w:b/>
          <w:color w:val="000000" w:themeColor="text1"/>
          <w:szCs w:val="24"/>
          <w:lang w:eastAsia="en-US"/>
        </w:rPr>
      </w:pPr>
      <w:proofErr w:type="gramStart"/>
      <w:r w:rsidRPr="007B611F">
        <w:rPr>
          <w:rFonts w:eastAsia="Calibri"/>
          <w:b/>
          <w:color w:val="000000" w:themeColor="text1"/>
          <w:szCs w:val="24"/>
          <w:lang w:eastAsia="en-US"/>
        </w:rPr>
        <w:lastRenderedPageBreak/>
        <w:t>4.2 Análise</w:t>
      </w:r>
      <w:proofErr w:type="gramEnd"/>
      <w:r w:rsidRPr="007B611F">
        <w:rPr>
          <w:rFonts w:eastAsia="Calibri"/>
          <w:b/>
          <w:color w:val="000000" w:themeColor="text1"/>
          <w:szCs w:val="24"/>
          <w:lang w:eastAsia="en-US"/>
        </w:rPr>
        <w:t xml:space="preserve"> do Modelo</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 xml:space="preserve">Com a finalidade então de examinar os determinantes de endividamento dos municípios analisados foi realizada uma análise de regressão linear múltipla, sendo que o modelo de regressão foi estimado através do método dos mínimos quadrados ordinários (MQO), e os testes foram realizados através do </w:t>
      </w:r>
      <w:r w:rsidRPr="007B611F">
        <w:rPr>
          <w:rFonts w:eastAsia="Calibri"/>
          <w:i/>
          <w:color w:val="000000" w:themeColor="text1"/>
          <w:szCs w:val="24"/>
          <w:lang w:eastAsia="en-US"/>
        </w:rPr>
        <w:t>software</w:t>
      </w:r>
      <w:r w:rsidRPr="007B611F">
        <w:rPr>
          <w:rFonts w:eastAsia="Calibri"/>
          <w:color w:val="000000" w:themeColor="text1"/>
          <w:szCs w:val="24"/>
          <w:lang w:eastAsia="en-US"/>
        </w:rPr>
        <w:t xml:space="preserve"> </w:t>
      </w:r>
      <w:proofErr w:type="spellStart"/>
      <w:r w:rsidRPr="007B611F">
        <w:rPr>
          <w:rFonts w:eastAsia="Calibri"/>
          <w:color w:val="000000" w:themeColor="text1"/>
          <w:szCs w:val="24"/>
          <w:lang w:eastAsia="en-US"/>
        </w:rPr>
        <w:t>Stata</w:t>
      </w:r>
      <w:proofErr w:type="spellEnd"/>
      <w:r w:rsidRPr="007B611F">
        <w:rPr>
          <w:rFonts w:eastAsia="Calibri"/>
          <w:color w:val="000000" w:themeColor="text1"/>
          <w:szCs w:val="24"/>
          <w:lang w:eastAsia="en-US"/>
        </w:rPr>
        <w:t xml:space="preserve"> 14.</w:t>
      </w:r>
    </w:p>
    <w:p w:rsidR="007C3C21" w:rsidRPr="007B611F"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 xml:space="preserve">Sabe-se que antes de executar a regressão propriamente dita, alguns pressupostos precisam ser testados. Dessa forma, começou-se com o teste da normalidade dos dados através dos testes de Shapiro </w:t>
      </w:r>
      <w:proofErr w:type="spellStart"/>
      <w:r w:rsidRPr="007B611F">
        <w:rPr>
          <w:rFonts w:eastAsia="Calibri"/>
          <w:color w:val="000000" w:themeColor="text1"/>
          <w:szCs w:val="24"/>
          <w:lang w:eastAsia="en-US"/>
        </w:rPr>
        <w:t>Wilks</w:t>
      </w:r>
      <w:proofErr w:type="spellEnd"/>
      <w:r w:rsidRPr="007B611F">
        <w:rPr>
          <w:rFonts w:eastAsia="Calibri"/>
          <w:color w:val="000000" w:themeColor="text1"/>
          <w:szCs w:val="24"/>
          <w:lang w:eastAsia="en-US"/>
        </w:rPr>
        <w:t xml:space="preserve"> e </w:t>
      </w:r>
      <w:proofErr w:type="spellStart"/>
      <w:r w:rsidRPr="007B611F">
        <w:rPr>
          <w:rFonts w:eastAsia="Calibri"/>
          <w:color w:val="000000" w:themeColor="text1"/>
          <w:szCs w:val="24"/>
          <w:lang w:eastAsia="en-US"/>
        </w:rPr>
        <w:t>Jarque</w:t>
      </w:r>
      <w:proofErr w:type="spellEnd"/>
      <w:r w:rsidRPr="007B611F">
        <w:rPr>
          <w:rFonts w:eastAsia="Calibri"/>
          <w:color w:val="000000" w:themeColor="text1"/>
          <w:szCs w:val="24"/>
          <w:lang w:eastAsia="en-US"/>
        </w:rPr>
        <w:t xml:space="preserve"> </w:t>
      </w:r>
      <w:proofErr w:type="spellStart"/>
      <w:r w:rsidRPr="007B611F">
        <w:rPr>
          <w:rFonts w:eastAsia="Calibri"/>
          <w:color w:val="000000" w:themeColor="text1"/>
          <w:szCs w:val="24"/>
          <w:lang w:eastAsia="en-US"/>
        </w:rPr>
        <w:t>Bera</w:t>
      </w:r>
      <w:proofErr w:type="spellEnd"/>
      <w:r w:rsidRPr="007B611F">
        <w:rPr>
          <w:rFonts w:eastAsia="Calibri"/>
          <w:color w:val="000000" w:themeColor="text1"/>
          <w:szCs w:val="24"/>
          <w:lang w:eastAsia="en-US"/>
        </w:rPr>
        <w:t xml:space="preserve">, de maneira que </w:t>
      </w:r>
      <w:proofErr w:type="gramStart"/>
      <w:r w:rsidRPr="007B611F">
        <w:rPr>
          <w:rFonts w:eastAsia="Calibri"/>
          <w:color w:val="000000" w:themeColor="text1"/>
          <w:szCs w:val="24"/>
          <w:lang w:eastAsia="en-US"/>
        </w:rPr>
        <w:t>rejeitou-se</w:t>
      </w:r>
      <w:proofErr w:type="gramEnd"/>
      <w:r w:rsidRPr="007B611F">
        <w:rPr>
          <w:rFonts w:eastAsia="Calibri"/>
          <w:color w:val="000000" w:themeColor="text1"/>
          <w:szCs w:val="24"/>
          <w:lang w:eastAsia="en-US"/>
        </w:rPr>
        <w:t xml:space="preserve"> uma possível anormalidade dos dados. Passou-se então para o teste de </w:t>
      </w:r>
      <w:proofErr w:type="spellStart"/>
      <w:r w:rsidRPr="007B611F">
        <w:rPr>
          <w:rFonts w:eastAsia="Calibri"/>
          <w:color w:val="000000" w:themeColor="text1"/>
          <w:szCs w:val="24"/>
          <w:lang w:eastAsia="en-US"/>
        </w:rPr>
        <w:t>multicolinariedade</w:t>
      </w:r>
      <w:proofErr w:type="spellEnd"/>
      <w:r w:rsidRPr="007B611F">
        <w:rPr>
          <w:rFonts w:eastAsia="Calibri"/>
          <w:color w:val="000000" w:themeColor="text1"/>
          <w:szCs w:val="24"/>
          <w:lang w:eastAsia="en-US"/>
        </w:rPr>
        <w:t xml:space="preserve">, analisando se o VIF, e obteve-se como resultado que nenhuma das variáveis explicativas apresentou VIF maior que </w:t>
      </w:r>
      <w:proofErr w:type="gramStart"/>
      <w:r w:rsidRPr="007B611F">
        <w:rPr>
          <w:rFonts w:eastAsia="Calibri"/>
          <w:color w:val="000000" w:themeColor="text1"/>
          <w:szCs w:val="24"/>
          <w:lang w:eastAsia="en-US"/>
        </w:rPr>
        <w:t>2</w:t>
      </w:r>
      <w:proofErr w:type="gramEnd"/>
      <w:r w:rsidRPr="007B611F">
        <w:rPr>
          <w:rFonts w:eastAsia="Calibri"/>
          <w:color w:val="000000" w:themeColor="text1"/>
          <w:szCs w:val="24"/>
          <w:lang w:eastAsia="en-US"/>
        </w:rPr>
        <w:t>, valores distantes dos limites estabelecidos pela literatura, de maneira que descartou-se essa problemática também (F</w:t>
      </w:r>
      <w:r w:rsidR="00592E70" w:rsidRPr="007B611F">
        <w:rPr>
          <w:rFonts w:eastAsia="Calibri"/>
          <w:color w:val="000000" w:themeColor="text1"/>
          <w:szCs w:val="24"/>
          <w:lang w:eastAsia="en-US"/>
        </w:rPr>
        <w:t>ávero &amp;</w:t>
      </w:r>
      <w:r w:rsidRPr="007B611F">
        <w:rPr>
          <w:rFonts w:eastAsia="Calibri"/>
          <w:color w:val="000000" w:themeColor="text1"/>
          <w:szCs w:val="24"/>
          <w:lang w:eastAsia="en-US"/>
        </w:rPr>
        <w:t xml:space="preserve"> </w:t>
      </w:r>
      <w:proofErr w:type="spellStart"/>
      <w:r w:rsidRPr="007B611F">
        <w:rPr>
          <w:rFonts w:eastAsia="Calibri"/>
          <w:color w:val="000000" w:themeColor="text1"/>
          <w:szCs w:val="24"/>
          <w:lang w:eastAsia="en-US"/>
        </w:rPr>
        <w:t>B</w:t>
      </w:r>
      <w:r w:rsidR="00592E70" w:rsidRPr="007B611F">
        <w:rPr>
          <w:rFonts w:eastAsia="Calibri"/>
          <w:color w:val="000000" w:themeColor="text1"/>
          <w:szCs w:val="24"/>
          <w:lang w:eastAsia="en-US"/>
        </w:rPr>
        <w:t>elfiore</w:t>
      </w:r>
      <w:proofErr w:type="spellEnd"/>
      <w:r w:rsidRPr="007B611F">
        <w:rPr>
          <w:rFonts w:eastAsia="Calibri"/>
          <w:color w:val="000000" w:themeColor="text1"/>
          <w:szCs w:val="24"/>
          <w:lang w:eastAsia="en-US"/>
        </w:rPr>
        <w:t>, 2017).</w:t>
      </w:r>
    </w:p>
    <w:p w:rsidR="007C3C21" w:rsidRDefault="007C3C21"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 xml:space="preserve">Por fim, analisou-se a </w:t>
      </w:r>
      <w:proofErr w:type="spellStart"/>
      <w:r w:rsidRPr="007B611F">
        <w:rPr>
          <w:rFonts w:eastAsia="Calibri"/>
          <w:color w:val="000000" w:themeColor="text1"/>
          <w:szCs w:val="24"/>
          <w:lang w:eastAsia="en-US"/>
        </w:rPr>
        <w:t>homocedasticidade</w:t>
      </w:r>
      <w:proofErr w:type="spellEnd"/>
      <w:r w:rsidRPr="007B611F">
        <w:rPr>
          <w:rFonts w:eastAsia="Calibri"/>
          <w:color w:val="000000" w:themeColor="text1"/>
          <w:szCs w:val="24"/>
          <w:lang w:eastAsia="en-US"/>
        </w:rPr>
        <w:t xml:space="preserve"> dos resíduos, primariamente por uma análise gráfica e posteriormente executou-se o teste de </w:t>
      </w:r>
      <w:proofErr w:type="spellStart"/>
      <w:r w:rsidRPr="007B611F">
        <w:rPr>
          <w:rFonts w:eastAsia="Calibri"/>
          <w:color w:val="000000" w:themeColor="text1"/>
          <w:szCs w:val="24"/>
          <w:lang w:eastAsia="en-US"/>
        </w:rPr>
        <w:t>Breusch</w:t>
      </w:r>
      <w:proofErr w:type="spellEnd"/>
      <w:r w:rsidRPr="007B611F">
        <w:rPr>
          <w:rFonts w:eastAsia="Calibri"/>
          <w:color w:val="000000" w:themeColor="text1"/>
          <w:szCs w:val="24"/>
          <w:lang w:eastAsia="en-US"/>
        </w:rPr>
        <w:t xml:space="preserve"> </w:t>
      </w:r>
      <w:proofErr w:type="spellStart"/>
      <w:r w:rsidRPr="007B611F">
        <w:rPr>
          <w:rFonts w:eastAsia="Calibri"/>
          <w:color w:val="000000" w:themeColor="text1"/>
          <w:szCs w:val="24"/>
          <w:lang w:eastAsia="en-US"/>
        </w:rPr>
        <w:t>Pagan</w:t>
      </w:r>
      <w:proofErr w:type="spellEnd"/>
      <w:r w:rsidRPr="007B611F">
        <w:rPr>
          <w:rFonts w:eastAsia="Calibri"/>
          <w:color w:val="000000" w:themeColor="text1"/>
          <w:szCs w:val="24"/>
          <w:lang w:eastAsia="en-US"/>
        </w:rPr>
        <w:t xml:space="preserve"> Godfrey, que evidenciou que não </w:t>
      </w:r>
      <w:proofErr w:type="gramStart"/>
      <w:r w:rsidRPr="007B611F">
        <w:rPr>
          <w:rFonts w:eastAsia="Calibri"/>
          <w:color w:val="000000" w:themeColor="text1"/>
          <w:szCs w:val="24"/>
          <w:lang w:eastAsia="en-US"/>
        </w:rPr>
        <w:t>haviam</w:t>
      </w:r>
      <w:proofErr w:type="gramEnd"/>
      <w:r w:rsidRPr="007B611F">
        <w:rPr>
          <w:rFonts w:eastAsia="Calibri"/>
          <w:color w:val="000000" w:themeColor="text1"/>
          <w:szCs w:val="24"/>
          <w:lang w:eastAsia="en-US"/>
        </w:rPr>
        <w:t xml:space="preserve"> problemas de </w:t>
      </w:r>
      <w:proofErr w:type="spellStart"/>
      <w:r w:rsidRPr="007B611F">
        <w:rPr>
          <w:rFonts w:eastAsia="Calibri"/>
          <w:color w:val="000000" w:themeColor="text1"/>
          <w:szCs w:val="24"/>
          <w:lang w:eastAsia="en-US"/>
        </w:rPr>
        <w:t>heterocedasticidade</w:t>
      </w:r>
      <w:proofErr w:type="spellEnd"/>
      <w:r w:rsidRPr="007B611F">
        <w:rPr>
          <w:rFonts w:eastAsia="Calibri"/>
          <w:color w:val="000000" w:themeColor="text1"/>
          <w:szCs w:val="24"/>
          <w:lang w:eastAsia="en-US"/>
        </w:rPr>
        <w:t xml:space="preserve"> dos resíduos, uma vez que o p-valor mostrou-se maior que 0,05 ou 5%, rejeitando-se a hipótese nula do teste </w:t>
      </w:r>
      <w:r w:rsidR="00592E70" w:rsidRPr="007B611F">
        <w:rPr>
          <w:rFonts w:eastAsia="Calibri"/>
          <w:color w:val="000000" w:themeColor="text1"/>
          <w:szCs w:val="24"/>
          <w:lang w:eastAsia="en-US"/>
        </w:rPr>
        <w:t xml:space="preserve">(Fávero &amp; </w:t>
      </w:r>
      <w:proofErr w:type="spellStart"/>
      <w:r w:rsidR="00592E70" w:rsidRPr="007B611F">
        <w:rPr>
          <w:rFonts w:eastAsia="Calibri"/>
          <w:color w:val="000000" w:themeColor="text1"/>
          <w:szCs w:val="24"/>
          <w:lang w:eastAsia="en-US"/>
        </w:rPr>
        <w:t>Belfiore</w:t>
      </w:r>
      <w:proofErr w:type="spellEnd"/>
      <w:r w:rsidR="00592E70" w:rsidRPr="007B611F">
        <w:rPr>
          <w:rFonts w:eastAsia="Calibri"/>
          <w:color w:val="000000" w:themeColor="text1"/>
          <w:szCs w:val="24"/>
          <w:lang w:eastAsia="en-US"/>
        </w:rPr>
        <w:t>, 2017).</w:t>
      </w:r>
    </w:p>
    <w:p w:rsidR="00C01D2B" w:rsidRPr="007B611F" w:rsidRDefault="00C01D2B" w:rsidP="007C3C21">
      <w:pPr>
        <w:widowControl/>
        <w:suppressLineNumbers w:val="0"/>
        <w:suppressAutoHyphens w:val="0"/>
        <w:spacing w:after="160" w:line="256" w:lineRule="auto"/>
        <w:rPr>
          <w:rFonts w:eastAsia="Calibri"/>
          <w:color w:val="000000" w:themeColor="text1"/>
          <w:szCs w:val="24"/>
          <w:lang w:eastAsia="en-US"/>
        </w:rPr>
      </w:pPr>
    </w:p>
    <w:p w:rsidR="007C3C21" w:rsidRPr="007B611F" w:rsidRDefault="007C3C21" w:rsidP="007C3C21">
      <w:pPr>
        <w:widowControl/>
        <w:suppressLineNumbers w:val="0"/>
        <w:suppressAutoHyphens w:val="0"/>
        <w:spacing w:after="160" w:line="256" w:lineRule="auto"/>
        <w:ind w:firstLine="0"/>
        <w:rPr>
          <w:rFonts w:eastAsia="Calibri"/>
          <w:b/>
          <w:color w:val="000000" w:themeColor="text1"/>
          <w:szCs w:val="24"/>
          <w:lang w:eastAsia="en-US"/>
        </w:rPr>
      </w:pPr>
      <w:r w:rsidRPr="007B611F">
        <w:rPr>
          <w:rFonts w:eastAsia="Calibri"/>
          <w:b/>
          <w:color w:val="000000" w:themeColor="text1"/>
          <w:szCs w:val="24"/>
          <w:lang w:eastAsia="en-US"/>
        </w:rPr>
        <w:t xml:space="preserve">4.2.1 Relação entre </w:t>
      </w:r>
      <w:proofErr w:type="gramStart"/>
      <w:r w:rsidRPr="007B611F">
        <w:rPr>
          <w:rFonts w:eastAsia="Calibri"/>
          <w:b/>
          <w:color w:val="000000" w:themeColor="text1"/>
          <w:szCs w:val="24"/>
          <w:lang w:eastAsia="en-US"/>
        </w:rPr>
        <w:t>a variável dependente Endividamento</w:t>
      </w:r>
      <w:proofErr w:type="gramEnd"/>
      <w:r w:rsidRPr="007B611F">
        <w:rPr>
          <w:rFonts w:eastAsia="Calibri"/>
          <w:b/>
          <w:color w:val="000000" w:themeColor="text1"/>
          <w:szCs w:val="24"/>
          <w:lang w:eastAsia="en-US"/>
        </w:rPr>
        <w:t xml:space="preserve"> e as variáveis explicativas</w:t>
      </w:r>
    </w:p>
    <w:p w:rsidR="007C3C21" w:rsidRPr="007B611F" w:rsidRDefault="00592E70" w:rsidP="007C3C21">
      <w:pPr>
        <w:widowControl/>
        <w:suppressLineNumbers w:val="0"/>
        <w:suppressAutoHyphens w:val="0"/>
        <w:spacing w:after="160" w:line="256" w:lineRule="auto"/>
        <w:rPr>
          <w:rFonts w:eastAsia="Calibri"/>
          <w:color w:val="000000" w:themeColor="text1"/>
          <w:szCs w:val="24"/>
          <w:lang w:eastAsia="en-US"/>
        </w:rPr>
      </w:pPr>
      <w:r w:rsidRPr="007B611F">
        <w:rPr>
          <w:rFonts w:eastAsia="Calibri"/>
          <w:color w:val="000000" w:themeColor="text1"/>
          <w:szCs w:val="24"/>
          <w:lang w:eastAsia="en-US"/>
        </w:rPr>
        <w:t>A Tabela 3</w:t>
      </w:r>
      <w:r w:rsidR="007C3C21" w:rsidRPr="007B611F">
        <w:rPr>
          <w:rFonts w:eastAsia="Calibri"/>
          <w:color w:val="000000" w:themeColor="text1"/>
          <w:szCs w:val="24"/>
          <w:lang w:eastAsia="en-US"/>
        </w:rPr>
        <w:t xml:space="preserve"> exibe de maneira resumida o resultado da regressão linear múltipla:</w:t>
      </w:r>
    </w:p>
    <w:p w:rsidR="007C3C21" w:rsidRPr="008814E9" w:rsidRDefault="00592E70" w:rsidP="00677295">
      <w:pPr>
        <w:widowControl/>
        <w:suppressLineNumbers w:val="0"/>
        <w:suppressAutoHyphens w:val="0"/>
        <w:spacing w:line="257" w:lineRule="auto"/>
        <w:ind w:firstLine="0"/>
        <w:jc w:val="left"/>
        <w:rPr>
          <w:rFonts w:eastAsia="Calibri"/>
          <w:color w:val="000000" w:themeColor="text1"/>
          <w:sz w:val="20"/>
          <w:lang w:eastAsia="en-US"/>
        </w:rPr>
      </w:pPr>
      <w:r w:rsidRPr="008814E9">
        <w:rPr>
          <w:rFonts w:eastAsia="Calibri"/>
          <w:color w:val="000000" w:themeColor="text1"/>
          <w:sz w:val="20"/>
          <w:lang w:eastAsia="en-US"/>
        </w:rPr>
        <w:t>Tabela 3</w:t>
      </w:r>
      <w:r w:rsidR="007C3C21" w:rsidRPr="008814E9">
        <w:rPr>
          <w:rFonts w:eastAsia="Calibri"/>
          <w:b/>
          <w:color w:val="000000" w:themeColor="text1"/>
          <w:sz w:val="20"/>
          <w:lang w:eastAsia="en-US"/>
        </w:rPr>
        <w:t>.</w:t>
      </w:r>
      <w:r w:rsidR="007C3C21" w:rsidRPr="008814E9">
        <w:rPr>
          <w:rFonts w:eastAsia="Calibri"/>
          <w:color w:val="000000" w:themeColor="text1"/>
          <w:sz w:val="20"/>
          <w:lang w:eastAsia="en-US"/>
        </w:rPr>
        <w:t xml:space="preserve"> Resultados da regressão</w:t>
      </w:r>
      <w:r w:rsidR="007C3C21" w:rsidRPr="008814E9">
        <w:rPr>
          <w:rFonts w:eastAsia="Calibri"/>
          <w:color w:val="000000" w:themeColor="text1"/>
          <w:sz w:val="20"/>
          <w:lang w:eastAsia="en-US"/>
        </w:rPr>
        <w:fldChar w:fldCharType="begin"/>
      </w:r>
      <w:r w:rsidR="007C3C21" w:rsidRPr="008814E9">
        <w:rPr>
          <w:rFonts w:eastAsia="Calibri"/>
          <w:color w:val="000000" w:themeColor="text1"/>
          <w:sz w:val="20"/>
          <w:lang w:eastAsia="en-US"/>
        </w:rPr>
        <w:instrText xml:space="preserve"> LINK Excel.Sheet.12 C:\\Users\\Caio\\Desktop\\basestatafinanças2.xlsx Plan2!L3C2:L10C6 \a \f 4 \h  \* MERGEFORMAT </w:instrText>
      </w:r>
      <w:r w:rsidR="007C3C21" w:rsidRPr="008814E9">
        <w:rPr>
          <w:rFonts w:eastAsia="Calibri"/>
          <w:color w:val="000000" w:themeColor="text1"/>
          <w:sz w:val="20"/>
          <w:lang w:eastAsia="en-US"/>
        </w:rPr>
        <w:fldChar w:fldCharType="separate"/>
      </w:r>
    </w:p>
    <w:tbl>
      <w:tblPr>
        <w:tblW w:w="9132" w:type="dxa"/>
        <w:tblInd w:w="70" w:type="dxa"/>
        <w:tblCellMar>
          <w:left w:w="70" w:type="dxa"/>
          <w:right w:w="70" w:type="dxa"/>
        </w:tblCellMar>
        <w:tblLook w:val="04A0" w:firstRow="1" w:lastRow="0" w:firstColumn="1" w:lastColumn="0" w:noHBand="0" w:noVBand="1"/>
      </w:tblPr>
      <w:tblGrid>
        <w:gridCol w:w="2956"/>
        <w:gridCol w:w="1826"/>
        <w:gridCol w:w="1418"/>
        <w:gridCol w:w="1418"/>
        <w:gridCol w:w="1514"/>
      </w:tblGrid>
      <w:tr w:rsidR="007B611F" w:rsidRPr="008814E9" w:rsidTr="007C3C21">
        <w:trPr>
          <w:trHeight w:val="307"/>
        </w:trPr>
        <w:tc>
          <w:tcPr>
            <w:tcW w:w="2956" w:type="dxa"/>
            <w:tcBorders>
              <w:top w:val="single" w:sz="4" w:space="0" w:color="auto"/>
              <w:left w:val="nil"/>
              <w:bottom w:val="single" w:sz="4" w:space="0" w:color="auto"/>
              <w:right w:val="nil"/>
            </w:tcBorders>
            <w:noWrap/>
            <w:vAlign w:val="bottom"/>
            <w:hideMark/>
          </w:tcPr>
          <w:p w:rsidR="007C3C21" w:rsidRPr="008814E9" w:rsidRDefault="007C3C21" w:rsidP="007C3C21">
            <w:pPr>
              <w:widowControl/>
              <w:suppressLineNumbers w:val="0"/>
              <w:suppressAutoHyphens w:val="0"/>
              <w:ind w:firstLine="0"/>
              <w:jc w:val="left"/>
              <w:rPr>
                <w:b/>
                <w:bCs/>
                <w:color w:val="000000" w:themeColor="text1"/>
                <w:sz w:val="20"/>
              </w:rPr>
            </w:pPr>
            <w:r w:rsidRPr="008814E9">
              <w:rPr>
                <w:b/>
                <w:bCs/>
                <w:color w:val="000000" w:themeColor="text1"/>
                <w:sz w:val="20"/>
              </w:rPr>
              <w:t>Variável</w:t>
            </w:r>
          </w:p>
        </w:tc>
        <w:tc>
          <w:tcPr>
            <w:tcW w:w="1826" w:type="dxa"/>
            <w:tcBorders>
              <w:top w:val="single" w:sz="4" w:space="0" w:color="auto"/>
              <w:left w:val="nil"/>
              <w:bottom w:val="single" w:sz="4" w:space="0" w:color="auto"/>
              <w:right w:val="nil"/>
            </w:tcBorders>
            <w:noWrap/>
            <w:vAlign w:val="bottom"/>
            <w:hideMark/>
          </w:tcPr>
          <w:p w:rsidR="007C3C21" w:rsidRPr="008814E9" w:rsidRDefault="007C3C21" w:rsidP="007C3C21">
            <w:pPr>
              <w:widowControl/>
              <w:suppressLineNumbers w:val="0"/>
              <w:suppressAutoHyphens w:val="0"/>
              <w:ind w:firstLine="0"/>
              <w:jc w:val="left"/>
              <w:rPr>
                <w:b/>
                <w:bCs/>
                <w:color w:val="000000" w:themeColor="text1"/>
                <w:sz w:val="20"/>
              </w:rPr>
            </w:pPr>
            <w:r w:rsidRPr="008814E9">
              <w:rPr>
                <w:b/>
                <w:bCs/>
                <w:color w:val="000000" w:themeColor="text1"/>
                <w:sz w:val="20"/>
              </w:rPr>
              <w:t>Coeficientes (β)</w:t>
            </w:r>
          </w:p>
        </w:tc>
        <w:tc>
          <w:tcPr>
            <w:tcW w:w="1418" w:type="dxa"/>
            <w:tcBorders>
              <w:top w:val="single" w:sz="4" w:space="0" w:color="auto"/>
              <w:left w:val="nil"/>
              <w:bottom w:val="single" w:sz="4" w:space="0" w:color="auto"/>
              <w:right w:val="nil"/>
            </w:tcBorders>
            <w:noWrap/>
            <w:vAlign w:val="bottom"/>
            <w:hideMark/>
          </w:tcPr>
          <w:p w:rsidR="007C3C21" w:rsidRPr="008814E9" w:rsidRDefault="007C3C21" w:rsidP="007C3C21">
            <w:pPr>
              <w:widowControl/>
              <w:suppressLineNumbers w:val="0"/>
              <w:suppressAutoHyphens w:val="0"/>
              <w:ind w:firstLine="0"/>
              <w:jc w:val="left"/>
              <w:rPr>
                <w:b/>
                <w:bCs/>
                <w:color w:val="000000" w:themeColor="text1"/>
                <w:sz w:val="20"/>
              </w:rPr>
            </w:pPr>
            <w:r w:rsidRPr="008814E9">
              <w:rPr>
                <w:b/>
                <w:bCs/>
                <w:color w:val="000000" w:themeColor="text1"/>
                <w:sz w:val="20"/>
              </w:rPr>
              <w:t>Erro Padrão</w:t>
            </w:r>
          </w:p>
        </w:tc>
        <w:tc>
          <w:tcPr>
            <w:tcW w:w="1418" w:type="dxa"/>
            <w:tcBorders>
              <w:top w:val="single" w:sz="4" w:space="0" w:color="auto"/>
              <w:left w:val="nil"/>
              <w:bottom w:val="single" w:sz="4" w:space="0" w:color="auto"/>
              <w:right w:val="nil"/>
            </w:tcBorders>
            <w:noWrap/>
            <w:vAlign w:val="bottom"/>
            <w:hideMark/>
          </w:tcPr>
          <w:p w:rsidR="007C3C21" w:rsidRPr="008814E9" w:rsidRDefault="007C3C21" w:rsidP="007C3C21">
            <w:pPr>
              <w:widowControl/>
              <w:suppressLineNumbers w:val="0"/>
              <w:suppressAutoHyphens w:val="0"/>
              <w:ind w:firstLine="0"/>
              <w:jc w:val="center"/>
              <w:rPr>
                <w:b/>
                <w:bCs/>
                <w:color w:val="000000" w:themeColor="text1"/>
                <w:sz w:val="20"/>
              </w:rPr>
            </w:pPr>
            <w:r w:rsidRPr="008814E9">
              <w:rPr>
                <w:b/>
                <w:bCs/>
                <w:color w:val="000000" w:themeColor="text1"/>
                <w:sz w:val="20"/>
              </w:rPr>
              <w:t>Estatística t</w:t>
            </w:r>
          </w:p>
        </w:tc>
        <w:tc>
          <w:tcPr>
            <w:tcW w:w="1514" w:type="dxa"/>
            <w:tcBorders>
              <w:top w:val="single" w:sz="4" w:space="0" w:color="auto"/>
              <w:left w:val="nil"/>
              <w:bottom w:val="single" w:sz="4" w:space="0" w:color="auto"/>
              <w:right w:val="nil"/>
            </w:tcBorders>
            <w:noWrap/>
            <w:vAlign w:val="bottom"/>
            <w:hideMark/>
          </w:tcPr>
          <w:p w:rsidR="007C3C21" w:rsidRPr="008814E9" w:rsidRDefault="007C3C21" w:rsidP="007C3C21">
            <w:pPr>
              <w:widowControl/>
              <w:suppressLineNumbers w:val="0"/>
              <w:suppressAutoHyphens w:val="0"/>
              <w:ind w:firstLine="0"/>
              <w:jc w:val="center"/>
              <w:rPr>
                <w:b/>
                <w:bCs/>
                <w:color w:val="000000" w:themeColor="text1"/>
                <w:sz w:val="20"/>
              </w:rPr>
            </w:pPr>
            <w:r w:rsidRPr="008814E9">
              <w:rPr>
                <w:b/>
                <w:bCs/>
                <w:color w:val="000000" w:themeColor="text1"/>
                <w:sz w:val="20"/>
              </w:rPr>
              <w:t xml:space="preserve">p </w:t>
            </w:r>
            <w:proofErr w:type="gramStart"/>
            <w:r w:rsidRPr="008814E9">
              <w:rPr>
                <w:b/>
                <w:bCs/>
                <w:color w:val="000000" w:themeColor="text1"/>
                <w:sz w:val="20"/>
              </w:rPr>
              <w:t>-valor</w:t>
            </w:r>
            <w:proofErr w:type="gramEnd"/>
          </w:p>
        </w:tc>
      </w:tr>
      <w:tr w:rsidR="007B611F" w:rsidRPr="008814E9" w:rsidTr="007C3C21">
        <w:trPr>
          <w:trHeight w:val="307"/>
        </w:trPr>
        <w:tc>
          <w:tcPr>
            <w:tcW w:w="2956" w:type="dxa"/>
            <w:noWrap/>
            <w:vAlign w:val="bottom"/>
            <w:hideMark/>
          </w:tcPr>
          <w:p w:rsidR="007C3C21" w:rsidRPr="008814E9" w:rsidRDefault="007C3C21" w:rsidP="007C3C21">
            <w:pPr>
              <w:widowControl/>
              <w:suppressLineNumbers w:val="0"/>
              <w:suppressAutoHyphens w:val="0"/>
              <w:ind w:firstLine="0"/>
              <w:jc w:val="left"/>
              <w:rPr>
                <w:color w:val="000000" w:themeColor="text1"/>
                <w:sz w:val="20"/>
              </w:rPr>
            </w:pPr>
            <w:r w:rsidRPr="008814E9">
              <w:rPr>
                <w:color w:val="000000" w:themeColor="text1"/>
                <w:sz w:val="20"/>
              </w:rPr>
              <w:t>Despesas com Pessoal</w:t>
            </w:r>
          </w:p>
        </w:tc>
        <w:tc>
          <w:tcPr>
            <w:tcW w:w="1826"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1.223</w:t>
            </w:r>
          </w:p>
        </w:tc>
        <w:tc>
          <w:tcPr>
            <w:tcW w:w="1418"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0.1213449</w:t>
            </w:r>
          </w:p>
        </w:tc>
        <w:tc>
          <w:tcPr>
            <w:tcW w:w="1418"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10.08</w:t>
            </w:r>
          </w:p>
        </w:tc>
        <w:tc>
          <w:tcPr>
            <w:tcW w:w="1514"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0.000*</w:t>
            </w:r>
          </w:p>
        </w:tc>
      </w:tr>
      <w:tr w:rsidR="007B611F" w:rsidRPr="008814E9" w:rsidTr="007C3C21">
        <w:trPr>
          <w:trHeight w:val="307"/>
        </w:trPr>
        <w:tc>
          <w:tcPr>
            <w:tcW w:w="2956" w:type="dxa"/>
            <w:noWrap/>
            <w:vAlign w:val="bottom"/>
            <w:hideMark/>
          </w:tcPr>
          <w:p w:rsidR="007C3C21" w:rsidRPr="008814E9" w:rsidRDefault="007C3C21" w:rsidP="007C3C21">
            <w:pPr>
              <w:widowControl/>
              <w:suppressLineNumbers w:val="0"/>
              <w:suppressAutoHyphens w:val="0"/>
              <w:ind w:firstLine="0"/>
              <w:jc w:val="left"/>
              <w:rPr>
                <w:color w:val="000000" w:themeColor="text1"/>
                <w:sz w:val="20"/>
              </w:rPr>
            </w:pPr>
            <w:r w:rsidRPr="008814E9">
              <w:rPr>
                <w:color w:val="000000" w:themeColor="text1"/>
                <w:sz w:val="20"/>
              </w:rPr>
              <w:t>Endividamento defasado</w:t>
            </w:r>
          </w:p>
        </w:tc>
        <w:tc>
          <w:tcPr>
            <w:tcW w:w="1826"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0.1425578</w:t>
            </w:r>
          </w:p>
        </w:tc>
        <w:tc>
          <w:tcPr>
            <w:tcW w:w="1418"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0.0409024</w:t>
            </w:r>
          </w:p>
        </w:tc>
        <w:tc>
          <w:tcPr>
            <w:tcW w:w="1418"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3.49</w:t>
            </w:r>
          </w:p>
        </w:tc>
        <w:tc>
          <w:tcPr>
            <w:tcW w:w="1514"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0.001*</w:t>
            </w:r>
          </w:p>
        </w:tc>
      </w:tr>
      <w:tr w:rsidR="007B611F" w:rsidRPr="008814E9" w:rsidTr="007C3C21">
        <w:trPr>
          <w:trHeight w:val="307"/>
        </w:trPr>
        <w:tc>
          <w:tcPr>
            <w:tcW w:w="2956" w:type="dxa"/>
            <w:noWrap/>
            <w:vAlign w:val="bottom"/>
            <w:hideMark/>
          </w:tcPr>
          <w:p w:rsidR="007C3C21" w:rsidRPr="008814E9" w:rsidRDefault="007C3C21" w:rsidP="007C3C21">
            <w:pPr>
              <w:widowControl/>
              <w:suppressLineNumbers w:val="0"/>
              <w:suppressAutoHyphens w:val="0"/>
              <w:ind w:firstLine="0"/>
              <w:jc w:val="left"/>
              <w:rPr>
                <w:color w:val="000000" w:themeColor="text1"/>
                <w:sz w:val="20"/>
              </w:rPr>
            </w:pPr>
            <w:r w:rsidRPr="008814E9">
              <w:rPr>
                <w:color w:val="000000" w:themeColor="text1"/>
                <w:sz w:val="20"/>
              </w:rPr>
              <w:t>Grau de dependência</w:t>
            </w:r>
          </w:p>
        </w:tc>
        <w:tc>
          <w:tcPr>
            <w:tcW w:w="1826"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-0.0759652</w:t>
            </w:r>
          </w:p>
        </w:tc>
        <w:tc>
          <w:tcPr>
            <w:tcW w:w="1418"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0.0745324</w:t>
            </w:r>
          </w:p>
        </w:tc>
        <w:tc>
          <w:tcPr>
            <w:tcW w:w="1418"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-1.02</w:t>
            </w:r>
          </w:p>
        </w:tc>
        <w:tc>
          <w:tcPr>
            <w:tcW w:w="1514"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0.31</w:t>
            </w:r>
          </w:p>
        </w:tc>
      </w:tr>
      <w:tr w:rsidR="007B611F" w:rsidRPr="008814E9" w:rsidTr="007C3C21">
        <w:trPr>
          <w:trHeight w:val="307"/>
        </w:trPr>
        <w:tc>
          <w:tcPr>
            <w:tcW w:w="2956" w:type="dxa"/>
            <w:noWrap/>
            <w:vAlign w:val="bottom"/>
            <w:hideMark/>
          </w:tcPr>
          <w:p w:rsidR="007C3C21" w:rsidRPr="008814E9" w:rsidRDefault="007C3C21" w:rsidP="007C3C21">
            <w:pPr>
              <w:widowControl/>
              <w:suppressLineNumbers w:val="0"/>
              <w:suppressAutoHyphens w:val="0"/>
              <w:ind w:firstLine="0"/>
              <w:jc w:val="left"/>
              <w:rPr>
                <w:color w:val="000000" w:themeColor="text1"/>
                <w:sz w:val="20"/>
              </w:rPr>
            </w:pPr>
            <w:r w:rsidRPr="008814E9">
              <w:rPr>
                <w:color w:val="000000" w:themeColor="text1"/>
                <w:sz w:val="20"/>
              </w:rPr>
              <w:t>Eleições</w:t>
            </w:r>
          </w:p>
        </w:tc>
        <w:tc>
          <w:tcPr>
            <w:tcW w:w="1826"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-0.0422445</w:t>
            </w:r>
          </w:p>
        </w:tc>
        <w:tc>
          <w:tcPr>
            <w:tcW w:w="1418"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0.0179633</w:t>
            </w:r>
          </w:p>
        </w:tc>
        <w:tc>
          <w:tcPr>
            <w:tcW w:w="1418"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-2.35</w:t>
            </w:r>
          </w:p>
        </w:tc>
        <w:tc>
          <w:tcPr>
            <w:tcW w:w="1514"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0.02*</w:t>
            </w:r>
          </w:p>
        </w:tc>
      </w:tr>
      <w:tr w:rsidR="007B611F" w:rsidRPr="008814E9" w:rsidTr="007C3C21">
        <w:trPr>
          <w:trHeight w:val="307"/>
        </w:trPr>
        <w:tc>
          <w:tcPr>
            <w:tcW w:w="2956" w:type="dxa"/>
            <w:noWrap/>
            <w:vAlign w:val="bottom"/>
            <w:hideMark/>
          </w:tcPr>
          <w:p w:rsidR="007C3C21" w:rsidRPr="008814E9" w:rsidRDefault="007C3C21" w:rsidP="007C3C21">
            <w:pPr>
              <w:widowControl/>
              <w:suppressLineNumbers w:val="0"/>
              <w:suppressAutoHyphens w:val="0"/>
              <w:ind w:firstLine="0"/>
              <w:jc w:val="left"/>
              <w:rPr>
                <w:color w:val="000000" w:themeColor="text1"/>
                <w:sz w:val="20"/>
              </w:rPr>
            </w:pPr>
            <w:r w:rsidRPr="008814E9">
              <w:rPr>
                <w:color w:val="000000" w:themeColor="text1"/>
                <w:sz w:val="20"/>
              </w:rPr>
              <w:t>PIB per capita</w:t>
            </w:r>
          </w:p>
        </w:tc>
        <w:tc>
          <w:tcPr>
            <w:tcW w:w="1826"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-0.0006345</w:t>
            </w:r>
          </w:p>
        </w:tc>
        <w:tc>
          <w:tcPr>
            <w:tcW w:w="1418"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0.0217377</w:t>
            </w:r>
          </w:p>
        </w:tc>
        <w:tc>
          <w:tcPr>
            <w:tcW w:w="1418"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-0.03</w:t>
            </w:r>
          </w:p>
        </w:tc>
        <w:tc>
          <w:tcPr>
            <w:tcW w:w="1514"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0.977</w:t>
            </w:r>
          </w:p>
        </w:tc>
      </w:tr>
      <w:tr w:rsidR="007B611F" w:rsidRPr="008814E9" w:rsidTr="007C3C21">
        <w:trPr>
          <w:trHeight w:val="323"/>
        </w:trPr>
        <w:tc>
          <w:tcPr>
            <w:tcW w:w="2956" w:type="dxa"/>
            <w:noWrap/>
            <w:vAlign w:val="bottom"/>
            <w:hideMark/>
          </w:tcPr>
          <w:p w:rsidR="007C3C21" w:rsidRPr="008814E9" w:rsidRDefault="007C3C21" w:rsidP="007C3C21">
            <w:pPr>
              <w:widowControl/>
              <w:suppressLineNumbers w:val="0"/>
              <w:suppressAutoHyphens w:val="0"/>
              <w:ind w:firstLine="0"/>
              <w:jc w:val="left"/>
              <w:rPr>
                <w:color w:val="000000" w:themeColor="text1"/>
                <w:sz w:val="20"/>
              </w:rPr>
            </w:pPr>
            <w:r w:rsidRPr="008814E9">
              <w:rPr>
                <w:color w:val="000000" w:themeColor="text1"/>
                <w:sz w:val="20"/>
              </w:rPr>
              <w:t>Taxa Real de Juros</w:t>
            </w:r>
          </w:p>
        </w:tc>
        <w:tc>
          <w:tcPr>
            <w:tcW w:w="1826"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-0.0306449</w:t>
            </w:r>
          </w:p>
        </w:tc>
        <w:tc>
          <w:tcPr>
            <w:tcW w:w="1418"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0.2811348</w:t>
            </w:r>
          </w:p>
        </w:tc>
        <w:tc>
          <w:tcPr>
            <w:tcW w:w="1418"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-0.11</w:t>
            </w:r>
          </w:p>
        </w:tc>
        <w:tc>
          <w:tcPr>
            <w:tcW w:w="1514" w:type="dxa"/>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0.913</w:t>
            </w:r>
          </w:p>
        </w:tc>
      </w:tr>
      <w:tr w:rsidR="007B611F" w:rsidRPr="008814E9" w:rsidTr="007C3C21">
        <w:trPr>
          <w:trHeight w:val="323"/>
        </w:trPr>
        <w:tc>
          <w:tcPr>
            <w:tcW w:w="2956" w:type="dxa"/>
            <w:tcBorders>
              <w:top w:val="nil"/>
              <w:left w:val="nil"/>
              <w:bottom w:val="single" w:sz="4" w:space="0" w:color="auto"/>
              <w:right w:val="nil"/>
            </w:tcBorders>
            <w:noWrap/>
            <w:vAlign w:val="bottom"/>
            <w:hideMark/>
          </w:tcPr>
          <w:p w:rsidR="007C3C21" w:rsidRPr="008814E9" w:rsidRDefault="007C3C21" w:rsidP="007C3C21">
            <w:pPr>
              <w:widowControl/>
              <w:suppressLineNumbers w:val="0"/>
              <w:suppressAutoHyphens w:val="0"/>
              <w:ind w:firstLine="0"/>
              <w:jc w:val="left"/>
              <w:rPr>
                <w:color w:val="000000" w:themeColor="text1"/>
                <w:sz w:val="20"/>
              </w:rPr>
            </w:pPr>
            <w:r w:rsidRPr="008814E9">
              <w:rPr>
                <w:color w:val="000000" w:themeColor="text1"/>
                <w:sz w:val="20"/>
              </w:rPr>
              <w:t>Constante</w:t>
            </w:r>
          </w:p>
        </w:tc>
        <w:tc>
          <w:tcPr>
            <w:tcW w:w="1826" w:type="dxa"/>
            <w:tcBorders>
              <w:top w:val="nil"/>
              <w:left w:val="nil"/>
              <w:bottom w:val="single" w:sz="4" w:space="0" w:color="auto"/>
              <w:right w:val="nil"/>
            </w:tcBorders>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0.3227691</w:t>
            </w:r>
          </w:p>
        </w:tc>
        <w:tc>
          <w:tcPr>
            <w:tcW w:w="1418" w:type="dxa"/>
            <w:tcBorders>
              <w:top w:val="nil"/>
              <w:left w:val="nil"/>
              <w:bottom w:val="single" w:sz="4" w:space="0" w:color="auto"/>
              <w:right w:val="nil"/>
            </w:tcBorders>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0.2453493</w:t>
            </w:r>
          </w:p>
        </w:tc>
        <w:tc>
          <w:tcPr>
            <w:tcW w:w="1418" w:type="dxa"/>
            <w:tcBorders>
              <w:top w:val="nil"/>
              <w:left w:val="nil"/>
              <w:bottom w:val="single" w:sz="4" w:space="0" w:color="auto"/>
              <w:right w:val="nil"/>
            </w:tcBorders>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1.32</w:t>
            </w:r>
          </w:p>
        </w:tc>
        <w:tc>
          <w:tcPr>
            <w:tcW w:w="1514" w:type="dxa"/>
            <w:tcBorders>
              <w:top w:val="nil"/>
              <w:left w:val="nil"/>
              <w:bottom w:val="single" w:sz="4" w:space="0" w:color="auto"/>
              <w:right w:val="nil"/>
            </w:tcBorders>
            <w:noWrap/>
            <w:vAlign w:val="bottom"/>
            <w:hideMark/>
          </w:tcPr>
          <w:p w:rsidR="007C3C21" w:rsidRPr="008814E9" w:rsidRDefault="007C3C21" w:rsidP="007C3C21">
            <w:pPr>
              <w:widowControl/>
              <w:suppressLineNumbers w:val="0"/>
              <w:suppressAutoHyphens w:val="0"/>
              <w:ind w:firstLine="0"/>
              <w:jc w:val="right"/>
              <w:rPr>
                <w:color w:val="000000" w:themeColor="text1"/>
                <w:sz w:val="20"/>
              </w:rPr>
            </w:pPr>
            <w:r w:rsidRPr="008814E9">
              <w:rPr>
                <w:color w:val="000000" w:themeColor="text1"/>
                <w:sz w:val="20"/>
              </w:rPr>
              <w:t>0.19</w:t>
            </w:r>
          </w:p>
        </w:tc>
      </w:tr>
    </w:tbl>
    <w:p w:rsidR="007C3C21" w:rsidRPr="007B611F" w:rsidRDefault="007C3C21" w:rsidP="007C3C21">
      <w:pPr>
        <w:widowControl/>
        <w:suppressLineNumbers w:val="0"/>
        <w:suppressAutoHyphens w:val="0"/>
        <w:spacing w:line="256" w:lineRule="auto"/>
        <w:ind w:firstLine="0"/>
        <w:rPr>
          <w:rFonts w:eastAsia="Calibri"/>
          <w:color w:val="000000" w:themeColor="text1"/>
          <w:sz w:val="20"/>
          <w:lang w:eastAsia="en-US"/>
        </w:rPr>
      </w:pPr>
      <w:r w:rsidRPr="008814E9">
        <w:rPr>
          <w:rFonts w:eastAsia="Calibri"/>
          <w:color w:val="000000" w:themeColor="text1"/>
          <w:sz w:val="20"/>
          <w:lang w:eastAsia="en-US"/>
        </w:rPr>
        <w:fldChar w:fldCharType="end"/>
      </w:r>
      <w:r w:rsidRPr="007B611F">
        <w:rPr>
          <w:rFonts w:eastAsia="Calibri"/>
          <w:color w:val="000000" w:themeColor="text1"/>
          <w:sz w:val="20"/>
          <w:lang w:eastAsia="en-US"/>
        </w:rPr>
        <w:t>*Correlação estatisticamente significativa</w:t>
      </w:r>
    </w:p>
    <w:p w:rsidR="007C3C21" w:rsidRPr="007B611F" w:rsidRDefault="007C3C21" w:rsidP="007C3C21">
      <w:pPr>
        <w:widowControl/>
        <w:suppressLineNumbers w:val="0"/>
        <w:suppressAutoHyphens w:val="0"/>
        <w:spacing w:line="256" w:lineRule="auto"/>
        <w:ind w:firstLine="0"/>
        <w:rPr>
          <w:rFonts w:eastAsia="Calibri"/>
          <w:color w:val="000000" w:themeColor="text1"/>
          <w:sz w:val="20"/>
          <w:lang w:eastAsia="en-US"/>
        </w:rPr>
      </w:pPr>
      <w:r w:rsidRPr="007B611F">
        <w:rPr>
          <w:rFonts w:eastAsia="Calibri"/>
          <w:color w:val="000000" w:themeColor="text1"/>
          <w:sz w:val="20"/>
          <w:lang w:eastAsia="en-US"/>
        </w:rPr>
        <w:t>Fonte: Dados da pesquisa</w:t>
      </w:r>
    </w:p>
    <w:p w:rsidR="007C3C21" w:rsidRPr="007B611F" w:rsidRDefault="007C3C21" w:rsidP="007C3C21">
      <w:pPr>
        <w:widowControl/>
        <w:suppressLineNumbers w:val="0"/>
        <w:suppressAutoHyphens w:val="0"/>
        <w:spacing w:line="256" w:lineRule="auto"/>
        <w:ind w:firstLine="0"/>
        <w:rPr>
          <w:rFonts w:eastAsia="Calibri"/>
          <w:color w:val="000000" w:themeColor="text1"/>
          <w:sz w:val="20"/>
          <w:lang w:eastAsia="en-US"/>
        </w:rPr>
      </w:pPr>
    </w:p>
    <w:p w:rsidR="007C3C21" w:rsidRPr="007B611F" w:rsidRDefault="007C3C21"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lang w:eastAsia="en-US"/>
        </w:rPr>
        <w:t xml:space="preserve">O teste foi realizado com um total de cento e oitenta e duas observações, sendo que o modelo proposto apresentou um poder explicativo de 48,73%, </w:t>
      </w:r>
      <w:proofErr w:type="gramStart"/>
      <w:r w:rsidRPr="007B611F">
        <w:rPr>
          <w:rFonts w:eastAsia="Calibri"/>
          <w:color w:val="000000" w:themeColor="text1"/>
          <w:szCs w:val="24"/>
          <w:lang w:eastAsia="en-US"/>
        </w:rPr>
        <w:t>haja visto</w:t>
      </w:r>
      <w:proofErr w:type="gramEnd"/>
      <w:r w:rsidRPr="007B611F">
        <w:rPr>
          <w:rFonts w:eastAsia="Calibri"/>
          <w:color w:val="000000" w:themeColor="text1"/>
          <w:szCs w:val="24"/>
          <w:lang w:eastAsia="en-US"/>
        </w:rPr>
        <w:t xml:space="preserve"> que o seu coeficiente de R² foi de 0,4873. O modelo apresentou alguns resultados expressivos, sem problemas de </w:t>
      </w:r>
      <w:proofErr w:type="spellStart"/>
      <w:r w:rsidRPr="007B611F">
        <w:rPr>
          <w:rFonts w:eastAsia="Calibri"/>
          <w:color w:val="000000" w:themeColor="text1"/>
          <w:szCs w:val="24"/>
          <w:lang w:eastAsia="en-US"/>
        </w:rPr>
        <w:t>heterocedasticidade</w:t>
      </w:r>
      <w:proofErr w:type="spellEnd"/>
      <w:r w:rsidRPr="007B611F">
        <w:rPr>
          <w:rFonts w:eastAsia="Calibri"/>
          <w:color w:val="000000" w:themeColor="text1"/>
          <w:szCs w:val="24"/>
          <w:lang w:eastAsia="en-US"/>
        </w:rPr>
        <w:t xml:space="preserve"> ou </w:t>
      </w:r>
      <w:proofErr w:type="spellStart"/>
      <w:r w:rsidRPr="007B611F">
        <w:rPr>
          <w:rFonts w:eastAsia="Calibri"/>
          <w:color w:val="000000" w:themeColor="text1"/>
          <w:szCs w:val="24"/>
          <w:lang w:eastAsia="en-US"/>
        </w:rPr>
        <w:t>multicolineariedade</w:t>
      </w:r>
      <w:proofErr w:type="spellEnd"/>
      <w:r w:rsidRPr="007B611F">
        <w:rPr>
          <w:rFonts w:eastAsia="Calibri"/>
          <w:color w:val="000000" w:themeColor="text1"/>
          <w:szCs w:val="24"/>
          <w:lang w:eastAsia="en-US"/>
        </w:rPr>
        <w:t xml:space="preserve">, e confirmou a hipótese de significância geral, de modo que </w:t>
      </w:r>
      <w:proofErr w:type="gramStart"/>
      <w:r w:rsidRPr="007B611F">
        <w:rPr>
          <w:rFonts w:eastAsia="Calibri"/>
          <w:color w:val="000000" w:themeColor="text1"/>
          <w:szCs w:val="24"/>
          <w:lang w:eastAsia="en-US"/>
        </w:rPr>
        <w:t>considera-se</w:t>
      </w:r>
      <w:proofErr w:type="gramEnd"/>
      <w:r w:rsidRPr="007B611F">
        <w:rPr>
          <w:rFonts w:eastAsia="Calibri"/>
          <w:color w:val="000000" w:themeColor="text1"/>
          <w:szCs w:val="24"/>
          <w:lang w:eastAsia="en-US"/>
        </w:rPr>
        <w:t xml:space="preserve"> o mesmo estatisticamente significante.</w:t>
      </w:r>
    </w:p>
    <w:p w:rsidR="007C3C21" w:rsidRPr="007B611F" w:rsidRDefault="007C3C21"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lang w:eastAsia="en-US"/>
        </w:rPr>
        <w:lastRenderedPageBreak/>
        <w:t>A partir daí, segue-se para a análise de cada variável separadamente, iniciando-se pelas despesas com pessoal, indicador que foi estatisticamente significante, uma vez que o seu p-valor de 0.000 foi menor que 0,05 ou 5%, e</w:t>
      </w:r>
      <w:proofErr w:type="gramStart"/>
      <w:r w:rsidRPr="007B611F">
        <w:rPr>
          <w:rFonts w:eastAsia="Calibri"/>
          <w:color w:val="000000" w:themeColor="text1"/>
          <w:szCs w:val="24"/>
          <w:lang w:eastAsia="en-US"/>
        </w:rPr>
        <w:t xml:space="preserve"> além disso</w:t>
      </w:r>
      <w:proofErr w:type="gramEnd"/>
      <w:r w:rsidRPr="007B611F">
        <w:rPr>
          <w:rFonts w:eastAsia="Calibri"/>
          <w:color w:val="000000" w:themeColor="text1"/>
          <w:szCs w:val="24"/>
          <w:lang w:eastAsia="en-US"/>
        </w:rPr>
        <w:t xml:space="preserve"> apresentou relação positiva com a variável dependente, indicando que os gastos com despesas de pessoal influenciam diretamente no aumento do endividamento dos municípios da região metropolitana de Goiânia analisados. Esses resultados corroboram achados de estudos similares como os de Macedo e </w:t>
      </w:r>
      <w:proofErr w:type="spellStart"/>
      <w:r w:rsidRPr="007B611F">
        <w:rPr>
          <w:rFonts w:eastAsia="Calibri"/>
          <w:color w:val="000000" w:themeColor="text1"/>
          <w:szCs w:val="24"/>
          <w:lang w:eastAsia="en-US"/>
        </w:rPr>
        <w:t>Corbari</w:t>
      </w:r>
      <w:proofErr w:type="spellEnd"/>
      <w:r w:rsidRPr="007B611F">
        <w:rPr>
          <w:rFonts w:eastAsia="Calibri"/>
          <w:color w:val="000000" w:themeColor="text1"/>
          <w:szCs w:val="24"/>
          <w:lang w:eastAsia="en-US"/>
        </w:rPr>
        <w:t xml:space="preserve"> (2009) e Linhares, Penna e Borges (2013).</w:t>
      </w:r>
    </w:p>
    <w:p w:rsidR="007C3C21" w:rsidRPr="007B611F" w:rsidRDefault="00592E70"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lang w:eastAsia="en-US"/>
        </w:rPr>
        <w:t>P</w:t>
      </w:r>
      <w:r w:rsidR="007C3C21" w:rsidRPr="007B611F">
        <w:rPr>
          <w:rFonts w:eastAsia="Calibri"/>
          <w:color w:val="000000" w:themeColor="text1"/>
          <w:szCs w:val="24"/>
          <w:lang w:eastAsia="en-US"/>
        </w:rPr>
        <w:t xml:space="preserve">ercebe-se que o endividamento defasado também se mostrou estatisticamente significante e com relação positiva com a variável dependente, também de maneira análoga ao apresentado por Macedo e </w:t>
      </w:r>
      <w:proofErr w:type="spellStart"/>
      <w:r w:rsidR="007C3C21" w:rsidRPr="007B611F">
        <w:rPr>
          <w:rFonts w:eastAsia="Calibri"/>
          <w:color w:val="000000" w:themeColor="text1"/>
          <w:szCs w:val="24"/>
          <w:lang w:eastAsia="en-US"/>
        </w:rPr>
        <w:t>Corbari</w:t>
      </w:r>
      <w:proofErr w:type="spellEnd"/>
      <w:r w:rsidR="007C3C21" w:rsidRPr="007B611F">
        <w:rPr>
          <w:rFonts w:eastAsia="Calibri"/>
          <w:color w:val="000000" w:themeColor="text1"/>
          <w:szCs w:val="24"/>
          <w:lang w:eastAsia="en-US"/>
        </w:rPr>
        <w:t xml:space="preserve"> (2009) e Linhares, Penna e Borges (2013), indicando que o endividamento de períodos anteriores influi diretamente no endividamento de períodos subsequentes, o que se deve em grande parte segundo </w:t>
      </w:r>
      <w:proofErr w:type="spellStart"/>
      <w:r w:rsidR="007C3C21" w:rsidRPr="007B611F">
        <w:rPr>
          <w:rFonts w:eastAsia="Calibri"/>
          <w:color w:val="000000" w:themeColor="text1"/>
          <w:szCs w:val="24"/>
          <w:lang w:eastAsia="en-US"/>
        </w:rPr>
        <w:t>Corbari</w:t>
      </w:r>
      <w:proofErr w:type="spellEnd"/>
      <w:r w:rsidR="007C3C21" w:rsidRPr="007B611F">
        <w:rPr>
          <w:rFonts w:eastAsia="Calibri"/>
          <w:color w:val="000000" w:themeColor="text1"/>
          <w:szCs w:val="24"/>
          <w:lang w:eastAsia="en-US"/>
        </w:rPr>
        <w:t xml:space="preserve"> (2008) à inércia considerável do endividamento público, que decorre principalmente devido ao prazo de liquidação das dívidas.</w:t>
      </w:r>
    </w:p>
    <w:p w:rsidR="007C3C21" w:rsidRPr="007B611F" w:rsidRDefault="007C3C21"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lang w:eastAsia="en-US"/>
        </w:rPr>
        <w:t xml:space="preserve">Quanto ao grau de dependência, o que se nota é que a variável não se mostrou estatisticamente significante, o que vem em contraponto aos estudos previamente citados nos quais esse indicador se mostrou relevante para explicar o endividamento de outros municípios brasileiros. No entanto, em outros estudos empíricos vinha-se observando resultados opostos aos esperados com base na literatura, uma vez que </w:t>
      </w:r>
      <w:proofErr w:type="gramStart"/>
      <w:r w:rsidRPr="007B611F">
        <w:rPr>
          <w:rFonts w:eastAsia="Calibri"/>
          <w:color w:val="000000" w:themeColor="text1"/>
          <w:szCs w:val="24"/>
          <w:lang w:eastAsia="en-US"/>
        </w:rPr>
        <w:t>entende-se</w:t>
      </w:r>
      <w:proofErr w:type="gramEnd"/>
      <w:r w:rsidRPr="007B611F">
        <w:rPr>
          <w:rFonts w:eastAsia="Calibri"/>
          <w:color w:val="000000" w:themeColor="text1"/>
          <w:szCs w:val="24"/>
          <w:lang w:eastAsia="en-US"/>
        </w:rPr>
        <w:t xml:space="preserve"> que municípios mais dependentes de transferência seriam </w:t>
      </w:r>
      <w:r w:rsidR="00592E70" w:rsidRPr="007B611F">
        <w:rPr>
          <w:rFonts w:eastAsia="Calibri"/>
          <w:color w:val="000000" w:themeColor="text1"/>
          <w:szCs w:val="24"/>
          <w:lang w:eastAsia="en-US"/>
        </w:rPr>
        <w:t>mais propensos a se endividarem.</w:t>
      </w:r>
      <w:r w:rsidRPr="007B611F">
        <w:rPr>
          <w:rFonts w:eastAsia="Calibri"/>
          <w:color w:val="000000" w:themeColor="text1"/>
          <w:szCs w:val="24"/>
          <w:lang w:eastAsia="en-US"/>
        </w:rPr>
        <w:t xml:space="preserve"> </w:t>
      </w:r>
      <w:r w:rsidR="00592E70" w:rsidRPr="007B611F">
        <w:rPr>
          <w:rFonts w:eastAsia="Calibri"/>
          <w:color w:val="000000" w:themeColor="text1"/>
          <w:szCs w:val="24"/>
          <w:lang w:eastAsia="en-US"/>
        </w:rPr>
        <w:t>O</w:t>
      </w:r>
      <w:r w:rsidRPr="007B611F">
        <w:rPr>
          <w:rFonts w:eastAsia="Calibri"/>
          <w:color w:val="000000" w:themeColor="text1"/>
          <w:szCs w:val="24"/>
          <w:lang w:eastAsia="en-US"/>
        </w:rPr>
        <w:t xml:space="preserve"> que se percebeu nos trabalhos supracitados é que os municípios que mais recebiam transferências</w:t>
      </w:r>
      <w:proofErr w:type="gramStart"/>
      <w:r w:rsidRPr="007B611F">
        <w:rPr>
          <w:rFonts w:eastAsia="Calibri"/>
          <w:color w:val="000000" w:themeColor="text1"/>
          <w:szCs w:val="24"/>
          <w:lang w:eastAsia="en-US"/>
        </w:rPr>
        <w:t>, apresentaram</w:t>
      </w:r>
      <w:proofErr w:type="gramEnd"/>
      <w:r w:rsidRPr="007B611F">
        <w:rPr>
          <w:rFonts w:eastAsia="Calibri"/>
          <w:color w:val="000000" w:themeColor="text1"/>
          <w:szCs w:val="24"/>
          <w:lang w:eastAsia="en-US"/>
        </w:rPr>
        <w:t xml:space="preserve"> níveis menores de dívida. Dessa forma seria interessante, caso a variável fosse estatisticamente significante, analisar essa relação nos municípios aqui analisados.</w:t>
      </w:r>
    </w:p>
    <w:p w:rsidR="007C3C21" w:rsidRPr="007B611F" w:rsidRDefault="007C3C21"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lang w:eastAsia="en-US"/>
        </w:rPr>
        <w:t xml:space="preserve">Quanto às eleições, o que se percebeu foi um resultado diferente de estudos como o de Soares </w:t>
      </w:r>
      <w:proofErr w:type="gramStart"/>
      <w:r w:rsidRPr="007B611F">
        <w:rPr>
          <w:rFonts w:eastAsia="Calibri"/>
          <w:color w:val="000000" w:themeColor="text1"/>
          <w:szCs w:val="24"/>
          <w:lang w:eastAsia="en-US"/>
        </w:rPr>
        <w:t>et</w:t>
      </w:r>
      <w:proofErr w:type="gramEnd"/>
      <w:r w:rsidRPr="007B611F">
        <w:rPr>
          <w:rFonts w:eastAsia="Calibri"/>
          <w:color w:val="000000" w:themeColor="text1"/>
          <w:szCs w:val="24"/>
          <w:lang w:eastAsia="en-US"/>
        </w:rPr>
        <w:t xml:space="preserve"> al. (2010), que demonstraram que em anos eleitorais tendem a ocorrer gastos que consequentemente aumentam o endividamento, com os gestores municipais contraindo dívidas a serem posteriormente quitadas por seus sucessores. No entanto, aqui nesta pesquisa não se confirmou essa percepção, uma vez que não foi possível observar diferenças no endividamento em anos de eleição ou não.</w:t>
      </w:r>
    </w:p>
    <w:p w:rsidR="007C3C21" w:rsidRPr="007B611F" w:rsidRDefault="007C3C21" w:rsidP="007C3C21">
      <w:pPr>
        <w:widowControl/>
        <w:suppressLineNumbers w:val="0"/>
        <w:suppressAutoHyphens w:val="0"/>
        <w:rPr>
          <w:rFonts w:eastAsia="Calibri"/>
          <w:color w:val="000000" w:themeColor="text1"/>
          <w:szCs w:val="24"/>
          <w:lang w:eastAsia="en-US"/>
        </w:rPr>
      </w:pPr>
      <w:r w:rsidRPr="007B611F">
        <w:rPr>
          <w:rFonts w:eastAsia="Calibri"/>
          <w:color w:val="000000" w:themeColor="text1"/>
          <w:szCs w:val="24"/>
          <w:lang w:eastAsia="en-US"/>
        </w:rPr>
        <w:t xml:space="preserve">Por fim, as duas últimas variáveis independentes, que foram o PIB per capita e a Taxa real de juros também se mostraram estatisticamente significantes para explicar os municípios da Região Metropolitana de </w:t>
      </w:r>
      <w:proofErr w:type="gramStart"/>
      <w:r w:rsidRPr="007B611F">
        <w:rPr>
          <w:rFonts w:eastAsia="Calibri"/>
          <w:color w:val="000000" w:themeColor="text1"/>
          <w:szCs w:val="24"/>
          <w:lang w:eastAsia="en-US"/>
        </w:rPr>
        <w:t>Goiana aqui abordados</w:t>
      </w:r>
      <w:proofErr w:type="gramEnd"/>
      <w:r w:rsidRPr="007B611F">
        <w:rPr>
          <w:rFonts w:eastAsia="Calibri"/>
          <w:color w:val="000000" w:themeColor="text1"/>
          <w:szCs w:val="24"/>
          <w:lang w:eastAsia="en-US"/>
        </w:rPr>
        <w:t>, contrariando trabalhos como o de Costa (2008) em que o PIB per capita se relacionou positivamente com o endividamento.</w:t>
      </w:r>
    </w:p>
    <w:p w:rsidR="007C3C21" w:rsidRPr="007B611F" w:rsidRDefault="007C3C21" w:rsidP="007C3C21">
      <w:pPr>
        <w:widowControl/>
        <w:suppressLineNumbers w:val="0"/>
        <w:suppressAutoHyphens w:val="0"/>
        <w:rPr>
          <w:rFonts w:eastAsia="Calibri"/>
          <w:color w:val="000000" w:themeColor="text1"/>
          <w:szCs w:val="24"/>
          <w:lang w:eastAsia="en-US"/>
        </w:rPr>
      </w:pPr>
    </w:p>
    <w:p w:rsidR="007C3C21" w:rsidRPr="007B611F" w:rsidRDefault="007C3C21" w:rsidP="007C3C21">
      <w:pPr>
        <w:widowControl/>
        <w:suppressLineNumbers w:val="0"/>
        <w:suppressAutoHyphens w:val="0"/>
        <w:rPr>
          <w:rFonts w:eastAsia="Calibri"/>
          <w:color w:val="000000" w:themeColor="text1"/>
          <w:sz w:val="22"/>
          <w:szCs w:val="22"/>
          <w:lang w:eastAsia="en-US"/>
        </w:rPr>
      </w:pPr>
    </w:p>
    <w:p w:rsidR="007C3C21" w:rsidRPr="00C01D2B" w:rsidRDefault="00B919A5" w:rsidP="007C3C21">
      <w:pPr>
        <w:widowControl/>
        <w:suppressLineNumbers w:val="0"/>
        <w:suppressAutoHyphens w:val="0"/>
        <w:spacing w:line="360" w:lineRule="auto"/>
        <w:ind w:firstLine="0"/>
        <w:rPr>
          <w:rFonts w:eastAsia="Calibri"/>
          <w:b/>
          <w:bCs/>
          <w:color w:val="000000" w:themeColor="text1"/>
          <w:sz w:val="22"/>
          <w:szCs w:val="22"/>
          <w:lang w:eastAsia="en-US"/>
        </w:rPr>
      </w:pPr>
      <w:r w:rsidRPr="007B611F">
        <w:rPr>
          <w:rFonts w:eastAsia="Calibri"/>
          <w:b/>
          <w:bCs/>
          <w:color w:val="000000" w:themeColor="text1"/>
          <w:szCs w:val="24"/>
          <w:lang w:eastAsia="en-US"/>
        </w:rPr>
        <w:t xml:space="preserve">5. </w:t>
      </w:r>
      <w:r w:rsidR="008814E9" w:rsidRPr="007B611F">
        <w:rPr>
          <w:rFonts w:eastAsia="Calibri"/>
          <w:b/>
          <w:bCs/>
          <w:color w:val="000000" w:themeColor="text1"/>
          <w:szCs w:val="24"/>
          <w:lang w:eastAsia="en-US"/>
        </w:rPr>
        <w:t xml:space="preserve">Conclusão </w:t>
      </w:r>
    </w:p>
    <w:p w:rsidR="007C3C21" w:rsidRPr="007B611F" w:rsidRDefault="007C3C21" w:rsidP="007C3C21">
      <w:pPr>
        <w:widowControl/>
        <w:suppressLineNumbers w:val="0"/>
        <w:suppressAutoHyphens w:val="0"/>
        <w:ind w:firstLine="0"/>
        <w:rPr>
          <w:rFonts w:eastAsia="Calibri"/>
          <w:b/>
          <w:bCs/>
          <w:color w:val="000000" w:themeColor="text1"/>
          <w:sz w:val="22"/>
          <w:szCs w:val="22"/>
          <w:lang w:eastAsia="en-US"/>
        </w:rPr>
      </w:pPr>
      <w:r w:rsidRPr="007B611F">
        <w:rPr>
          <w:rFonts w:eastAsia="Calibri"/>
          <w:b/>
          <w:bCs/>
          <w:color w:val="000000" w:themeColor="text1"/>
          <w:szCs w:val="24"/>
          <w:lang w:eastAsia="en-US"/>
        </w:rPr>
        <w:tab/>
      </w:r>
      <w:r w:rsidR="00B919A5" w:rsidRPr="007B611F">
        <w:rPr>
          <w:rFonts w:eastAsia="Calibri"/>
          <w:color w:val="000000" w:themeColor="text1"/>
          <w:szCs w:val="24"/>
          <w:lang w:eastAsia="en-US"/>
        </w:rPr>
        <w:t>Este trabalho teve</w:t>
      </w:r>
      <w:r w:rsidRPr="007B611F">
        <w:rPr>
          <w:rFonts w:eastAsia="Calibri"/>
          <w:color w:val="000000" w:themeColor="text1"/>
          <w:szCs w:val="24"/>
          <w:lang w:eastAsia="en-US"/>
        </w:rPr>
        <w:t xml:space="preserve"> o intuito de analisar o endividamento de</w:t>
      </w:r>
      <w:r w:rsidR="00B919A5" w:rsidRPr="007B611F">
        <w:rPr>
          <w:rFonts w:eastAsia="Calibri"/>
          <w:color w:val="000000" w:themeColor="text1"/>
          <w:szCs w:val="24"/>
          <w:lang w:eastAsia="en-US"/>
        </w:rPr>
        <w:t xml:space="preserve"> quatorze</w:t>
      </w:r>
      <w:r w:rsidRPr="007B611F">
        <w:rPr>
          <w:rFonts w:eastAsia="Calibri"/>
          <w:color w:val="000000" w:themeColor="text1"/>
          <w:szCs w:val="24"/>
          <w:lang w:eastAsia="en-US"/>
        </w:rPr>
        <w:t xml:space="preserve"> municípios </w:t>
      </w:r>
      <w:proofErr w:type="gramStart"/>
      <w:r w:rsidRPr="007B611F">
        <w:rPr>
          <w:rFonts w:eastAsia="Calibri"/>
          <w:color w:val="000000" w:themeColor="text1"/>
          <w:szCs w:val="24"/>
          <w:lang w:eastAsia="en-US"/>
        </w:rPr>
        <w:t>componentes</w:t>
      </w:r>
      <w:proofErr w:type="gramEnd"/>
      <w:r w:rsidRPr="007B611F">
        <w:rPr>
          <w:rFonts w:eastAsia="Calibri"/>
          <w:color w:val="000000" w:themeColor="text1"/>
          <w:szCs w:val="24"/>
          <w:lang w:eastAsia="en-US"/>
        </w:rPr>
        <w:t xml:space="preserve"> da região metropolitana de Goiânia à luz da Lei de Responsabilidade Fiscal (LRF) no período de 2003 a 2015, </w:t>
      </w:r>
      <w:r w:rsidR="00B919A5" w:rsidRPr="007B611F">
        <w:rPr>
          <w:rFonts w:eastAsia="Calibri"/>
          <w:color w:val="000000" w:themeColor="text1"/>
          <w:szCs w:val="24"/>
          <w:lang w:eastAsia="en-US"/>
        </w:rPr>
        <w:t>objetivando verificar se os municípios estão primeiramente respeitando os limites impostos pela lei, e também analisar a saúde financeira destas cidades de maneira geral.</w:t>
      </w:r>
    </w:p>
    <w:p w:rsidR="007C3C21" w:rsidRPr="007B611F" w:rsidRDefault="007C3C21" w:rsidP="007C3C21">
      <w:pPr>
        <w:widowControl/>
        <w:suppressLineNumbers w:val="0"/>
        <w:suppressAutoHyphens w:val="0"/>
        <w:ind w:firstLine="0"/>
        <w:rPr>
          <w:rFonts w:eastAsia="Calibri"/>
          <w:color w:val="000000" w:themeColor="text1"/>
          <w:szCs w:val="24"/>
          <w:lang w:eastAsia="en-US"/>
        </w:rPr>
      </w:pPr>
      <w:r w:rsidRPr="007B611F">
        <w:rPr>
          <w:rFonts w:eastAsia="Calibri"/>
          <w:color w:val="000000" w:themeColor="text1"/>
          <w:szCs w:val="24"/>
          <w:lang w:eastAsia="en-US"/>
        </w:rPr>
        <w:lastRenderedPageBreak/>
        <w:tab/>
        <w:t>Os municípios analisados ficaram dentro do limite permitido pela legislação reguladora,</w:t>
      </w:r>
      <w:r w:rsidR="00B919A5" w:rsidRPr="007B611F">
        <w:rPr>
          <w:rFonts w:eastAsia="Calibri"/>
          <w:color w:val="000000" w:themeColor="text1"/>
          <w:szCs w:val="24"/>
          <w:lang w:eastAsia="en-US"/>
        </w:rPr>
        <w:t xml:space="preserve"> sendo que em alguns períodos,</w:t>
      </w:r>
      <w:r w:rsidRPr="007B611F">
        <w:rPr>
          <w:rFonts w:eastAsia="Calibri"/>
          <w:color w:val="000000" w:themeColor="text1"/>
          <w:szCs w:val="24"/>
          <w:lang w:eastAsia="en-US"/>
        </w:rPr>
        <w:t xml:space="preserve"> mesmo que alguns tenham chegado perto de extrapolar esses limites em alguns momentos. Da mesma forma, nenhuma das cidades ultrapassou a barreira de gastos com pessoal, mesmo aqueles municípios que dependem significativamente de transferências governamentais, mostrando, que ao menos em teoria, esses recursos estão sendo bem administrado pelos seus gestores públicos.</w:t>
      </w:r>
    </w:p>
    <w:p w:rsidR="007C3C21" w:rsidRPr="007B611F" w:rsidRDefault="007C3C21" w:rsidP="007C3C21">
      <w:pPr>
        <w:widowControl/>
        <w:suppressLineNumbers w:val="0"/>
        <w:suppressAutoHyphens w:val="0"/>
        <w:rPr>
          <w:rFonts w:eastAsia="Calibri"/>
          <w:bCs/>
          <w:color w:val="000000" w:themeColor="text1"/>
          <w:szCs w:val="24"/>
          <w:lang w:eastAsia="en-US"/>
        </w:rPr>
      </w:pPr>
      <w:r w:rsidRPr="007B611F">
        <w:rPr>
          <w:rFonts w:eastAsia="Calibri"/>
          <w:bCs/>
          <w:color w:val="000000" w:themeColor="text1"/>
          <w:szCs w:val="24"/>
          <w:lang w:eastAsia="en-US"/>
        </w:rPr>
        <w:t xml:space="preserve">No entanto, buscou-se aprofundar na análise, uma vez que estudos empíricos mostraram que mesmo antes da LRF, poucos municípios brasileiros ultrapassavam essas barreiras. Nesse contexto, notou-se que os principais determinantes de endividamento dos municípios analisados foram os gastos com pessoal e o endividamento defasado, uma vez que essas duas variáveis (junto com a </w:t>
      </w:r>
      <w:proofErr w:type="spellStart"/>
      <w:r w:rsidRPr="007B611F">
        <w:rPr>
          <w:rFonts w:eastAsia="Calibri"/>
          <w:bCs/>
          <w:i/>
          <w:color w:val="000000" w:themeColor="text1"/>
          <w:szCs w:val="24"/>
          <w:lang w:eastAsia="en-US"/>
        </w:rPr>
        <w:t>dummy</w:t>
      </w:r>
      <w:proofErr w:type="spellEnd"/>
      <w:r w:rsidRPr="007B611F">
        <w:rPr>
          <w:rFonts w:eastAsia="Calibri"/>
          <w:bCs/>
          <w:color w:val="000000" w:themeColor="text1"/>
          <w:szCs w:val="24"/>
          <w:lang w:eastAsia="en-US"/>
        </w:rPr>
        <w:t xml:space="preserve"> representativa da eleição, mas que não mostrou diferença significativa de gastos em anos eleitorais ou não) foram </w:t>
      </w:r>
      <w:proofErr w:type="gramStart"/>
      <w:r w:rsidRPr="007B611F">
        <w:rPr>
          <w:rFonts w:eastAsia="Calibri"/>
          <w:bCs/>
          <w:color w:val="000000" w:themeColor="text1"/>
          <w:szCs w:val="24"/>
          <w:lang w:eastAsia="en-US"/>
        </w:rPr>
        <w:t>as</w:t>
      </w:r>
      <w:proofErr w:type="gramEnd"/>
      <w:r w:rsidRPr="007B611F">
        <w:rPr>
          <w:rFonts w:eastAsia="Calibri"/>
          <w:bCs/>
          <w:color w:val="000000" w:themeColor="text1"/>
          <w:szCs w:val="24"/>
          <w:lang w:eastAsia="en-US"/>
        </w:rPr>
        <w:t xml:space="preserve"> únicas que se mostraram estatisticamente significantes após a operacionalização do modelo proposto.</w:t>
      </w:r>
    </w:p>
    <w:p w:rsidR="00B919A5" w:rsidRPr="007B611F" w:rsidRDefault="007C3C21" w:rsidP="007C3C21">
      <w:pPr>
        <w:widowControl/>
        <w:suppressLineNumbers w:val="0"/>
        <w:suppressAutoHyphens w:val="0"/>
        <w:rPr>
          <w:rFonts w:eastAsia="Calibri"/>
          <w:bCs/>
          <w:color w:val="000000" w:themeColor="text1"/>
          <w:szCs w:val="24"/>
          <w:lang w:eastAsia="en-US"/>
        </w:rPr>
      </w:pPr>
      <w:r w:rsidRPr="007B611F">
        <w:rPr>
          <w:rFonts w:eastAsia="Calibri"/>
          <w:bCs/>
          <w:color w:val="000000" w:themeColor="text1"/>
          <w:szCs w:val="24"/>
          <w:lang w:eastAsia="en-US"/>
        </w:rPr>
        <w:t xml:space="preserve">Assim, conclui-se que aparentemente as cidades que compõe a Região Metropolitana de Goiana vêm cumprindo os limites estabelecidos pela LRF, e gerindo seus recursos de maneira eficiente. No entanto, percebe-se que, apesar do exposto, alguns municípios, principalmente os menores, possuem valores consideráveis de endividamento, de maneira que se faz importante entender o que contribui para isso. </w:t>
      </w:r>
    </w:p>
    <w:p w:rsidR="007C3C21" w:rsidRPr="007B611F" w:rsidRDefault="00B919A5" w:rsidP="007C3C21">
      <w:pPr>
        <w:widowControl/>
        <w:suppressLineNumbers w:val="0"/>
        <w:suppressAutoHyphens w:val="0"/>
        <w:rPr>
          <w:rFonts w:eastAsia="Calibri"/>
          <w:bCs/>
          <w:color w:val="000000" w:themeColor="text1"/>
          <w:szCs w:val="24"/>
          <w:lang w:eastAsia="en-US"/>
        </w:rPr>
      </w:pPr>
      <w:r w:rsidRPr="007B611F">
        <w:rPr>
          <w:rFonts w:eastAsia="Calibri"/>
          <w:bCs/>
          <w:color w:val="000000" w:themeColor="text1"/>
          <w:szCs w:val="24"/>
          <w:lang w:eastAsia="en-US"/>
        </w:rPr>
        <w:t>A pesquisa conseguiu alcançar o</w:t>
      </w:r>
      <w:r w:rsidR="00322845" w:rsidRPr="007B611F">
        <w:rPr>
          <w:rFonts w:eastAsia="Calibri"/>
          <w:bCs/>
          <w:color w:val="000000" w:themeColor="text1"/>
          <w:szCs w:val="24"/>
          <w:lang w:eastAsia="en-US"/>
        </w:rPr>
        <w:t xml:space="preserve"> objetivo proposto</w:t>
      </w:r>
      <w:r w:rsidR="00451E7B" w:rsidRPr="007B611F">
        <w:rPr>
          <w:rFonts w:eastAsia="Calibri"/>
          <w:bCs/>
          <w:color w:val="000000" w:themeColor="text1"/>
          <w:szCs w:val="24"/>
          <w:lang w:eastAsia="en-US"/>
        </w:rPr>
        <w:t>,</w:t>
      </w:r>
      <w:r w:rsidR="00322845" w:rsidRPr="007B611F">
        <w:rPr>
          <w:rFonts w:eastAsia="Calibri"/>
          <w:bCs/>
          <w:color w:val="000000" w:themeColor="text1"/>
          <w:szCs w:val="24"/>
          <w:lang w:eastAsia="en-US"/>
        </w:rPr>
        <w:t xml:space="preserve"> no entanto</w:t>
      </w:r>
      <w:r w:rsidR="007C3C21" w:rsidRPr="007B611F">
        <w:rPr>
          <w:rFonts w:eastAsia="Calibri"/>
          <w:bCs/>
          <w:color w:val="000000" w:themeColor="text1"/>
          <w:szCs w:val="24"/>
          <w:lang w:eastAsia="en-US"/>
        </w:rPr>
        <w:t xml:space="preserve"> a mesma possui </w:t>
      </w:r>
      <w:r w:rsidR="00322845" w:rsidRPr="007B611F">
        <w:rPr>
          <w:rFonts w:eastAsia="Calibri"/>
          <w:bCs/>
          <w:color w:val="000000" w:themeColor="text1"/>
          <w:szCs w:val="24"/>
          <w:lang w:eastAsia="en-US"/>
        </w:rPr>
        <w:t xml:space="preserve">algumas </w:t>
      </w:r>
      <w:r w:rsidR="007C3C21" w:rsidRPr="007B611F">
        <w:rPr>
          <w:rFonts w:eastAsia="Calibri"/>
          <w:bCs/>
          <w:color w:val="000000" w:themeColor="text1"/>
          <w:szCs w:val="24"/>
          <w:lang w:eastAsia="en-US"/>
        </w:rPr>
        <w:t>limitações, como a amostra que poderia ter sido maior</w:t>
      </w:r>
      <w:r w:rsidR="00322845" w:rsidRPr="007B611F">
        <w:rPr>
          <w:rFonts w:eastAsia="Calibri"/>
          <w:bCs/>
          <w:color w:val="000000" w:themeColor="text1"/>
          <w:szCs w:val="24"/>
          <w:lang w:eastAsia="en-US"/>
        </w:rPr>
        <w:t>, mas que não foi ampliada pela dificuldade de obtenção das informações necessárias para a realização da pesquisa em alguns municípios,</w:t>
      </w:r>
      <w:r w:rsidR="007C3C21" w:rsidRPr="007B611F">
        <w:rPr>
          <w:rFonts w:eastAsia="Calibri"/>
          <w:bCs/>
          <w:color w:val="000000" w:themeColor="text1"/>
          <w:szCs w:val="24"/>
          <w:lang w:eastAsia="en-US"/>
        </w:rPr>
        <w:t xml:space="preserve"> e o horizonte temporal</w:t>
      </w:r>
      <w:r w:rsidR="00520EF0" w:rsidRPr="007B611F">
        <w:rPr>
          <w:rFonts w:eastAsia="Calibri"/>
          <w:bCs/>
          <w:color w:val="000000" w:themeColor="text1"/>
          <w:szCs w:val="24"/>
          <w:lang w:eastAsia="en-US"/>
        </w:rPr>
        <w:t xml:space="preserve"> que também foi diretamente afetado pela</w:t>
      </w:r>
      <w:r w:rsidR="00451E7B" w:rsidRPr="007B611F">
        <w:rPr>
          <w:rFonts w:eastAsia="Calibri"/>
          <w:bCs/>
          <w:color w:val="000000" w:themeColor="text1"/>
          <w:szCs w:val="24"/>
          <w:lang w:eastAsia="en-US"/>
        </w:rPr>
        <w:t xml:space="preserve"> inabilidade de </w:t>
      </w:r>
      <w:r w:rsidR="00D57718" w:rsidRPr="007B611F">
        <w:rPr>
          <w:rFonts w:eastAsia="Calibri"/>
          <w:bCs/>
          <w:color w:val="000000" w:themeColor="text1"/>
          <w:szCs w:val="24"/>
          <w:lang w:eastAsia="en-US"/>
        </w:rPr>
        <w:t>obtenção de dados mais antigos ou mais recentes.</w:t>
      </w:r>
    </w:p>
    <w:p w:rsidR="007C3C21" w:rsidRPr="007B611F" w:rsidRDefault="00D57718" w:rsidP="007C3C21">
      <w:pPr>
        <w:widowControl/>
        <w:suppressLineNumbers w:val="0"/>
        <w:suppressAutoHyphens w:val="0"/>
        <w:rPr>
          <w:rFonts w:eastAsia="Calibri"/>
          <w:bCs/>
          <w:color w:val="000000" w:themeColor="text1"/>
          <w:szCs w:val="24"/>
          <w:lang w:eastAsia="en-US"/>
        </w:rPr>
      </w:pPr>
      <w:r w:rsidRPr="007B611F">
        <w:rPr>
          <w:rFonts w:eastAsia="Calibri"/>
          <w:bCs/>
          <w:color w:val="000000" w:themeColor="text1"/>
          <w:szCs w:val="24"/>
          <w:lang w:eastAsia="en-US"/>
        </w:rPr>
        <w:t>C</w:t>
      </w:r>
      <w:r w:rsidR="007C3C21" w:rsidRPr="007B611F">
        <w:rPr>
          <w:rFonts w:eastAsia="Calibri"/>
          <w:bCs/>
          <w:color w:val="000000" w:themeColor="text1"/>
          <w:szCs w:val="24"/>
          <w:lang w:eastAsia="en-US"/>
        </w:rPr>
        <w:t>omo proposta de pesquisas futuras, sugere-se a</w:t>
      </w:r>
      <w:r w:rsidR="008F32A6" w:rsidRPr="007B611F">
        <w:rPr>
          <w:rFonts w:eastAsia="Calibri"/>
          <w:bCs/>
          <w:color w:val="000000" w:themeColor="text1"/>
          <w:szCs w:val="24"/>
          <w:lang w:eastAsia="en-US"/>
        </w:rPr>
        <w:t xml:space="preserve"> execução de pesquisas semelhantes no estado de Goiás que supram as limitações deste trabalho, a replicação deste estudo em</w:t>
      </w:r>
      <w:r w:rsidR="007C3C21" w:rsidRPr="007B611F">
        <w:rPr>
          <w:rFonts w:eastAsia="Calibri"/>
          <w:bCs/>
          <w:color w:val="000000" w:themeColor="text1"/>
          <w:szCs w:val="24"/>
          <w:lang w:eastAsia="en-US"/>
        </w:rPr>
        <w:t xml:space="preserve"> outras cidades e em outros estados, </w:t>
      </w:r>
      <w:r w:rsidR="008F32A6" w:rsidRPr="007B611F">
        <w:rPr>
          <w:rFonts w:eastAsia="Calibri"/>
          <w:bCs/>
          <w:color w:val="000000" w:themeColor="text1"/>
          <w:szCs w:val="24"/>
          <w:lang w:eastAsia="en-US"/>
        </w:rPr>
        <w:t>e também a utilização de técnicas estatísticas mais sofisticadas</w:t>
      </w:r>
      <w:r w:rsidR="007C3C21" w:rsidRPr="007B611F">
        <w:rPr>
          <w:rFonts w:eastAsia="Calibri"/>
          <w:bCs/>
          <w:color w:val="000000" w:themeColor="text1"/>
          <w:szCs w:val="24"/>
          <w:lang w:eastAsia="en-US"/>
        </w:rPr>
        <w:t xml:space="preserve">, e com modelos mais robustos, com a inserção de novas variáveis que possam influenciar diretamente no endividamento municipal.  </w:t>
      </w:r>
    </w:p>
    <w:p w:rsidR="007C3C21" w:rsidRPr="008814E9" w:rsidRDefault="007C3C21" w:rsidP="008814E9">
      <w:pPr>
        <w:widowControl/>
        <w:suppressLineNumbers w:val="0"/>
        <w:suppressAutoHyphens w:val="0"/>
        <w:spacing w:line="360" w:lineRule="auto"/>
        <w:ind w:firstLine="0"/>
        <w:rPr>
          <w:rFonts w:eastAsia="Calibri"/>
          <w:b/>
          <w:bCs/>
          <w:color w:val="000000" w:themeColor="text1"/>
          <w:sz w:val="22"/>
          <w:szCs w:val="22"/>
          <w:lang w:eastAsia="en-US"/>
        </w:rPr>
      </w:pPr>
      <w:r w:rsidRPr="007B611F">
        <w:rPr>
          <w:rFonts w:eastAsia="Calibri"/>
          <w:color w:val="000000" w:themeColor="text1"/>
          <w:szCs w:val="24"/>
          <w:lang w:eastAsia="en-US"/>
        </w:rPr>
        <w:tab/>
      </w:r>
    </w:p>
    <w:p w:rsidR="008F32A6" w:rsidRPr="008814E9" w:rsidRDefault="007C3C21" w:rsidP="00B919A5">
      <w:pPr>
        <w:keepNext/>
        <w:keepLines/>
        <w:widowControl/>
        <w:suppressLineNumbers w:val="0"/>
        <w:suppressAutoHyphens w:val="0"/>
        <w:spacing w:before="480"/>
        <w:ind w:firstLine="0"/>
        <w:jc w:val="left"/>
        <w:outlineLvl w:val="0"/>
        <w:rPr>
          <w:rFonts w:eastAsia="Calibri Light"/>
          <w:b/>
          <w:bCs/>
          <w:color w:val="000000" w:themeColor="text1"/>
          <w:szCs w:val="24"/>
          <w:lang w:eastAsia="en-US"/>
        </w:rPr>
      </w:pPr>
      <w:r w:rsidRPr="008814E9">
        <w:rPr>
          <w:rFonts w:eastAsia="Calibri Light"/>
          <w:b/>
          <w:bCs/>
          <w:color w:val="000000" w:themeColor="text1"/>
          <w:szCs w:val="24"/>
          <w:lang w:eastAsia="en-US"/>
        </w:rPr>
        <w:t>R</w:t>
      </w:r>
      <w:bookmarkStart w:id="3" w:name="_Toc532147707"/>
      <w:r w:rsidR="008814E9" w:rsidRPr="008814E9">
        <w:rPr>
          <w:rFonts w:eastAsia="Calibri Light"/>
          <w:b/>
          <w:bCs/>
          <w:color w:val="000000" w:themeColor="text1"/>
          <w:szCs w:val="24"/>
          <w:lang w:eastAsia="en-US"/>
        </w:rPr>
        <w:t>eferências</w:t>
      </w:r>
      <w:bookmarkEnd w:id="3"/>
    </w:p>
    <w:p w:rsidR="008814E9" w:rsidRDefault="008814E9" w:rsidP="00552F46">
      <w:pPr>
        <w:widowControl/>
        <w:suppressLineNumbers w:val="0"/>
        <w:suppressAutoHyphens w:val="0"/>
        <w:ind w:firstLine="0"/>
        <w:rPr>
          <w:rFonts w:eastAsia="Calibri"/>
          <w:color w:val="000000" w:themeColor="text1"/>
          <w:szCs w:val="24"/>
          <w:shd w:val="clear" w:color="auto" w:fill="FFFFFF"/>
          <w:lang w:eastAsia="en-US"/>
        </w:rPr>
      </w:pPr>
    </w:p>
    <w:p w:rsidR="007C3C21" w:rsidRDefault="007C3C21" w:rsidP="00552F46">
      <w:pPr>
        <w:widowControl/>
        <w:suppressLineNumbers w:val="0"/>
        <w:suppressAutoHyphens w:val="0"/>
        <w:ind w:firstLine="0"/>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A</w:t>
      </w:r>
      <w:r w:rsidR="007B611F" w:rsidRPr="007B611F">
        <w:rPr>
          <w:rFonts w:eastAsia="Calibri"/>
          <w:color w:val="000000" w:themeColor="text1"/>
          <w:szCs w:val="24"/>
          <w:shd w:val="clear" w:color="auto" w:fill="FFFFFF"/>
          <w:lang w:eastAsia="en-US"/>
        </w:rPr>
        <w:t>fonso</w:t>
      </w:r>
      <w:r w:rsidRPr="007B611F">
        <w:rPr>
          <w:rFonts w:eastAsia="Calibri"/>
          <w:color w:val="000000" w:themeColor="text1"/>
          <w:szCs w:val="24"/>
          <w:shd w:val="clear" w:color="auto" w:fill="FFFFFF"/>
          <w:lang w:eastAsia="en-US"/>
        </w:rPr>
        <w:t xml:space="preserve">, J. R. R.; </w:t>
      </w:r>
      <w:proofErr w:type="spellStart"/>
      <w:r w:rsidRPr="007B611F">
        <w:rPr>
          <w:rFonts w:eastAsia="Calibri"/>
          <w:color w:val="000000" w:themeColor="text1"/>
          <w:szCs w:val="24"/>
          <w:shd w:val="clear" w:color="auto" w:fill="FFFFFF"/>
          <w:lang w:eastAsia="en-US"/>
        </w:rPr>
        <w:t>A</w:t>
      </w:r>
      <w:r w:rsidR="007B611F" w:rsidRPr="007B611F">
        <w:rPr>
          <w:rFonts w:eastAsia="Calibri"/>
          <w:color w:val="000000" w:themeColor="text1"/>
          <w:szCs w:val="24"/>
          <w:shd w:val="clear" w:color="auto" w:fill="FFFFFF"/>
          <w:lang w:eastAsia="en-US"/>
        </w:rPr>
        <w:t>raujo</w:t>
      </w:r>
      <w:proofErr w:type="spellEnd"/>
      <w:r w:rsidRPr="007B611F">
        <w:rPr>
          <w:rFonts w:eastAsia="Calibri"/>
          <w:color w:val="000000" w:themeColor="text1"/>
          <w:szCs w:val="24"/>
          <w:shd w:val="clear" w:color="auto" w:fill="FFFFFF"/>
          <w:lang w:eastAsia="en-US"/>
        </w:rPr>
        <w:t xml:space="preserve">, E. A.; </w:t>
      </w:r>
      <w:proofErr w:type="spellStart"/>
      <w:r w:rsidRPr="007B611F">
        <w:rPr>
          <w:rFonts w:eastAsia="Calibri"/>
          <w:color w:val="000000" w:themeColor="text1"/>
          <w:szCs w:val="24"/>
          <w:shd w:val="clear" w:color="auto" w:fill="FFFFFF"/>
          <w:lang w:eastAsia="en-US"/>
        </w:rPr>
        <w:t>K</w:t>
      </w:r>
      <w:r w:rsidR="007B611F" w:rsidRPr="007B611F">
        <w:rPr>
          <w:rFonts w:eastAsia="Calibri"/>
          <w:color w:val="000000" w:themeColor="text1"/>
          <w:szCs w:val="24"/>
          <w:shd w:val="clear" w:color="auto" w:fill="FFFFFF"/>
          <w:lang w:eastAsia="en-US"/>
        </w:rPr>
        <w:t>hair</w:t>
      </w:r>
      <w:proofErr w:type="spellEnd"/>
      <w:r w:rsidRPr="007B611F">
        <w:rPr>
          <w:rFonts w:eastAsia="Calibri"/>
          <w:color w:val="000000" w:themeColor="text1"/>
          <w:szCs w:val="24"/>
          <w:shd w:val="clear" w:color="auto" w:fill="FFFFFF"/>
          <w:lang w:eastAsia="en-US"/>
        </w:rPr>
        <w:t>, A.</w:t>
      </w:r>
      <w:r w:rsidR="00633D45">
        <w:rPr>
          <w:rFonts w:eastAsia="Calibri"/>
          <w:color w:val="000000" w:themeColor="text1"/>
          <w:szCs w:val="24"/>
          <w:shd w:val="clear" w:color="auto" w:fill="FFFFFF"/>
          <w:lang w:eastAsia="en-US"/>
        </w:rPr>
        <w:t xml:space="preserve"> (2002).</w:t>
      </w:r>
      <w:r w:rsidRPr="007B611F">
        <w:rPr>
          <w:rFonts w:eastAsia="Calibri"/>
          <w:color w:val="000000" w:themeColor="text1"/>
          <w:szCs w:val="24"/>
          <w:shd w:val="clear" w:color="auto" w:fill="FFFFFF"/>
          <w:lang w:eastAsia="en-US"/>
        </w:rPr>
        <w:t xml:space="preserve"> Federalismo fiscal no Brasil: a importância dos governos municipais. </w:t>
      </w:r>
      <w:r w:rsidRPr="007B611F">
        <w:rPr>
          <w:rFonts w:eastAsia="Calibri"/>
          <w:bCs/>
          <w:color w:val="000000" w:themeColor="text1"/>
          <w:szCs w:val="24"/>
          <w:shd w:val="clear" w:color="auto" w:fill="FFFFFF"/>
          <w:lang w:eastAsia="en-US"/>
        </w:rPr>
        <w:t xml:space="preserve">Administração pública. Direito </w:t>
      </w:r>
      <w:proofErr w:type="gramStart"/>
      <w:r w:rsidRPr="007B611F">
        <w:rPr>
          <w:rFonts w:eastAsia="Calibri"/>
          <w:bCs/>
          <w:color w:val="000000" w:themeColor="text1"/>
          <w:szCs w:val="24"/>
          <w:shd w:val="clear" w:color="auto" w:fill="FFFFFF"/>
          <w:lang w:eastAsia="en-US"/>
        </w:rPr>
        <w:t>administrativo, financeiro</w:t>
      </w:r>
      <w:proofErr w:type="gramEnd"/>
      <w:r w:rsidRPr="007B611F">
        <w:rPr>
          <w:rFonts w:eastAsia="Calibri"/>
          <w:bCs/>
          <w:color w:val="000000" w:themeColor="text1"/>
          <w:szCs w:val="24"/>
          <w:shd w:val="clear" w:color="auto" w:fill="FFFFFF"/>
          <w:lang w:eastAsia="en-US"/>
        </w:rPr>
        <w:t xml:space="preserve"> e gestão pública: prática, inovações e polêmicas. São Paulo: </w:t>
      </w:r>
      <w:r w:rsidRPr="007B611F">
        <w:rPr>
          <w:rFonts w:eastAsia="Calibri"/>
          <w:bCs/>
          <w:i/>
          <w:color w:val="000000" w:themeColor="text1"/>
          <w:szCs w:val="24"/>
          <w:shd w:val="clear" w:color="auto" w:fill="FFFFFF"/>
          <w:lang w:eastAsia="en-US"/>
        </w:rPr>
        <w:t>Revista dos Tribunais</w:t>
      </w:r>
      <w:r w:rsidRPr="007B611F">
        <w:rPr>
          <w:rFonts w:eastAsia="Calibri"/>
          <w:color w:val="000000" w:themeColor="text1"/>
          <w:szCs w:val="24"/>
          <w:shd w:val="clear" w:color="auto" w:fill="FFFFFF"/>
          <w:lang w:eastAsia="en-US"/>
        </w:rPr>
        <w:t>.</w:t>
      </w:r>
    </w:p>
    <w:p w:rsidR="00552F46" w:rsidRPr="007B611F" w:rsidRDefault="00552F46" w:rsidP="00552F46">
      <w:pPr>
        <w:widowControl/>
        <w:suppressLineNumbers w:val="0"/>
        <w:suppressAutoHyphens w:val="0"/>
        <w:ind w:firstLine="0"/>
        <w:rPr>
          <w:rFonts w:eastAsia="Calibri"/>
          <w:color w:val="000000" w:themeColor="text1"/>
          <w:szCs w:val="24"/>
          <w:shd w:val="clear" w:color="auto" w:fill="FFFFFF"/>
          <w:lang w:eastAsia="en-US"/>
        </w:rPr>
      </w:pPr>
    </w:p>
    <w:p w:rsidR="007C3C21" w:rsidRPr="00633D45" w:rsidRDefault="007C3C21" w:rsidP="00552F46">
      <w:pPr>
        <w:widowControl/>
        <w:suppressLineNumbers w:val="0"/>
        <w:suppressAutoHyphens w:val="0"/>
        <w:ind w:firstLine="0"/>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A</w:t>
      </w:r>
      <w:r w:rsidR="007B611F" w:rsidRPr="007B611F">
        <w:rPr>
          <w:rFonts w:eastAsia="Calibri"/>
          <w:color w:val="000000" w:themeColor="text1"/>
          <w:szCs w:val="24"/>
          <w:shd w:val="clear" w:color="auto" w:fill="FFFFFF"/>
          <w:lang w:eastAsia="en-US"/>
        </w:rPr>
        <w:t>fonso</w:t>
      </w:r>
      <w:r w:rsidRPr="007B611F">
        <w:rPr>
          <w:rFonts w:eastAsia="Calibri"/>
          <w:color w:val="000000" w:themeColor="text1"/>
          <w:szCs w:val="24"/>
          <w:shd w:val="clear" w:color="auto" w:fill="FFFFFF"/>
          <w:lang w:eastAsia="en-US"/>
        </w:rPr>
        <w:t>, J</w:t>
      </w:r>
      <w:proofErr w:type="gramStart"/>
      <w:r w:rsidRPr="007B611F">
        <w:rPr>
          <w:rFonts w:eastAsia="Calibri"/>
          <w:color w:val="000000" w:themeColor="text1"/>
          <w:szCs w:val="24"/>
          <w:shd w:val="clear" w:color="auto" w:fill="FFFFFF"/>
          <w:lang w:eastAsia="en-US"/>
        </w:rPr>
        <w:t>.;</w:t>
      </w:r>
      <w:proofErr w:type="gramEnd"/>
      <w:r w:rsidRPr="007B611F">
        <w:rPr>
          <w:rFonts w:eastAsia="Calibri"/>
          <w:color w:val="000000" w:themeColor="text1"/>
          <w:szCs w:val="24"/>
          <w:shd w:val="clear" w:color="auto" w:fill="FFFFFF"/>
          <w:lang w:eastAsia="en-US"/>
        </w:rPr>
        <w:t xml:space="preserve"> C</w:t>
      </w:r>
      <w:r w:rsidR="007B611F" w:rsidRPr="007B611F">
        <w:rPr>
          <w:rFonts w:eastAsia="Calibri"/>
          <w:color w:val="000000" w:themeColor="text1"/>
          <w:szCs w:val="24"/>
          <w:shd w:val="clear" w:color="auto" w:fill="FFFFFF"/>
          <w:lang w:eastAsia="en-US"/>
        </w:rPr>
        <w:t>astro</w:t>
      </w:r>
      <w:r w:rsidRPr="007B611F">
        <w:rPr>
          <w:rFonts w:eastAsia="Calibri"/>
          <w:color w:val="000000" w:themeColor="text1"/>
          <w:szCs w:val="24"/>
          <w:shd w:val="clear" w:color="auto" w:fill="FFFFFF"/>
          <w:lang w:eastAsia="en-US"/>
        </w:rPr>
        <w:t xml:space="preserve">, K. P.; </w:t>
      </w:r>
      <w:proofErr w:type="spellStart"/>
      <w:r w:rsidRPr="007B611F">
        <w:rPr>
          <w:rFonts w:eastAsia="Calibri"/>
          <w:color w:val="000000" w:themeColor="text1"/>
          <w:szCs w:val="24"/>
          <w:shd w:val="clear" w:color="auto" w:fill="FFFFFF"/>
          <w:lang w:eastAsia="en-US"/>
        </w:rPr>
        <w:t>H</w:t>
      </w:r>
      <w:r w:rsidR="007B611F" w:rsidRPr="007B611F">
        <w:rPr>
          <w:rFonts w:eastAsia="Calibri"/>
          <w:color w:val="000000" w:themeColor="text1"/>
          <w:szCs w:val="24"/>
          <w:shd w:val="clear" w:color="auto" w:fill="FFFFFF"/>
          <w:lang w:eastAsia="en-US"/>
        </w:rPr>
        <w:t>ecksher</w:t>
      </w:r>
      <w:proofErr w:type="spellEnd"/>
      <w:r w:rsidRPr="007B611F">
        <w:rPr>
          <w:rFonts w:eastAsia="Calibri"/>
          <w:color w:val="000000" w:themeColor="text1"/>
          <w:szCs w:val="24"/>
          <w:shd w:val="clear" w:color="auto" w:fill="FFFFFF"/>
          <w:lang w:eastAsia="en-US"/>
        </w:rPr>
        <w:t xml:space="preserve">, M. </w:t>
      </w:r>
      <w:proofErr w:type="spellStart"/>
      <w:r w:rsidRPr="007B611F">
        <w:rPr>
          <w:rFonts w:eastAsia="Calibri"/>
          <w:color w:val="000000" w:themeColor="text1"/>
          <w:szCs w:val="24"/>
          <w:shd w:val="clear" w:color="auto" w:fill="FFFFFF"/>
          <w:lang w:eastAsia="en-US"/>
        </w:rPr>
        <w:t>C</w:t>
      </w:r>
      <w:r w:rsidR="007B611F" w:rsidRPr="007B611F">
        <w:rPr>
          <w:rFonts w:eastAsia="Calibri"/>
          <w:color w:val="000000" w:themeColor="text1"/>
          <w:szCs w:val="24"/>
          <w:shd w:val="clear" w:color="auto" w:fill="FFFFFF"/>
          <w:lang w:eastAsia="en-US"/>
        </w:rPr>
        <w:t>ialdini</w:t>
      </w:r>
      <w:proofErr w:type="spellEnd"/>
      <w:r w:rsidRPr="007B611F">
        <w:rPr>
          <w:rFonts w:eastAsia="Calibri"/>
          <w:color w:val="000000" w:themeColor="text1"/>
          <w:szCs w:val="24"/>
          <w:shd w:val="clear" w:color="auto" w:fill="FFFFFF"/>
          <w:lang w:eastAsia="en-US"/>
        </w:rPr>
        <w:t>, A. S; S</w:t>
      </w:r>
      <w:r w:rsidR="007B611F" w:rsidRPr="007B611F">
        <w:rPr>
          <w:rFonts w:eastAsia="Calibri"/>
          <w:color w:val="000000" w:themeColor="text1"/>
          <w:szCs w:val="24"/>
          <w:shd w:val="clear" w:color="auto" w:fill="FFFFFF"/>
          <w:lang w:eastAsia="en-US"/>
        </w:rPr>
        <w:t>antos</w:t>
      </w:r>
      <w:r w:rsidR="007B611F">
        <w:rPr>
          <w:rFonts w:eastAsia="Calibri"/>
          <w:color w:val="000000" w:themeColor="text1"/>
          <w:szCs w:val="24"/>
          <w:shd w:val="clear" w:color="auto" w:fill="FFFFFF"/>
          <w:lang w:eastAsia="en-US"/>
        </w:rPr>
        <w:t>, F. F.</w:t>
      </w:r>
      <w:r w:rsidR="00633D45">
        <w:rPr>
          <w:rFonts w:eastAsia="Calibri"/>
          <w:color w:val="000000" w:themeColor="text1"/>
          <w:szCs w:val="24"/>
          <w:shd w:val="clear" w:color="auto" w:fill="FFFFFF"/>
          <w:lang w:eastAsia="en-US"/>
        </w:rPr>
        <w:t xml:space="preserve"> (2017).</w:t>
      </w:r>
      <w:r w:rsidRPr="007B611F">
        <w:rPr>
          <w:rFonts w:eastAsia="Calibri"/>
          <w:color w:val="000000" w:themeColor="text1"/>
          <w:szCs w:val="24"/>
          <w:shd w:val="clear" w:color="auto" w:fill="FFFFFF"/>
          <w:lang w:eastAsia="en-US"/>
        </w:rPr>
        <w:t xml:space="preserve"> Indicadores de Gestão Fiscal e de Qualidade do Gasto nos Municípios Brasileiros: Impactos da Lei de Responsabilidade Fiscal nas Prefeituras (Fiscal </w:t>
      </w:r>
      <w:proofErr w:type="spellStart"/>
      <w:r w:rsidRPr="007B611F">
        <w:rPr>
          <w:rFonts w:eastAsia="Calibri"/>
          <w:color w:val="000000" w:themeColor="text1"/>
          <w:szCs w:val="24"/>
          <w:shd w:val="clear" w:color="auto" w:fill="FFFFFF"/>
          <w:lang w:eastAsia="en-US"/>
        </w:rPr>
        <w:t>and</w:t>
      </w:r>
      <w:proofErr w:type="spellEnd"/>
      <w:r w:rsidRPr="007B611F">
        <w:rPr>
          <w:rFonts w:eastAsia="Calibri"/>
          <w:color w:val="000000" w:themeColor="text1"/>
          <w:szCs w:val="24"/>
          <w:shd w:val="clear" w:color="auto" w:fill="FFFFFF"/>
          <w:lang w:eastAsia="en-US"/>
        </w:rPr>
        <w:t xml:space="preserve"> </w:t>
      </w:r>
      <w:proofErr w:type="spellStart"/>
      <w:r w:rsidRPr="007B611F">
        <w:rPr>
          <w:rFonts w:eastAsia="Calibri"/>
          <w:color w:val="000000" w:themeColor="text1"/>
          <w:szCs w:val="24"/>
          <w:shd w:val="clear" w:color="auto" w:fill="FFFFFF"/>
          <w:lang w:eastAsia="en-US"/>
        </w:rPr>
        <w:t>Quality</w:t>
      </w:r>
      <w:proofErr w:type="spellEnd"/>
      <w:r w:rsidRPr="007B611F">
        <w:rPr>
          <w:rFonts w:eastAsia="Calibri"/>
          <w:color w:val="000000" w:themeColor="text1"/>
          <w:szCs w:val="24"/>
          <w:shd w:val="clear" w:color="auto" w:fill="FFFFFF"/>
          <w:lang w:eastAsia="en-US"/>
        </w:rPr>
        <w:t xml:space="preserve"> Management </w:t>
      </w:r>
      <w:proofErr w:type="spellStart"/>
      <w:r w:rsidRPr="007B611F">
        <w:rPr>
          <w:rFonts w:eastAsia="Calibri"/>
          <w:color w:val="000000" w:themeColor="text1"/>
          <w:szCs w:val="24"/>
          <w:shd w:val="clear" w:color="auto" w:fill="FFFFFF"/>
          <w:lang w:eastAsia="en-US"/>
        </w:rPr>
        <w:t>Indicators</w:t>
      </w:r>
      <w:proofErr w:type="spellEnd"/>
      <w:r w:rsidRPr="007B611F">
        <w:rPr>
          <w:rFonts w:eastAsia="Calibri"/>
          <w:color w:val="000000" w:themeColor="text1"/>
          <w:szCs w:val="24"/>
          <w:shd w:val="clear" w:color="auto" w:fill="FFFFFF"/>
          <w:lang w:eastAsia="en-US"/>
        </w:rPr>
        <w:t xml:space="preserve"> </w:t>
      </w:r>
      <w:proofErr w:type="spellStart"/>
      <w:r w:rsidRPr="007B611F">
        <w:rPr>
          <w:rFonts w:eastAsia="Calibri"/>
          <w:color w:val="000000" w:themeColor="text1"/>
          <w:szCs w:val="24"/>
          <w:shd w:val="clear" w:color="auto" w:fill="FFFFFF"/>
          <w:lang w:eastAsia="en-US"/>
        </w:rPr>
        <w:t>Expenditures</w:t>
      </w:r>
      <w:proofErr w:type="spellEnd"/>
      <w:r w:rsidRPr="007B611F">
        <w:rPr>
          <w:rFonts w:eastAsia="Calibri"/>
          <w:color w:val="000000" w:themeColor="text1"/>
          <w:szCs w:val="24"/>
          <w:shd w:val="clear" w:color="auto" w:fill="FFFFFF"/>
          <w:lang w:eastAsia="en-US"/>
        </w:rPr>
        <w:t xml:space="preserve"> </w:t>
      </w:r>
      <w:r w:rsidRPr="007B611F">
        <w:rPr>
          <w:rFonts w:eastAsia="Calibri"/>
          <w:color w:val="000000" w:themeColor="text1"/>
          <w:szCs w:val="24"/>
          <w:shd w:val="clear" w:color="auto" w:fill="FFFFFF"/>
          <w:lang w:eastAsia="en-US"/>
        </w:rPr>
        <w:lastRenderedPageBreak/>
        <w:t xml:space="preserve">in </w:t>
      </w:r>
      <w:proofErr w:type="spellStart"/>
      <w:r w:rsidRPr="007B611F">
        <w:rPr>
          <w:rFonts w:eastAsia="Calibri"/>
          <w:color w:val="000000" w:themeColor="text1"/>
          <w:szCs w:val="24"/>
          <w:shd w:val="clear" w:color="auto" w:fill="FFFFFF"/>
          <w:lang w:eastAsia="en-US"/>
        </w:rPr>
        <w:t>Brazilian</w:t>
      </w:r>
      <w:proofErr w:type="spellEnd"/>
      <w:r w:rsidRPr="007B611F">
        <w:rPr>
          <w:rFonts w:eastAsia="Calibri"/>
          <w:color w:val="000000" w:themeColor="text1"/>
          <w:szCs w:val="24"/>
          <w:shd w:val="clear" w:color="auto" w:fill="FFFFFF"/>
          <w:lang w:eastAsia="en-US"/>
        </w:rPr>
        <w:t xml:space="preserve"> </w:t>
      </w:r>
      <w:proofErr w:type="spellStart"/>
      <w:r w:rsidRPr="007B611F">
        <w:rPr>
          <w:rFonts w:eastAsia="Calibri"/>
          <w:color w:val="000000" w:themeColor="text1"/>
          <w:szCs w:val="24"/>
          <w:shd w:val="clear" w:color="auto" w:fill="FFFFFF"/>
          <w:lang w:eastAsia="en-US"/>
        </w:rPr>
        <w:t>Cities</w:t>
      </w:r>
      <w:proofErr w:type="spellEnd"/>
      <w:r w:rsidRPr="007B611F">
        <w:rPr>
          <w:rFonts w:eastAsia="Calibri"/>
          <w:color w:val="000000" w:themeColor="text1"/>
          <w:szCs w:val="24"/>
          <w:shd w:val="clear" w:color="auto" w:fill="FFFFFF"/>
          <w:lang w:eastAsia="en-US"/>
        </w:rPr>
        <w:t xml:space="preserve">: </w:t>
      </w:r>
      <w:proofErr w:type="spellStart"/>
      <w:r w:rsidRPr="007B611F">
        <w:rPr>
          <w:rFonts w:eastAsia="Calibri"/>
          <w:color w:val="000000" w:themeColor="text1"/>
          <w:szCs w:val="24"/>
          <w:shd w:val="clear" w:color="auto" w:fill="FFFFFF"/>
          <w:lang w:eastAsia="en-US"/>
        </w:rPr>
        <w:t>Impacts</w:t>
      </w:r>
      <w:proofErr w:type="spellEnd"/>
      <w:r w:rsidRPr="007B611F">
        <w:rPr>
          <w:rFonts w:eastAsia="Calibri"/>
          <w:color w:val="000000" w:themeColor="text1"/>
          <w:szCs w:val="24"/>
          <w:shd w:val="clear" w:color="auto" w:fill="FFFFFF"/>
          <w:lang w:eastAsia="en-US"/>
        </w:rPr>
        <w:t xml:space="preserve"> </w:t>
      </w:r>
      <w:proofErr w:type="spellStart"/>
      <w:r w:rsidRPr="007B611F">
        <w:rPr>
          <w:rFonts w:eastAsia="Calibri"/>
          <w:color w:val="000000" w:themeColor="text1"/>
          <w:szCs w:val="24"/>
          <w:shd w:val="clear" w:color="auto" w:fill="FFFFFF"/>
          <w:lang w:eastAsia="en-US"/>
        </w:rPr>
        <w:t>of</w:t>
      </w:r>
      <w:proofErr w:type="spellEnd"/>
      <w:r w:rsidRPr="007B611F">
        <w:rPr>
          <w:rFonts w:eastAsia="Calibri"/>
          <w:color w:val="000000" w:themeColor="text1"/>
          <w:szCs w:val="24"/>
          <w:shd w:val="clear" w:color="auto" w:fill="FFFFFF"/>
          <w:lang w:eastAsia="en-US"/>
        </w:rPr>
        <w:t xml:space="preserve"> </w:t>
      </w:r>
      <w:proofErr w:type="spellStart"/>
      <w:r w:rsidRPr="007B611F">
        <w:rPr>
          <w:rFonts w:eastAsia="Calibri"/>
          <w:color w:val="000000" w:themeColor="text1"/>
          <w:szCs w:val="24"/>
          <w:shd w:val="clear" w:color="auto" w:fill="FFFFFF"/>
          <w:lang w:eastAsia="en-US"/>
        </w:rPr>
        <w:t>the</w:t>
      </w:r>
      <w:proofErr w:type="spellEnd"/>
      <w:r w:rsidRPr="007B611F">
        <w:rPr>
          <w:rFonts w:eastAsia="Calibri"/>
          <w:color w:val="000000" w:themeColor="text1"/>
          <w:szCs w:val="24"/>
          <w:shd w:val="clear" w:color="auto" w:fill="FFFFFF"/>
          <w:lang w:eastAsia="en-US"/>
        </w:rPr>
        <w:t xml:space="preserve"> Fiscal </w:t>
      </w:r>
      <w:proofErr w:type="spellStart"/>
      <w:r w:rsidRPr="007B611F">
        <w:rPr>
          <w:rFonts w:eastAsia="Calibri"/>
          <w:color w:val="000000" w:themeColor="text1"/>
          <w:szCs w:val="24"/>
          <w:shd w:val="clear" w:color="auto" w:fill="FFFFFF"/>
          <w:lang w:eastAsia="en-US"/>
        </w:rPr>
        <w:t>Responsibility</w:t>
      </w:r>
      <w:proofErr w:type="spellEnd"/>
      <w:r w:rsidRPr="007B611F">
        <w:rPr>
          <w:rFonts w:eastAsia="Calibri"/>
          <w:color w:val="000000" w:themeColor="text1"/>
          <w:szCs w:val="24"/>
          <w:shd w:val="clear" w:color="auto" w:fill="FFFFFF"/>
          <w:lang w:eastAsia="en-US"/>
        </w:rPr>
        <w:t xml:space="preserve"> Law in </w:t>
      </w:r>
      <w:proofErr w:type="spellStart"/>
      <w:r w:rsidRPr="007B611F">
        <w:rPr>
          <w:rFonts w:eastAsia="Calibri"/>
          <w:color w:val="000000" w:themeColor="text1"/>
          <w:szCs w:val="24"/>
          <w:shd w:val="clear" w:color="auto" w:fill="FFFFFF"/>
          <w:lang w:eastAsia="en-US"/>
        </w:rPr>
        <w:t>the</w:t>
      </w:r>
      <w:proofErr w:type="spellEnd"/>
      <w:r w:rsidRPr="007B611F">
        <w:rPr>
          <w:rFonts w:eastAsia="Calibri"/>
          <w:color w:val="000000" w:themeColor="text1"/>
          <w:szCs w:val="24"/>
          <w:shd w:val="clear" w:color="auto" w:fill="FFFFFF"/>
          <w:lang w:eastAsia="en-US"/>
        </w:rPr>
        <w:t xml:space="preserve"> </w:t>
      </w:r>
      <w:proofErr w:type="spellStart"/>
      <w:r w:rsidRPr="007B611F">
        <w:rPr>
          <w:rFonts w:eastAsia="Calibri"/>
          <w:color w:val="000000" w:themeColor="text1"/>
          <w:szCs w:val="24"/>
          <w:shd w:val="clear" w:color="auto" w:fill="FFFFFF"/>
          <w:lang w:eastAsia="en-US"/>
        </w:rPr>
        <w:t>Cities</w:t>
      </w:r>
      <w:proofErr w:type="spellEnd"/>
      <w:proofErr w:type="gramStart"/>
      <w:r w:rsidRPr="007B611F">
        <w:rPr>
          <w:rFonts w:eastAsia="Calibri"/>
          <w:color w:val="000000" w:themeColor="text1"/>
          <w:szCs w:val="24"/>
          <w:shd w:val="clear" w:color="auto" w:fill="FFFFFF"/>
          <w:lang w:eastAsia="en-US"/>
        </w:rPr>
        <w:t>) .</w:t>
      </w:r>
      <w:proofErr w:type="gramEnd"/>
      <w:r w:rsidRPr="007B611F">
        <w:rPr>
          <w:rFonts w:eastAsia="Calibri"/>
          <w:color w:val="000000" w:themeColor="text1"/>
          <w:szCs w:val="24"/>
          <w:shd w:val="clear" w:color="auto" w:fill="FFFFFF"/>
          <w:lang w:eastAsia="en-US"/>
        </w:rPr>
        <w:t xml:space="preserve">Lincoln </w:t>
      </w:r>
      <w:proofErr w:type="spellStart"/>
      <w:r w:rsidRPr="007B611F">
        <w:rPr>
          <w:rFonts w:eastAsia="Calibri"/>
          <w:color w:val="000000" w:themeColor="text1"/>
          <w:szCs w:val="24"/>
          <w:shd w:val="clear" w:color="auto" w:fill="FFFFFF"/>
          <w:lang w:eastAsia="en-US"/>
        </w:rPr>
        <w:t>Institute</w:t>
      </w:r>
      <w:proofErr w:type="spellEnd"/>
      <w:r w:rsidRPr="007B611F">
        <w:rPr>
          <w:rFonts w:eastAsia="Calibri"/>
          <w:color w:val="000000" w:themeColor="text1"/>
          <w:szCs w:val="24"/>
          <w:shd w:val="clear" w:color="auto" w:fill="FFFFFF"/>
          <w:lang w:eastAsia="en-US"/>
        </w:rPr>
        <w:t xml:space="preserve"> </w:t>
      </w:r>
      <w:proofErr w:type="spellStart"/>
      <w:r w:rsidRPr="007B611F">
        <w:rPr>
          <w:rFonts w:eastAsia="Calibri"/>
          <w:color w:val="000000" w:themeColor="text1"/>
          <w:szCs w:val="24"/>
          <w:shd w:val="clear" w:color="auto" w:fill="FFFFFF"/>
          <w:lang w:eastAsia="en-US"/>
        </w:rPr>
        <w:t>of</w:t>
      </w:r>
      <w:proofErr w:type="spellEnd"/>
      <w:r w:rsidRPr="007B611F">
        <w:rPr>
          <w:rFonts w:eastAsia="Calibri"/>
          <w:color w:val="000000" w:themeColor="text1"/>
          <w:szCs w:val="24"/>
          <w:shd w:val="clear" w:color="auto" w:fill="FFFFFF"/>
          <w:lang w:eastAsia="en-US"/>
        </w:rPr>
        <w:t xml:space="preserve"> Land </w:t>
      </w:r>
      <w:proofErr w:type="spellStart"/>
      <w:r w:rsidRPr="007B611F">
        <w:rPr>
          <w:rFonts w:eastAsia="Calibri"/>
          <w:color w:val="000000" w:themeColor="text1"/>
          <w:szCs w:val="24"/>
          <w:shd w:val="clear" w:color="auto" w:fill="FFFFFF"/>
          <w:lang w:eastAsia="en-US"/>
        </w:rPr>
        <w:t>Policy</w:t>
      </w:r>
      <w:proofErr w:type="spellEnd"/>
      <w:r w:rsidRPr="007B611F">
        <w:rPr>
          <w:rFonts w:eastAsia="Calibri"/>
          <w:color w:val="000000" w:themeColor="text1"/>
          <w:szCs w:val="24"/>
          <w:shd w:val="clear" w:color="auto" w:fill="FFFFFF"/>
          <w:lang w:eastAsia="en-US"/>
        </w:rPr>
        <w:t xml:space="preserve">, </w:t>
      </w:r>
      <w:proofErr w:type="spellStart"/>
      <w:r w:rsidRPr="007B611F">
        <w:rPr>
          <w:rFonts w:eastAsia="Calibri"/>
          <w:i/>
          <w:color w:val="000000" w:themeColor="text1"/>
          <w:szCs w:val="24"/>
          <w:shd w:val="clear" w:color="auto" w:fill="FFFFFF"/>
          <w:lang w:eastAsia="en-US"/>
        </w:rPr>
        <w:t>Working</w:t>
      </w:r>
      <w:proofErr w:type="spellEnd"/>
      <w:r w:rsidRPr="007B611F">
        <w:rPr>
          <w:rFonts w:eastAsia="Calibri"/>
          <w:i/>
          <w:color w:val="000000" w:themeColor="text1"/>
          <w:szCs w:val="24"/>
          <w:shd w:val="clear" w:color="auto" w:fill="FFFFFF"/>
          <w:lang w:eastAsia="en-US"/>
        </w:rPr>
        <w:t xml:space="preserve"> </w:t>
      </w:r>
      <w:proofErr w:type="spellStart"/>
      <w:r w:rsidRPr="007B611F">
        <w:rPr>
          <w:rFonts w:eastAsia="Calibri"/>
          <w:i/>
          <w:color w:val="000000" w:themeColor="text1"/>
          <w:szCs w:val="24"/>
          <w:shd w:val="clear" w:color="auto" w:fill="FFFFFF"/>
          <w:lang w:eastAsia="en-US"/>
        </w:rPr>
        <w:t>Paper</w:t>
      </w:r>
      <w:proofErr w:type="spellEnd"/>
      <w:r w:rsidR="00633D45">
        <w:rPr>
          <w:rFonts w:eastAsia="Calibri"/>
          <w:i/>
          <w:color w:val="000000" w:themeColor="text1"/>
          <w:szCs w:val="24"/>
          <w:shd w:val="clear" w:color="auto" w:fill="FFFFFF"/>
          <w:lang w:eastAsia="en-US"/>
        </w:rPr>
        <w:t>.</w:t>
      </w:r>
    </w:p>
    <w:p w:rsidR="00552F46" w:rsidRPr="00633D45" w:rsidRDefault="00552F46" w:rsidP="00552F46">
      <w:pPr>
        <w:widowControl/>
        <w:suppressLineNumbers w:val="0"/>
        <w:suppressAutoHyphens w:val="0"/>
        <w:ind w:firstLine="0"/>
        <w:rPr>
          <w:rFonts w:eastAsia="Calibri"/>
          <w:color w:val="000000" w:themeColor="text1"/>
          <w:szCs w:val="24"/>
          <w:shd w:val="clear" w:color="auto" w:fill="FFFFFF"/>
          <w:lang w:eastAsia="en-US"/>
        </w:rPr>
      </w:pPr>
    </w:p>
    <w:p w:rsidR="00B52752" w:rsidRPr="00F075B3" w:rsidRDefault="007C3C21" w:rsidP="00552F46">
      <w:pPr>
        <w:widowControl/>
        <w:suppressLineNumbers w:val="0"/>
        <w:suppressAutoHyphens w:val="0"/>
        <w:ind w:firstLine="0"/>
        <w:rPr>
          <w:rFonts w:eastAsia="Calibri"/>
          <w:color w:val="000000" w:themeColor="text1"/>
          <w:szCs w:val="24"/>
          <w:shd w:val="clear" w:color="auto" w:fill="FFFFFF"/>
          <w:lang w:val="en-US" w:eastAsia="en-US"/>
        </w:rPr>
      </w:pPr>
      <w:proofErr w:type="spellStart"/>
      <w:r w:rsidRPr="00F075B3">
        <w:rPr>
          <w:rFonts w:eastAsia="Calibri"/>
          <w:color w:val="000000" w:themeColor="text1"/>
          <w:szCs w:val="24"/>
          <w:shd w:val="clear" w:color="auto" w:fill="FFFFFF"/>
          <w:lang w:val="en-US" w:eastAsia="en-US"/>
        </w:rPr>
        <w:t>B</w:t>
      </w:r>
      <w:r w:rsidR="007B611F" w:rsidRPr="00F075B3">
        <w:rPr>
          <w:rFonts w:eastAsia="Calibri"/>
          <w:color w:val="000000" w:themeColor="text1"/>
          <w:szCs w:val="24"/>
          <w:shd w:val="clear" w:color="auto" w:fill="FFFFFF"/>
          <w:lang w:val="en-US" w:eastAsia="en-US"/>
        </w:rPr>
        <w:t>arro</w:t>
      </w:r>
      <w:proofErr w:type="spellEnd"/>
      <w:r w:rsidRPr="00F075B3">
        <w:rPr>
          <w:rFonts w:eastAsia="Calibri"/>
          <w:color w:val="000000" w:themeColor="text1"/>
          <w:szCs w:val="24"/>
          <w:shd w:val="clear" w:color="auto" w:fill="FFFFFF"/>
          <w:lang w:val="en-US" w:eastAsia="en-US"/>
        </w:rPr>
        <w:t>, R.</w:t>
      </w:r>
      <w:r w:rsidR="00633D45" w:rsidRPr="00F075B3">
        <w:rPr>
          <w:rFonts w:eastAsia="Calibri"/>
          <w:color w:val="000000" w:themeColor="text1"/>
          <w:szCs w:val="24"/>
          <w:shd w:val="clear" w:color="auto" w:fill="FFFFFF"/>
          <w:lang w:val="en-US" w:eastAsia="en-US"/>
        </w:rPr>
        <w:t xml:space="preserve"> (1979).</w:t>
      </w:r>
      <w:r w:rsidRPr="00F075B3">
        <w:rPr>
          <w:rFonts w:eastAsia="Calibri"/>
          <w:color w:val="000000" w:themeColor="text1"/>
          <w:szCs w:val="24"/>
          <w:shd w:val="clear" w:color="auto" w:fill="FFFFFF"/>
          <w:lang w:val="en-US" w:eastAsia="en-US"/>
        </w:rPr>
        <w:t xml:space="preserve"> </w:t>
      </w:r>
      <w:proofErr w:type="gramStart"/>
      <w:r w:rsidRPr="00F075B3">
        <w:rPr>
          <w:rFonts w:eastAsia="Calibri"/>
          <w:color w:val="000000" w:themeColor="text1"/>
          <w:szCs w:val="24"/>
          <w:shd w:val="clear" w:color="auto" w:fill="FFFFFF"/>
          <w:lang w:val="en-US" w:eastAsia="en-US"/>
        </w:rPr>
        <w:t>On the determination of Public debt.</w:t>
      </w:r>
      <w:proofErr w:type="gramEnd"/>
      <w:r w:rsidRPr="00F075B3">
        <w:rPr>
          <w:rFonts w:eastAsia="Calibri"/>
          <w:color w:val="000000" w:themeColor="text1"/>
          <w:szCs w:val="24"/>
          <w:shd w:val="clear" w:color="auto" w:fill="FFFFFF"/>
          <w:lang w:val="en-US" w:eastAsia="en-US"/>
        </w:rPr>
        <w:t xml:space="preserve"> </w:t>
      </w:r>
      <w:proofErr w:type="gramStart"/>
      <w:r w:rsidRPr="00F075B3">
        <w:rPr>
          <w:rFonts w:eastAsia="Calibri"/>
          <w:i/>
          <w:color w:val="000000" w:themeColor="text1"/>
          <w:szCs w:val="24"/>
          <w:shd w:val="clear" w:color="auto" w:fill="FFFFFF"/>
          <w:lang w:val="en-US" w:eastAsia="en-US"/>
        </w:rPr>
        <w:t>Journal of Political Economy,</w:t>
      </w:r>
      <w:r w:rsidR="00633D45" w:rsidRPr="00F075B3">
        <w:rPr>
          <w:rFonts w:eastAsia="Calibri"/>
          <w:color w:val="000000" w:themeColor="text1"/>
          <w:szCs w:val="24"/>
          <w:shd w:val="clear" w:color="auto" w:fill="FFFFFF"/>
          <w:lang w:val="en-US" w:eastAsia="en-US"/>
        </w:rPr>
        <w:t xml:space="preserve"> n.87, p. 940-971.</w:t>
      </w:r>
      <w:proofErr w:type="gramEnd"/>
    </w:p>
    <w:p w:rsidR="00552F46" w:rsidRPr="00F075B3" w:rsidRDefault="00552F46" w:rsidP="00552F46">
      <w:pPr>
        <w:widowControl/>
        <w:suppressLineNumbers w:val="0"/>
        <w:suppressAutoHyphens w:val="0"/>
        <w:ind w:firstLine="0"/>
        <w:rPr>
          <w:rFonts w:eastAsia="Calibri Light"/>
          <w:bCs/>
          <w:color w:val="000000" w:themeColor="text1"/>
          <w:szCs w:val="24"/>
          <w:lang w:val="en-US" w:eastAsia="en-US"/>
        </w:rPr>
      </w:pPr>
    </w:p>
    <w:p w:rsidR="00B52752" w:rsidRPr="00633D45" w:rsidRDefault="00B52752" w:rsidP="00552F46">
      <w:pPr>
        <w:widowControl/>
        <w:suppressLineNumbers w:val="0"/>
        <w:suppressAutoHyphens w:val="0"/>
        <w:ind w:firstLine="0"/>
        <w:rPr>
          <w:rFonts w:eastAsia="Calibri"/>
          <w:color w:val="000000" w:themeColor="text1"/>
          <w:szCs w:val="24"/>
          <w:shd w:val="clear" w:color="auto" w:fill="FFFFFF"/>
          <w:lang w:eastAsia="en-US"/>
        </w:rPr>
      </w:pPr>
      <w:r w:rsidRPr="007B611F">
        <w:rPr>
          <w:rFonts w:eastAsia="Calibri Light"/>
          <w:bCs/>
          <w:color w:val="000000" w:themeColor="text1"/>
          <w:szCs w:val="24"/>
          <w:lang w:eastAsia="en-US"/>
        </w:rPr>
        <w:t>Brasil, S. F. (1988). Constituição da república federativa do Brasil. </w:t>
      </w:r>
      <w:r w:rsidRPr="007B611F">
        <w:rPr>
          <w:rFonts w:eastAsia="Calibri Light"/>
          <w:bCs/>
          <w:i/>
          <w:color w:val="000000" w:themeColor="text1"/>
          <w:szCs w:val="24"/>
          <w:lang w:eastAsia="en-US"/>
        </w:rPr>
        <w:t>Brasília: Senado Federal, Centro Gráfico</w:t>
      </w:r>
      <w:r w:rsidR="007B611F">
        <w:rPr>
          <w:rFonts w:eastAsia="Calibri Light"/>
          <w:bCs/>
          <w:color w:val="000000" w:themeColor="text1"/>
          <w:szCs w:val="24"/>
          <w:lang w:eastAsia="en-US"/>
        </w:rPr>
        <w:t>.</w:t>
      </w:r>
    </w:p>
    <w:p w:rsidR="00552F46" w:rsidRDefault="00552F46" w:rsidP="00552F46">
      <w:pPr>
        <w:widowControl/>
        <w:suppressLineNumbers w:val="0"/>
        <w:suppressAutoHyphens w:val="0"/>
        <w:ind w:firstLine="0"/>
        <w:rPr>
          <w:rFonts w:eastAsia="Calibri"/>
          <w:color w:val="000000" w:themeColor="text1"/>
          <w:szCs w:val="24"/>
          <w:lang w:eastAsia="en-US"/>
        </w:rPr>
      </w:pPr>
    </w:p>
    <w:p w:rsidR="007C3C21" w:rsidRPr="007B611F" w:rsidRDefault="007C3C21" w:rsidP="00552F46">
      <w:pPr>
        <w:widowControl/>
        <w:suppressLineNumbers w:val="0"/>
        <w:suppressAutoHyphens w:val="0"/>
        <w:ind w:firstLine="0"/>
        <w:rPr>
          <w:rFonts w:eastAsia="Calibri"/>
          <w:color w:val="000000" w:themeColor="text1"/>
          <w:szCs w:val="24"/>
          <w:lang w:eastAsia="en-US"/>
        </w:rPr>
      </w:pPr>
      <w:r w:rsidRPr="007B611F">
        <w:rPr>
          <w:rFonts w:eastAsia="Calibri"/>
          <w:color w:val="000000" w:themeColor="text1"/>
          <w:szCs w:val="24"/>
          <w:lang w:eastAsia="en-US"/>
        </w:rPr>
        <w:t>B</w:t>
      </w:r>
      <w:r w:rsidR="007B611F" w:rsidRPr="007B611F">
        <w:rPr>
          <w:rFonts w:eastAsia="Calibri"/>
          <w:color w:val="000000" w:themeColor="text1"/>
          <w:szCs w:val="24"/>
          <w:lang w:eastAsia="en-US"/>
        </w:rPr>
        <w:t>rasil</w:t>
      </w:r>
      <w:r w:rsidRPr="007B611F">
        <w:rPr>
          <w:rFonts w:eastAsia="Calibri"/>
          <w:color w:val="000000" w:themeColor="text1"/>
          <w:szCs w:val="24"/>
          <w:lang w:eastAsia="en-US"/>
        </w:rPr>
        <w:t xml:space="preserve">. Lei Complementar n.101, de </w:t>
      </w:r>
      <w:proofErr w:type="gramStart"/>
      <w:r w:rsidRPr="007B611F">
        <w:rPr>
          <w:rFonts w:eastAsia="Calibri"/>
          <w:color w:val="000000" w:themeColor="text1"/>
          <w:szCs w:val="24"/>
          <w:lang w:eastAsia="en-US"/>
        </w:rPr>
        <w:t>4</w:t>
      </w:r>
      <w:proofErr w:type="gramEnd"/>
      <w:r w:rsidRPr="007B611F">
        <w:rPr>
          <w:rFonts w:eastAsia="Calibri"/>
          <w:color w:val="000000" w:themeColor="text1"/>
          <w:szCs w:val="24"/>
          <w:lang w:eastAsia="en-US"/>
        </w:rPr>
        <w:t xml:space="preserve"> de maio de 2000.</w:t>
      </w:r>
      <w:r w:rsidR="00633D45">
        <w:rPr>
          <w:rFonts w:eastAsia="Calibri"/>
          <w:color w:val="000000" w:themeColor="text1"/>
          <w:szCs w:val="24"/>
          <w:lang w:eastAsia="en-US"/>
        </w:rPr>
        <w:t xml:space="preserve"> (2000).</w:t>
      </w:r>
      <w:r w:rsidRPr="007B611F">
        <w:rPr>
          <w:rFonts w:eastAsia="Calibri"/>
          <w:color w:val="000000" w:themeColor="text1"/>
          <w:szCs w:val="24"/>
          <w:lang w:eastAsia="en-US"/>
        </w:rPr>
        <w:t xml:space="preserve"> Estabelece normas de finanças públicas voltadas para a responsabilidade na gestão fiscal e dá outras providências. Disponível: &lt;</w:t>
      </w:r>
      <w:hyperlink r:id="rId9" w:history="1">
        <w:r w:rsidRPr="007B611F">
          <w:rPr>
            <w:rFonts w:eastAsia="Calibri"/>
            <w:color w:val="000000" w:themeColor="text1"/>
            <w:szCs w:val="24"/>
            <w:u w:val="single"/>
            <w:lang w:eastAsia="en-US"/>
          </w:rPr>
          <w:t>http://www.planalto.gov.br/ccivil_03/LEIS/LCP/Lcp101.htm</w:t>
        </w:r>
      </w:hyperlink>
      <w:r w:rsidRPr="007B611F">
        <w:rPr>
          <w:rFonts w:eastAsia="Calibri"/>
          <w:color w:val="000000" w:themeColor="text1"/>
          <w:szCs w:val="24"/>
          <w:lang w:eastAsia="en-US"/>
        </w:rPr>
        <w:t xml:space="preserve">&gt;. Acesso em: 20 set. 2018. </w:t>
      </w:r>
    </w:p>
    <w:p w:rsidR="00552F46" w:rsidRDefault="00552F46" w:rsidP="00552F46">
      <w:pPr>
        <w:widowControl/>
        <w:suppressLineNumbers w:val="0"/>
        <w:suppressAutoHyphens w:val="0"/>
        <w:ind w:firstLine="0"/>
        <w:rPr>
          <w:rFonts w:eastAsia="Calibri"/>
          <w:color w:val="000000" w:themeColor="text1"/>
          <w:szCs w:val="24"/>
          <w:lang w:eastAsia="en-US"/>
        </w:rPr>
      </w:pPr>
    </w:p>
    <w:p w:rsidR="007C3C21" w:rsidRPr="00F075B3" w:rsidRDefault="007C3C21" w:rsidP="00552F46">
      <w:pPr>
        <w:widowControl/>
        <w:suppressLineNumbers w:val="0"/>
        <w:suppressAutoHyphens w:val="0"/>
        <w:ind w:firstLine="0"/>
        <w:rPr>
          <w:rFonts w:eastAsia="Calibri"/>
          <w:color w:val="000000" w:themeColor="text1"/>
          <w:szCs w:val="24"/>
          <w:lang w:val="en-US" w:eastAsia="en-US"/>
        </w:rPr>
      </w:pPr>
      <w:r w:rsidRPr="007B611F">
        <w:rPr>
          <w:rFonts w:eastAsia="Calibri"/>
          <w:color w:val="000000" w:themeColor="text1"/>
          <w:szCs w:val="24"/>
          <w:lang w:eastAsia="en-US"/>
        </w:rPr>
        <w:t>B</w:t>
      </w:r>
      <w:r w:rsidR="00633D45" w:rsidRPr="007B611F">
        <w:rPr>
          <w:rFonts w:eastAsia="Calibri"/>
          <w:color w:val="000000" w:themeColor="text1"/>
          <w:szCs w:val="24"/>
          <w:lang w:eastAsia="en-US"/>
        </w:rPr>
        <w:t>rasil</w:t>
      </w:r>
      <w:r w:rsidRPr="007B611F">
        <w:rPr>
          <w:rFonts w:eastAsia="Calibri"/>
          <w:color w:val="000000" w:themeColor="text1"/>
          <w:szCs w:val="24"/>
          <w:lang w:eastAsia="en-US"/>
        </w:rPr>
        <w:t>. Resolução do Senado Federal nº. 40, de 21 de dezembro de 2001.</w:t>
      </w:r>
      <w:r w:rsidR="00633D45">
        <w:rPr>
          <w:rFonts w:eastAsia="Calibri"/>
          <w:color w:val="000000" w:themeColor="text1"/>
          <w:szCs w:val="24"/>
          <w:lang w:eastAsia="en-US"/>
        </w:rPr>
        <w:t xml:space="preserve"> (2001).</w:t>
      </w:r>
      <w:r w:rsidRPr="007B611F">
        <w:rPr>
          <w:rFonts w:eastAsia="Calibri"/>
          <w:color w:val="000000" w:themeColor="text1"/>
          <w:szCs w:val="24"/>
          <w:lang w:eastAsia="en-US"/>
        </w:rPr>
        <w:t xml:space="preserve"> Dispõe sobre os limites globais para o montante da dívida pública consolidada e da dívida pública mobiliária dos Estados, do Distrito Federal e dos Municípios, em atendimento ao disposto no art. 52, VI e IX, da Constituição Federal. Disponível em: &lt; </w:t>
      </w:r>
      <w:proofErr w:type="gramStart"/>
      <w:r w:rsidRPr="007B611F">
        <w:rPr>
          <w:rFonts w:eastAsia="Calibri"/>
          <w:color w:val="000000" w:themeColor="text1"/>
          <w:szCs w:val="24"/>
          <w:u w:val="single"/>
          <w:lang w:eastAsia="en-US"/>
        </w:rPr>
        <w:t>https</w:t>
      </w:r>
      <w:proofErr w:type="gramEnd"/>
      <w:r w:rsidRPr="007B611F">
        <w:rPr>
          <w:rFonts w:eastAsia="Calibri"/>
          <w:color w:val="000000" w:themeColor="text1"/>
          <w:szCs w:val="24"/>
          <w:u w:val="single"/>
          <w:lang w:eastAsia="en-US"/>
        </w:rPr>
        <w:t>://legis.senado.leg.br/legislacao/DetalhaSigen.action?</w:t>
      </w:r>
      <w:proofErr w:type="gramStart"/>
      <w:r w:rsidRPr="007B611F">
        <w:rPr>
          <w:rFonts w:eastAsia="Calibri"/>
          <w:color w:val="000000" w:themeColor="text1"/>
          <w:szCs w:val="24"/>
          <w:u w:val="single"/>
          <w:lang w:eastAsia="en-US"/>
        </w:rPr>
        <w:t>id</w:t>
      </w:r>
      <w:proofErr w:type="gramEnd"/>
      <w:r w:rsidRPr="007B611F">
        <w:rPr>
          <w:rFonts w:eastAsia="Calibri"/>
          <w:color w:val="000000" w:themeColor="text1"/>
          <w:szCs w:val="24"/>
          <w:u w:val="single"/>
          <w:lang w:eastAsia="en-US"/>
        </w:rPr>
        <w:t>=562458</w:t>
      </w:r>
      <w:r w:rsidRPr="007B611F">
        <w:rPr>
          <w:rFonts w:eastAsia="Calibri"/>
          <w:color w:val="000000" w:themeColor="text1"/>
          <w:szCs w:val="24"/>
          <w:lang w:eastAsia="en-US"/>
        </w:rPr>
        <w:t xml:space="preserve">&gt; . </w:t>
      </w:r>
      <w:proofErr w:type="spellStart"/>
      <w:r w:rsidRPr="00F075B3">
        <w:rPr>
          <w:rFonts w:eastAsia="Calibri"/>
          <w:color w:val="000000" w:themeColor="text1"/>
          <w:szCs w:val="24"/>
          <w:lang w:val="en-US" w:eastAsia="en-US"/>
        </w:rPr>
        <w:t>Acesso</w:t>
      </w:r>
      <w:proofErr w:type="spellEnd"/>
      <w:r w:rsidRPr="00F075B3">
        <w:rPr>
          <w:rFonts w:eastAsia="Calibri"/>
          <w:color w:val="000000" w:themeColor="text1"/>
          <w:szCs w:val="24"/>
          <w:lang w:val="en-US" w:eastAsia="en-US"/>
        </w:rPr>
        <w:t xml:space="preserve"> </w:t>
      </w:r>
      <w:proofErr w:type="spellStart"/>
      <w:r w:rsidRPr="00F075B3">
        <w:rPr>
          <w:rFonts w:eastAsia="Calibri"/>
          <w:color w:val="000000" w:themeColor="text1"/>
          <w:szCs w:val="24"/>
          <w:lang w:val="en-US" w:eastAsia="en-US"/>
        </w:rPr>
        <w:t>em</w:t>
      </w:r>
      <w:proofErr w:type="spellEnd"/>
      <w:r w:rsidRPr="00F075B3">
        <w:rPr>
          <w:rFonts w:eastAsia="Calibri"/>
          <w:color w:val="000000" w:themeColor="text1"/>
          <w:szCs w:val="24"/>
          <w:lang w:val="en-US" w:eastAsia="en-US"/>
        </w:rPr>
        <w:t>: 20 set. 2018.</w:t>
      </w:r>
    </w:p>
    <w:p w:rsidR="00633D45" w:rsidRPr="00F075B3" w:rsidRDefault="00633D45" w:rsidP="00552F46">
      <w:pPr>
        <w:widowControl/>
        <w:suppressLineNumbers w:val="0"/>
        <w:suppressAutoHyphens w:val="0"/>
        <w:ind w:firstLine="0"/>
        <w:rPr>
          <w:rFonts w:eastAsia="Calibri"/>
          <w:color w:val="000000" w:themeColor="text1"/>
          <w:szCs w:val="24"/>
          <w:lang w:val="en-US" w:eastAsia="en-US"/>
        </w:rPr>
      </w:pPr>
    </w:p>
    <w:p w:rsidR="00B87A74" w:rsidRPr="007B611F" w:rsidRDefault="007C3C21" w:rsidP="00552F46">
      <w:pPr>
        <w:widowControl/>
        <w:suppressLineNumbers w:val="0"/>
        <w:suppressAutoHyphens w:val="0"/>
        <w:ind w:firstLine="0"/>
        <w:rPr>
          <w:rFonts w:eastAsia="Calibri"/>
          <w:color w:val="000000" w:themeColor="text1"/>
          <w:szCs w:val="24"/>
          <w:lang w:val="en-US" w:eastAsia="en-US"/>
        </w:rPr>
      </w:pPr>
      <w:proofErr w:type="spellStart"/>
      <w:r w:rsidRPr="00633D45">
        <w:rPr>
          <w:rFonts w:eastAsia="Calibri"/>
          <w:color w:val="000000" w:themeColor="text1"/>
          <w:szCs w:val="24"/>
          <w:lang w:val="en-US" w:eastAsia="en-US"/>
        </w:rPr>
        <w:t>Burchel</w:t>
      </w:r>
      <w:r w:rsidRPr="007B611F">
        <w:rPr>
          <w:rFonts w:eastAsia="Calibri"/>
          <w:color w:val="000000" w:themeColor="text1"/>
          <w:szCs w:val="24"/>
          <w:lang w:val="en-US" w:eastAsia="en-US"/>
        </w:rPr>
        <w:t>l</w:t>
      </w:r>
      <w:proofErr w:type="spellEnd"/>
      <w:r w:rsidRPr="007B611F">
        <w:rPr>
          <w:rFonts w:eastAsia="Calibri"/>
          <w:color w:val="000000" w:themeColor="text1"/>
          <w:szCs w:val="24"/>
          <w:lang w:val="en-US" w:eastAsia="en-US"/>
        </w:rPr>
        <w:t>, R. W.</w:t>
      </w:r>
      <w:r w:rsidR="00633D45">
        <w:rPr>
          <w:rFonts w:eastAsia="Calibri"/>
          <w:color w:val="000000" w:themeColor="text1"/>
          <w:szCs w:val="24"/>
          <w:lang w:val="en-US" w:eastAsia="en-US"/>
        </w:rPr>
        <w:t xml:space="preserve"> (1984).</w:t>
      </w:r>
      <w:r w:rsidRPr="007B611F">
        <w:rPr>
          <w:rFonts w:eastAsia="Calibri"/>
          <w:color w:val="000000" w:themeColor="text1"/>
          <w:szCs w:val="24"/>
          <w:lang w:val="en-US" w:eastAsia="en-US"/>
        </w:rPr>
        <w:t xml:space="preserve"> The new reality of municipal finance: the rise and fall of the intergovernmental city. </w:t>
      </w:r>
      <w:r w:rsidRPr="00835FA5">
        <w:rPr>
          <w:rFonts w:eastAsia="Calibri"/>
          <w:i/>
          <w:color w:val="000000" w:themeColor="text1"/>
          <w:szCs w:val="24"/>
          <w:lang w:val="en-US" w:eastAsia="en-US"/>
        </w:rPr>
        <w:t>New Jersey: Center of Urban Policy Research</w:t>
      </w:r>
      <w:r w:rsidR="00633D45">
        <w:rPr>
          <w:rFonts w:eastAsia="Calibri"/>
          <w:i/>
          <w:color w:val="000000" w:themeColor="text1"/>
          <w:szCs w:val="24"/>
          <w:lang w:val="en-US" w:eastAsia="en-US"/>
        </w:rPr>
        <w:t>.</w:t>
      </w:r>
    </w:p>
    <w:p w:rsidR="00552F46" w:rsidRDefault="00552F46" w:rsidP="00552F46">
      <w:pPr>
        <w:widowControl/>
        <w:suppressLineNumbers w:val="0"/>
        <w:suppressAutoHyphens w:val="0"/>
        <w:ind w:firstLine="0"/>
        <w:rPr>
          <w:rFonts w:eastAsia="Calibri Light"/>
          <w:bCs/>
          <w:color w:val="000000" w:themeColor="text1"/>
          <w:szCs w:val="24"/>
          <w:lang w:val="en-US" w:eastAsia="en-US"/>
        </w:rPr>
      </w:pPr>
    </w:p>
    <w:p w:rsidR="00B87A74" w:rsidRPr="00F075B3" w:rsidRDefault="00B87A74" w:rsidP="00552F46">
      <w:pPr>
        <w:widowControl/>
        <w:suppressLineNumbers w:val="0"/>
        <w:suppressAutoHyphens w:val="0"/>
        <w:ind w:firstLine="0"/>
        <w:rPr>
          <w:rFonts w:eastAsia="Calibri"/>
          <w:color w:val="000000" w:themeColor="text1"/>
          <w:szCs w:val="24"/>
          <w:lang w:eastAsia="en-US"/>
        </w:rPr>
      </w:pPr>
      <w:r w:rsidRPr="00CE563D">
        <w:rPr>
          <w:rFonts w:eastAsia="Calibri Light"/>
          <w:bCs/>
          <w:color w:val="000000" w:themeColor="text1"/>
          <w:szCs w:val="24"/>
          <w:lang w:val="en-US" w:eastAsia="en-US"/>
        </w:rPr>
        <w:t>Conti, J. M. (2004). </w:t>
      </w:r>
      <w:r w:rsidRPr="00F075B3">
        <w:rPr>
          <w:rFonts w:eastAsia="Calibri Light"/>
          <w:bCs/>
          <w:i/>
          <w:color w:val="000000" w:themeColor="text1"/>
          <w:szCs w:val="24"/>
          <w:lang w:eastAsia="en-US"/>
        </w:rPr>
        <w:t>Federalismo fiscal</w:t>
      </w:r>
      <w:r w:rsidRPr="00F075B3">
        <w:rPr>
          <w:rFonts w:eastAsia="Calibri Light"/>
          <w:bCs/>
          <w:color w:val="000000" w:themeColor="text1"/>
          <w:szCs w:val="24"/>
          <w:lang w:eastAsia="en-US"/>
        </w:rPr>
        <w:t>. Editora Manole Ltda.</w:t>
      </w:r>
    </w:p>
    <w:p w:rsidR="00552F46" w:rsidRPr="00F075B3" w:rsidRDefault="00552F46" w:rsidP="00552F46">
      <w:pPr>
        <w:widowControl/>
        <w:suppressLineNumbers w:val="0"/>
        <w:suppressAutoHyphens w:val="0"/>
        <w:ind w:firstLine="0"/>
        <w:rPr>
          <w:rFonts w:eastAsia="Calibri"/>
          <w:color w:val="000000" w:themeColor="text1"/>
          <w:szCs w:val="24"/>
          <w:lang w:eastAsia="en-US"/>
        </w:rPr>
      </w:pPr>
    </w:p>
    <w:p w:rsidR="007C3C21" w:rsidRPr="007B611F" w:rsidRDefault="007C3C21" w:rsidP="00552F46">
      <w:pPr>
        <w:widowControl/>
        <w:suppressLineNumbers w:val="0"/>
        <w:suppressAutoHyphens w:val="0"/>
        <w:ind w:firstLine="0"/>
        <w:rPr>
          <w:rFonts w:eastAsia="Calibri"/>
          <w:color w:val="000000" w:themeColor="text1"/>
          <w:szCs w:val="24"/>
          <w:lang w:eastAsia="en-US"/>
        </w:rPr>
      </w:pPr>
      <w:proofErr w:type="spellStart"/>
      <w:r w:rsidRPr="00633D45">
        <w:rPr>
          <w:rFonts w:eastAsia="Calibri"/>
          <w:color w:val="000000" w:themeColor="text1"/>
          <w:szCs w:val="24"/>
          <w:lang w:eastAsia="en-US"/>
        </w:rPr>
        <w:t>C</w:t>
      </w:r>
      <w:r w:rsidR="00835FA5" w:rsidRPr="00633D45">
        <w:rPr>
          <w:rFonts w:eastAsia="Calibri"/>
          <w:color w:val="000000" w:themeColor="text1"/>
          <w:szCs w:val="24"/>
          <w:lang w:eastAsia="en-US"/>
        </w:rPr>
        <w:t>orbari</w:t>
      </w:r>
      <w:proofErr w:type="spellEnd"/>
      <w:r w:rsidRPr="00633D45">
        <w:rPr>
          <w:rFonts w:eastAsia="Calibri"/>
          <w:color w:val="000000" w:themeColor="text1"/>
          <w:szCs w:val="24"/>
          <w:lang w:eastAsia="en-US"/>
        </w:rPr>
        <w:t>, E. C.</w:t>
      </w:r>
      <w:r w:rsidR="00633D45" w:rsidRPr="00633D45">
        <w:rPr>
          <w:rFonts w:eastAsia="Calibri"/>
          <w:color w:val="000000" w:themeColor="text1"/>
          <w:szCs w:val="24"/>
          <w:lang w:eastAsia="en-US"/>
        </w:rPr>
        <w:t xml:space="preserve"> (</w:t>
      </w:r>
      <w:r w:rsidR="00633D45">
        <w:rPr>
          <w:rFonts w:eastAsia="Calibri"/>
          <w:color w:val="000000" w:themeColor="text1"/>
          <w:szCs w:val="24"/>
          <w:lang w:eastAsia="en-US"/>
        </w:rPr>
        <w:t>2008).</w:t>
      </w:r>
      <w:r w:rsidRPr="00633D45">
        <w:rPr>
          <w:rFonts w:eastAsia="Calibri"/>
          <w:color w:val="000000" w:themeColor="text1"/>
          <w:szCs w:val="24"/>
          <w:lang w:eastAsia="en-US"/>
        </w:rPr>
        <w:t xml:space="preserve"> Grandes municípios brasileiros: estrutura do end</w:t>
      </w:r>
      <w:r w:rsidRPr="007B611F">
        <w:rPr>
          <w:rFonts w:eastAsia="Calibri"/>
          <w:color w:val="000000" w:themeColor="text1"/>
          <w:szCs w:val="24"/>
          <w:lang w:eastAsia="en-US"/>
        </w:rPr>
        <w:t>ividamento e impactos da Lei de Responsabilidade Fiscal. Dissertação (Mestrado em Contabilidade) – Universidade Federal do Paraná, Curitiba.</w:t>
      </w:r>
    </w:p>
    <w:p w:rsidR="00552F46" w:rsidRPr="00633D45" w:rsidRDefault="00552F46" w:rsidP="00552F46">
      <w:pPr>
        <w:widowControl/>
        <w:suppressLineNumbers w:val="0"/>
        <w:suppressAutoHyphens w:val="0"/>
        <w:ind w:firstLine="0"/>
        <w:rPr>
          <w:rFonts w:eastAsia="Calibri"/>
          <w:color w:val="000000" w:themeColor="text1"/>
          <w:szCs w:val="24"/>
          <w:lang w:eastAsia="en-US"/>
        </w:rPr>
      </w:pPr>
    </w:p>
    <w:p w:rsidR="00552F46" w:rsidRDefault="007C3C21" w:rsidP="00552F46">
      <w:pPr>
        <w:widowControl/>
        <w:suppressLineNumbers w:val="0"/>
        <w:suppressAutoHyphens w:val="0"/>
        <w:ind w:firstLine="0"/>
        <w:rPr>
          <w:rFonts w:eastAsia="Calibri"/>
          <w:color w:val="000000" w:themeColor="text1"/>
          <w:szCs w:val="24"/>
          <w:lang w:eastAsia="en-US"/>
        </w:rPr>
      </w:pPr>
      <w:proofErr w:type="spellStart"/>
      <w:r w:rsidRPr="005E5548">
        <w:rPr>
          <w:rFonts w:eastAsia="Calibri"/>
          <w:color w:val="000000" w:themeColor="text1"/>
          <w:szCs w:val="24"/>
          <w:lang w:val="en-US" w:eastAsia="en-US"/>
        </w:rPr>
        <w:t>C</w:t>
      </w:r>
      <w:r w:rsidR="00835FA5" w:rsidRPr="005E5548">
        <w:rPr>
          <w:rFonts w:eastAsia="Calibri"/>
          <w:color w:val="000000" w:themeColor="text1"/>
          <w:szCs w:val="24"/>
          <w:lang w:val="en-US" w:eastAsia="en-US"/>
        </w:rPr>
        <w:t>orbari</w:t>
      </w:r>
      <w:proofErr w:type="spellEnd"/>
      <w:r w:rsidRPr="005E5548">
        <w:rPr>
          <w:rFonts w:eastAsia="Calibri"/>
          <w:color w:val="000000" w:themeColor="text1"/>
          <w:szCs w:val="24"/>
          <w:lang w:val="en-US" w:eastAsia="en-US"/>
        </w:rPr>
        <w:t>, E. C. et al.</w:t>
      </w:r>
      <w:r w:rsidR="00633D45" w:rsidRPr="005E5548">
        <w:rPr>
          <w:rFonts w:eastAsia="Calibri"/>
          <w:color w:val="000000" w:themeColor="text1"/>
          <w:szCs w:val="24"/>
          <w:lang w:val="en-US" w:eastAsia="en-US"/>
        </w:rPr>
        <w:t xml:space="preserve"> </w:t>
      </w:r>
      <w:r w:rsidR="00633D45">
        <w:rPr>
          <w:rFonts w:eastAsia="Calibri"/>
          <w:color w:val="000000" w:themeColor="text1"/>
          <w:szCs w:val="24"/>
          <w:lang w:eastAsia="en-US"/>
        </w:rPr>
        <w:t>(2014).</w:t>
      </w:r>
      <w:r w:rsidRPr="00633D45">
        <w:rPr>
          <w:rFonts w:eastAsia="Calibri"/>
          <w:color w:val="000000" w:themeColor="text1"/>
          <w:szCs w:val="24"/>
          <w:lang w:eastAsia="en-US"/>
        </w:rPr>
        <w:t xml:space="preserve"> </w:t>
      </w:r>
      <w:r w:rsidRPr="007B611F">
        <w:rPr>
          <w:rFonts w:eastAsia="Calibri"/>
          <w:color w:val="000000" w:themeColor="text1"/>
          <w:szCs w:val="24"/>
          <w:lang w:eastAsia="en-US"/>
        </w:rPr>
        <w:t>Os efeitos da Lei da Responsabilidade Fiscal no endividamento municipal: uma análise de dados em painéis.</w:t>
      </w:r>
    </w:p>
    <w:p w:rsidR="00633D45" w:rsidRDefault="00633D45" w:rsidP="00552F46">
      <w:pPr>
        <w:widowControl/>
        <w:suppressLineNumbers w:val="0"/>
        <w:suppressAutoHyphens w:val="0"/>
        <w:ind w:firstLine="0"/>
        <w:rPr>
          <w:rFonts w:eastAsia="Calibri"/>
          <w:color w:val="000000" w:themeColor="text1"/>
          <w:szCs w:val="24"/>
          <w:lang w:eastAsia="en-US"/>
        </w:rPr>
      </w:pPr>
    </w:p>
    <w:p w:rsidR="00A917D5" w:rsidRPr="00552F46" w:rsidRDefault="00A917D5" w:rsidP="00552F46">
      <w:pPr>
        <w:widowControl/>
        <w:suppressLineNumbers w:val="0"/>
        <w:suppressAutoHyphens w:val="0"/>
        <w:ind w:firstLine="0"/>
        <w:rPr>
          <w:rFonts w:eastAsia="Calibri"/>
          <w:color w:val="000000" w:themeColor="text1"/>
          <w:szCs w:val="24"/>
          <w:lang w:eastAsia="en-US"/>
        </w:rPr>
      </w:pPr>
      <w:r w:rsidRPr="00A917D5">
        <w:rPr>
          <w:color w:val="222222"/>
          <w:szCs w:val="24"/>
          <w:shd w:val="clear" w:color="auto" w:fill="FFFFFF"/>
        </w:rPr>
        <w:t>C</w:t>
      </w:r>
      <w:r w:rsidR="00552F46">
        <w:rPr>
          <w:color w:val="222222"/>
          <w:szCs w:val="24"/>
          <w:shd w:val="clear" w:color="auto" w:fill="FFFFFF"/>
        </w:rPr>
        <w:t>osta</w:t>
      </w:r>
      <w:r w:rsidRPr="00A917D5">
        <w:rPr>
          <w:color w:val="222222"/>
          <w:szCs w:val="24"/>
          <w:shd w:val="clear" w:color="auto" w:fill="FFFFFF"/>
        </w:rPr>
        <w:t>, J. F. (2008). Reflexos da Lei de Responsabilidade Fiscal no endividamento dos municípios brasileiros. In </w:t>
      </w:r>
      <w:r w:rsidRPr="00A917D5">
        <w:rPr>
          <w:i/>
          <w:iCs/>
          <w:color w:val="222222"/>
          <w:szCs w:val="24"/>
          <w:shd w:val="clear" w:color="auto" w:fill="FFFFFF"/>
        </w:rPr>
        <w:t>CONGRESSO BRASILEIRO DE CONTABILIDADE, 18o</w:t>
      </w:r>
      <w:r w:rsidRPr="00A917D5">
        <w:rPr>
          <w:color w:val="222222"/>
          <w:szCs w:val="24"/>
          <w:shd w:val="clear" w:color="auto" w:fill="FFFFFF"/>
        </w:rPr>
        <w:t> (pp. 24-28).</w:t>
      </w:r>
    </w:p>
    <w:p w:rsidR="00552F46" w:rsidRDefault="00552F46" w:rsidP="00552F46">
      <w:pPr>
        <w:widowControl/>
        <w:suppressLineNumbers w:val="0"/>
        <w:suppressAutoHyphens w:val="0"/>
        <w:ind w:firstLine="0"/>
        <w:rPr>
          <w:color w:val="222222"/>
          <w:szCs w:val="24"/>
          <w:shd w:val="clear" w:color="auto" w:fill="FFFFFF"/>
        </w:rPr>
      </w:pPr>
    </w:p>
    <w:p w:rsidR="00A917D5" w:rsidRPr="00A917D5" w:rsidRDefault="00A917D5" w:rsidP="00552F46">
      <w:pPr>
        <w:widowControl/>
        <w:suppressLineNumbers w:val="0"/>
        <w:suppressAutoHyphens w:val="0"/>
        <w:ind w:firstLine="0"/>
        <w:rPr>
          <w:rFonts w:eastAsia="Calibri"/>
          <w:color w:val="000000" w:themeColor="text1"/>
          <w:szCs w:val="24"/>
          <w:shd w:val="clear" w:color="auto" w:fill="FFFFFF"/>
          <w:lang w:eastAsia="en-US"/>
        </w:rPr>
      </w:pPr>
      <w:proofErr w:type="spellStart"/>
      <w:r w:rsidRPr="00A917D5">
        <w:rPr>
          <w:color w:val="222222"/>
          <w:szCs w:val="24"/>
          <w:shd w:val="clear" w:color="auto" w:fill="FFFFFF"/>
        </w:rPr>
        <w:t>C</w:t>
      </w:r>
      <w:r w:rsidR="00552F46" w:rsidRPr="00A917D5">
        <w:rPr>
          <w:color w:val="222222"/>
          <w:szCs w:val="24"/>
          <w:shd w:val="clear" w:color="auto" w:fill="FFFFFF"/>
        </w:rPr>
        <w:t>repaldi</w:t>
      </w:r>
      <w:proofErr w:type="spellEnd"/>
      <w:r w:rsidRPr="00A917D5">
        <w:rPr>
          <w:color w:val="222222"/>
          <w:szCs w:val="24"/>
          <w:shd w:val="clear" w:color="auto" w:fill="FFFFFF"/>
        </w:rPr>
        <w:t xml:space="preserve">, S. A., &amp; </w:t>
      </w:r>
      <w:proofErr w:type="spellStart"/>
      <w:r w:rsidRPr="00A917D5">
        <w:rPr>
          <w:color w:val="222222"/>
          <w:szCs w:val="24"/>
          <w:shd w:val="clear" w:color="auto" w:fill="FFFFFF"/>
        </w:rPr>
        <w:t>C</w:t>
      </w:r>
      <w:r w:rsidR="00552F46" w:rsidRPr="00A917D5">
        <w:rPr>
          <w:color w:val="222222"/>
          <w:szCs w:val="24"/>
          <w:shd w:val="clear" w:color="auto" w:fill="FFFFFF"/>
        </w:rPr>
        <w:t>repaldi</w:t>
      </w:r>
      <w:proofErr w:type="spellEnd"/>
      <w:r w:rsidRPr="00A917D5">
        <w:rPr>
          <w:color w:val="222222"/>
          <w:szCs w:val="24"/>
          <w:shd w:val="clear" w:color="auto" w:fill="FFFFFF"/>
        </w:rPr>
        <w:t>, G. S. (2013). Orçamento público: planejamento, elaboração e controle. </w:t>
      </w:r>
      <w:r w:rsidRPr="00A917D5">
        <w:rPr>
          <w:i/>
          <w:iCs/>
          <w:color w:val="222222"/>
          <w:szCs w:val="24"/>
          <w:shd w:val="clear" w:color="auto" w:fill="FFFFFF"/>
        </w:rPr>
        <w:t>São Paulo: Saraiva</w:t>
      </w:r>
      <w:r w:rsidRPr="00A917D5">
        <w:rPr>
          <w:color w:val="222222"/>
          <w:szCs w:val="24"/>
          <w:shd w:val="clear" w:color="auto" w:fill="FFFFFF"/>
        </w:rPr>
        <w:t>.</w:t>
      </w:r>
    </w:p>
    <w:p w:rsidR="00552F46" w:rsidRDefault="00552F46" w:rsidP="00552F46">
      <w:pPr>
        <w:widowControl/>
        <w:suppressLineNumbers w:val="0"/>
        <w:suppressAutoHyphens w:val="0"/>
        <w:ind w:firstLine="0"/>
        <w:rPr>
          <w:rFonts w:eastAsia="Calibri"/>
          <w:color w:val="000000" w:themeColor="text1"/>
          <w:szCs w:val="24"/>
          <w:shd w:val="clear" w:color="auto" w:fill="FFFFFF"/>
          <w:lang w:eastAsia="en-US"/>
        </w:rPr>
      </w:pPr>
    </w:p>
    <w:p w:rsidR="00B52752" w:rsidRDefault="007C3C21" w:rsidP="00552F46">
      <w:pPr>
        <w:widowControl/>
        <w:suppressLineNumbers w:val="0"/>
        <w:suppressAutoHyphens w:val="0"/>
        <w:ind w:firstLine="0"/>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C</w:t>
      </w:r>
      <w:r w:rsidR="00B87A74" w:rsidRPr="007B611F">
        <w:rPr>
          <w:rFonts w:eastAsia="Calibri"/>
          <w:color w:val="000000" w:themeColor="text1"/>
          <w:szCs w:val="24"/>
          <w:shd w:val="clear" w:color="auto" w:fill="FFFFFF"/>
          <w:lang w:eastAsia="en-US"/>
        </w:rPr>
        <w:t>ruz</w:t>
      </w:r>
      <w:r w:rsidRPr="007B611F">
        <w:rPr>
          <w:rFonts w:eastAsia="Calibri"/>
          <w:color w:val="000000" w:themeColor="text1"/>
          <w:szCs w:val="24"/>
          <w:shd w:val="clear" w:color="auto" w:fill="FFFFFF"/>
          <w:lang w:eastAsia="en-US"/>
        </w:rPr>
        <w:t xml:space="preserve">, A. F. da </w:t>
      </w:r>
      <w:proofErr w:type="gramStart"/>
      <w:r w:rsidRPr="007B611F">
        <w:rPr>
          <w:rFonts w:eastAsia="Calibri"/>
          <w:color w:val="000000" w:themeColor="text1"/>
          <w:szCs w:val="24"/>
          <w:shd w:val="clear" w:color="auto" w:fill="FFFFFF"/>
          <w:lang w:eastAsia="en-US"/>
        </w:rPr>
        <w:t>et</w:t>
      </w:r>
      <w:proofErr w:type="gramEnd"/>
      <w:r w:rsidRPr="007B611F">
        <w:rPr>
          <w:rFonts w:eastAsia="Calibri"/>
          <w:color w:val="000000" w:themeColor="text1"/>
          <w:szCs w:val="24"/>
          <w:shd w:val="clear" w:color="auto" w:fill="FFFFFF"/>
          <w:lang w:eastAsia="en-US"/>
        </w:rPr>
        <w:t xml:space="preserve"> al</w:t>
      </w:r>
      <w:r w:rsidR="00633D45">
        <w:rPr>
          <w:rFonts w:eastAsia="Calibri"/>
          <w:color w:val="000000" w:themeColor="text1"/>
          <w:szCs w:val="24"/>
          <w:shd w:val="clear" w:color="auto" w:fill="FFFFFF"/>
          <w:lang w:eastAsia="en-US"/>
        </w:rPr>
        <w:t>. (2018)</w:t>
      </w:r>
      <w:r w:rsidRPr="007B611F">
        <w:rPr>
          <w:rFonts w:eastAsia="Calibri"/>
          <w:color w:val="000000" w:themeColor="text1"/>
          <w:szCs w:val="24"/>
          <w:shd w:val="clear" w:color="auto" w:fill="FFFFFF"/>
          <w:lang w:eastAsia="en-US"/>
        </w:rPr>
        <w:t>. A gestão fiscal do estado do Rio de Janeiro: uma análise à luz da LRF e da sustentabilidade da dívida no período de 2001 a 2017.</w:t>
      </w:r>
      <w:r w:rsidRPr="007B611F">
        <w:rPr>
          <w:rFonts w:eastAsia="Calibri"/>
          <w:i/>
          <w:color w:val="000000" w:themeColor="text1"/>
          <w:szCs w:val="24"/>
          <w:shd w:val="clear" w:color="auto" w:fill="FFFFFF"/>
          <w:lang w:eastAsia="en-US"/>
        </w:rPr>
        <w:t> </w:t>
      </w:r>
      <w:r w:rsidRPr="007B611F">
        <w:rPr>
          <w:rFonts w:eastAsia="Calibri"/>
          <w:bCs/>
          <w:i/>
          <w:color w:val="000000" w:themeColor="text1"/>
          <w:szCs w:val="24"/>
          <w:shd w:val="clear" w:color="auto" w:fill="FFFFFF"/>
          <w:lang w:eastAsia="en-US"/>
        </w:rPr>
        <w:t>Revista de Administração Pública</w:t>
      </w:r>
      <w:r w:rsidRPr="007B611F">
        <w:rPr>
          <w:rFonts w:eastAsia="Calibri"/>
          <w:i/>
          <w:color w:val="000000" w:themeColor="text1"/>
          <w:szCs w:val="24"/>
          <w:shd w:val="clear" w:color="auto" w:fill="FFFFFF"/>
          <w:lang w:eastAsia="en-US"/>
        </w:rPr>
        <w:t xml:space="preserve">, </w:t>
      </w:r>
      <w:r w:rsidRPr="007B611F">
        <w:rPr>
          <w:rFonts w:eastAsia="Calibri"/>
          <w:color w:val="000000" w:themeColor="text1"/>
          <w:szCs w:val="24"/>
          <w:shd w:val="clear" w:color="auto" w:fill="FFFFFF"/>
          <w:lang w:eastAsia="en-US"/>
        </w:rPr>
        <w:t>v. 52, n. 4, p. 764-775.</w:t>
      </w:r>
    </w:p>
    <w:p w:rsidR="00552F46" w:rsidRPr="007B611F" w:rsidRDefault="00552F46" w:rsidP="00552F46">
      <w:pPr>
        <w:widowControl/>
        <w:suppressLineNumbers w:val="0"/>
        <w:suppressAutoHyphens w:val="0"/>
        <w:ind w:firstLine="0"/>
        <w:rPr>
          <w:rFonts w:eastAsia="Calibri"/>
          <w:color w:val="000000" w:themeColor="text1"/>
          <w:szCs w:val="24"/>
          <w:shd w:val="clear" w:color="auto" w:fill="FFFFFF"/>
          <w:lang w:eastAsia="en-US"/>
        </w:rPr>
      </w:pPr>
    </w:p>
    <w:p w:rsidR="00B52752" w:rsidRPr="007B611F" w:rsidRDefault="00B52752" w:rsidP="00552F46">
      <w:pPr>
        <w:widowControl/>
        <w:suppressLineNumbers w:val="0"/>
        <w:suppressAutoHyphens w:val="0"/>
        <w:ind w:firstLine="0"/>
        <w:rPr>
          <w:rFonts w:eastAsia="Calibri Light"/>
          <w:bCs/>
          <w:color w:val="000000" w:themeColor="text1"/>
          <w:szCs w:val="24"/>
          <w:lang w:eastAsia="en-US"/>
        </w:rPr>
      </w:pPr>
      <w:r w:rsidRPr="007B611F">
        <w:rPr>
          <w:rFonts w:eastAsia="Calibri Light"/>
          <w:bCs/>
          <w:color w:val="000000" w:themeColor="text1"/>
          <w:szCs w:val="24"/>
          <w:lang w:eastAsia="en-US"/>
        </w:rPr>
        <w:lastRenderedPageBreak/>
        <w:t xml:space="preserve">Fávero, L. P., &amp; </w:t>
      </w:r>
      <w:proofErr w:type="spellStart"/>
      <w:r w:rsidRPr="007B611F">
        <w:rPr>
          <w:rFonts w:eastAsia="Calibri Light"/>
          <w:bCs/>
          <w:color w:val="000000" w:themeColor="text1"/>
          <w:szCs w:val="24"/>
          <w:lang w:eastAsia="en-US"/>
        </w:rPr>
        <w:t>Belfiore</w:t>
      </w:r>
      <w:proofErr w:type="spellEnd"/>
      <w:r w:rsidRPr="007B611F">
        <w:rPr>
          <w:rFonts w:eastAsia="Calibri Light"/>
          <w:bCs/>
          <w:color w:val="000000" w:themeColor="text1"/>
          <w:szCs w:val="24"/>
          <w:lang w:eastAsia="en-US"/>
        </w:rPr>
        <w:t>, P. (2017). </w:t>
      </w:r>
      <w:r w:rsidRPr="007B611F">
        <w:rPr>
          <w:rFonts w:eastAsia="Calibri Light"/>
          <w:bCs/>
          <w:i/>
          <w:color w:val="000000" w:themeColor="text1"/>
          <w:szCs w:val="24"/>
          <w:lang w:eastAsia="en-US"/>
        </w:rPr>
        <w:t xml:space="preserve">Manual de análise de dados: estatística e modelagem multivariada com Excel®, SPSS® e </w:t>
      </w:r>
      <w:proofErr w:type="spellStart"/>
      <w:r w:rsidRPr="007B611F">
        <w:rPr>
          <w:rFonts w:eastAsia="Calibri Light"/>
          <w:bCs/>
          <w:i/>
          <w:color w:val="000000" w:themeColor="text1"/>
          <w:szCs w:val="24"/>
          <w:lang w:eastAsia="en-US"/>
        </w:rPr>
        <w:t>Stata</w:t>
      </w:r>
      <w:proofErr w:type="spellEnd"/>
      <w:r w:rsidRPr="007B611F">
        <w:rPr>
          <w:rFonts w:eastAsia="Calibri Light"/>
          <w:bCs/>
          <w:i/>
          <w:color w:val="000000" w:themeColor="text1"/>
          <w:szCs w:val="24"/>
          <w:lang w:eastAsia="en-US"/>
        </w:rPr>
        <w:t>®</w:t>
      </w:r>
      <w:r w:rsidRPr="007B611F">
        <w:rPr>
          <w:rFonts w:eastAsia="Calibri Light"/>
          <w:bCs/>
          <w:color w:val="000000" w:themeColor="text1"/>
          <w:szCs w:val="24"/>
          <w:lang w:eastAsia="en-US"/>
        </w:rPr>
        <w:t xml:space="preserve">. </w:t>
      </w:r>
      <w:proofErr w:type="spellStart"/>
      <w:r w:rsidRPr="007B611F">
        <w:rPr>
          <w:rFonts w:eastAsia="Calibri Light"/>
          <w:bCs/>
          <w:color w:val="000000" w:themeColor="text1"/>
          <w:szCs w:val="24"/>
          <w:lang w:eastAsia="en-US"/>
        </w:rPr>
        <w:t>Elsevier</w:t>
      </w:r>
      <w:proofErr w:type="spellEnd"/>
      <w:r w:rsidRPr="007B611F">
        <w:rPr>
          <w:rFonts w:eastAsia="Calibri Light"/>
          <w:bCs/>
          <w:color w:val="000000" w:themeColor="text1"/>
          <w:szCs w:val="24"/>
          <w:lang w:eastAsia="en-US"/>
        </w:rPr>
        <w:t xml:space="preserve"> Brasil.</w:t>
      </w:r>
    </w:p>
    <w:p w:rsidR="00552F46" w:rsidRDefault="00552F46" w:rsidP="00552F46">
      <w:pPr>
        <w:widowControl/>
        <w:suppressLineNumbers w:val="0"/>
        <w:suppressAutoHyphens w:val="0"/>
        <w:ind w:firstLine="0"/>
        <w:rPr>
          <w:rFonts w:eastAsia="Calibri"/>
          <w:color w:val="000000" w:themeColor="text1"/>
          <w:szCs w:val="24"/>
          <w:shd w:val="clear" w:color="auto" w:fill="FFFFFF"/>
          <w:lang w:eastAsia="en-US"/>
        </w:rPr>
      </w:pPr>
    </w:p>
    <w:p w:rsidR="007C3C21" w:rsidRPr="007B611F" w:rsidRDefault="00A917D5" w:rsidP="00552F46">
      <w:pPr>
        <w:widowControl/>
        <w:suppressLineNumbers w:val="0"/>
        <w:suppressAutoHyphens w:val="0"/>
        <w:ind w:firstLine="0"/>
        <w:rPr>
          <w:rFonts w:eastAsia="Calibri"/>
          <w:color w:val="000000" w:themeColor="text1"/>
          <w:szCs w:val="24"/>
          <w:shd w:val="clear" w:color="auto" w:fill="FFFFFF"/>
          <w:lang w:val="en-US" w:eastAsia="en-US"/>
        </w:rPr>
      </w:pPr>
      <w:proofErr w:type="spellStart"/>
      <w:r>
        <w:rPr>
          <w:rFonts w:eastAsia="Calibri"/>
          <w:color w:val="000000" w:themeColor="text1"/>
          <w:szCs w:val="24"/>
          <w:shd w:val="clear" w:color="auto" w:fill="FFFFFF"/>
          <w:lang w:eastAsia="en-US"/>
        </w:rPr>
        <w:t>Forum</w:t>
      </w:r>
      <w:proofErr w:type="spellEnd"/>
      <w:r>
        <w:rPr>
          <w:rFonts w:eastAsia="Calibri"/>
          <w:color w:val="000000" w:themeColor="text1"/>
          <w:szCs w:val="24"/>
          <w:shd w:val="clear" w:color="auto" w:fill="FFFFFF"/>
          <w:lang w:eastAsia="en-US"/>
        </w:rPr>
        <w:t xml:space="preserve"> Nacional de Entidades </w:t>
      </w:r>
      <w:proofErr w:type="spellStart"/>
      <w:r>
        <w:rPr>
          <w:rFonts w:eastAsia="Calibri"/>
          <w:color w:val="000000" w:themeColor="text1"/>
          <w:szCs w:val="24"/>
          <w:shd w:val="clear" w:color="auto" w:fill="FFFFFF"/>
          <w:lang w:eastAsia="en-US"/>
        </w:rPr>
        <w:t>M</w:t>
      </w:r>
      <w:r w:rsidRPr="007B611F">
        <w:rPr>
          <w:rFonts w:eastAsia="Calibri"/>
          <w:color w:val="000000" w:themeColor="text1"/>
          <w:szCs w:val="24"/>
          <w:shd w:val="clear" w:color="auto" w:fill="FFFFFF"/>
          <w:lang w:eastAsia="en-US"/>
        </w:rPr>
        <w:t>etrolitanas</w:t>
      </w:r>
      <w:proofErr w:type="spellEnd"/>
      <w:r w:rsidRPr="007B611F">
        <w:rPr>
          <w:rFonts w:eastAsia="Calibri"/>
          <w:color w:val="000000" w:themeColor="text1"/>
          <w:szCs w:val="24"/>
          <w:shd w:val="clear" w:color="auto" w:fill="FFFFFF"/>
          <w:lang w:eastAsia="en-US"/>
        </w:rPr>
        <w:t>.</w:t>
      </w:r>
      <w:r w:rsidR="00633D45">
        <w:rPr>
          <w:rFonts w:eastAsia="Calibri"/>
          <w:color w:val="000000" w:themeColor="text1"/>
          <w:szCs w:val="24"/>
          <w:shd w:val="clear" w:color="auto" w:fill="FFFFFF"/>
          <w:lang w:eastAsia="en-US"/>
        </w:rPr>
        <w:t xml:space="preserve"> FNEM.</w:t>
      </w:r>
      <w:r w:rsidR="007C3C21" w:rsidRPr="007B611F">
        <w:rPr>
          <w:rFonts w:eastAsia="Calibri"/>
          <w:color w:val="000000" w:themeColor="text1"/>
          <w:szCs w:val="24"/>
          <w:shd w:val="clear" w:color="auto" w:fill="FFFFFF"/>
          <w:lang w:eastAsia="en-US"/>
        </w:rPr>
        <w:t xml:space="preserve"> </w:t>
      </w:r>
      <w:r w:rsidR="00633D45">
        <w:rPr>
          <w:rFonts w:eastAsia="Calibri"/>
          <w:color w:val="000000" w:themeColor="text1"/>
          <w:szCs w:val="24"/>
          <w:shd w:val="clear" w:color="auto" w:fill="FFFFFF"/>
          <w:lang w:eastAsia="en-US"/>
        </w:rPr>
        <w:t>(</w:t>
      </w:r>
      <w:r w:rsidR="007C3C21" w:rsidRPr="007B611F">
        <w:rPr>
          <w:rFonts w:eastAsia="Calibri"/>
          <w:color w:val="000000" w:themeColor="text1"/>
          <w:szCs w:val="24"/>
          <w:shd w:val="clear" w:color="auto" w:fill="FFFFFF"/>
          <w:lang w:eastAsia="en-US"/>
        </w:rPr>
        <w:t>2018</w:t>
      </w:r>
      <w:r w:rsidR="00633D45">
        <w:rPr>
          <w:rFonts w:eastAsia="Calibri"/>
          <w:color w:val="000000" w:themeColor="text1"/>
          <w:szCs w:val="24"/>
          <w:shd w:val="clear" w:color="auto" w:fill="FFFFFF"/>
          <w:lang w:eastAsia="en-US"/>
        </w:rPr>
        <w:t>)</w:t>
      </w:r>
      <w:r w:rsidR="007C3C21" w:rsidRPr="007B611F">
        <w:rPr>
          <w:rFonts w:eastAsia="Calibri"/>
          <w:color w:val="000000" w:themeColor="text1"/>
          <w:szCs w:val="24"/>
          <w:shd w:val="clear" w:color="auto" w:fill="FFFFFF"/>
          <w:lang w:eastAsia="en-US"/>
        </w:rPr>
        <w:t>. Região metropolitana de Goiânia. Disponível em: &lt;</w:t>
      </w:r>
      <w:r w:rsidR="007C3C21" w:rsidRPr="007B611F">
        <w:rPr>
          <w:rFonts w:eastAsia="Calibri"/>
          <w:color w:val="000000" w:themeColor="text1"/>
          <w:sz w:val="22"/>
          <w:szCs w:val="22"/>
          <w:lang w:eastAsia="en-US"/>
        </w:rPr>
        <w:t xml:space="preserve"> </w:t>
      </w:r>
      <w:r w:rsidR="007C3C21" w:rsidRPr="007B611F">
        <w:rPr>
          <w:rFonts w:eastAsia="Calibri"/>
          <w:color w:val="000000" w:themeColor="text1"/>
          <w:szCs w:val="24"/>
          <w:shd w:val="clear" w:color="auto" w:fill="FFFFFF"/>
          <w:lang w:eastAsia="en-US"/>
        </w:rPr>
        <w:t xml:space="preserve">http://fnembrasil.org/regiao-metropolitana-de-goiania-go/&gt; Acesso em: 05. </w:t>
      </w:r>
      <w:proofErr w:type="spellStart"/>
      <w:proofErr w:type="gramStart"/>
      <w:r w:rsidR="007C3C21" w:rsidRPr="00CE563D">
        <w:rPr>
          <w:rFonts w:eastAsia="Calibri"/>
          <w:color w:val="000000" w:themeColor="text1"/>
          <w:szCs w:val="24"/>
          <w:shd w:val="clear" w:color="auto" w:fill="FFFFFF"/>
          <w:lang w:val="en-US" w:eastAsia="en-US"/>
        </w:rPr>
        <w:t>Dez</w:t>
      </w:r>
      <w:proofErr w:type="spellEnd"/>
      <w:r w:rsidR="007C3C21" w:rsidRPr="007B611F">
        <w:rPr>
          <w:rFonts w:eastAsia="Calibri"/>
          <w:color w:val="000000" w:themeColor="text1"/>
          <w:szCs w:val="24"/>
          <w:shd w:val="clear" w:color="auto" w:fill="FFFFFF"/>
          <w:lang w:val="en-US" w:eastAsia="en-US"/>
        </w:rPr>
        <w:t>.</w:t>
      </w:r>
      <w:proofErr w:type="gramEnd"/>
      <w:r w:rsidR="007C3C21" w:rsidRPr="007B611F">
        <w:rPr>
          <w:rFonts w:eastAsia="Calibri"/>
          <w:color w:val="000000" w:themeColor="text1"/>
          <w:szCs w:val="24"/>
          <w:shd w:val="clear" w:color="auto" w:fill="FFFFFF"/>
          <w:lang w:val="en-US" w:eastAsia="en-US"/>
        </w:rPr>
        <w:t xml:space="preserve"> 2018</w:t>
      </w:r>
    </w:p>
    <w:p w:rsidR="00552F46" w:rsidRDefault="00552F46" w:rsidP="00552F46">
      <w:pPr>
        <w:widowControl/>
        <w:suppressLineNumbers w:val="0"/>
        <w:suppressAutoHyphens w:val="0"/>
        <w:ind w:firstLine="0"/>
        <w:rPr>
          <w:rFonts w:eastAsia="Calibri"/>
          <w:color w:val="000000" w:themeColor="text1"/>
          <w:szCs w:val="24"/>
          <w:shd w:val="clear" w:color="auto" w:fill="FFFFFF"/>
          <w:lang w:val="en-US" w:eastAsia="en-US"/>
        </w:rPr>
      </w:pPr>
    </w:p>
    <w:p w:rsidR="00B87A74" w:rsidRPr="00CE563D" w:rsidRDefault="007C3C21" w:rsidP="00552F46">
      <w:pPr>
        <w:widowControl/>
        <w:suppressLineNumbers w:val="0"/>
        <w:suppressAutoHyphens w:val="0"/>
        <w:ind w:firstLine="0"/>
        <w:rPr>
          <w:rFonts w:eastAsia="Calibri"/>
          <w:color w:val="000000" w:themeColor="text1"/>
          <w:szCs w:val="24"/>
          <w:shd w:val="clear" w:color="auto" w:fill="FFFFFF"/>
          <w:lang w:val="en-US" w:eastAsia="en-US"/>
        </w:rPr>
      </w:pPr>
      <w:proofErr w:type="gramStart"/>
      <w:r w:rsidRPr="007B611F">
        <w:rPr>
          <w:rFonts w:eastAsia="Calibri"/>
          <w:color w:val="000000" w:themeColor="text1"/>
          <w:szCs w:val="24"/>
          <w:shd w:val="clear" w:color="auto" w:fill="FFFFFF"/>
          <w:lang w:val="en-US" w:eastAsia="en-US"/>
        </w:rPr>
        <w:t>F</w:t>
      </w:r>
      <w:r w:rsidR="00A917D5" w:rsidRPr="007B611F">
        <w:rPr>
          <w:rFonts w:eastAsia="Calibri"/>
          <w:color w:val="000000" w:themeColor="text1"/>
          <w:szCs w:val="24"/>
          <w:shd w:val="clear" w:color="auto" w:fill="FFFFFF"/>
          <w:lang w:val="en-US" w:eastAsia="en-US"/>
        </w:rPr>
        <w:t>isher</w:t>
      </w:r>
      <w:r w:rsidRPr="007B611F">
        <w:rPr>
          <w:rFonts w:eastAsia="Calibri"/>
          <w:color w:val="000000" w:themeColor="text1"/>
          <w:szCs w:val="24"/>
          <w:shd w:val="clear" w:color="auto" w:fill="FFFFFF"/>
          <w:lang w:val="en-US" w:eastAsia="en-US"/>
        </w:rPr>
        <w:t>, Ronald C.</w:t>
      </w:r>
      <w:r w:rsidR="00633D45">
        <w:rPr>
          <w:rFonts w:eastAsia="Calibri"/>
          <w:color w:val="000000" w:themeColor="text1"/>
          <w:szCs w:val="24"/>
          <w:shd w:val="clear" w:color="auto" w:fill="FFFFFF"/>
          <w:lang w:val="en-US" w:eastAsia="en-US"/>
        </w:rPr>
        <w:t xml:space="preserve"> (2015)</w:t>
      </w:r>
      <w:r w:rsidRPr="007B611F">
        <w:rPr>
          <w:rFonts w:eastAsia="Calibri"/>
          <w:color w:val="000000" w:themeColor="text1"/>
          <w:szCs w:val="24"/>
          <w:shd w:val="clear" w:color="auto" w:fill="FFFFFF"/>
          <w:lang w:val="en-US" w:eastAsia="en-US"/>
        </w:rPr>
        <w:t> </w:t>
      </w:r>
      <w:r w:rsidRPr="00A917D5">
        <w:rPr>
          <w:rFonts w:eastAsia="Calibri"/>
          <w:bCs/>
          <w:i/>
          <w:color w:val="000000" w:themeColor="text1"/>
          <w:szCs w:val="24"/>
          <w:shd w:val="clear" w:color="auto" w:fill="FFFFFF"/>
          <w:lang w:val="en-US" w:eastAsia="en-US"/>
        </w:rPr>
        <w:t>State and local public finance</w:t>
      </w:r>
      <w:r w:rsidRPr="00A917D5">
        <w:rPr>
          <w:rFonts w:eastAsia="Calibri"/>
          <w:i/>
          <w:color w:val="000000" w:themeColor="text1"/>
          <w:szCs w:val="24"/>
          <w:shd w:val="clear" w:color="auto" w:fill="FFFFFF"/>
          <w:lang w:val="en-US" w:eastAsia="en-US"/>
        </w:rPr>
        <w:t>.</w:t>
      </w:r>
      <w:proofErr w:type="gramEnd"/>
      <w:r w:rsidRPr="00A917D5">
        <w:rPr>
          <w:rFonts w:eastAsia="Calibri"/>
          <w:i/>
          <w:color w:val="000000" w:themeColor="text1"/>
          <w:szCs w:val="24"/>
          <w:shd w:val="clear" w:color="auto" w:fill="FFFFFF"/>
          <w:lang w:val="en-US" w:eastAsia="en-US"/>
        </w:rPr>
        <w:t xml:space="preserve"> </w:t>
      </w:r>
      <w:proofErr w:type="gramStart"/>
      <w:r w:rsidR="00633D45" w:rsidRPr="00CE563D">
        <w:rPr>
          <w:rFonts w:eastAsia="Calibri"/>
          <w:color w:val="000000" w:themeColor="text1"/>
          <w:szCs w:val="24"/>
          <w:shd w:val="clear" w:color="auto" w:fill="FFFFFF"/>
          <w:lang w:val="en-US" w:eastAsia="en-US"/>
        </w:rPr>
        <w:t>Routledge</w:t>
      </w:r>
      <w:r w:rsidRPr="00CE563D">
        <w:rPr>
          <w:rFonts w:eastAsia="Calibri"/>
          <w:color w:val="000000" w:themeColor="text1"/>
          <w:szCs w:val="24"/>
          <w:shd w:val="clear" w:color="auto" w:fill="FFFFFF"/>
          <w:lang w:val="en-US" w:eastAsia="en-US"/>
        </w:rPr>
        <w:t>.</w:t>
      </w:r>
      <w:proofErr w:type="gramEnd"/>
    </w:p>
    <w:p w:rsidR="00552F46" w:rsidRPr="00CE563D" w:rsidRDefault="00552F46" w:rsidP="00552F46">
      <w:pPr>
        <w:widowControl/>
        <w:suppressLineNumbers w:val="0"/>
        <w:suppressAutoHyphens w:val="0"/>
        <w:ind w:firstLine="0"/>
        <w:rPr>
          <w:rFonts w:eastAsia="Calibri Light"/>
          <w:bCs/>
          <w:color w:val="000000" w:themeColor="text1"/>
          <w:szCs w:val="24"/>
          <w:lang w:val="en-US" w:eastAsia="en-US"/>
        </w:rPr>
      </w:pPr>
    </w:p>
    <w:p w:rsidR="00552F46" w:rsidRDefault="00B87A74" w:rsidP="00552F46">
      <w:pPr>
        <w:widowControl/>
        <w:suppressLineNumbers w:val="0"/>
        <w:suppressAutoHyphens w:val="0"/>
        <w:ind w:firstLine="0"/>
        <w:rPr>
          <w:rFonts w:eastAsia="Calibri Light"/>
          <w:bCs/>
          <w:i/>
          <w:color w:val="000000" w:themeColor="text1"/>
          <w:szCs w:val="24"/>
          <w:lang w:eastAsia="en-US"/>
        </w:rPr>
      </w:pPr>
      <w:proofErr w:type="spellStart"/>
      <w:r w:rsidRPr="00552F46">
        <w:rPr>
          <w:rFonts w:eastAsia="Calibri Light"/>
          <w:bCs/>
          <w:color w:val="000000" w:themeColor="text1"/>
          <w:szCs w:val="24"/>
          <w:lang w:eastAsia="en-US"/>
        </w:rPr>
        <w:t>Gerigk</w:t>
      </w:r>
      <w:proofErr w:type="spellEnd"/>
      <w:r w:rsidRPr="00552F46">
        <w:rPr>
          <w:rFonts w:eastAsia="Calibri Light"/>
          <w:bCs/>
          <w:color w:val="000000" w:themeColor="text1"/>
          <w:szCs w:val="24"/>
          <w:lang w:eastAsia="en-US"/>
        </w:rPr>
        <w:t>, W</w:t>
      </w:r>
      <w:proofErr w:type="gramStart"/>
      <w:r w:rsidRPr="00552F46">
        <w:rPr>
          <w:rFonts w:eastAsia="Calibri Light"/>
          <w:bCs/>
          <w:color w:val="000000" w:themeColor="text1"/>
          <w:szCs w:val="24"/>
          <w:lang w:eastAsia="en-US"/>
        </w:rPr>
        <w:t>.,</w:t>
      </w:r>
      <w:proofErr w:type="gramEnd"/>
      <w:r w:rsidRPr="00552F46">
        <w:rPr>
          <w:rFonts w:eastAsia="Calibri Light"/>
          <w:bCs/>
          <w:color w:val="000000" w:themeColor="text1"/>
          <w:szCs w:val="24"/>
          <w:lang w:eastAsia="en-US"/>
        </w:rPr>
        <w:t xml:space="preserve"> Clemente, A., &amp; Ribeiro, F. (2014). </w:t>
      </w:r>
      <w:r w:rsidRPr="007B611F">
        <w:rPr>
          <w:rFonts w:eastAsia="Calibri Light"/>
          <w:bCs/>
          <w:color w:val="000000" w:themeColor="text1"/>
          <w:szCs w:val="24"/>
          <w:lang w:eastAsia="en-US"/>
        </w:rPr>
        <w:t>O padrão do endividamento público nos municípios brasileiros de porte médio após a lei de responsabilidade fiscal. </w:t>
      </w:r>
      <w:r w:rsidRPr="007B611F">
        <w:rPr>
          <w:rFonts w:eastAsia="Calibri Light"/>
          <w:bCs/>
          <w:i/>
          <w:color w:val="000000" w:themeColor="text1"/>
          <w:szCs w:val="24"/>
          <w:lang w:eastAsia="en-US"/>
        </w:rPr>
        <w:t xml:space="preserve">REVISTA </w:t>
      </w:r>
      <w:proofErr w:type="gramStart"/>
      <w:r w:rsidRPr="007B611F">
        <w:rPr>
          <w:rFonts w:eastAsia="Calibri Light"/>
          <w:bCs/>
          <w:i/>
          <w:color w:val="000000" w:themeColor="text1"/>
          <w:szCs w:val="24"/>
          <w:lang w:eastAsia="en-US"/>
        </w:rPr>
        <w:t>AMBIENTE</w:t>
      </w:r>
      <w:proofErr w:type="gramEnd"/>
      <w:r w:rsidRPr="007B611F">
        <w:rPr>
          <w:rFonts w:eastAsia="Calibri Light"/>
          <w:bCs/>
          <w:i/>
          <w:color w:val="000000" w:themeColor="text1"/>
          <w:szCs w:val="24"/>
          <w:lang w:eastAsia="en-US"/>
        </w:rPr>
        <w:t xml:space="preserve"> </w:t>
      </w:r>
    </w:p>
    <w:p w:rsidR="00B87A74" w:rsidRPr="007B611F" w:rsidRDefault="00B87A74" w:rsidP="00552F46">
      <w:pPr>
        <w:widowControl/>
        <w:suppressLineNumbers w:val="0"/>
        <w:suppressAutoHyphens w:val="0"/>
        <w:ind w:firstLine="0"/>
        <w:rPr>
          <w:rFonts w:eastAsia="Calibri Light"/>
          <w:bCs/>
          <w:color w:val="000000" w:themeColor="text1"/>
          <w:szCs w:val="24"/>
          <w:lang w:eastAsia="en-US"/>
        </w:rPr>
      </w:pPr>
      <w:r w:rsidRPr="007B611F">
        <w:rPr>
          <w:rFonts w:eastAsia="Calibri Light"/>
          <w:bCs/>
          <w:i/>
          <w:color w:val="000000" w:themeColor="text1"/>
          <w:szCs w:val="24"/>
          <w:lang w:eastAsia="en-US"/>
        </w:rPr>
        <w:t>CONTÁBIL-Universidade Federal do Rio Grande do Norte-ISSN 2176-9036</w:t>
      </w:r>
      <w:r w:rsidRPr="007B611F">
        <w:rPr>
          <w:rFonts w:eastAsia="Calibri Light"/>
          <w:bCs/>
          <w:color w:val="000000" w:themeColor="text1"/>
          <w:szCs w:val="24"/>
          <w:lang w:eastAsia="en-US"/>
        </w:rPr>
        <w:t>, </w:t>
      </w:r>
      <w:r w:rsidRPr="007B611F">
        <w:rPr>
          <w:rFonts w:eastAsia="Calibri Light"/>
          <w:bCs/>
          <w:i/>
          <w:color w:val="000000" w:themeColor="text1"/>
          <w:szCs w:val="24"/>
          <w:lang w:eastAsia="en-US"/>
        </w:rPr>
        <w:t>6</w:t>
      </w:r>
      <w:r w:rsidRPr="007B611F">
        <w:rPr>
          <w:rFonts w:eastAsia="Calibri Light"/>
          <w:bCs/>
          <w:color w:val="000000" w:themeColor="text1"/>
          <w:szCs w:val="24"/>
          <w:lang w:eastAsia="en-US"/>
        </w:rPr>
        <w:t>(1), 122-140.</w:t>
      </w:r>
    </w:p>
    <w:p w:rsidR="00552F46" w:rsidRDefault="00552F46" w:rsidP="00552F46">
      <w:pPr>
        <w:widowControl/>
        <w:suppressLineNumbers w:val="0"/>
        <w:suppressAutoHyphens w:val="0"/>
        <w:ind w:firstLine="0"/>
        <w:rPr>
          <w:rFonts w:eastAsia="Calibri Light"/>
          <w:bCs/>
          <w:color w:val="000000" w:themeColor="text1"/>
          <w:szCs w:val="24"/>
          <w:lang w:eastAsia="en-US"/>
        </w:rPr>
      </w:pPr>
    </w:p>
    <w:p w:rsidR="00B52752" w:rsidRPr="00A917D5" w:rsidRDefault="00B52752" w:rsidP="00552F46">
      <w:pPr>
        <w:widowControl/>
        <w:suppressLineNumbers w:val="0"/>
        <w:suppressAutoHyphens w:val="0"/>
        <w:ind w:firstLine="0"/>
        <w:rPr>
          <w:rFonts w:eastAsia="Calibri"/>
          <w:color w:val="000000" w:themeColor="text1"/>
          <w:szCs w:val="24"/>
          <w:shd w:val="clear" w:color="auto" w:fill="FFFFFF"/>
          <w:lang w:eastAsia="en-US"/>
        </w:rPr>
      </w:pPr>
      <w:proofErr w:type="spellStart"/>
      <w:proofErr w:type="gramStart"/>
      <w:r w:rsidRPr="007B611F">
        <w:rPr>
          <w:rFonts w:eastAsia="Calibri Light"/>
          <w:bCs/>
          <w:color w:val="000000" w:themeColor="text1"/>
          <w:szCs w:val="24"/>
          <w:lang w:val="en-US" w:eastAsia="en-US"/>
        </w:rPr>
        <w:t>Gobetti</w:t>
      </w:r>
      <w:proofErr w:type="spellEnd"/>
      <w:r w:rsidRPr="007B611F">
        <w:rPr>
          <w:rFonts w:eastAsia="Calibri Light"/>
          <w:bCs/>
          <w:color w:val="000000" w:themeColor="text1"/>
          <w:szCs w:val="24"/>
          <w:lang w:val="en-US" w:eastAsia="en-US"/>
        </w:rPr>
        <w:t xml:space="preserve">, S. W., &amp; </w:t>
      </w:r>
      <w:proofErr w:type="spellStart"/>
      <w:r w:rsidRPr="007B611F">
        <w:rPr>
          <w:rFonts w:eastAsia="Calibri Light"/>
          <w:bCs/>
          <w:color w:val="000000" w:themeColor="text1"/>
          <w:szCs w:val="24"/>
          <w:lang w:val="en-US" w:eastAsia="en-US"/>
        </w:rPr>
        <w:t>Schettini</w:t>
      </w:r>
      <w:proofErr w:type="spellEnd"/>
      <w:r w:rsidRPr="007B611F">
        <w:rPr>
          <w:rFonts w:eastAsia="Calibri Light"/>
          <w:bCs/>
          <w:color w:val="000000" w:themeColor="text1"/>
          <w:szCs w:val="24"/>
          <w:lang w:val="en-US" w:eastAsia="en-US"/>
        </w:rPr>
        <w:t>, B. P. (2010).</w:t>
      </w:r>
      <w:proofErr w:type="gramEnd"/>
      <w:r w:rsidRPr="007B611F">
        <w:rPr>
          <w:rFonts w:eastAsia="Calibri Light"/>
          <w:bCs/>
          <w:color w:val="000000" w:themeColor="text1"/>
          <w:szCs w:val="24"/>
          <w:lang w:val="en-US" w:eastAsia="en-US"/>
        </w:rPr>
        <w:t> </w:t>
      </w:r>
      <w:r w:rsidRPr="007B611F">
        <w:rPr>
          <w:rFonts w:eastAsia="Calibri Light"/>
          <w:bCs/>
          <w:i/>
          <w:color w:val="000000" w:themeColor="text1"/>
          <w:szCs w:val="24"/>
          <w:lang w:eastAsia="en-US"/>
        </w:rPr>
        <w:t>Dívida Líquida e Dívida Bruta: uma abordagem integrada para analisar a trajetória e</w:t>
      </w:r>
      <w:r w:rsidRPr="007B611F">
        <w:rPr>
          <w:rFonts w:eastAsia="Calibri Light"/>
          <w:bCs/>
          <w:i/>
          <w:color w:val="000000" w:themeColor="text1"/>
          <w:lang w:eastAsia="en-US"/>
        </w:rPr>
        <w:t xml:space="preserve"> </w:t>
      </w:r>
      <w:r w:rsidRPr="007B611F">
        <w:rPr>
          <w:rFonts w:eastAsia="Calibri Light"/>
          <w:bCs/>
          <w:i/>
          <w:color w:val="000000" w:themeColor="text1"/>
          <w:szCs w:val="24"/>
          <w:lang w:eastAsia="en-US"/>
        </w:rPr>
        <w:t>o custo do endividamento brasileiro</w:t>
      </w:r>
      <w:r w:rsidRPr="007B611F">
        <w:rPr>
          <w:rFonts w:eastAsia="Calibri Light"/>
          <w:bCs/>
          <w:color w:val="000000" w:themeColor="text1"/>
          <w:szCs w:val="24"/>
          <w:lang w:eastAsia="en-US"/>
        </w:rPr>
        <w:t> (No. 1514). Texto para Discussão, Instituto de Pesquisa Econômica Aplicada (IPEA).</w:t>
      </w:r>
    </w:p>
    <w:p w:rsidR="00552F46" w:rsidRDefault="00552F46" w:rsidP="00552F46">
      <w:pPr>
        <w:widowControl/>
        <w:suppressLineNumbers w:val="0"/>
        <w:suppressAutoHyphens w:val="0"/>
        <w:ind w:firstLine="0"/>
        <w:rPr>
          <w:rFonts w:eastAsia="Calibri"/>
          <w:color w:val="000000" w:themeColor="text1"/>
          <w:szCs w:val="24"/>
          <w:shd w:val="clear" w:color="auto" w:fill="FFFFFF"/>
          <w:lang w:eastAsia="en-US"/>
        </w:rPr>
      </w:pPr>
    </w:p>
    <w:p w:rsidR="00B52752" w:rsidRPr="007B611F" w:rsidRDefault="007C3C21" w:rsidP="00552F46">
      <w:pPr>
        <w:widowControl/>
        <w:suppressLineNumbers w:val="0"/>
        <w:suppressAutoHyphens w:val="0"/>
        <w:ind w:firstLine="0"/>
        <w:rPr>
          <w:rFonts w:eastAsia="Calibri"/>
          <w:color w:val="000000" w:themeColor="text1"/>
          <w:szCs w:val="24"/>
          <w:shd w:val="clear" w:color="auto" w:fill="FFFFFF"/>
          <w:lang w:eastAsia="en-US"/>
        </w:rPr>
      </w:pPr>
      <w:r w:rsidRPr="00CE563D">
        <w:rPr>
          <w:rFonts w:eastAsia="Calibri"/>
          <w:color w:val="000000" w:themeColor="text1"/>
          <w:szCs w:val="24"/>
          <w:shd w:val="clear" w:color="auto" w:fill="FFFFFF"/>
          <w:lang w:eastAsia="en-US"/>
        </w:rPr>
        <w:t>G</w:t>
      </w:r>
      <w:r w:rsidR="00A917D5" w:rsidRPr="00CE563D">
        <w:rPr>
          <w:rFonts w:eastAsia="Calibri"/>
          <w:color w:val="000000" w:themeColor="text1"/>
          <w:szCs w:val="24"/>
          <w:shd w:val="clear" w:color="auto" w:fill="FFFFFF"/>
          <w:lang w:eastAsia="en-US"/>
        </w:rPr>
        <w:t>omes</w:t>
      </w:r>
      <w:r w:rsidRPr="00CE563D">
        <w:rPr>
          <w:rFonts w:eastAsia="Calibri"/>
          <w:color w:val="000000" w:themeColor="text1"/>
          <w:szCs w:val="24"/>
          <w:shd w:val="clear" w:color="auto" w:fill="FFFFFF"/>
          <w:lang w:eastAsia="en-US"/>
        </w:rPr>
        <w:t>, G. M.; M</w:t>
      </w:r>
      <w:r w:rsidR="00A917D5" w:rsidRPr="00CE563D">
        <w:rPr>
          <w:rFonts w:eastAsia="Calibri"/>
          <w:color w:val="000000" w:themeColor="text1"/>
          <w:szCs w:val="24"/>
          <w:shd w:val="clear" w:color="auto" w:fill="FFFFFF"/>
          <w:lang w:eastAsia="en-US"/>
        </w:rPr>
        <w:t xml:space="preserve">ac </w:t>
      </w:r>
      <w:proofErr w:type="spellStart"/>
      <w:r w:rsidR="00A917D5" w:rsidRPr="00CE563D">
        <w:rPr>
          <w:rFonts w:eastAsia="Calibri"/>
          <w:color w:val="000000" w:themeColor="text1"/>
          <w:szCs w:val="24"/>
          <w:shd w:val="clear" w:color="auto" w:fill="FFFFFF"/>
          <w:lang w:eastAsia="en-US"/>
        </w:rPr>
        <w:t>Dowell</w:t>
      </w:r>
      <w:proofErr w:type="spellEnd"/>
      <w:r w:rsidRPr="00CE563D">
        <w:rPr>
          <w:rFonts w:eastAsia="Calibri"/>
          <w:color w:val="000000" w:themeColor="text1"/>
          <w:szCs w:val="24"/>
          <w:shd w:val="clear" w:color="auto" w:fill="FFFFFF"/>
          <w:lang w:eastAsia="en-US"/>
        </w:rPr>
        <w:t>; C. M.</w:t>
      </w:r>
      <w:r w:rsidR="00633D45" w:rsidRPr="00CE563D">
        <w:rPr>
          <w:rFonts w:eastAsia="Calibri"/>
          <w:color w:val="000000" w:themeColor="text1"/>
          <w:szCs w:val="24"/>
          <w:shd w:val="clear" w:color="auto" w:fill="FFFFFF"/>
          <w:lang w:eastAsia="en-US"/>
        </w:rPr>
        <w:t xml:space="preserve"> (2000).</w:t>
      </w:r>
      <w:r w:rsidRPr="00CE563D">
        <w:rPr>
          <w:rFonts w:eastAsia="Calibri"/>
          <w:color w:val="000000" w:themeColor="text1"/>
          <w:szCs w:val="24"/>
          <w:shd w:val="clear" w:color="auto" w:fill="FFFFFF"/>
          <w:lang w:eastAsia="en-US"/>
        </w:rPr>
        <w:t xml:space="preserve"> </w:t>
      </w:r>
      <w:r w:rsidRPr="007B611F">
        <w:rPr>
          <w:rFonts w:eastAsia="Calibri"/>
          <w:color w:val="000000" w:themeColor="text1"/>
          <w:szCs w:val="24"/>
          <w:shd w:val="clear" w:color="auto" w:fill="FFFFFF"/>
          <w:lang w:eastAsia="en-US"/>
        </w:rPr>
        <w:t xml:space="preserve">Descentralização política, federalismo fiscal e criação de municípios: o que é mau para o econômico nem sempre é bom para </w:t>
      </w:r>
      <w:r w:rsidR="00633D45">
        <w:rPr>
          <w:rFonts w:eastAsia="Calibri"/>
          <w:color w:val="000000" w:themeColor="text1"/>
          <w:szCs w:val="24"/>
          <w:shd w:val="clear" w:color="auto" w:fill="FFFFFF"/>
          <w:lang w:eastAsia="en-US"/>
        </w:rPr>
        <w:t>o social. Repositório IPEA</w:t>
      </w:r>
      <w:r w:rsidRPr="007B611F">
        <w:rPr>
          <w:rFonts w:eastAsia="Calibri"/>
          <w:color w:val="000000" w:themeColor="text1"/>
          <w:szCs w:val="24"/>
          <w:shd w:val="clear" w:color="auto" w:fill="FFFFFF"/>
          <w:lang w:eastAsia="en-US"/>
        </w:rPr>
        <w:t>.</w:t>
      </w:r>
    </w:p>
    <w:p w:rsidR="00552F46" w:rsidRDefault="00552F46" w:rsidP="00552F46">
      <w:pPr>
        <w:widowControl/>
        <w:suppressLineNumbers w:val="0"/>
        <w:suppressAutoHyphens w:val="0"/>
        <w:ind w:firstLine="0"/>
        <w:rPr>
          <w:rFonts w:eastAsia="Calibri Light"/>
          <w:bCs/>
          <w:color w:val="000000" w:themeColor="text1"/>
          <w:szCs w:val="24"/>
          <w:lang w:eastAsia="en-US"/>
        </w:rPr>
      </w:pPr>
    </w:p>
    <w:p w:rsidR="00B52752" w:rsidRPr="00633D45" w:rsidRDefault="00B52752" w:rsidP="00552F46">
      <w:pPr>
        <w:widowControl/>
        <w:suppressLineNumbers w:val="0"/>
        <w:suppressAutoHyphens w:val="0"/>
        <w:ind w:firstLine="0"/>
        <w:rPr>
          <w:rFonts w:eastAsia="Calibri Light"/>
          <w:bCs/>
          <w:color w:val="000000" w:themeColor="text1"/>
          <w:szCs w:val="24"/>
          <w:lang w:eastAsia="en-US"/>
        </w:rPr>
      </w:pPr>
      <w:r w:rsidRPr="007B611F">
        <w:rPr>
          <w:rFonts w:eastAsia="Calibri Light"/>
          <w:bCs/>
          <w:color w:val="000000" w:themeColor="text1"/>
          <w:szCs w:val="24"/>
          <w:lang w:eastAsia="en-US"/>
        </w:rPr>
        <w:t>Giambiagi, F., Além, A., &amp; Pinto, S. G. B. (2017). </w:t>
      </w:r>
      <w:r w:rsidRPr="007B611F">
        <w:rPr>
          <w:rFonts w:eastAsia="Calibri Light"/>
          <w:bCs/>
          <w:i/>
          <w:color w:val="000000" w:themeColor="text1"/>
          <w:szCs w:val="24"/>
          <w:lang w:eastAsia="en-US"/>
        </w:rPr>
        <w:t>Finanças públicas</w:t>
      </w:r>
      <w:r w:rsidRPr="007B611F">
        <w:rPr>
          <w:rFonts w:eastAsia="Calibri Light"/>
          <w:bCs/>
          <w:color w:val="000000" w:themeColor="text1"/>
          <w:szCs w:val="24"/>
          <w:lang w:eastAsia="en-US"/>
        </w:rPr>
        <w:t xml:space="preserve">. </w:t>
      </w:r>
      <w:proofErr w:type="spellStart"/>
      <w:r w:rsidRPr="00633D45">
        <w:rPr>
          <w:rFonts w:eastAsia="Calibri Light"/>
          <w:bCs/>
          <w:color w:val="000000" w:themeColor="text1"/>
          <w:szCs w:val="24"/>
          <w:lang w:eastAsia="en-US"/>
        </w:rPr>
        <w:t>Elsevier</w:t>
      </w:r>
      <w:proofErr w:type="spellEnd"/>
      <w:r w:rsidRPr="00633D45">
        <w:rPr>
          <w:rFonts w:eastAsia="Calibri Light"/>
          <w:bCs/>
          <w:color w:val="000000" w:themeColor="text1"/>
          <w:szCs w:val="24"/>
          <w:lang w:eastAsia="en-US"/>
        </w:rPr>
        <w:t xml:space="preserve"> Brasil.</w:t>
      </w:r>
    </w:p>
    <w:p w:rsidR="00552F46" w:rsidRPr="00633D45" w:rsidRDefault="00552F46" w:rsidP="00552F46">
      <w:pPr>
        <w:widowControl/>
        <w:suppressLineNumbers w:val="0"/>
        <w:suppressAutoHyphens w:val="0"/>
        <w:ind w:firstLine="0"/>
        <w:rPr>
          <w:rFonts w:eastAsia="Calibri Light"/>
          <w:bCs/>
          <w:color w:val="000000" w:themeColor="text1"/>
          <w:szCs w:val="24"/>
          <w:lang w:eastAsia="en-US"/>
        </w:rPr>
      </w:pPr>
    </w:p>
    <w:p w:rsidR="007C3C21" w:rsidRPr="00633D45" w:rsidRDefault="007C3C21" w:rsidP="00552F46">
      <w:pPr>
        <w:widowControl/>
        <w:suppressLineNumbers w:val="0"/>
        <w:suppressAutoHyphens w:val="0"/>
        <w:ind w:firstLine="0"/>
        <w:rPr>
          <w:rFonts w:eastAsia="Calibri"/>
          <w:color w:val="000000" w:themeColor="text1"/>
          <w:szCs w:val="24"/>
          <w:shd w:val="clear" w:color="auto" w:fill="FFFFFF"/>
          <w:lang w:val="en-US" w:eastAsia="en-US"/>
        </w:rPr>
      </w:pPr>
      <w:proofErr w:type="spellStart"/>
      <w:proofErr w:type="gramStart"/>
      <w:r w:rsidRPr="005E5548">
        <w:rPr>
          <w:rFonts w:eastAsia="Calibri"/>
          <w:color w:val="000000" w:themeColor="text1"/>
          <w:szCs w:val="24"/>
          <w:shd w:val="clear" w:color="auto" w:fill="FFFFFF"/>
          <w:lang w:val="en-US" w:eastAsia="en-US"/>
        </w:rPr>
        <w:t>H</w:t>
      </w:r>
      <w:r w:rsidR="00A917D5" w:rsidRPr="005E5548">
        <w:rPr>
          <w:rFonts w:eastAsia="Calibri"/>
          <w:color w:val="000000" w:themeColor="text1"/>
          <w:szCs w:val="24"/>
          <w:shd w:val="clear" w:color="auto" w:fill="FFFFFF"/>
          <w:lang w:val="en-US" w:eastAsia="en-US"/>
        </w:rPr>
        <w:t>erber</w:t>
      </w:r>
      <w:proofErr w:type="spellEnd"/>
      <w:r w:rsidRPr="005E5548">
        <w:rPr>
          <w:rFonts w:eastAsia="Calibri"/>
          <w:color w:val="000000" w:themeColor="text1"/>
          <w:szCs w:val="24"/>
          <w:shd w:val="clear" w:color="auto" w:fill="FFFFFF"/>
          <w:lang w:val="en-US" w:eastAsia="en-US"/>
        </w:rPr>
        <w:t>, B. P.</w:t>
      </w:r>
      <w:r w:rsidR="00633D45" w:rsidRPr="005E5548">
        <w:rPr>
          <w:rFonts w:eastAsia="Calibri"/>
          <w:color w:val="000000" w:themeColor="text1"/>
          <w:szCs w:val="24"/>
          <w:shd w:val="clear" w:color="auto" w:fill="FFFFFF"/>
          <w:lang w:val="en-US" w:eastAsia="en-US"/>
        </w:rPr>
        <w:t xml:space="preserve"> (1983).</w:t>
      </w:r>
      <w:proofErr w:type="gramEnd"/>
      <w:r w:rsidRPr="005E5548">
        <w:rPr>
          <w:rFonts w:eastAsia="Calibri"/>
          <w:color w:val="000000" w:themeColor="text1"/>
          <w:szCs w:val="24"/>
          <w:shd w:val="clear" w:color="auto" w:fill="FFFFFF"/>
          <w:lang w:val="en-US" w:eastAsia="en-US"/>
        </w:rPr>
        <w:t xml:space="preserve"> </w:t>
      </w:r>
      <w:proofErr w:type="gramStart"/>
      <w:r w:rsidRPr="00F075B3">
        <w:rPr>
          <w:rFonts w:eastAsia="Calibri"/>
          <w:i/>
          <w:color w:val="000000" w:themeColor="text1"/>
          <w:szCs w:val="24"/>
          <w:shd w:val="clear" w:color="auto" w:fill="FFFFFF"/>
          <w:lang w:val="en-US" w:eastAsia="en-US"/>
        </w:rPr>
        <w:t>Modern public finance.</w:t>
      </w:r>
      <w:proofErr w:type="gramEnd"/>
      <w:r w:rsidRPr="00F075B3">
        <w:rPr>
          <w:rFonts w:eastAsia="Calibri"/>
          <w:color w:val="000000" w:themeColor="text1"/>
          <w:szCs w:val="24"/>
          <w:shd w:val="clear" w:color="auto" w:fill="FFFFFF"/>
          <w:lang w:val="en-US" w:eastAsia="en-US"/>
        </w:rPr>
        <w:t xml:space="preserve"> </w:t>
      </w:r>
      <w:r w:rsidRPr="00633D45">
        <w:rPr>
          <w:rFonts w:eastAsia="Calibri"/>
          <w:color w:val="000000" w:themeColor="text1"/>
          <w:szCs w:val="24"/>
          <w:shd w:val="clear" w:color="auto" w:fill="FFFFFF"/>
          <w:lang w:val="en-US" w:eastAsia="en-US"/>
        </w:rPr>
        <w:t>Homewood: R.D. Irwin, 468 p.</w:t>
      </w:r>
    </w:p>
    <w:p w:rsidR="00552F46" w:rsidRPr="00633D45" w:rsidRDefault="00552F46" w:rsidP="00552F46">
      <w:pPr>
        <w:widowControl/>
        <w:suppressLineNumbers w:val="0"/>
        <w:suppressAutoHyphens w:val="0"/>
        <w:ind w:firstLine="0"/>
        <w:rPr>
          <w:rFonts w:eastAsia="Calibri"/>
          <w:color w:val="000000" w:themeColor="text1"/>
          <w:szCs w:val="24"/>
          <w:shd w:val="clear" w:color="auto" w:fill="FFFFFF"/>
          <w:lang w:val="en-US" w:eastAsia="en-US"/>
        </w:rPr>
      </w:pPr>
    </w:p>
    <w:p w:rsidR="00A917D5" w:rsidRDefault="007C3C21" w:rsidP="00552F46">
      <w:pPr>
        <w:widowControl/>
        <w:suppressLineNumbers w:val="0"/>
        <w:suppressAutoHyphens w:val="0"/>
        <w:ind w:firstLine="0"/>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I</w:t>
      </w:r>
      <w:r w:rsidR="00A917D5">
        <w:rPr>
          <w:rFonts w:eastAsia="Calibri"/>
          <w:color w:val="000000" w:themeColor="text1"/>
          <w:szCs w:val="24"/>
          <w:shd w:val="clear" w:color="auto" w:fill="FFFFFF"/>
          <w:lang w:eastAsia="en-US"/>
        </w:rPr>
        <w:t>nstituto Mauro B</w:t>
      </w:r>
      <w:r w:rsidR="00A917D5" w:rsidRPr="007B611F">
        <w:rPr>
          <w:rFonts w:eastAsia="Calibri"/>
          <w:color w:val="000000" w:themeColor="text1"/>
          <w:szCs w:val="24"/>
          <w:shd w:val="clear" w:color="auto" w:fill="FFFFFF"/>
          <w:lang w:eastAsia="en-US"/>
        </w:rPr>
        <w:t>orges.</w:t>
      </w:r>
      <w:r w:rsidR="00633D45">
        <w:rPr>
          <w:rFonts w:eastAsia="Calibri"/>
          <w:color w:val="000000" w:themeColor="text1"/>
          <w:szCs w:val="24"/>
          <w:shd w:val="clear" w:color="auto" w:fill="FFFFFF"/>
          <w:lang w:eastAsia="en-US"/>
        </w:rPr>
        <w:t xml:space="preserve"> IMB.</w:t>
      </w:r>
      <w:r w:rsidRPr="007B611F">
        <w:rPr>
          <w:rFonts w:eastAsia="Calibri"/>
          <w:color w:val="000000" w:themeColor="text1"/>
          <w:szCs w:val="24"/>
          <w:shd w:val="clear" w:color="auto" w:fill="FFFFFF"/>
          <w:lang w:eastAsia="en-US"/>
        </w:rPr>
        <w:t xml:space="preserve"> </w:t>
      </w:r>
      <w:r w:rsidR="00633D45">
        <w:rPr>
          <w:rFonts w:eastAsia="Calibri"/>
          <w:color w:val="000000" w:themeColor="text1"/>
          <w:szCs w:val="24"/>
          <w:shd w:val="clear" w:color="auto" w:fill="FFFFFF"/>
          <w:lang w:eastAsia="en-US"/>
        </w:rPr>
        <w:t>(</w:t>
      </w:r>
      <w:r w:rsidRPr="007B611F">
        <w:rPr>
          <w:rFonts w:eastAsia="Calibri"/>
          <w:color w:val="000000" w:themeColor="text1"/>
          <w:szCs w:val="24"/>
          <w:shd w:val="clear" w:color="auto" w:fill="FFFFFF"/>
          <w:lang w:eastAsia="en-US"/>
        </w:rPr>
        <w:t>2018</w:t>
      </w:r>
      <w:r w:rsidR="00633D45">
        <w:rPr>
          <w:rFonts w:eastAsia="Calibri"/>
          <w:color w:val="000000" w:themeColor="text1"/>
          <w:szCs w:val="24"/>
          <w:shd w:val="clear" w:color="auto" w:fill="FFFFFF"/>
          <w:lang w:eastAsia="en-US"/>
        </w:rPr>
        <w:t>)</w:t>
      </w:r>
      <w:r w:rsidRPr="007B611F">
        <w:rPr>
          <w:rFonts w:eastAsia="Calibri"/>
          <w:color w:val="000000" w:themeColor="text1"/>
          <w:szCs w:val="24"/>
          <w:shd w:val="clear" w:color="auto" w:fill="FFFFFF"/>
          <w:lang w:eastAsia="en-US"/>
        </w:rPr>
        <w:t>. Sobre Goiás. Disponível em: &lt;</w:t>
      </w:r>
      <w:proofErr w:type="gramStart"/>
      <w:r w:rsidRPr="007B611F">
        <w:rPr>
          <w:rFonts w:eastAsia="Calibri"/>
          <w:color w:val="000000" w:themeColor="text1"/>
          <w:szCs w:val="24"/>
          <w:shd w:val="clear" w:color="auto" w:fill="FFFFFF"/>
          <w:lang w:eastAsia="en-US"/>
        </w:rPr>
        <w:t>http://www.imb.go.gov.br/index.</w:t>
      </w:r>
      <w:proofErr w:type="gramEnd"/>
      <w:r w:rsidRPr="007B611F">
        <w:rPr>
          <w:rFonts w:eastAsia="Calibri"/>
          <w:color w:val="000000" w:themeColor="text1"/>
          <w:szCs w:val="24"/>
          <w:shd w:val="clear" w:color="auto" w:fill="FFFFFF"/>
          <w:lang w:eastAsia="en-US"/>
        </w:rPr>
        <w:t>php?</w:t>
      </w:r>
      <w:proofErr w:type="gramStart"/>
      <w:r w:rsidRPr="007B611F">
        <w:rPr>
          <w:rFonts w:eastAsia="Calibri"/>
          <w:color w:val="000000" w:themeColor="text1"/>
          <w:szCs w:val="24"/>
          <w:shd w:val="clear" w:color="auto" w:fill="FFFFFF"/>
          <w:lang w:eastAsia="en-US"/>
        </w:rPr>
        <w:t>option</w:t>
      </w:r>
      <w:proofErr w:type="gramEnd"/>
      <w:r w:rsidRPr="007B611F">
        <w:rPr>
          <w:rFonts w:eastAsia="Calibri"/>
          <w:color w:val="000000" w:themeColor="text1"/>
          <w:szCs w:val="24"/>
          <w:shd w:val="clear" w:color="auto" w:fill="FFFFFF"/>
          <w:lang w:eastAsia="en-US"/>
        </w:rPr>
        <w:t>=com_content&amp;view=article&amp;id=79&amp;Itemid=145 &gt; Acesso em: 05. Dez. 2018</w:t>
      </w:r>
      <w:r w:rsidR="00A917D5">
        <w:rPr>
          <w:rFonts w:eastAsia="Calibri"/>
          <w:color w:val="000000" w:themeColor="text1"/>
          <w:szCs w:val="24"/>
          <w:shd w:val="clear" w:color="auto" w:fill="FFFFFF"/>
          <w:lang w:eastAsia="en-US"/>
        </w:rPr>
        <w:t>.</w:t>
      </w:r>
    </w:p>
    <w:p w:rsidR="00552F46" w:rsidRDefault="00552F46" w:rsidP="00552F46">
      <w:pPr>
        <w:widowControl/>
        <w:suppressLineNumbers w:val="0"/>
        <w:suppressAutoHyphens w:val="0"/>
        <w:ind w:firstLine="0"/>
        <w:rPr>
          <w:rFonts w:eastAsia="Calibri Light"/>
          <w:bCs/>
          <w:color w:val="000000" w:themeColor="text1"/>
          <w:szCs w:val="24"/>
          <w:lang w:eastAsia="en-US"/>
        </w:rPr>
      </w:pPr>
    </w:p>
    <w:p w:rsidR="00552F46" w:rsidRPr="00552F46" w:rsidRDefault="00552F46" w:rsidP="00552F46">
      <w:pPr>
        <w:widowControl/>
        <w:suppressLineNumbers w:val="0"/>
        <w:suppressAutoHyphens w:val="0"/>
        <w:ind w:firstLine="0"/>
        <w:rPr>
          <w:rFonts w:eastAsia="Calibri Light"/>
          <w:bCs/>
          <w:color w:val="000000" w:themeColor="text1"/>
          <w:szCs w:val="24"/>
          <w:lang w:eastAsia="en-US"/>
        </w:rPr>
      </w:pPr>
      <w:proofErr w:type="spellStart"/>
      <w:r w:rsidRPr="00633D45">
        <w:rPr>
          <w:rFonts w:eastAsia="Calibri Light"/>
          <w:bCs/>
          <w:color w:val="000000" w:themeColor="text1"/>
          <w:szCs w:val="24"/>
          <w:lang w:eastAsia="en-US"/>
        </w:rPr>
        <w:t>Klering</w:t>
      </w:r>
      <w:proofErr w:type="spellEnd"/>
      <w:r w:rsidRPr="00633D45">
        <w:rPr>
          <w:rFonts w:eastAsia="Calibri Light"/>
          <w:bCs/>
          <w:color w:val="000000" w:themeColor="text1"/>
          <w:szCs w:val="24"/>
          <w:lang w:eastAsia="en-US"/>
        </w:rPr>
        <w:t xml:space="preserve">, L. R., </w:t>
      </w:r>
      <w:proofErr w:type="spellStart"/>
      <w:r w:rsidRPr="00633D45">
        <w:rPr>
          <w:rFonts w:eastAsia="Calibri Light"/>
          <w:bCs/>
          <w:color w:val="000000" w:themeColor="text1"/>
          <w:szCs w:val="24"/>
          <w:lang w:eastAsia="en-US"/>
        </w:rPr>
        <w:t>Jochims</w:t>
      </w:r>
      <w:proofErr w:type="spellEnd"/>
      <w:r w:rsidRPr="00633D45">
        <w:rPr>
          <w:rFonts w:eastAsia="Calibri Light"/>
          <w:bCs/>
          <w:color w:val="000000" w:themeColor="text1"/>
          <w:szCs w:val="24"/>
          <w:lang w:eastAsia="en-US"/>
        </w:rPr>
        <w:t xml:space="preserve"> </w:t>
      </w:r>
      <w:proofErr w:type="spellStart"/>
      <w:r w:rsidRPr="00633D45">
        <w:rPr>
          <w:rFonts w:eastAsia="Calibri Light"/>
          <w:bCs/>
          <w:color w:val="000000" w:themeColor="text1"/>
          <w:szCs w:val="24"/>
          <w:lang w:eastAsia="en-US"/>
        </w:rPr>
        <w:t>Kruel</w:t>
      </w:r>
      <w:proofErr w:type="spellEnd"/>
      <w:r w:rsidRPr="00633D45">
        <w:rPr>
          <w:rFonts w:eastAsia="Calibri Light"/>
          <w:bCs/>
          <w:color w:val="000000" w:themeColor="text1"/>
          <w:szCs w:val="24"/>
          <w:lang w:eastAsia="en-US"/>
        </w:rPr>
        <w:t xml:space="preserve">, A., &amp; </w:t>
      </w:r>
      <w:proofErr w:type="spellStart"/>
      <w:r w:rsidRPr="00633D45">
        <w:rPr>
          <w:rFonts w:eastAsia="Calibri Light"/>
          <w:bCs/>
          <w:color w:val="000000" w:themeColor="text1"/>
          <w:szCs w:val="24"/>
          <w:lang w:eastAsia="en-US"/>
        </w:rPr>
        <w:t>Stranz</w:t>
      </w:r>
      <w:proofErr w:type="spellEnd"/>
      <w:r w:rsidRPr="00633D45">
        <w:rPr>
          <w:rFonts w:eastAsia="Calibri Light"/>
          <w:bCs/>
          <w:color w:val="000000" w:themeColor="text1"/>
          <w:szCs w:val="24"/>
          <w:lang w:eastAsia="en-US"/>
        </w:rPr>
        <w:t xml:space="preserve">, E. (2012). </w:t>
      </w:r>
      <w:r w:rsidRPr="00552F46">
        <w:rPr>
          <w:rFonts w:eastAsia="Calibri Light"/>
          <w:bCs/>
          <w:color w:val="000000" w:themeColor="text1"/>
          <w:szCs w:val="24"/>
          <w:lang w:eastAsia="en-US"/>
        </w:rPr>
        <w:t>Os pequenos municípios do Brasil--uma análise a partir de índices de gestão. </w:t>
      </w:r>
      <w:r w:rsidRPr="00552F46">
        <w:rPr>
          <w:rFonts w:eastAsia="Calibri Light"/>
          <w:bCs/>
          <w:i/>
          <w:color w:val="000000" w:themeColor="text1"/>
          <w:szCs w:val="24"/>
          <w:lang w:eastAsia="en-US"/>
        </w:rPr>
        <w:t>Análise</w:t>
      </w:r>
      <w:r w:rsidRPr="00552F46">
        <w:rPr>
          <w:rFonts w:eastAsia="Calibri Light"/>
          <w:bCs/>
          <w:color w:val="000000" w:themeColor="text1"/>
          <w:szCs w:val="24"/>
          <w:lang w:eastAsia="en-US"/>
        </w:rPr>
        <w:t>, </w:t>
      </w:r>
      <w:r w:rsidRPr="00552F46">
        <w:rPr>
          <w:rFonts w:eastAsia="Calibri Light"/>
          <w:bCs/>
          <w:i/>
          <w:color w:val="000000" w:themeColor="text1"/>
          <w:szCs w:val="24"/>
          <w:lang w:eastAsia="en-US"/>
        </w:rPr>
        <w:t>23</w:t>
      </w:r>
      <w:r w:rsidRPr="00552F46">
        <w:rPr>
          <w:rFonts w:eastAsia="Calibri Light"/>
          <w:bCs/>
          <w:color w:val="000000" w:themeColor="text1"/>
          <w:szCs w:val="24"/>
          <w:lang w:eastAsia="en-US"/>
        </w:rPr>
        <w:t>(1).</w:t>
      </w:r>
    </w:p>
    <w:p w:rsidR="00552F46" w:rsidRDefault="00552F46" w:rsidP="00552F46">
      <w:pPr>
        <w:widowControl/>
        <w:suppressLineNumbers w:val="0"/>
        <w:suppressAutoHyphens w:val="0"/>
        <w:ind w:firstLine="0"/>
        <w:rPr>
          <w:rFonts w:eastAsia="Calibri Light"/>
          <w:bCs/>
          <w:color w:val="000000" w:themeColor="text1"/>
          <w:szCs w:val="24"/>
          <w:lang w:eastAsia="en-US"/>
        </w:rPr>
      </w:pPr>
    </w:p>
    <w:p w:rsidR="00552F46" w:rsidRDefault="002F5EE7" w:rsidP="00552F46">
      <w:pPr>
        <w:widowControl/>
        <w:suppressLineNumbers w:val="0"/>
        <w:suppressAutoHyphens w:val="0"/>
        <w:ind w:firstLine="0"/>
        <w:rPr>
          <w:rFonts w:eastAsia="Calibri Light"/>
          <w:bCs/>
          <w:color w:val="000000" w:themeColor="text1"/>
          <w:szCs w:val="24"/>
          <w:lang w:eastAsia="en-US"/>
        </w:rPr>
      </w:pPr>
      <w:r w:rsidRPr="007B611F">
        <w:rPr>
          <w:rFonts w:eastAsia="Calibri Light"/>
          <w:bCs/>
          <w:color w:val="000000" w:themeColor="text1"/>
          <w:szCs w:val="24"/>
          <w:lang w:eastAsia="en-US"/>
        </w:rPr>
        <w:t>Linhares, F., Penna, C., &amp; Borges, G. (2013). Os efeitos da Lei de Responsabilidade Fiscal no endividamento dos municípios do Piauí. </w:t>
      </w:r>
      <w:r w:rsidRPr="007B611F">
        <w:rPr>
          <w:rFonts w:eastAsia="Calibri Light"/>
          <w:bCs/>
          <w:i/>
          <w:color w:val="000000" w:themeColor="text1"/>
          <w:szCs w:val="24"/>
          <w:lang w:eastAsia="en-US"/>
        </w:rPr>
        <w:t>Revista de Administração Pública</w:t>
      </w:r>
      <w:r w:rsidRPr="007B611F">
        <w:rPr>
          <w:rFonts w:eastAsia="Calibri Light"/>
          <w:bCs/>
          <w:color w:val="000000" w:themeColor="text1"/>
          <w:szCs w:val="24"/>
          <w:lang w:eastAsia="en-US"/>
        </w:rPr>
        <w:t>, </w:t>
      </w:r>
      <w:r w:rsidRPr="007B611F">
        <w:rPr>
          <w:rFonts w:eastAsia="Calibri Light"/>
          <w:bCs/>
          <w:i/>
          <w:color w:val="000000" w:themeColor="text1"/>
          <w:szCs w:val="24"/>
          <w:lang w:eastAsia="en-US"/>
        </w:rPr>
        <w:t>47</w:t>
      </w:r>
      <w:r w:rsidRPr="007B611F">
        <w:rPr>
          <w:rFonts w:eastAsia="Calibri Light"/>
          <w:bCs/>
          <w:color w:val="000000" w:themeColor="text1"/>
          <w:szCs w:val="24"/>
          <w:lang w:eastAsia="en-US"/>
        </w:rPr>
        <w:t>(6), 1359-1374.</w:t>
      </w:r>
    </w:p>
    <w:p w:rsidR="00552F46" w:rsidRDefault="00552F46" w:rsidP="00552F46">
      <w:pPr>
        <w:widowControl/>
        <w:suppressLineNumbers w:val="0"/>
        <w:suppressAutoHyphens w:val="0"/>
        <w:ind w:firstLine="0"/>
        <w:rPr>
          <w:rFonts w:eastAsia="Calibri Light"/>
          <w:bCs/>
          <w:color w:val="000000" w:themeColor="text1"/>
          <w:szCs w:val="24"/>
          <w:lang w:eastAsia="en-US"/>
        </w:rPr>
      </w:pPr>
    </w:p>
    <w:p w:rsidR="002F5EE7" w:rsidRPr="007B611F" w:rsidRDefault="002F5EE7" w:rsidP="00552F46">
      <w:pPr>
        <w:widowControl/>
        <w:suppressLineNumbers w:val="0"/>
        <w:suppressAutoHyphens w:val="0"/>
        <w:ind w:firstLine="0"/>
        <w:rPr>
          <w:color w:val="000000" w:themeColor="text1"/>
          <w:szCs w:val="24"/>
        </w:rPr>
      </w:pPr>
      <w:r w:rsidRPr="007B611F">
        <w:rPr>
          <w:rFonts w:eastAsia="Calibri Light"/>
          <w:bCs/>
          <w:color w:val="000000" w:themeColor="text1"/>
          <w:szCs w:val="24"/>
          <w:lang w:eastAsia="en-US"/>
        </w:rPr>
        <w:t>Macedo, J.</w:t>
      </w:r>
      <w:r w:rsidRPr="007B611F">
        <w:rPr>
          <w:rFonts w:eastAsia="Calibri Light"/>
          <w:bCs/>
          <w:color w:val="000000" w:themeColor="text1"/>
          <w:lang w:eastAsia="en-US"/>
        </w:rPr>
        <w:t xml:space="preserve"> J</w:t>
      </w:r>
      <w:proofErr w:type="gramStart"/>
      <w:r w:rsidRPr="007B611F">
        <w:rPr>
          <w:rFonts w:eastAsia="Calibri Light"/>
          <w:bCs/>
          <w:color w:val="000000" w:themeColor="text1"/>
          <w:lang w:eastAsia="en-US"/>
        </w:rPr>
        <w:t>.</w:t>
      </w:r>
      <w:r w:rsidRPr="007B611F">
        <w:rPr>
          <w:rFonts w:eastAsia="Calibri Light"/>
          <w:bCs/>
          <w:color w:val="000000" w:themeColor="text1"/>
          <w:szCs w:val="24"/>
          <w:lang w:eastAsia="en-US"/>
        </w:rPr>
        <w:t>,</w:t>
      </w:r>
      <w:proofErr w:type="gramEnd"/>
      <w:r w:rsidRPr="007B611F">
        <w:rPr>
          <w:rFonts w:eastAsia="Calibri Light"/>
          <w:bCs/>
          <w:color w:val="000000" w:themeColor="text1"/>
          <w:szCs w:val="24"/>
          <w:lang w:eastAsia="en-US"/>
        </w:rPr>
        <w:t xml:space="preserve"> &amp; </w:t>
      </w:r>
      <w:proofErr w:type="spellStart"/>
      <w:r w:rsidRPr="007B611F">
        <w:rPr>
          <w:rFonts w:eastAsia="Calibri Light"/>
          <w:bCs/>
          <w:color w:val="000000" w:themeColor="text1"/>
          <w:szCs w:val="24"/>
          <w:lang w:eastAsia="en-US"/>
        </w:rPr>
        <w:t>Corbari</w:t>
      </w:r>
      <w:proofErr w:type="spellEnd"/>
      <w:r w:rsidRPr="007B611F">
        <w:rPr>
          <w:rFonts w:eastAsia="Calibri Light"/>
          <w:bCs/>
          <w:color w:val="000000" w:themeColor="text1"/>
          <w:szCs w:val="24"/>
          <w:lang w:eastAsia="en-US"/>
        </w:rPr>
        <w:t>, E. C. (2009). Efeitos da lei de responsabilidade fiscal no endividamento dos municípios brasileiros: uma análise de dados em painéis. </w:t>
      </w:r>
      <w:r w:rsidRPr="007B611F">
        <w:rPr>
          <w:rFonts w:eastAsia="Calibri Light"/>
          <w:bCs/>
          <w:i/>
          <w:color w:val="000000" w:themeColor="text1"/>
          <w:szCs w:val="24"/>
          <w:lang w:eastAsia="en-US"/>
        </w:rPr>
        <w:t>Revista Contabilidade &amp; Finanças</w:t>
      </w:r>
      <w:r w:rsidRPr="007B611F">
        <w:rPr>
          <w:rFonts w:eastAsia="Calibri Light"/>
          <w:bCs/>
          <w:color w:val="000000" w:themeColor="text1"/>
          <w:szCs w:val="24"/>
          <w:lang w:eastAsia="en-US"/>
        </w:rPr>
        <w:t>, </w:t>
      </w:r>
      <w:r w:rsidRPr="007B611F">
        <w:rPr>
          <w:rFonts w:eastAsia="Calibri Light"/>
          <w:bCs/>
          <w:i/>
          <w:color w:val="000000" w:themeColor="text1"/>
          <w:szCs w:val="24"/>
          <w:lang w:eastAsia="en-US"/>
        </w:rPr>
        <w:t>20</w:t>
      </w:r>
      <w:r w:rsidRPr="007B611F">
        <w:rPr>
          <w:rFonts w:eastAsia="Calibri Light"/>
          <w:bCs/>
          <w:color w:val="000000" w:themeColor="text1"/>
          <w:szCs w:val="24"/>
          <w:lang w:eastAsia="en-US"/>
        </w:rPr>
        <w:t>(51), 44-60.</w:t>
      </w:r>
    </w:p>
    <w:p w:rsidR="00552F46" w:rsidRDefault="00552F46" w:rsidP="00552F46">
      <w:pPr>
        <w:widowControl/>
        <w:suppressLineNumbers w:val="0"/>
        <w:suppressAutoHyphens w:val="0"/>
        <w:ind w:firstLine="0"/>
        <w:rPr>
          <w:rFonts w:eastAsia="Calibri"/>
          <w:color w:val="000000" w:themeColor="text1"/>
          <w:szCs w:val="24"/>
          <w:lang w:eastAsia="en-US"/>
        </w:rPr>
      </w:pPr>
    </w:p>
    <w:p w:rsidR="002F5EE7" w:rsidRPr="007B611F" w:rsidRDefault="007C3C21" w:rsidP="00552F46">
      <w:pPr>
        <w:widowControl/>
        <w:suppressLineNumbers w:val="0"/>
        <w:suppressAutoHyphens w:val="0"/>
        <w:ind w:firstLine="0"/>
        <w:rPr>
          <w:rFonts w:eastAsia="Calibri"/>
          <w:color w:val="000000" w:themeColor="text1"/>
          <w:szCs w:val="24"/>
          <w:lang w:eastAsia="en-US"/>
        </w:rPr>
      </w:pPr>
      <w:r w:rsidRPr="007B611F">
        <w:rPr>
          <w:rFonts w:eastAsia="Calibri"/>
          <w:color w:val="000000" w:themeColor="text1"/>
          <w:szCs w:val="24"/>
          <w:lang w:eastAsia="en-US"/>
        </w:rPr>
        <w:t>M</w:t>
      </w:r>
      <w:r w:rsidR="00552F46">
        <w:rPr>
          <w:rFonts w:eastAsia="Calibri"/>
          <w:color w:val="000000" w:themeColor="text1"/>
          <w:szCs w:val="24"/>
          <w:lang w:eastAsia="en-US"/>
        </w:rPr>
        <w:t>atias-P</w:t>
      </w:r>
      <w:r w:rsidR="00552F46" w:rsidRPr="007B611F">
        <w:rPr>
          <w:rFonts w:eastAsia="Calibri"/>
          <w:color w:val="000000" w:themeColor="text1"/>
          <w:szCs w:val="24"/>
          <w:lang w:eastAsia="en-US"/>
        </w:rPr>
        <w:t>ereira</w:t>
      </w:r>
      <w:r w:rsidRPr="007B611F">
        <w:rPr>
          <w:rFonts w:eastAsia="Calibri"/>
          <w:color w:val="000000" w:themeColor="text1"/>
          <w:szCs w:val="24"/>
          <w:lang w:eastAsia="en-US"/>
        </w:rPr>
        <w:t>, J.</w:t>
      </w:r>
      <w:r w:rsidR="00633D45">
        <w:rPr>
          <w:rFonts w:eastAsia="Calibri"/>
          <w:color w:val="000000" w:themeColor="text1"/>
          <w:szCs w:val="24"/>
          <w:lang w:eastAsia="en-US"/>
        </w:rPr>
        <w:t xml:space="preserve"> (2009).</w:t>
      </w:r>
      <w:r w:rsidRPr="007B611F">
        <w:rPr>
          <w:rFonts w:eastAsia="Calibri"/>
          <w:color w:val="000000" w:themeColor="text1"/>
          <w:szCs w:val="24"/>
          <w:lang w:eastAsia="en-US"/>
        </w:rPr>
        <w:t xml:space="preserve"> </w:t>
      </w:r>
      <w:r w:rsidRPr="00A917D5">
        <w:rPr>
          <w:rFonts w:eastAsia="Calibri"/>
          <w:i/>
          <w:color w:val="000000" w:themeColor="text1"/>
          <w:szCs w:val="24"/>
          <w:lang w:eastAsia="en-US"/>
        </w:rPr>
        <w:t>Finanças públicas: a política orçamentária no Brasil.</w:t>
      </w:r>
      <w:r w:rsidRPr="007B611F">
        <w:rPr>
          <w:rFonts w:eastAsia="Calibri"/>
          <w:color w:val="000000" w:themeColor="text1"/>
          <w:szCs w:val="24"/>
          <w:lang w:eastAsia="en-US"/>
        </w:rPr>
        <w:t xml:space="preserve"> 4ª Ed. São P</w:t>
      </w:r>
      <w:r w:rsidR="00A917D5">
        <w:rPr>
          <w:rFonts w:eastAsia="Calibri"/>
          <w:color w:val="000000" w:themeColor="text1"/>
          <w:szCs w:val="24"/>
          <w:lang w:eastAsia="en-US"/>
        </w:rPr>
        <w:t>au</w:t>
      </w:r>
      <w:r w:rsidR="00633D45">
        <w:rPr>
          <w:rFonts w:eastAsia="Calibri"/>
          <w:color w:val="000000" w:themeColor="text1"/>
          <w:szCs w:val="24"/>
          <w:lang w:eastAsia="en-US"/>
        </w:rPr>
        <w:t>lo: Atlas</w:t>
      </w:r>
      <w:r w:rsidRPr="007B611F">
        <w:rPr>
          <w:rFonts w:eastAsia="Calibri"/>
          <w:color w:val="000000" w:themeColor="text1"/>
          <w:szCs w:val="24"/>
          <w:lang w:eastAsia="en-US"/>
        </w:rPr>
        <w:t>.</w:t>
      </w:r>
    </w:p>
    <w:p w:rsidR="00552F46" w:rsidRPr="00633D45" w:rsidRDefault="00552F46" w:rsidP="00552F46">
      <w:pPr>
        <w:widowControl/>
        <w:suppressLineNumbers w:val="0"/>
        <w:suppressAutoHyphens w:val="0"/>
        <w:ind w:firstLine="0"/>
        <w:rPr>
          <w:rFonts w:eastAsia="Calibri Light"/>
          <w:bCs/>
          <w:color w:val="000000" w:themeColor="text1"/>
          <w:lang w:eastAsia="en-US"/>
        </w:rPr>
      </w:pPr>
    </w:p>
    <w:p w:rsidR="002F5EE7" w:rsidRPr="007B611F" w:rsidRDefault="002F5EE7" w:rsidP="00552F46">
      <w:pPr>
        <w:widowControl/>
        <w:suppressLineNumbers w:val="0"/>
        <w:suppressAutoHyphens w:val="0"/>
        <w:ind w:firstLine="0"/>
        <w:rPr>
          <w:rFonts w:eastAsia="SimSun"/>
          <w:color w:val="000000" w:themeColor="text1"/>
          <w:szCs w:val="24"/>
          <w:lang w:eastAsia="zh-CN"/>
        </w:rPr>
      </w:pPr>
      <w:r w:rsidRPr="00633D45">
        <w:rPr>
          <w:rFonts w:eastAsia="Calibri Light"/>
          <w:bCs/>
          <w:color w:val="000000" w:themeColor="text1"/>
          <w:lang w:eastAsia="en-US"/>
        </w:rPr>
        <w:lastRenderedPageBreak/>
        <w:t>M</w:t>
      </w:r>
      <w:r w:rsidR="00A917D5" w:rsidRPr="00633D45">
        <w:rPr>
          <w:rFonts w:eastAsia="Calibri Light"/>
          <w:bCs/>
          <w:color w:val="000000" w:themeColor="text1"/>
          <w:lang w:eastAsia="en-US"/>
        </w:rPr>
        <w:t>ello</w:t>
      </w:r>
      <w:r w:rsidRPr="00633D45">
        <w:rPr>
          <w:rFonts w:eastAsia="Calibri Light"/>
          <w:bCs/>
          <w:color w:val="000000" w:themeColor="text1"/>
          <w:szCs w:val="24"/>
          <w:lang w:eastAsia="en-US"/>
        </w:rPr>
        <w:t xml:space="preserve">, G. R., &amp; </w:t>
      </w:r>
      <w:proofErr w:type="spellStart"/>
      <w:r w:rsidRPr="00633D45">
        <w:rPr>
          <w:rFonts w:eastAsia="Calibri Light"/>
          <w:bCs/>
          <w:color w:val="000000" w:themeColor="text1"/>
          <w:szCs w:val="24"/>
          <w:lang w:eastAsia="en-US"/>
        </w:rPr>
        <w:t>Slomski</w:t>
      </w:r>
      <w:proofErr w:type="spellEnd"/>
      <w:r w:rsidRPr="00633D45">
        <w:rPr>
          <w:rFonts w:eastAsia="Calibri Light"/>
          <w:bCs/>
          <w:color w:val="000000" w:themeColor="text1"/>
          <w:szCs w:val="24"/>
          <w:lang w:eastAsia="en-US"/>
        </w:rPr>
        <w:t xml:space="preserve">, V. (2009). </w:t>
      </w:r>
      <w:r w:rsidRPr="007B611F">
        <w:rPr>
          <w:rFonts w:eastAsia="Calibri Light"/>
          <w:bCs/>
          <w:color w:val="000000" w:themeColor="text1"/>
          <w:szCs w:val="24"/>
          <w:lang w:eastAsia="en-US"/>
        </w:rPr>
        <w:t>Fatores que influenciam o endividamento dos estados brasileiros. </w:t>
      </w:r>
      <w:r w:rsidRPr="007B611F">
        <w:rPr>
          <w:rFonts w:eastAsia="Calibri Light"/>
          <w:bCs/>
          <w:i/>
          <w:color w:val="000000" w:themeColor="text1"/>
          <w:szCs w:val="24"/>
          <w:lang w:eastAsia="en-US"/>
        </w:rPr>
        <w:t>Revista de Contabilidade e Organizações</w:t>
      </w:r>
      <w:r w:rsidRPr="007B611F">
        <w:rPr>
          <w:rFonts w:eastAsia="Calibri Light"/>
          <w:bCs/>
          <w:color w:val="000000" w:themeColor="text1"/>
          <w:szCs w:val="24"/>
          <w:lang w:eastAsia="en-US"/>
        </w:rPr>
        <w:t>, </w:t>
      </w:r>
      <w:r w:rsidRPr="007B611F">
        <w:rPr>
          <w:rFonts w:eastAsia="Calibri Light"/>
          <w:bCs/>
          <w:i/>
          <w:color w:val="000000" w:themeColor="text1"/>
          <w:szCs w:val="24"/>
          <w:lang w:eastAsia="en-US"/>
        </w:rPr>
        <w:t>3</w:t>
      </w:r>
      <w:r w:rsidRPr="007B611F">
        <w:rPr>
          <w:rFonts w:eastAsia="Calibri Light"/>
          <w:bCs/>
          <w:color w:val="000000" w:themeColor="text1"/>
          <w:szCs w:val="24"/>
          <w:lang w:eastAsia="en-US"/>
        </w:rPr>
        <w:t>(7), 78-92.</w:t>
      </w:r>
    </w:p>
    <w:p w:rsidR="00552F46" w:rsidRDefault="00552F46" w:rsidP="00552F46">
      <w:pPr>
        <w:widowControl/>
        <w:suppressLineNumbers w:val="0"/>
        <w:suppressAutoHyphens w:val="0"/>
        <w:ind w:firstLine="0"/>
        <w:rPr>
          <w:rFonts w:eastAsia="Calibri"/>
          <w:color w:val="000000" w:themeColor="text1"/>
          <w:szCs w:val="24"/>
          <w:lang w:eastAsia="en-US"/>
        </w:rPr>
      </w:pPr>
    </w:p>
    <w:p w:rsidR="007C3C21" w:rsidRPr="007B611F" w:rsidRDefault="007C3C21" w:rsidP="00552F46">
      <w:pPr>
        <w:widowControl/>
        <w:suppressLineNumbers w:val="0"/>
        <w:suppressAutoHyphens w:val="0"/>
        <w:ind w:firstLine="0"/>
        <w:rPr>
          <w:rFonts w:eastAsia="Calibri"/>
          <w:color w:val="000000" w:themeColor="text1"/>
          <w:szCs w:val="24"/>
          <w:lang w:eastAsia="en-US"/>
        </w:rPr>
      </w:pPr>
      <w:proofErr w:type="spellStart"/>
      <w:r w:rsidRPr="007B611F">
        <w:rPr>
          <w:rFonts w:eastAsia="Calibri"/>
          <w:color w:val="000000" w:themeColor="text1"/>
          <w:szCs w:val="24"/>
          <w:lang w:eastAsia="en-US"/>
        </w:rPr>
        <w:t>M</w:t>
      </w:r>
      <w:r w:rsidR="00A917D5" w:rsidRPr="007B611F">
        <w:rPr>
          <w:rFonts w:eastAsia="Calibri"/>
          <w:color w:val="000000" w:themeColor="text1"/>
          <w:szCs w:val="24"/>
          <w:lang w:eastAsia="en-US"/>
        </w:rPr>
        <w:t>usgrave</w:t>
      </w:r>
      <w:proofErr w:type="spellEnd"/>
      <w:r w:rsidR="00633D45">
        <w:rPr>
          <w:rFonts w:eastAsia="Calibri"/>
          <w:color w:val="000000" w:themeColor="text1"/>
          <w:szCs w:val="24"/>
          <w:lang w:eastAsia="en-US"/>
        </w:rPr>
        <w:t>, R. A. (1980).</w:t>
      </w:r>
      <w:r w:rsidRPr="007B611F">
        <w:rPr>
          <w:rFonts w:eastAsia="Calibri"/>
          <w:color w:val="000000" w:themeColor="text1"/>
          <w:szCs w:val="24"/>
          <w:lang w:eastAsia="en-US"/>
        </w:rPr>
        <w:t xml:space="preserve"> </w:t>
      </w:r>
      <w:proofErr w:type="spellStart"/>
      <w:r w:rsidRPr="007B611F">
        <w:rPr>
          <w:rFonts w:eastAsia="Calibri"/>
          <w:color w:val="000000" w:themeColor="text1"/>
          <w:szCs w:val="24"/>
          <w:lang w:eastAsia="en-US"/>
        </w:rPr>
        <w:t>M</w:t>
      </w:r>
      <w:r w:rsidR="00A917D5" w:rsidRPr="007B611F">
        <w:rPr>
          <w:rFonts w:eastAsia="Calibri"/>
          <w:color w:val="000000" w:themeColor="text1"/>
          <w:szCs w:val="24"/>
          <w:lang w:eastAsia="en-US"/>
        </w:rPr>
        <w:t>usgrave</w:t>
      </w:r>
      <w:proofErr w:type="spellEnd"/>
      <w:r w:rsidRPr="007B611F">
        <w:rPr>
          <w:rFonts w:eastAsia="Calibri"/>
          <w:color w:val="000000" w:themeColor="text1"/>
          <w:szCs w:val="24"/>
          <w:lang w:eastAsia="en-US"/>
        </w:rPr>
        <w:t xml:space="preserve">, P. B. </w:t>
      </w:r>
      <w:r w:rsidRPr="00A917D5">
        <w:rPr>
          <w:rFonts w:eastAsia="Calibri"/>
          <w:i/>
          <w:color w:val="000000" w:themeColor="text1"/>
          <w:szCs w:val="24"/>
          <w:lang w:eastAsia="en-US"/>
        </w:rPr>
        <w:t>Finanças públicas: teoria e prática.</w:t>
      </w:r>
      <w:r w:rsidR="00633D45">
        <w:rPr>
          <w:rFonts w:eastAsia="Calibri"/>
          <w:color w:val="000000" w:themeColor="text1"/>
          <w:szCs w:val="24"/>
          <w:lang w:eastAsia="en-US"/>
        </w:rPr>
        <w:t xml:space="preserve"> Rio de Janeiro: Campus.</w:t>
      </w:r>
    </w:p>
    <w:p w:rsidR="00552F46" w:rsidRPr="00633D45" w:rsidRDefault="00552F46" w:rsidP="00552F46">
      <w:pPr>
        <w:widowControl/>
        <w:suppressLineNumbers w:val="0"/>
        <w:suppressAutoHyphens w:val="0"/>
        <w:ind w:firstLine="0"/>
        <w:rPr>
          <w:rFonts w:eastAsia="Calibri"/>
          <w:color w:val="000000" w:themeColor="text1"/>
          <w:szCs w:val="24"/>
          <w:shd w:val="clear" w:color="auto" w:fill="FFFFFF"/>
          <w:lang w:eastAsia="en-US"/>
        </w:rPr>
      </w:pPr>
    </w:p>
    <w:p w:rsidR="007C3C21" w:rsidRPr="007B611F" w:rsidRDefault="007C3C21" w:rsidP="00552F46">
      <w:pPr>
        <w:widowControl/>
        <w:suppressLineNumbers w:val="0"/>
        <w:suppressAutoHyphens w:val="0"/>
        <w:ind w:firstLine="0"/>
        <w:rPr>
          <w:rFonts w:eastAsia="Calibri"/>
          <w:color w:val="000000" w:themeColor="text1"/>
          <w:szCs w:val="24"/>
          <w:shd w:val="clear" w:color="auto" w:fill="FFFFFF"/>
          <w:lang w:eastAsia="en-US"/>
        </w:rPr>
      </w:pPr>
      <w:r w:rsidRPr="005E5548">
        <w:rPr>
          <w:rFonts w:eastAsia="Calibri"/>
          <w:color w:val="000000" w:themeColor="text1"/>
          <w:szCs w:val="24"/>
          <w:shd w:val="clear" w:color="auto" w:fill="FFFFFF"/>
          <w:lang w:val="en-US" w:eastAsia="en-US"/>
        </w:rPr>
        <w:t>O</w:t>
      </w:r>
      <w:r w:rsidR="00A917D5" w:rsidRPr="005E5548">
        <w:rPr>
          <w:rFonts w:eastAsia="Calibri"/>
          <w:color w:val="000000" w:themeColor="text1"/>
          <w:szCs w:val="24"/>
          <w:shd w:val="clear" w:color="auto" w:fill="FFFFFF"/>
          <w:lang w:val="en-US" w:eastAsia="en-US"/>
        </w:rPr>
        <w:t>ates</w:t>
      </w:r>
      <w:r w:rsidRPr="005E5548">
        <w:rPr>
          <w:rFonts w:eastAsia="Calibri"/>
          <w:color w:val="000000" w:themeColor="text1"/>
          <w:szCs w:val="24"/>
          <w:shd w:val="clear" w:color="auto" w:fill="FFFFFF"/>
          <w:lang w:val="en-US" w:eastAsia="en-US"/>
        </w:rPr>
        <w:t>, W. E. et al.</w:t>
      </w:r>
      <w:r w:rsidR="00633D45" w:rsidRPr="005E5548">
        <w:rPr>
          <w:rFonts w:eastAsia="Calibri"/>
          <w:color w:val="000000" w:themeColor="text1"/>
          <w:szCs w:val="24"/>
          <w:shd w:val="clear" w:color="auto" w:fill="FFFFFF"/>
          <w:lang w:val="en-US" w:eastAsia="en-US"/>
        </w:rPr>
        <w:t xml:space="preserve"> </w:t>
      </w:r>
      <w:r w:rsidR="00633D45">
        <w:rPr>
          <w:rFonts w:eastAsia="Calibri"/>
          <w:color w:val="000000" w:themeColor="text1"/>
          <w:szCs w:val="24"/>
          <w:shd w:val="clear" w:color="auto" w:fill="FFFFFF"/>
          <w:lang w:eastAsia="en-US"/>
        </w:rPr>
        <w:t>(1972).</w:t>
      </w:r>
      <w:r w:rsidRPr="00633D45">
        <w:rPr>
          <w:rFonts w:eastAsia="Calibri"/>
          <w:color w:val="000000" w:themeColor="text1"/>
          <w:szCs w:val="24"/>
          <w:shd w:val="clear" w:color="auto" w:fill="FFFFFF"/>
          <w:lang w:eastAsia="en-US"/>
        </w:rPr>
        <w:t xml:space="preserve"> </w:t>
      </w:r>
      <w:r w:rsidRPr="00A917D5">
        <w:rPr>
          <w:rFonts w:eastAsia="Calibri"/>
          <w:i/>
          <w:color w:val="000000" w:themeColor="text1"/>
          <w:szCs w:val="24"/>
          <w:shd w:val="clear" w:color="auto" w:fill="FFFFFF"/>
          <w:lang w:eastAsia="en-US"/>
        </w:rPr>
        <w:t xml:space="preserve">Fiscal </w:t>
      </w:r>
      <w:proofErr w:type="spellStart"/>
      <w:r w:rsidRPr="00A917D5">
        <w:rPr>
          <w:rFonts w:eastAsia="Calibri"/>
          <w:i/>
          <w:color w:val="000000" w:themeColor="text1"/>
          <w:szCs w:val="24"/>
          <w:shd w:val="clear" w:color="auto" w:fill="FFFFFF"/>
          <w:lang w:eastAsia="en-US"/>
        </w:rPr>
        <w:t>federalism</w:t>
      </w:r>
      <w:proofErr w:type="spellEnd"/>
      <w:r w:rsidRPr="00A917D5">
        <w:rPr>
          <w:rFonts w:eastAsia="Calibri"/>
          <w:i/>
          <w:color w:val="000000" w:themeColor="text1"/>
          <w:szCs w:val="24"/>
          <w:shd w:val="clear" w:color="auto" w:fill="FFFFFF"/>
          <w:lang w:eastAsia="en-US"/>
        </w:rPr>
        <w:t>.</w:t>
      </w:r>
      <w:r w:rsidRPr="007B611F">
        <w:rPr>
          <w:rFonts w:eastAsia="Calibri"/>
          <w:color w:val="000000" w:themeColor="text1"/>
          <w:szCs w:val="24"/>
          <w:shd w:val="clear" w:color="auto" w:fill="FFFFFF"/>
          <w:lang w:eastAsia="en-US"/>
        </w:rPr>
        <w:t> </w:t>
      </w:r>
      <w:r w:rsidRPr="007B611F">
        <w:rPr>
          <w:rFonts w:eastAsia="Calibri"/>
          <w:bCs/>
          <w:color w:val="000000" w:themeColor="text1"/>
          <w:szCs w:val="24"/>
          <w:shd w:val="clear" w:color="auto" w:fill="FFFFFF"/>
          <w:lang w:eastAsia="en-US"/>
        </w:rPr>
        <w:t>Books</w:t>
      </w:r>
      <w:r w:rsidRPr="007B611F">
        <w:rPr>
          <w:rFonts w:eastAsia="Calibri"/>
          <w:color w:val="000000" w:themeColor="text1"/>
          <w:szCs w:val="24"/>
          <w:shd w:val="clear" w:color="auto" w:fill="FFFFFF"/>
          <w:lang w:eastAsia="en-US"/>
        </w:rPr>
        <w:t>.</w:t>
      </w:r>
    </w:p>
    <w:p w:rsidR="00552F46" w:rsidRDefault="00552F46" w:rsidP="00552F46">
      <w:pPr>
        <w:widowControl/>
        <w:suppressLineNumbers w:val="0"/>
        <w:suppressAutoHyphens w:val="0"/>
        <w:ind w:firstLine="0"/>
        <w:rPr>
          <w:rFonts w:eastAsia="Calibri"/>
          <w:color w:val="000000" w:themeColor="text1"/>
          <w:szCs w:val="24"/>
          <w:lang w:eastAsia="en-US"/>
        </w:rPr>
      </w:pPr>
    </w:p>
    <w:p w:rsidR="007C3C21" w:rsidRPr="007B611F" w:rsidRDefault="007C3C21" w:rsidP="00552F46">
      <w:pPr>
        <w:widowControl/>
        <w:suppressLineNumbers w:val="0"/>
        <w:suppressAutoHyphens w:val="0"/>
        <w:ind w:firstLine="0"/>
        <w:rPr>
          <w:rFonts w:eastAsia="Calibri"/>
          <w:color w:val="000000" w:themeColor="text1"/>
          <w:szCs w:val="24"/>
          <w:shd w:val="clear" w:color="auto" w:fill="FFFFFF"/>
          <w:lang w:eastAsia="en-US"/>
        </w:rPr>
      </w:pPr>
      <w:r w:rsidRPr="007B611F">
        <w:rPr>
          <w:rFonts w:eastAsia="Calibri"/>
          <w:color w:val="000000" w:themeColor="text1"/>
          <w:szCs w:val="24"/>
          <w:lang w:eastAsia="en-US"/>
        </w:rPr>
        <w:t>Q</w:t>
      </w:r>
      <w:r w:rsidR="00A917D5" w:rsidRPr="007B611F">
        <w:rPr>
          <w:rFonts w:eastAsia="Calibri"/>
          <w:color w:val="000000" w:themeColor="text1"/>
          <w:szCs w:val="24"/>
          <w:lang w:eastAsia="en-US"/>
        </w:rPr>
        <w:t>ueiroz</w:t>
      </w:r>
      <w:r w:rsidRPr="007B611F">
        <w:rPr>
          <w:rFonts w:eastAsia="Calibri"/>
          <w:color w:val="000000" w:themeColor="text1"/>
          <w:szCs w:val="24"/>
          <w:lang w:eastAsia="en-US"/>
        </w:rPr>
        <w:t>, D. B.; S</w:t>
      </w:r>
      <w:r w:rsidR="00A917D5" w:rsidRPr="007B611F">
        <w:rPr>
          <w:rFonts w:eastAsia="Calibri"/>
          <w:color w:val="000000" w:themeColor="text1"/>
          <w:szCs w:val="24"/>
          <w:lang w:eastAsia="en-US"/>
        </w:rPr>
        <w:t>antos,</w:t>
      </w:r>
      <w:r w:rsidR="00633D45">
        <w:rPr>
          <w:rFonts w:eastAsia="Calibri"/>
          <w:color w:val="000000" w:themeColor="text1"/>
          <w:szCs w:val="24"/>
          <w:lang w:eastAsia="en-US"/>
        </w:rPr>
        <w:t xml:space="preserve"> D. D. T. (2018).</w:t>
      </w:r>
      <w:r w:rsidRPr="007B611F">
        <w:rPr>
          <w:rFonts w:eastAsia="Calibri"/>
          <w:color w:val="000000" w:themeColor="text1"/>
          <w:szCs w:val="24"/>
          <w:lang w:eastAsia="en-US"/>
        </w:rPr>
        <w:t xml:space="preserve"> M</w:t>
      </w:r>
      <w:r w:rsidR="00A917D5" w:rsidRPr="00A917D5">
        <w:rPr>
          <w:rFonts w:eastAsia="Calibri"/>
          <w:color w:val="000000" w:themeColor="text1"/>
          <w:szCs w:val="24"/>
          <w:lang w:eastAsia="en-US"/>
        </w:rPr>
        <w:t>orais</w:t>
      </w:r>
      <w:r w:rsidRPr="007B611F">
        <w:rPr>
          <w:rFonts w:eastAsia="Calibri"/>
          <w:color w:val="000000" w:themeColor="text1"/>
          <w:szCs w:val="24"/>
          <w:lang w:eastAsia="en-US"/>
        </w:rPr>
        <w:t xml:space="preserve">, L. M. </w:t>
      </w:r>
      <w:proofErr w:type="gramStart"/>
      <w:r w:rsidRPr="007B611F">
        <w:rPr>
          <w:rFonts w:eastAsia="Calibri"/>
          <w:color w:val="000000" w:themeColor="text1"/>
          <w:szCs w:val="24"/>
          <w:lang w:eastAsia="en-US"/>
        </w:rPr>
        <w:t>F. ;</w:t>
      </w:r>
      <w:proofErr w:type="gramEnd"/>
      <w:r w:rsidRPr="007B611F">
        <w:rPr>
          <w:rFonts w:eastAsia="Calibri"/>
          <w:color w:val="000000" w:themeColor="text1"/>
          <w:szCs w:val="24"/>
          <w:lang w:eastAsia="en-US"/>
        </w:rPr>
        <w:t xml:space="preserve"> S</w:t>
      </w:r>
      <w:r w:rsidR="00A917D5" w:rsidRPr="007B611F">
        <w:rPr>
          <w:rFonts w:eastAsia="Calibri"/>
          <w:color w:val="000000" w:themeColor="text1"/>
          <w:szCs w:val="24"/>
          <w:lang w:eastAsia="en-US"/>
        </w:rPr>
        <w:t>ousa</w:t>
      </w:r>
      <w:r w:rsidRPr="007B611F">
        <w:rPr>
          <w:rFonts w:eastAsia="Calibri"/>
          <w:color w:val="000000" w:themeColor="text1"/>
          <w:szCs w:val="24"/>
          <w:lang w:eastAsia="en-US"/>
        </w:rPr>
        <w:t xml:space="preserve">, R. G. . Determinantes do Endividamento Público: Um Estudo nos Estados Brasileiros. In: XVIII USP </w:t>
      </w:r>
      <w:proofErr w:type="spellStart"/>
      <w:r w:rsidRPr="007B611F">
        <w:rPr>
          <w:rFonts w:eastAsia="Calibri"/>
          <w:color w:val="000000" w:themeColor="text1"/>
          <w:szCs w:val="24"/>
          <w:lang w:eastAsia="en-US"/>
        </w:rPr>
        <w:t>International</w:t>
      </w:r>
      <w:proofErr w:type="spellEnd"/>
      <w:r w:rsidR="00633D45">
        <w:rPr>
          <w:rFonts w:eastAsia="Calibri"/>
          <w:color w:val="000000" w:themeColor="text1"/>
          <w:szCs w:val="24"/>
          <w:lang w:eastAsia="en-US"/>
        </w:rPr>
        <w:t xml:space="preserve"> </w:t>
      </w:r>
      <w:proofErr w:type="spellStart"/>
      <w:r w:rsidR="00633D45">
        <w:rPr>
          <w:rFonts w:eastAsia="Calibri"/>
          <w:color w:val="000000" w:themeColor="text1"/>
          <w:szCs w:val="24"/>
          <w:lang w:eastAsia="en-US"/>
        </w:rPr>
        <w:t>Conference</w:t>
      </w:r>
      <w:proofErr w:type="spellEnd"/>
      <w:r w:rsidR="00633D45">
        <w:rPr>
          <w:rFonts w:eastAsia="Calibri"/>
          <w:color w:val="000000" w:themeColor="text1"/>
          <w:szCs w:val="24"/>
          <w:lang w:eastAsia="en-US"/>
        </w:rPr>
        <w:t xml:space="preserve"> in </w:t>
      </w:r>
      <w:proofErr w:type="spellStart"/>
      <w:r w:rsidR="00633D45">
        <w:rPr>
          <w:rFonts w:eastAsia="Calibri"/>
          <w:color w:val="000000" w:themeColor="text1"/>
          <w:szCs w:val="24"/>
          <w:lang w:eastAsia="en-US"/>
        </w:rPr>
        <w:t>Accounting</w:t>
      </w:r>
      <w:proofErr w:type="spellEnd"/>
      <w:r w:rsidR="00633D45">
        <w:rPr>
          <w:rFonts w:eastAsia="Calibri"/>
          <w:color w:val="000000" w:themeColor="text1"/>
          <w:szCs w:val="24"/>
          <w:lang w:eastAsia="en-US"/>
        </w:rPr>
        <w:t>.</w:t>
      </w:r>
      <w:r w:rsidRPr="007B611F">
        <w:rPr>
          <w:rFonts w:eastAsia="Calibri"/>
          <w:color w:val="000000" w:themeColor="text1"/>
          <w:szCs w:val="24"/>
          <w:lang w:eastAsia="en-US"/>
        </w:rPr>
        <w:t xml:space="preserve"> São Paulo. </w:t>
      </w:r>
      <w:r w:rsidRPr="00A917D5">
        <w:rPr>
          <w:rFonts w:eastAsia="Calibri"/>
          <w:i/>
          <w:color w:val="000000" w:themeColor="text1"/>
          <w:szCs w:val="24"/>
          <w:lang w:eastAsia="en-US"/>
        </w:rPr>
        <w:t xml:space="preserve">Anais do XVIII USP </w:t>
      </w:r>
      <w:proofErr w:type="spellStart"/>
      <w:r w:rsidRPr="00A917D5">
        <w:rPr>
          <w:rFonts w:eastAsia="Calibri"/>
          <w:i/>
          <w:color w:val="000000" w:themeColor="text1"/>
          <w:szCs w:val="24"/>
          <w:lang w:eastAsia="en-US"/>
        </w:rPr>
        <w:t>International</w:t>
      </w:r>
      <w:proofErr w:type="spellEnd"/>
      <w:r w:rsidRPr="00A917D5">
        <w:rPr>
          <w:rFonts w:eastAsia="Calibri"/>
          <w:i/>
          <w:color w:val="000000" w:themeColor="text1"/>
          <w:szCs w:val="24"/>
          <w:lang w:eastAsia="en-US"/>
        </w:rPr>
        <w:t xml:space="preserve"> </w:t>
      </w:r>
      <w:proofErr w:type="spellStart"/>
      <w:r w:rsidRPr="00A917D5">
        <w:rPr>
          <w:rFonts w:eastAsia="Calibri"/>
          <w:i/>
          <w:color w:val="000000" w:themeColor="text1"/>
          <w:szCs w:val="24"/>
          <w:lang w:eastAsia="en-US"/>
        </w:rPr>
        <w:t>Conference</w:t>
      </w:r>
      <w:proofErr w:type="spellEnd"/>
      <w:r w:rsidRPr="00A917D5">
        <w:rPr>
          <w:rFonts w:eastAsia="Calibri"/>
          <w:i/>
          <w:color w:val="000000" w:themeColor="text1"/>
          <w:szCs w:val="24"/>
          <w:lang w:eastAsia="en-US"/>
        </w:rPr>
        <w:t xml:space="preserve"> in </w:t>
      </w:r>
      <w:proofErr w:type="spellStart"/>
      <w:r w:rsidRPr="00A917D5">
        <w:rPr>
          <w:rFonts w:eastAsia="Calibri"/>
          <w:i/>
          <w:color w:val="000000" w:themeColor="text1"/>
          <w:szCs w:val="24"/>
          <w:lang w:eastAsia="en-US"/>
        </w:rPr>
        <w:t>Accounting</w:t>
      </w:r>
      <w:proofErr w:type="spellEnd"/>
      <w:r w:rsidRPr="00A917D5">
        <w:rPr>
          <w:rFonts w:eastAsia="Calibri"/>
          <w:i/>
          <w:color w:val="000000" w:themeColor="text1"/>
          <w:szCs w:val="24"/>
          <w:lang w:eastAsia="en-US"/>
        </w:rPr>
        <w:t>,</w:t>
      </w:r>
      <w:r w:rsidRPr="007B611F">
        <w:rPr>
          <w:rFonts w:eastAsia="Calibri"/>
          <w:color w:val="000000" w:themeColor="text1"/>
          <w:szCs w:val="24"/>
          <w:lang w:eastAsia="en-US"/>
        </w:rPr>
        <w:t xml:space="preserve"> 2018.</w:t>
      </w:r>
    </w:p>
    <w:p w:rsidR="00552F46" w:rsidRDefault="00552F46" w:rsidP="00552F46">
      <w:pPr>
        <w:widowControl/>
        <w:suppressLineNumbers w:val="0"/>
        <w:suppressAutoHyphens w:val="0"/>
        <w:ind w:firstLine="0"/>
        <w:rPr>
          <w:rFonts w:eastAsia="Calibri"/>
          <w:color w:val="000000" w:themeColor="text1"/>
          <w:szCs w:val="24"/>
          <w:shd w:val="clear" w:color="auto" w:fill="FFFFFF"/>
          <w:lang w:eastAsia="en-US"/>
        </w:rPr>
      </w:pPr>
    </w:p>
    <w:p w:rsidR="00425351" w:rsidRPr="007B611F" w:rsidRDefault="007C3C21" w:rsidP="00552F46">
      <w:pPr>
        <w:widowControl/>
        <w:suppressLineNumbers w:val="0"/>
        <w:suppressAutoHyphens w:val="0"/>
        <w:ind w:firstLine="0"/>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R</w:t>
      </w:r>
      <w:r w:rsidR="00A917D5" w:rsidRPr="007B611F">
        <w:rPr>
          <w:rFonts w:eastAsia="Calibri"/>
          <w:color w:val="000000" w:themeColor="text1"/>
          <w:szCs w:val="24"/>
          <w:shd w:val="clear" w:color="auto" w:fill="FFFFFF"/>
          <w:lang w:eastAsia="en-US"/>
        </w:rPr>
        <w:t>ocha</w:t>
      </w:r>
      <w:r w:rsidRPr="007B611F">
        <w:rPr>
          <w:rFonts w:eastAsia="Calibri"/>
          <w:color w:val="000000" w:themeColor="text1"/>
          <w:szCs w:val="24"/>
          <w:shd w:val="clear" w:color="auto" w:fill="FFFFFF"/>
          <w:lang w:eastAsia="en-US"/>
        </w:rPr>
        <w:t xml:space="preserve">, F.; </w:t>
      </w:r>
      <w:proofErr w:type="spellStart"/>
      <w:r w:rsidRPr="007B611F">
        <w:rPr>
          <w:rFonts w:eastAsia="Calibri"/>
          <w:color w:val="000000" w:themeColor="text1"/>
          <w:szCs w:val="24"/>
          <w:shd w:val="clear" w:color="auto" w:fill="FFFFFF"/>
          <w:lang w:eastAsia="en-US"/>
        </w:rPr>
        <w:t>G</w:t>
      </w:r>
      <w:r w:rsidR="00A917D5" w:rsidRPr="007B611F">
        <w:rPr>
          <w:rFonts w:eastAsia="Calibri"/>
          <w:color w:val="000000" w:themeColor="text1"/>
          <w:szCs w:val="24"/>
          <w:shd w:val="clear" w:color="auto" w:fill="FFFFFF"/>
          <w:lang w:eastAsia="en-US"/>
        </w:rPr>
        <w:t>iuberti</w:t>
      </w:r>
      <w:proofErr w:type="spellEnd"/>
      <w:r w:rsidRPr="007B611F">
        <w:rPr>
          <w:rFonts w:eastAsia="Calibri"/>
          <w:color w:val="000000" w:themeColor="text1"/>
          <w:szCs w:val="24"/>
          <w:shd w:val="clear" w:color="auto" w:fill="FFFFFF"/>
          <w:lang w:eastAsia="en-US"/>
        </w:rPr>
        <w:t>, A. C</w:t>
      </w:r>
      <w:r w:rsidR="00633D45">
        <w:rPr>
          <w:rFonts w:eastAsia="Calibri"/>
          <w:color w:val="000000" w:themeColor="text1"/>
          <w:szCs w:val="24"/>
          <w:shd w:val="clear" w:color="auto" w:fill="FFFFFF"/>
          <w:lang w:eastAsia="en-US"/>
        </w:rPr>
        <w:t xml:space="preserve"> (2004)</w:t>
      </w:r>
      <w:r w:rsidRPr="007B611F">
        <w:rPr>
          <w:rFonts w:eastAsia="Calibri"/>
          <w:color w:val="000000" w:themeColor="text1"/>
          <w:szCs w:val="24"/>
          <w:shd w:val="clear" w:color="auto" w:fill="FFFFFF"/>
          <w:lang w:eastAsia="en-US"/>
        </w:rPr>
        <w:t xml:space="preserve">. </w:t>
      </w:r>
      <w:r w:rsidRPr="00A917D5">
        <w:rPr>
          <w:rFonts w:eastAsia="Calibri"/>
          <w:i/>
          <w:color w:val="000000" w:themeColor="text1"/>
          <w:szCs w:val="24"/>
          <w:shd w:val="clear" w:color="auto" w:fill="FFFFFF"/>
          <w:lang w:eastAsia="en-US"/>
        </w:rPr>
        <w:t>Consenso politico com relação necessidade de disciplina fiscal dos Estados: um estudo da Lei de Responsabilidade Fiscal</w:t>
      </w:r>
      <w:r w:rsidRPr="007B611F">
        <w:rPr>
          <w:rFonts w:eastAsia="Calibri"/>
          <w:color w:val="000000" w:themeColor="text1"/>
          <w:szCs w:val="24"/>
          <w:shd w:val="clear" w:color="auto" w:fill="FFFFFF"/>
          <w:lang w:eastAsia="en-US"/>
        </w:rPr>
        <w:t>.</w:t>
      </w:r>
    </w:p>
    <w:p w:rsidR="00552F46" w:rsidRDefault="00552F46" w:rsidP="00552F46">
      <w:pPr>
        <w:widowControl/>
        <w:suppressLineNumbers w:val="0"/>
        <w:suppressAutoHyphens w:val="0"/>
        <w:ind w:firstLine="0"/>
        <w:rPr>
          <w:rFonts w:eastAsia="Calibri Light"/>
          <w:bCs/>
          <w:color w:val="000000" w:themeColor="text1"/>
          <w:szCs w:val="24"/>
          <w:lang w:eastAsia="en-US"/>
        </w:rPr>
      </w:pPr>
    </w:p>
    <w:p w:rsidR="00425351" w:rsidRPr="007B611F" w:rsidRDefault="00425351" w:rsidP="00552F46">
      <w:pPr>
        <w:widowControl/>
        <w:suppressLineNumbers w:val="0"/>
        <w:suppressAutoHyphens w:val="0"/>
        <w:ind w:firstLine="0"/>
        <w:rPr>
          <w:rFonts w:eastAsia="Calibri"/>
          <w:color w:val="000000" w:themeColor="text1"/>
          <w:szCs w:val="24"/>
          <w:shd w:val="clear" w:color="auto" w:fill="FFFFFF"/>
          <w:lang w:eastAsia="en-US"/>
        </w:rPr>
      </w:pPr>
      <w:proofErr w:type="spellStart"/>
      <w:r w:rsidRPr="007B611F">
        <w:rPr>
          <w:rFonts w:eastAsia="Calibri Light"/>
          <w:bCs/>
          <w:color w:val="000000" w:themeColor="text1"/>
          <w:szCs w:val="24"/>
          <w:lang w:eastAsia="en-US"/>
        </w:rPr>
        <w:t>Romanatto</w:t>
      </w:r>
      <w:proofErr w:type="spellEnd"/>
      <w:r w:rsidRPr="007B611F">
        <w:rPr>
          <w:rFonts w:eastAsia="Calibri Light"/>
          <w:bCs/>
          <w:color w:val="000000" w:themeColor="text1"/>
          <w:szCs w:val="24"/>
          <w:lang w:eastAsia="en-US"/>
        </w:rPr>
        <w:t>, E</w:t>
      </w:r>
      <w:proofErr w:type="gramStart"/>
      <w:r w:rsidRPr="007B611F">
        <w:rPr>
          <w:rFonts w:eastAsia="Calibri Light"/>
          <w:bCs/>
          <w:color w:val="000000" w:themeColor="text1"/>
          <w:szCs w:val="24"/>
          <w:lang w:eastAsia="en-US"/>
        </w:rPr>
        <w:t>.,</w:t>
      </w:r>
      <w:proofErr w:type="gramEnd"/>
      <w:r w:rsidRPr="007B611F">
        <w:rPr>
          <w:rFonts w:eastAsia="Calibri Light"/>
          <w:bCs/>
          <w:color w:val="000000" w:themeColor="text1"/>
          <w:szCs w:val="24"/>
          <w:lang w:eastAsia="en-US"/>
        </w:rPr>
        <w:t xml:space="preserve"> &amp; Oliveira, D. V. </w:t>
      </w:r>
      <w:r w:rsidR="00633D45">
        <w:rPr>
          <w:rFonts w:eastAsia="Calibri Light"/>
          <w:bCs/>
          <w:color w:val="000000" w:themeColor="text1"/>
          <w:szCs w:val="24"/>
          <w:lang w:eastAsia="en-US"/>
        </w:rPr>
        <w:t xml:space="preserve">(2015). </w:t>
      </w:r>
      <w:r w:rsidRPr="007B611F">
        <w:rPr>
          <w:rFonts w:eastAsia="Calibri Light"/>
          <w:bCs/>
          <w:color w:val="000000" w:themeColor="text1"/>
          <w:szCs w:val="24"/>
          <w:lang w:eastAsia="en-US"/>
        </w:rPr>
        <w:t>As finanças públicas dos municípios goianos: uma análise das receitas de transferências e das despesas nas funções relativas à Educação e Cultura e à Saúde e Saneamento. </w:t>
      </w:r>
      <w:r w:rsidRPr="007B611F">
        <w:rPr>
          <w:rFonts w:eastAsia="Calibri Light"/>
          <w:bCs/>
          <w:i/>
          <w:color w:val="000000" w:themeColor="text1"/>
          <w:szCs w:val="24"/>
          <w:lang w:eastAsia="en-US"/>
        </w:rPr>
        <w:t>Revista Economia Ensaios</w:t>
      </w:r>
      <w:r w:rsidRPr="007B611F">
        <w:rPr>
          <w:rFonts w:eastAsia="Calibri Light"/>
          <w:bCs/>
          <w:color w:val="000000" w:themeColor="text1"/>
          <w:szCs w:val="24"/>
          <w:lang w:eastAsia="en-US"/>
        </w:rPr>
        <w:t>, </w:t>
      </w:r>
      <w:r w:rsidRPr="007B611F">
        <w:rPr>
          <w:rFonts w:eastAsia="Calibri Light"/>
          <w:bCs/>
          <w:i/>
          <w:color w:val="000000" w:themeColor="text1"/>
          <w:szCs w:val="24"/>
          <w:lang w:eastAsia="en-US"/>
        </w:rPr>
        <w:t>25</w:t>
      </w:r>
      <w:r w:rsidRPr="007B611F">
        <w:rPr>
          <w:rFonts w:eastAsia="Calibri Light"/>
          <w:bCs/>
          <w:color w:val="000000" w:themeColor="text1"/>
          <w:szCs w:val="24"/>
          <w:lang w:eastAsia="en-US"/>
        </w:rPr>
        <w:t>(1).</w:t>
      </w:r>
    </w:p>
    <w:p w:rsidR="00552F46" w:rsidRDefault="00552F46" w:rsidP="00552F46">
      <w:pPr>
        <w:widowControl/>
        <w:suppressLineNumbers w:val="0"/>
        <w:suppressAutoHyphens w:val="0"/>
        <w:ind w:firstLine="0"/>
        <w:rPr>
          <w:rFonts w:eastAsia="Calibri"/>
          <w:color w:val="000000" w:themeColor="text1"/>
          <w:szCs w:val="24"/>
          <w:lang w:eastAsia="en-US"/>
        </w:rPr>
      </w:pPr>
    </w:p>
    <w:p w:rsidR="00A917D5" w:rsidRPr="007B611F" w:rsidRDefault="007C3C21" w:rsidP="00552F46">
      <w:pPr>
        <w:widowControl/>
        <w:suppressLineNumbers w:val="0"/>
        <w:suppressAutoHyphens w:val="0"/>
        <w:ind w:firstLine="0"/>
        <w:rPr>
          <w:rFonts w:eastAsia="Calibri"/>
          <w:color w:val="000000" w:themeColor="text1"/>
          <w:szCs w:val="24"/>
          <w:lang w:eastAsia="en-US"/>
        </w:rPr>
      </w:pPr>
      <w:r w:rsidRPr="007B611F">
        <w:rPr>
          <w:rFonts w:eastAsia="Calibri"/>
          <w:color w:val="000000" w:themeColor="text1"/>
          <w:szCs w:val="24"/>
          <w:lang w:eastAsia="en-US"/>
        </w:rPr>
        <w:t>S</w:t>
      </w:r>
      <w:r w:rsidR="00552F46" w:rsidRPr="007B611F">
        <w:rPr>
          <w:rFonts w:eastAsia="Calibri"/>
          <w:color w:val="000000" w:themeColor="text1"/>
          <w:szCs w:val="24"/>
          <w:lang w:eastAsia="en-US"/>
        </w:rPr>
        <w:t>antana</w:t>
      </w:r>
      <w:r w:rsidRPr="007B611F">
        <w:rPr>
          <w:rFonts w:eastAsia="Calibri"/>
          <w:color w:val="000000" w:themeColor="text1"/>
          <w:szCs w:val="24"/>
          <w:lang w:eastAsia="en-US"/>
        </w:rPr>
        <w:t>, M. S.</w:t>
      </w:r>
      <w:r w:rsidR="00633D45">
        <w:rPr>
          <w:rFonts w:eastAsia="Calibri"/>
          <w:color w:val="000000" w:themeColor="text1"/>
          <w:szCs w:val="24"/>
          <w:lang w:eastAsia="en-US"/>
        </w:rPr>
        <w:t xml:space="preserve"> (2017).</w:t>
      </w:r>
      <w:r w:rsidRPr="007B611F">
        <w:rPr>
          <w:rFonts w:eastAsia="Calibri"/>
          <w:color w:val="000000" w:themeColor="text1"/>
          <w:szCs w:val="24"/>
          <w:lang w:eastAsia="en-US"/>
        </w:rPr>
        <w:t xml:space="preserve"> Endividamento público em municípios de Minas Gerais: uma análise de dados em painel. Dissertação de mestrado. Universidade Federal de Viçosa, Minas Gerais</w:t>
      </w:r>
      <w:r w:rsidR="00633D45">
        <w:rPr>
          <w:rFonts w:eastAsia="Calibri"/>
          <w:color w:val="000000" w:themeColor="text1"/>
          <w:szCs w:val="24"/>
          <w:lang w:eastAsia="en-US"/>
        </w:rPr>
        <w:t>.</w:t>
      </w:r>
    </w:p>
    <w:p w:rsidR="00552F46" w:rsidRDefault="00552F46" w:rsidP="00552F46">
      <w:pPr>
        <w:widowControl/>
        <w:suppressLineNumbers w:val="0"/>
        <w:suppressAutoHyphens w:val="0"/>
        <w:ind w:firstLine="0"/>
        <w:rPr>
          <w:rFonts w:eastAsia="Calibri Light"/>
          <w:bCs/>
          <w:color w:val="000000" w:themeColor="text1"/>
          <w:szCs w:val="24"/>
          <w:lang w:eastAsia="en-US"/>
        </w:rPr>
      </w:pPr>
    </w:p>
    <w:p w:rsidR="00425351" w:rsidRPr="007B611F" w:rsidRDefault="00425351" w:rsidP="00552F46">
      <w:pPr>
        <w:widowControl/>
        <w:suppressLineNumbers w:val="0"/>
        <w:suppressAutoHyphens w:val="0"/>
        <w:ind w:firstLine="0"/>
        <w:rPr>
          <w:rFonts w:eastAsia="Calibri Light"/>
          <w:bCs/>
          <w:color w:val="000000" w:themeColor="text1"/>
          <w:szCs w:val="24"/>
          <w:lang w:eastAsia="en-US"/>
        </w:rPr>
      </w:pPr>
      <w:proofErr w:type="spellStart"/>
      <w:r w:rsidRPr="007B611F">
        <w:rPr>
          <w:rFonts w:eastAsia="Calibri Light"/>
          <w:bCs/>
          <w:color w:val="000000" w:themeColor="text1"/>
          <w:szCs w:val="24"/>
          <w:lang w:eastAsia="en-US"/>
        </w:rPr>
        <w:t>Santolin</w:t>
      </w:r>
      <w:proofErr w:type="spellEnd"/>
      <w:r w:rsidRPr="007B611F">
        <w:rPr>
          <w:rFonts w:eastAsia="Calibri Light"/>
          <w:bCs/>
          <w:color w:val="000000" w:themeColor="text1"/>
          <w:szCs w:val="24"/>
          <w:lang w:eastAsia="en-US"/>
        </w:rPr>
        <w:t xml:space="preserve">, R., Jayme Jr, F. G., &amp; Reis, J. C. </w:t>
      </w:r>
      <w:proofErr w:type="gramStart"/>
      <w:r w:rsidRPr="007B611F">
        <w:rPr>
          <w:rFonts w:eastAsia="Calibri Light"/>
          <w:bCs/>
          <w:color w:val="000000" w:themeColor="text1"/>
          <w:szCs w:val="24"/>
          <w:lang w:eastAsia="en-US"/>
        </w:rPr>
        <w:t>D.</w:t>
      </w:r>
      <w:proofErr w:type="gramEnd"/>
      <w:r w:rsidRPr="007B611F">
        <w:rPr>
          <w:rFonts w:eastAsia="Calibri Light"/>
          <w:bCs/>
          <w:color w:val="000000" w:themeColor="text1"/>
          <w:szCs w:val="24"/>
          <w:lang w:eastAsia="en-US"/>
        </w:rPr>
        <w:t xml:space="preserve"> (2009). Lei de Responsabilidade Fiscal e implicações na despesa de pessoal e de investimento nos municípios mineiros: um estudo com dados em painel dinâmico. </w:t>
      </w:r>
      <w:r w:rsidRPr="007B611F">
        <w:rPr>
          <w:rFonts w:eastAsia="Calibri Light"/>
          <w:bCs/>
          <w:i/>
          <w:color w:val="000000" w:themeColor="text1"/>
          <w:szCs w:val="24"/>
          <w:lang w:eastAsia="en-US"/>
        </w:rPr>
        <w:t>Estudos Econômicos (São Paulo)</w:t>
      </w:r>
      <w:r w:rsidRPr="007B611F">
        <w:rPr>
          <w:rFonts w:eastAsia="Calibri Light"/>
          <w:bCs/>
          <w:color w:val="000000" w:themeColor="text1"/>
          <w:szCs w:val="24"/>
          <w:lang w:eastAsia="en-US"/>
        </w:rPr>
        <w:t>, </w:t>
      </w:r>
      <w:r w:rsidRPr="007B611F">
        <w:rPr>
          <w:rFonts w:eastAsia="Calibri Light"/>
          <w:bCs/>
          <w:i/>
          <w:color w:val="000000" w:themeColor="text1"/>
          <w:szCs w:val="24"/>
          <w:lang w:eastAsia="en-US"/>
        </w:rPr>
        <w:t>39</w:t>
      </w:r>
      <w:r w:rsidRPr="007B611F">
        <w:rPr>
          <w:rFonts w:eastAsia="Calibri Light"/>
          <w:bCs/>
          <w:color w:val="000000" w:themeColor="text1"/>
          <w:szCs w:val="24"/>
          <w:lang w:eastAsia="en-US"/>
        </w:rPr>
        <w:t>(4), 895-923.</w:t>
      </w:r>
    </w:p>
    <w:p w:rsidR="00552F46" w:rsidRDefault="00552F46" w:rsidP="00552F46">
      <w:pPr>
        <w:widowControl/>
        <w:suppressLineNumbers w:val="0"/>
        <w:suppressAutoHyphens w:val="0"/>
        <w:ind w:firstLine="0"/>
        <w:rPr>
          <w:rFonts w:eastAsia="Calibri Light"/>
          <w:bCs/>
          <w:color w:val="000000" w:themeColor="text1"/>
          <w:szCs w:val="24"/>
          <w:lang w:eastAsia="en-US"/>
        </w:rPr>
      </w:pPr>
    </w:p>
    <w:p w:rsidR="00425351" w:rsidRDefault="00425351" w:rsidP="00552F46">
      <w:pPr>
        <w:widowControl/>
        <w:suppressLineNumbers w:val="0"/>
        <w:suppressAutoHyphens w:val="0"/>
        <w:ind w:firstLine="0"/>
        <w:rPr>
          <w:rFonts w:eastAsia="Calibri Light"/>
          <w:bCs/>
          <w:color w:val="000000" w:themeColor="text1"/>
          <w:szCs w:val="24"/>
          <w:lang w:eastAsia="en-US"/>
        </w:rPr>
      </w:pPr>
      <w:r w:rsidRPr="007B611F">
        <w:rPr>
          <w:rFonts w:eastAsia="Calibri Light"/>
          <w:bCs/>
          <w:color w:val="000000" w:themeColor="text1"/>
          <w:szCs w:val="24"/>
          <w:lang w:eastAsia="en-US"/>
        </w:rPr>
        <w:t>Silva, I. F. B. R., &amp; SOUSA, M. D. C. S. (2002). Determinantes do endividamento dos Estados Brasileiros: uma análise de dados de painel. </w:t>
      </w:r>
      <w:r w:rsidRPr="007B611F">
        <w:rPr>
          <w:rFonts w:eastAsia="Calibri Light"/>
          <w:bCs/>
          <w:i/>
          <w:color w:val="000000" w:themeColor="text1"/>
          <w:szCs w:val="24"/>
          <w:lang w:eastAsia="en-US"/>
        </w:rPr>
        <w:t>Universidade de Brasília/departamento de Economia. Texto</w:t>
      </w:r>
      <w:r w:rsidRPr="007B611F">
        <w:rPr>
          <w:rFonts w:eastAsia="Calibri Light"/>
          <w:bCs/>
          <w:color w:val="000000" w:themeColor="text1"/>
          <w:szCs w:val="24"/>
          <w:lang w:eastAsia="en-US"/>
        </w:rPr>
        <w:t>, </w:t>
      </w:r>
      <w:r w:rsidRPr="007B611F">
        <w:rPr>
          <w:rFonts w:eastAsia="Calibri Light"/>
          <w:bCs/>
          <w:i/>
          <w:color w:val="000000" w:themeColor="text1"/>
          <w:szCs w:val="24"/>
          <w:lang w:eastAsia="en-US"/>
        </w:rPr>
        <w:t>259</w:t>
      </w:r>
      <w:r w:rsidRPr="007B611F">
        <w:rPr>
          <w:rFonts w:eastAsia="Calibri Light"/>
          <w:bCs/>
          <w:color w:val="000000" w:themeColor="text1"/>
          <w:szCs w:val="24"/>
          <w:lang w:eastAsia="en-US"/>
        </w:rPr>
        <w:t>.</w:t>
      </w:r>
    </w:p>
    <w:p w:rsidR="000B4126" w:rsidRPr="007B611F" w:rsidRDefault="000B4126" w:rsidP="00552F46">
      <w:pPr>
        <w:widowControl/>
        <w:suppressLineNumbers w:val="0"/>
        <w:suppressAutoHyphens w:val="0"/>
        <w:ind w:firstLine="0"/>
        <w:rPr>
          <w:rFonts w:eastAsia="Calibri Light"/>
          <w:bCs/>
          <w:color w:val="000000" w:themeColor="text1"/>
          <w:szCs w:val="24"/>
          <w:lang w:eastAsia="en-US"/>
        </w:rPr>
      </w:pPr>
    </w:p>
    <w:p w:rsidR="007C3C21" w:rsidRPr="007B611F" w:rsidRDefault="007C3C21" w:rsidP="00552F46">
      <w:pPr>
        <w:widowControl/>
        <w:suppressLineNumbers w:val="0"/>
        <w:suppressAutoHyphens w:val="0"/>
        <w:ind w:firstLine="0"/>
        <w:rPr>
          <w:rFonts w:eastAsia="Calibri"/>
          <w:color w:val="000000" w:themeColor="text1"/>
          <w:szCs w:val="24"/>
          <w:shd w:val="clear" w:color="auto" w:fill="FFFFFF"/>
          <w:lang w:eastAsia="en-US"/>
        </w:rPr>
      </w:pPr>
      <w:r w:rsidRPr="007B611F">
        <w:rPr>
          <w:rFonts w:eastAsia="Calibri"/>
          <w:color w:val="000000" w:themeColor="text1"/>
          <w:szCs w:val="24"/>
          <w:shd w:val="clear" w:color="auto" w:fill="FFFFFF"/>
          <w:lang w:eastAsia="en-US"/>
        </w:rPr>
        <w:t>S</w:t>
      </w:r>
      <w:r w:rsidR="00552F46" w:rsidRPr="007B611F">
        <w:rPr>
          <w:rFonts w:eastAsia="Calibri"/>
          <w:color w:val="000000" w:themeColor="text1"/>
          <w:szCs w:val="24"/>
          <w:shd w:val="clear" w:color="auto" w:fill="FFFFFF"/>
          <w:lang w:eastAsia="en-US"/>
        </w:rPr>
        <w:t>oares</w:t>
      </w:r>
      <w:r w:rsidRPr="007B611F">
        <w:rPr>
          <w:rFonts w:eastAsia="Calibri"/>
          <w:color w:val="000000" w:themeColor="text1"/>
          <w:szCs w:val="24"/>
          <w:shd w:val="clear" w:color="auto" w:fill="FFFFFF"/>
          <w:lang w:eastAsia="en-US"/>
        </w:rPr>
        <w:t xml:space="preserve">, C. S. </w:t>
      </w:r>
      <w:proofErr w:type="gramStart"/>
      <w:r w:rsidRPr="007B611F">
        <w:rPr>
          <w:rFonts w:eastAsia="Calibri"/>
          <w:color w:val="000000" w:themeColor="text1"/>
          <w:szCs w:val="24"/>
          <w:shd w:val="clear" w:color="auto" w:fill="FFFFFF"/>
          <w:lang w:eastAsia="en-US"/>
        </w:rPr>
        <w:t>et</w:t>
      </w:r>
      <w:proofErr w:type="gramEnd"/>
      <w:r w:rsidRPr="007B611F">
        <w:rPr>
          <w:rFonts w:eastAsia="Calibri"/>
          <w:color w:val="000000" w:themeColor="text1"/>
          <w:szCs w:val="24"/>
          <w:shd w:val="clear" w:color="auto" w:fill="FFFFFF"/>
          <w:lang w:eastAsia="en-US"/>
        </w:rPr>
        <w:t xml:space="preserve"> al.</w:t>
      </w:r>
      <w:r w:rsidR="00633D45">
        <w:rPr>
          <w:rFonts w:eastAsia="Calibri"/>
          <w:color w:val="000000" w:themeColor="text1"/>
          <w:szCs w:val="24"/>
          <w:shd w:val="clear" w:color="auto" w:fill="FFFFFF"/>
          <w:lang w:eastAsia="en-US"/>
        </w:rPr>
        <w:t xml:space="preserve"> (2012).</w:t>
      </w:r>
      <w:r w:rsidRPr="007B611F">
        <w:rPr>
          <w:rFonts w:eastAsia="Calibri"/>
          <w:color w:val="000000" w:themeColor="text1"/>
          <w:szCs w:val="24"/>
          <w:shd w:val="clear" w:color="auto" w:fill="FFFFFF"/>
          <w:lang w:eastAsia="en-US"/>
        </w:rPr>
        <w:t xml:space="preserve"> A Lei de Responsabilidade Fiscal e o comportamento do endividamento dos Estados brasileiros: uma análise de dados em painel de 2000 a 2010. </w:t>
      </w:r>
      <w:r w:rsidRPr="007B611F">
        <w:rPr>
          <w:rFonts w:eastAsia="Calibri"/>
          <w:bCs/>
          <w:color w:val="000000" w:themeColor="text1"/>
          <w:szCs w:val="24"/>
          <w:shd w:val="clear" w:color="auto" w:fill="FFFFFF"/>
          <w:lang w:eastAsia="en-US"/>
        </w:rPr>
        <w:t>Trabalho apresentado em Encontro de Administração, Política e Governo</w:t>
      </w:r>
      <w:r w:rsidRPr="007B611F">
        <w:rPr>
          <w:rFonts w:eastAsia="Calibri"/>
          <w:color w:val="000000" w:themeColor="text1"/>
          <w:szCs w:val="24"/>
          <w:shd w:val="clear" w:color="auto" w:fill="FFFFFF"/>
          <w:lang w:eastAsia="en-US"/>
        </w:rPr>
        <w:t>.</w:t>
      </w:r>
    </w:p>
    <w:p w:rsidR="00552F46" w:rsidRPr="00633D45" w:rsidRDefault="00552F46" w:rsidP="00552F46">
      <w:pPr>
        <w:widowControl/>
        <w:suppressLineNumbers w:val="0"/>
        <w:suppressAutoHyphens w:val="0"/>
        <w:ind w:firstLine="0"/>
        <w:rPr>
          <w:rFonts w:eastAsia="Calibri"/>
          <w:color w:val="000000" w:themeColor="text1"/>
          <w:szCs w:val="24"/>
          <w:lang w:eastAsia="en-US"/>
        </w:rPr>
      </w:pPr>
    </w:p>
    <w:p w:rsidR="007C3C21" w:rsidRPr="007B611F" w:rsidRDefault="007C3C21" w:rsidP="00552F46">
      <w:pPr>
        <w:widowControl/>
        <w:suppressLineNumbers w:val="0"/>
        <w:suppressAutoHyphens w:val="0"/>
        <w:ind w:firstLine="0"/>
        <w:rPr>
          <w:rFonts w:eastAsia="Calibri"/>
          <w:color w:val="000000" w:themeColor="text1"/>
          <w:sz w:val="22"/>
          <w:szCs w:val="22"/>
          <w:lang w:val="en-US" w:eastAsia="en-US"/>
        </w:rPr>
      </w:pPr>
      <w:r w:rsidRPr="007B6C8E">
        <w:rPr>
          <w:rFonts w:eastAsia="Calibri"/>
          <w:color w:val="000000" w:themeColor="text1"/>
          <w:szCs w:val="24"/>
          <w:lang w:val="en-US" w:eastAsia="en-US"/>
        </w:rPr>
        <w:t>V</w:t>
      </w:r>
      <w:r w:rsidR="00A917D5" w:rsidRPr="007B6C8E">
        <w:rPr>
          <w:rFonts w:eastAsia="Calibri"/>
          <w:color w:val="000000" w:themeColor="text1"/>
          <w:szCs w:val="24"/>
          <w:lang w:val="en-US" w:eastAsia="en-US"/>
        </w:rPr>
        <w:t>elasco</w:t>
      </w:r>
      <w:r w:rsidRPr="007B6C8E">
        <w:rPr>
          <w:rFonts w:eastAsia="Calibri"/>
          <w:color w:val="000000" w:themeColor="text1"/>
          <w:szCs w:val="24"/>
          <w:lang w:val="en-US" w:eastAsia="en-US"/>
        </w:rPr>
        <w:t>, A. A</w:t>
      </w:r>
      <w:r w:rsidR="007B6C8E" w:rsidRPr="007B6C8E">
        <w:rPr>
          <w:rFonts w:eastAsia="Calibri"/>
          <w:color w:val="000000" w:themeColor="text1"/>
          <w:szCs w:val="24"/>
          <w:lang w:val="en-US" w:eastAsia="en-US"/>
        </w:rPr>
        <w:t>.</w:t>
      </w:r>
      <w:r w:rsidR="007B6C8E">
        <w:rPr>
          <w:rFonts w:eastAsia="Calibri"/>
          <w:color w:val="000000" w:themeColor="text1"/>
          <w:szCs w:val="24"/>
          <w:lang w:val="en-US" w:eastAsia="en-US"/>
        </w:rPr>
        <w:t xml:space="preserve"> (1997).</w:t>
      </w:r>
      <w:r w:rsidRPr="007B6C8E">
        <w:rPr>
          <w:rFonts w:eastAsia="Calibri"/>
          <w:color w:val="000000" w:themeColor="text1"/>
          <w:szCs w:val="24"/>
          <w:lang w:val="en-US" w:eastAsia="en-US"/>
        </w:rPr>
        <w:t xml:space="preserve"> </w:t>
      </w:r>
      <w:proofErr w:type="gramStart"/>
      <w:r w:rsidRPr="007B6C8E">
        <w:rPr>
          <w:rFonts w:eastAsia="Calibri"/>
          <w:color w:val="000000" w:themeColor="text1"/>
          <w:szCs w:val="24"/>
          <w:lang w:val="en-US" w:eastAsia="en-US"/>
        </w:rPr>
        <w:t>Model of Endogenous Fiscal Deficits and Delayed Fiscal Reforms.</w:t>
      </w:r>
      <w:proofErr w:type="gramEnd"/>
      <w:r w:rsidRPr="007B6C8E">
        <w:rPr>
          <w:rFonts w:eastAsia="Calibri"/>
          <w:color w:val="000000" w:themeColor="text1"/>
          <w:szCs w:val="24"/>
          <w:lang w:val="en-US" w:eastAsia="en-US"/>
        </w:rPr>
        <w:t xml:space="preserve"> National Bureau of Economic Research, </w:t>
      </w:r>
      <w:r w:rsidRPr="007B6C8E">
        <w:rPr>
          <w:rFonts w:eastAsia="Calibri"/>
          <w:i/>
          <w:color w:val="000000" w:themeColor="text1"/>
          <w:szCs w:val="24"/>
          <w:lang w:val="en-US" w:eastAsia="en-US"/>
        </w:rPr>
        <w:t>Workin</w:t>
      </w:r>
      <w:r w:rsidRPr="00552F46">
        <w:rPr>
          <w:rFonts w:eastAsia="Calibri"/>
          <w:i/>
          <w:color w:val="000000" w:themeColor="text1"/>
          <w:szCs w:val="24"/>
          <w:lang w:val="en-US" w:eastAsia="en-US"/>
        </w:rPr>
        <w:t>g Paper</w:t>
      </w:r>
      <w:r w:rsidRPr="007B611F">
        <w:rPr>
          <w:rFonts w:eastAsia="Calibri"/>
          <w:color w:val="000000" w:themeColor="text1"/>
          <w:szCs w:val="24"/>
          <w:lang w:val="en-US" w:eastAsia="en-US"/>
        </w:rPr>
        <w:t xml:space="preserve"> n.6336, Cambridge.</w:t>
      </w:r>
    </w:p>
    <w:sectPr w:rsidR="007C3C21" w:rsidRPr="007B611F" w:rsidSect="00677295">
      <w:headerReference w:type="default" r:id="rId10"/>
      <w:footerReference w:type="default" r:id="rId11"/>
      <w:pgSz w:w="12240" w:h="15840" w:code="119"/>
      <w:pgMar w:top="1701" w:right="1134" w:bottom="1134" w:left="1701" w:header="142"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613" w:rsidRDefault="003D2613" w:rsidP="005840EF">
      <w:r>
        <w:separator/>
      </w:r>
    </w:p>
  </w:endnote>
  <w:endnote w:type="continuationSeparator" w:id="0">
    <w:p w:rsidR="003D2613" w:rsidRDefault="003D2613"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5E5548">
      <w:rPr>
        <w:noProof/>
        <w:sz w:val="20"/>
      </w:rPr>
      <w:t>1</w:t>
    </w:r>
    <w:r w:rsidRPr="00F05FBB">
      <w:rPr>
        <w:sz w:val="20"/>
      </w:rPr>
      <w:fldChar w:fldCharType="end"/>
    </w:r>
  </w:p>
  <w:p w:rsidR="005D711E" w:rsidRPr="00862FD2" w:rsidRDefault="00C271A6" w:rsidP="004E0B39">
    <w:pPr>
      <w:pStyle w:val="Rodap"/>
      <w:ind w:firstLine="0"/>
      <w:jc w:val="center"/>
    </w:pPr>
    <w:r>
      <w:rPr>
        <w:noProof/>
        <w:lang w:val="pt-BR" w:eastAsia="pt-BR"/>
      </w:rPr>
      <w:drawing>
        <wp:inline distT="0" distB="0" distL="0" distR="0" wp14:anchorId="3309DC84" wp14:editId="1C5D77EA">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613" w:rsidRDefault="003D2613" w:rsidP="005840EF">
      <w:r>
        <w:separator/>
      </w:r>
    </w:p>
  </w:footnote>
  <w:footnote w:type="continuationSeparator" w:id="0">
    <w:p w:rsidR="003D2613" w:rsidRDefault="003D2613"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1E" w:rsidRPr="004E0B39" w:rsidRDefault="00C271A6" w:rsidP="004E0B39">
    <w:pPr>
      <w:pStyle w:val="Cabealho"/>
      <w:ind w:firstLine="0"/>
      <w:jc w:val="center"/>
    </w:pPr>
    <w:r>
      <w:rPr>
        <w:noProof/>
      </w:rPr>
      <w:drawing>
        <wp:inline distT="0" distB="0" distL="0" distR="0" wp14:anchorId="38FF203E" wp14:editId="2E84ADBC">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103E0"/>
    <w:rsid w:val="00021054"/>
    <w:rsid w:val="0006261D"/>
    <w:rsid w:val="000720BF"/>
    <w:rsid w:val="000B4126"/>
    <w:rsid w:val="000D7722"/>
    <w:rsid w:val="000E7885"/>
    <w:rsid w:val="000F0530"/>
    <w:rsid w:val="001457BE"/>
    <w:rsid w:val="00160E08"/>
    <w:rsid w:val="001E2E6C"/>
    <w:rsid w:val="0020354A"/>
    <w:rsid w:val="002056D7"/>
    <w:rsid w:val="00207058"/>
    <w:rsid w:val="002136AE"/>
    <w:rsid w:val="002149AF"/>
    <w:rsid w:val="00244401"/>
    <w:rsid w:val="00244C0A"/>
    <w:rsid w:val="002566DC"/>
    <w:rsid w:val="00263CEF"/>
    <w:rsid w:val="002826C0"/>
    <w:rsid w:val="002B78FC"/>
    <w:rsid w:val="002C7235"/>
    <w:rsid w:val="002F5EE7"/>
    <w:rsid w:val="00303C6F"/>
    <w:rsid w:val="00322845"/>
    <w:rsid w:val="00371DFF"/>
    <w:rsid w:val="003923C3"/>
    <w:rsid w:val="00395244"/>
    <w:rsid w:val="003A3639"/>
    <w:rsid w:val="003D2613"/>
    <w:rsid w:val="003E1FCA"/>
    <w:rsid w:val="00406C08"/>
    <w:rsid w:val="00423365"/>
    <w:rsid w:val="004251EF"/>
    <w:rsid w:val="00425351"/>
    <w:rsid w:val="0043121A"/>
    <w:rsid w:val="00451E7B"/>
    <w:rsid w:val="00453349"/>
    <w:rsid w:val="00472EE1"/>
    <w:rsid w:val="0048579A"/>
    <w:rsid w:val="0049262F"/>
    <w:rsid w:val="004E0B39"/>
    <w:rsid w:val="00520EF0"/>
    <w:rsid w:val="00523BAB"/>
    <w:rsid w:val="00531A76"/>
    <w:rsid w:val="00546C87"/>
    <w:rsid w:val="0055088A"/>
    <w:rsid w:val="00552F46"/>
    <w:rsid w:val="005840EF"/>
    <w:rsid w:val="00592E70"/>
    <w:rsid w:val="005B5B8B"/>
    <w:rsid w:val="005D0785"/>
    <w:rsid w:val="005D711E"/>
    <w:rsid w:val="005E5548"/>
    <w:rsid w:val="00606F36"/>
    <w:rsid w:val="00633D45"/>
    <w:rsid w:val="0063432D"/>
    <w:rsid w:val="006750E6"/>
    <w:rsid w:val="00677295"/>
    <w:rsid w:val="00683BE5"/>
    <w:rsid w:val="006C284A"/>
    <w:rsid w:val="006C7AE7"/>
    <w:rsid w:val="006D02CA"/>
    <w:rsid w:val="006D340F"/>
    <w:rsid w:val="006D603B"/>
    <w:rsid w:val="00710D8D"/>
    <w:rsid w:val="00714245"/>
    <w:rsid w:val="00753AA5"/>
    <w:rsid w:val="007610C6"/>
    <w:rsid w:val="007B611F"/>
    <w:rsid w:val="007B6C8E"/>
    <w:rsid w:val="007C0C2C"/>
    <w:rsid w:val="007C3C21"/>
    <w:rsid w:val="007F1447"/>
    <w:rsid w:val="00817308"/>
    <w:rsid w:val="00820D3B"/>
    <w:rsid w:val="00830F17"/>
    <w:rsid w:val="00835FA5"/>
    <w:rsid w:val="00862FD2"/>
    <w:rsid w:val="00865A23"/>
    <w:rsid w:val="00866591"/>
    <w:rsid w:val="00877090"/>
    <w:rsid w:val="008814E9"/>
    <w:rsid w:val="008902BE"/>
    <w:rsid w:val="008A1488"/>
    <w:rsid w:val="008B21BE"/>
    <w:rsid w:val="008F1B7C"/>
    <w:rsid w:val="008F32A6"/>
    <w:rsid w:val="008F67F7"/>
    <w:rsid w:val="0092413C"/>
    <w:rsid w:val="00943459"/>
    <w:rsid w:val="00952306"/>
    <w:rsid w:val="009724D8"/>
    <w:rsid w:val="009976D2"/>
    <w:rsid w:val="009B11E7"/>
    <w:rsid w:val="009B3488"/>
    <w:rsid w:val="009C7DFA"/>
    <w:rsid w:val="009D68AF"/>
    <w:rsid w:val="009E3F12"/>
    <w:rsid w:val="00A01395"/>
    <w:rsid w:val="00A16D53"/>
    <w:rsid w:val="00A33A5D"/>
    <w:rsid w:val="00A80641"/>
    <w:rsid w:val="00A917D5"/>
    <w:rsid w:val="00A92F7A"/>
    <w:rsid w:val="00AB5527"/>
    <w:rsid w:val="00AC61AF"/>
    <w:rsid w:val="00AC7E25"/>
    <w:rsid w:val="00B12485"/>
    <w:rsid w:val="00B169EE"/>
    <w:rsid w:val="00B25FFE"/>
    <w:rsid w:val="00B52752"/>
    <w:rsid w:val="00B801AB"/>
    <w:rsid w:val="00B87A74"/>
    <w:rsid w:val="00B919A5"/>
    <w:rsid w:val="00BC4277"/>
    <w:rsid w:val="00C01D2B"/>
    <w:rsid w:val="00C01F1F"/>
    <w:rsid w:val="00C22A7A"/>
    <w:rsid w:val="00C271A6"/>
    <w:rsid w:val="00C671EC"/>
    <w:rsid w:val="00C84F71"/>
    <w:rsid w:val="00CB0711"/>
    <w:rsid w:val="00CE563D"/>
    <w:rsid w:val="00CF0D35"/>
    <w:rsid w:val="00D2342D"/>
    <w:rsid w:val="00D57718"/>
    <w:rsid w:val="00D86B5F"/>
    <w:rsid w:val="00D94E67"/>
    <w:rsid w:val="00DA5E5B"/>
    <w:rsid w:val="00DE1E14"/>
    <w:rsid w:val="00DE52C7"/>
    <w:rsid w:val="00DE631D"/>
    <w:rsid w:val="00DE75F7"/>
    <w:rsid w:val="00E1786F"/>
    <w:rsid w:val="00E24E18"/>
    <w:rsid w:val="00E94A5E"/>
    <w:rsid w:val="00EC6EDB"/>
    <w:rsid w:val="00ED6578"/>
    <w:rsid w:val="00EF213A"/>
    <w:rsid w:val="00F05FBB"/>
    <w:rsid w:val="00F075B3"/>
    <w:rsid w:val="00F70D09"/>
    <w:rsid w:val="00FC1C75"/>
    <w:rsid w:val="00FC2A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customStyle="1" w:styleId="go">
    <w:name w:val="go"/>
    <w:basedOn w:val="Fontepargpadro"/>
    <w:rsid w:val="00A92F7A"/>
  </w:style>
  <w:style w:type="paragraph" w:customStyle="1" w:styleId="Standard">
    <w:name w:val="Standard"/>
    <w:rsid w:val="00425351"/>
    <w:pPr>
      <w:suppressAutoHyphens/>
      <w:autoSpaceDN w:val="0"/>
      <w:textAlignment w:val="baseline"/>
    </w:pPr>
    <w:rPr>
      <w:rFonts w:ascii="Liberation Serif" w:eastAsia="SimSun" w:hAnsi="Liberation Serif" w:cs="Ari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customStyle="1" w:styleId="go">
    <w:name w:val="go"/>
    <w:basedOn w:val="Fontepargpadro"/>
    <w:rsid w:val="00A92F7A"/>
  </w:style>
  <w:style w:type="paragraph" w:customStyle="1" w:styleId="Standard">
    <w:name w:val="Standard"/>
    <w:rsid w:val="00425351"/>
    <w:pPr>
      <w:suppressAutoHyphens/>
      <w:autoSpaceDN w:val="0"/>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467939492">
      <w:bodyDiv w:val="1"/>
      <w:marLeft w:val="0"/>
      <w:marRight w:val="0"/>
      <w:marTop w:val="0"/>
      <w:marBottom w:val="0"/>
      <w:divBdr>
        <w:top w:val="none" w:sz="0" w:space="0" w:color="auto"/>
        <w:left w:val="none" w:sz="0" w:space="0" w:color="auto"/>
        <w:bottom w:val="none" w:sz="0" w:space="0" w:color="auto"/>
        <w:right w:val="none" w:sz="0" w:space="0" w:color="auto"/>
      </w:divBdr>
    </w:div>
    <w:div w:id="738090438">
      <w:bodyDiv w:val="1"/>
      <w:marLeft w:val="0"/>
      <w:marRight w:val="0"/>
      <w:marTop w:val="0"/>
      <w:marBottom w:val="0"/>
      <w:divBdr>
        <w:top w:val="none" w:sz="0" w:space="0" w:color="auto"/>
        <w:left w:val="none" w:sz="0" w:space="0" w:color="auto"/>
        <w:bottom w:val="none" w:sz="0" w:space="0" w:color="auto"/>
        <w:right w:val="none" w:sz="0" w:space="0" w:color="auto"/>
      </w:divBdr>
    </w:div>
    <w:div w:id="1037239509">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11828467">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lanalto.gov.br/ccivil_03/LEIS/LCP/Lcp101.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68886-151E-427C-B8D4-D185E3397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6681</Words>
  <Characters>36079</Characters>
  <Application>Microsoft Office Word</Application>
  <DocSecurity>0</DocSecurity>
  <Lines>300</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Caio</cp:lastModifiedBy>
  <cp:revision>3</cp:revision>
  <cp:lastPrinted>2019-07-09T15:33:00Z</cp:lastPrinted>
  <dcterms:created xsi:type="dcterms:W3CDTF">2019-07-09T15:38:00Z</dcterms:created>
  <dcterms:modified xsi:type="dcterms:W3CDTF">2019-07-09T15:48:00Z</dcterms:modified>
</cp:coreProperties>
</file>