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86A49" w14:textId="35ACC8AE" w:rsidR="001C2B08" w:rsidRPr="008174EF" w:rsidRDefault="001C2B08" w:rsidP="00E47099">
      <w:pPr>
        <w:ind w:firstLine="0"/>
        <w:jc w:val="center"/>
        <w:rPr>
          <w:b/>
          <w:szCs w:val="24"/>
        </w:rPr>
      </w:pPr>
      <w:r w:rsidRPr="008174EF">
        <w:rPr>
          <w:b/>
          <w:szCs w:val="24"/>
        </w:rPr>
        <w:t>Análise da Situação Econômico-Financeira de uma Operadora de Plano de Saúde do Sul do Brasil</w:t>
      </w:r>
    </w:p>
    <w:p w14:paraId="409B9A25" w14:textId="7C435C23" w:rsidR="00FA7C34" w:rsidRDefault="00FA7C34" w:rsidP="001C2B08">
      <w:pPr>
        <w:jc w:val="center"/>
        <w:rPr>
          <w:b/>
          <w:szCs w:val="24"/>
        </w:rPr>
      </w:pPr>
    </w:p>
    <w:p w14:paraId="755D0651" w14:textId="1B604D72" w:rsidR="00FA43E9" w:rsidRPr="00FA43E9" w:rsidRDefault="00FA43E9" w:rsidP="00FA43E9">
      <w:pPr>
        <w:jc w:val="right"/>
        <w:rPr>
          <w:b/>
          <w:color w:val="0D0D0D" w:themeColor="text1" w:themeTint="F2"/>
          <w:szCs w:val="24"/>
        </w:rPr>
      </w:pPr>
      <w:r w:rsidRPr="00FA43E9">
        <w:rPr>
          <w:b/>
          <w:color w:val="0D0D0D" w:themeColor="text1" w:themeTint="F2"/>
          <w:szCs w:val="24"/>
        </w:rPr>
        <w:t xml:space="preserve">Michele </w:t>
      </w:r>
      <w:proofErr w:type="spellStart"/>
      <w:r w:rsidRPr="00FA43E9">
        <w:rPr>
          <w:b/>
          <w:color w:val="0D0D0D" w:themeColor="text1" w:themeTint="F2"/>
          <w:szCs w:val="24"/>
        </w:rPr>
        <w:t>Colle</w:t>
      </w:r>
      <w:proofErr w:type="spellEnd"/>
      <w:r w:rsidRPr="00FA43E9">
        <w:rPr>
          <w:b/>
          <w:color w:val="0D0D0D" w:themeColor="text1" w:themeTint="F2"/>
          <w:szCs w:val="24"/>
        </w:rPr>
        <w:t xml:space="preserve"> </w:t>
      </w:r>
      <w:proofErr w:type="spellStart"/>
      <w:r w:rsidRPr="00FA43E9">
        <w:rPr>
          <w:b/>
          <w:color w:val="0D0D0D" w:themeColor="text1" w:themeTint="F2"/>
          <w:szCs w:val="24"/>
        </w:rPr>
        <w:t>Rosso</w:t>
      </w:r>
      <w:proofErr w:type="spellEnd"/>
      <w:r w:rsidRPr="00FA43E9">
        <w:rPr>
          <w:b/>
          <w:color w:val="0D0D0D" w:themeColor="text1" w:themeTint="F2"/>
          <w:szCs w:val="24"/>
        </w:rPr>
        <w:t xml:space="preserve"> </w:t>
      </w:r>
      <w:proofErr w:type="spellStart"/>
      <w:r w:rsidRPr="00FA43E9">
        <w:rPr>
          <w:b/>
          <w:color w:val="0D0D0D" w:themeColor="text1" w:themeTint="F2"/>
          <w:szCs w:val="24"/>
        </w:rPr>
        <w:t>Mariot</w:t>
      </w:r>
      <w:proofErr w:type="spellEnd"/>
    </w:p>
    <w:p w14:paraId="5887DD16" w14:textId="3EF93A6A" w:rsidR="00FA43E9" w:rsidRPr="00FA43E9" w:rsidRDefault="00FA43E9" w:rsidP="00FA43E9">
      <w:pPr>
        <w:jc w:val="right"/>
        <w:rPr>
          <w:color w:val="0D0D0D" w:themeColor="text1" w:themeTint="F2"/>
          <w:szCs w:val="24"/>
        </w:rPr>
      </w:pPr>
      <w:r w:rsidRPr="00FA43E9">
        <w:rPr>
          <w:color w:val="0D0D0D" w:themeColor="text1" w:themeTint="F2"/>
          <w:szCs w:val="24"/>
        </w:rPr>
        <w:t>Universidade do Extremo Sul Catarinense – UNESC</w:t>
      </w:r>
    </w:p>
    <w:p w14:paraId="3FB7CFD6" w14:textId="1FFB868E" w:rsidR="00FA43E9" w:rsidRPr="00FA43E9" w:rsidRDefault="00FA43E9" w:rsidP="00FA43E9">
      <w:pPr>
        <w:jc w:val="right"/>
        <w:rPr>
          <w:color w:val="FF0000"/>
          <w:szCs w:val="24"/>
        </w:rPr>
      </w:pPr>
      <w:r w:rsidRPr="00FA43E9">
        <w:rPr>
          <w:color w:val="0D0D0D" w:themeColor="text1" w:themeTint="F2"/>
          <w:szCs w:val="24"/>
        </w:rPr>
        <w:t>E-mail:</w:t>
      </w:r>
      <w:r w:rsidR="00D5798E">
        <w:rPr>
          <w:color w:val="0D0D0D" w:themeColor="text1" w:themeTint="F2"/>
          <w:szCs w:val="24"/>
        </w:rPr>
        <w:t xml:space="preserve"> michelerosso25@gmail.com</w:t>
      </w:r>
    </w:p>
    <w:p w14:paraId="30D7875B" w14:textId="11CF6280" w:rsidR="00FA43E9" w:rsidRPr="00FA43E9" w:rsidRDefault="00FA43E9" w:rsidP="00FA43E9">
      <w:pPr>
        <w:jc w:val="right"/>
        <w:rPr>
          <w:b/>
          <w:color w:val="000000" w:themeColor="text1"/>
          <w:szCs w:val="24"/>
        </w:rPr>
      </w:pPr>
      <w:r w:rsidRPr="00FA43E9">
        <w:rPr>
          <w:b/>
          <w:color w:val="000000" w:themeColor="text1"/>
          <w:szCs w:val="24"/>
        </w:rPr>
        <w:t>Januário José Monteiro</w:t>
      </w:r>
    </w:p>
    <w:p w14:paraId="57706F18" w14:textId="77777777" w:rsidR="00FA43E9" w:rsidRPr="00FA43E9" w:rsidRDefault="00FA43E9" w:rsidP="00FA43E9">
      <w:pPr>
        <w:jc w:val="right"/>
        <w:rPr>
          <w:color w:val="000000" w:themeColor="text1"/>
          <w:szCs w:val="24"/>
        </w:rPr>
      </w:pPr>
      <w:r w:rsidRPr="00FA43E9">
        <w:rPr>
          <w:color w:val="000000" w:themeColor="text1"/>
          <w:szCs w:val="24"/>
        </w:rPr>
        <w:t>Universidade Federal de Santa Catarina - UFSC</w:t>
      </w:r>
    </w:p>
    <w:p w14:paraId="0F62DF09" w14:textId="77777777" w:rsidR="00FA43E9" w:rsidRPr="00FA43E9" w:rsidRDefault="00FA43E9" w:rsidP="00FA43E9">
      <w:pPr>
        <w:jc w:val="right"/>
        <w:rPr>
          <w:color w:val="000000" w:themeColor="text1"/>
          <w:szCs w:val="24"/>
        </w:rPr>
      </w:pPr>
      <w:r w:rsidRPr="00FA43E9">
        <w:rPr>
          <w:color w:val="000000" w:themeColor="text1"/>
          <w:szCs w:val="24"/>
        </w:rPr>
        <w:t>E-mail: januariomonteiromonteiro@gmail.com</w:t>
      </w:r>
    </w:p>
    <w:p w14:paraId="1C722AE8" w14:textId="77777777" w:rsidR="00FA43E9" w:rsidRPr="00FA43E9" w:rsidRDefault="00FA43E9" w:rsidP="00FA43E9">
      <w:pPr>
        <w:jc w:val="right"/>
        <w:rPr>
          <w:b/>
          <w:color w:val="000000" w:themeColor="text1"/>
          <w:szCs w:val="24"/>
        </w:rPr>
      </w:pPr>
      <w:proofErr w:type="spellStart"/>
      <w:r w:rsidRPr="00FA43E9">
        <w:rPr>
          <w:b/>
          <w:color w:val="000000" w:themeColor="text1"/>
          <w:szCs w:val="24"/>
        </w:rPr>
        <w:t>Cleyton</w:t>
      </w:r>
      <w:proofErr w:type="spellEnd"/>
      <w:r w:rsidRPr="00FA43E9">
        <w:rPr>
          <w:b/>
          <w:color w:val="000000" w:themeColor="text1"/>
          <w:szCs w:val="24"/>
        </w:rPr>
        <w:t xml:space="preserve"> de Oliveira </w:t>
      </w:r>
      <w:proofErr w:type="spellStart"/>
      <w:r w:rsidRPr="00FA43E9">
        <w:rPr>
          <w:b/>
          <w:color w:val="000000" w:themeColor="text1"/>
          <w:szCs w:val="24"/>
        </w:rPr>
        <w:t>Ritta</w:t>
      </w:r>
      <w:proofErr w:type="spellEnd"/>
    </w:p>
    <w:p w14:paraId="62E4BA94" w14:textId="77777777" w:rsidR="00FA43E9" w:rsidRDefault="00FA43E9" w:rsidP="00FA43E9">
      <w:pPr>
        <w:jc w:val="right"/>
        <w:rPr>
          <w:color w:val="000000" w:themeColor="text1"/>
          <w:szCs w:val="24"/>
        </w:rPr>
      </w:pPr>
      <w:r>
        <w:rPr>
          <w:color w:val="000000" w:themeColor="text1"/>
          <w:szCs w:val="24"/>
        </w:rPr>
        <w:t>Universidade do Extremo Sul Catarinense - UNESC</w:t>
      </w:r>
    </w:p>
    <w:p w14:paraId="7BD6B7B9" w14:textId="62336FE3" w:rsidR="00FA43E9" w:rsidRDefault="00FA43E9" w:rsidP="00FA43E9">
      <w:pPr>
        <w:jc w:val="right"/>
        <w:rPr>
          <w:color w:val="000000" w:themeColor="text1"/>
          <w:szCs w:val="24"/>
        </w:rPr>
      </w:pPr>
      <w:r>
        <w:rPr>
          <w:color w:val="000000" w:themeColor="text1"/>
          <w:szCs w:val="24"/>
        </w:rPr>
        <w:t xml:space="preserve">E-mail: </w:t>
      </w:r>
      <w:r w:rsidRPr="00F05D6F">
        <w:rPr>
          <w:szCs w:val="24"/>
        </w:rPr>
        <w:t>cleyton</w:t>
      </w:r>
      <w:r>
        <w:rPr>
          <w:szCs w:val="24"/>
        </w:rPr>
        <w:t>ritta</w:t>
      </w:r>
      <w:r w:rsidRPr="00F05D6F">
        <w:rPr>
          <w:szCs w:val="24"/>
        </w:rPr>
        <w:t>@</w:t>
      </w:r>
      <w:r>
        <w:rPr>
          <w:szCs w:val="24"/>
        </w:rPr>
        <w:t>gmail.com</w:t>
      </w:r>
    </w:p>
    <w:p w14:paraId="4CEFD30C" w14:textId="77777777" w:rsidR="00FA43E9" w:rsidRPr="00AD605D" w:rsidRDefault="00FA43E9" w:rsidP="00FA43E9">
      <w:pPr>
        <w:jc w:val="right"/>
        <w:rPr>
          <w:rFonts w:ascii="Arial" w:hAnsi="Arial" w:cs="Arial"/>
          <w:szCs w:val="24"/>
        </w:rPr>
      </w:pPr>
    </w:p>
    <w:p w14:paraId="191BE323" w14:textId="77777777" w:rsidR="001C2B08" w:rsidRPr="008174EF" w:rsidRDefault="001C2B08" w:rsidP="00FA7C34">
      <w:pPr>
        <w:ind w:firstLine="0"/>
        <w:rPr>
          <w:b/>
          <w:szCs w:val="24"/>
        </w:rPr>
      </w:pPr>
      <w:r w:rsidRPr="008174EF">
        <w:rPr>
          <w:b/>
          <w:szCs w:val="24"/>
        </w:rPr>
        <w:t>Resumo</w:t>
      </w:r>
    </w:p>
    <w:p w14:paraId="5DE57BB3" w14:textId="4CE92F85" w:rsidR="001C2B08" w:rsidRPr="008174EF" w:rsidRDefault="001C2B08" w:rsidP="001C2B08">
      <w:pPr>
        <w:shd w:val="clear" w:color="auto" w:fill="FFFFFF"/>
        <w:ind w:firstLine="0"/>
        <w:rPr>
          <w:szCs w:val="24"/>
        </w:rPr>
      </w:pPr>
      <w:r w:rsidRPr="008174EF">
        <w:rPr>
          <w:szCs w:val="24"/>
        </w:rPr>
        <w:t xml:space="preserve">As empresas para estarem em constante competitividade no mercado necessitam ser monitoradas por meio de um sistema de avaliação de desempenho organizacional. Assim, o objetivo geral de pesquisa é verificar a situação econômico-financeira de operadora de plano de saúde localizada no sul do Brasil no período entre 2015 e 2018. Para atingir este objetivo, realizou-se uma pesquisa de natureza descritiva com abordagem qualitativa por meio de estudo de caso e pesquisa documental. Os resultados mostraram que a Operadora apresentava uma situação desfavorável entre os anos de 2015 e 2017. A partir de 2018 os indicadores revelaram uma situação econômico-financeira favorável com indicadores positivos de lucratividade e de rentabilidade, bem como </w:t>
      </w:r>
      <w:r w:rsidR="00EA42D2" w:rsidRPr="008174EF">
        <w:rPr>
          <w:szCs w:val="24"/>
        </w:rPr>
        <w:t>um</w:t>
      </w:r>
      <w:r w:rsidRPr="008174EF">
        <w:rPr>
          <w:szCs w:val="24"/>
        </w:rPr>
        <w:t>a melhoria na capacidade de pagamento e na redução de dívidas com terceiros. Conclui-se que o elevado custo de serviços prestados, a política comercial limitada, os procedimentos autorizados via processo judicial e a alta sinistralidade nos contratos impõem baixa margem de lucratividade para a Operadora</w:t>
      </w:r>
      <w:r w:rsidR="00EA42D2" w:rsidRPr="008174EF">
        <w:rPr>
          <w:szCs w:val="24"/>
        </w:rPr>
        <w:t xml:space="preserve">. Tudo </w:t>
      </w:r>
      <w:r w:rsidRPr="008174EF">
        <w:rPr>
          <w:szCs w:val="24"/>
        </w:rPr>
        <w:t>isso prejudica a geração de recursos para fazer frente às demandas operacionais</w:t>
      </w:r>
      <w:r w:rsidR="00EA42D2" w:rsidRPr="008174EF">
        <w:rPr>
          <w:szCs w:val="24"/>
        </w:rPr>
        <w:t xml:space="preserve"> do negócio</w:t>
      </w:r>
      <w:r w:rsidRPr="008174EF">
        <w:rPr>
          <w:szCs w:val="24"/>
        </w:rPr>
        <w:t>. Portanto, os gestores devem ficar atentos à estrutura do modelo de negócio para assegurar o atendimento</w:t>
      </w:r>
      <w:r w:rsidR="00EA42D2" w:rsidRPr="008174EF">
        <w:rPr>
          <w:szCs w:val="24"/>
        </w:rPr>
        <w:t xml:space="preserve"> adequado</w:t>
      </w:r>
      <w:r w:rsidRPr="008174EF">
        <w:rPr>
          <w:szCs w:val="24"/>
        </w:rPr>
        <w:t xml:space="preserve"> aos beneficiários e a sobrevivência organizacional.</w:t>
      </w:r>
    </w:p>
    <w:p w14:paraId="47C75A08" w14:textId="77777777" w:rsidR="001C2B08" w:rsidRPr="008174EF" w:rsidRDefault="001C2B08" w:rsidP="001C2B08">
      <w:pPr>
        <w:shd w:val="clear" w:color="auto" w:fill="FFFFFF"/>
        <w:rPr>
          <w:szCs w:val="24"/>
        </w:rPr>
      </w:pPr>
    </w:p>
    <w:p w14:paraId="45D5B887" w14:textId="157A6E02" w:rsidR="001C2B08" w:rsidRPr="008174EF" w:rsidRDefault="001C2B08" w:rsidP="001C2B08">
      <w:pPr>
        <w:ind w:firstLine="0"/>
        <w:rPr>
          <w:szCs w:val="24"/>
        </w:rPr>
      </w:pPr>
      <w:r w:rsidRPr="008174EF">
        <w:rPr>
          <w:b/>
          <w:szCs w:val="24"/>
        </w:rPr>
        <w:t>Palavras-chave:</w:t>
      </w:r>
      <w:r w:rsidRPr="008174EF">
        <w:rPr>
          <w:szCs w:val="24"/>
        </w:rPr>
        <w:t xml:space="preserve"> </w:t>
      </w:r>
      <w:bookmarkStart w:id="0" w:name="_GoBack"/>
      <w:r w:rsidRPr="008174EF">
        <w:rPr>
          <w:szCs w:val="24"/>
        </w:rPr>
        <w:t>Desempenho Econômico-Financeiro; Indicadores Econômicos; Indicadores Financeiros; Operadoras de Planos de Saúde</w:t>
      </w:r>
      <w:r w:rsidR="0082734E">
        <w:rPr>
          <w:szCs w:val="24"/>
        </w:rPr>
        <w:t>.</w:t>
      </w:r>
      <w:bookmarkEnd w:id="0"/>
    </w:p>
    <w:p w14:paraId="3314E1CB" w14:textId="0D380FED" w:rsidR="001C2B08" w:rsidRPr="008174EF" w:rsidRDefault="001C2B08" w:rsidP="001C2B08">
      <w:pPr>
        <w:rPr>
          <w:szCs w:val="24"/>
        </w:rPr>
      </w:pPr>
    </w:p>
    <w:p w14:paraId="3AC7B776" w14:textId="0F0DC2A8" w:rsidR="001D738D" w:rsidRPr="008174EF" w:rsidRDefault="001D738D" w:rsidP="001D738D">
      <w:pPr>
        <w:ind w:firstLine="0"/>
        <w:rPr>
          <w:szCs w:val="24"/>
        </w:rPr>
      </w:pPr>
      <w:r w:rsidRPr="008174EF">
        <w:rPr>
          <w:b/>
          <w:szCs w:val="24"/>
        </w:rPr>
        <w:t>Linha Temática</w:t>
      </w:r>
      <w:r w:rsidRPr="008174EF">
        <w:rPr>
          <w:szCs w:val="24"/>
        </w:rPr>
        <w:t>:</w:t>
      </w:r>
      <w:r w:rsidR="0045438C">
        <w:rPr>
          <w:szCs w:val="24"/>
        </w:rPr>
        <w:t xml:space="preserve"> </w:t>
      </w:r>
      <w:r w:rsidR="006961AF">
        <w:rPr>
          <w:szCs w:val="24"/>
        </w:rPr>
        <w:t>Contabilidade Financeira</w:t>
      </w:r>
    </w:p>
    <w:p w14:paraId="58DF8170" w14:textId="77777777" w:rsidR="001D738D" w:rsidRPr="008174EF" w:rsidRDefault="001D738D" w:rsidP="001C2B08">
      <w:pPr>
        <w:rPr>
          <w:szCs w:val="24"/>
        </w:rPr>
      </w:pPr>
    </w:p>
    <w:p w14:paraId="4A0E2C80" w14:textId="73173001" w:rsidR="001C2B08" w:rsidRPr="008174EF" w:rsidRDefault="001C2B08" w:rsidP="00716E32">
      <w:pPr>
        <w:shd w:val="clear" w:color="auto" w:fill="FFFFFF"/>
        <w:tabs>
          <w:tab w:val="left" w:pos="709"/>
        </w:tabs>
        <w:ind w:firstLine="0"/>
        <w:rPr>
          <w:b/>
          <w:szCs w:val="24"/>
        </w:rPr>
      </w:pPr>
      <w:r w:rsidRPr="008174EF">
        <w:rPr>
          <w:b/>
          <w:szCs w:val="24"/>
        </w:rPr>
        <w:t xml:space="preserve">1. </w:t>
      </w:r>
      <w:r w:rsidR="003769E0" w:rsidRPr="008174EF">
        <w:rPr>
          <w:b/>
          <w:szCs w:val="24"/>
        </w:rPr>
        <w:t>Introdução</w:t>
      </w:r>
    </w:p>
    <w:p w14:paraId="173E3B28" w14:textId="77777777" w:rsidR="00E47099" w:rsidRDefault="00E47099" w:rsidP="00980F16">
      <w:pPr>
        <w:ind w:firstLine="567"/>
        <w:rPr>
          <w:szCs w:val="24"/>
        </w:rPr>
      </w:pPr>
    </w:p>
    <w:p w14:paraId="0E2E8C15" w14:textId="2ABADBFC" w:rsidR="001C2B08" w:rsidRPr="008174EF" w:rsidRDefault="001C2B08" w:rsidP="00980F16">
      <w:pPr>
        <w:ind w:firstLine="567"/>
        <w:rPr>
          <w:szCs w:val="24"/>
        </w:rPr>
      </w:pPr>
      <w:r w:rsidRPr="008174EF">
        <w:rPr>
          <w:szCs w:val="24"/>
        </w:rPr>
        <w:t xml:space="preserve">As empresas para estarem em constante competitividade no mercado necessitam ser monitoradas por meio de um sistema de avaliação de desempenho organizacional. Segundo Borges e Carvalho (2011), o desempenho organizacional pode ser interpretado como a gestão e desdobramento de indicadores que apontam uma relação de causa e efeito que levam ao alcance dos objetivos almejados pelos gestores. Para Neely, Gregory e Platts (1995), a avaliação de </w:t>
      </w:r>
      <w:r w:rsidRPr="008174EF">
        <w:rPr>
          <w:szCs w:val="24"/>
        </w:rPr>
        <w:lastRenderedPageBreak/>
        <w:t xml:space="preserve">desempenho é a maneira de mensurar uma determinada ação, no sentido de verificar se está alcançando o resultado esperado ou não. Segundo </w:t>
      </w:r>
      <w:proofErr w:type="spellStart"/>
      <w:r w:rsidR="00844D95" w:rsidRPr="007E0039">
        <w:rPr>
          <w:rStyle w:val="xbe"/>
          <w:szCs w:val="24"/>
          <w:shd w:val="clear" w:color="auto" w:fill="FFFFFF"/>
        </w:rPr>
        <w:t>Frezatti</w:t>
      </w:r>
      <w:proofErr w:type="spellEnd"/>
      <w:r w:rsidR="00844D95" w:rsidRPr="007E0039">
        <w:rPr>
          <w:rStyle w:val="xbe"/>
          <w:szCs w:val="24"/>
          <w:shd w:val="clear" w:color="auto" w:fill="FFFFFF"/>
        </w:rPr>
        <w:t>, Rocha, Nascimento</w:t>
      </w:r>
      <w:r w:rsidR="00844D95">
        <w:rPr>
          <w:rStyle w:val="xbe"/>
          <w:szCs w:val="24"/>
          <w:shd w:val="clear" w:color="auto" w:fill="FFFFFF"/>
        </w:rPr>
        <w:t xml:space="preserve"> e </w:t>
      </w:r>
      <w:r w:rsidR="00844D95" w:rsidRPr="007E0039">
        <w:rPr>
          <w:rStyle w:val="xbe"/>
          <w:szCs w:val="24"/>
          <w:shd w:val="clear" w:color="auto" w:fill="FFFFFF"/>
        </w:rPr>
        <w:t>Junqueira</w:t>
      </w:r>
      <w:r w:rsidRPr="008174EF">
        <w:rPr>
          <w:szCs w:val="24"/>
        </w:rPr>
        <w:t xml:space="preserve"> (2009), a avaliação de desempenho engloba tanto a organização quanto os gestores, pois são coisas necessárias que se complementam, mas que não necessariamente são confluentes.</w:t>
      </w:r>
    </w:p>
    <w:p w14:paraId="2AC0B375" w14:textId="77777777" w:rsidR="001C2B08" w:rsidRPr="008174EF" w:rsidRDefault="001C2B08" w:rsidP="001C2B08">
      <w:pPr>
        <w:ind w:firstLine="567"/>
        <w:rPr>
          <w:szCs w:val="24"/>
        </w:rPr>
      </w:pPr>
      <w:r w:rsidRPr="008174EF">
        <w:rPr>
          <w:szCs w:val="24"/>
        </w:rPr>
        <w:t xml:space="preserve">Segundo </w:t>
      </w:r>
      <w:proofErr w:type="spellStart"/>
      <w:r w:rsidRPr="008174EF">
        <w:rPr>
          <w:szCs w:val="24"/>
        </w:rPr>
        <w:t>Rummler</w:t>
      </w:r>
      <w:proofErr w:type="spellEnd"/>
      <w:r w:rsidRPr="008174EF">
        <w:rPr>
          <w:szCs w:val="24"/>
        </w:rPr>
        <w:t xml:space="preserve"> e </w:t>
      </w:r>
      <w:proofErr w:type="spellStart"/>
      <w:r w:rsidRPr="008174EF">
        <w:rPr>
          <w:szCs w:val="24"/>
        </w:rPr>
        <w:t>Brache</w:t>
      </w:r>
      <w:proofErr w:type="spellEnd"/>
      <w:r w:rsidRPr="008174EF">
        <w:rPr>
          <w:szCs w:val="24"/>
        </w:rPr>
        <w:t xml:space="preserve"> (1994), para ser eficaz, o gerenciamento de uma empresa necessita de um sistema de avaliação de desempenho que monitore a execução das ações gerenciais por meio da mensuração de indicadores de desempenho previamente traçados. Nesse sentido, de acordo com Kaplan e Norton (1997), a não existência de indicadores de desempenho aponta que as organizações não estão sendo gerenciadas e isso pode prejudicar a sobrevivência organizacional.</w:t>
      </w:r>
    </w:p>
    <w:p w14:paraId="3DB16153" w14:textId="7FC4BA42" w:rsidR="001C2B08" w:rsidRPr="008174EF" w:rsidRDefault="001C2B08" w:rsidP="001C2B08">
      <w:pPr>
        <w:ind w:firstLine="567"/>
        <w:rPr>
          <w:szCs w:val="24"/>
        </w:rPr>
      </w:pPr>
      <w:r w:rsidRPr="008174EF">
        <w:rPr>
          <w:szCs w:val="24"/>
        </w:rPr>
        <w:t xml:space="preserve">O sistema de avaliação de desempenho permite avaliar a execução das atividades e a situação econômica e financeira das organizações. </w:t>
      </w:r>
      <w:r w:rsidRPr="008174EF">
        <w:t>Segundo Assaf (2015)</w:t>
      </w:r>
      <w:r w:rsidRPr="008174EF">
        <w:rPr>
          <w:szCs w:val="24"/>
        </w:rPr>
        <w:t>, a avaliação de desempenho por meio das demonstrações contábeis possibilita o cálculo de indicadores de desempenho econômico-financeiros para análise da situação patrimonial, econômica e financeira</w:t>
      </w:r>
      <w:r w:rsidR="00EA42D2" w:rsidRPr="008174EF">
        <w:rPr>
          <w:szCs w:val="24"/>
        </w:rPr>
        <w:t xml:space="preserve"> das organizações</w:t>
      </w:r>
      <w:r w:rsidRPr="008174EF">
        <w:rPr>
          <w:szCs w:val="24"/>
        </w:rPr>
        <w:t>. Esses indicadores são essenciais para que gestores, investidores, empregados, credores e demais interessados consigam inferir sobre a situação presente da organização, bem como sobre as tendências futuras do negócio.</w:t>
      </w:r>
    </w:p>
    <w:p w14:paraId="58EF947A" w14:textId="1AC4AC6E" w:rsidR="001C2B08" w:rsidRPr="008174EF" w:rsidRDefault="001C2B08" w:rsidP="001C2B08">
      <w:pPr>
        <w:ind w:firstLine="567"/>
        <w:rPr>
          <w:szCs w:val="24"/>
        </w:rPr>
      </w:pPr>
      <w:r w:rsidRPr="008174EF">
        <w:rPr>
          <w:szCs w:val="24"/>
        </w:rPr>
        <w:t xml:space="preserve">  Dentre os diversos tipos de organizações, para fins deste estudo destaca-se as Operadoras de Planos de Saúde, pois são organizações que possuem um significativo risco operacional devido ao seu modelo de negócio. Estas organizações sofrem pressões quanto às políticas de preço ao consumidor referente aos reajustes dos serviços prestados, de regulamentação de serviços prestados pela Agência Nacional de Saúde (ANS), de custos crescentes nos serviços ofertados aos </w:t>
      </w:r>
      <w:r w:rsidR="00EA42D2" w:rsidRPr="008174EF">
        <w:rPr>
          <w:szCs w:val="24"/>
        </w:rPr>
        <w:t>beneficiários</w:t>
      </w:r>
      <w:r w:rsidRPr="008174EF">
        <w:rPr>
          <w:szCs w:val="24"/>
        </w:rPr>
        <w:t xml:space="preserve"> e de inadimplência quanto ao </w:t>
      </w:r>
      <w:r w:rsidR="00EA42D2" w:rsidRPr="008174EF">
        <w:rPr>
          <w:szCs w:val="24"/>
        </w:rPr>
        <w:t xml:space="preserve">recebimento </w:t>
      </w:r>
      <w:r w:rsidRPr="008174EF">
        <w:rPr>
          <w:szCs w:val="24"/>
        </w:rPr>
        <w:t xml:space="preserve">dos serviços </w:t>
      </w:r>
      <w:r w:rsidR="00EA42D2" w:rsidRPr="008174EF">
        <w:rPr>
          <w:szCs w:val="24"/>
        </w:rPr>
        <w:t>prestados</w:t>
      </w:r>
      <w:r w:rsidRPr="008174EF">
        <w:rPr>
          <w:szCs w:val="24"/>
        </w:rPr>
        <w:t xml:space="preserve">. </w:t>
      </w:r>
    </w:p>
    <w:p w14:paraId="7A1FF8AA" w14:textId="77777777" w:rsidR="001C2B08" w:rsidRPr="008174EF" w:rsidRDefault="001C2B08" w:rsidP="001C2B08">
      <w:pPr>
        <w:ind w:firstLine="567"/>
        <w:rPr>
          <w:szCs w:val="24"/>
        </w:rPr>
      </w:pPr>
      <w:r w:rsidRPr="008174EF">
        <w:rPr>
          <w:szCs w:val="24"/>
        </w:rPr>
        <w:t>Diante desse contexto, surge a seguinte pergunta de pesquisa: qual a situação econômico-financeira de uma operadora de plano de saúde localizada no sul do Brasil? Para responder a esta questão, o objetivo geral de pesquisa é verificar a situação econômico-financeira de operadora de plano saúde localizada no sul do Brasil no período entre 2015 e 2018. Os objetivos específicos estipulados para a pesquisa foram: a) calcular indicadores de análise vertical e horizontal do balanço patrimonial e da demonstração de resultado e b) calcular indicadores econômico-financeiros.</w:t>
      </w:r>
    </w:p>
    <w:p w14:paraId="379384A0" w14:textId="20055441" w:rsidR="001C2B08" w:rsidRPr="008174EF" w:rsidRDefault="001C2B08" w:rsidP="001C2B08">
      <w:pPr>
        <w:ind w:firstLine="567"/>
      </w:pPr>
      <w:r w:rsidRPr="008174EF">
        <w:rPr>
          <w:szCs w:val="24"/>
        </w:rPr>
        <w:t>Na literatura</w:t>
      </w:r>
      <w:r w:rsidR="003769E0" w:rsidRPr="008174EF">
        <w:rPr>
          <w:szCs w:val="24"/>
        </w:rPr>
        <w:t>,</w:t>
      </w:r>
      <w:r w:rsidRPr="008174EF">
        <w:rPr>
          <w:szCs w:val="24"/>
        </w:rPr>
        <w:t xml:space="preserve"> estudos sobre o tema desempenho econômico-financeiro nas operadoras de planos de saúde </w:t>
      </w:r>
      <w:r w:rsidR="003769E0" w:rsidRPr="008174EF">
        <w:rPr>
          <w:szCs w:val="24"/>
        </w:rPr>
        <w:t xml:space="preserve">ganham </w:t>
      </w:r>
      <w:r w:rsidRPr="008174EF">
        <w:rPr>
          <w:szCs w:val="24"/>
        </w:rPr>
        <w:t>desta</w:t>
      </w:r>
      <w:r w:rsidR="003769E0" w:rsidRPr="008174EF">
        <w:rPr>
          <w:szCs w:val="24"/>
        </w:rPr>
        <w:t xml:space="preserve">que </w:t>
      </w:r>
      <w:r w:rsidRPr="008174EF">
        <w:rPr>
          <w:szCs w:val="24"/>
        </w:rPr>
        <w:t xml:space="preserve">com os autores </w:t>
      </w:r>
      <w:r w:rsidRPr="008174EF">
        <w:rPr>
          <w:bCs/>
        </w:rPr>
        <w:t xml:space="preserve">Soares (2006), </w:t>
      </w:r>
      <w:r w:rsidRPr="008174EF">
        <w:t>Câmara</w:t>
      </w:r>
      <w:r w:rsidR="00844D95">
        <w:t xml:space="preserve">, </w:t>
      </w:r>
      <w:r w:rsidR="00844D95" w:rsidRPr="008174EF">
        <w:rPr>
          <w:szCs w:val="24"/>
        </w:rPr>
        <w:t>Sobrinho</w:t>
      </w:r>
      <w:r w:rsidR="00844D95">
        <w:rPr>
          <w:szCs w:val="24"/>
        </w:rPr>
        <w:t xml:space="preserve"> e </w:t>
      </w:r>
      <w:r w:rsidR="00844D95" w:rsidRPr="008174EF">
        <w:rPr>
          <w:szCs w:val="24"/>
        </w:rPr>
        <w:t>Lima</w:t>
      </w:r>
      <w:r w:rsidRPr="008174EF">
        <w:t xml:space="preserve"> (2008)</w:t>
      </w:r>
      <w:r w:rsidR="003769E0" w:rsidRPr="008174EF">
        <w:t>, Guimarães e Nossa (2010)</w:t>
      </w:r>
      <w:r w:rsidRPr="008174EF">
        <w:t xml:space="preserve"> e Ávila e Amorim (2016). Esses estudos mostraram que algumas operadoras de planos de saúde possuem dificuldades financeiras, em virtude da alta sinistralidade referente às despesas assistenciais, das elevadas despesas operacionais e dificuldades de aplicação de reajustes nos preços dos serviços. Além disso, a Agência Nacional de Saúde (ANS) está cada vez mais aumentando a lista de procedimentos e, portanto, as operadoras necessitam prestar maior cobertura aos beneficiários, ocasionando aumento nos custos dos serviços.</w:t>
      </w:r>
    </w:p>
    <w:p w14:paraId="3153B323" w14:textId="77777777" w:rsidR="001C2B08" w:rsidRPr="008174EF" w:rsidRDefault="001C2B08" w:rsidP="001C2B08">
      <w:pPr>
        <w:ind w:firstLine="567"/>
        <w:rPr>
          <w:szCs w:val="24"/>
        </w:rPr>
      </w:pPr>
      <w:r w:rsidRPr="008174EF">
        <w:t xml:space="preserve">Esta pesquisa se diferencia dos estudos anteriores e contribui teoricamente com o tema de pesquisa, ao realizar o estudo </w:t>
      </w:r>
      <w:r w:rsidRPr="008174EF">
        <w:rPr>
          <w:szCs w:val="24"/>
        </w:rPr>
        <w:t>de caso de uma operadora de plano de saúde de pequeno porte que atua na região sul do Brasil e que por causa do seu porte possui abrangência comercial limitada e sofre constantemente influência de concorrentes quanto à manutenção e captação de clientes.</w:t>
      </w:r>
      <w:r w:rsidRPr="008174EF">
        <w:t xml:space="preserve"> </w:t>
      </w:r>
      <w:r w:rsidRPr="008174EF">
        <w:lastRenderedPageBreak/>
        <w:t xml:space="preserve">Quanto à </w:t>
      </w:r>
      <w:r w:rsidRPr="008174EF">
        <w:rPr>
          <w:szCs w:val="24"/>
        </w:rPr>
        <w:t xml:space="preserve">contribuição prática, a pesquisa pode auxiliar os gestores da organização na compreensão do desempenho econômico-financeiro, no sentido de possibilitar melhorias no processo de gestão com a utilização de indicadores de desempenho. </w:t>
      </w:r>
    </w:p>
    <w:p w14:paraId="730C045A" w14:textId="77777777" w:rsidR="001C2B08" w:rsidRPr="008174EF" w:rsidRDefault="001C2B08" w:rsidP="001C2B08">
      <w:pPr>
        <w:ind w:firstLine="567"/>
        <w:rPr>
          <w:szCs w:val="24"/>
        </w:rPr>
      </w:pPr>
      <w:r w:rsidRPr="008174EF">
        <w:rPr>
          <w:szCs w:val="24"/>
        </w:rPr>
        <w:t>Com relação à contribuição social, a pesquisa corrobora com a gestão das operadoras de planos de saúde ao apresentar a aplicabilidade de indicadores de desempenho econômico-financeiros como forma de compreensão da situação organizacional, bem como na discussão de melhorias gerenciais para o alcance da eficiência dessas organizações de saúde.</w:t>
      </w:r>
    </w:p>
    <w:p w14:paraId="2F0FEB34" w14:textId="71E5143C" w:rsidR="001C2B08" w:rsidRPr="008174EF" w:rsidRDefault="001C2B08" w:rsidP="001C2B08">
      <w:pPr>
        <w:rPr>
          <w:szCs w:val="24"/>
        </w:rPr>
      </w:pPr>
      <w:r w:rsidRPr="008174EF">
        <w:rPr>
          <w:szCs w:val="24"/>
        </w:rPr>
        <w:t xml:space="preserve">O artigo está estruturado em cinco seções, considerando esta introdução como </w:t>
      </w:r>
      <w:r w:rsidR="003769E0" w:rsidRPr="008174EF">
        <w:rPr>
          <w:szCs w:val="24"/>
        </w:rPr>
        <w:t>S</w:t>
      </w:r>
      <w:r w:rsidRPr="008174EF">
        <w:rPr>
          <w:szCs w:val="24"/>
        </w:rPr>
        <w:t xml:space="preserve">eção 1. Na sequência, a </w:t>
      </w:r>
      <w:r w:rsidR="003769E0" w:rsidRPr="008174EF">
        <w:rPr>
          <w:szCs w:val="24"/>
        </w:rPr>
        <w:t>S</w:t>
      </w:r>
      <w:r w:rsidRPr="008174EF">
        <w:rPr>
          <w:szCs w:val="24"/>
        </w:rPr>
        <w:t xml:space="preserve">eção 2 contempla a fundamentação teórica da pesquisa e a </w:t>
      </w:r>
      <w:r w:rsidR="003769E0" w:rsidRPr="008174EF">
        <w:rPr>
          <w:szCs w:val="24"/>
        </w:rPr>
        <w:t xml:space="preserve">Seção </w:t>
      </w:r>
      <w:r w:rsidRPr="008174EF">
        <w:rPr>
          <w:szCs w:val="24"/>
        </w:rPr>
        <w:t xml:space="preserve">3 aborda a metodologia da pesquisa. A </w:t>
      </w:r>
      <w:r w:rsidR="003769E0" w:rsidRPr="008174EF">
        <w:rPr>
          <w:szCs w:val="24"/>
        </w:rPr>
        <w:t>S</w:t>
      </w:r>
      <w:r w:rsidRPr="008174EF">
        <w:rPr>
          <w:szCs w:val="24"/>
        </w:rPr>
        <w:t xml:space="preserve">eção 4 apresenta os resultados da pesquisa e a </w:t>
      </w:r>
      <w:r w:rsidR="003769E0" w:rsidRPr="008174EF">
        <w:rPr>
          <w:szCs w:val="24"/>
        </w:rPr>
        <w:t>S</w:t>
      </w:r>
      <w:r w:rsidRPr="008174EF">
        <w:rPr>
          <w:szCs w:val="24"/>
        </w:rPr>
        <w:t>eção 5 exibe as considerações finais. Por fim, são evidenciadas as referências que fundamentaram o estudo.</w:t>
      </w:r>
    </w:p>
    <w:p w14:paraId="0EAC0238" w14:textId="77777777" w:rsidR="005D6CE9" w:rsidRDefault="005D6CE9" w:rsidP="001C2B08">
      <w:pPr>
        <w:tabs>
          <w:tab w:val="left" w:pos="426"/>
        </w:tabs>
        <w:ind w:firstLine="0"/>
        <w:rPr>
          <w:b/>
          <w:szCs w:val="24"/>
        </w:rPr>
      </w:pPr>
    </w:p>
    <w:p w14:paraId="2B2B9EEB" w14:textId="122A818E" w:rsidR="003769E0" w:rsidRPr="008174EF" w:rsidRDefault="005D6CE9" w:rsidP="001C2B08">
      <w:pPr>
        <w:tabs>
          <w:tab w:val="left" w:pos="426"/>
        </w:tabs>
        <w:ind w:firstLine="0"/>
        <w:rPr>
          <w:b/>
          <w:szCs w:val="24"/>
        </w:rPr>
      </w:pPr>
      <w:r>
        <w:rPr>
          <w:b/>
          <w:szCs w:val="24"/>
        </w:rPr>
        <w:t>2</w:t>
      </w:r>
      <w:r w:rsidR="001C2B08" w:rsidRPr="008174EF">
        <w:rPr>
          <w:b/>
          <w:szCs w:val="24"/>
        </w:rPr>
        <w:t xml:space="preserve"> Referencial </w:t>
      </w:r>
      <w:r w:rsidR="00E47099">
        <w:rPr>
          <w:b/>
          <w:szCs w:val="24"/>
        </w:rPr>
        <w:t>T</w:t>
      </w:r>
      <w:r w:rsidR="001C2B08" w:rsidRPr="008174EF">
        <w:rPr>
          <w:b/>
          <w:szCs w:val="24"/>
        </w:rPr>
        <w:t>eórico</w:t>
      </w:r>
    </w:p>
    <w:p w14:paraId="15F986B1" w14:textId="77777777" w:rsidR="003769E0" w:rsidRPr="008174EF" w:rsidRDefault="003769E0" w:rsidP="001C2B08">
      <w:pPr>
        <w:tabs>
          <w:tab w:val="left" w:pos="426"/>
        </w:tabs>
        <w:ind w:firstLine="0"/>
        <w:rPr>
          <w:b/>
          <w:szCs w:val="24"/>
        </w:rPr>
      </w:pPr>
    </w:p>
    <w:p w14:paraId="3A954386" w14:textId="77777777" w:rsidR="00416F50" w:rsidRPr="008174EF" w:rsidRDefault="003769E0" w:rsidP="003769E0">
      <w:pPr>
        <w:tabs>
          <w:tab w:val="left" w:pos="426"/>
        </w:tabs>
        <w:rPr>
          <w:szCs w:val="24"/>
        </w:rPr>
      </w:pPr>
      <w:r w:rsidRPr="008174EF">
        <w:rPr>
          <w:szCs w:val="24"/>
        </w:rPr>
        <w:t>Esta seção apresenta aspectos sobre desempenho econômico-financeiro</w:t>
      </w:r>
      <w:r w:rsidR="00416F50" w:rsidRPr="008174EF">
        <w:rPr>
          <w:szCs w:val="24"/>
        </w:rPr>
        <w:t>, operadoras de planos de saúde e estudos anteriores correlacionados com objeto de pesquisa.</w:t>
      </w:r>
    </w:p>
    <w:p w14:paraId="2190E4A2" w14:textId="2B7174A9" w:rsidR="001C2B08" w:rsidRPr="008174EF" w:rsidRDefault="001C2B08" w:rsidP="003769E0">
      <w:pPr>
        <w:tabs>
          <w:tab w:val="left" w:pos="426"/>
        </w:tabs>
        <w:rPr>
          <w:szCs w:val="24"/>
        </w:rPr>
      </w:pPr>
      <w:r w:rsidRPr="008174EF">
        <w:rPr>
          <w:b/>
          <w:szCs w:val="24"/>
        </w:rPr>
        <w:t xml:space="preserve"> </w:t>
      </w:r>
    </w:p>
    <w:p w14:paraId="65D7A5DF" w14:textId="616610E3" w:rsidR="001C2B08" w:rsidRPr="008174EF" w:rsidRDefault="00FA7C34" w:rsidP="001C2B08">
      <w:pPr>
        <w:ind w:firstLine="0"/>
        <w:rPr>
          <w:szCs w:val="24"/>
        </w:rPr>
      </w:pPr>
      <w:r w:rsidRPr="008174EF">
        <w:rPr>
          <w:b/>
          <w:szCs w:val="24"/>
        </w:rPr>
        <w:t>2.1 Desempenho Econômico-Financeiro</w:t>
      </w:r>
    </w:p>
    <w:p w14:paraId="6CD4A53A" w14:textId="77777777" w:rsidR="00E47099" w:rsidRDefault="00E47099" w:rsidP="001C2B08">
      <w:pPr>
        <w:ind w:firstLine="851"/>
      </w:pPr>
    </w:p>
    <w:p w14:paraId="4F6DB6A6" w14:textId="4B9FF630" w:rsidR="001C2B08" w:rsidRPr="008174EF" w:rsidRDefault="001C2B08" w:rsidP="001C2B08">
      <w:pPr>
        <w:ind w:firstLine="851"/>
      </w:pPr>
      <w:r w:rsidRPr="008174EF">
        <w:t>Com a globalização cada vez mais avançada e com as mudanças tecnológicas surge a necessidade das organizações se diferenciarem para assegurar a competitividade e sobrevivência organizacional (</w:t>
      </w:r>
      <w:r w:rsidR="00844D95" w:rsidRPr="008174EF">
        <w:rPr>
          <w:szCs w:val="24"/>
        </w:rPr>
        <w:t>Kaplan</w:t>
      </w:r>
      <w:r w:rsidR="00844D95">
        <w:rPr>
          <w:szCs w:val="24"/>
        </w:rPr>
        <w:t xml:space="preserve"> &amp; </w:t>
      </w:r>
      <w:r w:rsidR="00844D95" w:rsidRPr="008174EF">
        <w:rPr>
          <w:szCs w:val="24"/>
        </w:rPr>
        <w:t>Norton</w:t>
      </w:r>
      <w:r w:rsidRPr="008174EF">
        <w:rPr>
          <w:szCs w:val="24"/>
        </w:rPr>
        <w:t>, 1997)</w:t>
      </w:r>
      <w:r w:rsidRPr="008174EF">
        <w:t xml:space="preserve">. Esse cenário exige das organizações a avaliação de desempenho econômico-financeiro como forma de mensurar a situação patrimonial e </w:t>
      </w:r>
      <w:r w:rsidR="00416F50" w:rsidRPr="008174EF">
        <w:t xml:space="preserve">de </w:t>
      </w:r>
      <w:r w:rsidRPr="008174EF">
        <w:t>fundamentar o processo de tomada de decisão (</w:t>
      </w:r>
      <w:r w:rsidR="00844D95" w:rsidRPr="008174EF">
        <w:t>Perez</w:t>
      </w:r>
      <w:r w:rsidR="00844D95">
        <w:t xml:space="preserve"> &amp; </w:t>
      </w:r>
      <w:proofErr w:type="spellStart"/>
      <w:r w:rsidR="00844D95" w:rsidRPr="008174EF">
        <w:t>Famá</w:t>
      </w:r>
      <w:proofErr w:type="spellEnd"/>
      <w:r w:rsidRPr="008174EF">
        <w:t>, 2003). Para Assaf (2012, p. 110), a análise das demonstrações contábeis possibilita a avaliação do “desempenho econômico-financeiro de uma empresa em determinado período passado, para diagnosticar, em consequência, sua posição atual e produzir resultados que sirvam de base para a previsão de tendências futuras”.</w:t>
      </w:r>
    </w:p>
    <w:p w14:paraId="0CF2313C" w14:textId="5DCE3306" w:rsidR="001C2B08" w:rsidRPr="008174EF" w:rsidRDefault="001C2B08" w:rsidP="001C2B08">
      <w:pPr>
        <w:pStyle w:val="PargrafodaLista"/>
        <w:spacing w:after="0" w:line="240" w:lineRule="auto"/>
        <w:ind w:left="0" w:firstLine="851"/>
        <w:jc w:val="both"/>
        <w:rPr>
          <w:rFonts w:ascii="Times New Roman" w:hAnsi="Times New Roman" w:cs="Times New Roman"/>
          <w:sz w:val="24"/>
          <w:szCs w:val="24"/>
        </w:rPr>
      </w:pPr>
      <w:r w:rsidRPr="008174EF">
        <w:rPr>
          <w:rFonts w:ascii="Times New Roman" w:hAnsi="Times New Roman" w:cs="Times New Roman"/>
          <w:sz w:val="24"/>
          <w:szCs w:val="24"/>
        </w:rPr>
        <w:t>O sistema de avaliação de desempenho possui indicadores preestabelecidos que podem ser de natureza quantitativa e/ou qualitativa para análise dos resultados obtidos. Esses indicadores permitem a comparação dos resultados planejados com os resultados obtidos. Os indicadores quantitativos são extraídos, principalmente, da contabilidade, juntamen</w:t>
      </w:r>
      <w:r w:rsidR="001D738D" w:rsidRPr="008174EF">
        <w:rPr>
          <w:rFonts w:ascii="Times New Roman" w:hAnsi="Times New Roman" w:cs="Times New Roman"/>
          <w:sz w:val="24"/>
          <w:szCs w:val="24"/>
        </w:rPr>
        <w:t>te com base em dados históricos, enquanto o</w:t>
      </w:r>
      <w:r w:rsidRPr="008174EF">
        <w:rPr>
          <w:rFonts w:ascii="Times New Roman" w:hAnsi="Times New Roman" w:cs="Times New Roman"/>
          <w:sz w:val="24"/>
          <w:szCs w:val="24"/>
        </w:rPr>
        <w:t>s indicadores qualitativos podem ser retirados das demais áreas organizacionais (</w:t>
      </w:r>
      <w:r w:rsidR="00844D95" w:rsidRPr="008174EF">
        <w:rPr>
          <w:rFonts w:ascii="Times New Roman" w:hAnsi="Times New Roman" w:cs="Times New Roman"/>
          <w:sz w:val="24"/>
          <w:szCs w:val="24"/>
        </w:rPr>
        <w:t>Miranda</w:t>
      </w:r>
      <w:r w:rsidR="00844D95">
        <w:rPr>
          <w:rFonts w:ascii="Times New Roman" w:hAnsi="Times New Roman" w:cs="Times New Roman"/>
          <w:sz w:val="24"/>
          <w:szCs w:val="24"/>
        </w:rPr>
        <w:t xml:space="preserve"> &amp; </w:t>
      </w:r>
      <w:r w:rsidR="00844D95" w:rsidRPr="008174EF">
        <w:rPr>
          <w:rFonts w:ascii="Times New Roman" w:hAnsi="Times New Roman" w:cs="Times New Roman"/>
          <w:sz w:val="24"/>
          <w:szCs w:val="24"/>
        </w:rPr>
        <w:t>Azevedo</w:t>
      </w:r>
      <w:r w:rsidRPr="008174EF">
        <w:rPr>
          <w:rFonts w:ascii="Times New Roman" w:hAnsi="Times New Roman" w:cs="Times New Roman"/>
          <w:sz w:val="24"/>
          <w:szCs w:val="24"/>
        </w:rPr>
        <w:t>, 200</w:t>
      </w:r>
      <w:r w:rsidR="007B68F0">
        <w:rPr>
          <w:rFonts w:ascii="Times New Roman" w:hAnsi="Times New Roman" w:cs="Times New Roman"/>
          <w:sz w:val="24"/>
          <w:szCs w:val="24"/>
        </w:rPr>
        <w:t>9</w:t>
      </w:r>
      <w:r w:rsidRPr="008174EF">
        <w:rPr>
          <w:rFonts w:ascii="Times New Roman" w:hAnsi="Times New Roman" w:cs="Times New Roman"/>
          <w:sz w:val="24"/>
          <w:szCs w:val="24"/>
        </w:rPr>
        <w:t xml:space="preserve">; </w:t>
      </w:r>
      <w:proofErr w:type="spellStart"/>
      <w:r w:rsidR="00844D95" w:rsidRPr="008174EF">
        <w:rPr>
          <w:rFonts w:ascii="Times New Roman" w:hAnsi="Times New Roman" w:cs="Times New Roman"/>
          <w:sz w:val="24"/>
          <w:szCs w:val="24"/>
        </w:rPr>
        <w:t>Gasparetto</w:t>
      </w:r>
      <w:proofErr w:type="spellEnd"/>
      <w:r w:rsidRPr="008174EF">
        <w:rPr>
          <w:rFonts w:ascii="Times New Roman" w:hAnsi="Times New Roman" w:cs="Times New Roman"/>
          <w:sz w:val="24"/>
          <w:szCs w:val="24"/>
        </w:rPr>
        <w:t>, 2004).</w:t>
      </w:r>
      <w:r w:rsidRPr="008174EF">
        <w:rPr>
          <w:rFonts w:ascii="Times New Roman" w:hAnsi="Times New Roman" w:cs="Times New Roman"/>
          <w:sz w:val="24"/>
          <w:szCs w:val="24"/>
          <w:highlight w:val="lightGray"/>
        </w:rPr>
        <w:t xml:space="preserve"> </w:t>
      </w:r>
    </w:p>
    <w:p w14:paraId="42578817" w14:textId="66B5CFB0" w:rsidR="001C2B08" w:rsidRPr="008174EF" w:rsidRDefault="001C2B08" w:rsidP="001C2B08">
      <w:pPr>
        <w:pStyle w:val="PargrafodaLista"/>
        <w:spacing w:after="0" w:line="240" w:lineRule="auto"/>
        <w:ind w:left="0" w:firstLine="708"/>
        <w:jc w:val="both"/>
        <w:rPr>
          <w:rFonts w:ascii="Times New Roman" w:hAnsi="Times New Roman" w:cs="Times New Roman"/>
          <w:sz w:val="24"/>
          <w:szCs w:val="24"/>
        </w:rPr>
      </w:pPr>
      <w:r w:rsidRPr="008174EF">
        <w:rPr>
          <w:rFonts w:ascii="Times New Roman" w:hAnsi="Times New Roman" w:cs="Times New Roman"/>
          <w:sz w:val="24"/>
          <w:szCs w:val="24"/>
        </w:rPr>
        <w:t>Na perspectiva de avaliação de desempenho econômico-financeiro, os indicadores de desempenho são classificados como financeiros e econômicos. Os indicadores financeiros representam relações entre contas ou grupos de con</w:t>
      </w:r>
      <w:r w:rsidR="001D738D" w:rsidRPr="008174EF">
        <w:rPr>
          <w:rFonts w:ascii="Times New Roman" w:hAnsi="Times New Roman" w:cs="Times New Roman"/>
          <w:sz w:val="24"/>
          <w:szCs w:val="24"/>
        </w:rPr>
        <w:t xml:space="preserve">tas das demonstrações contábeis, principalmente o Balanço Patrimonial, </w:t>
      </w:r>
      <w:r w:rsidRPr="008174EF">
        <w:rPr>
          <w:rFonts w:ascii="Times New Roman" w:hAnsi="Times New Roman" w:cs="Times New Roman"/>
          <w:sz w:val="24"/>
          <w:szCs w:val="24"/>
        </w:rPr>
        <w:t>e têm por objetivo fornecer informações sobre a capacidade de liquidar os compromissos assumidos pela organização (</w:t>
      </w:r>
      <w:r w:rsidR="007B68F0">
        <w:rPr>
          <w:rFonts w:ascii="Times New Roman" w:hAnsi="Times New Roman" w:cs="Times New Roman"/>
          <w:sz w:val="24"/>
          <w:szCs w:val="24"/>
        </w:rPr>
        <w:t>Assaf, 2012, 2015</w:t>
      </w:r>
      <w:r w:rsidRPr="008174EF">
        <w:rPr>
          <w:rFonts w:ascii="Times New Roman" w:hAnsi="Times New Roman" w:cs="Times New Roman"/>
          <w:sz w:val="24"/>
          <w:szCs w:val="24"/>
        </w:rPr>
        <w:t xml:space="preserve">). Na presente pesquisa destacam os indicadores financeiros de liquidez e de endividamento. </w:t>
      </w:r>
    </w:p>
    <w:p w14:paraId="5EB07941" w14:textId="570E0AF5" w:rsidR="001C2B08" w:rsidRPr="008174EF" w:rsidRDefault="001C2B08" w:rsidP="00A30371">
      <w:pPr>
        <w:pStyle w:val="PargrafodaLista"/>
        <w:spacing w:after="0" w:line="240" w:lineRule="auto"/>
        <w:ind w:left="0" w:firstLine="709"/>
        <w:jc w:val="both"/>
        <w:rPr>
          <w:rFonts w:ascii="Times New Roman" w:hAnsi="Times New Roman" w:cs="Times New Roman"/>
          <w:sz w:val="20"/>
        </w:rPr>
      </w:pPr>
      <w:r w:rsidRPr="008174EF">
        <w:rPr>
          <w:rFonts w:ascii="Times New Roman" w:hAnsi="Times New Roman" w:cs="Times New Roman"/>
          <w:sz w:val="24"/>
          <w:szCs w:val="24"/>
        </w:rPr>
        <w:t>Os indicadores financeiros de liquidez permitem a avaliação da situação financeira das organizações quanto ao cumprimento das obrigações assumidas com credores (</w:t>
      </w:r>
      <w:r w:rsidR="00844D95" w:rsidRPr="008174EF">
        <w:rPr>
          <w:rFonts w:ascii="Times New Roman" w:hAnsi="Times New Roman" w:cs="Times New Roman"/>
          <w:sz w:val="24"/>
          <w:szCs w:val="24"/>
        </w:rPr>
        <w:t>Bruni</w:t>
      </w:r>
      <w:r w:rsidRPr="008174EF">
        <w:rPr>
          <w:rFonts w:ascii="Times New Roman" w:hAnsi="Times New Roman" w:cs="Times New Roman"/>
          <w:sz w:val="24"/>
          <w:szCs w:val="24"/>
        </w:rPr>
        <w:t xml:space="preserve">, 2014). </w:t>
      </w:r>
    </w:p>
    <w:p w14:paraId="7357F521" w14:textId="3C86D3CB" w:rsidR="001C2B08" w:rsidRPr="008174EF" w:rsidRDefault="001C2B08" w:rsidP="00A30371">
      <w:pPr>
        <w:pStyle w:val="PargrafodaLista"/>
        <w:spacing w:after="0" w:line="240" w:lineRule="auto"/>
        <w:ind w:left="0"/>
        <w:jc w:val="both"/>
        <w:rPr>
          <w:rFonts w:ascii="Times New Roman" w:hAnsi="Times New Roman" w:cs="Times New Roman"/>
          <w:sz w:val="20"/>
        </w:rPr>
      </w:pPr>
      <w:r w:rsidRPr="008174EF">
        <w:rPr>
          <w:rFonts w:ascii="Times New Roman" w:hAnsi="Times New Roman" w:cs="Times New Roman"/>
          <w:sz w:val="24"/>
          <w:szCs w:val="24"/>
        </w:rPr>
        <w:lastRenderedPageBreak/>
        <w:t>Os indicadores</w:t>
      </w:r>
      <w:r w:rsidR="00A30371" w:rsidRPr="008174EF">
        <w:rPr>
          <w:rFonts w:ascii="Times New Roman" w:hAnsi="Times New Roman" w:cs="Times New Roman"/>
          <w:sz w:val="24"/>
          <w:szCs w:val="24"/>
        </w:rPr>
        <w:t xml:space="preserve"> </w:t>
      </w:r>
      <w:r w:rsidRPr="008174EF">
        <w:rPr>
          <w:rFonts w:ascii="Times New Roman" w:hAnsi="Times New Roman" w:cs="Times New Roman"/>
          <w:sz w:val="24"/>
          <w:szCs w:val="24"/>
        </w:rPr>
        <w:t>de endividamento mostram a composição e a representatividade das obrigações com terceiros (</w:t>
      </w:r>
      <w:r w:rsidR="00844D95" w:rsidRPr="008174EF">
        <w:rPr>
          <w:rFonts w:ascii="Times New Roman" w:hAnsi="Times New Roman" w:cs="Times New Roman"/>
          <w:sz w:val="24"/>
          <w:szCs w:val="24"/>
        </w:rPr>
        <w:t>Bruni</w:t>
      </w:r>
      <w:r w:rsidRPr="008174EF">
        <w:rPr>
          <w:rFonts w:ascii="Times New Roman" w:hAnsi="Times New Roman" w:cs="Times New Roman"/>
          <w:sz w:val="24"/>
          <w:szCs w:val="24"/>
        </w:rPr>
        <w:t xml:space="preserve">, 2014). Segundo Marion </w:t>
      </w:r>
      <w:r w:rsidRPr="008174EF">
        <w:rPr>
          <w:rFonts w:ascii="Times New Roman" w:hAnsi="Times New Roman" w:cs="Times New Roman"/>
          <w:sz w:val="24"/>
        </w:rPr>
        <w:t xml:space="preserve">(2010), os indicadores de endividamento apontam o quanto a empresa se utiliza de capital de terceiros ou de capital próprio. </w:t>
      </w:r>
    </w:p>
    <w:p w14:paraId="32564109" w14:textId="725D0305" w:rsidR="001C2B08" w:rsidRPr="008174EF" w:rsidRDefault="001C2B08" w:rsidP="002B6745">
      <w:pPr>
        <w:autoSpaceDE w:val="0"/>
        <w:autoSpaceDN w:val="0"/>
        <w:adjustRightInd w:val="0"/>
        <w:ind w:firstLine="708"/>
      </w:pPr>
      <w:r w:rsidRPr="008174EF">
        <w:t>Por sua vez, os indicadores econômicos</w:t>
      </w:r>
      <w:r w:rsidR="001D738D" w:rsidRPr="008174EF">
        <w:t>, por meio da Demonstração de Resultado,</w:t>
      </w:r>
      <w:r w:rsidRPr="008174EF">
        <w:t xml:space="preserve"> revelam a lucratividade e rentabilidade das organizações. Para Matarazzo (20</w:t>
      </w:r>
      <w:r w:rsidR="007B68F0">
        <w:t>10</w:t>
      </w:r>
      <w:r w:rsidRPr="008174EF">
        <w:t>), os indicadores de lucratividade e de rentabilidade mostram o grau de êxito econômico da empresa. Os indicadores econômicos de lucratividade mostram a geração de lucratividade em relação às vendas realizadas. De acordo com Assaf (201</w:t>
      </w:r>
      <w:r w:rsidR="007B68F0">
        <w:t>5</w:t>
      </w:r>
      <w:r w:rsidRPr="008174EF">
        <w:t xml:space="preserve">), os indicadores econômicos de lucratividade medem o desempenho operacional das organizações. </w:t>
      </w:r>
    </w:p>
    <w:p w14:paraId="47CF13CB" w14:textId="26147F5C" w:rsidR="001C2B08" w:rsidRPr="008174EF" w:rsidRDefault="001C2B08" w:rsidP="002B6745">
      <w:pPr>
        <w:pStyle w:val="PargrafodaLista"/>
        <w:spacing w:after="0" w:line="240" w:lineRule="auto"/>
        <w:ind w:left="0"/>
        <w:jc w:val="both"/>
        <w:rPr>
          <w:rFonts w:ascii="Times New Roman" w:hAnsi="Times New Roman" w:cs="Times New Roman"/>
          <w:sz w:val="24"/>
          <w:szCs w:val="24"/>
        </w:rPr>
      </w:pPr>
      <w:r w:rsidRPr="008174EF">
        <w:rPr>
          <w:rFonts w:ascii="Times New Roman" w:hAnsi="Times New Roman" w:cs="Times New Roman"/>
          <w:sz w:val="24"/>
        </w:rPr>
        <w:tab/>
        <w:t>Os indicadores econômicos de rentabilidade</w:t>
      </w:r>
      <w:r w:rsidR="002B6745" w:rsidRPr="008174EF">
        <w:rPr>
          <w:rFonts w:ascii="Times New Roman" w:hAnsi="Times New Roman" w:cs="Times New Roman"/>
          <w:sz w:val="24"/>
        </w:rPr>
        <w:t>, por sua vez,</w:t>
      </w:r>
      <w:r w:rsidRPr="008174EF">
        <w:rPr>
          <w:rFonts w:ascii="Times New Roman" w:hAnsi="Times New Roman" w:cs="Times New Roman"/>
          <w:sz w:val="24"/>
        </w:rPr>
        <w:t xml:space="preserve"> revelam o quanto de retorno é obtido por meio dos investimentos realizados em ativos ou em capital próprio (patrimônio líquido). Segundo Marion (20</w:t>
      </w:r>
      <w:r w:rsidR="007B68F0">
        <w:rPr>
          <w:rFonts w:ascii="Times New Roman" w:hAnsi="Times New Roman" w:cs="Times New Roman"/>
          <w:sz w:val="24"/>
        </w:rPr>
        <w:t>10</w:t>
      </w:r>
      <w:r w:rsidRPr="008174EF">
        <w:rPr>
          <w:rFonts w:ascii="Times New Roman" w:hAnsi="Times New Roman" w:cs="Times New Roman"/>
          <w:sz w:val="24"/>
        </w:rPr>
        <w:t>), a rentabilidade é medida em função do investimento realizado nas empresas, portanto uma gestão adequada proporciona maior retorno para a empresa e os investidores.</w:t>
      </w:r>
      <w:r w:rsidRPr="008174EF">
        <w:rPr>
          <w:rFonts w:ascii="Times New Roman" w:hAnsi="Times New Roman" w:cs="Times New Roman"/>
        </w:rPr>
        <w:t xml:space="preserve"> </w:t>
      </w:r>
      <w:r w:rsidRPr="008174EF">
        <w:rPr>
          <w:rFonts w:ascii="Times New Roman" w:hAnsi="Times New Roman" w:cs="Times New Roman"/>
          <w:sz w:val="24"/>
          <w:szCs w:val="24"/>
        </w:rPr>
        <w:t xml:space="preserve">Em síntese, a utilização dos indicadores econômico-financeiros permite a avaliação do desempenho organizacional por meio da análise da situação econômica e financeira das organizações. Esses indicadores possibilitam identificar pontos fortes e fracos na gestão financeira e com isso estabelecer ações gerenciais para minimizar fragilidades, potencializar oportunidades de negócios e aumentar a eficácia organizacional. </w:t>
      </w:r>
    </w:p>
    <w:p w14:paraId="6E372C22" w14:textId="77777777" w:rsidR="001C2B08" w:rsidRPr="008174EF" w:rsidRDefault="001C2B08" w:rsidP="001C2B08">
      <w:pPr>
        <w:autoSpaceDE w:val="0"/>
        <w:autoSpaceDN w:val="0"/>
        <w:adjustRightInd w:val="0"/>
        <w:ind w:firstLine="708"/>
        <w:rPr>
          <w:szCs w:val="24"/>
        </w:rPr>
      </w:pPr>
    </w:p>
    <w:p w14:paraId="55A508F0" w14:textId="77777777" w:rsidR="001C2B08" w:rsidRPr="008174EF" w:rsidRDefault="001C2B08" w:rsidP="00980F16">
      <w:pPr>
        <w:shd w:val="clear" w:color="auto" w:fill="FFFFFF"/>
        <w:ind w:firstLine="0"/>
        <w:rPr>
          <w:b/>
          <w:bCs/>
        </w:rPr>
      </w:pPr>
      <w:bookmarkStart w:id="1" w:name="_Toc362357274"/>
      <w:r w:rsidRPr="008174EF">
        <w:rPr>
          <w:b/>
          <w:bCs/>
        </w:rPr>
        <w:t xml:space="preserve">2.2 Operadoras de Planos de Saúde </w:t>
      </w:r>
    </w:p>
    <w:p w14:paraId="3125A14E" w14:textId="77777777" w:rsidR="00E47099" w:rsidRDefault="00E47099" w:rsidP="007B68F0">
      <w:pPr>
        <w:shd w:val="clear" w:color="auto" w:fill="FFFFFF"/>
      </w:pPr>
    </w:p>
    <w:p w14:paraId="47C8213D" w14:textId="1B77DE6D" w:rsidR="00DC37AF" w:rsidRDefault="001C2B08" w:rsidP="007B68F0">
      <w:pPr>
        <w:shd w:val="clear" w:color="auto" w:fill="FFFFFF"/>
        <w:rPr>
          <w:bCs/>
        </w:rPr>
      </w:pPr>
      <w:r w:rsidRPr="008174EF">
        <w:t>Dentre as possibilidades de organizações que atuam sistema</w:t>
      </w:r>
      <w:r w:rsidR="00E47099">
        <w:t xml:space="preserve"> de saúde para a população</w:t>
      </w:r>
      <w:r w:rsidR="00293BEF" w:rsidRPr="008174EF">
        <w:t>,</w:t>
      </w:r>
      <w:r w:rsidRPr="008174EF">
        <w:t xml:space="preserve"> destacam-se as o</w:t>
      </w:r>
      <w:r w:rsidRPr="008174EF">
        <w:rPr>
          <w:bCs/>
        </w:rPr>
        <w:t>peradoras de planos de saúde que possuem como atividade principal a comercialização de planos de saúde tanto no seguimento empresarial quanto no de pessoa física.</w:t>
      </w:r>
      <w:r w:rsidR="00FB2096">
        <w:rPr>
          <w:bCs/>
        </w:rPr>
        <w:t xml:space="preserve"> </w:t>
      </w:r>
      <w:r w:rsidR="00DC37AF">
        <w:rPr>
          <w:bCs/>
        </w:rPr>
        <w:t xml:space="preserve">Segundo a </w:t>
      </w:r>
      <w:r w:rsidR="00DC37AF" w:rsidRPr="00DC37AF">
        <w:rPr>
          <w:szCs w:val="24"/>
        </w:rPr>
        <w:t>Agência Nacional de Saúde (</w:t>
      </w:r>
      <w:r w:rsidR="00DC37AF" w:rsidRPr="00DC37AF">
        <w:rPr>
          <w:szCs w:val="24"/>
          <w:shd w:val="clear" w:color="auto" w:fill="FFFFFF"/>
        </w:rPr>
        <w:t>ANS)</w:t>
      </w:r>
      <w:r w:rsidR="00844D95">
        <w:rPr>
          <w:szCs w:val="24"/>
          <w:shd w:val="clear" w:color="auto" w:fill="FFFFFF"/>
        </w:rPr>
        <w:t>,</w:t>
      </w:r>
      <w:r w:rsidR="00DC37AF">
        <w:rPr>
          <w:szCs w:val="24"/>
          <w:shd w:val="clear" w:color="auto" w:fill="FFFFFF"/>
        </w:rPr>
        <w:t xml:space="preserve"> em sua Resolução de Diretoria  Colegiada n. 39, de 27 de outubro 2000, a</w:t>
      </w:r>
      <w:r w:rsidR="00FB2096" w:rsidRPr="00FB2096">
        <w:rPr>
          <w:bCs/>
        </w:rPr>
        <w:t>s operadoras de</w:t>
      </w:r>
      <w:r w:rsidR="00FB2096">
        <w:rPr>
          <w:bCs/>
        </w:rPr>
        <w:t xml:space="preserve"> </w:t>
      </w:r>
      <w:r w:rsidR="00FB2096" w:rsidRPr="00FB2096">
        <w:rPr>
          <w:bCs/>
        </w:rPr>
        <w:t>planos de saúde podem ser classificadas, conforme seu estatuto jurídico, nas seguintes</w:t>
      </w:r>
      <w:r w:rsidR="00FB2096">
        <w:rPr>
          <w:bCs/>
        </w:rPr>
        <w:t xml:space="preserve"> </w:t>
      </w:r>
      <w:r w:rsidR="00FB2096" w:rsidRPr="00FB2096">
        <w:rPr>
          <w:bCs/>
        </w:rPr>
        <w:t>modalidades: a) autogestão, b) cooperativa médica, c) filantropia, d) administradora, e)</w:t>
      </w:r>
      <w:r w:rsidR="00FB2096">
        <w:rPr>
          <w:bCs/>
        </w:rPr>
        <w:t xml:space="preserve"> </w:t>
      </w:r>
      <w:r w:rsidR="00FB2096" w:rsidRPr="00FB2096">
        <w:rPr>
          <w:bCs/>
        </w:rPr>
        <w:t xml:space="preserve">seguradora especializada em saúde e f) medicina de grupo. </w:t>
      </w:r>
      <w:r w:rsidR="00DC37AF">
        <w:rPr>
          <w:bCs/>
        </w:rPr>
        <w:t xml:space="preserve">Adicionalmente, </w:t>
      </w:r>
      <w:r w:rsidR="00FB2096" w:rsidRPr="00FB2096">
        <w:rPr>
          <w:bCs/>
        </w:rPr>
        <w:t xml:space="preserve">as operadoras de planos de saúde </w:t>
      </w:r>
      <w:r w:rsidR="00DC37AF">
        <w:rPr>
          <w:bCs/>
        </w:rPr>
        <w:t xml:space="preserve">podem </w:t>
      </w:r>
      <w:r w:rsidR="00FB2096" w:rsidRPr="00FB2096">
        <w:rPr>
          <w:bCs/>
        </w:rPr>
        <w:t>atua</w:t>
      </w:r>
      <w:r w:rsidR="00DC37AF">
        <w:rPr>
          <w:bCs/>
        </w:rPr>
        <w:t>r</w:t>
      </w:r>
      <w:r w:rsidR="00FB2096" w:rsidRPr="00FB2096">
        <w:rPr>
          <w:bCs/>
        </w:rPr>
        <w:t xml:space="preserve"> em diferentes segmentos, como</w:t>
      </w:r>
      <w:r w:rsidR="00DC37AF">
        <w:rPr>
          <w:bCs/>
        </w:rPr>
        <w:t>:</w:t>
      </w:r>
      <w:r w:rsidR="00FB2096" w:rsidRPr="00FB2096">
        <w:rPr>
          <w:bCs/>
        </w:rPr>
        <w:t xml:space="preserve"> Primário Principal</w:t>
      </w:r>
      <w:r w:rsidR="00FB2096">
        <w:rPr>
          <w:bCs/>
        </w:rPr>
        <w:t xml:space="preserve"> </w:t>
      </w:r>
      <w:r w:rsidR="00FB2096" w:rsidRPr="00FB2096">
        <w:rPr>
          <w:bCs/>
        </w:rPr>
        <w:t>(SPP); Segmento Primário Principal/SUS (SPP/SUS); Segmento Primário Subsidiário (SPS);</w:t>
      </w:r>
      <w:r w:rsidR="00FB2096">
        <w:rPr>
          <w:bCs/>
        </w:rPr>
        <w:t xml:space="preserve"> </w:t>
      </w:r>
      <w:r w:rsidR="00FB2096" w:rsidRPr="00FB2096">
        <w:rPr>
          <w:bCs/>
        </w:rPr>
        <w:t>Segmento Secundário Principal (SSP); Segmento Secundário Subsidiário (SSS) e Segmento</w:t>
      </w:r>
      <w:r w:rsidR="00FB2096">
        <w:rPr>
          <w:bCs/>
        </w:rPr>
        <w:t xml:space="preserve"> </w:t>
      </w:r>
      <w:r w:rsidR="00FB2096" w:rsidRPr="00FB2096">
        <w:rPr>
          <w:bCs/>
        </w:rPr>
        <w:t>Terciário (ST).</w:t>
      </w:r>
      <w:r w:rsidR="00FB2096">
        <w:rPr>
          <w:bCs/>
        </w:rPr>
        <w:t xml:space="preserve"> </w:t>
      </w:r>
      <w:r w:rsidRPr="008174EF">
        <w:rPr>
          <w:bCs/>
        </w:rPr>
        <w:t xml:space="preserve"> </w:t>
      </w:r>
    </w:p>
    <w:p w14:paraId="48D2E3A7" w14:textId="63AFF77A" w:rsidR="001C2B08" w:rsidRPr="008174EF" w:rsidRDefault="001C2B08" w:rsidP="007B68F0">
      <w:pPr>
        <w:shd w:val="clear" w:color="auto" w:fill="FFFFFF"/>
        <w:rPr>
          <w:bCs/>
        </w:rPr>
      </w:pPr>
      <w:r w:rsidRPr="008174EF">
        <w:rPr>
          <w:bCs/>
        </w:rPr>
        <w:t xml:space="preserve">A partir do seu modelo de negócio as operadoras de </w:t>
      </w:r>
      <w:r w:rsidRPr="008174EF">
        <w:t xml:space="preserve">planos de saúde enfrentam dificuldades econômico-financeiras, uma vez que os riscos das operações de serviços de saúde envolvem sinistros não controláveis e demandas por serviços complexos de saúde que envolvem elevado custo médico-hospitalar. </w:t>
      </w:r>
      <w:r w:rsidRPr="008174EF">
        <w:rPr>
          <w:bCs/>
        </w:rPr>
        <w:t>De acordo com Matos (2002), as operadoras de planos de saúde estão cada vez mais assumindo “riscos” do negócio que envolvem sinistros imprevisíveis de saúde dos beneficiários. Por causa disso, surge a necessidade de aperfeiçoamento do modelo de gestão dessas organizações, no sentido de reduzir custos</w:t>
      </w:r>
      <w:r w:rsidR="00293BEF" w:rsidRPr="008174EF">
        <w:rPr>
          <w:bCs/>
        </w:rPr>
        <w:t xml:space="preserve"> e </w:t>
      </w:r>
      <w:r w:rsidRPr="008174EF">
        <w:rPr>
          <w:bCs/>
        </w:rPr>
        <w:t>aumentar a produtividade dos serviços para enfrentar as dificuldades de mercado e a crescente concorrência.</w:t>
      </w:r>
    </w:p>
    <w:bookmarkEnd w:id="1"/>
    <w:p w14:paraId="5D744885" w14:textId="77777777" w:rsidR="001C2B08" w:rsidRPr="008174EF" w:rsidRDefault="001C2B08" w:rsidP="001C2B08">
      <w:pPr>
        <w:shd w:val="clear" w:color="auto" w:fill="FFFFFF"/>
        <w:rPr>
          <w:shd w:val="clear" w:color="auto" w:fill="FFFFFF"/>
        </w:rPr>
      </w:pPr>
      <w:r w:rsidRPr="008174EF">
        <w:rPr>
          <w:shd w:val="clear" w:color="auto" w:fill="FFFFFF"/>
        </w:rPr>
        <w:t xml:space="preserve">Outro fator importante do modelo de negócio das </w:t>
      </w:r>
      <w:r w:rsidRPr="008174EF">
        <w:rPr>
          <w:bCs/>
        </w:rPr>
        <w:t xml:space="preserve">operadoras de </w:t>
      </w:r>
      <w:r w:rsidRPr="008174EF">
        <w:t xml:space="preserve">planos de saúde </w:t>
      </w:r>
      <w:r w:rsidRPr="008174EF">
        <w:rPr>
          <w:shd w:val="clear" w:color="auto" w:fill="FFFFFF"/>
        </w:rPr>
        <w:t xml:space="preserve">é a </w:t>
      </w:r>
      <w:r w:rsidRPr="008174EF">
        <w:rPr>
          <w:shd w:val="clear" w:color="auto" w:fill="FFFFFF"/>
        </w:rPr>
        <w:lastRenderedPageBreak/>
        <w:t>regulamentação do setor efetuada pelo governo federal. A regulamentação das operadoras pode ser compreendida como um conjunto de medidas e ações que envolvem a criação de normas e de mecanismos de controle e de fiscalização para segmentos de saúde explorados por empresas privadas, no sentido de salvaguardar o interesse público.</w:t>
      </w:r>
    </w:p>
    <w:p w14:paraId="510F01C3" w14:textId="77777777" w:rsidR="001C2B08" w:rsidRPr="008174EF" w:rsidRDefault="001C2B08" w:rsidP="001C2B08">
      <w:pPr>
        <w:shd w:val="clear" w:color="auto" w:fill="FFFFFF"/>
        <w:rPr>
          <w:szCs w:val="24"/>
        </w:rPr>
      </w:pPr>
      <w:r w:rsidRPr="008174EF">
        <w:rPr>
          <w:shd w:val="clear" w:color="auto" w:fill="FFFFFF"/>
        </w:rPr>
        <w:t xml:space="preserve">A partir disso, com a </w:t>
      </w:r>
      <w:r w:rsidRPr="008174EF">
        <w:rPr>
          <w:szCs w:val="24"/>
        </w:rPr>
        <w:t>Lei n. 9.961, de 28 de janeiro de 2000, em seu artigo 3º, surge a Agência Nacional de Saúde (ANS) com a finalidade de “[...] promover a defesa do interesse público na assistência suplementar à Saúde, regulando as operadoras setoriais, inclusive quanto às suas relações com prestadores e consumidores, contribuindo para o desenvolvimento das ações de saúde no País”.</w:t>
      </w:r>
    </w:p>
    <w:p w14:paraId="47C381D0" w14:textId="55703BC1" w:rsidR="001C2B08" w:rsidRPr="008174EF" w:rsidRDefault="001C2B08" w:rsidP="001C2B08">
      <w:pPr>
        <w:shd w:val="clear" w:color="auto" w:fill="FFFFFF"/>
        <w:rPr>
          <w:szCs w:val="24"/>
          <w:shd w:val="clear" w:color="auto" w:fill="FFFFFF"/>
        </w:rPr>
      </w:pPr>
      <w:r w:rsidRPr="008174EF">
        <w:rPr>
          <w:szCs w:val="24"/>
        </w:rPr>
        <w:t xml:space="preserve">No que tange à questão </w:t>
      </w:r>
      <w:r w:rsidR="00293BEF" w:rsidRPr="008174EF">
        <w:rPr>
          <w:szCs w:val="24"/>
        </w:rPr>
        <w:t>econômico-financeira</w:t>
      </w:r>
      <w:r w:rsidRPr="006C0D0A">
        <w:rPr>
          <w:szCs w:val="24"/>
        </w:rPr>
        <w:t>, a</w:t>
      </w:r>
      <w:r w:rsidRPr="006C0D0A">
        <w:rPr>
          <w:szCs w:val="24"/>
          <w:shd w:val="clear" w:color="auto" w:fill="FFFFFF"/>
        </w:rPr>
        <w:t xml:space="preserve"> </w:t>
      </w:r>
      <w:r w:rsidR="00293BEF" w:rsidRPr="006C0D0A">
        <w:rPr>
          <w:szCs w:val="24"/>
        </w:rPr>
        <w:t>Agência Nacional de Saúde (ANS)</w:t>
      </w:r>
      <w:r w:rsidR="006C0D0A" w:rsidRPr="006C0D0A">
        <w:rPr>
          <w:szCs w:val="24"/>
        </w:rPr>
        <w:t>,</w:t>
      </w:r>
      <w:r w:rsidR="006C0D0A">
        <w:rPr>
          <w:szCs w:val="24"/>
        </w:rPr>
        <w:t xml:space="preserve"> em sua </w:t>
      </w:r>
      <w:r w:rsidR="006C0D0A" w:rsidRPr="006C0D0A">
        <w:rPr>
          <w:szCs w:val="24"/>
        </w:rPr>
        <w:t>Resolução normativa n. 400, de 25 de fevereiro de 2016</w:t>
      </w:r>
      <w:r w:rsidR="006C0D0A">
        <w:rPr>
          <w:szCs w:val="24"/>
          <w:shd w:val="clear" w:color="auto" w:fill="FFFFFF"/>
        </w:rPr>
        <w:t xml:space="preserve">, estabeleceu </w:t>
      </w:r>
      <w:r w:rsidRPr="008174EF">
        <w:rPr>
          <w:szCs w:val="24"/>
          <w:shd w:val="clear" w:color="auto" w:fill="FFFFFF"/>
        </w:rPr>
        <w:t xml:space="preserve">alguns </w:t>
      </w:r>
      <w:r w:rsidR="006C0D0A">
        <w:rPr>
          <w:szCs w:val="24"/>
          <w:shd w:val="clear" w:color="auto" w:fill="FFFFFF"/>
        </w:rPr>
        <w:t xml:space="preserve">parâmetros e procedimentos </w:t>
      </w:r>
      <w:r w:rsidRPr="008174EF">
        <w:rPr>
          <w:szCs w:val="24"/>
          <w:shd w:val="clear" w:color="auto" w:fill="FFFFFF"/>
        </w:rPr>
        <w:t>para verificar o desempenho</w:t>
      </w:r>
      <w:r w:rsidR="006C0D0A">
        <w:rPr>
          <w:szCs w:val="24"/>
          <w:shd w:val="clear" w:color="auto" w:fill="FFFFFF"/>
        </w:rPr>
        <w:t xml:space="preserve"> </w:t>
      </w:r>
      <w:r w:rsidRPr="008174EF">
        <w:rPr>
          <w:szCs w:val="24"/>
          <w:shd w:val="clear" w:color="auto" w:fill="FFFFFF"/>
        </w:rPr>
        <w:t xml:space="preserve">de </w:t>
      </w:r>
      <w:r w:rsidRPr="008174EF">
        <w:rPr>
          <w:szCs w:val="24"/>
        </w:rPr>
        <w:t>operadoras de planos saúde</w:t>
      </w:r>
      <w:r w:rsidRPr="008174EF">
        <w:rPr>
          <w:szCs w:val="24"/>
          <w:shd w:val="clear" w:color="auto" w:fill="FFFFFF"/>
        </w:rPr>
        <w:t>, por meio dos indicadores de liquidez, endividamento, rentabilidade, margem líquida, desempenho da saúde suplementar, entre outros. O objetivo desses indicadores é permitir a comparação de desempenho entre operadoras e assegurar que os beneficiários tenham os direitos de assistência à saúde garantidos.</w:t>
      </w:r>
    </w:p>
    <w:p w14:paraId="3257D896" w14:textId="3BF2159F" w:rsidR="001C2B08" w:rsidRPr="008174EF" w:rsidRDefault="001C2B08" w:rsidP="001C2B08">
      <w:pPr>
        <w:shd w:val="clear" w:color="auto" w:fill="FFFFFF"/>
        <w:rPr>
          <w:szCs w:val="24"/>
          <w:shd w:val="clear" w:color="auto" w:fill="FFFFFF"/>
        </w:rPr>
      </w:pPr>
      <w:r w:rsidRPr="008174EF">
        <w:rPr>
          <w:szCs w:val="24"/>
          <w:shd w:val="clear" w:color="auto" w:fill="FFFFFF"/>
        </w:rPr>
        <w:t>Os critérios de desempenho permite</w:t>
      </w:r>
      <w:r w:rsidR="00293BEF" w:rsidRPr="008174EF">
        <w:rPr>
          <w:szCs w:val="24"/>
          <w:shd w:val="clear" w:color="auto" w:fill="FFFFFF"/>
        </w:rPr>
        <w:t>m avaliar a situação do negócio</w:t>
      </w:r>
      <w:r w:rsidRPr="008174EF">
        <w:rPr>
          <w:szCs w:val="24"/>
          <w:shd w:val="clear" w:color="auto" w:fill="FFFFFF"/>
        </w:rPr>
        <w:t xml:space="preserve"> e</w:t>
      </w:r>
      <w:r w:rsidR="00293BEF" w:rsidRPr="008174EF">
        <w:rPr>
          <w:szCs w:val="24"/>
          <w:shd w:val="clear" w:color="auto" w:fill="FFFFFF"/>
        </w:rPr>
        <w:t>,</w:t>
      </w:r>
      <w:r w:rsidRPr="008174EF">
        <w:rPr>
          <w:szCs w:val="24"/>
          <w:shd w:val="clear" w:color="auto" w:fill="FFFFFF"/>
        </w:rPr>
        <w:t xml:space="preserve"> caso as operadoras apresentarem fragilidades operacionais</w:t>
      </w:r>
      <w:r w:rsidR="00293BEF" w:rsidRPr="008174EF">
        <w:rPr>
          <w:szCs w:val="24"/>
          <w:shd w:val="clear" w:color="auto" w:fill="FFFFFF"/>
        </w:rPr>
        <w:t>,</w:t>
      </w:r>
      <w:r w:rsidRPr="008174EF">
        <w:rPr>
          <w:szCs w:val="24"/>
          <w:shd w:val="clear" w:color="auto" w:fill="FFFFFF"/>
        </w:rPr>
        <w:t xml:space="preserve"> a </w:t>
      </w:r>
      <w:r w:rsidRPr="00DC37AF">
        <w:rPr>
          <w:szCs w:val="24"/>
        </w:rPr>
        <w:t>Agência Nacional de Saúde (</w:t>
      </w:r>
      <w:r w:rsidRPr="00DC37AF">
        <w:rPr>
          <w:szCs w:val="24"/>
          <w:shd w:val="clear" w:color="auto" w:fill="FFFFFF"/>
        </w:rPr>
        <w:t>ANS)</w:t>
      </w:r>
      <w:r w:rsidR="00DC37AF" w:rsidRPr="00DC37AF">
        <w:rPr>
          <w:szCs w:val="24"/>
          <w:shd w:val="clear" w:color="auto" w:fill="FFFFFF"/>
        </w:rPr>
        <w:t xml:space="preserve">, de acordo com a Resolução Normativa n. 316, de 30 novembro de 2014, </w:t>
      </w:r>
      <w:r w:rsidRPr="00DC37AF">
        <w:rPr>
          <w:szCs w:val="24"/>
          <w:shd w:val="clear" w:color="auto" w:fill="FFFFFF"/>
        </w:rPr>
        <w:t xml:space="preserve"> pode determinar a recuperação judicial da empresa, decretar o regime de direção fiscal, que poderá ser in</w:t>
      </w:r>
      <w:r w:rsidRPr="008174EF">
        <w:rPr>
          <w:szCs w:val="24"/>
          <w:shd w:val="clear" w:color="auto" w:fill="FFFFFF"/>
        </w:rPr>
        <w:t>staurado quando identificada uma ou mais anormalidades econômico-financeiras ou administrativas graves que podem colocar em risco a continuidade ou qualidade dos serviços prestados, impor a transferência da carteira de clientes para outra seguradora ou realizar a liquidação extrajudicial da operadora (LIMA, 200</w:t>
      </w:r>
      <w:r w:rsidR="00FB2096">
        <w:rPr>
          <w:szCs w:val="24"/>
          <w:shd w:val="clear" w:color="auto" w:fill="FFFFFF"/>
        </w:rPr>
        <w:t>8</w:t>
      </w:r>
      <w:r w:rsidRPr="008174EF">
        <w:rPr>
          <w:szCs w:val="24"/>
          <w:shd w:val="clear" w:color="auto" w:fill="FFFFFF"/>
        </w:rPr>
        <w:t xml:space="preserve">). </w:t>
      </w:r>
    </w:p>
    <w:p w14:paraId="6F1CCC07" w14:textId="60CDDF35" w:rsidR="001C2B08" w:rsidRPr="008174EF" w:rsidRDefault="001C2B08" w:rsidP="001C2B08">
      <w:pPr>
        <w:shd w:val="clear" w:color="auto" w:fill="FFFFFF"/>
        <w:rPr>
          <w:szCs w:val="24"/>
          <w:shd w:val="clear" w:color="auto" w:fill="FFFFFF"/>
        </w:rPr>
      </w:pPr>
      <w:r w:rsidRPr="008174EF">
        <w:rPr>
          <w:szCs w:val="24"/>
          <w:shd w:val="clear" w:color="auto" w:fill="FFFFFF"/>
        </w:rPr>
        <w:t xml:space="preserve">De modo geral </w:t>
      </w:r>
      <w:r w:rsidR="002B6745" w:rsidRPr="008174EF">
        <w:rPr>
          <w:szCs w:val="24"/>
          <w:shd w:val="clear" w:color="auto" w:fill="FFFFFF"/>
        </w:rPr>
        <w:t>as operadoras de planos saúdem</w:t>
      </w:r>
      <w:r w:rsidRPr="008174EF">
        <w:rPr>
          <w:szCs w:val="24"/>
          <w:shd w:val="clear" w:color="auto" w:fill="FFFFFF"/>
        </w:rPr>
        <w:t xml:space="preserve"> são responsáveis pela qualidade e agilidade no atendimento de serviços de saúde, visto que a saúde pública enfrenta dificuldades para atendimento pleno aos cidadãos. A contratação de serviços de planos de saúde possibilita melhor qualidade de vida e bem-estar aos beneficiários. A expectativa de vida está maior e, portanto, os beneficiários podem ser assistidos, de modo privado, por uma rede de prestação de serviços de saúde, desde o serviço básico ao mais complexo.</w:t>
      </w:r>
    </w:p>
    <w:p w14:paraId="3ECC2B12" w14:textId="77777777" w:rsidR="001C2B08" w:rsidRPr="008174EF" w:rsidRDefault="001C2B08" w:rsidP="001C2B08">
      <w:pPr>
        <w:shd w:val="clear" w:color="auto" w:fill="FFFFFF"/>
        <w:rPr>
          <w:b/>
          <w:bCs/>
        </w:rPr>
      </w:pPr>
    </w:p>
    <w:p w14:paraId="399D1533" w14:textId="77777777" w:rsidR="001C2B08" w:rsidRPr="008174EF" w:rsidRDefault="001C2B08" w:rsidP="00614EC0">
      <w:pPr>
        <w:shd w:val="clear" w:color="auto" w:fill="FFFFFF"/>
        <w:ind w:firstLine="0"/>
        <w:rPr>
          <w:b/>
          <w:bCs/>
        </w:rPr>
      </w:pPr>
      <w:bookmarkStart w:id="2" w:name="_Hlk12809673"/>
      <w:r w:rsidRPr="008174EF">
        <w:rPr>
          <w:b/>
          <w:bCs/>
        </w:rPr>
        <w:t>2.3 Estudos anteriores sobre Operadoras de Plano de Saúde</w:t>
      </w:r>
    </w:p>
    <w:p w14:paraId="13AE88DC" w14:textId="77777777" w:rsidR="00E47099" w:rsidRDefault="00E47099" w:rsidP="001C2B08">
      <w:pPr>
        <w:shd w:val="clear" w:color="auto" w:fill="FFFFFF"/>
        <w:ind w:firstLine="708"/>
        <w:rPr>
          <w:bCs/>
        </w:rPr>
      </w:pPr>
    </w:p>
    <w:p w14:paraId="3B58B41A" w14:textId="0BA9FF29" w:rsidR="003769E0" w:rsidRPr="008174EF" w:rsidRDefault="001C2B08" w:rsidP="001C2B08">
      <w:pPr>
        <w:shd w:val="clear" w:color="auto" w:fill="FFFFFF"/>
        <w:ind w:firstLine="708"/>
      </w:pPr>
      <w:r w:rsidRPr="008174EF">
        <w:rPr>
          <w:bCs/>
        </w:rPr>
        <w:t xml:space="preserve">Estudos sobre as análises do desempenho econômico-financeiro de operadoras de planos de saúde são destaque com os autores Soares (2006), </w:t>
      </w:r>
      <w:r w:rsidRPr="008174EF">
        <w:t xml:space="preserve">Câmara </w:t>
      </w:r>
      <w:r w:rsidRPr="00844D95">
        <w:rPr>
          <w:i/>
        </w:rPr>
        <w:t>et al.</w:t>
      </w:r>
      <w:r w:rsidRPr="008174EF">
        <w:t xml:space="preserve"> (2008)</w:t>
      </w:r>
      <w:r w:rsidR="003769E0" w:rsidRPr="008174EF">
        <w:t xml:space="preserve">, Guimarães e Nossa (2010) </w:t>
      </w:r>
      <w:r w:rsidRPr="008174EF">
        <w:t xml:space="preserve">e Ávila; Amorim (2016). </w:t>
      </w:r>
    </w:p>
    <w:p w14:paraId="5C36C965" w14:textId="770B14DF" w:rsidR="001C2B08" w:rsidRPr="008174EF" w:rsidRDefault="001C2B08" w:rsidP="001C2B08">
      <w:pPr>
        <w:shd w:val="clear" w:color="auto" w:fill="FFFFFF"/>
        <w:ind w:firstLine="708"/>
        <w:rPr>
          <w:bCs/>
          <w:sz w:val="28"/>
        </w:rPr>
      </w:pPr>
      <w:r w:rsidRPr="008174EF">
        <w:t xml:space="preserve">Soares (2006) avaliou o desempenho das operadoras de planos de saúde no Brasil. O estudo teve como objetivo analisar se os indicadores que a ANS considera como os mais importantes são os mais relevantes para a avaliação do desempenho organizacional. Dentre os indicadores utilizados destacaram-se os de estrutura de capital, liquidez e rentabilidade. Contudo, pode-se observar que a média dos indicadores econômico-financeiros do setor foi baixa em relação aos demais setores da economia, com exceção dos indicadores de endividamento das </w:t>
      </w:r>
      <w:r w:rsidR="00293BEF" w:rsidRPr="008174EF">
        <w:t>operadoras</w:t>
      </w:r>
      <w:r w:rsidR="00521334" w:rsidRPr="008174EF">
        <w:t>,</w:t>
      </w:r>
      <w:r w:rsidRPr="008174EF">
        <w:t xml:space="preserve"> que </w:t>
      </w:r>
      <w:r w:rsidR="00521334" w:rsidRPr="008174EF">
        <w:lastRenderedPageBreak/>
        <w:t>está muito elevada</w:t>
      </w:r>
      <w:r w:rsidRPr="008174EF">
        <w:t xml:space="preserve"> em relação aos demais setores, revelando uma grande participação de capital de terceiros no financiamento das operações. </w:t>
      </w:r>
    </w:p>
    <w:p w14:paraId="3CD9207A" w14:textId="15B6A37F" w:rsidR="001C2B08" w:rsidRPr="008174EF" w:rsidRDefault="001C2B08" w:rsidP="001C2B08">
      <w:pPr>
        <w:ind w:firstLine="708"/>
      </w:pPr>
      <w:r w:rsidRPr="008174EF">
        <w:t xml:space="preserve">Câmara </w:t>
      </w:r>
      <w:r w:rsidRPr="00844D95">
        <w:rPr>
          <w:i/>
        </w:rPr>
        <w:t>et al.</w:t>
      </w:r>
      <w:r w:rsidRPr="008174EF">
        <w:t xml:space="preserve"> (2008) analisaram a situação financeira de uma operadora de plano de saúde na modalidade de cooperativa médica. Os resultados mostraram que a cooperativa diminuiu os percentuais dos indicadores econômico-financeiros liquidez, rentabilidade e aumentou o endividamento. A alta da sinistralidade ajudou a piorar os indicadores econômico-financeiros (liquidez diminui, endividamento aumenta, rentabilidade diminui). Concluiu-se que há uma necessidade de aplicar medidas administrativas para po</w:t>
      </w:r>
      <w:r w:rsidR="00521334" w:rsidRPr="008174EF">
        <w:t>der reduzir as despesas e</w:t>
      </w:r>
      <w:r w:rsidRPr="008174EF">
        <w:t xml:space="preserve"> os custos para a melhoria dos indicadores econômico-financeiros, </w:t>
      </w:r>
      <w:r w:rsidR="00521334" w:rsidRPr="008174EF">
        <w:t xml:space="preserve">bem como da revisão da contabilização </w:t>
      </w:r>
      <w:r w:rsidRPr="008174EF">
        <w:t>das Provisões das Operações com Assistência à Saúde.</w:t>
      </w:r>
    </w:p>
    <w:p w14:paraId="0668FD81" w14:textId="0B58A106" w:rsidR="001C2B08" w:rsidRPr="008174EF" w:rsidRDefault="001C2B08" w:rsidP="00F5399E">
      <w:r w:rsidRPr="008174EF">
        <w:t>Ávila e Amorim (2016) realizaram uma avaliação comparativa de desempenho nas cinco maiores operadoras de planos de saúde</w:t>
      </w:r>
      <w:r w:rsidR="00521334" w:rsidRPr="008174EF">
        <w:t>,</w:t>
      </w:r>
      <w:r w:rsidRPr="008174EF">
        <w:t xml:space="preserve"> no período de 2015 e 2016. A avaliação de desempenho considerou o perfil dos beneficiários, modalidades de planos de saúde ofertados e a situação econômico-financeira. Os resultados apontaram que a maior parte dos beneficiários está na faixa etária mais baixa e com a contratação de planos empresariais e coletivos. Os indicadores econômico-financeiros mostraram que dentre as cinco operadoras apenas uma não possui liquidez de curto prazo favorável. Os indicadores de endividamento e de rentabilidade mostram uma situação favorável. Os autores concluíram que a gestão econômico-financeira eficiente é um pressuposto fundamental para a sobrevivência das operadoras no mercado.</w:t>
      </w:r>
    </w:p>
    <w:p w14:paraId="1DDFB9AE" w14:textId="46A03C42" w:rsidR="00F5399E" w:rsidRPr="008174EF" w:rsidRDefault="00F5399E" w:rsidP="001C2B08">
      <w:r w:rsidRPr="008174EF">
        <w:t xml:space="preserve">Guimarães e Nossa (2010) analisaram a adequação de um modelo normativo </w:t>
      </w:r>
      <w:r w:rsidR="00521334" w:rsidRPr="008174EF">
        <w:t>de administração do capital de g</w:t>
      </w:r>
      <w:r w:rsidRPr="008174EF">
        <w:t>iro, em termos de lucratividade, liquidez e solvência. A pesquisa foi operacionalizada em 621 operadoras de planos de saúde no período de 2006. Os resultados evidenciam que diferentes estruturas de capital de giro estão associadas a diferentes níve</w:t>
      </w:r>
      <w:r w:rsidR="008E62B6" w:rsidRPr="008174EF">
        <w:t xml:space="preserve">is </w:t>
      </w:r>
      <w:r w:rsidRPr="008174EF">
        <w:t xml:space="preserve">de lucratividade, liquidez e solvência. </w:t>
      </w:r>
      <w:r w:rsidR="00521334" w:rsidRPr="008174EF">
        <w:t xml:space="preserve">Os autores </w:t>
      </w:r>
      <w:r w:rsidRPr="008174EF">
        <w:t>apontam pela importância de uma gestão eficie</w:t>
      </w:r>
      <w:r w:rsidR="00521334" w:rsidRPr="008174EF">
        <w:t>nte do capital de giro como</w:t>
      </w:r>
      <w:r w:rsidRPr="008174EF">
        <w:t xml:space="preserve"> </w:t>
      </w:r>
      <w:r w:rsidR="00521334" w:rsidRPr="008174EF">
        <w:t>forma de m</w:t>
      </w:r>
      <w:r w:rsidRPr="008174EF">
        <w:t>elhor</w:t>
      </w:r>
      <w:r w:rsidR="00521334" w:rsidRPr="008174EF">
        <w:t>ar</w:t>
      </w:r>
      <w:r w:rsidRPr="008174EF">
        <w:t xml:space="preserve"> </w:t>
      </w:r>
      <w:r w:rsidR="00521334" w:rsidRPr="008174EF">
        <w:t xml:space="preserve">o </w:t>
      </w:r>
      <w:r w:rsidRPr="008174EF">
        <w:t>desempenho</w:t>
      </w:r>
      <w:r w:rsidR="00521334" w:rsidRPr="008174EF">
        <w:t xml:space="preserve"> organizacional</w:t>
      </w:r>
      <w:r w:rsidR="00E52806" w:rsidRPr="008174EF">
        <w:t>.</w:t>
      </w:r>
    </w:p>
    <w:p w14:paraId="04D1E727" w14:textId="77777777" w:rsidR="001C2B08" w:rsidRPr="008174EF" w:rsidRDefault="001C2B08" w:rsidP="001C2B08">
      <w:r w:rsidRPr="008174EF">
        <w:t>Os estudos anteriores revelaram a importância da avaliação de desempenho organizacional por meio de indicadores econômico-financeiros para compreensão da situação organizacional e desenvolvimento de ações de melhoria para o aumento da eficácia organizacional. Os estudos ressaltam a importância dos indicadores de lucratividade e de rentabilidade como forma de identificar o sucesso das operações, uma vez que indicam o retorno sobre as receitas e sobre os ativos investidos. Além disso, evidências apontaram que alguns fatores do modelo de negócio, como porte, natureza jurídica e modalidade de operação, influenciam no desempenho das operadoras de planos de saúde.</w:t>
      </w:r>
    </w:p>
    <w:bookmarkEnd w:id="2"/>
    <w:p w14:paraId="039D79DF" w14:textId="77777777" w:rsidR="001C2B08" w:rsidRPr="008174EF" w:rsidRDefault="001C2B08" w:rsidP="001C2B08">
      <w:pPr>
        <w:pStyle w:val="NormalWeb"/>
        <w:shd w:val="clear" w:color="auto" w:fill="FFFFFF"/>
        <w:spacing w:before="0" w:beforeAutospacing="0" w:after="0" w:afterAutospacing="0"/>
        <w:rPr>
          <w:b/>
          <w:szCs w:val="21"/>
        </w:rPr>
      </w:pPr>
    </w:p>
    <w:p w14:paraId="4B59040D" w14:textId="77777777" w:rsidR="001C2B08" w:rsidRPr="008174EF" w:rsidRDefault="001C2B08" w:rsidP="00410480">
      <w:pPr>
        <w:pStyle w:val="NormalWeb"/>
        <w:shd w:val="clear" w:color="auto" w:fill="FFFFFF"/>
        <w:spacing w:before="0" w:beforeAutospacing="0" w:after="0" w:afterAutospacing="0"/>
        <w:ind w:firstLine="0"/>
        <w:rPr>
          <w:b/>
          <w:szCs w:val="21"/>
        </w:rPr>
      </w:pPr>
      <w:r w:rsidRPr="008174EF">
        <w:rPr>
          <w:b/>
          <w:szCs w:val="21"/>
        </w:rPr>
        <w:t>3. Metodologia da Pesquisa</w:t>
      </w:r>
    </w:p>
    <w:p w14:paraId="0B4C01C9" w14:textId="77777777" w:rsidR="00E47099" w:rsidRDefault="00E47099" w:rsidP="00A851F2">
      <w:pPr>
        <w:pStyle w:val="NormalWeb"/>
        <w:shd w:val="clear" w:color="auto" w:fill="FFFFFF"/>
        <w:spacing w:before="0" w:beforeAutospacing="0" w:after="0" w:afterAutospacing="0"/>
        <w:ind w:firstLine="708"/>
      </w:pPr>
    </w:p>
    <w:p w14:paraId="5E89A294" w14:textId="29C525E8" w:rsidR="001C2B08" w:rsidRPr="008174EF" w:rsidRDefault="00037CB3" w:rsidP="00A851F2">
      <w:pPr>
        <w:pStyle w:val="NormalWeb"/>
        <w:shd w:val="clear" w:color="auto" w:fill="FFFFFF"/>
        <w:spacing w:before="0" w:beforeAutospacing="0" w:after="0" w:afterAutospacing="0"/>
        <w:ind w:firstLine="708"/>
        <w:rPr>
          <w:sz w:val="20"/>
        </w:rPr>
      </w:pPr>
      <w:r w:rsidRPr="008174EF">
        <w:t xml:space="preserve">A presente pesquisa é de </w:t>
      </w:r>
      <w:r w:rsidR="00A851F2" w:rsidRPr="008174EF">
        <w:t>caráter</w:t>
      </w:r>
      <w:r w:rsidRPr="008174EF">
        <w:t xml:space="preserve"> </w:t>
      </w:r>
      <w:r w:rsidR="00A851F2" w:rsidRPr="008174EF">
        <w:t>descritivo visto que</w:t>
      </w:r>
      <w:r w:rsidR="001C2B08" w:rsidRPr="008174EF">
        <w:rPr>
          <w:szCs w:val="21"/>
        </w:rPr>
        <w:t xml:space="preserve"> descreve a situação econômico-financeira de uma operadora de plano de saúde</w:t>
      </w:r>
      <w:r w:rsidR="00A851F2" w:rsidRPr="008174EF">
        <w:rPr>
          <w:szCs w:val="21"/>
        </w:rPr>
        <w:t>. Q</w:t>
      </w:r>
      <w:r w:rsidR="001C2B08" w:rsidRPr="008174EF">
        <w:rPr>
          <w:szCs w:val="21"/>
        </w:rPr>
        <w:t>ualitativa, uma vez que se procura a compreensão da situação organizacional por meio de indicadores econômico-financeiros</w:t>
      </w:r>
      <w:r w:rsidR="00A851F2" w:rsidRPr="008174EF">
        <w:rPr>
          <w:szCs w:val="21"/>
        </w:rPr>
        <w:t>. Classifica-se ainda como</w:t>
      </w:r>
      <w:r w:rsidR="001C2B08" w:rsidRPr="008174EF">
        <w:t xml:space="preserve"> o estudo de caso em uma operadora de plano de saúde localizada no sul do Brasil. </w:t>
      </w:r>
      <w:r w:rsidR="00A851F2" w:rsidRPr="008174EF">
        <w:rPr>
          <w:sz w:val="20"/>
        </w:rPr>
        <w:t xml:space="preserve"> </w:t>
      </w:r>
      <w:r w:rsidR="001C2B08" w:rsidRPr="008174EF">
        <w:t xml:space="preserve">A fonte da pesquisa </w:t>
      </w:r>
      <w:r w:rsidR="00A851F2" w:rsidRPr="008174EF">
        <w:t>é</w:t>
      </w:r>
      <w:r w:rsidR="001C2B08" w:rsidRPr="008174EF">
        <w:t xml:space="preserve"> documental</w:t>
      </w:r>
      <w:r w:rsidR="00A851F2" w:rsidRPr="008174EF">
        <w:t xml:space="preserve"> </w:t>
      </w:r>
      <w:r w:rsidR="00521334" w:rsidRPr="008174EF">
        <w:t xml:space="preserve">uma vez </w:t>
      </w:r>
      <w:r w:rsidR="00A851F2" w:rsidRPr="008174EF">
        <w:t>que,</w:t>
      </w:r>
      <w:r w:rsidR="001C2B08" w:rsidRPr="008174EF">
        <w:t xml:space="preserve"> </w:t>
      </w:r>
      <w:r w:rsidR="00A851F2" w:rsidRPr="008174EF">
        <w:t>são obtidas</w:t>
      </w:r>
      <w:r w:rsidR="001C2B08" w:rsidRPr="008174EF">
        <w:t xml:space="preserve"> </w:t>
      </w:r>
      <w:r w:rsidR="00A851F2" w:rsidRPr="008174EF">
        <w:t>a partir das</w:t>
      </w:r>
      <w:r w:rsidR="001C2B08" w:rsidRPr="008174EF">
        <w:t xml:space="preserve"> demonstrações contábeis (Balanço </w:t>
      </w:r>
      <w:r w:rsidR="001C2B08" w:rsidRPr="008174EF">
        <w:lastRenderedPageBreak/>
        <w:t xml:space="preserve">Patrimonial e Demonstração de Resultado) e relatórios gerenciais da operadora dos anos de 2015 a 2018. </w:t>
      </w:r>
    </w:p>
    <w:p w14:paraId="612EF4A2" w14:textId="77777777" w:rsidR="001C2B08" w:rsidRPr="008174EF" w:rsidRDefault="001C2B08" w:rsidP="001C2B08">
      <w:pPr>
        <w:shd w:val="clear" w:color="auto" w:fill="FFFFFF"/>
        <w:ind w:firstLine="708"/>
        <w:rPr>
          <w:szCs w:val="24"/>
        </w:rPr>
      </w:pPr>
      <w:r w:rsidRPr="008174EF">
        <w:rPr>
          <w:szCs w:val="24"/>
        </w:rPr>
        <w:t>A escolha da organização se justifica por atuar há mais de 80 anos (grupo hospitalar) no setor de saúde e pela acessibilidade às informações necessárias para atingir o objetivo de pesquisa. A organização caracteriza-se como associação sem fins lucrativos que engloba atividades de serviços hospitalares, de operadora de planos de saúde e de ensino técnico de enfermagem. Para fins deste estudo, considera-se somente a operadora de plano de saúde, uma vez que foi desmembrada do CNPJ da matriz no ano de 2014 e passou a atuar com CNPJ próprio, conforme recomendação da Agência Nacional de Saúde (ANS).</w:t>
      </w:r>
    </w:p>
    <w:p w14:paraId="616BE821" w14:textId="77777777" w:rsidR="001C2B08" w:rsidRPr="008174EF" w:rsidRDefault="001C2B08" w:rsidP="001C2B08">
      <w:pPr>
        <w:shd w:val="clear" w:color="auto" w:fill="FFFFFF"/>
        <w:ind w:firstLine="420"/>
        <w:rPr>
          <w:szCs w:val="24"/>
        </w:rPr>
      </w:pPr>
      <w:r w:rsidRPr="008174EF">
        <w:rPr>
          <w:szCs w:val="24"/>
        </w:rPr>
        <w:tab/>
        <w:t>A Operadora de Plano de Saúde caracteriza-se como de pequeno porte na modalidade de Medicina de Grupo com atuação no Setor Terciário. Para fins de sigilo e proteção das informações, o nome da Operadora foi alterado para Operadora Alfa e os valores contidos nas demonstrações contábeis foram transformados por um divisor comum. Cabe mencionar que após a divisão a proporcionalidade numérica entre as contas foi mantida.</w:t>
      </w:r>
    </w:p>
    <w:p w14:paraId="03B52ECE" w14:textId="44D2CE7D" w:rsidR="001C2B08" w:rsidRPr="008174EF" w:rsidRDefault="001C2B08" w:rsidP="001C2B08">
      <w:pPr>
        <w:shd w:val="clear" w:color="auto" w:fill="FFFFFF"/>
        <w:ind w:firstLine="708"/>
      </w:pPr>
      <w:r w:rsidRPr="008174EF">
        <w:t xml:space="preserve">O objeto de pesquisa é </w:t>
      </w:r>
      <w:r w:rsidRPr="008174EF">
        <w:rPr>
          <w:szCs w:val="24"/>
        </w:rPr>
        <w:t xml:space="preserve">uma operadora de plano de saúde localizada no sul do Brasil que atua </w:t>
      </w:r>
      <w:r w:rsidRPr="008174EF">
        <w:t xml:space="preserve">há mais de 25 anos. A Operadora Alfa funcionava como uma empresa filial vinculada a um hospital filantrópico até junho de 2014. A partir desse período, a empresa teve que ser desvinculada do CNPJ da organização hospitalar, pois não poderia fazer parte das atividades da organização, uma vez que o grupo também possui atividades voltadas para a educação. Com essa mudança, a Operadora </w:t>
      </w:r>
      <w:r w:rsidR="00521334" w:rsidRPr="008174EF">
        <w:t xml:space="preserve">Alfa </w:t>
      </w:r>
      <w:r w:rsidRPr="008174EF">
        <w:t>começou a pagar tributos federais e municipais em suas atividades.</w:t>
      </w:r>
    </w:p>
    <w:p w14:paraId="58D14F21" w14:textId="60915971" w:rsidR="001C2B08" w:rsidRPr="008174EF" w:rsidRDefault="001C2B08" w:rsidP="001C2B08">
      <w:pPr>
        <w:shd w:val="clear" w:color="auto" w:fill="FFFFFF"/>
        <w:ind w:firstLine="708"/>
      </w:pPr>
      <w:r w:rsidRPr="008174EF">
        <w:t>Atualmente a Operadora Alfa possui aproximadamente 26 funcionários</w:t>
      </w:r>
      <w:r w:rsidR="00844D95">
        <w:t xml:space="preserve">: </w:t>
      </w:r>
      <w:r w:rsidR="006B23F8">
        <w:t xml:space="preserve">4 </w:t>
      </w:r>
      <w:r w:rsidRPr="008174EF">
        <w:t xml:space="preserve">são agentes de comercialização de planos de saúde e 22 fazem parte do administrativo/operacional. A Operadora atua na Região 5 (grupo de municípios específicos) com abrangência de 21 municípios localizados no interior do Brasil. </w:t>
      </w:r>
      <w:r w:rsidR="00102445" w:rsidRPr="008174EF">
        <w:t xml:space="preserve">A </w:t>
      </w:r>
      <w:r w:rsidR="00521334" w:rsidRPr="008174EF">
        <w:t>T</w:t>
      </w:r>
      <w:r w:rsidR="00102445" w:rsidRPr="008174EF">
        <w:t>abela 1</w:t>
      </w:r>
      <w:r w:rsidRPr="008174EF">
        <w:t xml:space="preserve"> apresenta os tipos de serviços comercializados.</w:t>
      </w:r>
    </w:p>
    <w:p w14:paraId="70D58AF7" w14:textId="77777777" w:rsidR="001C2B08" w:rsidRPr="008174EF" w:rsidRDefault="001C2B08" w:rsidP="001C2B08">
      <w:pPr>
        <w:shd w:val="clear" w:color="auto" w:fill="FFFFFF"/>
      </w:pPr>
    </w:p>
    <w:p w14:paraId="4B4107BC" w14:textId="41513EE5" w:rsidR="001C2B08" w:rsidRPr="008174EF" w:rsidRDefault="00102445" w:rsidP="00FA7C34">
      <w:pPr>
        <w:shd w:val="clear" w:color="auto" w:fill="FFFFFF"/>
        <w:ind w:firstLine="0"/>
        <w:rPr>
          <w:b/>
        </w:rPr>
      </w:pPr>
      <w:r w:rsidRPr="008174EF">
        <w:rPr>
          <w:b/>
        </w:rPr>
        <w:t>Tabela 1</w:t>
      </w:r>
      <w:r w:rsidR="001C2B08" w:rsidRPr="008174EF">
        <w:rPr>
          <w:b/>
        </w:rPr>
        <w:t xml:space="preserve"> – Planos de Saúde comercializados pela Operadora Alfa</w:t>
      </w:r>
    </w:p>
    <w:tbl>
      <w:tblPr>
        <w:tblW w:w="9214" w:type="dxa"/>
        <w:tblInd w:w="13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93"/>
        <w:gridCol w:w="7021"/>
      </w:tblGrid>
      <w:tr w:rsidR="001C2B08" w:rsidRPr="008174EF" w14:paraId="7AF06F8D" w14:textId="77777777" w:rsidTr="0045438C">
        <w:trPr>
          <w:trHeight w:val="228"/>
        </w:trPr>
        <w:tc>
          <w:tcPr>
            <w:tcW w:w="2193" w:type="dxa"/>
          </w:tcPr>
          <w:p w14:paraId="18D2A79E" w14:textId="77777777" w:rsidR="001C2B08" w:rsidRPr="008174EF" w:rsidRDefault="001C2B08" w:rsidP="00410480">
            <w:pPr>
              <w:ind w:firstLine="0"/>
              <w:jc w:val="center"/>
              <w:rPr>
                <w:b/>
                <w:sz w:val="20"/>
              </w:rPr>
            </w:pPr>
            <w:r w:rsidRPr="008174EF">
              <w:rPr>
                <w:b/>
                <w:sz w:val="20"/>
              </w:rPr>
              <w:t>Tipos de Planos</w:t>
            </w:r>
          </w:p>
        </w:tc>
        <w:tc>
          <w:tcPr>
            <w:tcW w:w="7021" w:type="dxa"/>
          </w:tcPr>
          <w:p w14:paraId="64751696" w14:textId="77777777" w:rsidR="001C2B08" w:rsidRPr="008174EF" w:rsidRDefault="001C2B08" w:rsidP="001C2B08">
            <w:pPr>
              <w:jc w:val="center"/>
              <w:rPr>
                <w:b/>
                <w:sz w:val="20"/>
              </w:rPr>
            </w:pPr>
            <w:r w:rsidRPr="008174EF">
              <w:rPr>
                <w:b/>
                <w:sz w:val="20"/>
              </w:rPr>
              <w:t>Segmentação Assistencial</w:t>
            </w:r>
          </w:p>
        </w:tc>
      </w:tr>
      <w:tr w:rsidR="001C2B08" w:rsidRPr="008174EF" w14:paraId="551F9C04" w14:textId="77777777" w:rsidTr="0045438C">
        <w:trPr>
          <w:trHeight w:val="1632"/>
        </w:trPr>
        <w:tc>
          <w:tcPr>
            <w:tcW w:w="2193" w:type="dxa"/>
            <w:vAlign w:val="center"/>
          </w:tcPr>
          <w:p w14:paraId="74F4661C" w14:textId="77777777" w:rsidR="001C2B08" w:rsidRPr="008174EF" w:rsidRDefault="001C2B08" w:rsidP="00410480">
            <w:pPr>
              <w:ind w:firstLine="0"/>
              <w:rPr>
                <w:sz w:val="20"/>
              </w:rPr>
            </w:pPr>
            <w:r w:rsidRPr="008174EF">
              <w:rPr>
                <w:sz w:val="20"/>
              </w:rPr>
              <w:t>Individual</w:t>
            </w:r>
          </w:p>
        </w:tc>
        <w:tc>
          <w:tcPr>
            <w:tcW w:w="7021" w:type="dxa"/>
          </w:tcPr>
          <w:p w14:paraId="5EFE43F8"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Ambulatorial</w:t>
            </w:r>
          </w:p>
          <w:p w14:paraId="5B826E6A"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Ambulatorial + Hospitalar com Obstetrícia</w:t>
            </w:r>
          </w:p>
          <w:p w14:paraId="35D2B2DF"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Ambulatorial + Hospitalar sem Obstetrícia</w:t>
            </w:r>
          </w:p>
          <w:p w14:paraId="6F24F119"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Hospitalar com Obstetrícia</w:t>
            </w:r>
          </w:p>
          <w:p w14:paraId="77422EFC"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Hospitalar sem Obstetrícia</w:t>
            </w:r>
          </w:p>
          <w:p w14:paraId="411170C2" w14:textId="77777777" w:rsidR="001C2B08" w:rsidRPr="008174EF" w:rsidRDefault="001C2B08" w:rsidP="001C2B08">
            <w:pPr>
              <w:pStyle w:val="PargrafodaLista"/>
              <w:numPr>
                <w:ilvl w:val="0"/>
                <w:numId w:val="21"/>
              </w:numPr>
              <w:spacing w:after="0" w:line="240" w:lineRule="auto"/>
              <w:ind w:left="315" w:hanging="284"/>
              <w:jc w:val="both"/>
              <w:rPr>
                <w:rFonts w:ascii="Times New Roman" w:hAnsi="Times New Roman" w:cs="Times New Roman"/>
                <w:sz w:val="20"/>
                <w:szCs w:val="20"/>
              </w:rPr>
            </w:pPr>
            <w:r w:rsidRPr="008174EF">
              <w:rPr>
                <w:rFonts w:ascii="Times New Roman" w:hAnsi="Times New Roman" w:cs="Times New Roman"/>
                <w:sz w:val="20"/>
                <w:szCs w:val="20"/>
              </w:rPr>
              <w:t>Referência (Ambulatorial + Hospitalar com Obstetrícia e acomodação padrão de enfermaria)</w:t>
            </w:r>
          </w:p>
        </w:tc>
      </w:tr>
      <w:tr w:rsidR="001C2B08" w:rsidRPr="008174EF" w14:paraId="6885D42C" w14:textId="77777777" w:rsidTr="0045438C">
        <w:trPr>
          <w:trHeight w:val="837"/>
        </w:trPr>
        <w:tc>
          <w:tcPr>
            <w:tcW w:w="2193" w:type="dxa"/>
            <w:vAlign w:val="center"/>
          </w:tcPr>
          <w:p w14:paraId="38B1219E" w14:textId="77777777" w:rsidR="001C2B08" w:rsidRPr="008174EF" w:rsidRDefault="001C2B08" w:rsidP="00410480">
            <w:pPr>
              <w:ind w:firstLine="0"/>
              <w:rPr>
                <w:sz w:val="20"/>
              </w:rPr>
            </w:pPr>
            <w:r w:rsidRPr="008174EF">
              <w:rPr>
                <w:sz w:val="20"/>
              </w:rPr>
              <w:t xml:space="preserve">Coletivo Empresarial </w:t>
            </w:r>
          </w:p>
        </w:tc>
        <w:tc>
          <w:tcPr>
            <w:tcW w:w="7021" w:type="dxa"/>
            <w:vMerge w:val="restart"/>
          </w:tcPr>
          <w:p w14:paraId="7E636DE8"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Ambulatorial</w:t>
            </w:r>
          </w:p>
          <w:p w14:paraId="477C505F"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Ambulatorial + Hospitalar com Obstetrícia</w:t>
            </w:r>
          </w:p>
          <w:p w14:paraId="0724265B"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Ambulatorial + Hospitalar sem Obstetrícia</w:t>
            </w:r>
          </w:p>
          <w:p w14:paraId="10E01C5F"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Hospitalar com Obstetrícia</w:t>
            </w:r>
          </w:p>
          <w:p w14:paraId="00AD1B8B"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Hospitalar sem Obstetrícia</w:t>
            </w:r>
          </w:p>
          <w:p w14:paraId="0C064B5D" w14:textId="77777777" w:rsidR="001C2B08" w:rsidRPr="008174EF" w:rsidRDefault="001C2B08" w:rsidP="001C2B08">
            <w:pPr>
              <w:pStyle w:val="PargrafodaLista"/>
              <w:numPr>
                <w:ilvl w:val="0"/>
                <w:numId w:val="23"/>
              </w:numPr>
              <w:spacing w:after="0" w:line="240" w:lineRule="auto"/>
              <w:ind w:left="315" w:hanging="315"/>
              <w:jc w:val="both"/>
              <w:rPr>
                <w:rFonts w:ascii="Times New Roman" w:hAnsi="Times New Roman" w:cs="Times New Roman"/>
                <w:sz w:val="20"/>
                <w:szCs w:val="20"/>
              </w:rPr>
            </w:pPr>
            <w:r w:rsidRPr="008174EF">
              <w:rPr>
                <w:rFonts w:ascii="Times New Roman" w:hAnsi="Times New Roman" w:cs="Times New Roman"/>
                <w:sz w:val="20"/>
                <w:szCs w:val="20"/>
              </w:rPr>
              <w:t>Referência (Ambulatorial + Hospitalar com Obstetrícia e acomodação padrão de enfermaria)</w:t>
            </w:r>
          </w:p>
        </w:tc>
      </w:tr>
      <w:tr w:rsidR="001C2B08" w:rsidRPr="008174EF" w14:paraId="4DF42712" w14:textId="77777777" w:rsidTr="0045438C">
        <w:trPr>
          <w:trHeight w:val="429"/>
        </w:trPr>
        <w:tc>
          <w:tcPr>
            <w:tcW w:w="2193" w:type="dxa"/>
            <w:vAlign w:val="center"/>
          </w:tcPr>
          <w:p w14:paraId="712999D3" w14:textId="77777777" w:rsidR="001C2B08" w:rsidRPr="008174EF" w:rsidRDefault="001C2B08" w:rsidP="00410480">
            <w:pPr>
              <w:ind w:firstLine="0"/>
              <w:rPr>
                <w:sz w:val="20"/>
              </w:rPr>
            </w:pPr>
            <w:r w:rsidRPr="008174EF">
              <w:rPr>
                <w:sz w:val="20"/>
              </w:rPr>
              <w:t>Coletivo por Adesão</w:t>
            </w:r>
          </w:p>
        </w:tc>
        <w:tc>
          <w:tcPr>
            <w:tcW w:w="7021" w:type="dxa"/>
            <w:vMerge/>
          </w:tcPr>
          <w:p w14:paraId="63FF2325" w14:textId="77777777" w:rsidR="001C2B08" w:rsidRPr="008174EF" w:rsidRDefault="001C2B08" w:rsidP="001C2B08">
            <w:pPr>
              <w:rPr>
                <w:sz w:val="20"/>
              </w:rPr>
            </w:pPr>
          </w:p>
        </w:tc>
      </w:tr>
    </w:tbl>
    <w:p w14:paraId="2A8BB535" w14:textId="187E1F05" w:rsidR="001C2B08" w:rsidRPr="008174EF" w:rsidRDefault="002B6745" w:rsidP="002B6745">
      <w:pPr>
        <w:shd w:val="clear" w:color="auto" w:fill="FFFFFF"/>
        <w:ind w:firstLine="0"/>
        <w:rPr>
          <w:bCs/>
          <w:sz w:val="20"/>
        </w:rPr>
      </w:pPr>
      <w:r w:rsidRPr="008174EF">
        <w:rPr>
          <w:bCs/>
          <w:sz w:val="20"/>
        </w:rPr>
        <w:t xml:space="preserve">   </w:t>
      </w:r>
      <w:r w:rsidR="001C2B08" w:rsidRPr="008174EF">
        <w:rPr>
          <w:bCs/>
          <w:sz w:val="20"/>
        </w:rPr>
        <w:t>Fonte: Dados da pesquisa (2019).</w:t>
      </w:r>
    </w:p>
    <w:p w14:paraId="4CB379A9" w14:textId="77777777" w:rsidR="001C2B08" w:rsidRPr="008174EF" w:rsidRDefault="001C2B08" w:rsidP="001C2B08">
      <w:pPr>
        <w:shd w:val="clear" w:color="auto" w:fill="FFFFFF"/>
        <w:ind w:firstLine="708"/>
      </w:pPr>
    </w:p>
    <w:p w14:paraId="1C4F2635" w14:textId="2481C558" w:rsidR="001C2B08" w:rsidRPr="008174EF" w:rsidRDefault="001C2B08" w:rsidP="001C2B08">
      <w:pPr>
        <w:shd w:val="clear" w:color="auto" w:fill="FFFFFF"/>
        <w:ind w:firstLine="708"/>
      </w:pPr>
      <w:r w:rsidRPr="008174EF">
        <w:t xml:space="preserve">No final de 2018, a Operadora Alfa contemplou aproximadamente 12 mil beneficiários, </w:t>
      </w:r>
      <w:r w:rsidRPr="008174EF">
        <w:lastRenderedPageBreak/>
        <w:t xml:space="preserve">sendo que em média 3.600 são pessoas físicas, de modo direto (Plano Individual), 7.200 beneficiários vinculados às pessoas jurídicas de natureza empresarial (Coletivo Empresarial) e 1.200 </w:t>
      </w:r>
      <w:r w:rsidR="00521334" w:rsidRPr="008174EF">
        <w:t>beneficiários vinculados às</w:t>
      </w:r>
      <w:r w:rsidRPr="008174EF">
        <w:t xml:space="preserve"> </w:t>
      </w:r>
      <w:r w:rsidR="00521334" w:rsidRPr="008174EF">
        <w:t xml:space="preserve">associações e </w:t>
      </w:r>
      <w:r w:rsidRPr="008174EF">
        <w:t>sindicatos</w:t>
      </w:r>
      <w:r w:rsidR="00521334" w:rsidRPr="008174EF">
        <w:t xml:space="preserve"> de classe</w:t>
      </w:r>
      <w:r w:rsidRPr="008174EF">
        <w:t xml:space="preserve">, entre outras entidades (Plano coletivo por adesão).  </w:t>
      </w:r>
    </w:p>
    <w:p w14:paraId="2379829E" w14:textId="209A3FDC" w:rsidR="001C2B08" w:rsidRPr="008174EF" w:rsidRDefault="001C2B08" w:rsidP="001C2B08">
      <w:pPr>
        <w:shd w:val="clear" w:color="auto" w:fill="FFFFFF"/>
        <w:ind w:firstLine="708"/>
      </w:pPr>
      <w:r w:rsidRPr="008174EF">
        <w:t xml:space="preserve">Dentre os planos de saúde comercializados destaca-se o Plano Coletivo Empresarial com segmentação Ambulatorial + Hospitalar com Obstetrícia por ser um plano do tipo completo, uma vez que possui cobertura para todos os procedimentos e exames que estão na Lista </w:t>
      </w:r>
      <w:r w:rsidR="00521334" w:rsidRPr="008174EF">
        <w:t xml:space="preserve">de Procedimentos </w:t>
      </w:r>
      <w:r w:rsidRPr="008174EF">
        <w:t xml:space="preserve">da Agência Nacional de Saúde (ANS). Além disso, esse tipo de plano possui valor diferenciado, pois a tabela de preço para os planos empresariais possui valores mais baixos em relação aos planos individuais (pessoa física). </w:t>
      </w:r>
    </w:p>
    <w:p w14:paraId="0794A631" w14:textId="3ADE69A8" w:rsidR="001C2B08" w:rsidRPr="008174EF" w:rsidRDefault="001C2B08" w:rsidP="001C2B08">
      <w:pPr>
        <w:shd w:val="clear" w:color="auto" w:fill="FFFFFF"/>
        <w:ind w:firstLine="708"/>
      </w:pPr>
      <w:r w:rsidRPr="008174EF">
        <w:t>A Operadora Alfa conta com uma rede credenciada de mais de 300 prestadores de serviços, nas modalidades de clínicas e consultórios médicos, laboratórios de análises clínicas, clínicas de exames de imagem</w:t>
      </w:r>
      <w:r w:rsidR="00521334" w:rsidRPr="008174EF">
        <w:t xml:space="preserve"> e</w:t>
      </w:r>
      <w:r w:rsidRPr="008174EF">
        <w:t xml:space="preserve"> hospitais. A rede credenciada contempla diversas especialidades de serviços de saúde, tais como:  nutrição, psicologia, psiquiatria, cirurgia geral, endocrinologia, anestesia, clínica geral, cardiologia, reumatologia, dermatologia, entre outras. </w:t>
      </w:r>
    </w:p>
    <w:p w14:paraId="6CB86184" w14:textId="77777777" w:rsidR="001C2B08" w:rsidRPr="008174EF" w:rsidRDefault="001C2B08" w:rsidP="001C2B08">
      <w:pPr>
        <w:shd w:val="clear" w:color="auto" w:fill="FFFFFF"/>
        <w:ind w:firstLine="708"/>
      </w:pPr>
      <w:r w:rsidRPr="008174EF">
        <w:t xml:space="preserve">O atendimento do beneficiário é realizado mediante autorização via sistema de gestão para os serviços de consultas, exames e terapias. Os serviços de baixa complexidade (consultas médicas, exames laboratoriais, RX, Ultrassom) são liberados no momento em que o beneficiário faz o uso do serviço. Para os serviços de alta complexidade (cirurgias cardíacas, quimioterapia, radioterapia), a operadora requer até 21 dias úteis para autorizar ou não a solicitação do beneficiário. </w:t>
      </w:r>
    </w:p>
    <w:p w14:paraId="7881FC3C" w14:textId="77777777" w:rsidR="001C2B08" w:rsidRPr="008174EF" w:rsidRDefault="001C2B08" w:rsidP="001C2B08">
      <w:pPr>
        <w:shd w:val="clear" w:color="auto" w:fill="FFFFFF"/>
        <w:ind w:firstLine="708"/>
      </w:pPr>
      <w:r w:rsidRPr="008174EF">
        <w:t xml:space="preserve">Cabe observar que as autorizações dos procedimentos são realizadas de acordo com a Lista de Procedimentos da Agência Nacional de Saúde (ANS). </w:t>
      </w:r>
      <w:r w:rsidRPr="008174EF">
        <w:rPr>
          <w:b/>
        </w:rPr>
        <w:t xml:space="preserve"> </w:t>
      </w:r>
      <w:r w:rsidRPr="008174EF">
        <w:t>Quando o plano de saúde do beneficiário não possui cobertura ao procedimento solicitado é realizado acordo com o beneficiário para cobrança com base no valor do serviço estipulado pelo prestador, sem nenhum acréscimo.</w:t>
      </w:r>
    </w:p>
    <w:p w14:paraId="2DB69098" w14:textId="016C3853" w:rsidR="001C2B08" w:rsidRPr="008174EF" w:rsidRDefault="001C2B08" w:rsidP="005D6CE9">
      <w:pPr>
        <w:shd w:val="clear" w:color="auto" w:fill="FFFFFF"/>
        <w:spacing w:after="120"/>
      </w:pPr>
      <w:r w:rsidRPr="008174EF">
        <w:t xml:space="preserve">A política de reajustes dos contratos com beneficiários é feita com base nas normas da Agência Nacional de Saúde (ANS), sendo que para as pessoas físicas o percentual de reajuste é definido pela própria agência. Para as empresas com mais de 30 beneficiários ativos, o reajuste é calculado de acordo com a sinistralidade ocorrida, por meio da análise de receitas e despesas dos últimos 12 meses, </w:t>
      </w:r>
      <w:r w:rsidR="00521334" w:rsidRPr="008174EF">
        <w:t>d</w:t>
      </w:r>
      <w:r w:rsidRPr="008174EF">
        <w:t xml:space="preserve">o Índice Geral de Preços de Mercado (IGP-M) acumulado ou </w:t>
      </w:r>
      <w:r w:rsidR="00521334" w:rsidRPr="008174EF">
        <w:t>d</w:t>
      </w:r>
      <w:r w:rsidRPr="008174EF">
        <w:t xml:space="preserve">a negociação direta com os beneficiários. </w:t>
      </w:r>
    </w:p>
    <w:p w14:paraId="5C402D1F" w14:textId="083E934B" w:rsidR="001C2B08" w:rsidRPr="008174EF" w:rsidRDefault="001C2B08" w:rsidP="005D6CE9">
      <w:pPr>
        <w:shd w:val="clear" w:color="auto" w:fill="FFFFFF"/>
        <w:spacing w:after="120"/>
        <w:ind w:firstLine="0"/>
        <w:rPr>
          <w:b/>
        </w:rPr>
      </w:pPr>
      <w:r w:rsidRPr="008174EF">
        <w:rPr>
          <w:b/>
        </w:rPr>
        <w:t xml:space="preserve">4 </w:t>
      </w:r>
      <w:r w:rsidR="00E47099" w:rsidRPr="008174EF">
        <w:rPr>
          <w:b/>
        </w:rPr>
        <w:t xml:space="preserve">Apresentação </w:t>
      </w:r>
      <w:r w:rsidR="00E47099">
        <w:rPr>
          <w:b/>
        </w:rPr>
        <w:t>e</w:t>
      </w:r>
      <w:r w:rsidR="00E47099" w:rsidRPr="008174EF">
        <w:rPr>
          <w:b/>
        </w:rPr>
        <w:t xml:space="preserve"> Análise </w:t>
      </w:r>
      <w:r w:rsidR="00E47099">
        <w:rPr>
          <w:b/>
        </w:rPr>
        <w:t>d</w:t>
      </w:r>
      <w:r w:rsidR="00E47099" w:rsidRPr="008174EF">
        <w:rPr>
          <w:b/>
        </w:rPr>
        <w:t>os Resultados</w:t>
      </w:r>
    </w:p>
    <w:p w14:paraId="5DFA6B3E" w14:textId="71BA7B4B" w:rsidR="00980F16" w:rsidRDefault="00980F16" w:rsidP="005D6CE9">
      <w:pPr>
        <w:shd w:val="clear" w:color="auto" w:fill="FFFFFF"/>
        <w:rPr>
          <w:rFonts w:eastAsia="Calibri"/>
          <w:szCs w:val="22"/>
          <w:lang w:eastAsia="en-US"/>
        </w:rPr>
      </w:pPr>
      <w:r w:rsidRPr="008174EF">
        <w:rPr>
          <w:rFonts w:eastAsia="Calibri"/>
          <w:szCs w:val="22"/>
          <w:lang w:eastAsia="en-US"/>
        </w:rPr>
        <w:t xml:space="preserve">A Tabela </w:t>
      </w:r>
      <w:r w:rsidR="006B23F8">
        <w:rPr>
          <w:rFonts w:eastAsia="Calibri"/>
          <w:szCs w:val="22"/>
          <w:lang w:eastAsia="en-US"/>
        </w:rPr>
        <w:t>2</w:t>
      </w:r>
      <w:r w:rsidRPr="008174EF">
        <w:rPr>
          <w:rFonts w:eastAsia="Calibri"/>
          <w:szCs w:val="22"/>
          <w:lang w:eastAsia="en-US"/>
        </w:rPr>
        <w:t xml:space="preserve"> mostra que o grupo de contas com maior representatividade média</w:t>
      </w:r>
      <w:r w:rsidR="009C7342" w:rsidRPr="008174EF">
        <w:rPr>
          <w:rFonts w:eastAsia="Calibri"/>
          <w:szCs w:val="22"/>
          <w:lang w:eastAsia="en-US"/>
        </w:rPr>
        <w:t>, no quadriênio,</w:t>
      </w:r>
      <w:r w:rsidRPr="008174EF">
        <w:rPr>
          <w:rFonts w:eastAsia="Calibri"/>
          <w:szCs w:val="22"/>
          <w:lang w:eastAsia="en-US"/>
        </w:rPr>
        <w:t xml:space="preserve"> foi o Ativo Circulante (93,84%) com crescimento de 70,60% no período. </w:t>
      </w:r>
    </w:p>
    <w:p w14:paraId="1A18E063" w14:textId="77777777" w:rsidR="005D6CE9" w:rsidRDefault="005D6CE9" w:rsidP="005D6CE9">
      <w:pPr>
        <w:shd w:val="clear" w:color="auto" w:fill="FFFFFF"/>
        <w:rPr>
          <w:rFonts w:eastAsia="Calibri"/>
          <w:szCs w:val="22"/>
          <w:lang w:eastAsia="en-US"/>
        </w:rPr>
      </w:pPr>
    </w:p>
    <w:p w14:paraId="400E7F6D" w14:textId="33D476D2" w:rsidR="00980F16" w:rsidRPr="008174EF" w:rsidRDefault="0045438C" w:rsidP="00980F16">
      <w:pPr>
        <w:widowControl/>
        <w:suppressLineNumbers w:val="0"/>
        <w:suppressAutoHyphens w:val="0"/>
        <w:spacing w:line="259" w:lineRule="auto"/>
        <w:ind w:firstLine="0"/>
        <w:rPr>
          <w:bCs/>
          <w:sz w:val="18"/>
          <w:szCs w:val="18"/>
        </w:rPr>
      </w:pPr>
      <w:r>
        <w:rPr>
          <w:rFonts w:eastAsia="Calibri"/>
          <w:b/>
          <w:szCs w:val="22"/>
          <w:lang w:eastAsia="en-US"/>
        </w:rPr>
        <w:t xml:space="preserve"> </w:t>
      </w:r>
      <w:r w:rsidR="00980F16" w:rsidRPr="008174EF">
        <w:rPr>
          <w:rFonts w:eastAsia="Calibri"/>
          <w:b/>
          <w:szCs w:val="22"/>
          <w:lang w:eastAsia="en-US"/>
        </w:rPr>
        <w:t xml:space="preserve">Tabela </w:t>
      </w:r>
      <w:r w:rsidR="00102445" w:rsidRPr="008174EF">
        <w:rPr>
          <w:rFonts w:eastAsia="Calibri"/>
          <w:b/>
          <w:szCs w:val="22"/>
          <w:lang w:eastAsia="en-US"/>
        </w:rPr>
        <w:t>2</w:t>
      </w:r>
      <w:r w:rsidR="00980F16" w:rsidRPr="008174EF">
        <w:rPr>
          <w:rFonts w:eastAsia="Calibri"/>
          <w:b/>
          <w:szCs w:val="22"/>
          <w:lang w:eastAsia="en-US"/>
        </w:rPr>
        <w:t xml:space="preserve"> – Ativo Patrimonial da Operadora </w:t>
      </w:r>
      <w:r w:rsidR="00980F16" w:rsidRPr="008174EF">
        <w:rPr>
          <w:rFonts w:eastAsia="Calibri"/>
          <w:szCs w:val="22"/>
          <w:lang w:eastAsia="en-US"/>
        </w:rPr>
        <w:t>(</w:t>
      </w:r>
      <w:r w:rsidR="00980F16" w:rsidRPr="008174EF">
        <w:rPr>
          <w:bCs/>
          <w:szCs w:val="18"/>
        </w:rPr>
        <w:t>em milhares de reais)</w:t>
      </w:r>
    </w:p>
    <w:tbl>
      <w:tblPr>
        <w:tblW w:w="4944" w:type="pct"/>
        <w:jc w:val="center"/>
        <w:tblCellMar>
          <w:left w:w="70" w:type="dxa"/>
          <w:right w:w="70" w:type="dxa"/>
        </w:tblCellMar>
        <w:tblLook w:val="04A0" w:firstRow="1" w:lastRow="0" w:firstColumn="1" w:lastColumn="0" w:noHBand="0" w:noVBand="1"/>
      </w:tblPr>
      <w:tblGrid>
        <w:gridCol w:w="4496"/>
        <w:gridCol w:w="654"/>
        <w:gridCol w:w="175"/>
        <w:gridCol w:w="482"/>
        <w:gridCol w:w="173"/>
        <w:gridCol w:w="482"/>
        <w:gridCol w:w="173"/>
        <w:gridCol w:w="480"/>
        <w:gridCol w:w="179"/>
        <w:gridCol w:w="897"/>
        <w:gridCol w:w="95"/>
        <w:gridCol w:w="1014"/>
      </w:tblGrid>
      <w:tr w:rsidR="008174EF" w:rsidRPr="008174EF" w14:paraId="5E84858E" w14:textId="77777777" w:rsidTr="0045438C">
        <w:trPr>
          <w:trHeight w:val="267"/>
          <w:jc w:val="center"/>
        </w:trPr>
        <w:tc>
          <w:tcPr>
            <w:tcW w:w="2418" w:type="pct"/>
            <w:tcBorders>
              <w:top w:val="single" w:sz="4" w:space="0" w:color="auto"/>
              <w:left w:val="nil"/>
              <w:bottom w:val="single" w:sz="4" w:space="0" w:color="auto"/>
              <w:right w:val="nil"/>
            </w:tcBorders>
            <w:shd w:val="clear" w:color="auto" w:fill="auto"/>
            <w:noWrap/>
            <w:vAlign w:val="center"/>
            <w:hideMark/>
          </w:tcPr>
          <w:p w14:paraId="073B43C1" w14:textId="77777777" w:rsidR="00980F16" w:rsidRPr="008174EF" w:rsidRDefault="00980F16" w:rsidP="00980F16">
            <w:pPr>
              <w:widowControl/>
              <w:suppressLineNumbers w:val="0"/>
              <w:suppressAutoHyphens w:val="0"/>
              <w:ind w:firstLine="0"/>
              <w:jc w:val="left"/>
              <w:rPr>
                <w:b/>
                <w:bCs/>
                <w:sz w:val="18"/>
                <w:szCs w:val="18"/>
              </w:rPr>
            </w:pPr>
            <w:r w:rsidRPr="008174EF">
              <w:rPr>
                <w:b/>
                <w:bCs/>
                <w:sz w:val="18"/>
                <w:szCs w:val="18"/>
              </w:rPr>
              <w:t>Ativo</w:t>
            </w:r>
          </w:p>
        </w:tc>
        <w:tc>
          <w:tcPr>
            <w:tcW w:w="352" w:type="pct"/>
            <w:tcBorders>
              <w:top w:val="single" w:sz="4" w:space="0" w:color="auto"/>
              <w:left w:val="nil"/>
              <w:bottom w:val="single" w:sz="4" w:space="0" w:color="auto"/>
              <w:right w:val="nil"/>
            </w:tcBorders>
            <w:shd w:val="clear" w:color="auto" w:fill="auto"/>
            <w:noWrap/>
            <w:vAlign w:val="center"/>
            <w:hideMark/>
          </w:tcPr>
          <w:p w14:paraId="07A2FDB6" w14:textId="77777777" w:rsidR="00980F16" w:rsidRPr="008174EF" w:rsidRDefault="00980F16" w:rsidP="00980F16">
            <w:pPr>
              <w:widowControl/>
              <w:suppressLineNumbers w:val="0"/>
              <w:suppressAutoHyphens w:val="0"/>
              <w:ind w:firstLine="0"/>
              <w:jc w:val="center"/>
              <w:rPr>
                <w:b/>
                <w:bCs/>
                <w:sz w:val="18"/>
                <w:szCs w:val="18"/>
              </w:rPr>
            </w:pPr>
            <w:r w:rsidRPr="008174EF">
              <w:rPr>
                <w:b/>
                <w:bCs/>
                <w:sz w:val="18"/>
                <w:szCs w:val="18"/>
              </w:rPr>
              <w:t>2015</w:t>
            </w:r>
          </w:p>
        </w:tc>
        <w:tc>
          <w:tcPr>
            <w:tcW w:w="353" w:type="pct"/>
            <w:gridSpan w:val="2"/>
            <w:tcBorders>
              <w:top w:val="single" w:sz="4" w:space="0" w:color="auto"/>
              <w:left w:val="nil"/>
              <w:bottom w:val="single" w:sz="4" w:space="0" w:color="auto"/>
              <w:right w:val="nil"/>
            </w:tcBorders>
            <w:shd w:val="clear" w:color="auto" w:fill="auto"/>
            <w:noWrap/>
            <w:vAlign w:val="center"/>
            <w:hideMark/>
          </w:tcPr>
          <w:p w14:paraId="12EBE43F" w14:textId="77777777" w:rsidR="00980F16" w:rsidRPr="008174EF" w:rsidRDefault="00980F16" w:rsidP="00980F16">
            <w:pPr>
              <w:widowControl/>
              <w:suppressLineNumbers w:val="0"/>
              <w:suppressAutoHyphens w:val="0"/>
              <w:ind w:firstLine="0"/>
              <w:jc w:val="center"/>
              <w:rPr>
                <w:b/>
                <w:bCs/>
                <w:sz w:val="18"/>
                <w:szCs w:val="18"/>
              </w:rPr>
            </w:pPr>
            <w:r w:rsidRPr="008174EF">
              <w:rPr>
                <w:b/>
                <w:bCs/>
                <w:sz w:val="18"/>
                <w:szCs w:val="18"/>
              </w:rPr>
              <w:t>2016</w:t>
            </w:r>
          </w:p>
        </w:tc>
        <w:tc>
          <w:tcPr>
            <w:tcW w:w="352" w:type="pct"/>
            <w:gridSpan w:val="2"/>
            <w:tcBorders>
              <w:top w:val="single" w:sz="4" w:space="0" w:color="auto"/>
              <w:left w:val="nil"/>
              <w:bottom w:val="single" w:sz="4" w:space="0" w:color="auto"/>
              <w:right w:val="nil"/>
            </w:tcBorders>
            <w:shd w:val="clear" w:color="auto" w:fill="auto"/>
            <w:noWrap/>
            <w:vAlign w:val="center"/>
            <w:hideMark/>
          </w:tcPr>
          <w:p w14:paraId="7E9FF00B" w14:textId="77777777" w:rsidR="00980F16" w:rsidRPr="008174EF" w:rsidRDefault="00980F16" w:rsidP="00980F16">
            <w:pPr>
              <w:widowControl/>
              <w:suppressLineNumbers w:val="0"/>
              <w:suppressAutoHyphens w:val="0"/>
              <w:ind w:firstLine="0"/>
              <w:jc w:val="center"/>
              <w:rPr>
                <w:b/>
                <w:bCs/>
                <w:sz w:val="18"/>
                <w:szCs w:val="18"/>
              </w:rPr>
            </w:pPr>
            <w:r w:rsidRPr="008174EF">
              <w:rPr>
                <w:b/>
                <w:bCs/>
                <w:sz w:val="18"/>
                <w:szCs w:val="18"/>
              </w:rPr>
              <w:t>2017</w:t>
            </w:r>
          </w:p>
        </w:tc>
        <w:tc>
          <w:tcPr>
            <w:tcW w:w="351" w:type="pct"/>
            <w:gridSpan w:val="2"/>
            <w:tcBorders>
              <w:top w:val="single" w:sz="4" w:space="0" w:color="auto"/>
              <w:left w:val="nil"/>
              <w:bottom w:val="single" w:sz="4" w:space="0" w:color="auto"/>
              <w:right w:val="nil"/>
            </w:tcBorders>
            <w:shd w:val="clear" w:color="auto" w:fill="auto"/>
            <w:noWrap/>
            <w:vAlign w:val="center"/>
            <w:hideMark/>
          </w:tcPr>
          <w:p w14:paraId="58C8C7D0" w14:textId="77777777" w:rsidR="00980F16" w:rsidRPr="008174EF" w:rsidRDefault="00980F16" w:rsidP="00980F16">
            <w:pPr>
              <w:widowControl/>
              <w:suppressLineNumbers w:val="0"/>
              <w:suppressAutoHyphens w:val="0"/>
              <w:ind w:firstLine="0"/>
              <w:jc w:val="center"/>
              <w:rPr>
                <w:b/>
                <w:bCs/>
                <w:sz w:val="18"/>
                <w:szCs w:val="18"/>
              </w:rPr>
            </w:pPr>
            <w:r w:rsidRPr="008174EF">
              <w:rPr>
                <w:b/>
                <w:bCs/>
                <w:sz w:val="18"/>
                <w:szCs w:val="18"/>
              </w:rPr>
              <w:t>2018</w:t>
            </w:r>
          </w:p>
        </w:tc>
        <w:tc>
          <w:tcPr>
            <w:tcW w:w="578" w:type="pct"/>
            <w:gridSpan w:val="2"/>
            <w:tcBorders>
              <w:top w:val="single" w:sz="4" w:space="0" w:color="auto"/>
              <w:left w:val="nil"/>
              <w:bottom w:val="single" w:sz="4" w:space="0" w:color="auto"/>
              <w:right w:val="nil"/>
            </w:tcBorders>
            <w:shd w:val="clear" w:color="auto" w:fill="auto"/>
            <w:noWrap/>
            <w:vAlign w:val="center"/>
            <w:hideMark/>
          </w:tcPr>
          <w:p w14:paraId="29A64D1B" w14:textId="0F4DE431" w:rsidR="00980F16" w:rsidRPr="008174EF" w:rsidRDefault="00980F16" w:rsidP="00592DFF">
            <w:pPr>
              <w:widowControl/>
              <w:suppressLineNumbers w:val="0"/>
              <w:suppressAutoHyphens w:val="0"/>
              <w:ind w:firstLine="0"/>
              <w:jc w:val="center"/>
              <w:rPr>
                <w:b/>
                <w:bCs/>
                <w:sz w:val="18"/>
                <w:szCs w:val="18"/>
              </w:rPr>
            </w:pPr>
            <w:r w:rsidRPr="008174EF">
              <w:rPr>
                <w:b/>
                <w:bCs/>
                <w:sz w:val="18"/>
                <w:szCs w:val="18"/>
              </w:rPr>
              <w:t>A.V.</w:t>
            </w:r>
          </w:p>
        </w:tc>
        <w:tc>
          <w:tcPr>
            <w:tcW w:w="595" w:type="pct"/>
            <w:gridSpan w:val="2"/>
            <w:tcBorders>
              <w:top w:val="single" w:sz="4" w:space="0" w:color="auto"/>
              <w:left w:val="nil"/>
              <w:bottom w:val="single" w:sz="4" w:space="0" w:color="auto"/>
              <w:right w:val="nil"/>
            </w:tcBorders>
            <w:shd w:val="clear" w:color="auto" w:fill="auto"/>
            <w:noWrap/>
            <w:vAlign w:val="center"/>
            <w:hideMark/>
          </w:tcPr>
          <w:p w14:paraId="6BE8D6C7" w14:textId="0DB6CA5F" w:rsidR="00980F16" w:rsidRPr="008174EF" w:rsidRDefault="00980F16" w:rsidP="00592DFF">
            <w:pPr>
              <w:widowControl/>
              <w:suppressLineNumbers w:val="0"/>
              <w:suppressAutoHyphens w:val="0"/>
              <w:ind w:firstLine="0"/>
              <w:jc w:val="center"/>
              <w:rPr>
                <w:b/>
                <w:bCs/>
                <w:sz w:val="18"/>
                <w:szCs w:val="18"/>
              </w:rPr>
            </w:pPr>
            <w:r w:rsidRPr="008174EF">
              <w:rPr>
                <w:b/>
                <w:bCs/>
                <w:sz w:val="18"/>
                <w:szCs w:val="18"/>
              </w:rPr>
              <w:t>A.H.</w:t>
            </w:r>
          </w:p>
        </w:tc>
      </w:tr>
      <w:tr w:rsidR="008174EF" w:rsidRPr="008174EF" w14:paraId="3C906AD0"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1D047CC4" w14:textId="77777777" w:rsidR="00980F16" w:rsidRPr="008174EF" w:rsidRDefault="00980F16" w:rsidP="00980F16">
            <w:pPr>
              <w:widowControl/>
              <w:suppressLineNumbers w:val="0"/>
              <w:suppressAutoHyphens w:val="0"/>
              <w:ind w:firstLine="0"/>
              <w:jc w:val="left"/>
              <w:rPr>
                <w:b/>
                <w:bCs/>
                <w:sz w:val="18"/>
                <w:szCs w:val="18"/>
              </w:rPr>
            </w:pPr>
            <w:r w:rsidRPr="008174EF">
              <w:rPr>
                <w:b/>
                <w:bCs/>
                <w:sz w:val="18"/>
                <w:szCs w:val="18"/>
              </w:rPr>
              <w:t>Ativo Circulante</w:t>
            </w:r>
          </w:p>
        </w:tc>
        <w:tc>
          <w:tcPr>
            <w:tcW w:w="446" w:type="pct"/>
            <w:gridSpan w:val="2"/>
            <w:tcBorders>
              <w:top w:val="nil"/>
              <w:left w:val="nil"/>
              <w:bottom w:val="nil"/>
              <w:right w:val="nil"/>
            </w:tcBorders>
            <w:shd w:val="clear" w:color="auto" w:fill="auto"/>
            <w:noWrap/>
            <w:vAlign w:val="center"/>
            <w:hideMark/>
          </w:tcPr>
          <w:p w14:paraId="50333F6C"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2.769</w:t>
            </w:r>
          </w:p>
        </w:tc>
        <w:tc>
          <w:tcPr>
            <w:tcW w:w="352" w:type="pct"/>
            <w:gridSpan w:val="2"/>
            <w:tcBorders>
              <w:top w:val="nil"/>
              <w:left w:val="nil"/>
              <w:bottom w:val="nil"/>
              <w:right w:val="nil"/>
            </w:tcBorders>
            <w:shd w:val="clear" w:color="auto" w:fill="auto"/>
            <w:noWrap/>
            <w:vAlign w:val="center"/>
            <w:hideMark/>
          </w:tcPr>
          <w:p w14:paraId="5914F25E"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3.525</w:t>
            </w:r>
          </w:p>
        </w:tc>
        <w:tc>
          <w:tcPr>
            <w:tcW w:w="352" w:type="pct"/>
            <w:gridSpan w:val="2"/>
            <w:tcBorders>
              <w:top w:val="nil"/>
              <w:left w:val="nil"/>
              <w:bottom w:val="nil"/>
              <w:right w:val="nil"/>
            </w:tcBorders>
            <w:shd w:val="clear" w:color="auto" w:fill="auto"/>
            <w:noWrap/>
            <w:vAlign w:val="center"/>
            <w:hideMark/>
          </w:tcPr>
          <w:p w14:paraId="13A2DBB7"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3.031</w:t>
            </w:r>
          </w:p>
        </w:tc>
        <w:tc>
          <w:tcPr>
            <w:tcW w:w="354" w:type="pct"/>
            <w:gridSpan w:val="2"/>
            <w:tcBorders>
              <w:top w:val="nil"/>
              <w:left w:val="nil"/>
              <w:bottom w:val="nil"/>
              <w:right w:val="nil"/>
            </w:tcBorders>
            <w:shd w:val="clear" w:color="auto" w:fill="auto"/>
            <w:noWrap/>
            <w:vAlign w:val="center"/>
            <w:hideMark/>
          </w:tcPr>
          <w:p w14:paraId="69D3AD9B"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4.724</w:t>
            </w:r>
          </w:p>
        </w:tc>
        <w:tc>
          <w:tcPr>
            <w:tcW w:w="533" w:type="pct"/>
            <w:gridSpan w:val="2"/>
            <w:tcBorders>
              <w:top w:val="nil"/>
              <w:left w:val="nil"/>
              <w:bottom w:val="nil"/>
              <w:right w:val="nil"/>
            </w:tcBorders>
            <w:shd w:val="clear" w:color="auto" w:fill="auto"/>
            <w:noWrap/>
            <w:vAlign w:val="center"/>
            <w:hideMark/>
          </w:tcPr>
          <w:p w14:paraId="78B80100"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93,84%</w:t>
            </w:r>
          </w:p>
        </w:tc>
        <w:tc>
          <w:tcPr>
            <w:tcW w:w="545" w:type="pct"/>
            <w:tcBorders>
              <w:top w:val="nil"/>
              <w:left w:val="nil"/>
              <w:bottom w:val="nil"/>
              <w:right w:val="nil"/>
            </w:tcBorders>
            <w:shd w:val="clear" w:color="auto" w:fill="auto"/>
            <w:noWrap/>
            <w:vAlign w:val="center"/>
            <w:hideMark/>
          </w:tcPr>
          <w:p w14:paraId="460B5A35"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70,60%</w:t>
            </w:r>
          </w:p>
        </w:tc>
      </w:tr>
      <w:tr w:rsidR="008174EF" w:rsidRPr="008174EF" w14:paraId="1E8EFA0E"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0B5E72F3" w14:textId="77777777" w:rsidR="00980F16" w:rsidRPr="008174EF" w:rsidRDefault="00980F16" w:rsidP="00980F16">
            <w:pPr>
              <w:widowControl/>
              <w:suppressLineNumbers w:val="0"/>
              <w:suppressAutoHyphens w:val="0"/>
              <w:ind w:firstLine="0"/>
              <w:jc w:val="left"/>
              <w:rPr>
                <w:sz w:val="18"/>
                <w:szCs w:val="18"/>
              </w:rPr>
            </w:pPr>
            <w:r w:rsidRPr="008174EF">
              <w:rPr>
                <w:sz w:val="18"/>
                <w:szCs w:val="18"/>
              </w:rPr>
              <w:t>Caixa e Bancos</w:t>
            </w:r>
          </w:p>
        </w:tc>
        <w:tc>
          <w:tcPr>
            <w:tcW w:w="352" w:type="pct"/>
            <w:tcBorders>
              <w:top w:val="nil"/>
              <w:left w:val="nil"/>
              <w:bottom w:val="nil"/>
              <w:right w:val="nil"/>
            </w:tcBorders>
            <w:shd w:val="clear" w:color="auto" w:fill="auto"/>
            <w:noWrap/>
            <w:vAlign w:val="center"/>
            <w:hideMark/>
          </w:tcPr>
          <w:p w14:paraId="416C8F6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132</w:t>
            </w:r>
          </w:p>
        </w:tc>
        <w:tc>
          <w:tcPr>
            <w:tcW w:w="353" w:type="pct"/>
            <w:gridSpan w:val="2"/>
            <w:tcBorders>
              <w:top w:val="nil"/>
              <w:left w:val="nil"/>
              <w:bottom w:val="nil"/>
              <w:right w:val="nil"/>
            </w:tcBorders>
            <w:shd w:val="clear" w:color="auto" w:fill="auto"/>
            <w:noWrap/>
            <w:vAlign w:val="center"/>
            <w:hideMark/>
          </w:tcPr>
          <w:p w14:paraId="7CC5FB97"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19</w:t>
            </w:r>
          </w:p>
        </w:tc>
        <w:tc>
          <w:tcPr>
            <w:tcW w:w="352" w:type="pct"/>
            <w:gridSpan w:val="2"/>
            <w:tcBorders>
              <w:top w:val="nil"/>
              <w:left w:val="nil"/>
              <w:bottom w:val="nil"/>
              <w:right w:val="nil"/>
            </w:tcBorders>
            <w:shd w:val="clear" w:color="auto" w:fill="auto"/>
            <w:noWrap/>
            <w:vAlign w:val="center"/>
            <w:hideMark/>
          </w:tcPr>
          <w:p w14:paraId="5251D141"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11</w:t>
            </w:r>
          </w:p>
        </w:tc>
        <w:tc>
          <w:tcPr>
            <w:tcW w:w="351" w:type="pct"/>
            <w:gridSpan w:val="2"/>
            <w:tcBorders>
              <w:top w:val="nil"/>
              <w:left w:val="nil"/>
              <w:bottom w:val="nil"/>
              <w:right w:val="nil"/>
            </w:tcBorders>
            <w:shd w:val="clear" w:color="auto" w:fill="auto"/>
            <w:noWrap/>
            <w:vAlign w:val="center"/>
            <w:hideMark/>
          </w:tcPr>
          <w:p w14:paraId="27D59F21"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12</w:t>
            </w:r>
          </w:p>
        </w:tc>
        <w:tc>
          <w:tcPr>
            <w:tcW w:w="578" w:type="pct"/>
            <w:gridSpan w:val="2"/>
            <w:tcBorders>
              <w:top w:val="nil"/>
              <w:left w:val="nil"/>
              <w:bottom w:val="nil"/>
              <w:right w:val="nil"/>
            </w:tcBorders>
            <w:shd w:val="clear" w:color="auto" w:fill="auto"/>
            <w:noWrap/>
            <w:vAlign w:val="center"/>
            <w:hideMark/>
          </w:tcPr>
          <w:p w14:paraId="494679C6"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1,16%</w:t>
            </w:r>
          </w:p>
        </w:tc>
        <w:tc>
          <w:tcPr>
            <w:tcW w:w="595" w:type="pct"/>
            <w:gridSpan w:val="2"/>
            <w:tcBorders>
              <w:top w:val="nil"/>
              <w:left w:val="nil"/>
              <w:bottom w:val="nil"/>
              <w:right w:val="nil"/>
            </w:tcBorders>
            <w:shd w:val="clear" w:color="auto" w:fill="auto"/>
            <w:noWrap/>
            <w:vAlign w:val="center"/>
            <w:hideMark/>
          </w:tcPr>
          <w:p w14:paraId="2FBA7108"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-90,95%</w:t>
            </w:r>
          </w:p>
        </w:tc>
      </w:tr>
      <w:tr w:rsidR="008174EF" w:rsidRPr="008174EF" w14:paraId="4E154F06"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6E1B9CC3" w14:textId="77777777" w:rsidR="00980F16" w:rsidRPr="008174EF" w:rsidRDefault="00980F16" w:rsidP="00980F16">
            <w:pPr>
              <w:widowControl/>
              <w:suppressLineNumbers w:val="0"/>
              <w:suppressAutoHyphens w:val="0"/>
              <w:ind w:firstLine="0"/>
              <w:jc w:val="left"/>
              <w:rPr>
                <w:sz w:val="18"/>
                <w:szCs w:val="18"/>
              </w:rPr>
            </w:pPr>
            <w:r w:rsidRPr="008174EF">
              <w:rPr>
                <w:sz w:val="18"/>
                <w:szCs w:val="18"/>
              </w:rPr>
              <w:t>Aplicações Financeiras</w:t>
            </w:r>
          </w:p>
        </w:tc>
        <w:tc>
          <w:tcPr>
            <w:tcW w:w="352" w:type="pct"/>
            <w:tcBorders>
              <w:top w:val="nil"/>
              <w:left w:val="nil"/>
              <w:bottom w:val="nil"/>
              <w:right w:val="nil"/>
            </w:tcBorders>
            <w:shd w:val="clear" w:color="auto" w:fill="auto"/>
            <w:noWrap/>
            <w:vAlign w:val="center"/>
            <w:hideMark/>
          </w:tcPr>
          <w:p w14:paraId="3459CF17"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2.339</w:t>
            </w:r>
          </w:p>
        </w:tc>
        <w:tc>
          <w:tcPr>
            <w:tcW w:w="353" w:type="pct"/>
            <w:gridSpan w:val="2"/>
            <w:tcBorders>
              <w:top w:val="nil"/>
              <w:left w:val="nil"/>
              <w:bottom w:val="nil"/>
              <w:right w:val="nil"/>
            </w:tcBorders>
            <w:shd w:val="clear" w:color="auto" w:fill="auto"/>
            <w:noWrap/>
            <w:vAlign w:val="center"/>
            <w:hideMark/>
          </w:tcPr>
          <w:p w14:paraId="746A6EB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3.096</w:t>
            </w:r>
          </w:p>
        </w:tc>
        <w:tc>
          <w:tcPr>
            <w:tcW w:w="352" w:type="pct"/>
            <w:gridSpan w:val="2"/>
            <w:tcBorders>
              <w:top w:val="nil"/>
              <w:left w:val="nil"/>
              <w:bottom w:val="nil"/>
              <w:right w:val="nil"/>
            </w:tcBorders>
            <w:shd w:val="clear" w:color="auto" w:fill="auto"/>
            <w:noWrap/>
            <w:vAlign w:val="center"/>
            <w:hideMark/>
          </w:tcPr>
          <w:p w14:paraId="32260F4A"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2.413</w:t>
            </w:r>
          </w:p>
        </w:tc>
        <w:tc>
          <w:tcPr>
            <w:tcW w:w="351" w:type="pct"/>
            <w:gridSpan w:val="2"/>
            <w:tcBorders>
              <w:top w:val="nil"/>
              <w:left w:val="nil"/>
              <w:bottom w:val="nil"/>
              <w:right w:val="nil"/>
            </w:tcBorders>
            <w:shd w:val="clear" w:color="auto" w:fill="auto"/>
            <w:noWrap/>
            <w:vAlign w:val="center"/>
            <w:hideMark/>
          </w:tcPr>
          <w:p w14:paraId="7925555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4.181</w:t>
            </w:r>
          </w:p>
        </w:tc>
        <w:tc>
          <w:tcPr>
            <w:tcW w:w="578" w:type="pct"/>
            <w:gridSpan w:val="2"/>
            <w:tcBorders>
              <w:top w:val="nil"/>
              <w:left w:val="nil"/>
              <w:bottom w:val="nil"/>
              <w:right w:val="nil"/>
            </w:tcBorders>
            <w:shd w:val="clear" w:color="auto" w:fill="auto"/>
            <w:noWrap/>
            <w:vAlign w:val="center"/>
            <w:hideMark/>
          </w:tcPr>
          <w:p w14:paraId="28479AB6"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80,34%</w:t>
            </w:r>
          </w:p>
        </w:tc>
        <w:tc>
          <w:tcPr>
            <w:tcW w:w="595" w:type="pct"/>
            <w:gridSpan w:val="2"/>
            <w:tcBorders>
              <w:top w:val="nil"/>
              <w:left w:val="nil"/>
              <w:bottom w:val="nil"/>
              <w:right w:val="nil"/>
            </w:tcBorders>
            <w:shd w:val="clear" w:color="auto" w:fill="auto"/>
            <w:noWrap/>
            <w:vAlign w:val="center"/>
            <w:hideMark/>
          </w:tcPr>
          <w:p w14:paraId="5E07034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78,76%</w:t>
            </w:r>
          </w:p>
        </w:tc>
      </w:tr>
      <w:tr w:rsidR="008174EF" w:rsidRPr="008174EF" w14:paraId="26DDBB71"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228574AB" w14:textId="77777777" w:rsidR="00980F16" w:rsidRPr="008174EF" w:rsidRDefault="00980F16" w:rsidP="00980F16">
            <w:pPr>
              <w:widowControl/>
              <w:suppressLineNumbers w:val="0"/>
              <w:suppressAutoHyphens w:val="0"/>
              <w:ind w:firstLine="0"/>
              <w:jc w:val="left"/>
              <w:rPr>
                <w:sz w:val="18"/>
                <w:szCs w:val="18"/>
              </w:rPr>
            </w:pPr>
            <w:r w:rsidRPr="008174EF">
              <w:rPr>
                <w:sz w:val="18"/>
                <w:szCs w:val="18"/>
              </w:rPr>
              <w:t>Créditos de Op. com Planos de      Assist. à Saúde</w:t>
            </w:r>
          </w:p>
        </w:tc>
        <w:tc>
          <w:tcPr>
            <w:tcW w:w="352" w:type="pct"/>
            <w:tcBorders>
              <w:top w:val="nil"/>
              <w:left w:val="nil"/>
              <w:bottom w:val="nil"/>
              <w:right w:val="nil"/>
            </w:tcBorders>
            <w:shd w:val="clear" w:color="auto" w:fill="auto"/>
            <w:noWrap/>
            <w:vAlign w:val="center"/>
            <w:hideMark/>
          </w:tcPr>
          <w:p w14:paraId="74D995A4"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228</w:t>
            </w:r>
          </w:p>
        </w:tc>
        <w:tc>
          <w:tcPr>
            <w:tcW w:w="353" w:type="pct"/>
            <w:gridSpan w:val="2"/>
            <w:tcBorders>
              <w:top w:val="nil"/>
              <w:left w:val="nil"/>
              <w:bottom w:val="nil"/>
              <w:right w:val="nil"/>
            </w:tcBorders>
            <w:shd w:val="clear" w:color="auto" w:fill="auto"/>
            <w:noWrap/>
            <w:vAlign w:val="center"/>
            <w:hideMark/>
          </w:tcPr>
          <w:p w14:paraId="5A4EA66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367</w:t>
            </w:r>
          </w:p>
        </w:tc>
        <w:tc>
          <w:tcPr>
            <w:tcW w:w="352" w:type="pct"/>
            <w:gridSpan w:val="2"/>
            <w:tcBorders>
              <w:top w:val="nil"/>
              <w:left w:val="nil"/>
              <w:bottom w:val="nil"/>
              <w:right w:val="nil"/>
            </w:tcBorders>
            <w:shd w:val="clear" w:color="auto" w:fill="auto"/>
            <w:noWrap/>
            <w:vAlign w:val="center"/>
            <w:hideMark/>
          </w:tcPr>
          <w:p w14:paraId="1652473D"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549</w:t>
            </w:r>
          </w:p>
        </w:tc>
        <w:tc>
          <w:tcPr>
            <w:tcW w:w="351" w:type="pct"/>
            <w:gridSpan w:val="2"/>
            <w:tcBorders>
              <w:top w:val="nil"/>
              <w:left w:val="nil"/>
              <w:bottom w:val="nil"/>
              <w:right w:val="nil"/>
            </w:tcBorders>
            <w:shd w:val="clear" w:color="auto" w:fill="auto"/>
            <w:noWrap/>
            <w:vAlign w:val="center"/>
            <w:hideMark/>
          </w:tcPr>
          <w:p w14:paraId="6D839AC4"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475</w:t>
            </w:r>
          </w:p>
        </w:tc>
        <w:tc>
          <w:tcPr>
            <w:tcW w:w="578" w:type="pct"/>
            <w:gridSpan w:val="2"/>
            <w:tcBorders>
              <w:top w:val="nil"/>
              <w:left w:val="nil"/>
              <w:bottom w:val="nil"/>
              <w:right w:val="nil"/>
            </w:tcBorders>
            <w:shd w:val="clear" w:color="auto" w:fill="auto"/>
            <w:noWrap/>
            <w:vAlign w:val="center"/>
            <w:hideMark/>
          </w:tcPr>
          <w:p w14:paraId="6CD54677"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10,82%</w:t>
            </w:r>
          </w:p>
        </w:tc>
        <w:tc>
          <w:tcPr>
            <w:tcW w:w="595" w:type="pct"/>
            <w:gridSpan w:val="2"/>
            <w:tcBorders>
              <w:top w:val="nil"/>
              <w:left w:val="nil"/>
              <w:bottom w:val="nil"/>
              <w:right w:val="nil"/>
            </w:tcBorders>
            <w:shd w:val="clear" w:color="auto" w:fill="auto"/>
            <w:noWrap/>
            <w:vAlign w:val="center"/>
            <w:hideMark/>
          </w:tcPr>
          <w:p w14:paraId="4CFD2769"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108,01%</w:t>
            </w:r>
          </w:p>
        </w:tc>
      </w:tr>
      <w:tr w:rsidR="008174EF" w:rsidRPr="008174EF" w14:paraId="0B1A35BE"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236C9ECA" w14:textId="77777777" w:rsidR="00980F16" w:rsidRPr="008174EF" w:rsidRDefault="00980F16" w:rsidP="00980F16">
            <w:pPr>
              <w:widowControl/>
              <w:suppressLineNumbers w:val="0"/>
              <w:suppressAutoHyphens w:val="0"/>
              <w:ind w:firstLine="0"/>
              <w:jc w:val="left"/>
              <w:rPr>
                <w:sz w:val="18"/>
                <w:szCs w:val="18"/>
              </w:rPr>
            </w:pPr>
            <w:r w:rsidRPr="008174EF">
              <w:rPr>
                <w:sz w:val="18"/>
                <w:szCs w:val="18"/>
              </w:rPr>
              <w:t>Bens e Títulos a Receber</w:t>
            </w:r>
          </w:p>
        </w:tc>
        <w:tc>
          <w:tcPr>
            <w:tcW w:w="352" w:type="pct"/>
            <w:tcBorders>
              <w:top w:val="nil"/>
              <w:left w:val="nil"/>
              <w:bottom w:val="nil"/>
              <w:right w:val="nil"/>
            </w:tcBorders>
            <w:shd w:val="clear" w:color="auto" w:fill="auto"/>
            <w:noWrap/>
            <w:vAlign w:val="center"/>
            <w:hideMark/>
          </w:tcPr>
          <w:p w14:paraId="191482D4"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69</w:t>
            </w:r>
          </w:p>
        </w:tc>
        <w:tc>
          <w:tcPr>
            <w:tcW w:w="353" w:type="pct"/>
            <w:gridSpan w:val="2"/>
            <w:tcBorders>
              <w:top w:val="nil"/>
              <w:left w:val="nil"/>
              <w:bottom w:val="nil"/>
              <w:right w:val="nil"/>
            </w:tcBorders>
            <w:shd w:val="clear" w:color="auto" w:fill="auto"/>
            <w:noWrap/>
            <w:vAlign w:val="center"/>
            <w:hideMark/>
          </w:tcPr>
          <w:p w14:paraId="42EBB184"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42</w:t>
            </w:r>
          </w:p>
        </w:tc>
        <w:tc>
          <w:tcPr>
            <w:tcW w:w="352" w:type="pct"/>
            <w:gridSpan w:val="2"/>
            <w:tcBorders>
              <w:top w:val="nil"/>
              <w:left w:val="nil"/>
              <w:bottom w:val="nil"/>
              <w:right w:val="nil"/>
            </w:tcBorders>
            <w:shd w:val="clear" w:color="auto" w:fill="auto"/>
            <w:noWrap/>
            <w:vAlign w:val="center"/>
            <w:hideMark/>
          </w:tcPr>
          <w:p w14:paraId="6705FF20"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58</w:t>
            </w:r>
          </w:p>
        </w:tc>
        <w:tc>
          <w:tcPr>
            <w:tcW w:w="351" w:type="pct"/>
            <w:gridSpan w:val="2"/>
            <w:tcBorders>
              <w:top w:val="nil"/>
              <w:left w:val="nil"/>
              <w:bottom w:val="nil"/>
              <w:right w:val="nil"/>
            </w:tcBorders>
            <w:shd w:val="clear" w:color="auto" w:fill="auto"/>
            <w:noWrap/>
            <w:vAlign w:val="center"/>
            <w:hideMark/>
          </w:tcPr>
          <w:p w14:paraId="6C195739"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55</w:t>
            </w:r>
          </w:p>
        </w:tc>
        <w:tc>
          <w:tcPr>
            <w:tcW w:w="578" w:type="pct"/>
            <w:gridSpan w:val="2"/>
            <w:tcBorders>
              <w:top w:val="nil"/>
              <w:left w:val="nil"/>
              <w:bottom w:val="nil"/>
              <w:right w:val="nil"/>
            </w:tcBorders>
            <w:shd w:val="clear" w:color="auto" w:fill="auto"/>
            <w:noWrap/>
            <w:vAlign w:val="center"/>
            <w:hideMark/>
          </w:tcPr>
          <w:p w14:paraId="2334156D"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1,50%</w:t>
            </w:r>
          </w:p>
        </w:tc>
        <w:tc>
          <w:tcPr>
            <w:tcW w:w="595" w:type="pct"/>
            <w:gridSpan w:val="2"/>
            <w:tcBorders>
              <w:top w:val="nil"/>
              <w:left w:val="nil"/>
              <w:bottom w:val="nil"/>
              <w:right w:val="nil"/>
            </w:tcBorders>
            <w:shd w:val="clear" w:color="auto" w:fill="auto"/>
            <w:noWrap/>
            <w:vAlign w:val="center"/>
            <w:hideMark/>
          </w:tcPr>
          <w:p w14:paraId="2026C9D8"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-19,68%</w:t>
            </w:r>
          </w:p>
        </w:tc>
      </w:tr>
      <w:tr w:rsidR="008174EF" w:rsidRPr="008174EF" w14:paraId="58AEF1EE"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078C7E70" w14:textId="77777777" w:rsidR="00980F16" w:rsidRPr="008174EF" w:rsidRDefault="00980F16" w:rsidP="00980F16">
            <w:pPr>
              <w:widowControl/>
              <w:suppressLineNumbers w:val="0"/>
              <w:suppressAutoHyphens w:val="0"/>
              <w:ind w:firstLine="0"/>
              <w:jc w:val="left"/>
              <w:rPr>
                <w:sz w:val="18"/>
                <w:szCs w:val="18"/>
              </w:rPr>
            </w:pPr>
            <w:r w:rsidRPr="008174EF">
              <w:rPr>
                <w:sz w:val="18"/>
                <w:szCs w:val="18"/>
              </w:rPr>
              <w:lastRenderedPageBreak/>
              <w:t>Despesas Antecipadas</w:t>
            </w:r>
          </w:p>
        </w:tc>
        <w:tc>
          <w:tcPr>
            <w:tcW w:w="352" w:type="pct"/>
            <w:tcBorders>
              <w:top w:val="nil"/>
              <w:left w:val="nil"/>
              <w:bottom w:val="nil"/>
              <w:right w:val="nil"/>
            </w:tcBorders>
            <w:shd w:val="clear" w:color="auto" w:fill="auto"/>
            <w:noWrap/>
            <w:vAlign w:val="center"/>
            <w:hideMark/>
          </w:tcPr>
          <w:p w14:paraId="33DB3BF2"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w:t>
            </w:r>
          </w:p>
        </w:tc>
        <w:tc>
          <w:tcPr>
            <w:tcW w:w="353" w:type="pct"/>
            <w:gridSpan w:val="2"/>
            <w:tcBorders>
              <w:top w:val="nil"/>
              <w:left w:val="nil"/>
              <w:bottom w:val="nil"/>
              <w:right w:val="nil"/>
            </w:tcBorders>
            <w:shd w:val="clear" w:color="auto" w:fill="auto"/>
            <w:noWrap/>
            <w:vAlign w:val="center"/>
            <w:hideMark/>
          </w:tcPr>
          <w:p w14:paraId="7C9781A9"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w:t>
            </w:r>
          </w:p>
        </w:tc>
        <w:tc>
          <w:tcPr>
            <w:tcW w:w="352" w:type="pct"/>
            <w:gridSpan w:val="2"/>
            <w:tcBorders>
              <w:top w:val="nil"/>
              <w:left w:val="nil"/>
              <w:bottom w:val="nil"/>
              <w:right w:val="nil"/>
            </w:tcBorders>
            <w:shd w:val="clear" w:color="auto" w:fill="auto"/>
            <w:noWrap/>
            <w:vAlign w:val="center"/>
            <w:hideMark/>
          </w:tcPr>
          <w:p w14:paraId="5B562CED"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w:t>
            </w:r>
          </w:p>
        </w:tc>
        <w:tc>
          <w:tcPr>
            <w:tcW w:w="351" w:type="pct"/>
            <w:gridSpan w:val="2"/>
            <w:tcBorders>
              <w:top w:val="nil"/>
              <w:left w:val="nil"/>
              <w:bottom w:val="nil"/>
              <w:right w:val="nil"/>
            </w:tcBorders>
            <w:shd w:val="clear" w:color="auto" w:fill="auto"/>
            <w:noWrap/>
            <w:vAlign w:val="center"/>
            <w:hideMark/>
          </w:tcPr>
          <w:p w14:paraId="140655BE"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w:t>
            </w:r>
          </w:p>
        </w:tc>
        <w:tc>
          <w:tcPr>
            <w:tcW w:w="578" w:type="pct"/>
            <w:gridSpan w:val="2"/>
            <w:tcBorders>
              <w:top w:val="nil"/>
              <w:left w:val="nil"/>
              <w:bottom w:val="nil"/>
              <w:right w:val="nil"/>
            </w:tcBorders>
            <w:shd w:val="clear" w:color="auto" w:fill="auto"/>
            <w:noWrap/>
            <w:vAlign w:val="center"/>
            <w:hideMark/>
          </w:tcPr>
          <w:p w14:paraId="5214251A"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0,02%</w:t>
            </w:r>
          </w:p>
        </w:tc>
        <w:tc>
          <w:tcPr>
            <w:tcW w:w="595" w:type="pct"/>
            <w:gridSpan w:val="2"/>
            <w:tcBorders>
              <w:top w:val="nil"/>
              <w:left w:val="nil"/>
              <w:bottom w:val="nil"/>
              <w:right w:val="nil"/>
            </w:tcBorders>
            <w:shd w:val="clear" w:color="auto" w:fill="auto"/>
            <w:noWrap/>
            <w:vAlign w:val="center"/>
            <w:hideMark/>
          </w:tcPr>
          <w:p w14:paraId="69E0306F"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-46,45%</w:t>
            </w:r>
          </w:p>
        </w:tc>
      </w:tr>
      <w:tr w:rsidR="008174EF" w:rsidRPr="008174EF" w14:paraId="3E22432A"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4A842EF9" w14:textId="77777777" w:rsidR="00980F16" w:rsidRPr="008174EF" w:rsidRDefault="00980F16" w:rsidP="00980F16">
            <w:pPr>
              <w:widowControl/>
              <w:suppressLineNumbers w:val="0"/>
              <w:suppressAutoHyphens w:val="0"/>
              <w:ind w:firstLine="0"/>
              <w:jc w:val="left"/>
              <w:rPr>
                <w:b/>
                <w:bCs/>
                <w:sz w:val="18"/>
                <w:szCs w:val="18"/>
              </w:rPr>
            </w:pPr>
            <w:r w:rsidRPr="008174EF">
              <w:rPr>
                <w:b/>
                <w:bCs/>
                <w:sz w:val="18"/>
                <w:szCs w:val="18"/>
              </w:rPr>
              <w:t>Ativo Não Circulante</w:t>
            </w:r>
          </w:p>
        </w:tc>
        <w:tc>
          <w:tcPr>
            <w:tcW w:w="352" w:type="pct"/>
            <w:tcBorders>
              <w:top w:val="nil"/>
              <w:left w:val="nil"/>
              <w:bottom w:val="nil"/>
              <w:right w:val="nil"/>
            </w:tcBorders>
            <w:shd w:val="clear" w:color="auto" w:fill="auto"/>
            <w:noWrap/>
            <w:vAlign w:val="center"/>
            <w:hideMark/>
          </w:tcPr>
          <w:p w14:paraId="4C0AD56E"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64</w:t>
            </w:r>
          </w:p>
        </w:tc>
        <w:tc>
          <w:tcPr>
            <w:tcW w:w="353" w:type="pct"/>
            <w:gridSpan w:val="2"/>
            <w:tcBorders>
              <w:top w:val="nil"/>
              <w:left w:val="nil"/>
              <w:bottom w:val="nil"/>
              <w:right w:val="nil"/>
            </w:tcBorders>
            <w:shd w:val="clear" w:color="auto" w:fill="auto"/>
            <w:noWrap/>
            <w:vAlign w:val="center"/>
            <w:hideMark/>
          </w:tcPr>
          <w:p w14:paraId="56AAC808"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143</w:t>
            </w:r>
          </w:p>
        </w:tc>
        <w:tc>
          <w:tcPr>
            <w:tcW w:w="352" w:type="pct"/>
            <w:gridSpan w:val="2"/>
            <w:tcBorders>
              <w:top w:val="nil"/>
              <w:left w:val="nil"/>
              <w:bottom w:val="nil"/>
              <w:right w:val="nil"/>
            </w:tcBorders>
            <w:shd w:val="clear" w:color="auto" w:fill="auto"/>
            <w:noWrap/>
            <w:vAlign w:val="center"/>
            <w:hideMark/>
          </w:tcPr>
          <w:p w14:paraId="70C8CA66"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253</w:t>
            </w:r>
          </w:p>
        </w:tc>
        <w:tc>
          <w:tcPr>
            <w:tcW w:w="351" w:type="pct"/>
            <w:gridSpan w:val="2"/>
            <w:tcBorders>
              <w:top w:val="nil"/>
              <w:left w:val="nil"/>
              <w:bottom w:val="nil"/>
              <w:right w:val="nil"/>
            </w:tcBorders>
            <w:shd w:val="clear" w:color="auto" w:fill="auto"/>
            <w:noWrap/>
            <w:vAlign w:val="center"/>
            <w:hideMark/>
          </w:tcPr>
          <w:p w14:paraId="62098FAE"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462</w:t>
            </w:r>
          </w:p>
        </w:tc>
        <w:tc>
          <w:tcPr>
            <w:tcW w:w="578" w:type="pct"/>
            <w:gridSpan w:val="2"/>
            <w:tcBorders>
              <w:top w:val="nil"/>
              <w:left w:val="nil"/>
              <w:bottom w:val="nil"/>
              <w:right w:val="nil"/>
            </w:tcBorders>
            <w:shd w:val="clear" w:color="auto" w:fill="auto"/>
            <w:noWrap/>
            <w:vAlign w:val="center"/>
            <w:hideMark/>
          </w:tcPr>
          <w:p w14:paraId="23DA0451"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6,16%</w:t>
            </w:r>
          </w:p>
        </w:tc>
        <w:tc>
          <w:tcPr>
            <w:tcW w:w="595" w:type="pct"/>
            <w:gridSpan w:val="2"/>
            <w:tcBorders>
              <w:top w:val="nil"/>
              <w:left w:val="nil"/>
              <w:bottom w:val="nil"/>
              <w:right w:val="nil"/>
            </w:tcBorders>
            <w:shd w:val="clear" w:color="auto" w:fill="auto"/>
            <w:noWrap/>
            <w:vAlign w:val="center"/>
            <w:hideMark/>
          </w:tcPr>
          <w:p w14:paraId="7DE465CC"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619,69%</w:t>
            </w:r>
          </w:p>
        </w:tc>
      </w:tr>
      <w:tr w:rsidR="008174EF" w:rsidRPr="008174EF" w14:paraId="22211B79" w14:textId="77777777" w:rsidTr="0045438C">
        <w:trPr>
          <w:trHeight w:val="267"/>
          <w:jc w:val="center"/>
        </w:trPr>
        <w:tc>
          <w:tcPr>
            <w:tcW w:w="2418" w:type="pct"/>
            <w:tcBorders>
              <w:top w:val="nil"/>
              <w:left w:val="nil"/>
              <w:bottom w:val="nil"/>
              <w:right w:val="nil"/>
            </w:tcBorders>
            <w:shd w:val="clear" w:color="auto" w:fill="auto"/>
            <w:noWrap/>
            <w:vAlign w:val="center"/>
            <w:hideMark/>
          </w:tcPr>
          <w:p w14:paraId="43776611" w14:textId="77777777" w:rsidR="00980F16" w:rsidRPr="008174EF" w:rsidRDefault="00980F16" w:rsidP="00980F16">
            <w:pPr>
              <w:widowControl/>
              <w:suppressLineNumbers w:val="0"/>
              <w:suppressAutoHyphens w:val="0"/>
              <w:ind w:firstLine="0"/>
              <w:jc w:val="left"/>
              <w:rPr>
                <w:bCs/>
                <w:sz w:val="18"/>
                <w:szCs w:val="18"/>
              </w:rPr>
            </w:pPr>
            <w:r w:rsidRPr="008174EF">
              <w:rPr>
                <w:bCs/>
                <w:sz w:val="18"/>
                <w:szCs w:val="18"/>
              </w:rPr>
              <w:t>Realizável a Longo Prazo</w:t>
            </w:r>
          </w:p>
        </w:tc>
        <w:tc>
          <w:tcPr>
            <w:tcW w:w="352" w:type="pct"/>
            <w:tcBorders>
              <w:top w:val="nil"/>
              <w:left w:val="nil"/>
              <w:bottom w:val="nil"/>
              <w:right w:val="nil"/>
            </w:tcBorders>
            <w:shd w:val="clear" w:color="auto" w:fill="auto"/>
            <w:noWrap/>
            <w:vAlign w:val="center"/>
            <w:hideMark/>
          </w:tcPr>
          <w:p w14:paraId="569382C6"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8</w:t>
            </w:r>
          </w:p>
        </w:tc>
        <w:tc>
          <w:tcPr>
            <w:tcW w:w="353" w:type="pct"/>
            <w:gridSpan w:val="2"/>
            <w:tcBorders>
              <w:top w:val="nil"/>
              <w:left w:val="nil"/>
              <w:bottom w:val="nil"/>
              <w:right w:val="nil"/>
            </w:tcBorders>
            <w:shd w:val="clear" w:color="auto" w:fill="auto"/>
            <w:noWrap/>
            <w:vAlign w:val="center"/>
            <w:hideMark/>
          </w:tcPr>
          <w:p w14:paraId="740CD5A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14</w:t>
            </w:r>
          </w:p>
        </w:tc>
        <w:tc>
          <w:tcPr>
            <w:tcW w:w="352" w:type="pct"/>
            <w:gridSpan w:val="2"/>
            <w:tcBorders>
              <w:top w:val="nil"/>
              <w:left w:val="nil"/>
              <w:bottom w:val="nil"/>
              <w:right w:val="nil"/>
            </w:tcBorders>
            <w:shd w:val="clear" w:color="auto" w:fill="auto"/>
            <w:noWrap/>
            <w:vAlign w:val="center"/>
            <w:hideMark/>
          </w:tcPr>
          <w:p w14:paraId="2B6D147A"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135</w:t>
            </w:r>
          </w:p>
        </w:tc>
        <w:tc>
          <w:tcPr>
            <w:tcW w:w="351" w:type="pct"/>
            <w:gridSpan w:val="2"/>
            <w:tcBorders>
              <w:top w:val="nil"/>
              <w:left w:val="nil"/>
              <w:bottom w:val="nil"/>
              <w:right w:val="nil"/>
            </w:tcBorders>
            <w:shd w:val="clear" w:color="auto" w:fill="auto"/>
            <w:noWrap/>
            <w:vAlign w:val="center"/>
            <w:hideMark/>
          </w:tcPr>
          <w:p w14:paraId="12B757C7"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364</w:t>
            </w:r>
          </w:p>
        </w:tc>
        <w:tc>
          <w:tcPr>
            <w:tcW w:w="578" w:type="pct"/>
            <w:gridSpan w:val="2"/>
            <w:tcBorders>
              <w:top w:val="nil"/>
              <w:left w:val="nil"/>
              <w:bottom w:val="nil"/>
              <w:right w:val="nil"/>
            </w:tcBorders>
            <w:shd w:val="clear" w:color="auto" w:fill="auto"/>
            <w:noWrap/>
            <w:vAlign w:val="center"/>
            <w:hideMark/>
          </w:tcPr>
          <w:p w14:paraId="1EAF1D66"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3,48%</w:t>
            </w:r>
          </w:p>
        </w:tc>
        <w:tc>
          <w:tcPr>
            <w:tcW w:w="595" w:type="pct"/>
            <w:gridSpan w:val="2"/>
            <w:tcBorders>
              <w:top w:val="nil"/>
              <w:left w:val="nil"/>
              <w:bottom w:val="nil"/>
              <w:right w:val="nil"/>
            </w:tcBorders>
            <w:shd w:val="clear" w:color="auto" w:fill="auto"/>
            <w:noWrap/>
            <w:vAlign w:val="center"/>
            <w:hideMark/>
          </w:tcPr>
          <w:p w14:paraId="3F079D0F"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4.605,20%</w:t>
            </w:r>
          </w:p>
        </w:tc>
      </w:tr>
      <w:tr w:rsidR="008174EF" w:rsidRPr="008174EF" w14:paraId="2D3DC2BF" w14:textId="77777777" w:rsidTr="0045438C">
        <w:trPr>
          <w:trHeight w:val="267"/>
          <w:jc w:val="center"/>
        </w:trPr>
        <w:tc>
          <w:tcPr>
            <w:tcW w:w="2418" w:type="pct"/>
            <w:tcBorders>
              <w:top w:val="nil"/>
              <w:left w:val="nil"/>
              <w:bottom w:val="single" w:sz="4" w:space="0" w:color="auto"/>
              <w:right w:val="nil"/>
            </w:tcBorders>
            <w:shd w:val="clear" w:color="auto" w:fill="auto"/>
            <w:noWrap/>
            <w:vAlign w:val="center"/>
            <w:hideMark/>
          </w:tcPr>
          <w:p w14:paraId="6B27AE52" w14:textId="77777777" w:rsidR="00980F16" w:rsidRPr="008174EF" w:rsidRDefault="00980F16" w:rsidP="00980F16">
            <w:pPr>
              <w:widowControl/>
              <w:suppressLineNumbers w:val="0"/>
              <w:suppressAutoHyphens w:val="0"/>
              <w:ind w:firstLine="0"/>
              <w:jc w:val="left"/>
              <w:rPr>
                <w:bCs/>
                <w:sz w:val="18"/>
                <w:szCs w:val="18"/>
              </w:rPr>
            </w:pPr>
            <w:r w:rsidRPr="008174EF">
              <w:rPr>
                <w:bCs/>
                <w:sz w:val="18"/>
                <w:szCs w:val="18"/>
              </w:rPr>
              <w:t>Imobilizado</w:t>
            </w:r>
          </w:p>
        </w:tc>
        <w:tc>
          <w:tcPr>
            <w:tcW w:w="352" w:type="pct"/>
            <w:tcBorders>
              <w:top w:val="nil"/>
              <w:left w:val="nil"/>
              <w:bottom w:val="single" w:sz="4" w:space="0" w:color="auto"/>
              <w:right w:val="nil"/>
            </w:tcBorders>
            <w:shd w:val="clear" w:color="auto" w:fill="auto"/>
            <w:noWrap/>
            <w:vAlign w:val="center"/>
            <w:hideMark/>
          </w:tcPr>
          <w:p w14:paraId="6C5776EC"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57</w:t>
            </w:r>
          </w:p>
        </w:tc>
        <w:tc>
          <w:tcPr>
            <w:tcW w:w="353" w:type="pct"/>
            <w:gridSpan w:val="2"/>
            <w:tcBorders>
              <w:top w:val="nil"/>
              <w:left w:val="nil"/>
              <w:bottom w:val="single" w:sz="4" w:space="0" w:color="auto"/>
              <w:right w:val="nil"/>
            </w:tcBorders>
            <w:shd w:val="clear" w:color="auto" w:fill="auto"/>
            <w:noWrap/>
            <w:vAlign w:val="center"/>
            <w:hideMark/>
          </w:tcPr>
          <w:p w14:paraId="727A34BE"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129</w:t>
            </w:r>
          </w:p>
        </w:tc>
        <w:tc>
          <w:tcPr>
            <w:tcW w:w="352" w:type="pct"/>
            <w:gridSpan w:val="2"/>
            <w:tcBorders>
              <w:top w:val="nil"/>
              <w:left w:val="nil"/>
              <w:bottom w:val="single" w:sz="4" w:space="0" w:color="auto"/>
              <w:right w:val="nil"/>
            </w:tcBorders>
            <w:shd w:val="clear" w:color="auto" w:fill="auto"/>
            <w:noWrap/>
            <w:vAlign w:val="center"/>
            <w:hideMark/>
          </w:tcPr>
          <w:p w14:paraId="55464459"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118</w:t>
            </w:r>
          </w:p>
        </w:tc>
        <w:tc>
          <w:tcPr>
            <w:tcW w:w="351" w:type="pct"/>
            <w:gridSpan w:val="2"/>
            <w:tcBorders>
              <w:top w:val="nil"/>
              <w:left w:val="nil"/>
              <w:bottom w:val="single" w:sz="4" w:space="0" w:color="auto"/>
              <w:right w:val="nil"/>
            </w:tcBorders>
            <w:shd w:val="clear" w:color="auto" w:fill="auto"/>
            <w:noWrap/>
            <w:vAlign w:val="center"/>
            <w:hideMark/>
          </w:tcPr>
          <w:p w14:paraId="03B8F6C2"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98</w:t>
            </w:r>
          </w:p>
        </w:tc>
        <w:tc>
          <w:tcPr>
            <w:tcW w:w="578" w:type="pct"/>
            <w:gridSpan w:val="2"/>
            <w:tcBorders>
              <w:top w:val="nil"/>
              <w:left w:val="nil"/>
              <w:bottom w:val="single" w:sz="4" w:space="0" w:color="auto"/>
              <w:right w:val="nil"/>
            </w:tcBorders>
            <w:shd w:val="clear" w:color="auto" w:fill="auto"/>
            <w:noWrap/>
            <w:vAlign w:val="center"/>
            <w:hideMark/>
          </w:tcPr>
          <w:p w14:paraId="69DF1D95"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2,68%</w:t>
            </w:r>
          </w:p>
        </w:tc>
        <w:tc>
          <w:tcPr>
            <w:tcW w:w="595" w:type="pct"/>
            <w:gridSpan w:val="2"/>
            <w:tcBorders>
              <w:top w:val="nil"/>
              <w:left w:val="nil"/>
              <w:bottom w:val="single" w:sz="4" w:space="0" w:color="auto"/>
              <w:right w:val="nil"/>
            </w:tcBorders>
            <w:shd w:val="clear" w:color="auto" w:fill="auto"/>
            <w:noWrap/>
            <w:vAlign w:val="center"/>
            <w:hideMark/>
          </w:tcPr>
          <w:p w14:paraId="2F7EC44E" w14:textId="77777777" w:rsidR="00980F16" w:rsidRPr="008174EF" w:rsidRDefault="00980F16" w:rsidP="00980F16">
            <w:pPr>
              <w:widowControl/>
              <w:suppressLineNumbers w:val="0"/>
              <w:suppressAutoHyphens w:val="0"/>
              <w:ind w:firstLine="0"/>
              <w:jc w:val="right"/>
              <w:rPr>
                <w:sz w:val="18"/>
                <w:szCs w:val="18"/>
              </w:rPr>
            </w:pPr>
            <w:r w:rsidRPr="008174EF">
              <w:rPr>
                <w:sz w:val="18"/>
                <w:szCs w:val="18"/>
              </w:rPr>
              <w:t>74,17%</w:t>
            </w:r>
          </w:p>
        </w:tc>
      </w:tr>
      <w:tr w:rsidR="008174EF" w:rsidRPr="008174EF" w14:paraId="5FBDEFC3" w14:textId="77777777" w:rsidTr="0045438C">
        <w:trPr>
          <w:trHeight w:val="267"/>
          <w:jc w:val="center"/>
        </w:trPr>
        <w:tc>
          <w:tcPr>
            <w:tcW w:w="2418" w:type="pct"/>
            <w:tcBorders>
              <w:top w:val="single" w:sz="4" w:space="0" w:color="auto"/>
              <w:left w:val="nil"/>
              <w:bottom w:val="single" w:sz="4" w:space="0" w:color="auto"/>
              <w:right w:val="nil"/>
            </w:tcBorders>
            <w:shd w:val="clear" w:color="auto" w:fill="auto"/>
            <w:noWrap/>
            <w:vAlign w:val="center"/>
            <w:hideMark/>
          </w:tcPr>
          <w:p w14:paraId="3564EE22" w14:textId="77777777" w:rsidR="00980F16" w:rsidRPr="008174EF" w:rsidRDefault="00980F16" w:rsidP="00980F16">
            <w:pPr>
              <w:widowControl/>
              <w:suppressLineNumbers w:val="0"/>
              <w:suppressAutoHyphens w:val="0"/>
              <w:ind w:firstLine="0"/>
              <w:jc w:val="left"/>
              <w:rPr>
                <w:b/>
                <w:bCs/>
                <w:sz w:val="18"/>
                <w:szCs w:val="18"/>
              </w:rPr>
            </w:pPr>
            <w:r w:rsidRPr="008174EF">
              <w:rPr>
                <w:b/>
                <w:bCs/>
                <w:sz w:val="18"/>
                <w:szCs w:val="18"/>
              </w:rPr>
              <w:t>Total do Ativo</w:t>
            </w:r>
          </w:p>
        </w:tc>
        <w:tc>
          <w:tcPr>
            <w:tcW w:w="352" w:type="pct"/>
            <w:tcBorders>
              <w:top w:val="single" w:sz="4" w:space="0" w:color="auto"/>
              <w:left w:val="nil"/>
              <w:bottom w:val="single" w:sz="4" w:space="0" w:color="auto"/>
              <w:right w:val="nil"/>
            </w:tcBorders>
            <w:shd w:val="clear" w:color="auto" w:fill="auto"/>
            <w:noWrap/>
            <w:vAlign w:val="center"/>
            <w:hideMark/>
          </w:tcPr>
          <w:p w14:paraId="7C105288"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2.833</w:t>
            </w:r>
          </w:p>
        </w:tc>
        <w:tc>
          <w:tcPr>
            <w:tcW w:w="353" w:type="pct"/>
            <w:gridSpan w:val="2"/>
            <w:tcBorders>
              <w:top w:val="single" w:sz="4" w:space="0" w:color="auto"/>
              <w:left w:val="nil"/>
              <w:bottom w:val="single" w:sz="4" w:space="0" w:color="auto"/>
              <w:right w:val="nil"/>
            </w:tcBorders>
            <w:shd w:val="clear" w:color="auto" w:fill="auto"/>
            <w:noWrap/>
            <w:vAlign w:val="center"/>
            <w:hideMark/>
          </w:tcPr>
          <w:p w14:paraId="193B36DA"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3.668</w:t>
            </w:r>
          </w:p>
        </w:tc>
        <w:tc>
          <w:tcPr>
            <w:tcW w:w="352" w:type="pct"/>
            <w:gridSpan w:val="2"/>
            <w:tcBorders>
              <w:top w:val="single" w:sz="4" w:space="0" w:color="auto"/>
              <w:left w:val="nil"/>
              <w:bottom w:val="single" w:sz="4" w:space="0" w:color="auto"/>
              <w:right w:val="nil"/>
            </w:tcBorders>
            <w:shd w:val="clear" w:color="auto" w:fill="auto"/>
            <w:noWrap/>
            <w:vAlign w:val="center"/>
            <w:hideMark/>
          </w:tcPr>
          <w:p w14:paraId="0FB3FE06"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3.284</w:t>
            </w:r>
          </w:p>
        </w:tc>
        <w:tc>
          <w:tcPr>
            <w:tcW w:w="351" w:type="pct"/>
            <w:gridSpan w:val="2"/>
            <w:tcBorders>
              <w:top w:val="single" w:sz="4" w:space="0" w:color="auto"/>
              <w:left w:val="nil"/>
              <w:bottom w:val="single" w:sz="4" w:space="0" w:color="auto"/>
              <w:right w:val="nil"/>
            </w:tcBorders>
            <w:shd w:val="clear" w:color="auto" w:fill="auto"/>
            <w:noWrap/>
            <w:vAlign w:val="center"/>
            <w:hideMark/>
          </w:tcPr>
          <w:p w14:paraId="0724E1D5" w14:textId="77777777" w:rsidR="00980F16" w:rsidRPr="008174EF" w:rsidRDefault="00980F16" w:rsidP="00980F16">
            <w:pPr>
              <w:widowControl/>
              <w:suppressLineNumbers w:val="0"/>
              <w:suppressAutoHyphens w:val="0"/>
              <w:ind w:firstLine="0"/>
              <w:jc w:val="right"/>
              <w:rPr>
                <w:b/>
                <w:bCs/>
                <w:sz w:val="18"/>
                <w:szCs w:val="18"/>
              </w:rPr>
            </w:pPr>
            <w:r w:rsidRPr="008174EF">
              <w:rPr>
                <w:b/>
                <w:bCs/>
                <w:sz w:val="18"/>
                <w:szCs w:val="18"/>
              </w:rPr>
              <w:t>5.186</w:t>
            </w:r>
          </w:p>
        </w:tc>
        <w:tc>
          <w:tcPr>
            <w:tcW w:w="578" w:type="pct"/>
            <w:gridSpan w:val="2"/>
            <w:tcBorders>
              <w:top w:val="single" w:sz="4" w:space="0" w:color="auto"/>
              <w:left w:val="nil"/>
              <w:bottom w:val="single" w:sz="4" w:space="0" w:color="auto"/>
              <w:right w:val="nil"/>
            </w:tcBorders>
            <w:shd w:val="clear" w:color="auto" w:fill="auto"/>
            <w:noWrap/>
            <w:vAlign w:val="center"/>
            <w:hideMark/>
          </w:tcPr>
          <w:p w14:paraId="2CF85DF4"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100,00%</w:t>
            </w:r>
          </w:p>
        </w:tc>
        <w:tc>
          <w:tcPr>
            <w:tcW w:w="595" w:type="pct"/>
            <w:gridSpan w:val="2"/>
            <w:tcBorders>
              <w:top w:val="single" w:sz="4" w:space="0" w:color="auto"/>
              <w:left w:val="nil"/>
              <w:bottom w:val="single" w:sz="4" w:space="0" w:color="auto"/>
              <w:right w:val="nil"/>
            </w:tcBorders>
            <w:shd w:val="clear" w:color="auto" w:fill="auto"/>
            <w:noWrap/>
            <w:vAlign w:val="center"/>
            <w:hideMark/>
          </w:tcPr>
          <w:p w14:paraId="4F392E9C" w14:textId="77777777" w:rsidR="00980F16" w:rsidRPr="008174EF" w:rsidRDefault="00980F16" w:rsidP="00980F16">
            <w:pPr>
              <w:widowControl/>
              <w:suppressLineNumbers w:val="0"/>
              <w:suppressAutoHyphens w:val="0"/>
              <w:ind w:firstLine="0"/>
              <w:jc w:val="right"/>
              <w:rPr>
                <w:b/>
                <w:sz w:val="18"/>
                <w:szCs w:val="18"/>
              </w:rPr>
            </w:pPr>
            <w:r w:rsidRPr="008174EF">
              <w:rPr>
                <w:b/>
                <w:sz w:val="18"/>
                <w:szCs w:val="18"/>
              </w:rPr>
              <w:t>83,05%</w:t>
            </w:r>
          </w:p>
        </w:tc>
      </w:tr>
    </w:tbl>
    <w:p w14:paraId="14A3E48F" w14:textId="77777777" w:rsidR="00980F16" w:rsidRPr="008174EF" w:rsidRDefault="00980F16" w:rsidP="006B23F8">
      <w:pPr>
        <w:widowControl/>
        <w:suppressLineNumbers w:val="0"/>
        <w:shd w:val="clear" w:color="auto" w:fill="FFFFFF"/>
        <w:suppressAutoHyphens w:val="0"/>
        <w:ind w:firstLine="0"/>
        <w:rPr>
          <w:rFonts w:eastAsia="Calibri"/>
          <w:sz w:val="20"/>
          <w:szCs w:val="22"/>
          <w:lang w:eastAsia="en-US"/>
        </w:rPr>
      </w:pPr>
      <w:r w:rsidRPr="008174EF">
        <w:rPr>
          <w:rFonts w:eastAsia="Calibri"/>
          <w:sz w:val="20"/>
          <w:szCs w:val="22"/>
          <w:lang w:eastAsia="en-US"/>
        </w:rPr>
        <w:t>Fonte: Dados da pesquisa (2019).</w:t>
      </w:r>
    </w:p>
    <w:p w14:paraId="57C72421" w14:textId="2038690D" w:rsidR="00980F16" w:rsidRPr="008174EF" w:rsidRDefault="00980F16" w:rsidP="005D6CE9">
      <w:pPr>
        <w:widowControl/>
        <w:suppressLineNumbers w:val="0"/>
        <w:shd w:val="clear" w:color="auto" w:fill="FFFFFF"/>
        <w:tabs>
          <w:tab w:val="left" w:pos="567"/>
        </w:tabs>
        <w:suppressAutoHyphens w:val="0"/>
        <w:ind w:firstLine="0"/>
        <w:rPr>
          <w:rFonts w:eastAsia="Calibri"/>
          <w:szCs w:val="22"/>
          <w:lang w:eastAsia="en-US"/>
        </w:rPr>
      </w:pPr>
      <w:r w:rsidRPr="008174EF">
        <w:rPr>
          <w:rFonts w:eastAsia="Calibri"/>
          <w:szCs w:val="22"/>
          <w:lang w:eastAsia="en-US"/>
        </w:rPr>
        <w:tab/>
        <w:t xml:space="preserve">A conta Aplicações Financeiras possui a maior representatividade média (80,34%) e crescimento de 78,76%. Essa conta se destaca devido à Operadora Alfa seguir a determinação da Agência Nacional de Saúde (ANS) que exige a disponibilidade de recursos monetários como garantia financeira para o cumprimento das obrigações com terceiros. </w:t>
      </w:r>
    </w:p>
    <w:p w14:paraId="0DC1F51C" w14:textId="77777777" w:rsidR="00980F16" w:rsidRPr="008174EF" w:rsidRDefault="00980F16" w:rsidP="00410480">
      <w:pPr>
        <w:widowControl/>
        <w:suppressLineNumbers w:val="0"/>
        <w:suppressAutoHyphens w:val="0"/>
        <w:ind w:firstLine="708"/>
        <w:rPr>
          <w:rFonts w:eastAsia="Calibri"/>
          <w:sz w:val="36"/>
          <w:szCs w:val="22"/>
          <w:lang w:eastAsia="en-US"/>
        </w:rPr>
      </w:pPr>
      <w:r w:rsidRPr="008174EF">
        <w:rPr>
          <w:rFonts w:eastAsia="Calibri"/>
          <w:szCs w:val="22"/>
          <w:lang w:eastAsia="en-US"/>
        </w:rPr>
        <w:t xml:space="preserve">A conta </w:t>
      </w:r>
      <w:r w:rsidRPr="008174EF">
        <w:rPr>
          <w:szCs w:val="18"/>
        </w:rPr>
        <w:t xml:space="preserve">Créditos de Operações com Planos de Assistência à Saúde possui uma participação média de 10,82% e crescimento de 108,01%. Esse crescimento ocorreu devido ao aumento da inadimplência por causa das mensalidades atrasadas de uma parcela de beneficiários. </w:t>
      </w:r>
    </w:p>
    <w:p w14:paraId="1BA7CECB" w14:textId="41B9634C" w:rsidR="009C7342" w:rsidRPr="008174EF" w:rsidRDefault="00980F16" w:rsidP="00716E32">
      <w:pPr>
        <w:widowControl/>
        <w:suppressLineNumbers w:val="0"/>
        <w:suppressAutoHyphens w:val="0"/>
        <w:ind w:firstLine="708"/>
        <w:rPr>
          <w:bCs/>
          <w:szCs w:val="24"/>
        </w:rPr>
      </w:pPr>
      <w:r w:rsidRPr="008174EF">
        <w:rPr>
          <w:rFonts w:eastAsia="Calibri"/>
          <w:szCs w:val="24"/>
          <w:lang w:eastAsia="en-US"/>
        </w:rPr>
        <w:t xml:space="preserve">As contas do Ativo Não Circulante possuem baixa representatividade média (6,16%). Isso indica que a operadora, por ser uma prestadora de serviços, não requer um conjunto elevado de bens de capital para suporte das atividades. A conta </w:t>
      </w:r>
      <w:r w:rsidRPr="008174EF">
        <w:rPr>
          <w:bCs/>
          <w:szCs w:val="24"/>
        </w:rPr>
        <w:t xml:space="preserve">Realizável a Longo Prazo (3,48%) </w:t>
      </w:r>
      <w:r w:rsidRPr="008174EF">
        <w:rPr>
          <w:rFonts w:eastAsia="Calibri"/>
          <w:szCs w:val="24"/>
          <w:lang w:eastAsia="en-US"/>
        </w:rPr>
        <w:t xml:space="preserve">contempla recursos em aplicação financeira e em depósito judicial referente ao valor do INSS Patronal de terceiros, que está em discussão judicial para o não pagamento, uma vez que os terceiros não possuem vínculo empregatício com a Operadora. Por sua vez, </w:t>
      </w:r>
      <w:r w:rsidRPr="008174EF">
        <w:rPr>
          <w:bCs/>
          <w:szCs w:val="24"/>
        </w:rPr>
        <w:t xml:space="preserve">a </w:t>
      </w:r>
      <w:r w:rsidR="00ED0F29" w:rsidRPr="008174EF">
        <w:rPr>
          <w:bCs/>
          <w:szCs w:val="24"/>
        </w:rPr>
        <w:t xml:space="preserve">conta </w:t>
      </w:r>
      <w:r w:rsidR="009C7342" w:rsidRPr="008174EF">
        <w:rPr>
          <w:bCs/>
          <w:szCs w:val="24"/>
        </w:rPr>
        <w:t>I</w:t>
      </w:r>
      <w:r w:rsidR="00ED0F29" w:rsidRPr="008174EF">
        <w:rPr>
          <w:bCs/>
          <w:szCs w:val="24"/>
        </w:rPr>
        <w:t>mobilizado</w:t>
      </w:r>
      <w:r w:rsidRPr="008174EF">
        <w:rPr>
          <w:bCs/>
          <w:szCs w:val="24"/>
        </w:rPr>
        <w:t xml:space="preserve"> (2,68%) é composta, principalmente, por móveis e utensílios destinados às atividades administrativas.</w:t>
      </w:r>
      <w:r w:rsidR="00716E32" w:rsidRPr="008174EF">
        <w:rPr>
          <w:bCs/>
          <w:szCs w:val="24"/>
        </w:rPr>
        <w:t xml:space="preserve"> </w:t>
      </w:r>
    </w:p>
    <w:p w14:paraId="3E964747" w14:textId="62636F0A" w:rsidR="00980F16" w:rsidRPr="008174EF" w:rsidRDefault="00980F16" w:rsidP="005D6CE9">
      <w:pPr>
        <w:widowControl/>
        <w:suppressLineNumbers w:val="0"/>
        <w:suppressAutoHyphens w:val="0"/>
        <w:spacing w:after="120"/>
        <w:rPr>
          <w:rFonts w:eastAsia="Calibri"/>
          <w:szCs w:val="24"/>
          <w:lang w:eastAsia="en-US"/>
        </w:rPr>
      </w:pPr>
      <w:r w:rsidRPr="008174EF">
        <w:rPr>
          <w:rFonts w:eastAsia="Calibri"/>
          <w:szCs w:val="24"/>
          <w:lang w:eastAsia="en-US"/>
        </w:rPr>
        <w:t xml:space="preserve">A Tabela </w:t>
      </w:r>
      <w:r w:rsidR="00102445" w:rsidRPr="008174EF">
        <w:rPr>
          <w:rFonts w:eastAsia="Calibri"/>
          <w:szCs w:val="24"/>
          <w:lang w:eastAsia="en-US"/>
        </w:rPr>
        <w:t>3</w:t>
      </w:r>
      <w:r w:rsidRPr="008174EF">
        <w:rPr>
          <w:rFonts w:eastAsia="Calibri"/>
          <w:szCs w:val="24"/>
          <w:lang w:eastAsia="en-US"/>
        </w:rPr>
        <w:t xml:space="preserve"> mostra o passivo e patrimônio líquido da Operadora Alfa.</w:t>
      </w:r>
    </w:p>
    <w:p w14:paraId="7B994391" w14:textId="78DF2350" w:rsidR="00980F16" w:rsidRPr="008174EF" w:rsidRDefault="0045438C" w:rsidP="00980F16">
      <w:pPr>
        <w:widowControl/>
        <w:suppressLineNumbers w:val="0"/>
        <w:shd w:val="clear" w:color="auto" w:fill="FFFFFF"/>
        <w:tabs>
          <w:tab w:val="left" w:pos="3828"/>
        </w:tabs>
        <w:suppressAutoHyphens w:val="0"/>
        <w:ind w:firstLine="0"/>
        <w:rPr>
          <w:rFonts w:eastAsia="Calibri"/>
          <w:szCs w:val="22"/>
          <w:lang w:eastAsia="en-US"/>
        </w:rPr>
      </w:pPr>
      <w:r>
        <w:rPr>
          <w:rFonts w:eastAsia="Calibri"/>
          <w:b/>
          <w:szCs w:val="22"/>
          <w:lang w:eastAsia="en-US"/>
        </w:rPr>
        <w:t xml:space="preserve"> </w:t>
      </w:r>
      <w:r w:rsidR="00980F16" w:rsidRPr="008174EF">
        <w:rPr>
          <w:rFonts w:eastAsia="Calibri"/>
          <w:b/>
          <w:szCs w:val="22"/>
          <w:lang w:eastAsia="en-US"/>
        </w:rPr>
        <w:t>Tabela</w:t>
      </w:r>
      <w:r w:rsidR="00102445" w:rsidRPr="008174EF">
        <w:rPr>
          <w:rFonts w:eastAsia="Calibri"/>
          <w:b/>
          <w:szCs w:val="22"/>
          <w:lang w:eastAsia="en-US"/>
        </w:rPr>
        <w:t xml:space="preserve"> 3</w:t>
      </w:r>
      <w:r w:rsidR="00980F16" w:rsidRPr="008174EF">
        <w:rPr>
          <w:rFonts w:eastAsia="Calibri"/>
          <w:b/>
          <w:szCs w:val="22"/>
          <w:lang w:eastAsia="en-US"/>
        </w:rPr>
        <w:t xml:space="preserve"> – Passivo e Patrimônio Líquido da Operadora Alfa </w:t>
      </w:r>
      <w:r w:rsidR="00980F16" w:rsidRPr="008174EF">
        <w:rPr>
          <w:rFonts w:eastAsia="Calibri"/>
          <w:szCs w:val="22"/>
          <w:lang w:eastAsia="en-US"/>
        </w:rPr>
        <w:t>(</w:t>
      </w:r>
      <w:r w:rsidR="00980F16" w:rsidRPr="008174EF">
        <w:rPr>
          <w:bCs/>
          <w:szCs w:val="18"/>
        </w:rPr>
        <w:t>em milhares de reais)</w:t>
      </w:r>
    </w:p>
    <w:tbl>
      <w:tblPr>
        <w:tblW w:w="9214" w:type="dxa"/>
        <w:jc w:val="center"/>
        <w:tblCellMar>
          <w:left w:w="70" w:type="dxa"/>
          <w:right w:w="70" w:type="dxa"/>
        </w:tblCellMar>
        <w:tblLook w:val="04A0" w:firstRow="1" w:lastRow="0" w:firstColumn="1" w:lastColumn="0" w:noHBand="0" w:noVBand="1"/>
      </w:tblPr>
      <w:tblGrid>
        <w:gridCol w:w="3544"/>
        <w:gridCol w:w="775"/>
        <w:gridCol w:w="983"/>
        <w:gridCol w:w="875"/>
        <w:gridCol w:w="767"/>
        <w:gridCol w:w="1113"/>
        <w:gridCol w:w="1157"/>
      </w:tblGrid>
      <w:tr w:rsidR="008174EF" w:rsidRPr="008174EF" w14:paraId="09756E73" w14:textId="77777777" w:rsidTr="0045438C">
        <w:trPr>
          <w:trHeight w:val="254"/>
          <w:jc w:val="center"/>
        </w:trPr>
        <w:tc>
          <w:tcPr>
            <w:tcW w:w="3544" w:type="dxa"/>
            <w:tcBorders>
              <w:top w:val="single" w:sz="4" w:space="0" w:color="auto"/>
              <w:left w:val="nil"/>
              <w:bottom w:val="single" w:sz="4" w:space="0" w:color="auto"/>
              <w:right w:val="nil"/>
            </w:tcBorders>
            <w:shd w:val="clear" w:color="auto" w:fill="auto"/>
            <w:noWrap/>
            <w:vAlign w:val="center"/>
            <w:hideMark/>
          </w:tcPr>
          <w:p w14:paraId="41C215B3" w14:textId="77777777" w:rsidR="00980F16" w:rsidRPr="008174EF" w:rsidRDefault="00980F16" w:rsidP="00980F16">
            <w:pPr>
              <w:widowControl/>
              <w:suppressLineNumbers w:val="0"/>
              <w:suppressAutoHyphens w:val="0"/>
              <w:ind w:firstLine="0"/>
              <w:jc w:val="left"/>
              <w:rPr>
                <w:b/>
                <w:bCs/>
                <w:sz w:val="20"/>
              </w:rPr>
            </w:pPr>
            <w:r w:rsidRPr="008174EF">
              <w:rPr>
                <w:b/>
                <w:bCs/>
                <w:sz w:val="20"/>
              </w:rPr>
              <w:t>Passivo</w:t>
            </w:r>
          </w:p>
        </w:tc>
        <w:tc>
          <w:tcPr>
            <w:tcW w:w="775" w:type="dxa"/>
            <w:tcBorders>
              <w:top w:val="single" w:sz="4" w:space="0" w:color="auto"/>
              <w:left w:val="nil"/>
              <w:bottom w:val="single" w:sz="4" w:space="0" w:color="auto"/>
              <w:right w:val="nil"/>
            </w:tcBorders>
            <w:shd w:val="clear" w:color="auto" w:fill="auto"/>
            <w:noWrap/>
            <w:vAlign w:val="center"/>
            <w:hideMark/>
          </w:tcPr>
          <w:p w14:paraId="4DC74FF7"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2015</w:t>
            </w:r>
          </w:p>
        </w:tc>
        <w:tc>
          <w:tcPr>
            <w:tcW w:w="983" w:type="dxa"/>
            <w:tcBorders>
              <w:top w:val="single" w:sz="4" w:space="0" w:color="auto"/>
              <w:left w:val="nil"/>
              <w:bottom w:val="single" w:sz="4" w:space="0" w:color="auto"/>
              <w:right w:val="nil"/>
            </w:tcBorders>
            <w:shd w:val="clear" w:color="auto" w:fill="auto"/>
            <w:noWrap/>
            <w:vAlign w:val="center"/>
            <w:hideMark/>
          </w:tcPr>
          <w:p w14:paraId="72538BB2"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2016</w:t>
            </w:r>
          </w:p>
        </w:tc>
        <w:tc>
          <w:tcPr>
            <w:tcW w:w="875" w:type="dxa"/>
            <w:tcBorders>
              <w:top w:val="single" w:sz="4" w:space="0" w:color="auto"/>
              <w:left w:val="nil"/>
              <w:bottom w:val="single" w:sz="4" w:space="0" w:color="auto"/>
              <w:right w:val="nil"/>
            </w:tcBorders>
            <w:shd w:val="clear" w:color="auto" w:fill="auto"/>
            <w:noWrap/>
            <w:vAlign w:val="center"/>
            <w:hideMark/>
          </w:tcPr>
          <w:p w14:paraId="0A232B1F"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2017</w:t>
            </w:r>
          </w:p>
        </w:tc>
        <w:tc>
          <w:tcPr>
            <w:tcW w:w="767" w:type="dxa"/>
            <w:tcBorders>
              <w:top w:val="single" w:sz="4" w:space="0" w:color="auto"/>
              <w:left w:val="nil"/>
              <w:bottom w:val="single" w:sz="4" w:space="0" w:color="auto"/>
              <w:right w:val="nil"/>
            </w:tcBorders>
            <w:shd w:val="clear" w:color="auto" w:fill="auto"/>
            <w:noWrap/>
            <w:vAlign w:val="center"/>
            <w:hideMark/>
          </w:tcPr>
          <w:p w14:paraId="0239F6B1"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2018</w:t>
            </w:r>
          </w:p>
        </w:tc>
        <w:tc>
          <w:tcPr>
            <w:tcW w:w="1113" w:type="dxa"/>
            <w:tcBorders>
              <w:top w:val="single" w:sz="4" w:space="0" w:color="auto"/>
              <w:left w:val="nil"/>
              <w:bottom w:val="single" w:sz="4" w:space="0" w:color="auto"/>
              <w:right w:val="nil"/>
            </w:tcBorders>
            <w:shd w:val="clear" w:color="auto" w:fill="auto"/>
            <w:noWrap/>
            <w:vAlign w:val="center"/>
            <w:hideMark/>
          </w:tcPr>
          <w:p w14:paraId="04B9A126" w14:textId="34B7E333" w:rsidR="00980F16" w:rsidRPr="008174EF" w:rsidRDefault="009C7342" w:rsidP="00952BE5">
            <w:pPr>
              <w:widowControl/>
              <w:suppressLineNumbers w:val="0"/>
              <w:suppressAutoHyphens w:val="0"/>
              <w:ind w:firstLine="0"/>
              <w:jc w:val="center"/>
              <w:rPr>
                <w:b/>
                <w:bCs/>
                <w:sz w:val="20"/>
              </w:rPr>
            </w:pPr>
            <w:r w:rsidRPr="008174EF">
              <w:rPr>
                <w:b/>
                <w:bCs/>
                <w:sz w:val="20"/>
              </w:rPr>
              <w:t>A.V.</w:t>
            </w:r>
          </w:p>
        </w:tc>
        <w:tc>
          <w:tcPr>
            <w:tcW w:w="1157" w:type="dxa"/>
            <w:tcBorders>
              <w:top w:val="single" w:sz="4" w:space="0" w:color="auto"/>
              <w:left w:val="nil"/>
              <w:bottom w:val="single" w:sz="4" w:space="0" w:color="auto"/>
              <w:right w:val="nil"/>
            </w:tcBorders>
            <w:shd w:val="clear" w:color="auto" w:fill="auto"/>
            <w:noWrap/>
            <w:vAlign w:val="center"/>
            <w:hideMark/>
          </w:tcPr>
          <w:p w14:paraId="6067CECD" w14:textId="0D93EDA7" w:rsidR="00980F16" w:rsidRPr="008174EF" w:rsidRDefault="009C7342" w:rsidP="00952BE5">
            <w:pPr>
              <w:widowControl/>
              <w:suppressLineNumbers w:val="0"/>
              <w:suppressAutoHyphens w:val="0"/>
              <w:ind w:firstLine="0"/>
              <w:jc w:val="center"/>
              <w:rPr>
                <w:b/>
                <w:bCs/>
                <w:sz w:val="20"/>
              </w:rPr>
            </w:pPr>
            <w:r w:rsidRPr="008174EF">
              <w:rPr>
                <w:b/>
                <w:bCs/>
                <w:sz w:val="20"/>
              </w:rPr>
              <w:t>A.H.</w:t>
            </w:r>
          </w:p>
        </w:tc>
      </w:tr>
      <w:tr w:rsidR="008174EF" w:rsidRPr="008174EF" w14:paraId="6BAB3F7E" w14:textId="77777777" w:rsidTr="0045438C">
        <w:trPr>
          <w:trHeight w:val="254"/>
          <w:jc w:val="center"/>
        </w:trPr>
        <w:tc>
          <w:tcPr>
            <w:tcW w:w="3544" w:type="dxa"/>
            <w:tcBorders>
              <w:top w:val="nil"/>
              <w:left w:val="nil"/>
              <w:bottom w:val="nil"/>
              <w:right w:val="nil"/>
            </w:tcBorders>
            <w:shd w:val="clear" w:color="auto" w:fill="auto"/>
            <w:vAlign w:val="center"/>
            <w:hideMark/>
          </w:tcPr>
          <w:p w14:paraId="791AF01D" w14:textId="77777777" w:rsidR="00980F16" w:rsidRPr="008174EF" w:rsidRDefault="00980F16" w:rsidP="00980F16">
            <w:pPr>
              <w:widowControl/>
              <w:suppressLineNumbers w:val="0"/>
              <w:suppressAutoHyphens w:val="0"/>
              <w:ind w:firstLine="0"/>
              <w:jc w:val="left"/>
              <w:rPr>
                <w:b/>
                <w:bCs/>
                <w:sz w:val="20"/>
              </w:rPr>
            </w:pPr>
            <w:r w:rsidRPr="008174EF">
              <w:rPr>
                <w:b/>
                <w:bCs/>
                <w:sz w:val="20"/>
              </w:rPr>
              <w:t>Passivo Não Circulante</w:t>
            </w:r>
          </w:p>
        </w:tc>
        <w:tc>
          <w:tcPr>
            <w:tcW w:w="775" w:type="dxa"/>
            <w:tcBorders>
              <w:top w:val="nil"/>
              <w:left w:val="nil"/>
              <w:bottom w:val="nil"/>
              <w:right w:val="nil"/>
            </w:tcBorders>
            <w:shd w:val="clear" w:color="auto" w:fill="auto"/>
            <w:noWrap/>
            <w:vAlign w:val="center"/>
            <w:hideMark/>
          </w:tcPr>
          <w:p w14:paraId="197A8D89" w14:textId="77777777" w:rsidR="00980F16" w:rsidRPr="008174EF" w:rsidRDefault="00980F16" w:rsidP="00980F16">
            <w:pPr>
              <w:widowControl/>
              <w:suppressLineNumbers w:val="0"/>
              <w:suppressAutoHyphens w:val="0"/>
              <w:ind w:firstLine="0"/>
              <w:jc w:val="right"/>
              <w:rPr>
                <w:b/>
                <w:bCs/>
                <w:sz w:val="20"/>
              </w:rPr>
            </w:pPr>
            <w:r w:rsidRPr="008174EF">
              <w:rPr>
                <w:b/>
                <w:bCs/>
                <w:sz w:val="20"/>
              </w:rPr>
              <w:t>2.906</w:t>
            </w:r>
          </w:p>
        </w:tc>
        <w:tc>
          <w:tcPr>
            <w:tcW w:w="983" w:type="dxa"/>
            <w:tcBorders>
              <w:top w:val="nil"/>
              <w:left w:val="nil"/>
              <w:bottom w:val="nil"/>
              <w:right w:val="nil"/>
            </w:tcBorders>
            <w:shd w:val="clear" w:color="auto" w:fill="auto"/>
            <w:noWrap/>
            <w:vAlign w:val="center"/>
            <w:hideMark/>
          </w:tcPr>
          <w:p w14:paraId="0D948422" w14:textId="77777777" w:rsidR="00980F16" w:rsidRPr="008174EF" w:rsidRDefault="00980F16" w:rsidP="00980F16">
            <w:pPr>
              <w:widowControl/>
              <w:suppressLineNumbers w:val="0"/>
              <w:suppressAutoHyphens w:val="0"/>
              <w:ind w:firstLine="0"/>
              <w:jc w:val="right"/>
              <w:rPr>
                <w:b/>
                <w:bCs/>
                <w:sz w:val="20"/>
              </w:rPr>
            </w:pPr>
            <w:r w:rsidRPr="008174EF">
              <w:rPr>
                <w:b/>
                <w:bCs/>
                <w:sz w:val="20"/>
              </w:rPr>
              <w:t>3.718</w:t>
            </w:r>
          </w:p>
        </w:tc>
        <w:tc>
          <w:tcPr>
            <w:tcW w:w="875" w:type="dxa"/>
            <w:tcBorders>
              <w:top w:val="nil"/>
              <w:left w:val="nil"/>
              <w:bottom w:val="nil"/>
              <w:right w:val="nil"/>
            </w:tcBorders>
            <w:shd w:val="clear" w:color="auto" w:fill="auto"/>
            <w:noWrap/>
            <w:vAlign w:val="center"/>
            <w:hideMark/>
          </w:tcPr>
          <w:p w14:paraId="159DCB25" w14:textId="77777777" w:rsidR="00980F16" w:rsidRPr="008174EF" w:rsidRDefault="00980F16" w:rsidP="00980F16">
            <w:pPr>
              <w:widowControl/>
              <w:suppressLineNumbers w:val="0"/>
              <w:suppressAutoHyphens w:val="0"/>
              <w:ind w:firstLine="0"/>
              <w:jc w:val="right"/>
              <w:rPr>
                <w:b/>
                <w:bCs/>
                <w:sz w:val="20"/>
              </w:rPr>
            </w:pPr>
            <w:r w:rsidRPr="008174EF">
              <w:rPr>
                <w:b/>
                <w:bCs/>
                <w:sz w:val="20"/>
              </w:rPr>
              <w:t>3.415</w:t>
            </w:r>
          </w:p>
        </w:tc>
        <w:tc>
          <w:tcPr>
            <w:tcW w:w="767" w:type="dxa"/>
            <w:tcBorders>
              <w:top w:val="nil"/>
              <w:left w:val="nil"/>
              <w:bottom w:val="nil"/>
              <w:right w:val="nil"/>
            </w:tcBorders>
            <w:shd w:val="clear" w:color="auto" w:fill="auto"/>
            <w:noWrap/>
            <w:vAlign w:val="center"/>
            <w:hideMark/>
          </w:tcPr>
          <w:p w14:paraId="61870628" w14:textId="77777777" w:rsidR="00980F16" w:rsidRPr="008174EF" w:rsidRDefault="00980F16" w:rsidP="00980F16">
            <w:pPr>
              <w:widowControl/>
              <w:suppressLineNumbers w:val="0"/>
              <w:suppressAutoHyphens w:val="0"/>
              <w:ind w:firstLine="0"/>
              <w:jc w:val="right"/>
              <w:rPr>
                <w:b/>
                <w:bCs/>
                <w:sz w:val="20"/>
              </w:rPr>
            </w:pPr>
            <w:r w:rsidRPr="008174EF">
              <w:rPr>
                <w:b/>
                <w:bCs/>
                <w:sz w:val="20"/>
              </w:rPr>
              <w:t>3.644</w:t>
            </w:r>
          </w:p>
        </w:tc>
        <w:tc>
          <w:tcPr>
            <w:tcW w:w="1113" w:type="dxa"/>
            <w:tcBorders>
              <w:top w:val="nil"/>
              <w:left w:val="nil"/>
              <w:bottom w:val="nil"/>
              <w:right w:val="nil"/>
            </w:tcBorders>
            <w:shd w:val="clear" w:color="auto" w:fill="auto"/>
            <w:noWrap/>
            <w:vAlign w:val="center"/>
            <w:hideMark/>
          </w:tcPr>
          <w:p w14:paraId="140423D2" w14:textId="77777777" w:rsidR="00980F16" w:rsidRPr="008174EF" w:rsidRDefault="00980F16" w:rsidP="00980F16">
            <w:pPr>
              <w:widowControl/>
              <w:suppressLineNumbers w:val="0"/>
              <w:suppressAutoHyphens w:val="0"/>
              <w:ind w:firstLine="0"/>
              <w:jc w:val="right"/>
              <w:rPr>
                <w:b/>
                <w:bCs/>
                <w:sz w:val="20"/>
              </w:rPr>
            </w:pPr>
            <w:r w:rsidRPr="008174EF">
              <w:rPr>
                <w:b/>
                <w:bCs/>
                <w:sz w:val="20"/>
              </w:rPr>
              <w:t>91,39%</w:t>
            </w:r>
          </w:p>
        </w:tc>
        <w:tc>
          <w:tcPr>
            <w:tcW w:w="1157" w:type="dxa"/>
            <w:tcBorders>
              <w:top w:val="nil"/>
              <w:left w:val="nil"/>
              <w:bottom w:val="nil"/>
              <w:right w:val="nil"/>
            </w:tcBorders>
            <w:shd w:val="clear" w:color="auto" w:fill="auto"/>
            <w:noWrap/>
            <w:vAlign w:val="center"/>
            <w:hideMark/>
          </w:tcPr>
          <w:p w14:paraId="7DDEE95B" w14:textId="77777777" w:rsidR="00980F16" w:rsidRPr="008174EF" w:rsidRDefault="00980F16" w:rsidP="00980F16">
            <w:pPr>
              <w:widowControl/>
              <w:suppressLineNumbers w:val="0"/>
              <w:suppressAutoHyphens w:val="0"/>
              <w:ind w:firstLine="0"/>
              <w:jc w:val="right"/>
              <w:rPr>
                <w:b/>
                <w:bCs/>
                <w:sz w:val="20"/>
              </w:rPr>
            </w:pPr>
            <w:r w:rsidRPr="008174EF">
              <w:rPr>
                <w:b/>
                <w:bCs/>
                <w:sz w:val="20"/>
              </w:rPr>
              <w:t>25,41%</w:t>
            </w:r>
          </w:p>
        </w:tc>
      </w:tr>
      <w:tr w:rsidR="008174EF" w:rsidRPr="008174EF" w14:paraId="54C8B216"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23AFB34B" w14:textId="77777777" w:rsidR="00980F16" w:rsidRPr="008174EF" w:rsidRDefault="00980F16" w:rsidP="00980F16">
            <w:pPr>
              <w:widowControl/>
              <w:suppressLineNumbers w:val="0"/>
              <w:suppressAutoHyphens w:val="0"/>
              <w:ind w:firstLine="0"/>
              <w:jc w:val="left"/>
              <w:rPr>
                <w:sz w:val="20"/>
              </w:rPr>
            </w:pPr>
            <w:r w:rsidRPr="008174EF">
              <w:rPr>
                <w:sz w:val="20"/>
              </w:rPr>
              <w:t>Provisões Téc. de Op. de Assist. à Saúde</w:t>
            </w:r>
          </w:p>
        </w:tc>
        <w:tc>
          <w:tcPr>
            <w:tcW w:w="775" w:type="dxa"/>
            <w:tcBorders>
              <w:top w:val="nil"/>
              <w:left w:val="nil"/>
              <w:bottom w:val="nil"/>
              <w:right w:val="nil"/>
            </w:tcBorders>
            <w:shd w:val="clear" w:color="auto" w:fill="auto"/>
            <w:noWrap/>
            <w:vAlign w:val="center"/>
            <w:hideMark/>
          </w:tcPr>
          <w:p w14:paraId="267E1B17" w14:textId="77777777" w:rsidR="00980F16" w:rsidRPr="008174EF" w:rsidRDefault="00980F16" w:rsidP="00980F16">
            <w:pPr>
              <w:widowControl/>
              <w:suppressLineNumbers w:val="0"/>
              <w:suppressAutoHyphens w:val="0"/>
              <w:ind w:firstLine="0"/>
              <w:jc w:val="right"/>
              <w:rPr>
                <w:sz w:val="20"/>
              </w:rPr>
            </w:pPr>
            <w:r w:rsidRPr="008174EF">
              <w:rPr>
                <w:sz w:val="20"/>
              </w:rPr>
              <w:t>2.353</w:t>
            </w:r>
          </w:p>
        </w:tc>
        <w:tc>
          <w:tcPr>
            <w:tcW w:w="983" w:type="dxa"/>
            <w:tcBorders>
              <w:top w:val="nil"/>
              <w:left w:val="nil"/>
              <w:bottom w:val="nil"/>
              <w:right w:val="nil"/>
            </w:tcBorders>
            <w:shd w:val="clear" w:color="auto" w:fill="auto"/>
            <w:noWrap/>
            <w:vAlign w:val="center"/>
            <w:hideMark/>
          </w:tcPr>
          <w:p w14:paraId="4EE208D6" w14:textId="77777777" w:rsidR="00980F16" w:rsidRPr="008174EF" w:rsidRDefault="00980F16" w:rsidP="00980F16">
            <w:pPr>
              <w:widowControl/>
              <w:suppressLineNumbers w:val="0"/>
              <w:suppressAutoHyphens w:val="0"/>
              <w:ind w:firstLine="0"/>
              <w:jc w:val="right"/>
              <w:rPr>
                <w:sz w:val="20"/>
              </w:rPr>
            </w:pPr>
            <w:r w:rsidRPr="008174EF">
              <w:rPr>
                <w:sz w:val="20"/>
              </w:rPr>
              <w:t>2.846</w:t>
            </w:r>
          </w:p>
        </w:tc>
        <w:tc>
          <w:tcPr>
            <w:tcW w:w="875" w:type="dxa"/>
            <w:tcBorders>
              <w:top w:val="nil"/>
              <w:left w:val="nil"/>
              <w:bottom w:val="nil"/>
              <w:right w:val="nil"/>
            </w:tcBorders>
            <w:shd w:val="clear" w:color="auto" w:fill="auto"/>
            <w:noWrap/>
            <w:vAlign w:val="center"/>
            <w:hideMark/>
          </w:tcPr>
          <w:p w14:paraId="5079DE85" w14:textId="77777777" w:rsidR="00980F16" w:rsidRPr="008174EF" w:rsidRDefault="00980F16" w:rsidP="00980F16">
            <w:pPr>
              <w:widowControl/>
              <w:suppressLineNumbers w:val="0"/>
              <w:suppressAutoHyphens w:val="0"/>
              <w:ind w:firstLine="0"/>
              <w:jc w:val="right"/>
              <w:rPr>
                <w:sz w:val="20"/>
              </w:rPr>
            </w:pPr>
            <w:r w:rsidRPr="008174EF">
              <w:rPr>
                <w:sz w:val="20"/>
              </w:rPr>
              <w:t>2.897</w:t>
            </w:r>
          </w:p>
        </w:tc>
        <w:tc>
          <w:tcPr>
            <w:tcW w:w="767" w:type="dxa"/>
            <w:tcBorders>
              <w:top w:val="nil"/>
              <w:left w:val="nil"/>
              <w:bottom w:val="nil"/>
              <w:right w:val="nil"/>
            </w:tcBorders>
            <w:shd w:val="clear" w:color="auto" w:fill="auto"/>
            <w:noWrap/>
            <w:vAlign w:val="center"/>
            <w:hideMark/>
          </w:tcPr>
          <w:p w14:paraId="6E5A79EB" w14:textId="77777777" w:rsidR="00980F16" w:rsidRPr="008174EF" w:rsidRDefault="00980F16" w:rsidP="00980F16">
            <w:pPr>
              <w:widowControl/>
              <w:suppressLineNumbers w:val="0"/>
              <w:suppressAutoHyphens w:val="0"/>
              <w:ind w:firstLine="0"/>
              <w:jc w:val="right"/>
              <w:rPr>
                <w:sz w:val="20"/>
              </w:rPr>
            </w:pPr>
            <w:r w:rsidRPr="008174EF">
              <w:rPr>
                <w:sz w:val="20"/>
              </w:rPr>
              <w:t>3.210</w:t>
            </w:r>
          </w:p>
        </w:tc>
        <w:tc>
          <w:tcPr>
            <w:tcW w:w="1113" w:type="dxa"/>
            <w:tcBorders>
              <w:top w:val="nil"/>
              <w:left w:val="nil"/>
              <w:bottom w:val="nil"/>
              <w:right w:val="nil"/>
            </w:tcBorders>
            <w:shd w:val="clear" w:color="auto" w:fill="auto"/>
            <w:noWrap/>
            <w:vAlign w:val="center"/>
            <w:hideMark/>
          </w:tcPr>
          <w:p w14:paraId="200411E7" w14:textId="77777777" w:rsidR="00980F16" w:rsidRPr="008174EF" w:rsidRDefault="00980F16" w:rsidP="00980F16">
            <w:pPr>
              <w:widowControl/>
              <w:suppressLineNumbers w:val="0"/>
              <w:suppressAutoHyphens w:val="0"/>
              <w:ind w:firstLine="0"/>
              <w:jc w:val="right"/>
              <w:rPr>
                <w:sz w:val="20"/>
              </w:rPr>
            </w:pPr>
            <w:r w:rsidRPr="008174EF">
              <w:rPr>
                <w:sz w:val="20"/>
              </w:rPr>
              <w:t>75,52%</w:t>
            </w:r>
          </w:p>
        </w:tc>
        <w:tc>
          <w:tcPr>
            <w:tcW w:w="1157" w:type="dxa"/>
            <w:tcBorders>
              <w:top w:val="nil"/>
              <w:left w:val="nil"/>
              <w:bottom w:val="nil"/>
              <w:right w:val="nil"/>
            </w:tcBorders>
            <w:shd w:val="clear" w:color="auto" w:fill="auto"/>
            <w:noWrap/>
            <w:vAlign w:val="center"/>
            <w:hideMark/>
          </w:tcPr>
          <w:p w14:paraId="572F8330" w14:textId="77777777" w:rsidR="00980F16" w:rsidRPr="008174EF" w:rsidRDefault="00980F16" w:rsidP="00980F16">
            <w:pPr>
              <w:widowControl/>
              <w:suppressLineNumbers w:val="0"/>
              <w:suppressAutoHyphens w:val="0"/>
              <w:ind w:firstLine="0"/>
              <w:jc w:val="right"/>
              <w:rPr>
                <w:sz w:val="20"/>
              </w:rPr>
            </w:pPr>
            <w:r w:rsidRPr="008174EF">
              <w:rPr>
                <w:sz w:val="20"/>
              </w:rPr>
              <w:t>36,42%</w:t>
            </w:r>
          </w:p>
        </w:tc>
      </w:tr>
      <w:tr w:rsidR="008174EF" w:rsidRPr="008174EF" w14:paraId="2165226C"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3264D42E" w14:textId="77777777" w:rsidR="00980F16" w:rsidRPr="008174EF" w:rsidRDefault="00980F16" w:rsidP="00980F16">
            <w:pPr>
              <w:widowControl/>
              <w:suppressLineNumbers w:val="0"/>
              <w:suppressAutoHyphens w:val="0"/>
              <w:ind w:firstLine="0"/>
              <w:jc w:val="left"/>
              <w:rPr>
                <w:sz w:val="20"/>
              </w:rPr>
            </w:pPr>
            <w:r w:rsidRPr="008174EF">
              <w:rPr>
                <w:sz w:val="20"/>
              </w:rPr>
              <w:t>Débitos de Op. de Assist. à Saúde</w:t>
            </w:r>
          </w:p>
        </w:tc>
        <w:tc>
          <w:tcPr>
            <w:tcW w:w="775" w:type="dxa"/>
            <w:tcBorders>
              <w:top w:val="nil"/>
              <w:left w:val="nil"/>
              <w:bottom w:val="nil"/>
              <w:right w:val="nil"/>
            </w:tcBorders>
            <w:shd w:val="clear" w:color="auto" w:fill="auto"/>
            <w:noWrap/>
            <w:vAlign w:val="center"/>
            <w:hideMark/>
          </w:tcPr>
          <w:p w14:paraId="612CA88C" w14:textId="77777777" w:rsidR="00980F16" w:rsidRPr="008174EF" w:rsidRDefault="00980F16" w:rsidP="00980F16">
            <w:pPr>
              <w:widowControl/>
              <w:suppressLineNumbers w:val="0"/>
              <w:suppressAutoHyphens w:val="0"/>
              <w:ind w:firstLine="0"/>
              <w:jc w:val="right"/>
              <w:rPr>
                <w:sz w:val="20"/>
              </w:rPr>
            </w:pPr>
            <w:r w:rsidRPr="008174EF">
              <w:rPr>
                <w:sz w:val="20"/>
              </w:rPr>
              <w:t>0</w:t>
            </w:r>
          </w:p>
        </w:tc>
        <w:tc>
          <w:tcPr>
            <w:tcW w:w="983" w:type="dxa"/>
            <w:tcBorders>
              <w:top w:val="nil"/>
              <w:left w:val="nil"/>
              <w:bottom w:val="nil"/>
              <w:right w:val="nil"/>
            </w:tcBorders>
            <w:shd w:val="clear" w:color="auto" w:fill="auto"/>
            <w:noWrap/>
            <w:vAlign w:val="center"/>
            <w:hideMark/>
          </w:tcPr>
          <w:p w14:paraId="094AF9C6" w14:textId="77777777" w:rsidR="00980F16" w:rsidRPr="008174EF" w:rsidRDefault="00980F16" w:rsidP="00980F16">
            <w:pPr>
              <w:widowControl/>
              <w:suppressLineNumbers w:val="0"/>
              <w:suppressAutoHyphens w:val="0"/>
              <w:ind w:firstLine="0"/>
              <w:jc w:val="right"/>
              <w:rPr>
                <w:sz w:val="20"/>
              </w:rPr>
            </w:pPr>
          </w:p>
        </w:tc>
        <w:tc>
          <w:tcPr>
            <w:tcW w:w="875" w:type="dxa"/>
            <w:tcBorders>
              <w:top w:val="nil"/>
              <w:left w:val="nil"/>
              <w:bottom w:val="nil"/>
              <w:right w:val="nil"/>
            </w:tcBorders>
            <w:shd w:val="clear" w:color="auto" w:fill="auto"/>
            <w:noWrap/>
            <w:vAlign w:val="center"/>
            <w:hideMark/>
          </w:tcPr>
          <w:p w14:paraId="1C5CDE86" w14:textId="77777777" w:rsidR="00980F16" w:rsidRPr="008174EF" w:rsidRDefault="00980F16" w:rsidP="00980F16">
            <w:pPr>
              <w:widowControl/>
              <w:suppressLineNumbers w:val="0"/>
              <w:suppressAutoHyphens w:val="0"/>
              <w:ind w:firstLine="0"/>
              <w:jc w:val="right"/>
              <w:rPr>
                <w:sz w:val="20"/>
              </w:rPr>
            </w:pPr>
            <w:r w:rsidRPr="008174EF">
              <w:rPr>
                <w:sz w:val="20"/>
              </w:rPr>
              <w:t>14</w:t>
            </w:r>
          </w:p>
        </w:tc>
        <w:tc>
          <w:tcPr>
            <w:tcW w:w="767" w:type="dxa"/>
            <w:tcBorders>
              <w:top w:val="nil"/>
              <w:left w:val="nil"/>
              <w:bottom w:val="nil"/>
              <w:right w:val="nil"/>
            </w:tcBorders>
            <w:shd w:val="clear" w:color="auto" w:fill="auto"/>
            <w:noWrap/>
            <w:vAlign w:val="center"/>
            <w:hideMark/>
          </w:tcPr>
          <w:p w14:paraId="31D179FF" w14:textId="77777777" w:rsidR="00980F16" w:rsidRPr="008174EF" w:rsidRDefault="00980F16" w:rsidP="00980F16">
            <w:pPr>
              <w:widowControl/>
              <w:suppressLineNumbers w:val="0"/>
              <w:suppressAutoHyphens w:val="0"/>
              <w:ind w:firstLine="0"/>
              <w:jc w:val="right"/>
              <w:rPr>
                <w:sz w:val="20"/>
              </w:rPr>
            </w:pPr>
            <w:r w:rsidRPr="008174EF">
              <w:rPr>
                <w:sz w:val="20"/>
              </w:rPr>
              <w:t>12</w:t>
            </w:r>
          </w:p>
        </w:tc>
        <w:tc>
          <w:tcPr>
            <w:tcW w:w="1113" w:type="dxa"/>
            <w:tcBorders>
              <w:top w:val="nil"/>
              <w:left w:val="nil"/>
              <w:bottom w:val="nil"/>
              <w:right w:val="nil"/>
            </w:tcBorders>
            <w:shd w:val="clear" w:color="auto" w:fill="auto"/>
            <w:noWrap/>
            <w:vAlign w:val="center"/>
            <w:hideMark/>
          </w:tcPr>
          <w:p w14:paraId="4C41F1C5" w14:textId="77777777" w:rsidR="00980F16" w:rsidRPr="008174EF" w:rsidRDefault="00980F16" w:rsidP="00980F16">
            <w:pPr>
              <w:widowControl/>
              <w:suppressLineNumbers w:val="0"/>
              <w:suppressAutoHyphens w:val="0"/>
              <w:ind w:firstLine="0"/>
              <w:jc w:val="right"/>
              <w:rPr>
                <w:sz w:val="20"/>
              </w:rPr>
            </w:pPr>
            <w:r w:rsidRPr="008174EF">
              <w:rPr>
                <w:sz w:val="20"/>
              </w:rPr>
              <w:t>0,18%</w:t>
            </w:r>
          </w:p>
        </w:tc>
        <w:tc>
          <w:tcPr>
            <w:tcW w:w="1157" w:type="dxa"/>
            <w:tcBorders>
              <w:top w:val="nil"/>
              <w:left w:val="nil"/>
              <w:bottom w:val="nil"/>
              <w:right w:val="nil"/>
            </w:tcBorders>
            <w:shd w:val="clear" w:color="auto" w:fill="auto"/>
            <w:noWrap/>
            <w:vAlign w:val="center"/>
            <w:hideMark/>
          </w:tcPr>
          <w:p w14:paraId="18E4ED02" w14:textId="77777777" w:rsidR="00980F16" w:rsidRPr="008174EF" w:rsidRDefault="00980F16" w:rsidP="00980F16">
            <w:pPr>
              <w:widowControl/>
              <w:suppressLineNumbers w:val="0"/>
              <w:suppressAutoHyphens w:val="0"/>
              <w:ind w:firstLine="0"/>
              <w:jc w:val="right"/>
              <w:rPr>
                <w:sz w:val="20"/>
              </w:rPr>
            </w:pPr>
            <w:r w:rsidRPr="008174EF">
              <w:rPr>
                <w:sz w:val="20"/>
              </w:rPr>
              <w:t>2.720,00%</w:t>
            </w:r>
          </w:p>
        </w:tc>
      </w:tr>
      <w:tr w:rsidR="008174EF" w:rsidRPr="008174EF" w14:paraId="063ABEA2"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3FE641A8" w14:textId="77777777" w:rsidR="00980F16" w:rsidRPr="008174EF" w:rsidRDefault="00980F16" w:rsidP="00980F16">
            <w:pPr>
              <w:widowControl/>
              <w:suppressLineNumbers w:val="0"/>
              <w:suppressAutoHyphens w:val="0"/>
              <w:ind w:firstLine="0"/>
              <w:jc w:val="left"/>
              <w:rPr>
                <w:sz w:val="20"/>
              </w:rPr>
            </w:pPr>
            <w:r w:rsidRPr="008174EF">
              <w:rPr>
                <w:sz w:val="20"/>
              </w:rPr>
              <w:t>Provisões</w:t>
            </w:r>
          </w:p>
        </w:tc>
        <w:tc>
          <w:tcPr>
            <w:tcW w:w="775" w:type="dxa"/>
            <w:tcBorders>
              <w:top w:val="nil"/>
              <w:left w:val="nil"/>
              <w:bottom w:val="nil"/>
              <w:right w:val="nil"/>
            </w:tcBorders>
            <w:shd w:val="clear" w:color="auto" w:fill="auto"/>
            <w:noWrap/>
            <w:vAlign w:val="center"/>
            <w:hideMark/>
          </w:tcPr>
          <w:p w14:paraId="7F719B40" w14:textId="77777777" w:rsidR="00980F16" w:rsidRPr="008174EF" w:rsidRDefault="00980F16" w:rsidP="00980F16">
            <w:pPr>
              <w:widowControl/>
              <w:suppressLineNumbers w:val="0"/>
              <w:suppressAutoHyphens w:val="0"/>
              <w:ind w:firstLine="0"/>
              <w:jc w:val="right"/>
              <w:rPr>
                <w:sz w:val="20"/>
              </w:rPr>
            </w:pPr>
            <w:r w:rsidRPr="008174EF">
              <w:rPr>
                <w:sz w:val="20"/>
              </w:rPr>
              <w:t>256</w:t>
            </w:r>
          </w:p>
        </w:tc>
        <w:tc>
          <w:tcPr>
            <w:tcW w:w="983" w:type="dxa"/>
            <w:tcBorders>
              <w:top w:val="nil"/>
              <w:left w:val="nil"/>
              <w:bottom w:val="nil"/>
              <w:right w:val="nil"/>
            </w:tcBorders>
            <w:shd w:val="clear" w:color="auto" w:fill="auto"/>
            <w:noWrap/>
            <w:vAlign w:val="center"/>
            <w:hideMark/>
          </w:tcPr>
          <w:p w14:paraId="445DE28E" w14:textId="77777777" w:rsidR="00980F16" w:rsidRPr="008174EF" w:rsidRDefault="00980F16" w:rsidP="00980F16">
            <w:pPr>
              <w:widowControl/>
              <w:suppressLineNumbers w:val="0"/>
              <w:suppressAutoHyphens w:val="0"/>
              <w:ind w:firstLine="0"/>
              <w:jc w:val="right"/>
              <w:rPr>
                <w:sz w:val="20"/>
              </w:rPr>
            </w:pPr>
            <w:r w:rsidRPr="008174EF">
              <w:rPr>
                <w:sz w:val="20"/>
              </w:rPr>
              <w:t>510</w:t>
            </w:r>
          </w:p>
        </w:tc>
        <w:tc>
          <w:tcPr>
            <w:tcW w:w="875" w:type="dxa"/>
            <w:tcBorders>
              <w:top w:val="nil"/>
              <w:left w:val="nil"/>
              <w:bottom w:val="nil"/>
              <w:right w:val="nil"/>
            </w:tcBorders>
            <w:shd w:val="clear" w:color="auto" w:fill="auto"/>
            <w:noWrap/>
            <w:vAlign w:val="center"/>
            <w:hideMark/>
          </w:tcPr>
          <w:p w14:paraId="60C9489C" w14:textId="77777777" w:rsidR="00980F16" w:rsidRPr="008174EF" w:rsidRDefault="00980F16" w:rsidP="00980F16">
            <w:pPr>
              <w:widowControl/>
              <w:suppressLineNumbers w:val="0"/>
              <w:suppressAutoHyphens w:val="0"/>
              <w:ind w:firstLine="0"/>
              <w:jc w:val="right"/>
              <w:rPr>
                <w:sz w:val="20"/>
              </w:rPr>
            </w:pPr>
            <w:r w:rsidRPr="008174EF">
              <w:rPr>
                <w:sz w:val="20"/>
              </w:rPr>
              <w:t>46</w:t>
            </w:r>
          </w:p>
        </w:tc>
        <w:tc>
          <w:tcPr>
            <w:tcW w:w="767" w:type="dxa"/>
            <w:tcBorders>
              <w:top w:val="nil"/>
              <w:left w:val="nil"/>
              <w:bottom w:val="nil"/>
              <w:right w:val="nil"/>
            </w:tcBorders>
            <w:shd w:val="clear" w:color="auto" w:fill="auto"/>
            <w:noWrap/>
            <w:vAlign w:val="center"/>
            <w:hideMark/>
          </w:tcPr>
          <w:p w14:paraId="24F37F83" w14:textId="77777777" w:rsidR="00980F16" w:rsidRPr="008174EF" w:rsidRDefault="00980F16" w:rsidP="00980F16">
            <w:pPr>
              <w:widowControl/>
              <w:suppressLineNumbers w:val="0"/>
              <w:suppressAutoHyphens w:val="0"/>
              <w:ind w:firstLine="0"/>
              <w:jc w:val="right"/>
              <w:rPr>
                <w:sz w:val="20"/>
              </w:rPr>
            </w:pPr>
            <w:r w:rsidRPr="008174EF">
              <w:rPr>
                <w:sz w:val="20"/>
              </w:rPr>
              <w:t>46</w:t>
            </w:r>
          </w:p>
        </w:tc>
        <w:tc>
          <w:tcPr>
            <w:tcW w:w="1113" w:type="dxa"/>
            <w:tcBorders>
              <w:top w:val="nil"/>
              <w:left w:val="nil"/>
              <w:bottom w:val="nil"/>
              <w:right w:val="nil"/>
            </w:tcBorders>
            <w:shd w:val="clear" w:color="auto" w:fill="auto"/>
            <w:noWrap/>
            <w:vAlign w:val="center"/>
            <w:hideMark/>
          </w:tcPr>
          <w:p w14:paraId="2C6F7B37" w14:textId="77777777" w:rsidR="00980F16" w:rsidRPr="008174EF" w:rsidRDefault="00980F16" w:rsidP="00980F16">
            <w:pPr>
              <w:widowControl/>
              <w:suppressLineNumbers w:val="0"/>
              <w:suppressAutoHyphens w:val="0"/>
              <w:ind w:firstLine="0"/>
              <w:jc w:val="right"/>
              <w:rPr>
                <w:sz w:val="20"/>
              </w:rPr>
            </w:pPr>
            <w:r w:rsidRPr="008174EF">
              <w:rPr>
                <w:sz w:val="20"/>
              </w:rPr>
              <w:t>5,73%</w:t>
            </w:r>
          </w:p>
        </w:tc>
        <w:tc>
          <w:tcPr>
            <w:tcW w:w="1157" w:type="dxa"/>
            <w:tcBorders>
              <w:top w:val="nil"/>
              <w:left w:val="nil"/>
              <w:bottom w:val="nil"/>
              <w:right w:val="nil"/>
            </w:tcBorders>
            <w:shd w:val="clear" w:color="auto" w:fill="auto"/>
            <w:noWrap/>
            <w:vAlign w:val="center"/>
            <w:hideMark/>
          </w:tcPr>
          <w:p w14:paraId="4BD6B06A" w14:textId="77777777" w:rsidR="00980F16" w:rsidRPr="008174EF" w:rsidRDefault="00980F16" w:rsidP="00980F16">
            <w:pPr>
              <w:widowControl/>
              <w:suppressLineNumbers w:val="0"/>
              <w:suppressAutoHyphens w:val="0"/>
              <w:ind w:firstLine="0"/>
              <w:jc w:val="right"/>
              <w:rPr>
                <w:sz w:val="20"/>
              </w:rPr>
            </w:pPr>
            <w:r w:rsidRPr="008174EF">
              <w:rPr>
                <w:sz w:val="20"/>
              </w:rPr>
              <w:t>-82,18%</w:t>
            </w:r>
          </w:p>
        </w:tc>
      </w:tr>
      <w:tr w:rsidR="008174EF" w:rsidRPr="008174EF" w14:paraId="44DB26F0"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16B00474" w14:textId="77777777" w:rsidR="00980F16" w:rsidRPr="008174EF" w:rsidRDefault="00980F16" w:rsidP="00980F16">
            <w:pPr>
              <w:widowControl/>
              <w:suppressLineNumbers w:val="0"/>
              <w:suppressAutoHyphens w:val="0"/>
              <w:ind w:firstLine="0"/>
              <w:jc w:val="left"/>
              <w:rPr>
                <w:sz w:val="20"/>
              </w:rPr>
            </w:pPr>
            <w:r w:rsidRPr="008174EF">
              <w:rPr>
                <w:sz w:val="20"/>
              </w:rPr>
              <w:t>Tributos e Enc. Sociais a Recolher</w:t>
            </w:r>
          </w:p>
        </w:tc>
        <w:tc>
          <w:tcPr>
            <w:tcW w:w="775" w:type="dxa"/>
            <w:tcBorders>
              <w:top w:val="nil"/>
              <w:left w:val="nil"/>
              <w:bottom w:val="nil"/>
              <w:right w:val="nil"/>
            </w:tcBorders>
            <w:shd w:val="clear" w:color="auto" w:fill="auto"/>
            <w:noWrap/>
            <w:vAlign w:val="center"/>
            <w:hideMark/>
          </w:tcPr>
          <w:p w14:paraId="79A78112" w14:textId="77777777" w:rsidR="00980F16" w:rsidRPr="008174EF" w:rsidRDefault="00980F16" w:rsidP="00980F16">
            <w:pPr>
              <w:widowControl/>
              <w:suppressLineNumbers w:val="0"/>
              <w:suppressAutoHyphens w:val="0"/>
              <w:ind w:firstLine="0"/>
              <w:jc w:val="right"/>
              <w:rPr>
                <w:sz w:val="20"/>
              </w:rPr>
            </w:pPr>
            <w:r w:rsidRPr="008174EF">
              <w:rPr>
                <w:sz w:val="20"/>
              </w:rPr>
              <w:t>82</w:t>
            </w:r>
          </w:p>
        </w:tc>
        <w:tc>
          <w:tcPr>
            <w:tcW w:w="983" w:type="dxa"/>
            <w:tcBorders>
              <w:top w:val="nil"/>
              <w:left w:val="nil"/>
              <w:bottom w:val="nil"/>
              <w:right w:val="nil"/>
            </w:tcBorders>
            <w:shd w:val="clear" w:color="auto" w:fill="auto"/>
            <w:noWrap/>
            <w:vAlign w:val="center"/>
            <w:hideMark/>
          </w:tcPr>
          <w:p w14:paraId="2A0F92D1" w14:textId="77777777" w:rsidR="00980F16" w:rsidRPr="008174EF" w:rsidRDefault="00980F16" w:rsidP="00980F16">
            <w:pPr>
              <w:widowControl/>
              <w:suppressLineNumbers w:val="0"/>
              <w:suppressAutoHyphens w:val="0"/>
              <w:ind w:firstLine="0"/>
              <w:jc w:val="right"/>
              <w:rPr>
                <w:sz w:val="20"/>
              </w:rPr>
            </w:pPr>
            <w:r w:rsidRPr="008174EF">
              <w:rPr>
                <w:sz w:val="20"/>
              </w:rPr>
              <w:t>124</w:t>
            </w:r>
          </w:p>
        </w:tc>
        <w:tc>
          <w:tcPr>
            <w:tcW w:w="875" w:type="dxa"/>
            <w:tcBorders>
              <w:top w:val="nil"/>
              <w:left w:val="nil"/>
              <w:bottom w:val="nil"/>
              <w:right w:val="nil"/>
            </w:tcBorders>
            <w:shd w:val="clear" w:color="auto" w:fill="auto"/>
            <w:noWrap/>
            <w:vAlign w:val="center"/>
            <w:hideMark/>
          </w:tcPr>
          <w:p w14:paraId="32801865" w14:textId="77777777" w:rsidR="00980F16" w:rsidRPr="008174EF" w:rsidRDefault="00980F16" w:rsidP="00980F16">
            <w:pPr>
              <w:widowControl/>
              <w:suppressLineNumbers w:val="0"/>
              <w:suppressAutoHyphens w:val="0"/>
              <w:ind w:firstLine="0"/>
              <w:jc w:val="right"/>
              <w:rPr>
                <w:sz w:val="20"/>
              </w:rPr>
            </w:pPr>
            <w:r w:rsidRPr="008174EF">
              <w:rPr>
                <w:sz w:val="20"/>
              </w:rPr>
              <w:t>179</w:t>
            </w:r>
          </w:p>
        </w:tc>
        <w:tc>
          <w:tcPr>
            <w:tcW w:w="767" w:type="dxa"/>
            <w:tcBorders>
              <w:top w:val="nil"/>
              <w:left w:val="nil"/>
              <w:bottom w:val="nil"/>
              <w:right w:val="nil"/>
            </w:tcBorders>
            <w:shd w:val="clear" w:color="auto" w:fill="auto"/>
            <w:noWrap/>
            <w:vAlign w:val="center"/>
            <w:hideMark/>
          </w:tcPr>
          <w:p w14:paraId="7734A491" w14:textId="77777777" w:rsidR="00980F16" w:rsidRPr="008174EF" w:rsidRDefault="00980F16" w:rsidP="00980F16">
            <w:pPr>
              <w:widowControl/>
              <w:suppressLineNumbers w:val="0"/>
              <w:suppressAutoHyphens w:val="0"/>
              <w:ind w:firstLine="0"/>
              <w:jc w:val="right"/>
              <w:rPr>
                <w:sz w:val="20"/>
              </w:rPr>
            </w:pPr>
            <w:r w:rsidRPr="008174EF">
              <w:rPr>
                <w:sz w:val="20"/>
              </w:rPr>
              <w:t>183</w:t>
            </w:r>
          </w:p>
        </w:tc>
        <w:tc>
          <w:tcPr>
            <w:tcW w:w="1113" w:type="dxa"/>
            <w:tcBorders>
              <w:top w:val="nil"/>
              <w:left w:val="nil"/>
              <w:bottom w:val="nil"/>
              <w:right w:val="nil"/>
            </w:tcBorders>
            <w:shd w:val="clear" w:color="auto" w:fill="auto"/>
            <w:noWrap/>
            <w:vAlign w:val="center"/>
            <w:hideMark/>
          </w:tcPr>
          <w:p w14:paraId="399A52A0" w14:textId="77777777" w:rsidR="00980F16" w:rsidRPr="008174EF" w:rsidRDefault="00980F16" w:rsidP="00980F16">
            <w:pPr>
              <w:widowControl/>
              <w:suppressLineNumbers w:val="0"/>
              <w:suppressAutoHyphens w:val="0"/>
              <w:ind w:firstLine="0"/>
              <w:jc w:val="right"/>
              <w:rPr>
                <w:sz w:val="20"/>
              </w:rPr>
            </w:pPr>
            <w:r w:rsidRPr="008174EF">
              <w:rPr>
                <w:sz w:val="20"/>
              </w:rPr>
              <w:t>3,80%</w:t>
            </w:r>
          </w:p>
        </w:tc>
        <w:tc>
          <w:tcPr>
            <w:tcW w:w="1157" w:type="dxa"/>
            <w:tcBorders>
              <w:top w:val="nil"/>
              <w:left w:val="nil"/>
              <w:bottom w:val="nil"/>
              <w:right w:val="nil"/>
            </w:tcBorders>
            <w:shd w:val="clear" w:color="auto" w:fill="auto"/>
            <w:noWrap/>
            <w:vAlign w:val="center"/>
            <w:hideMark/>
          </w:tcPr>
          <w:p w14:paraId="70609904" w14:textId="77777777" w:rsidR="00980F16" w:rsidRPr="008174EF" w:rsidRDefault="00980F16" w:rsidP="00980F16">
            <w:pPr>
              <w:widowControl/>
              <w:suppressLineNumbers w:val="0"/>
              <w:suppressAutoHyphens w:val="0"/>
              <w:ind w:firstLine="0"/>
              <w:jc w:val="right"/>
              <w:rPr>
                <w:sz w:val="20"/>
              </w:rPr>
            </w:pPr>
            <w:r w:rsidRPr="008174EF">
              <w:rPr>
                <w:sz w:val="20"/>
              </w:rPr>
              <w:t>123,18%</w:t>
            </w:r>
          </w:p>
        </w:tc>
      </w:tr>
      <w:tr w:rsidR="008174EF" w:rsidRPr="008174EF" w14:paraId="78358E79"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2671A207" w14:textId="77777777" w:rsidR="00980F16" w:rsidRPr="008174EF" w:rsidRDefault="00980F16" w:rsidP="00980F16">
            <w:pPr>
              <w:widowControl/>
              <w:suppressLineNumbers w:val="0"/>
              <w:suppressAutoHyphens w:val="0"/>
              <w:ind w:firstLine="0"/>
              <w:jc w:val="left"/>
              <w:rPr>
                <w:sz w:val="20"/>
              </w:rPr>
            </w:pPr>
            <w:r w:rsidRPr="008174EF">
              <w:rPr>
                <w:sz w:val="20"/>
              </w:rPr>
              <w:t>Débitos Diversos</w:t>
            </w:r>
          </w:p>
        </w:tc>
        <w:tc>
          <w:tcPr>
            <w:tcW w:w="775" w:type="dxa"/>
            <w:tcBorders>
              <w:top w:val="nil"/>
              <w:left w:val="nil"/>
              <w:bottom w:val="nil"/>
              <w:right w:val="nil"/>
            </w:tcBorders>
            <w:shd w:val="clear" w:color="auto" w:fill="auto"/>
            <w:noWrap/>
            <w:vAlign w:val="center"/>
            <w:hideMark/>
          </w:tcPr>
          <w:p w14:paraId="70619C0A" w14:textId="77777777" w:rsidR="00980F16" w:rsidRPr="008174EF" w:rsidRDefault="00980F16" w:rsidP="00980F16">
            <w:pPr>
              <w:widowControl/>
              <w:suppressLineNumbers w:val="0"/>
              <w:suppressAutoHyphens w:val="0"/>
              <w:ind w:firstLine="0"/>
              <w:jc w:val="right"/>
              <w:rPr>
                <w:sz w:val="20"/>
              </w:rPr>
            </w:pPr>
            <w:r w:rsidRPr="008174EF">
              <w:rPr>
                <w:sz w:val="20"/>
              </w:rPr>
              <w:t>214</w:t>
            </w:r>
          </w:p>
        </w:tc>
        <w:tc>
          <w:tcPr>
            <w:tcW w:w="983" w:type="dxa"/>
            <w:tcBorders>
              <w:top w:val="nil"/>
              <w:left w:val="nil"/>
              <w:bottom w:val="nil"/>
              <w:right w:val="nil"/>
            </w:tcBorders>
            <w:shd w:val="clear" w:color="auto" w:fill="auto"/>
            <w:noWrap/>
            <w:vAlign w:val="center"/>
            <w:hideMark/>
          </w:tcPr>
          <w:p w14:paraId="6BAC1FFE" w14:textId="77777777" w:rsidR="00980F16" w:rsidRPr="008174EF" w:rsidRDefault="00980F16" w:rsidP="00980F16">
            <w:pPr>
              <w:widowControl/>
              <w:suppressLineNumbers w:val="0"/>
              <w:suppressAutoHyphens w:val="0"/>
              <w:ind w:firstLine="0"/>
              <w:jc w:val="right"/>
              <w:rPr>
                <w:sz w:val="20"/>
              </w:rPr>
            </w:pPr>
            <w:r w:rsidRPr="008174EF">
              <w:rPr>
                <w:sz w:val="20"/>
              </w:rPr>
              <w:t>238</w:t>
            </w:r>
          </w:p>
        </w:tc>
        <w:tc>
          <w:tcPr>
            <w:tcW w:w="875" w:type="dxa"/>
            <w:tcBorders>
              <w:top w:val="nil"/>
              <w:left w:val="nil"/>
              <w:bottom w:val="nil"/>
              <w:right w:val="nil"/>
            </w:tcBorders>
            <w:shd w:val="clear" w:color="auto" w:fill="auto"/>
            <w:noWrap/>
            <w:vAlign w:val="center"/>
            <w:hideMark/>
          </w:tcPr>
          <w:p w14:paraId="455456EC" w14:textId="77777777" w:rsidR="00980F16" w:rsidRPr="008174EF" w:rsidRDefault="00980F16" w:rsidP="00980F16">
            <w:pPr>
              <w:widowControl/>
              <w:suppressLineNumbers w:val="0"/>
              <w:suppressAutoHyphens w:val="0"/>
              <w:ind w:firstLine="0"/>
              <w:jc w:val="right"/>
              <w:rPr>
                <w:sz w:val="20"/>
              </w:rPr>
            </w:pPr>
            <w:r w:rsidRPr="008174EF">
              <w:rPr>
                <w:sz w:val="20"/>
              </w:rPr>
              <w:t>279</w:t>
            </w:r>
          </w:p>
        </w:tc>
        <w:tc>
          <w:tcPr>
            <w:tcW w:w="767" w:type="dxa"/>
            <w:tcBorders>
              <w:top w:val="nil"/>
              <w:left w:val="nil"/>
              <w:bottom w:val="nil"/>
              <w:right w:val="nil"/>
            </w:tcBorders>
            <w:shd w:val="clear" w:color="auto" w:fill="auto"/>
            <w:noWrap/>
            <w:vAlign w:val="center"/>
            <w:hideMark/>
          </w:tcPr>
          <w:p w14:paraId="4F977B1E" w14:textId="77777777" w:rsidR="00980F16" w:rsidRPr="008174EF" w:rsidRDefault="00980F16" w:rsidP="00980F16">
            <w:pPr>
              <w:widowControl/>
              <w:suppressLineNumbers w:val="0"/>
              <w:suppressAutoHyphens w:val="0"/>
              <w:ind w:firstLine="0"/>
              <w:jc w:val="right"/>
              <w:rPr>
                <w:sz w:val="20"/>
              </w:rPr>
            </w:pPr>
            <w:r w:rsidRPr="008174EF">
              <w:rPr>
                <w:sz w:val="20"/>
              </w:rPr>
              <w:t>193</w:t>
            </w:r>
          </w:p>
        </w:tc>
        <w:tc>
          <w:tcPr>
            <w:tcW w:w="1113" w:type="dxa"/>
            <w:tcBorders>
              <w:top w:val="nil"/>
              <w:left w:val="nil"/>
              <w:bottom w:val="nil"/>
              <w:right w:val="nil"/>
            </w:tcBorders>
            <w:shd w:val="clear" w:color="auto" w:fill="auto"/>
            <w:noWrap/>
            <w:vAlign w:val="center"/>
            <w:hideMark/>
          </w:tcPr>
          <w:p w14:paraId="015B1082" w14:textId="77777777" w:rsidR="00980F16" w:rsidRPr="008174EF" w:rsidRDefault="00980F16" w:rsidP="00980F16">
            <w:pPr>
              <w:widowControl/>
              <w:suppressLineNumbers w:val="0"/>
              <w:suppressAutoHyphens w:val="0"/>
              <w:ind w:firstLine="0"/>
              <w:jc w:val="right"/>
              <w:rPr>
                <w:sz w:val="20"/>
              </w:rPr>
            </w:pPr>
            <w:r w:rsidRPr="008174EF">
              <w:rPr>
                <w:sz w:val="20"/>
              </w:rPr>
              <w:t>6,17%</w:t>
            </w:r>
          </w:p>
        </w:tc>
        <w:tc>
          <w:tcPr>
            <w:tcW w:w="1157" w:type="dxa"/>
            <w:tcBorders>
              <w:top w:val="nil"/>
              <w:left w:val="nil"/>
              <w:bottom w:val="nil"/>
              <w:right w:val="nil"/>
            </w:tcBorders>
            <w:shd w:val="clear" w:color="auto" w:fill="auto"/>
            <w:noWrap/>
            <w:vAlign w:val="center"/>
            <w:hideMark/>
          </w:tcPr>
          <w:p w14:paraId="1D950034" w14:textId="77777777" w:rsidR="00980F16" w:rsidRPr="008174EF" w:rsidRDefault="00980F16" w:rsidP="00980F16">
            <w:pPr>
              <w:widowControl/>
              <w:suppressLineNumbers w:val="0"/>
              <w:suppressAutoHyphens w:val="0"/>
              <w:ind w:firstLine="0"/>
              <w:jc w:val="right"/>
              <w:rPr>
                <w:sz w:val="20"/>
              </w:rPr>
            </w:pPr>
            <w:r w:rsidRPr="008174EF">
              <w:rPr>
                <w:sz w:val="20"/>
              </w:rPr>
              <w:t>-9,83%</w:t>
            </w:r>
          </w:p>
        </w:tc>
      </w:tr>
      <w:tr w:rsidR="008174EF" w:rsidRPr="008174EF" w14:paraId="6ED32C34"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39A7BD84" w14:textId="77777777" w:rsidR="00980F16" w:rsidRPr="008174EF" w:rsidRDefault="00980F16" w:rsidP="00980F16">
            <w:pPr>
              <w:widowControl/>
              <w:suppressLineNumbers w:val="0"/>
              <w:suppressAutoHyphens w:val="0"/>
              <w:ind w:firstLine="0"/>
              <w:jc w:val="left"/>
              <w:rPr>
                <w:b/>
                <w:bCs/>
                <w:sz w:val="20"/>
              </w:rPr>
            </w:pPr>
            <w:r w:rsidRPr="008174EF">
              <w:rPr>
                <w:b/>
                <w:bCs/>
                <w:sz w:val="20"/>
              </w:rPr>
              <w:t>Passivo Não Circulante</w:t>
            </w:r>
          </w:p>
        </w:tc>
        <w:tc>
          <w:tcPr>
            <w:tcW w:w="775" w:type="dxa"/>
            <w:tcBorders>
              <w:top w:val="nil"/>
              <w:left w:val="nil"/>
              <w:bottom w:val="nil"/>
              <w:right w:val="nil"/>
            </w:tcBorders>
            <w:shd w:val="clear" w:color="auto" w:fill="auto"/>
            <w:noWrap/>
            <w:vAlign w:val="center"/>
            <w:hideMark/>
          </w:tcPr>
          <w:p w14:paraId="731E556E" w14:textId="77777777" w:rsidR="00980F16" w:rsidRPr="008174EF" w:rsidRDefault="00980F16" w:rsidP="00980F16">
            <w:pPr>
              <w:widowControl/>
              <w:suppressLineNumbers w:val="0"/>
              <w:suppressAutoHyphens w:val="0"/>
              <w:ind w:firstLine="0"/>
              <w:jc w:val="right"/>
              <w:rPr>
                <w:b/>
                <w:bCs/>
                <w:sz w:val="20"/>
              </w:rPr>
            </w:pPr>
            <w:r w:rsidRPr="008174EF">
              <w:rPr>
                <w:b/>
                <w:bCs/>
                <w:sz w:val="20"/>
              </w:rPr>
              <w:t>-</w:t>
            </w:r>
          </w:p>
        </w:tc>
        <w:tc>
          <w:tcPr>
            <w:tcW w:w="983" w:type="dxa"/>
            <w:tcBorders>
              <w:top w:val="nil"/>
              <w:left w:val="nil"/>
              <w:bottom w:val="nil"/>
              <w:right w:val="nil"/>
            </w:tcBorders>
            <w:shd w:val="clear" w:color="auto" w:fill="auto"/>
            <w:noWrap/>
            <w:vAlign w:val="center"/>
            <w:hideMark/>
          </w:tcPr>
          <w:p w14:paraId="6DC04D0D" w14:textId="77777777" w:rsidR="00980F16" w:rsidRPr="008174EF" w:rsidRDefault="00980F16" w:rsidP="00980F16">
            <w:pPr>
              <w:widowControl/>
              <w:suppressLineNumbers w:val="0"/>
              <w:suppressAutoHyphens w:val="0"/>
              <w:ind w:firstLine="0"/>
              <w:jc w:val="right"/>
              <w:rPr>
                <w:b/>
                <w:bCs/>
                <w:sz w:val="20"/>
              </w:rPr>
            </w:pPr>
          </w:p>
        </w:tc>
        <w:tc>
          <w:tcPr>
            <w:tcW w:w="875" w:type="dxa"/>
            <w:tcBorders>
              <w:top w:val="nil"/>
              <w:left w:val="nil"/>
              <w:bottom w:val="nil"/>
              <w:right w:val="nil"/>
            </w:tcBorders>
            <w:shd w:val="clear" w:color="auto" w:fill="auto"/>
            <w:noWrap/>
            <w:vAlign w:val="center"/>
            <w:hideMark/>
          </w:tcPr>
          <w:p w14:paraId="0558E1BD" w14:textId="77777777" w:rsidR="00980F16" w:rsidRPr="008174EF" w:rsidRDefault="00980F16" w:rsidP="00980F16">
            <w:pPr>
              <w:widowControl/>
              <w:suppressLineNumbers w:val="0"/>
              <w:suppressAutoHyphens w:val="0"/>
              <w:ind w:firstLine="0"/>
              <w:jc w:val="right"/>
              <w:rPr>
                <w:b/>
                <w:bCs/>
                <w:sz w:val="20"/>
              </w:rPr>
            </w:pPr>
            <w:r w:rsidRPr="008174EF">
              <w:rPr>
                <w:b/>
                <w:bCs/>
                <w:sz w:val="20"/>
              </w:rPr>
              <w:t>132</w:t>
            </w:r>
          </w:p>
        </w:tc>
        <w:tc>
          <w:tcPr>
            <w:tcW w:w="767" w:type="dxa"/>
            <w:tcBorders>
              <w:top w:val="nil"/>
              <w:left w:val="nil"/>
              <w:bottom w:val="nil"/>
              <w:right w:val="nil"/>
            </w:tcBorders>
            <w:shd w:val="clear" w:color="auto" w:fill="auto"/>
            <w:noWrap/>
            <w:vAlign w:val="center"/>
            <w:hideMark/>
          </w:tcPr>
          <w:p w14:paraId="3DD8C66F" w14:textId="77777777" w:rsidR="00980F16" w:rsidRPr="008174EF" w:rsidRDefault="00980F16" w:rsidP="00980F16">
            <w:pPr>
              <w:widowControl/>
              <w:suppressLineNumbers w:val="0"/>
              <w:suppressAutoHyphens w:val="0"/>
              <w:ind w:firstLine="0"/>
              <w:jc w:val="right"/>
              <w:rPr>
                <w:b/>
                <w:bCs/>
                <w:sz w:val="20"/>
              </w:rPr>
            </w:pPr>
            <w:r w:rsidRPr="008174EF">
              <w:rPr>
                <w:b/>
                <w:bCs/>
                <w:sz w:val="20"/>
              </w:rPr>
              <w:t>357</w:t>
            </w:r>
          </w:p>
        </w:tc>
        <w:tc>
          <w:tcPr>
            <w:tcW w:w="1113" w:type="dxa"/>
            <w:tcBorders>
              <w:top w:val="nil"/>
              <w:left w:val="nil"/>
              <w:bottom w:val="nil"/>
              <w:right w:val="nil"/>
            </w:tcBorders>
            <w:shd w:val="clear" w:color="auto" w:fill="auto"/>
            <w:noWrap/>
            <w:vAlign w:val="center"/>
            <w:hideMark/>
          </w:tcPr>
          <w:p w14:paraId="404161B2" w14:textId="77777777" w:rsidR="00980F16" w:rsidRPr="008174EF" w:rsidRDefault="00980F16" w:rsidP="00980F16">
            <w:pPr>
              <w:widowControl/>
              <w:suppressLineNumbers w:val="0"/>
              <w:suppressAutoHyphens w:val="0"/>
              <w:ind w:firstLine="0"/>
              <w:jc w:val="right"/>
              <w:rPr>
                <w:b/>
                <w:bCs/>
                <w:sz w:val="20"/>
              </w:rPr>
            </w:pPr>
            <w:r w:rsidRPr="008174EF">
              <w:rPr>
                <w:b/>
                <w:bCs/>
                <w:sz w:val="20"/>
              </w:rPr>
              <w:t>3,27%</w:t>
            </w:r>
          </w:p>
        </w:tc>
        <w:tc>
          <w:tcPr>
            <w:tcW w:w="1157" w:type="dxa"/>
            <w:tcBorders>
              <w:top w:val="nil"/>
              <w:left w:val="nil"/>
              <w:bottom w:val="nil"/>
              <w:right w:val="nil"/>
            </w:tcBorders>
            <w:shd w:val="clear" w:color="auto" w:fill="auto"/>
            <w:noWrap/>
            <w:vAlign w:val="center"/>
            <w:hideMark/>
          </w:tcPr>
          <w:p w14:paraId="274DCD8C" w14:textId="77777777" w:rsidR="00980F16" w:rsidRPr="008174EF" w:rsidRDefault="00980F16" w:rsidP="00980F16">
            <w:pPr>
              <w:widowControl/>
              <w:suppressLineNumbers w:val="0"/>
              <w:suppressAutoHyphens w:val="0"/>
              <w:ind w:firstLine="0"/>
              <w:jc w:val="right"/>
              <w:rPr>
                <w:b/>
                <w:bCs/>
                <w:sz w:val="20"/>
              </w:rPr>
            </w:pPr>
            <w:r w:rsidRPr="008174EF">
              <w:rPr>
                <w:b/>
                <w:bCs/>
                <w:sz w:val="20"/>
              </w:rPr>
              <w:t>-</w:t>
            </w:r>
          </w:p>
        </w:tc>
      </w:tr>
      <w:tr w:rsidR="008174EF" w:rsidRPr="008174EF" w14:paraId="0B9B0A66"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3653B782" w14:textId="77777777" w:rsidR="00980F16" w:rsidRPr="008174EF" w:rsidRDefault="00980F16" w:rsidP="00980F16">
            <w:pPr>
              <w:widowControl/>
              <w:suppressLineNumbers w:val="0"/>
              <w:suppressAutoHyphens w:val="0"/>
              <w:ind w:firstLine="0"/>
              <w:jc w:val="left"/>
              <w:rPr>
                <w:sz w:val="20"/>
              </w:rPr>
            </w:pPr>
            <w:r w:rsidRPr="008174EF">
              <w:rPr>
                <w:sz w:val="20"/>
              </w:rPr>
              <w:t>Provisões</w:t>
            </w:r>
          </w:p>
        </w:tc>
        <w:tc>
          <w:tcPr>
            <w:tcW w:w="775" w:type="dxa"/>
            <w:tcBorders>
              <w:top w:val="nil"/>
              <w:left w:val="nil"/>
              <w:bottom w:val="nil"/>
              <w:right w:val="nil"/>
            </w:tcBorders>
            <w:shd w:val="clear" w:color="auto" w:fill="auto"/>
            <w:noWrap/>
            <w:vAlign w:val="center"/>
            <w:hideMark/>
          </w:tcPr>
          <w:p w14:paraId="44B3D05E" w14:textId="77777777" w:rsidR="00980F16" w:rsidRPr="008174EF" w:rsidRDefault="00980F16" w:rsidP="00980F16">
            <w:pPr>
              <w:widowControl/>
              <w:suppressLineNumbers w:val="0"/>
              <w:suppressAutoHyphens w:val="0"/>
              <w:ind w:firstLine="0"/>
              <w:jc w:val="right"/>
              <w:rPr>
                <w:sz w:val="20"/>
              </w:rPr>
            </w:pPr>
            <w:r w:rsidRPr="008174EF">
              <w:rPr>
                <w:sz w:val="20"/>
              </w:rPr>
              <w:t>-</w:t>
            </w:r>
          </w:p>
        </w:tc>
        <w:tc>
          <w:tcPr>
            <w:tcW w:w="983" w:type="dxa"/>
            <w:tcBorders>
              <w:top w:val="nil"/>
              <w:left w:val="nil"/>
              <w:bottom w:val="nil"/>
              <w:right w:val="nil"/>
            </w:tcBorders>
            <w:shd w:val="clear" w:color="auto" w:fill="auto"/>
            <w:noWrap/>
            <w:vAlign w:val="center"/>
            <w:hideMark/>
          </w:tcPr>
          <w:p w14:paraId="414D6D55" w14:textId="77777777" w:rsidR="00980F16" w:rsidRPr="008174EF" w:rsidRDefault="00980F16" w:rsidP="00980F16">
            <w:pPr>
              <w:widowControl/>
              <w:suppressLineNumbers w:val="0"/>
              <w:suppressAutoHyphens w:val="0"/>
              <w:ind w:firstLine="0"/>
              <w:jc w:val="right"/>
              <w:rPr>
                <w:sz w:val="20"/>
              </w:rPr>
            </w:pPr>
          </w:p>
        </w:tc>
        <w:tc>
          <w:tcPr>
            <w:tcW w:w="875" w:type="dxa"/>
            <w:tcBorders>
              <w:top w:val="nil"/>
              <w:left w:val="nil"/>
              <w:bottom w:val="nil"/>
              <w:right w:val="nil"/>
            </w:tcBorders>
            <w:shd w:val="clear" w:color="auto" w:fill="auto"/>
            <w:noWrap/>
            <w:vAlign w:val="center"/>
            <w:hideMark/>
          </w:tcPr>
          <w:p w14:paraId="52681EC9" w14:textId="77777777" w:rsidR="00980F16" w:rsidRPr="008174EF" w:rsidRDefault="00980F16" w:rsidP="00980F16">
            <w:pPr>
              <w:widowControl/>
              <w:suppressLineNumbers w:val="0"/>
              <w:suppressAutoHyphens w:val="0"/>
              <w:ind w:firstLine="0"/>
              <w:jc w:val="right"/>
              <w:rPr>
                <w:sz w:val="20"/>
              </w:rPr>
            </w:pPr>
            <w:r w:rsidRPr="008174EF">
              <w:rPr>
                <w:sz w:val="20"/>
              </w:rPr>
              <w:t>132</w:t>
            </w:r>
          </w:p>
        </w:tc>
        <w:tc>
          <w:tcPr>
            <w:tcW w:w="767" w:type="dxa"/>
            <w:tcBorders>
              <w:top w:val="nil"/>
              <w:left w:val="nil"/>
              <w:bottom w:val="nil"/>
              <w:right w:val="nil"/>
            </w:tcBorders>
            <w:shd w:val="clear" w:color="auto" w:fill="auto"/>
            <w:noWrap/>
            <w:vAlign w:val="center"/>
            <w:hideMark/>
          </w:tcPr>
          <w:p w14:paraId="7F71D4BD" w14:textId="77777777" w:rsidR="00980F16" w:rsidRPr="008174EF" w:rsidRDefault="00980F16" w:rsidP="00980F16">
            <w:pPr>
              <w:widowControl/>
              <w:suppressLineNumbers w:val="0"/>
              <w:suppressAutoHyphens w:val="0"/>
              <w:ind w:firstLine="0"/>
              <w:jc w:val="right"/>
              <w:rPr>
                <w:sz w:val="20"/>
              </w:rPr>
            </w:pPr>
            <w:r w:rsidRPr="008174EF">
              <w:rPr>
                <w:sz w:val="20"/>
              </w:rPr>
              <w:t>357</w:t>
            </w:r>
          </w:p>
        </w:tc>
        <w:tc>
          <w:tcPr>
            <w:tcW w:w="1113" w:type="dxa"/>
            <w:tcBorders>
              <w:top w:val="nil"/>
              <w:left w:val="nil"/>
              <w:bottom w:val="nil"/>
              <w:right w:val="nil"/>
            </w:tcBorders>
            <w:shd w:val="clear" w:color="auto" w:fill="auto"/>
            <w:noWrap/>
            <w:vAlign w:val="center"/>
            <w:hideMark/>
          </w:tcPr>
          <w:p w14:paraId="4CFB610D" w14:textId="77777777" w:rsidR="00980F16" w:rsidRPr="008174EF" w:rsidRDefault="00980F16" w:rsidP="00980F16">
            <w:pPr>
              <w:widowControl/>
              <w:suppressLineNumbers w:val="0"/>
              <w:suppressAutoHyphens w:val="0"/>
              <w:ind w:firstLine="0"/>
              <w:jc w:val="right"/>
              <w:rPr>
                <w:sz w:val="20"/>
              </w:rPr>
            </w:pPr>
            <w:r w:rsidRPr="008174EF">
              <w:rPr>
                <w:sz w:val="20"/>
              </w:rPr>
              <w:t>3,27%</w:t>
            </w:r>
          </w:p>
        </w:tc>
        <w:tc>
          <w:tcPr>
            <w:tcW w:w="1157" w:type="dxa"/>
            <w:tcBorders>
              <w:top w:val="nil"/>
              <w:left w:val="nil"/>
              <w:bottom w:val="nil"/>
              <w:right w:val="nil"/>
            </w:tcBorders>
            <w:shd w:val="clear" w:color="auto" w:fill="auto"/>
            <w:noWrap/>
            <w:vAlign w:val="center"/>
            <w:hideMark/>
          </w:tcPr>
          <w:p w14:paraId="62C71C71" w14:textId="77777777" w:rsidR="00980F16" w:rsidRPr="008174EF" w:rsidRDefault="00980F16" w:rsidP="00980F16">
            <w:pPr>
              <w:widowControl/>
              <w:suppressLineNumbers w:val="0"/>
              <w:suppressAutoHyphens w:val="0"/>
              <w:ind w:firstLine="0"/>
              <w:jc w:val="right"/>
              <w:rPr>
                <w:sz w:val="20"/>
              </w:rPr>
            </w:pPr>
            <w:r w:rsidRPr="008174EF">
              <w:rPr>
                <w:sz w:val="20"/>
              </w:rPr>
              <w:t>-</w:t>
            </w:r>
          </w:p>
        </w:tc>
      </w:tr>
      <w:tr w:rsidR="008174EF" w:rsidRPr="008174EF" w14:paraId="0888C7CC"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55EA9B62" w14:textId="77777777" w:rsidR="00980F16" w:rsidRPr="008174EF" w:rsidRDefault="00980F16" w:rsidP="00980F16">
            <w:pPr>
              <w:widowControl/>
              <w:suppressLineNumbers w:val="0"/>
              <w:suppressAutoHyphens w:val="0"/>
              <w:ind w:firstLine="0"/>
              <w:jc w:val="left"/>
              <w:rPr>
                <w:b/>
                <w:bCs/>
                <w:sz w:val="20"/>
              </w:rPr>
            </w:pPr>
            <w:r w:rsidRPr="008174EF">
              <w:rPr>
                <w:b/>
                <w:bCs/>
                <w:sz w:val="20"/>
              </w:rPr>
              <w:t>Patrimônio Líquido</w:t>
            </w:r>
          </w:p>
        </w:tc>
        <w:tc>
          <w:tcPr>
            <w:tcW w:w="775" w:type="dxa"/>
            <w:tcBorders>
              <w:top w:val="nil"/>
              <w:left w:val="nil"/>
              <w:bottom w:val="nil"/>
              <w:right w:val="nil"/>
            </w:tcBorders>
            <w:shd w:val="clear" w:color="auto" w:fill="auto"/>
            <w:noWrap/>
            <w:vAlign w:val="center"/>
            <w:hideMark/>
          </w:tcPr>
          <w:p w14:paraId="2457DE83" w14:textId="77777777" w:rsidR="00980F16" w:rsidRPr="008174EF" w:rsidRDefault="00980F16" w:rsidP="00980F16">
            <w:pPr>
              <w:widowControl/>
              <w:suppressLineNumbers w:val="0"/>
              <w:suppressAutoHyphens w:val="0"/>
              <w:ind w:firstLine="0"/>
              <w:jc w:val="right"/>
              <w:rPr>
                <w:b/>
                <w:bCs/>
                <w:sz w:val="20"/>
              </w:rPr>
            </w:pPr>
            <w:r w:rsidRPr="008174EF">
              <w:rPr>
                <w:b/>
                <w:bCs/>
                <w:sz w:val="20"/>
              </w:rPr>
              <w:t>-73</w:t>
            </w:r>
          </w:p>
        </w:tc>
        <w:tc>
          <w:tcPr>
            <w:tcW w:w="983" w:type="dxa"/>
            <w:tcBorders>
              <w:top w:val="nil"/>
              <w:left w:val="nil"/>
              <w:bottom w:val="nil"/>
              <w:right w:val="nil"/>
            </w:tcBorders>
            <w:shd w:val="clear" w:color="auto" w:fill="auto"/>
            <w:noWrap/>
            <w:vAlign w:val="center"/>
            <w:hideMark/>
          </w:tcPr>
          <w:p w14:paraId="5A000E3F" w14:textId="77777777" w:rsidR="00980F16" w:rsidRPr="008174EF" w:rsidRDefault="00980F16" w:rsidP="00980F16">
            <w:pPr>
              <w:widowControl/>
              <w:suppressLineNumbers w:val="0"/>
              <w:suppressAutoHyphens w:val="0"/>
              <w:ind w:firstLine="0"/>
              <w:jc w:val="right"/>
              <w:rPr>
                <w:b/>
                <w:bCs/>
                <w:sz w:val="20"/>
              </w:rPr>
            </w:pPr>
            <w:r w:rsidRPr="008174EF">
              <w:rPr>
                <w:b/>
                <w:bCs/>
                <w:sz w:val="20"/>
              </w:rPr>
              <w:t>-50</w:t>
            </w:r>
          </w:p>
        </w:tc>
        <w:tc>
          <w:tcPr>
            <w:tcW w:w="875" w:type="dxa"/>
            <w:tcBorders>
              <w:top w:val="nil"/>
              <w:left w:val="nil"/>
              <w:bottom w:val="nil"/>
              <w:right w:val="nil"/>
            </w:tcBorders>
            <w:shd w:val="clear" w:color="auto" w:fill="auto"/>
            <w:noWrap/>
            <w:vAlign w:val="center"/>
            <w:hideMark/>
          </w:tcPr>
          <w:p w14:paraId="4F2F6BBD" w14:textId="77777777" w:rsidR="00980F16" w:rsidRPr="008174EF" w:rsidRDefault="00980F16" w:rsidP="00980F16">
            <w:pPr>
              <w:widowControl/>
              <w:suppressLineNumbers w:val="0"/>
              <w:suppressAutoHyphens w:val="0"/>
              <w:ind w:firstLine="0"/>
              <w:jc w:val="right"/>
              <w:rPr>
                <w:b/>
                <w:bCs/>
                <w:sz w:val="20"/>
              </w:rPr>
            </w:pPr>
            <w:r w:rsidRPr="008174EF">
              <w:rPr>
                <w:b/>
                <w:bCs/>
                <w:sz w:val="20"/>
              </w:rPr>
              <w:t>-263</w:t>
            </w:r>
          </w:p>
        </w:tc>
        <w:tc>
          <w:tcPr>
            <w:tcW w:w="767" w:type="dxa"/>
            <w:tcBorders>
              <w:top w:val="nil"/>
              <w:left w:val="nil"/>
              <w:bottom w:val="nil"/>
              <w:right w:val="nil"/>
            </w:tcBorders>
            <w:shd w:val="clear" w:color="auto" w:fill="auto"/>
            <w:noWrap/>
            <w:vAlign w:val="center"/>
            <w:hideMark/>
          </w:tcPr>
          <w:p w14:paraId="69451E3B" w14:textId="77777777" w:rsidR="00980F16" w:rsidRPr="008174EF" w:rsidRDefault="00980F16" w:rsidP="00980F16">
            <w:pPr>
              <w:widowControl/>
              <w:suppressLineNumbers w:val="0"/>
              <w:suppressAutoHyphens w:val="0"/>
              <w:ind w:firstLine="0"/>
              <w:jc w:val="right"/>
              <w:rPr>
                <w:b/>
                <w:bCs/>
                <w:sz w:val="20"/>
              </w:rPr>
            </w:pPr>
            <w:r w:rsidRPr="008174EF">
              <w:rPr>
                <w:b/>
                <w:bCs/>
                <w:sz w:val="20"/>
              </w:rPr>
              <w:t>1.185</w:t>
            </w:r>
          </w:p>
        </w:tc>
        <w:tc>
          <w:tcPr>
            <w:tcW w:w="1113" w:type="dxa"/>
            <w:tcBorders>
              <w:top w:val="nil"/>
              <w:left w:val="nil"/>
              <w:bottom w:val="nil"/>
              <w:right w:val="nil"/>
            </w:tcBorders>
            <w:shd w:val="clear" w:color="auto" w:fill="auto"/>
            <w:noWrap/>
            <w:vAlign w:val="center"/>
            <w:hideMark/>
          </w:tcPr>
          <w:p w14:paraId="1BA59ED8" w14:textId="77777777" w:rsidR="00980F16" w:rsidRPr="008174EF" w:rsidRDefault="00980F16" w:rsidP="00980F16">
            <w:pPr>
              <w:widowControl/>
              <w:suppressLineNumbers w:val="0"/>
              <w:suppressAutoHyphens w:val="0"/>
              <w:ind w:firstLine="0"/>
              <w:jc w:val="right"/>
              <w:rPr>
                <w:b/>
                <w:bCs/>
                <w:sz w:val="20"/>
              </w:rPr>
            </w:pPr>
            <w:r w:rsidRPr="008174EF">
              <w:rPr>
                <w:b/>
                <w:bCs/>
                <w:sz w:val="20"/>
              </w:rPr>
              <w:t>5,34%</w:t>
            </w:r>
          </w:p>
        </w:tc>
        <w:tc>
          <w:tcPr>
            <w:tcW w:w="1157" w:type="dxa"/>
            <w:tcBorders>
              <w:top w:val="nil"/>
              <w:left w:val="nil"/>
              <w:bottom w:val="nil"/>
              <w:right w:val="nil"/>
            </w:tcBorders>
            <w:shd w:val="clear" w:color="auto" w:fill="auto"/>
            <w:noWrap/>
            <w:vAlign w:val="center"/>
            <w:hideMark/>
          </w:tcPr>
          <w:p w14:paraId="3BCB7D0A" w14:textId="77777777" w:rsidR="00980F16" w:rsidRPr="008174EF" w:rsidRDefault="00980F16" w:rsidP="00980F16">
            <w:pPr>
              <w:widowControl/>
              <w:suppressLineNumbers w:val="0"/>
              <w:suppressAutoHyphens w:val="0"/>
              <w:ind w:firstLine="0"/>
              <w:jc w:val="right"/>
              <w:rPr>
                <w:b/>
                <w:bCs/>
                <w:sz w:val="20"/>
              </w:rPr>
            </w:pPr>
            <w:r w:rsidRPr="008174EF">
              <w:rPr>
                <w:b/>
                <w:bCs/>
                <w:sz w:val="20"/>
              </w:rPr>
              <w:t>-1.734,55%</w:t>
            </w:r>
          </w:p>
        </w:tc>
      </w:tr>
      <w:tr w:rsidR="008174EF" w:rsidRPr="008174EF" w14:paraId="55C97374"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02658473" w14:textId="77777777" w:rsidR="00980F16" w:rsidRPr="008174EF" w:rsidRDefault="00980F16" w:rsidP="00980F16">
            <w:pPr>
              <w:widowControl/>
              <w:suppressLineNumbers w:val="0"/>
              <w:suppressAutoHyphens w:val="0"/>
              <w:ind w:firstLine="0"/>
              <w:jc w:val="left"/>
              <w:rPr>
                <w:sz w:val="20"/>
              </w:rPr>
            </w:pPr>
            <w:r w:rsidRPr="008174EF">
              <w:rPr>
                <w:sz w:val="20"/>
              </w:rPr>
              <w:t>Patrimônio Social</w:t>
            </w:r>
          </w:p>
        </w:tc>
        <w:tc>
          <w:tcPr>
            <w:tcW w:w="775" w:type="dxa"/>
            <w:tcBorders>
              <w:top w:val="nil"/>
              <w:left w:val="nil"/>
              <w:bottom w:val="nil"/>
              <w:right w:val="nil"/>
            </w:tcBorders>
            <w:shd w:val="clear" w:color="auto" w:fill="auto"/>
            <w:noWrap/>
            <w:vAlign w:val="center"/>
            <w:hideMark/>
          </w:tcPr>
          <w:p w14:paraId="0B96F11E" w14:textId="77777777" w:rsidR="00980F16" w:rsidRPr="008174EF" w:rsidRDefault="00980F16" w:rsidP="00980F16">
            <w:pPr>
              <w:widowControl/>
              <w:suppressLineNumbers w:val="0"/>
              <w:suppressAutoHyphens w:val="0"/>
              <w:ind w:firstLine="0"/>
              <w:jc w:val="right"/>
              <w:rPr>
                <w:sz w:val="20"/>
              </w:rPr>
            </w:pPr>
            <w:r w:rsidRPr="008174EF">
              <w:rPr>
                <w:sz w:val="20"/>
              </w:rPr>
              <w:t>753</w:t>
            </w:r>
          </w:p>
        </w:tc>
        <w:tc>
          <w:tcPr>
            <w:tcW w:w="983" w:type="dxa"/>
            <w:tcBorders>
              <w:top w:val="nil"/>
              <w:left w:val="nil"/>
              <w:bottom w:val="nil"/>
              <w:right w:val="nil"/>
            </w:tcBorders>
            <w:shd w:val="clear" w:color="auto" w:fill="auto"/>
            <w:noWrap/>
            <w:vAlign w:val="center"/>
            <w:hideMark/>
          </w:tcPr>
          <w:p w14:paraId="38ACCE5D" w14:textId="77777777" w:rsidR="00980F16" w:rsidRPr="008174EF" w:rsidRDefault="00980F16" w:rsidP="00980F16">
            <w:pPr>
              <w:widowControl/>
              <w:suppressLineNumbers w:val="0"/>
              <w:suppressAutoHyphens w:val="0"/>
              <w:ind w:firstLine="0"/>
              <w:jc w:val="right"/>
              <w:rPr>
                <w:sz w:val="20"/>
              </w:rPr>
            </w:pPr>
            <w:r w:rsidRPr="008174EF">
              <w:rPr>
                <w:sz w:val="20"/>
              </w:rPr>
              <w:t>753</w:t>
            </w:r>
          </w:p>
        </w:tc>
        <w:tc>
          <w:tcPr>
            <w:tcW w:w="875" w:type="dxa"/>
            <w:tcBorders>
              <w:top w:val="nil"/>
              <w:left w:val="nil"/>
              <w:bottom w:val="nil"/>
              <w:right w:val="nil"/>
            </w:tcBorders>
            <w:shd w:val="clear" w:color="auto" w:fill="auto"/>
            <w:noWrap/>
            <w:vAlign w:val="center"/>
            <w:hideMark/>
          </w:tcPr>
          <w:p w14:paraId="587594AD" w14:textId="77777777" w:rsidR="00980F16" w:rsidRPr="008174EF" w:rsidRDefault="00980F16" w:rsidP="00980F16">
            <w:pPr>
              <w:widowControl/>
              <w:suppressLineNumbers w:val="0"/>
              <w:suppressAutoHyphens w:val="0"/>
              <w:ind w:firstLine="0"/>
              <w:jc w:val="right"/>
              <w:rPr>
                <w:sz w:val="20"/>
              </w:rPr>
            </w:pPr>
            <w:r w:rsidRPr="008174EF">
              <w:rPr>
                <w:sz w:val="20"/>
              </w:rPr>
              <w:t>1.098</w:t>
            </w:r>
          </w:p>
        </w:tc>
        <w:tc>
          <w:tcPr>
            <w:tcW w:w="767" w:type="dxa"/>
            <w:tcBorders>
              <w:top w:val="nil"/>
              <w:left w:val="nil"/>
              <w:bottom w:val="nil"/>
              <w:right w:val="nil"/>
            </w:tcBorders>
            <w:shd w:val="clear" w:color="auto" w:fill="auto"/>
            <w:noWrap/>
            <w:vAlign w:val="center"/>
            <w:hideMark/>
          </w:tcPr>
          <w:p w14:paraId="31D585AB" w14:textId="77777777" w:rsidR="00980F16" w:rsidRPr="008174EF" w:rsidRDefault="00980F16" w:rsidP="00980F16">
            <w:pPr>
              <w:widowControl/>
              <w:suppressLineNumbers w:val="0"/>
              <w:suppressAutoHyphens w:val="0"/>
              <w:ind w:firstLine="0"/>
              <w:jc w:val="right"/>
              <w:rPr>
                <w:sz w:val="20"/>
              </w:rPr>
            </w:pPr>
            <w:r w:rsidRPr="008174EF">
              <w:rPr>
                <w:sz w:val="20"/>
              </w:rPr>
              <w:t>1.098</w:t>
            </w:r>
          </w:p>
        </w:tc>
        <w:tc>
          <w:tcPr>
            <w:tcW w:w="1113" w:type="dxa"/>
            <w:tcBorders>
              <w:top w:val="nil"/>
              <w:left w:val="nil"/>
              <w:bottom w:val="nil"/>
              <w:right w:val="nil"/>
            </w:tcBorders>
            <w:shd w:val="clear" w:color="auto" w:fill="auto"/>
            <w:noWrap/>
            <w:vAlign w:val="center"/>
            <w:hideMark/>
          </w:tcPr>
          <w:p w14:paraId="6775BC46" w14:textId="77777777" w:rsidR="00980F16" w:rsidRPr="008174EF" w:rsidRDefault="00980F16" w:rsidP="00980F16">
            <w:pPr>
              <w:widowControl/>
              <w:suppressLineNumbers w:val="0"/>
              <w:suppressAutoHyphens w:val="0"/>
              <w:ind w:firstLine="0"/>
              <w:jc w:val="right"/>
              <w:rPr>
                <w:sz w:val="20"/>
              </w:rPr>
            </w:pPr>
            <w:r w:rsidRPr="008174EF">
              <w:rPr>
                <w:sz w:val="20"/>
              </w:rPr>
              <w:t>24,73%</w:t>
            </w:r>
          </w:p>
        </w:tc>
        <w:tc>
          <w:tcPr>
            <w:tcW w:w="1157" w:type="dxa"/>
            <w:tcBorders>
              <w:top w:val="nil"/>
              <w:left w:val="nil"/>
              <w:bottom w:val="nil"/>
              <w:right w:val="nil"/>
            </w:tcBorders>
            <w:shd w:val="clear" w:color="auto" w:fill="auto"/>
            <w:noWrap/>
            <w:vAlign w:val="center"/>
            <w:hideMark/>
          </w:tcPr>
          <w:p w14:paraId="2AC4AA63" w14:textId="77777777" w:rsidR="00980F16" w:rsidRPr="008174EF" w:rsidRDefault="00980F16" w:rsidP="00980F16">
            <w:pPr>
              <w:widowControl/>
              <w:suppressLineNumbers w:val="0"/>
              <w:suppressAutoHyphens w:val="0"/>
              <w:ind w:firstLine="0"/>
              <w:jc w:val="right"/>
              <w:rPr>
                <w:sz w:val="20"/>
              </w:rPr>
            </w:pPr>
            <w:r w:rsidRPr="008174EF">
              <w:rPr>
                <w:sz w:val="20"/>
              </w:rPr>
              <w:t>45,75%</w:t>
            </w:r>
          </w:p>
        </w:tc>
      </w:tr>
      <w:tr w:rsidR="008174EF" w:rsidRPr="008174EF" w14:paraId="745AE687" w14:textId="77777777" w:rsidTr="0045438C">
        <w:trPr>
          <w:trHeight w:val="254"/>
          <w:jc w:val="center"/>
        </w:trPr>
        <w:tc>
          <w:tcPr>
            <w:tcW w:w="3544" w:type="dxa"/>
            <w:tcBorders>
              <w:top w:val="nil"/>
              <w:left w:val="nil"/>
              <w:bottom w:val="nil"/>
              <w:right w:val="nil"/>
            </w:tcBorders>
            <w:shd w:val="clear" w:color="auto" w:fill="auto"/>
            <w:noWrap/>
            <w:vAlign w:val="center"/>
            <w:hideMark/>
          </w:tcPr>
          <w:p w14:paraId="2C5EFAAA" w14:textId="77777777" w:rsidR="00980F16" w:rsidRPr="008174EF" w:rsidRDefault="00980F16" w:rsidP="00980F16">
            <w:pPr>
              <w:widowControl/>
              <w:suppressLineNumbers w:val="0"/>
              <w:suppressAutoHyphens w:val="0"/>
              <w:ind w:firstLine="0"/>
              <w:jc w:val="left"/>
              <w:rPr>
                <w:sz w:val="20"/>
              </w:rPr>
            </w:pPr>
            <w:r w:rsidRPr="008174EF">
              <w:rPr>
                <w:sz w:val="20"/>
              </w:rPr>
              <w:t>Déficits Acumulados</w:t>
            </w:r>
          </w:p>
        </w:tc>
        <w:tc>
          <w:tcPr>
            <w:tcW w:w="775" w:type="dxa"/>
            <w:tcBorders>
              <w:top w:val="nil"/>
              <w:left w:val="nil"/>
              <w:bottom w:val="nil"/>
              <w:right w:val="nil"/>
            </w:tcBorders>
            <w:shd w:val="clear" w:color="auto" w:fill="auto"/>
            <w:noWrap/>
            <w:vAlign w:val="center"/>
            <w:hideMark/>
          </w:tcPr>
          <w:p w14:paraId="52C31736" w14:textId="77777777" w:rsidR="00980F16" w:rsidRPr="008174EF" w:rsidRDefault="00980F16" w:rsidP="00980F16">
            <w:pPr>
              <w:widowControl/>
              <w:suppressLineNumbers w:val="0"/>
              <w:suppressAutoHyphens w:val="0"/>
              <w:ind w:firstLine="0"/>
              <w:jc w:val="right"/>
              <w:rPr>
                <w:sz w:val="20"/>
              </w:rPr>
            </w:pPr>
            <w:r w:rsidRPr="008174EF">
              <w:rPr>
                <w:sz w:val="20"/>
              </w:rPr>
              <w:t>-826</w:t>
            </w:r>
          </w:p>
        </w:tc>
        <w:tc>
          <w:tcPr>
            <w:tcW w:w="983" w:type="dxa"/>
            <w:tcBorders>
              <w:top w:val="nil"/>
              <w:left w:val="nil"/>
              <w:bottom w:val="nil"/>
              <w:right w:val="nil"/>
            </w:tcBorders>
            <w:shd w:val="clear" w:color="auto" w:fill="auto"/>
            <w:noWrap/>
            <w:vAlign w:val="center"/>
            <w:hideMark/>
          </w:tcPr>
          <w:p w14:paraId="215E4916" w14:textId="77777777" w:rsidR="00980F16" w:rsidRPr="008174EF" w:rsidRDefault="00980F16" w:rsidP="00980F16">
            <w:pPr>
              <w:widowControl/>
              <w:suppressLineNumbers w:val="0"/>
              <w:suppressAutoHyphens w:val="0"/>
              <w:ind w:firstLine="0"/>
              <w:jc w:val="right"/>
              <w:rPr>
                <w:sz w:val="20"/>
              </w:rPr>
            </w:pPr>
            <w:r w:rsidRPr="008174EF">
              <w:rPr>
                <w:sz w:val="20"/>
              </w:rPr>
              <w:t>-803</w:t>
            </w:r>
          </w:p>
        </w:tc>
        <w:tc>
          <w:tcPr>
            <w:tcW w:w="875" w:type="dxa"/>
            <w:tcBorders>
              <w:top w:val="nil"/>
              <w:left w:val="nil"/>
              <w:bottom w:val="nil"/>
              <w:right w:val="nil"/>
            </w:tcBorders>
            <w:shd w:val="clear" w:color="auto" w:fill="auto"/>
            <w:noWrap/>
            <w:vAlign w:val="center"/>
            <w:hideMark/>
          </w:tcPr>
          <w:p w14:paraId="39269BFF" w14:textId="77777777" w:rsidR="00980F16" w:rsidRPr="008174EF" w:rsidRDefault="00980F16" w:rsidP="00980F16">
            <w:pPr>
              <w:widowControl/>
              <w:suppressLineNumbers w:val="0"/>
              <w:suppressAutoHyphens w:val="0"/>
              <w:ind w:firstLine="0"/>
              <w:jc w:val="right"/>
              <w:rPr>
                <w:sz w:val="20"/>
              </w:rPr>
            </w:pPr>
            <w:r w:rsidRPr="008174EF">
              <w:rPr>
                <w:sz w:val="20"/>
              </w:rPr>
              <w:t>-1.361</w:t>
            </w:r>
          </w:p>
        </w:tc>
        <w:tc>
          <w:tcPr>
            <w:tcW w:w="767" w:type="dxa"/>
            <w:tcBorders>
              <w:top w:val="nil"/>
              <w:left w:val="nil"/>
              <w:bottom w:val="nil"/>
              <w:right w:val="nil"/>
            </w:tcBorders>
            <w:shd w:val="clear" w:color="auto" w:fill="auto"/>
            <w:noWrap/>
            <w:vAlign w:val="center"/>
            <w:hideMark/>
          </w:tcPr>
          <w:p w14:paraId="193B58A9" w14:textId="77777777" w:rsidR="00980F16" w:rsidRPr="008174EF" w:rsidRDefault="00980F16" w:rsidP="00980F16">
            <w:pPr>
              <w:widowControl/>
              <w:suppressLineNumbers w:val="0"/>
              <w:suppressAutoHyphens w:val="0"/>
              <w:ind w:firstLine="0"/>
              <w:jc w:val="right"/>
              <w:rPr>
                <w:sz w:val="20"/>
              </w:rPr>
            </w:pPr>
            <w:r w:rsidRPr="008174EF">
              <w:rPr>
                <w:sz w:val="20"/>
              </w:rPr>
              <w:t>87</w:t>
            </w:r>
          </w:p>
        </w:tc>
        <w:tc>
          <w:tcPr>
            <w:tcW w:w="1113" w:type="dxa"/>
            <w:tcBorders>
              <w:top w:val="nil"/>
              <w:left w:val="nil"/>
              <w:bottom w:val="nil"/>
              <w:right w:val="nil"/>
            </w:tcBorders>
            <w:shd w:val="clear" w:color="auto" w:fill="auto"/>
            <w:noWrap/>
            <w:vAlign w:val="center"/>
            <w:hideMark/>
          </w:tcPr>
          <w:p w14:paraId="14C508C4" w14:textId="77777777" w:rsidR="00980F16" w:rsidRPr="008174EF" w:rsidRDefault="00980F16" w:rsidP="00980F16">
            <w:pPr>
              <w:widowControl/>
              <w:suppressLineNumbers w:val="0"/>
              <w:suppressAutoHyphens w:val="0"/>
              <w:ind w:firstLine="0"/>
              <w:jc w:val="right"/>
              <w:rPr>
                <w:sz w:val="20"/>
              </w:rPr>
            </w:pPr>
            <w:r w:rsidRPr="008174EF">
              <w:rPr>
                <w:sz w:val="20"/>
              </w:rPr>
              <w:t>-19,39%</w:t>
            </w:r>
          </w:p>
        </w:tc>
        <w:tc>
          <w:tcPr>
            <w:tcW w:w="1157" w:type="dxa"/>
            <w:tcBorders>
              <w:top w:val="nil"/>
              <w:left w:val="nil"/>
              <w:bottom w:val="nil"/>
              <w:right w:val="nil"/>
            </w:tcBorders>
            <w:shd w:val="clear" w:color="auto" w:fill="auto"/>
            <w:noWrap/>
            <w:vAlign w:val="center"/>
            <w:hideMark/>
          </w:tcPr>
          <w:p w14:paraId="65EDF19C" w14:textId="77777777" w:rsidR="00980F16" w:rsidRPr="008174EF" w:rsidRDefault="00980F16" w:rsidP="00980F16">
            <w:pPr>
              <w:widowControl/>
              <w:suppressLineNumbers w:val="0"/>
              <w:suppressAutoHyphens w:val="0"/>
              <w:ind w:firstLine="0"/>
              <w:jc w:val="right"/>
              <w:rPr>
                <w:sz w:val="20"/>
              </w:rPr>
            </w:pPr>
            <w:r w:rsidRPr="008174EF">
              <w:rPr>
                <w:sz w:val="20"/>
              </w:rPr>
              <w:t>-110,57%</w:t>
            </w:r>
          </w:p>
        </w:tc>
      </w:tr>
      <w:tr w:rsidR="008174EF" w:rsidRPr="008174EF" w14:paraId="63CD650D" w14:textId="77777777" w:rsidTr="0045438C">
        <w:trPr>
          <w:trHeight w:val="254"/>
          <w:jc w:val="center"/>
        </w:trPr>
        <w:tc>
          <w:tcPr>
            <w:tcW w:w="3544" w:type="dxa"/>
            <w:tcBorders>
              <w:top w:val="nil"/>
              <w:left w:val="nil"/>
              <w:bottom w:val="single" w:sz="4" w:space="0" w:color="auto"/>
              <w:right w:val="nil"/>
            </w:tcBorders>
            <w:shd w:val="clear" w:color="auto" w:fill="auto"/>
            <w:noWrap/>
            <w:vAlign w:val="center"/>
            <w:hideMark/>
          </w:tcPr>
          <w:p w14:paraId="5E4AC8B8" w14:textId="77777777" w:rsidR="00980F16" w:rsidRPr="008174EF" w:rsidRDefault="00980F16" w:rsidP="00980F16">
            <w:pPr>
              <w:widowControl/>
              <w:suppressLineNumbers w:val="0"/>
              <w:suppressAutoHyphens w:val="0"/>
              <w:ind w:firstLine="0"/>
              <w:jc w:val="left"/>
              <w:rPr>
                <w:b/>
                <w:bCs/>
                <w:sz w:val="20"/>
              </w:rPr>
            </w:pPr>
            <w:r w:rsidRPr="008174EF">
              <w:rPr>
                <w:b/>
                <w:bCs/>
                <w:sz w:val="20"/>
              </w:rPr>
              <w:t>Total do Passivo</w:t>
            </w:r>
          </w:p>
        </w:tc>
        <w:tc>
          <w:tcPr>
            <w:tcW w:w="775" w:type="dxa"/>
            <w:tcBorders>
              <w:top w:val="nil"/>
              <w:left w:val="nil"/>
              <w:bottom w:val="single" w:sz="4" w:space="0" w:color="auto"/>
              <w:right w:val="nil"/>
            </w:tcBorders>
            <w:shd w:val="clear" w:color="auto" w:fill="auto"/>
            <w:noWrap/>
            <w:vAlign w:val="center"/>
            <w:hideMark/>
          </w:tcPr>
          <w:p w14:paraId="76032876" w14:textId="77777777" w:rsidR="00980F16" w:rsidRPr="008174EF" w:rsidRDefault="00980F16" w:rsidP="00980F16">
            <w:pPr>
              <w:widowControl/>
              <w:suppressLineNumbers w:val="0"/>
              <w:suppressAutoHyphens w:val="0"/>
              <w:ind w:firstLine="0"/>
              <w:jc w:val="right"/>
              <w:rPr>
                <w:b/>
                <w:bCs/>
                <w:sz w:val="20"/>
              </w:rPr>
            </w:pPr>
            <w:r w:rsidRPr="008174EF">
              <w:rPr>
                <w:b/>
                <w:bCs/>
                <w:sz w:val="20"/>
              </w:rPr>
              <w:t>2.833</w:t>
            </w:r>
          </w:p>
        </w:tc>
        <w:tc>
          <w:tcPr>
            <w:tcW w:w="983" w:type="dxa"/>
            <w:tcBorders>
              <w:top w:val="nil"/>
              <w:left w:val="nil"/>
              <w:bottom w:val="single" w:sz="4" w:space="0" w:color="auto"/>
              <w:right w:val="nil"/>
            </w:tcBorders>
            <w:shd w:val="clear" w:color="auto" w:fill="auto"/>
            <w:noWrap/>
            <w:vAlign w:val="center"/>
            <w:hideMark/>
          </w:tcPr>
          <w:p w14:paraId="72342D1A" w14:textId="77777777" w:rsidR="00980F16" w:rsidRPr="008174EF" w:rsidRDefault="00980F16" w:rsidP="00980F16">
            <w:pPr>
              <w:widowControl/>
              <w:suppressLineNumbers w:val="0"/>
              <w:suppressAutoHyphens w:val="0"/>
              <w:ind w:firstLine="0"/>
              <w:jc w:val="right"/>
              <w:rPr>
                <w:b/>
                <w:bCs/>
                <w:sz w:val="20"/>
              </w:rPr>
            </w:pPr>
            <w:r w:rsidRPr="008174EF">
              <w:rPr>
                <w:b/>
                <w:bCs/>
                <w:sz w:val="20"/>
              </w:rPr>
              <w:t>3.668</w:t>
            </w:r>
          </w:p>
        </w:tc>
        <w:tc>
          <w:tcPr>
            <w:tcW w:w="875" w:type="dxa"/>
            <w:tcBorders>
              <w:top w:val="nil"/>
              <w:left w:val="nil"/>
              <w:bottom w:val="single" w:sz="4" w:space="0" w:color="auto"/>
              <w:right w:val="nil"/>
            </w:tcBorders>
            <w:shd w:val="clear" w:color="auto" w:fill="auto"/>
            <w:noWrap/>
            <w:vAlign w:val="center"/>
            <w:hideMark/>
          </w:tcPr>
          <w:p w14:paraId="56B3308F" w14:textId="77777777" w:rsidR="00980F16" w:rsidRPr="008174EF" w:rsidRDefault="00980F16" w:rsidP="00980F16">
            <w:pPr>
              <w:widowControl/>
              <w:suppressLineNumbers w:val="0"/>
              <w:suppressAutoHyphens w:val="0"/>
              <w:ind w:firstLine="0"/>
              <w:jc w:val="right"/>
              <w:rPr>
                <w:b/>
                <w:bCs/>
                <w:sz w:val="20"/>
              </w:rPr>
            </w:pPr>
            <w:r w:rsidRPr="008174EF">
              <w:rPr>
                <w:b/>
                <w:bCs/>
                <w:sz w:val="20"/>
              </w:rPr>
              <w:t>3.284</w:t>
            </w:r>
          </w:p>
        </w:tc>
        <w:tc>
          <w:tcPr>
            <w:tcW w:w="767" w:type="dxa"/>
            <w:tcBorders>
              <w:top w:val="nil"/>
              <w:left w:val="nil"/>
              <w:bottom w:val="single" w:sz="4" w:space="0" w:color="auto"/>
              <w:right w:val="nil"/>
            </w:tcBorders>
            <w:shd w:val="clear" w:color="auto" w:fill="auto"/>
            <w:noWrap/>
            <w:vAlign w:val="center"/>
            <w:hideMark/>
          </w:tcPr>
          <w:p w14:paraId="335AD05E" w14:textId="77777777" w:rsidR="00980F16" w:rsidRPr="008174EF" w:rsidRDefault="00980F16" w:rsidP="00980F16">
            <w:pPr>
              <w:widowControl/>
              <w:suppressLineNumbers w:val="0"/>
              <w:suppressAutoHyphens w:val="0"/>
              <w:ind w:firstLine="0"/>
              <w:jc w:val="right"/>
              <w:rPr>
                <w:b/>
                <w:bCs/>
                <w:sz w:val="20"/>
              </w:rPr>
            </w:pPr>
            <w:r w:rsidRPr="008174EF">
              <w:rPr>
                <w:b/>
                <w:bCs/>
                <w:sz w:val="20"/>
              </w:rPr>
              <w:t>5.186</w:t>
            </w:r>
          </w:p>
        </w:tc>
        <w:tc>
          <w:tcPr>
            <w:tcW w:w="1113" w:type="dxa"/>
            <w:tcBorders>
              <w:top w:val="nil"/>
              <w:left w:val="nil"/>
              <w:bottom w:val="single" w:sz="4" w:space="0" w:color="auto"/>
              <w:right w:val="nil"/>
            </w:tcBorders>
            <w:shd w:val="clear" w:color="auto" w:fill="auto"/>
            <w:noWrap/>
            <w:vAlign w:val="center"/>
            <w:hideMark/>
          </w:tcPr>
          <w:p w14:paraId="3DF867A3" w14:textId="77777777" w:rsidR="00980F16" w:rsidRPr="008174EF" w:rsidRDefault="00980F16" w:rsidP="00980F16">
            <w:pPr>
              <w:widowControl/>
              <w:suppressLineNumbers w:val="0"/>
              <w:suppressAutoHyphens w:val="0"/>
              <w:ind w:firstLine="0"/>
              <w:jc w:val="right"/>
              <w:rPr>
                <w:b/>
                <w:bCs/>
                <w:sz w:val="20"/>
              </w:rPr>
            </w:pPr>
            <w:r w:rsidRPr="008174EF">
              <w:rPr>
                <w:b/>
                <w:bCs/>
                <w:sz w:val="20"/>
              </w:rPr>
              <w:t>100,00%</w:t>
            </w:r>
          </w:p>
        </w:tc>
        <w:tc>
          <w:tcPr>
            <w:tcW w:w="1157" w:type="dxa"/>
            <w:tcBorders>
              <w:top w:val="nil"/>
              <w:left w:val="nil"/>
              <w:bottom w:val="single" w:sz="4" w:space="0" w:color="auto"/>
              <w:right w:val="nil"/>
            </w:tcBorders>
            <w:shd w:val="clear" w:color="auto" w:fill="auto"/>
            <w:noWrap/>
            <w:vAlign w:val="center"/>
            <w:hideMark/>
          </w:tcPr>
          <w:p w14:paraId="7DACA89C" w14:textId="77777777" w:rsidR="00980F16" w:rsidRPr="008174EF" w:rsidRDefault="00980F16" w:rsidP="00980F16">
            <w:pPr>
              <w:widowControl/>
              <w:suppressLineNumbers w:val="0"/>
              <w:suppressAutoHyphens w:val="0"/>
              <w:ind w:firstLine="0"/>
              <w:jc w:val="right"/>
              <w:rPr>
                <w:b/>
                <w:bCs/>
                <w:sz w:val="20"/>
              </w:rPr>
            </w:pPr>
            <w:r w:rsidRPr="008174EF">
              <w:rPr>
                <w:b/>
                <w:bCs/>
                <w:sz w:val="20"/>
              </w:rPr>
              <w:t>83,05%</w:t>
            </w:r>
          </w:p>
        </w:tc>
      </w:tr>
    </w:tbl>
    <w:p w14:paraId="59AA91A4" w14:textId="2BD6D446" w:rsidR="00980F16" w:rsidRPr="008174EF" w:rsidRDefault="00980F16" w:rsidP="005D6CE9">
      <w:pPr>
        <w:widowControl/>
        <w:suppressLineNumbers w:val="0"/>
        <w:shd w:val="clear" w:color="auto" w:fill="FFFFFF"/>
        <w:suppressAutoHyphens w:val="0"/>
        <w:spacing w:after="120"/>
        <w:ind w:firstLine="0"/>
        <w:rPr>
          <w:rFonts w:eastAsia="Calibri"/>
          <w:sz w:val="20"/>
          <w:szCs w:val="22"/>
          <w:lang w:eastAsia="en-US"/>
        </w:rPr>
      </w:pPr>
      <w:r w:rsidRPr="008174EF">
        <w:rPr>
          <w:rFonts w:eastAsia="Calibri"/>
          <w:sz w:val="20"/>
          <w:szCs w:val="22"/>
          <w:lang w:eastAsia="en-US"/>
        </w:rPr>
        <w:t>Fonte: Dados da pesquisa (2019</w:t>
      </w:r>
      <w:r w:rsidR="005D6CE9">
        <w:rPr>
          <w:rFonts w:eastAsia="Calibri"/>
          <w:sz w:val="20"/>
          <w:szCs w:val="22"/>
          <w:lang w:eastAsia="en-US"/>
        </w:rPr>
        <w:t>)</w:t>
      </w:r>
      <w:r w:rsidRPr="008174EF">
        <w:rPr>
          <w:rFonts w:eastAsia="Calibri"/>
          <w:sz w:val="20"/>
          <w:szCs w:val="22"/>
          <w:lang w:eastAsia="en-US"/>
        </w:rPr>
        <w:t>.</w:t>
      </w:r>
    </w:p>
    <w:p w14:paraId="0B8B4DA3" w14:textId="6B1E9D3F" w:rsidR="00980F16" w:rsidRPr="008174EF" w:rsidRDefault="00980F16" w:rsidP="00E47099">
      <w:pPr>
        <w:widowControl/>
        <w:suppressLineNumbers w:val="0"/>
        <w:suppressAutoHyphens w:val="0"/>
        <w:rPr>
          <w:rFonts w:eastAsia="Calibri"/>
          <w:szCs w:val="22"/>
          <w:lang w:eastAsia="en-US"/>
        </w:rPr>
      </w:pPr>
      <w:r w:rsidRPr="008174EF">
        <w:rPr>
          <w:rFonts w:eastAsia="Calibri"/>
          <w:szCs w:val="22"/>
          <w:lang w:eastAsia="en-US"/>
        </w:rPr>
        <w:t>O grupo de contas com maior representatividade média</w:t>
      </w:r>
      <w:r w:rsidR="009C7342" w:rsidRPr="008174EF">
        <w:rPr>
          <w:rFonts w:eastAsia="Calibri"/>
          <w:szCs w:val="22"/>
          <w:lang w:eastAsia="en-US"/>
        </w:rPr>
        <w:t>, no quadriênio,</w:t>
      </w:r>
      <w:r w:rsidRPr="008174EF">
        <w:rPr>
          <w:rFonts w:eastAsia="Calibri"/>
          <w:szCs w:val="22"/>
          <w:lang w:eastAsia="en-US"/>
        </w:rPr>
        <w:t xml:space="preserve"> foi o Passivo Circulante (91,39%), com crescimento de 25,41% no período. Desse grupo, a conta com maior </w:t>
      </w:r>
      <w:r w:rsidRPr="008174EF">
        <w:rPr>
          <w:rFonts w:eastAsia="Calibri"/>
          <w:szCs w:val="24"/>
          <w:lang w:eastAsia="en-US"/>
        </w:rPr>
        <w:t xml:space="preserve">destaque foi </w:t>
      </w:r>
      <w:r w:rsidRPr="008174EF">
        <w:rPr>
          <w:szCs w:val="24"/>
        </w:rPr>
        <w:t xml:space="preserve">Provisões Técnicas de Operações de Assistência à Saúde (75,52%). Essa conta se refere à provisão de </w:t>
      </w:r>
      <w:r w:rsidRPr="008174EF">
        <w:rPr>
          <w:rFonts w:eastAsia="Calibri"/>
          <w:szCs w:val="22"/>
          <w:lang w:eastAsia="en-US"/>
        </w:rPr>
        <w:t xml:space="preserve">pagamentos dos serviços médicos (consultas, clínicas médicas, exames laboratoriais, exames de imagens) utilizados pelos beneficiários. </w:t>
      </w:r>
    </w:p>
    <w:p w14:paraId="7A2E25D3" w14:textId="77777777" w:rsidR="00980F16" w:rsidRPr="008174EF" w:rsidRDefault="00980F16" w:rsidP="00E47099">
      <w:pPr>
        <w:widowControl/>
        <w:suppressLineNumbers w:val="0"/>
        <w:suppressAutoHyphens w:val="0"/>
        <w:rPr>
          <w:rFonts w:eastAsia="Calibri"/>
          <w:szCs w:val="22"/>
          <w:lang w:eastAsia="en-US"/>
        </w:rPr>
      </w:pPr>
      <w:r w:rsidRPr="008174EF">
        <w:rPr>
          <w:rFonts w:eastAsia="Calibri"/>
          <w:szCs w:val="22"/>
          <w:lang w:eastAsia="en-US"/>
        </w:rPr>
        <w:lastRenderedPageBreak/>
        <w:t xml:space="preserve">Essa provisão (Provisão para Eventos Ocorridos e Não Avisados - PEONA) é uma estimativa contábil relativa aos serviços de saúde ocorridos, mas ainda não registrados pela operadora para pagamento, conforme a determinação da Agência Nacional de Saúde (ANS). Além disso, essa conta também contempla a provisão dos serviços utilizados no Sistema Único de Saúde (SUS), uma vez que os gastos dos beneficiários que utilizaram o Sistema devem ser reembolsados ao governo federal. </w:t>
      </w:r>
    </w:p>
    <w:p w14:paraId="576E1805" w14:textId="0C7D697A" w:rsidR="00980F16" w:rsidRPr="008174EF" w:rsidRDefault="00980F16" w:rsidP="00E47099">
      <w:pPr>
        <w:widowControl/>
        <w:suppressLineNumbers w:val="0"/>
        <w:suppressAutoHyphens w:val="0"/>
        <w:rPr>
          <w:rFonts w:eastAsia="Calibri"/>
          <w:szCs w:val="22"/>
          <w:lang w:eastAsia="en-US"/>
        </w:rPr>
      </w:pPr>
      <w:r w:rsidRPr="008174EF">
        <w:rPr>
          <w:rFonts w:eastAsia="Calibri"/>
          <w:szCs w:val="22"/>
          <w:lang w:eastAsia="en-US"/>
        </w:rPr>
        <w:t>Outra conta representativa do Passivo Total (capital de terceiros)</w:t>
      </w:r>
      <w:r w:rsidR="009C7342" w:rsidRPr="008174EF">
        <w:rPr>
          <w:rFonts w:eastAsia="Calibri"/>
          <w:szCs w:val="22"/>
          <w:lang w:eastAsia="en-US"/>
        </w:rPr>
        <w:t>, no quadriênio,</w:t>
      </w:r>
      <w:r w:rsidRPr="008174EF">
        <w:rPr>
          <w:rFonts w:eastAsia="Calibri"/>
          <w:szCs w:val="22"/>
          <w:lang w:eastAsia="en-US"/>
        </w:rPr>
        <w:t xml:space="preserve"> são as Provisões, tanto de curto prazo (5,73%) quanto de longo prazo (3,27%). Essa conta representa o valor uma provisão referente ao Imposto sobre Serviço de Qualquer Natureza (ISSQN), uma vez que os médicos já pagam o ISSQN sobre o valor dos serviços prestados e, por isso, a operadora pode reduzir da base de cálculo do ISSQN a recolher o montante pago aos prestadores de serviços, conforme a atualização da legislação e discussão jurídica. Essa conta também contempla o INSS Patronal de Terceiros que está em discussão judicial </w:t>
      </w:r>
      <w:r w:rsidRPr="008174EF">
        <w:rPr>
          <w:rFonts w:eastAsia="Calibri"/>
          <w:szCs w:val="24"/>
          <w:lang w:eastAsia="en-US"/>
        </w:rPr>
        <w:t>para o não pagamento, uma vez que os terceiros não possuem vínculo empregatício. Portanto, a Operadora realizada depósito em juízo e reconhecimento contábil como provisão</w:t>
      </w:r>
      <w:r w:rsidRPr="008174EF">
        <w:rPr>
          <w:rFonts w:eastAsia="Calibri"/>
          <w:szCs w:val="22"/>
          <w:lang w:eastAsia="en-US"/>
        </w:rPr>
        <w:t xml:space="preserve">. </w:t>
      </w:r>
    </w:p>
    <w:p w14:paraId="789CCF5C" w14:textId="77777777" w:rsidR="00E47099" w:rsidRDefault="00980F16" w:rsidP="00E47099">
      <w:pPr>
        <w:widowControl/>
        <w:suppressLineNumbers w:val="0"/>
        <w:suppressAutoHyphens w:val="0"/>
        <w:rPr>
          <w:szCs w:val="24"/>
        </w:rPr>
      </w:pPr>
      <w:r w:rsidRPr="008174EF">
        <w:rPr>
          <w:szCs w:val="24"/>
        </w:rPr>
        <w:t>O grupo do Patrimônio Líquido possui representatividade média</w:t>
      </w:r>
      <w:r w:rsidR="009C7342" w:rsidRPr="008174EF">
        <w:rPr>
          <w:szCs w:val="24"/>
        </w:rPr>
        <w:t>, no quadriênio,</w:t>
      </w:r>
      <w:r w:rsidRPr="008174EF">
        <w:rPr>
          <w:szCs w:val="24"/>
        </w:rPr>
        <w:t xml:space="preserve"> de 5,34%, sendo composto pelas contas Patrimônio Social (24,73%) e Déficits Acumulados (-19,39%). Esse grupo teve variação negativa no período (-1.734,55), devido ao alto valor de </w:t>
      </w:r>
      <w:r w:rsidRPr="008174EF">
        <w:t>déficits</w:t>
      </w:r>
      <w:r w:rsidRPr="008174EF">
        <w:rPr>
          <w:szCs w:val="24"/>
        </w:rPr>
        <w:t xml:space="preserve"> acumulados.</w:t>
      </w:r>
      <w:r w:rsidR="00716E32" w:rsidRPr="008174EF">
        <w:rPr>
          <w:szCs w:val="24"/>
        </w:rPr>
        <w:t xml:space="preserve"> </w:t>
      </w:r>
    </w:p>
    <w:p w14:paraId="4C53C4E8" w14:textId="72927B9B" w:rsidR="00980F16" w:rsidRPr="008174EF" w:rsidRDefault="00980F16" w:rsidP="005D6CE9">
      <w:pPr>
        <w:widowControl/>
        <w:suppressLineNumbers w:val="0"/>
        <w:suppressAutoHyphens w:val="0"/>
        <w:spacing w:after="120"/>
        <w:rPr>
          <w:rFonts w:eastAsia="Calibri"/>
          <w:szCs w:val="24"/>
          <w:lang w:eastAsia="en-US"/>
        </w:rPr>
      </w:pPr>
      <w:r w:rsidRPr="008174EF">
        <w:rPr>
          <w:rFonts w:eastAsia="Calibri"/>
          <w:szCs w:val="24"/>
          <w:lang w:eastAsia="en-US"/>
        </w:rPr>
        <w:t xml:space="preserve">A Tabela </w:t>
      </w:r>
      <w:r w:rsidR="00102445" w:rsidRPr="008174EF">
        <w:rPr>
          <w:rFonts w:eastAsia="Calibri"/>
          <w:szCs w:val="24"/>
          <w:lang w:eastAsia="en-US"/>
        </w:rPr>
        <w:t>4</w:t>
      </w:r>
      <w:r w:rsidR="009C7342" w:rsidRPr="008174EF">
        <w:rPr>
          <w:rFonts w:eastAsia="Calibri"/>
          <w:szCs w:val="24"/>
          <w:lang w:eastAsia="en-US"/>
        </w:rPr>
        <w:t xml:space="preserve"> mostra a Demonstração de R</w:t>
      </w:r>
      <w:r w:rsidRPr="008174EF">
        <w:rPr>
          <w:rFonts w:eastAsia="Calibri"/>
          <w:szCs w:val="24"/>
          <w:lang w:eastAsia="en-US"/>
        </w:rPr>
        <w:t>esultado da Operadora Alfa.</w:t>
      </w:r>
    </w:p>
    <w:p w14:paraId="0CEC10B7" w14:textId="235AA9C7" w:rsidR="00980F16" w:rsidRPr="008174EF" w:rsidRDefault="0045438C" w:rsidP="00980F16">
      <w:pPr>
        <w:widowControl/>
        <w:suppressLineNumbers w:val="0"/>
        <w:shd w:val="clear" w:color="auto" w:fill="FFFFFF"/>
        <w:suppressAutoHyphens w:val="0"/>
        <w:ind w:firstLine="0"/>
        <w:rPr>
          <w:rFonts w:eastAsia="Calibri"/>
          <w:b/>
          <w:szCs w:val="22"/>
          <w:lang w:eastAsia="en-US"/>
        </w:rPr>
      </w:pPr>
      <w:r>
        <w:rPr>
          <w:rFonts w:eastAsia="Calibri"/>
          <w:b/>
          <w:szCs w:val="22"/>
          <w:lang w:eastAsia="en-US"/>
        </w:rPr>
        <w:t xml:space="preserve"> </w:t>
      </w:r>
      <w:r w:rsidR="00980F16" w:rsidRPr="008174EF">
        <w:rPr>
          <w:rFonts w:eastAsia="Calibri"/>
          <w:b/>
          <w:szCs w:val="22"/>
          <w:lang w:eastAsia="en-US"/>
        </w:rPr>
        <w:t xml:space="preserve">Tabela </w:t>
      </w:r>
      <w:r w:rsidR="00102445" w:rsidRPr="008174EF">
        <w:rPr>
          <w:rFonts w:eastAsia="Calibri"/>
          <w:b/>
          <w:szCs w:val="22"/>
          <w:lang w:eastAsia="en-US"/>
        </w:rPr>
        <w:t>4</w:t>
      </w:r>
      <w:r w:rsidR="00980F16" w:rsidRPr="008174EF">
        <w:rPr>
          <w:rFonts w:eastAsia="Calibri"/>
          <w:b/>
          <w:szCs w:val="22"/>
          <w:lang w:eastAsia="en-US"/>
        </w:rPr>
        <w:t xml:space="preserve"> – Demonstração de Resultado da Operadora Alfa </w:t>
      </w:r>
      <w:r w:rsidR="00980F16" w:rsidRPr="008174EF">
        <w:rPr>
          <w:rFonts w:eastAsia="Calibri"/>
          <w:szCs w:val="22"/>
          <w:lang w:eastAsia="en-US"/>
        </w:rPr>
        <w:t>(</w:t>
      </w:r>
      <w:r w:rsidR="00980F16" w:rsidRPr="008174EF">
        <w:rPr>
          <w:bCs/>
          <w:szCs w:val="18"/>
        </w:rPr>
        <w:t>em milhares de reais)</w:t>
      </w:r>
    </w:p>
    <w:tbl>
      <w:tblPr>
        <w:tblW w:w="9475"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28"/>
        <w:gridCol w:w="834"/>
        <w:gridCol w:w="766"/>
        <w:gridCol w:w="875"/>
        <w:gridCol w:w="875"/>
        <w:gridCol w:w="990"/>
        <w:gridCol w:w="1107"/>
      </w:tblGrid>
      <w:tr w:rsidR="00980F16" w:rsidRPr="008174EF" w14:paraId="1E7DE3D1" w14:textId="77777777" w:rsidTr="00A81C88">
        <w:trPr>
          <w:trHeight w:val="234"/>
          <w:jc w:val="center"/>
        </w:trPr>
        <w:tc>
          <w:tcPr>
            <w:tcW w:w="4028" w:type="dxa"/>
            <w:shd w:val="clear" w:color="auto" w:fill="auto"/>
            <w:noWrap/>
            <w:vAlign w:val="center"/>
            <w:hideMark/>
          </w:tcPr>
          <w:p w14:paraId="5749F38D" w14:textId="77777777" w:rsidR="00980F16" w:rsidRPr="008174EF" w:rsidRDefault="00980F16" w:rsidP="00980F16">
            <w:pPr>
              <w:widowControl/>
              <w:suppressLineNumbers w:val="0"/>
              <w:suppressAutoHyphens w:val="0"/>
              <w:ind w:firstLine="0"/>
              <w:jc w:val="center"/>
              <w:rPr>
                <w:b/>
                <w:bCs/>
                <w:sz w:val="20"/>
              </w:rPr>
            </w:pPr>
            <w:r w:rsidRPr="008174EF">
              <w:rPr>
                <w:b/>
                <w:bCs/>
                <w:sz w:val="20"/>
              </w:rPr>
              <w:t>Demonstrativo de Resultado</w:t>
            </w:r>
          </w:p>
        </w:tc>
        <w:tc>
          <w:tcPr>
            <w:tcW w:w="834" w:type="dxa"/>
            <w:shd w:val="clear" w:color="auto" w:fill="auto"/>
            <w:noWrap/>
            <w:vAlign w:val="center"/>
            <w:hideMark/>
          </w:tcPr>
          <w:p w14:paraId="4B115578"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2015</w:t>
            </w:r>
          </w:p>
        </w:tc>
        <w:tc>
          <w:tcPr>
            <w:tcW w:w="766" w:type="dxa"/>
            <w:shd w:val="clear" w:color="auto" w:fill="auto"/>
            <w:noWrap/>
            <w:vAlign w:val="center"/>
            <w:hideMark/>
          </w:tcPr>
          <w:p w14:paraId="7308AFFC"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2016</w:t>
            </w:r>
          </w:p>
        </w:tc>
        <w:tc>
          <w:tcPr>
            <w:tcW w:w="875" w:type="dxa"/>
            <w:shd w:val="clear" w:color="auto" w:fill="auto"/>
            <w:noWrap/>
            <w:vAlign w:val="center"/>
            <w:hideMark/>
          </w:tcPr>
          <w:p w14:paraId="2F545D1F"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2017</w:t>
            </w:r>
          </w:p>
        </w:tc>
        <w:tc>
          <w:tcPr>
            <w:tcW w:w="875" w:type="dxa"/>
            <w:shd w:val="clear" w:color="auto" w:fill="auto"/>
            <w:noWrap/>
            <w:vAlign w:val="center"/>
            <w:hideMark/>
          </w:tcPr>
          <w:p w14:paraId="52852A6E"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2018</w:t>
            </w:r>
          </w:p>
        </w:tc>
        <w:tc>
          <w:tcPr>
            <w:tcW w:w="990" w:type="dxa"/>
            <w:shd w:val="clear" w:color="auto" w:fill="auto"/>
            <w:noWrap/>
            <w:vAlign w:val="center"/>
            <w:hideMark/>
          </w:tcPr>
          <w:p w14:paraId="59B99254" w14:textId="2FE3649D" w:rsidR="00980F16" w:rsidRPr="008174EF" w:rsidRDefault="00980F16" w:rsidP="00980F16">
            <w:pPr>
              <w:widowControl/>
              <w:suppressLineNumbers w:val="0"/>
              <w:suppressAutoHyphens w:val="0"/>
              <w:ind w:firstLine="0"/>
              <w:jc w:val="center"/>
              <w:rPr>
                <w:b/>
                <w:bCs/>
                <w:sz w:val="20"/>
              </w:rPr>
            </w:pPr>
            <w:r w:rsidRPr="008174EF">
              <w:rPr>
                <w:b/>
                <w:bCs/>
                <w:sz w:val="20"/>
              </w:rPr>
              <w:t>A.V.</w:t>
            </w:r>
          </w:p>
        </w:tc>
        <w:tc>
          <w:tcPr>
            <w:tcW w:w="1107" w:type="dxa"/>
            <w:shd w:val="clear" w:color="auto" w:fill="auto"/>
            <w:noWrap/>
            <w:vAlign w:val="center"/>
            <w:hideMark/>
          </w:tcPr>
          <w:p w14:paraId="3F2F8E96" w14:textId="102C0F8C" w:rsidR="00980F16" w:rsidRPr="008174EF" w:rsidRDefault="00980F16" w:rsidP="00980F16">
            <w:pPr>
              <w:widowControl/>
              <w:suppressLineNumbers w:val="0"/>
              <w:suppressAutoHyphens w:val="0"/>
              <w:ind w:firstLine="0"/>
              <w:jc w:val="center"/>
              <w:rPr>
                <w:b/>
                <w:bCs/>
                <w:sz w:val="20"/>
              </w:rPr>
            </w:pPr>
            <w:r w:rsidRPr="008174EF">
              <w:rPr>
                <w:b/>
                <w:bCs/>
                <w:sz w:val="20"/>
              </w:rPr>
              <w:t xml:space="preserve">A.H. </w:t>
            </w:r>
          </w:p>
        </w:tc>
      </w:tr>
      <w:tr w:rsidR="00980F16" w:rsidRPr="008174EF" w14:paraId="53EDC378" w14:textId="77777777" w:rsidTr="00A81C88">
        <w:trPr>
          <w:trHeight w:val="234"/>
          <w:jc w:val="center"/>
        </w:trPr>
        <w:tc>
          <w:tcPr>
            <w:tcW w:w="4028" w:type="dxa"/>
            <w:shd w:val="clear" w:color="auto" w:fill="auto"/>
            <w:vAlign w:val="center"/>
            <w:hideMark/>
          </w:tcPr>
          <w:p w14:paraId="5E997BCD" w14:textId="77777777" w:rsidR="00980F16" w:rsidRPr="008174EF" w:rsidRDefault="00980F16" w:rsidP="00980F16">
            <w:pPr>
              <w:widowControl/>
              <w:suppressLineNumbers w:val="0"/>
              <w:suppressAutoHyphens w:val="0"/>
              <w:ind w:firstLine="0"/>
              <w:jc w:val="left"/>
              <w:rPr>
                <w:b/>
                <w:bCs/>
                <w:sz w:val="20"/>
              </w:rPr>
            </w:pPr>
            <w:r w:rsidRPr="008174EF">
              <w:rPr>
                <w:b/>
                <w:bCs/>
                <w:sz w:val="20"/>
              </w:rPr>
              <w:t>Contraprestações Efetivas de Plano de Assist. à Saúde</w:t>
            </w:r>
          </w:p>
        </w:tc>
        <w:tc>
          <w:tcPr>
            <w:tcW w:w="834" w:type="dxa"/>
            <w:shd w:val="clear" w:color="auto" w:fill="auto"/>
            <w:noWrap/>
            <w:vAlign w:val="center"/>
            <w:hideMark/>
          </w:tcPr>
          <w:p w14:paraId="412F4E20"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11.095</w:t>
            </w:r>
          </w:p>
        </w:tc>
        <w:tc>
          <w:tcPr>
            <w:tcW w:w="766" w:type="dxa"/>
            <w:shd w:val="clear" w:color="auto" w:fill="auto"/>
            <w:noWrap/>
            <w:vAlign w:val="center"/>
            <w:hideMark/>
          </w:tcPr>
          <w:p w14:paraId="4ED4F59E"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12.748</w:t>
            </w:r>
          </w:p>
        </w:tc>
        <w:tc>
          <w:tcPr>
            <w:tcW w:w="875" w:type="dxa"/>
            <w:shd w:val="clear" w:color="auto" w:fill="auto"/>
            <w:noWrap/>
            <w:vAlign w:val="center"/>
            <w:hideMark/>
          </w:tcPr>
          <w:p w14:paraId="5ADF9FFD"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14.635</w:t>
            </w:r>
          </w:p>
        </w:tc>
        <w:tc>
          <w:tcPr>
            <w:tcW w:w="875" w:type="dxa"/>
            <w:shd w:val="clear" w:color="auto" w:fill="auto"/>
            <w:noWrap/>
            <w:vAlign w:val="center"/>
            <w:hideMark/>
          </w:tcPr>
          <w:p w14:paraId="500994D6"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16.844</w:t>
            </w:r>
          </w:p>
        </w:tc>
        <w:tc>
          <w:tcPr>
            <w:tcW w:w="990" w:type="dxa"/>
            <w:shd w:val="clear" w:color="auto" w:fill="auto"/>
            <w:noWrap/>
            <w:vAlign w:val="center"/>
            <w:hideMark/>
          </w:tcPr>
          <w:p w14:paraId="1A9FAD1C" w14:textId="77777777" w:rsidR="00980F16" w:rsidRPr="008174EF" w:rsidRDefault="00980F16" w:rsidP="00980F16">
            <w:pPr>
              <w:widowControl/>
              <w:suppressLineNumbers w:val="0"/>
              <w:suppressAutoHyphens w:val="0"/>
              <w:ind w:firstLine="0"/>
              <w:jc w:val="right"/>
              <w:rPr>
                <w:b/>
                <w:bCs/>
                <w:sz w:val="20"/>
              </w:rPr>
            </w:pPr>
            <w:r w:rsidRPr="008174EF">
              <w:rPr>
                <w:b/>
                <w:bCs/>
                <w:sz w:val="20"/>
              </w:rPr>
              <w:t>100,00%</w:t>
            </w:r>
          </w:p>
        </w:tc>
        <w:tc>
          <w:tcPr>
            <w:tcW w:w="1107" w:type="dxa"/>
            <w:shd w:val="clear" w:color="auto" w:fill="auto"/>
            <w:noWrap/>
            <w:vAlign w:val="center"/>
            <w:hideMark/>
          </w:tcPr>
          <w:p w14:paraId="7AC0DD11" w14:textId="77777777" w:rsidR="00980F16" w:rsidRPr="008174EF" w:rsidRDefault="00980F16" w:rsidP="00980F16">
            <w:pPr>
              <w:widowControl/>
              <w:suppressLineNumbers w:val="0"/>
              <w:suppressAutoHyphens w:val="0"/>
              <w:ind w:firstLine="0"/>
              <w:jc w:val="right"/>
              <w:rPr>
                <w:b/>
                <w:bCs/>
                <w:sz w:val="20"/>
              </w:rPr>
            </w:pPr>
            <w:r w:rsidRPr="008174EF">
              <w:rPr>
                <w:b/>
                <w:bCs/>
                <w:sz w:val="20"/>
              </w:rPr>
              <w:t>51,82%</w:t>
            </w:r>
          </w:p>
        </w:tc>
      </w:tr>
      <w:tr w:rsidR="00980F16" w:rsidRPr="008174EF" w14:paraId="18471C1E" w14:textId="77777777" w:rsidTr="00A81C88">
        <w:trPr>
          <w:trHeight w:val="234"/>
          <w:jc w:val="center"/>
        </w:trPr>
        <w:tc>
          <w:tcPr>
            <w:tcW w:w="4028" w:type="dxa"/>
            <w:shd w:val="clear" w:color="auto" w:fill="auto"/>
            <w:vAlign w:val="center"/>
            <w:hideMark/>
          </w:tcPr>
          <w:p w14:paraId="6370BAD1" w14:textId="77777777" w:rsidR="00980F16" w:rsidRPr="008174EF" w:rsidRDefault="00980F16" w:rsidP="006469E3">
            <w:pPr>
              <w:widowControl/>
              <w:suppressLineNumbers w:val="0"/>
              <w:suppressAutoHyphens w:val="0"/>
              <w:ind w:firstLine="0"/>
              <w:jc w:val="left"/>
              <w:rPr>
                <w:sz w:val="20"/>
              </w:rPr>
            </w:pPr>
            <w:r w:rsidRPr="008174EF">
              <w:rPr>
                <w:sz w:val="20"/>
              </w:rPr>
              <w:t>Receitas com Operações de Assist. à Saúde</w:t>
            </w:r>
          </w:p>
        </w:tc>
        <w:tc>
          <w:tcPr>
            <w:tcW w:w="834" w:type="dxa"/>
            <w:shd w:val="clear" w:color="auto" w:fill="auto"/>
            <w:noWrap/>
            <w:vAlign w:val="center"/>
            <w:hideMark/>
          </w:tcPr>
          <w:p w14:paraId="76BBD72A" w14:textId="77777777" w:rsidR="00980F16" w:rsidRPr="008174EF" w:rsidRDefault="00980F16" w:rsidP="00980F16">
            <w:pPr>
              <w:widowControl/>
              <w:suppressLineNumbers w:val="0"/>
              <w:suppressAutoHyphens w:val="0"/>
              <w:ind w:firstLine="0"/>
              <w:jc w:val="right"/>
              <w:rPr>
                <w:sz w:val="20"/>
              </w:rPr>
            </w:pPr>
            <w:r w:rsidRPr="008174EF">
              <w:rPr>
                <w:sz w:val="20"/>
              </w:rPr>
              <w:t>11.357</w:t>
            </w:r>
          </w:p>
        </w:tc>
        <w:tc>
          <w:tcPr>
            <w:tcW w:w="766" w:type="dxa"/>
            <w:shd w:val="clear" w:color="auto" w:fill="auto"/>
            <w:noWrap/>
            <w:vAlign w:val="center"/>
            <w:hideMark/>
          </w:tcPr>
          <w:p w14:paraId="1F3A4E09" w14:textId="77777777" w:rsidR="00980F16" w:rsidRPr="008174EF" w:rsidRDefault="00980F16" w:rsidP="00980F16">
            <w:pPr>
              <w:widowControl/>
              <w:suppressLineNumbers w:val="0"/>
              <w:suppressAutoHyphens w:val="0"/>
              <w:ind w:firstLine="0"/>
              <w:jc w:val="right"/>
              <w:rPr>
                <w:sz w:val="20"/>
              </w:rPr>
            </w:pPr>
            <w:r w:rsidRPr="008174EF">
              <w:rPr>
                <w:sz w:val="20"/>
              </w:rPr>
              <w:t>13.021</w:t>
            </w:r>
          </w:p>
        </w:tc>
        <w:tc>
          <w:tcPr>
            <w:tcW w:w="875" w:type="dxa"/>
            <w:shd w:val="clear" w:color="auto" w:fill="auto"/>
            <w:noWrap/>
            <w:vAlign w:val="center"/>
            <w:hideMark/>
          </w:tcPr>
          <w:p w14:paraId="1AD078C7" w14:textId="77777777" w:rsidR="00980F16" w:rsidRPr="008174EF" w:rsidRDefault="00980F16" w:rsidP="00980F16">
            <w:pPr>
              <w:widowControl/>
              <w:suppressLineNumbers w:val="0"/>
              <w:suppressAutoHyphens w:val="0"/>
              <w:ind w:firstLine="0"/>
              <w:jc w:val="right"/>
              <w:rPr>
                <w:sz w:val="20"/>
              </w:rPr>
            </w:pPr>
            <w:r w:rsidRPr="008174EF">
              <w:rPr>
                <w:sz w:val="20"/>
              </w:rPr>
              <w:t>15.050</w:t>
            </w:r>
          </w:p>
        </w:tc>
        <w:tc>
          <w:tcPr>
            <w:tcW w:w="875" w:type="dxa"/>
            <w:shd w:val="clear" w:color="auto" w:fill="auto"/>
            <w:noWrap/>
            <w:vAlign w:val="center"/>
            <w:hideMark/>
          </w:tcPr>
          <w:p w14:paraId="4AB62509" w14:textId="77777777" w:rsidR="00980F16" w:rsidRPr="008174EF" w:rsidRDefault="00980F16" w:rsidP="00980F16">
            <w:pPr>
              <w:widowControl/>
              <w:suppressLineNumbers w:val="0"/>
              <w:suppressAutoHyphens w:val="0"/>
              <w:ind w:firstLine="0"/>
              <w:jc w:val="right"/>
              <w:rPr>
                <w:sz w:val="20"/>
              </w:rPr>
            </w:pPr>
            <w:r w:rsidRPr="008174EF">
              <w:rPr>
                <w:sz w:val="20"/>
              </w:rPr>
              <w:t>17.235</w:t>
            </w:r>
          </w:p>
        </w:tc>
        <w:tc>
          <w:tcPr>
            <w:tcW w:w="990" w:type="dxa"/>
            <w:shd w:val="clear" w:color="auto" w:fill="auto"/>
            <w:noWrap/>
            <w:vAlign w:val="center"/>
            <w:hideMark/>
          </w:tcPr>
          <w:p w14:paraId="48B7B3B2" w14:textId="77777777" w:rsidR="00980F16" w:rsidRPr="008174EF" w:rsidRDefault="00980F16" w:rsidP="00980F16">
            <w:pPr>
              <w:widowControl/>
              <w:suppressLineNumbers w:val="0"/>
              <w:suppressAutoHyphens w:val="0"/>
              <w:ind w:firstLine="0"/>
              <w:jc w:val="right"/>
              <w:rPr>
                <w:sz w:val="20"/>
              </w:rPr>
            </w:pPr>
            <w:r w:rsidRPr="008174EF">
              <w:rPr>
                <w:sz w:val="20"/>
              </w:rPr>
              <w:t>102,42%</w:t>
            </w:r>
          </w:p>
        </w:tc>
        <w:tc>
          <w:tcPr>
            <w:tcW w:w="1107" w:type="dxa"/>
            <w:shd w:val="clear" w:color="auto" w:fill="auto"/>
            <w:noWrap/>
            <w:vAlign w:val="center"/>
            <w:hideMark/>
          </w:tcPr>
          <w:p w14:paraId="4A757CF2" w14:textId="77777777" w:rsidR="00980F16" w:rsidRPr="008174EF" w:rsidRDefault="00980F16" w:rsidP="00980F16">
            <w:pPr>
              <w:widowControl/>
              <w:suppressLineNumbers w:val="0"/>
              <w:suppressAutoHyphens w:val="0"/>
              <w:ind w:firstLine="0"/>
              <w:jc w:val="right"/>
              <w:rPr>
                <w:sz w:val="20"/>
              </w:rPr>
            </w:pPr>
            <w:r w:rsidRPr="008174EF">
              <w:rPr>
                <w:sz w:val="20"/>
              </w:rPr>
              <w:t>51,76%</w:t>
            </w:r>
          </w:p>
        </w:tc>
      </w:tr>
      <w:tr w:rsidR="00980F16" w:rsidRPr="008174EF" w14:paraId="1E1E79BF" w14:textId="77777777" w:rsidTr="00A81C88">
        <w:trPr>
          <w:trHeight w:val="234"/>
          <w:jc w:val="center"/>
        </w:trPr>
        <w:tc>
          <w:tcPr>
            <w:tcW w:w="4028" w:type="dxa"/>
            <w:shd w:val="clear" w:color="auto" w:fill="auto"/>
            <w:noWrap/>
            <w:vAlign w:val="center"/>
            <w:hideMark/>
          </w:tcPr>
          <w:p w14:paraId="7B0E7A52" w14:textId="77777777" w:rsidR="00980F16" w:rsidRPr="008174EF" w:rsidRDefault="00980F16" w:rsidP="006469E3">
            <w:pPr>
              <w:widowControl/>
              <w:suppressLineNumbers w:val="0"/>
              <w:suppressAutoHyphens w:val="0"/>
              <w:ind w:firstLine="0"/>
              <w:jc w:val="left"/>
              <w:rPr>
                <w:sz w:val="20"/>
              </w:rPr>
            </w:pPr>
            <w:r w:rsidRPr="008174EF">
              <w:rPr>
                <w:sz w:val="20"/>
              </w:rPr>
              <w:t xml:space="preserve">(-) Tributos Diretos de </w:t>
            </w:r>
            <w:proofErr w:type="spellStart"/>
            <w:r w:rsidRPr="008174EF">
              <w:rPr>
                <w:sz w:val="20"/>
              </w:rPr>
              <w:t>Oper</w:t>
            </w:r>
            <w:proofErr w:type="spellEnd"/>
            <w:r w:rsidRPr="008174EF">
              <w:rPr>
                <w:sz w:val="20"/>
              </w:rPr>
              <w:t>. c/ Planos Assist. à Saúde da Op.</w:t>
            </w:r>
          </w:p>
        </w:tc>
        <w:tc>
          <w:tcPr>
            <w:tcW w:w="834" w:type="dxa"/>
            <w:shd w:val="clear" w:color="auto" w:fill="auto"/>
            <w:noWrap/>
            <w:vAlign w:val="center"/>
            <w:hideMark/>
          </w:tcPr>
          <w:p w14:paraId="75778A4E" w14:textId="77777777" w:rsidR="00980F16" w:rsidRPr="008174EF" w:rsidRDefault="00980F16" w:rsidP="00980F16">
            <w:pPr>
              <w:widowControl/>
              <w:suppressLineNumbers w:val="0"/>
              <w:suppressAutoHyphens w:val="0"/>
              <w:ind w:firstLine="0"/>
              <w:jc w:val="right"/>
              <w:rPr>
                <w:sz w:val="20"/>
              </w:rPr>
            </w:pPr>
            <w:r w:rsidRPr="008174EF">
              <w:rPr>
                <w:sz w:val="20"/>
              </w:rPr>
              <w:t>(262)</w:t>
            </w:r>
          </w:p>
        </w:tc>
        <w:tc>
          <w:tcPr>
            <w:tcW w:w="766" w:type="dxa"/>
            <w:shd w:val="clear" w:color="auto" w:fill="auto"/>
            <w:noWrap/>
            <w:vAlign w:val="center"/>
            <w:hideMark/>
          </w:tcPr>
          <w:p w14:paraId="0601CF8C" w14:textId="77777777" w:rsidR="00980F16" w:rsidRPr="008174EF" w:rsidRDefault="00980F16" w:rsidP="00980F16">
            <w:pPr>
              <w:widowControl/>
              <w:suppressLineNumbers w:val="0"/>
              <w:suppressAutoHyphens w:val="0"/>
              <w:ind w:firstLine="0"/>
              <w:jc w:val="right"/>
              <w:rPr>
                <w:sz w:val="20"/>
              </w:rPr>
            </w:pPr>
            <w:r w:rsidRPr="008174EF">
              <w:rPr>
                <w:sz w:val="20"/>
              </w:rPr>
              <w:t>(273)</w:t>
            </w:r>
          </w:p>
        </w:tc>
        <w:tc>
          <w:tcPr>
            <w:tcW w:w="875" w:type="dxa"/>
            <w:shd w:val="clear" w:color="auto" w:fill="auto"/>
            <w:noWrap/>
            <w:vAlign w:val="center"/>
            <w:hideMark/>
          </w:tcPr>
          <w:p w14:paraId="0E83CF0E" w14:textId="77777777" w:rsidR="00980F16" w:rsidRPr="008174EF" w:rsidRDefault="00980F16" w:rsidP="00980F16">
            <w:pPr>
              <w:widowControl/>
              <w:suppressLineNumbers w:val="0"/>
              <w:suppressAutoHyphens w:val="0"/>
              <w:ind w:firstLine="0"/>
              <w:jc w:val="right"/>
              <w:rPr>
                <w:sz w:val="20"/>
              </w:rPr>
            </w:pPr>
            <w:r w:rsidRPr="008174EF">
              <w:rPr>
                <w:sz w:val="20"/>
              </w:rPr>
              <w:t>(415)</w:t>
            </w:r>
          </w:p>
        </w:tc>
        <w:tc>
          <w:tcPr>
            <w:tcW w:w="875" w:type="dxa"/>
            <w:shd w:val="clear" w:color="auto" w:fill="auto"/>
            <w:noWrap/>
            <w:vAlign w:val="center"/>
            <w:hideMark/>
          </w:tcPr>
          <w:p w14:paraId="71AB1178" w14:textId="77777777" w:rsidR="00980F16" w:rsidRPr="008174EF" w:rsidRDefault="00980F16" w:rsidP="00980F16">
            <w:pPr>
              <w:widowControl/>
              <w:suppressLineNumbers w:val="0"/>
              <w:suppressAutoHyphens w:val="0"/>
              <w:ind w:firstLine="0"/>
              <w:jc w:val="right"/>
              <w:rPr>
                <w:sz w:val="20"/>
              </w:rPr>
            </w:pPr>
            <w:r w:rsidRPr="008174EF">
              <w:rPr>
                <w:sz w:val="20"/>
              </w:rPr>
              <w:t>(391)</w:t>
            </w:r>
          </w:p>
        </w:tc>
        <w:tc>
          <w:tcPr>
            <w:tcW w:w="990" w:type="dxa"/>
            <w:shd w:val="clear" w:color="auto" w:fill="auto"/>
            <w:noWrap/>
            <w:vAlign w:val="center"/>
            <w:hideMark/>
          </w:tcPr>
          <w:p w14:paraId="4ACA0A13" w14:textId="77777777" w:rsidR="00980F16" w:rsidRPr="008174EF" w:rsidRDefault="00980F16" w:rsidP="00980F16">
            <w:pPr>
              <w:widowControl/>
              <w:suppressLineNumbers w:val="0"/>
              <w:suppressAutoHyphens w:val="0"/>
              <w:ind w:firstLine="0"/>
              <w:jc w:val="right"/>
              <w:rPr>
                <w:sz w:val="20"/>
              </w:rPr>
            </w:pPr>
            <w:r w:rsidRPr="008174EF">
              <w:rPr>
                <w:sz w:val="20"/>
              </w:rPr>
              <w:t>-2,42%</w:t>
            </w:r>
          </w:p>
        </w:tc>
        <w:tc>
          <w:tcPr>
            <w:tcW w:w="1107" w:type="dxa"/>
            <w:shd w:val="clear" w:color="auto" w:fill="auto"/>
            <w:noWrap/>
            <w:vAlign w:val="center"/>
            <w:hideMark/>
          </w:tcPr>
          <w:p w14:paraId="43F160E1" w14:textId="77777777" w:rsidR="00980F16" w:rsidRPr="008174EF" w:rsidRDefault="00980F16" w:rsidP="00980F16">
            <w:pPr>
              <w:widowControl/>
              <w:suppressLineNumbers w:val="0"/>
              <w:suppressAutoHyphens w:val="0"/>
              <w:ind w:firstLine="0"/>
              <w:jc w:val="right"/>
              <w:rPr>
                <w:sz w:val="20"/>
              </w:rPr>
            </w:pPr>
            <w:r w:rsidRPr="008174EF">
              <w:rPr>
                <w:sz w:val="20"/>
              </w:rPr>
              <w:t>49,23%</w:t>
            </w:r>
          </w:p>
        </w:tc>
      </w:tr>
      <w:tr w:rsidR="00980F16" w:rsidRPr="008174EF" w14:paraId="5706EA77" w14:textId="77777777" w:rsidTr="00A81C88">
        <w:trPr>
          <w:trHeight w:val="234"/>
          <w:jc w:val="center"/>
        </w:trPr>
        <w:tc>
          <w:tcPr>
            <w:tcW w:w="4028" w:type="dxa"/>
            <w:shd w:val="clear" w:color="auto" w:fill="auto"/>
            <w:noWrap/>
            <w:vAlign w:val="center"/>
            <w:hideMark/>
          </w:tcPr>
          <w:p w14:paraId="12315E58" w14:textId="77777777" w:rsidR="00980F16" w:rsidRPr="008174EF" w:rsidRDefault="00980F16" w:rsidP="00980F16">
            <w:pPr>
              <w:widowControl/>
              <w:suppressLineNumbers w:val="0"/>
              <w:suppressAutoHyphens w:val="0"/>
              <w:ind w:firstLine="0"/>
              <w:jc w:val="left"/>
              <w:rPr>
                <w:b/>
                <w:bCs/>
                <w:sz w:val="20"/>
              </w:rPr>
            </w:pPr>
            <w:r w:rsidRPr="008174EF">
              <w:rPr>
                <w:b/>
                <w:bCs/>
                <w:sz w:val="20"/>
              </w:rPr>
              <w:t>Eventos Indenizáveis Líquidos</w:t>
            </w:r>
          </w:p>
        </w:tc>
        <w:tc>
          <w:tcPr>
            <w:tcW w:w="834" w:type="dxa"/>
            <w:shd w:val="clear" w:color="auto" w:fill="auto"/>
            <w:noWrap/>
            <w:vAlign w:val="center"/>
            <w:hideMark/>
          </w:tcPr>
          <w:p w14:paraId="0AFD142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(9.950)</w:t>
            </w:r>
          </w:p>
        </w:tc>
        <w:tc>
          <w:tcPr>
            <w:tcW w:w="766" w:type="dxa"/>
            <w:shd w:val="clear" w:color="auto" w:fill="auto"/>
            <w:noWrap/>
            <w:vAlign w:val="center"/>
            <w:hideMark/>
          </w:tcPr>
          <w:p w14:paraId="29FB3998"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(9.935)</w:t>
            </w:r>
          </w:p>
        </w:tc>
        <w:tc>
          <w:tcPr>
            <w:tcW w:w="875" w:type="dxa"/>
            <w:shd w:val="clear" w:color="auto" w:fill="auto"/>
            <w:noWrap/>
            <w:vAlign w:val="center"/>
            <w:hideMark/>
          </w:tcPr>
          <w:p w14:paraId="25DD47C0"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(12.564)</w:t>
            </w:r>
          </w:p>
        </w:tc>
        <w:tc>
          <w:tcPr>
            <w:tcW w:w="875" w:type="dxa"/>
            <w:shd w:val="clear" w:color="auto" w:fill="auto"/>
            <w:noWrap/>
            <w:vAlign w:val="center"/>
            <w:hideMark/>
          </w:tcPr>
          <w:p w14:paraId="351647D3"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(12.840)</w:t>
            </w:r>
          </w:p>
        </w:tc>
        <w:tc>
          <w:tcPr>
            <w:tcW w:w="990" w:type="dxa"/>
            <w:shd w:val="clear" w:color="auto" w:fill="auto"/>
            <w:noWrap/>
            <w:vAlign w:val="center"/>
            <w:hideMark/>
          </w:tcPr>
          <w:p w14:paraId="32CE3089" w14:textId="77777777" w:rsidR="00980F16" w:rsidRPr="008174EF" w:rsidRDefault="00980F16" w:rsidP="00980F16">
            <w:pPr>
              <w:widowControl/>
              <w:suppressLineNumbers w:val="0"/>
              <w:suppressAutoHyphens w:val="0"/>
              <w:ind w:firstLine="0"/>
              <w:jc w:val="right"/>
              <w:rPr>
                <w:b/>
                <w:bCs/>
                <w:sz w:val="20"/>
              </w:rPr>
            </w:pPr>
            <w:r w:rsidRPr="008174EF">
              <w:rPr>
                <w:b/>
                <w:bCs/>
                <w:sz w:val="20"/>
              </w:rPr>
              <w:t>-81,87%</w:t>
            </w:r>
          </w:p>
        </w:tc>
        <w:tc>
          <w:tcPr>
            <w:tcW w:w="1107" w:type="dxa"/>
            <w:shd w:val="clear" w:color="auto" w:fill="auto"/>
            <w:noWrap/>
            <w:vAlign w:val="center"/>
            <w:hideMark/>
          </w:tcPr>
          <w:p w14:paraId="2B28CB2B" w14:textId="77777777" w:rsidR="00980F16" w:rsidRPr="008174EF" w:rsidRDefault="00980F16" w:rsidP="00980F16">
            <w:pPr>
              <w:widowControl/>
              <w:suppressLineNumbers w:val="0"/>
              <w:suppressAutoHyphens w:val="0"/>
              <w:ind w:firstLine="0"/>
              <w:jc w:val="right"/>
              <w:rPr>
                <w:b/>
                <w:bCs/>
                <w:sz w:val="20"/>
              </w:rPr>
            </w:pPr>
            <w:r w:rsidRPr="008174EF">
              <w:rPr>
                <w:b/>
                <w:bCs/>
                <w:sz w:val="20"/>
              </w:rPr>
              <w:t>29,05%</w:t>
            </w:r>
          </w:p>
        </w:tc>
      </w:tr>
      <w:tr w:rsidR="00980F16" w:rsidRPr="008174EF" w14:paraId="645E9CF6" w14:textId="77777777" w:rsidTr="00A81C88">
        <w:trPr>
          <w:trHeight w:val="234"/>
          <w:jc w:val="center"/>
        </w:trPr>
        <w:tc>
          <w:tcPr>
            <w:tcW w:w="4028" w:type="dxa"/>
            <w:shd w:val="clear" w:color="auto" w:fill="auto"/>
            <w:noWrap/>
            <w:vAlign w:val="center"/>
            <w:hideMark/>
          </w:tcPr>
          <w:p w14:paraId="3F5DB9C3" w14:textId="77777777" w:rsidR="00980F16" w:rsidRPr="008174EF" w:rsidRDefault="00980F16" w:rsidP="006469E3">
            <w:pPr>
              <w:widowControl/>
              <w:suppressLineNumbers w:val="0"/>
              <w:suppressAutoHyphens w:val="0"/>
              <w:ind w:firstLine="0"/>
              <w:jc w:val="left"/>
              <w:rPr>
                <w:sz w:val="20"/>
              </w:rPr>
            </w:pPr>
            <w:r w:rsidRPr="008174EF">
              <w:rPr>
                <w:sz w:val="20"/>
              </w:rPr>
              <w:t>Eventos Conhecidos ou Avisados</w:t>
            </w:r>
          </w:p>
        </w:tc>
        <w:tc>
          <w:tcPr>
            <w:tcW w:w="834" w:type="dxa"/>
            <w:shd w:val="clear" w:color="auto" w:fill="auto"/>
            <w:noWrap/>
            <w:vAlign w:val="center"/>
            <w:hideMark/>
          </w:tcPr>
          <w:p w14:paraId="09AC4236" w14:textId="77777777" w:rsidR="00980F16" w:rsidRPr="008174EF" w:rsidRDefault="00980F16" w:rsidP="00980F16">
            <w:pPr>
              <w:widowControl/>
              <w:suppressLineNumbers w:val="0"/>
              <w:suppressAutoHyphens w:val="0"/>
              <w:ind w:firstLine="0"/>
              <w:jc w:val="right"/>
              <w:rPr>
                <w:sz w:val="20"/>
              </w:rPr>
            </w:pPr>
            <w:r w:rsidRPr="008174EF">
              <w:rPr>
                <w:sz w:val="20"/>
              </w:rPr>
              <w:t>(9.832)</w:t>
            </w:r>
          </w:p>
        </w:tc>
        <w:tc>
          <w:tcPr>
            <w:tcW w:w="766" w:type="dxa"/>
            <w:shd w:val="clear" w:color="auto" w:fill="auto"/>
            <w:noWrap/>
            <w:vAlign w:val="center"/>
            <w:hideMark/>
          </w:tcPr>
          <w:p w14:paraId="3074D953" w14:textId="77777777" w:rsidR="00980F16" w:rsidRPr="008174EF" w:rsidRDefault="00980F16" w:rsidP="00980F16">
            <w:pPr>
              <w:widowControl/>
              <w:suppressLineNumbers w:val="0"/>
              <w:suppressAutoHyphens w:val="0"/>
              <w:ind w:firstLine="0"/>
              <w:jc w:val="right"/>
              <w:rPr>
                <w:sz w:val="20"/>
              </w:rPr>
            </w:pPr>
            <w:r w:rsidRPr="008174EF">
              <w:rPr>
                <w:sz w:val="20"/>
              </w:rPr>
              <w:t>(9.807)</w:t>
            </w:r>
          </w:p>
        </w:tc>
        <w:tc>
          <w:tcPr>
            <w:tcW w:w="875" w:type="dxa"/>
            <w:shd w:val="clear" w:color="auto" w:fill="auto"/>
            <w:noWrap/>
            <w:vAlign w:val="center"/>
            <w:hideMark/>
          </w:tcPr>
          <w:p w14:paraId="0DC2187A" w14:textId="77777777" w:rsidR="00980F16" w:rsidRPr="008174EF" w:rsidRDefault="00980F16" w:rsidP="00980F16">
            <w:pPr>
              <w:widowControl/>
              <w:suppressLineNumbers w:val="0"/>
              <w:suppressAutoHyphens w:val="0"/>
              <w:ind w:firstLine="0"/>
              <w:jc w:val="right"/>
              <w:rPr>
                <w:sz w:val="20"/>
              </w:rPr>
            </w:pPr>
            <w:r w:rsidRPr="008174EF">
              <w:rPr>
                <w:sz w:val="20"/>
              </w:rPr>
              <w:t>(12.397)</w:t>
            </w:r>
          </w:p>
        </w:tc>
        <w:tc>
          <w:tcPr>
            <w:tcW w:w="875" w:type="dxa"/>
            <w:shd w:val="clear" w:color="auto" w:fill="auto"/>
            <w:noWrap/>
            <w:vAlign w:val="center"/>
            <w:hideMark/>
          </w:tcPr>
          <w:p w14:paraId="6A31B332" w14:textId="77777777" w:rsidR="00980F16" w:rsidRPr="008174EF" w:rsidRDefault="00980F16" w:rsidP="00980F16">
            <w:pPr>
              <w:widowControl/>
              <w:suppressLineNumbers w:val="0"/>
              <w:suppressAutoHyphens w:val="0"/>
              <w:ind w:firstLine="0"/>
              <w:jc w:val="right"/>
              <w:rPr>
                <w:sz w:val="20"/>
              </w:rPr>
            </w:pPr>
            <w:r w:rsidRPr="008174EF">
              <w:rPr>
                <w:sz w:val="20"/>
              </w:rPr>
              <w:t>(12.637)</w:t>
            </w:r>
          </w:p>
        </w:tc>
        <w:tc>
          <w:tcPr>
            <w:tcW w:w="990" w:type="dxa"/>
            <w:shd w:val="clear" w:color="auto" w:fill="auto"/>
            <w:noWrap/>
            <w:vAlign w:val="center"/>
            <w:hideMark/>
          </w:tcPr>
          <w:p w14:paraId="0FB46BD2" w14:textId="77777777" w:rsidR="00980F16" w:rsidRPr="008174EF" w:rsidRDefault="00980F16" w:rsidP="00980F16">
            <w:pPr>
              <w:widowControl/>
              <w:suppressLineNumbers w:val="0"/>
              <w:suppressAutoHyphens w:val="0"/>
              <w:ind w:firstLine="0"/>
              <w:jc w:val="right"/>
              <w:rPr>
                <w:sz w:val="20"/>
              </w:rPr>
            </w:pPr>
            <w:r w:rsidRPr="008174EF">
              <w:rPr>
                <w:sz w:val="20"/>
              </w:rPr>
              <w:t>-80,75%</w:t>
            </w:r>
          </w:p>
        </w:tc>
        <w:tc>
          <w:tcPr>
            <w:tcW w:w="1107" w:type="dxa"/>
            <w:shd w:val="clear" w:color="auto" w:fill="auto"/>
            <w:noWrap/>
            <w:vAlign w:val="center"/>
            <w:hideMark/>
          </w:tcPr>
          <w:p w14:paraId="179904EC" w14:textId="77777777" w:rsidR="00980F16" w:rsidRPr="008174EF" w:rsidRDefault="00980F16" w:rsidP="00980F16">
            <w:pPr>
              <w:widowControl/>
              <w:suppressLineNumbers w:val="0"/>
              <w:suppressAutoHyphens w:val="0"/>
              <w:ind w:firstLine="0"/>
              <w:jc w:val="right"/>
              <w:rPr>
                <w:sz w:val="20"/>
              </w:rPr>
            </w:pPr>
            <w:r w:rsidRPr="008174EF">
              <w:rPr>
                <w:sz w:val="20"/>
              </w:rPr>
              <w:t>28,53%</w:t>
            </w:r>
          </w:p>
        </w:tc>
      </w:tr>
      <w:tr w:rsidR="00980F16" w:rsidRPr="008174EF" w14:paraId="595180AA" w14:textId="77777777" w:rsidTr="00A81C88">
        <w:trPr>
          <w:trHeight w:val="234"/>
          <w:jc w:val="center"/>
        </w:trPr>
        <w:tc>
          <w:tcPr>
            <w:tcW w:w="4028" w:type="dxa"/>
            <w:shd w:val="clear" w:color="auto" w:fill="auto"/>
            <w:noWrap/>
            <w:vAlign w:val="center"/>
            <w:hideMark/>
          </w:tcPr>
          <w:p w14:paraId="1CB8714C" w14:textId="4B6B7DA2" w:rsidR="00980F16" w:rsidRPr="008174EF" w:rsidRDefault="00980F16" w:rsidP="00F97383">
            <w:pPr>
              <w:widowControl/>
              <w:suppressLineNumbers w:val="0"/>
              <w:suppressAutoHyphens w:val="0"/>
              <w:ind w:firstLine="0"/>
              <w:jc w:val="left"/>
              <w:rPr>
                <w:sz w:val="20"/>
              </w:rPr>
            </w:pPr>
            <w:r w:rsidRPr="008174EF">
              <w:rPr>
                <w:sz w:val="20"/>
              </w:rPr>
              <w:t>Provisão de Eventos</w:t>
            </w:r>
            <w:r w:rsidR="00F97383">
              <w:rPr>
                <w:sz w:val="20"/>
              </w:rPr>
              <w:t xml:space="preserve"> </w:t>
            </w:r>
            <w:r w:rsidRPr="008174EF">
              <w:rPr>
                <w:sz w:val="20"/>
              </w:rPr>
              <w:t>Ocorridos e Não Avisados</w:t>
            </w:r>
          </w:p>
        </w:tc>
        <w:tc>
          <w:tcPr>
            <w:tcW w:w="834" w:type="dxa"/>
            <w:shd w:val="clear" w:color="auto" w:fill="auto"/>
            <w:noWrap/>
            <w:vAlign w:val="center"/>
            <w:hideMark/>
          </w:tcPr>
          <w:p w14:paraId="6ADF219C" w14:textId="77777777" w:rsidR="00980F16" w:rsidRPr="008174EF" w:rsidRDefault="00980F16" w:rsidP="00980F16">
            <w:pPr>
              <w:widowControl/>
              <w:suppressLineNumbers w:val="0"/>
              <w:suppressAutoHyphens w:val="0"/>
              <w:ind w:firstLine="0"/>
              <w:jc w:val="right"/>
              <w:rPr>
                <w:sz w:val="20"/>
              </w:rPr>
            </w:pPr>
            <w:r w:rsidRPr="008174EF">
              <w:rPr>
                <w:sz w:val="20"/>
              </w:rPr>
              <w:t>(118)</w:t>
            </w:r>
          </w:p>
        </w:tc>
        <w:tc>
          <w:tcPr>
            <w:tcW w:w="766" w:type="dxa"/>
            <w:shd w:val="clear" w:color="auto" w:fill="auto"/>
            <w:noWrap/>
            <w:vAlign w:val="center"/>
            <w:hideMark/>
          </w:tcPr>
          <w:p w14:paraId="0D1955EF" w14:textId="77777777" w:rsidR="00980F16" w:rsidRPr="008174EF" w:rsidRDefault="00980F16" w:rsidP="00980F16">
            <w:pPr>
              <w:widowControl/>
              <w:suppressLineNumbers w:val="0"/>
              <w:suppressAutoHyphens w:val="0"/>
              <w:ind w:firstLine="0"/>
              <w:jc w:val="right"/>
              <w:rPr>
                <w:sz w:val="20"/>
              </w:rPr>
            </w:pPr>
            <w:r w:rsidRPr="008174EF">
              <w:rPr>
                <w:sz w:val="20"/>
              </w:rPr>
              <w:t>(129)</w:t>
            </w:r>
          </w:p>
        </w:tc>
        <w:tc>
          <w:tcPr>
            <w:tcW w:w="875" w:type="dxa"/>
            <w:shd w:val="clear" w:color="auto" w:fill="auto"/>
            <w:noWrap/>
            <w:vAlign w:val="center"/>
            <w:hideMark/>
          </w:tcPr>
          <w:p w14:paraId="200279D5" w14:textId="77777777" w:rsidR="00980F16" w:rsidRPr="008174EF" w:rsidRDefault="00980F16" w:rsidP="00980F16">
            <w:pPr>
              <w:widowControl/>
              <w:suppressLineNumbers w:val="0"/>
              <w:suppressAutoHyphens w:val="0"/>
              <w:ind w:firstLine="0"/>
              <w:jc w:val="right"/>
              <w:rPr>
                <w:sz w:val="20"/>
              </w:rPr>
            </w:pPr>
            <w:r w:rsidRPr="008174EF">
              <w:rPr>
                <w:sz w:val="20"/>
              </w:rPr>
              <w:t>(167)</w:t>
            </w:r>
          </w:p>
        </w:tc>
        <w:tc>
          <w:tcPr>
            <w:tcW w:w="875" w:type="dxa"/>
            <w:shd w:val="clear" w:color="auto" w:fill="auto"/>
            <w:noWrap/>
            <w:vAlign w:val="center"/>
            <w:hideMark/>
          </w:tcPr>
          <w:p w14:paraId="1A08A936" w14:textId="77777777" w:rsidR="00980F16" w:rsidRPr="008174EF" w:rsidRDefault="00980F16" w:rsidP="00980F16">
            <w:pPr>
              <w:widowControl/>
              <w:suppressLineNumbers w:val="0"/>
              <w:suppressAutoHyphens w:val="0"/>
              <w:ind w:firstLine="0"/>
              <w:jc w:val="right"/>
              <w:rPr>
                <w:sz w:val="20"/>
              </w:rPr>
            </w:pPr>
            <w:r w:rsidRPr="008174EF">
              <w:rPr>
                <w:sz w:val="20"/>
              </w:rPr>
              <w:t>(203)</w:t>
            </w:r>
          </w:p>
        </w:tc>
        <w:tc>
          <w:tcPr>
            <w:tcW w:w="990" w:type="dxa"/>
            <w:shd w:val="clear" w:color="auto" w:fill="auto"/>
            <w:noWrap/>
            <w:vAlign w:val="center"/>
            <w:hideMark/>
          </w:tcPr>
          <w:p w14:paraId="5950455F" w14:textId="77777777" w:rsidR="00980F16" w:rsidRPr="008174EF" w:rsidRDefault="00980F16" w:rsidP="00980F16">
            <w:pPr>
              <w:widowControl/>
              <w:suppressLineNumbers w:val="0"/>
              <w:suppressAutoHyphens w:val="0"/>
              <w:ind w:firstLine="0"/>
              <w:jc w:val="right"/>
              <w:rPr>
                <w:sz w:val="20"/>
              </w:rPr>
            </w:pPr>
            <w:r w:rsidRPr="008174EF">
              <w:rPr>
                <w:sz w:val="20"/>
              </w:rPr>
              <w:t>-1,12%</w:t>
            </w:r>
          </w:p>
        </w:tc>
        <w:tc>
          <w:tcPr>
            <w:tcW w:w="1107" w:type="dxa"/>
            <w:shd w:val="clear" w:color="auto" w:fill="auto"/>
            <w:noWrap/>
            <w:vAlign w:val="center"/>
            <w:hideMark/>
          </w:tcPr>
          <w:p w14:paraId="778235A9" w14:textId="77777777" w:rsidR="00980F16" w:rsidRPr="008174EF" w:rsidRDefault="00980F16" w:rsidP="00980F16">
            <w:pPr>
              <w:widowControl/>
              <w:suppressLineNumbers w:val="0"/>
              <w:suppressAutoHyphens w:val="0"/>
              <w:ind w:firstLine="0"/>
              <w:jc w:val="right"/>
              <w:rPr>
                <w:sz w:val="20"/>
              </w:rPr>
            </w:pPr>
            <w:r w:rsidRPr="008174EF">
              <w:rPr>
                <w:sz w:val="20"/>
              </w:rPr>
              <w:t>71,72%</w:t>
            </w:r>
          </w:p>
        </w:tc>
      </w:tr>
      <w:tr w:rsidR="00980F16" w:rsidRPr="008174EF" w14:paraId="24615EEC" w14:textId="77777777" w:rsidTr="00A81C88">
        <w:trPr>
          <w:trHeight w:val="234"/>
          <w:jc w:val="center"/>
        </w:trPr>
        <w:tc>
          <w:tcPr>
            <w:tcW w:w="4028" w:type="dxa"/>
            <w:shd w:val="clear" w:color="auto" w:fill="auto"/>
            <w:noWrap/>
            <w:vAlign w:val="bottom"/>
            <w:hideMark/>
          </w:tcPr>
          <w:p w14:paraId="26C1E5BB" w14:textId="77777777" w:rsidR="00980F16" w:rsidRPr="008174EF" w:rsidRDefault="00980F16" w:rsidP="00980F16">
            <w:pPr>
              <w:widowControl/>
              <w:suppressLineNumbers w:val="0"/>
              <w:suppressAutoHyphens w:val="0"/>
              <w:ind w:firstLine="0"/>
              <w:jc w:val="left"/>
              <w:rPr>
                <w:b/>
                <w:bCs/>
                <w:sz w:val="20"/>
              </w:rPr>
            </w:pPr>
            <w:r w:rsidRPr="008174EF">
              <w:rPr>
                <w:b/>
                <w:bCs/>
                <w:sz w:val="20"/>
              </w:rPr>
              <w:t>Resultado das Op. com Planos de Assist. À Saúde</w:t>
            </w:r>
          </w:p>
        </w:tc>
        <w:tc>
          <w:tcPr>
            <w:tcW w:w="834" w:type="dxa"/>
            <w:shd w:val="clear" w:color="auto" w:fill="auto"/>
            <w:noWrap/>
            <w:vAlign w:val="center"/>
            <w:hideMark/>
          </w:tcPr>
          <w:p w14:paraId="779706F4"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1.145</w:t>
            </w:r>
          </w:p>
        </w:tc>
        <w:tc>
          <w:tcPr>
            <w:tcW w:w="766" w:type="dxa"/>
            <w:shd w:val="clear" w:color="auto" w:fill="auto"/>
            <w:noWrap/>
            <w:vAlign w:val="center"/>
            <w:hideMark/>
          </w:tcPr>
          <w:p w14:paraId="77F2BE8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2.813</w:t>
            </w:r>
          </w:p>
        </w:tc>
        <w:tc>
          <w:tcPr>
            <w:tcW w:w="875" w:type="dxa"/>
            <w:shd w:val="clear" w:color="auto" w:fill="auto"/>
            <w:noWrap/>
            <w:vAlign w:val="center"/>
            <w:hideMark/>
          </w:tcPr>
          <w:p w14:paraId="3684B6BC"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2.071</w:t>
            </w:r>
          </w:p>
        </w:tc>
        <w:tc>
          <w:tcPr>
            <w:tcW w:w="875" w:type="dxa"/>
            <w:shd w:val="clear" w:color="auto" w:fill="auto"/>
            <w:noWrap/>
            <w:vAlign w:val="center"/>
            <w:hideMark/>
          </w:tcPr>
          <w:p w14:paraId="1C6314D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4.004</w:t>
            </w:r>
          </w:p>
        </w:tc>
        <w:tc>
          <w:tcPr>
            <w:tcW w:w="990" w:type="dxa"/>
            <w:shd w:val="clear" w:color="auto" w:fill="auto"/>
            <w:noWrap/>
            <w:vAlign w:val="center"/>
            <w:hideMark/>
          </w:tcPr>
          <w:p w14:paraId="2023BEC5" w14:textId="77777777" w:rsidR="00980F16" w:rsidRPr="008174EF" w:rsidRDefault="00980F16" w:rsidP="00980F16">
            <w:pPr>
              <w:widowControl/>
              <w:suppressLineNumbers w:val="0"/>
              <w:suppressAutoHyphens w:val="0"/>
              <w:ind w:firstLine="0"/>
              <w:jc w:val="right"/>
              <w:rPr>
                <w:b/>
                <w:bCs/>
                <w:sz w:val="20"/>
              </w:rPr>
            </w:pPr>
            <w:r w:rsidRPr="008174EF">
              <w:rPr>
                <w:b/>
                <w:bCs/>
                <w:sz w:val="20"/>
              </w:rPr>
              <w:t>18,13%</w:t>
            </w:r>
          </w:p>
        </w:tc>
        <w:tc>
          <w:tcPr>
            <w:tcW w:w="1107" w:type="dxa"/>
            <w:shd w:val="clear" w:color="auto" w:fill="auto"/>
            <w:noWrap/>
            <w:vAlign w:val="center"/>
            <w:hideMark/>
          </w:tcPr>
          <w:p w14:paraId="165A61A9" w14:textId="77777777" w:rsidR="00980F16" w:rsidRPr="008174EF" w:rsidRDefault="00980F16" w:rsidP="00980F16">
            <w:pPr>
              <w:widowControl/>
              <w:suppressLineNumbers w:val="0"/>
              <w:suppressAutoHyphens w:val="0"/>
              <w:ind w:firstLine="0"/>
              <w:jc w:val="right"/>
              <w:rPr>
                <w:b/>
                <w:bCs/>
                <w:sz w:val="20"/>
              </w:rPr>
            </w:pPr>
            <w:r w:rsidRPr="008174EF">
              <w:rPr>
                <w:b/>
                <w:bCs/>
                <w:sz w:val="20"/>
              </w:rPr>
              <w:t>249,76%</w:t>
            </w:r>
          </w:p>
        </w:tc>
      </w:tr>
      <w:tr w:rsidR="00980F16" w:rsidRPr="008174EF" w14:paraId="5501A8B0" w14:textId="77777777" w:rsidTr="00A81C88">
        <w:trPr>
          <w:trHeight w:val="352"/>
          <w:jc w:val="center"/>
        </w:trPr>
        <w:tc>
          <w:tcPr>
            <w:tcW w:w="4028" w:type="dxa"/>
            <w:shd w:val="clear" w:color="auto" w:fill="auto"/>
            <w:vAlign w:val="center"/>
            <w:hideMark/>
          </w:tcPr>
          <w:p w14:paraId="468344FF" w14:textId="77777777" w:rsidR="00980F16" w:rsidRPr="008174EF" w:rsidRDefault="00980F16" w:rsidP="00980F16">
            <w:pPr>
              <w:widowControl/>
              <w:suppressLineNumbers w:val="0"/>
              <w:suppressAutoHyphens w:val="0"/>
              <w:ind w:firstLine="0"/>
              <w:jc w:val="left"/>
              <w:rPr>
                <w:sz w:val="20"/>
              </w:rPr>
            </w:pPr>
            <w:r w:rsidRPr="008174EF">
              <w:rPr>
                <w:sz w:val="20"/>
              </w:rPr>
              <w:t>Outras Receitas Operacionais de Planos de Assistência à Saúde</w:t>
            </w:r>
          </w:p>
        </w:tc>
        <w:tc>
          <w:tcPr>
            <w:tcW w:w="834" w:type="dxa"/>
            <w:shd w:val="clear" w:color="auto" w:fill="auto"/>
            <w:noWrap/>
            <w:vAlign w:val="center"/>
            <w:hideMark/>
          </w:tcPr>
          <w:p w14:paraId="34FACC7E" w14:textId="77777777" w:rsidR="00980F16" w:rsidRPr="008174EF" w:rsidRDefault="00980F16" w:rsidP="00980F16">
            <w:pPr>
              <w:widowControl/>
              <w:suppressLineNumbers w:val="0"/>
              <w:suppressAutoHyphens w:val="0"/>
              <w:ind w:firstLine="0"/>
              <w:jc w:val="right"/>
              <w:rPr>
                <w:sz w:val="20"/>
              </w:rPr>
            </w:pPr>
            <w:r w:rsidRPr="008174EF">
              <w:rPr>
                <w:sz w:val="20"/>
              </w:rPr>
              <w:t>1.669</w:t>
            </w:r>
          </w:p>
        </w:tc>
        <w:tc>
          <w:tcPr>
            <w:tcW w:w="766" w:type="dxa"/>
            <w:shd w:val="clear" w:color="auto" w:fill="auto"/>
            <w:noWrap/>
            <w:vAlign w:val="center"/>
            <w:hideMark/>
          </w:tcPr>
          <w:p w14:paraId="1483E028" w14:textId="77777777" w:rsidR="00980F16" w:rsidRPr="008174EF" w:rsidRDefault="00980F16" w:rsidP="00980F16">
            <w:pPr>
              <w:widowControl/>
              <w:suppressLineNumbers w:val="0"/>
              <w:suppressAutoHyphens w:val="0"/>
              <w:ind w:firstLine="0"/>
              <w:jc w:val="right"/>
              <w:rPr>
                <w:sz w:val="20"/>
              </w:rPr>
            </w:pPr>
            <w:r w:rsidRPr="008174EF">
              <w:rPr>
                <w:sz w:val="20"/>
              </w:rPr>
              <w:t>103</w:t>
            </w:r>
          </w:p>
        </w:tc>
        <w:tc>
          <w:tcPr>
            <w:tcW w:w="875" w:type="dxa"/>
            <w:shd w:val="clear" w:color="auto" w:fill="auto"/>
            <w:noWrap/>
            <w:vAlign w:val="center"/>
            <w:hideMark/>
          </w:tcPr>
          <w:p w14:paraId="223B24F7" w14:textId="77777777" w:rsidR="00980F16" w:rsidRPr="008174EF" w:rsidRDefault="00980F16" w:rsidP="00980F16">
            <w:pPr>
              <w:widowControl/>
              <w:suppressLineNumbers w:val="0"/>
              <w:suppressAutoHyphens w:val="0"/>
              <w:ind w:firstLine="0"/>
              <w:jc w:val="right"/>
              <w:rPr>
                <w:sz w:val="20"/>
              </w:rPr>
            </w:pPr>
            <w:r w:rsidRPr="008174EF">
              <w:rPr>
                <w:sz w:val="20"/>
              </w:rPr>
              <w:t>525</w:t>
            </w:r>
          </w:p>
        </w:tc>
        <w:tc>
          <w:tcPr>
            <w:tcW w:w="875" w:type="dxa"/>
            <w:shd w:val="clear" w:color="auto" w:fill="auto"/>
            <w:noWrap/>
            <w:vAlign w:val="center"/>
            <w:hideMark/>
          </w:tcPr>
          <w:p w14:paraId="5205E7AE" w14:textId="77777777" w:rsidR="00980F16" w:rsidRPr="008174EF" w:rsidRDefault="00980F16" w:rsidP="00980F16">
            <w:pPr>
              <w:widowControl/>
              <w:suppressLineNumbers w:val="0"/>
              <w:suppressAutoHyphens w:val="0"/>
              <w:ind w:firstLine="0"/>
              <w:jc w:val="right"/>
              <w:rPr>
                <w:sz w:val="20"/>
              </w:rPr>
            </w:pPr>
            <w:r w:rsidRPr="008174EF">
              <w:rPr>
                <w:sz w:val="20"/>
              </w:rPr>
              <w:t>201</w:t>
            </w:r>
          </w:p>
        </w:tc>
        <w:tc>
          <w:tcPr>
            <w:tcW w:w="990" w:type="dxa"/>
            <w:shd w:val="clear" w:color="auto" w:fill="auto"/>
            <w:noWrap/>
            <w:vAlign w:val="center"/>
            <w:hideMark/>
          </w:tcPr>
          <w:p w14:paraId="4795D0C8" w14:textId="77777777" w:rsidR="00980F16" w:rsidRPr="008174EF" w:rsidRDefault="00980F16" w:rsidP="00980F16">
            <w:pPr>
              <w:widowControl/>
              <w:suppressLineNumbers w:val="0"/>
              <w:suppressAutoHyphens w:val="0"/>
              <w:ind w:firstLine="0"/>
              <w:jc w:val="right"/>
              <w:rPr>
                <w:sz w:val="20"/>
              </w:rPr>
            </w:pPr>
            <w:r w:rsidRPr="008174EF">
              <w:rPr>
                <w:sz w:val="20"/>
              </w:rPr>
              <w:t>4,51%</w:t>
            </w:r>
          </w:p>
        </w:tc>
        <w:tc>
          <w:tcPr>
            <w:tcW w:w="1107" w:type="dxa"/>
            <w:shd w:val="clear" w:color="auto" w:fill="auto"/>
            <w:noWrap/>
            <w:vAlign w:val="center"/>
            <w:hideMark/>
          </w:tcPr>
          <w:p w14:paraId="597768F0" w14:textId="77777777" w:rsidR="00980F16" w:rsidRPr="008174EF" w:rsidRDefault="00980F16" w:rsidP="00980F16">
            <w:pPr>
              <w:widowControl/>
              <w:suppressLineNumbers w:val="0"/>
              <w:suppressAutoHyphens w:val="0"/>
              <w:ind w:firstLine="0"/>
              <w:jc w:val="right"/>
              <w:rPr>
                <w:sz w:val="20"/>
              </w:rPr>
            </w:pPr>
            <w:r w:rsidRPr="008174EF">
              <w:rPr>
                <w:sz w:val="20"/>
              </w:rPr>
              <w:t>-87,96%</w:t>
            </w:r>
          </w:p>
        </w:tc>
      </w:tr>
      <w:tr w:rsidR="00980F16" w:rsidRPr="008174EF" w14:paraId="2D708593" w14:textId="77777777" w:rsidTr="00A81C88">
        <w:trPr>
          <w:trHeight w:val="234"/>
          <w:jc w:val="center"/>
        </w:trPr>
        <w:tc>
          <w:tcPr>
            <w:tcW w:w="4028" w:type="dxa"/>
            <w:shd w:val="clear" w:color="auto" w:fill="auto"/>
            <w:vAlign w:val="center"/>
            <w:hideMark/>
          </w:tcPr>
          <w:p w14:paraId="3BB13830" w14:textId="77777777" w:rsidR="00980F16" w:rsidRPr="008174EF" w:rsidRDefault="00980F16" w:rsidP="00980F16">
            <w:pPr>
              <w:widowControl/>
              <w:suppressLineNumbers w:val="0"/>
              <w:suppressAutoHyphens w:val="0"/>
              <w:ind w:firstLine="0"/>
              <w:jc w:val="left"/>
              <w:rPr>
                <w:sz w:val="20"/>
              </w:rPr>
            </w:pPr>
            <w:r w:rsidRPr="008174EF">
              <w:rPr>
                <w:sz w:val="20"/>
              </w:rPr>
              <w:t xml:space="preserve">Receitas de Assist. à Saúde Não </w:t>
            </w:r>
            <w:proofErr w:type="spellStart"/>
            <w:r w:rsidRPr="008174EF">
              <w:rPr>
                <w:sz w:val="20"/>
              </w:rPr>
              <w:t>Relac</w:t>
            </w:r>
            <w:proofErr w:type="spellEnd"/>
            <w:r w:rsidRPr="008174EF">
              <w:rPr>
                <w:sz w:val="20"/>
              </w:rPr>
              <w:t>. c/Planos Saúde da Op.</w:t>
            </w:r>
          </w:p>
        </w:tc>
        <w:tc>
          <w:tcPr>
            <w:tcW w:w="834" w:type="dxa"/>
            <w:shd w:val="clear" w:color="auto" w:fill="auto"/>
            <w:noWrap/>
            <w:vAlign w:val="center"/>
            <w:hideMark/>
          </w:tcPr>
          <w:p w14:paraId="18C55185" w14:textId="77777777" w:rsidR="00980F16" w:rsidRPr="008174EF" w:rsidRDefault="00980F16" w:rsidP="00980F16">
            <w:pPr>
              <w:widowControl/>
              <w:suppressLineNumbers w:val="0"/>
              <w:suppressAutoHyphens w:val="0"/>
              <w:ind w:firstLine="0"/>
              <w:jc w:val="right"/>
              <w:rPr>
                <w:sz w:val="20"/>
              </w:rPr>
            </w:pPr>
            <w:r w:rsidRPr="008174EF">
              <w:rPr>
                <w:sz w:val="20"/>
              </w:rPr>
              <w:t>5</w:t>
            </w:r>
          </w:p>
        </w:tc>
        <w:tc>
          <w:tcPr>
            <w:tcW w:w="766" w:type="dxa"/>
            <w:shd w:val="clear" w:color="auto" w:fill="auto"/>
            <w:noWrap/>
            <w:vAlign w:val="center"/>
            <w:hideMark/>
          </w:tcPr>
          <w:p w14:paraId="64D52B1D" w14:textId="77777777" w:rsidR="00980F16" w:rsidRPr="008174EF" w:rsidRDefault="00980F16" w:rsidP="00980F16">
            <w:pPr>
              <w:widowControl/>
              <w:suppressLineNumbers w:val="0"/>
              <w:suppressAutoHyphens w:val="0"/>
              <w:ind w:firstLine="0"/>
              <w:jc w:val="right"/>
              <w:rPr>
                <w:sz w:val="20"/>
              </w:rPr>
            </w:pPr>
            <w:r w:rsidRPr="008174EF">
              <w:rPr>
                <w:sz w:val="20"/>
              </w:rPr>
              <w:t>67</w:t>
            </w:r>
          </w:p>
        </w:tc>
        <w:tc>
          <w:tcPr>
            <w:tcW w:w="875" w:type="dxa"/>
            <w:shd w:val="clear" w:color="auto" w:fill="auto"/>
            <w:noWrap/>
            <w:vAlign w:val="center"/>
            <w:hideMark/>
          </w:tcPr>
          <w:p w14:paraId="60E3E288" w14:textId="77777777" w:rsidR="00980F16" w:rsidRPr="008174EF" w:rsidRDefault="00980F16" w:rsidP="00980F16">
            <w:pPr>
              <w:widowControl/>
              <w:suppressLineNumbers w:val="0"/>
              <w:suppressAutoHyphens w:val="0"/>
              <w:ind w:firstLine="0"/>
              <w:jc w:val="right"/>
              <w:rPr>
                <w:sz w:val="20"/>
              </w:rPr>
            </w:pPr>
            <w:r w:rsidRPr="008174EF">
              <w:rPr>
                <w:sz w:val="20"/>
              </w:rPr>
              <w:t>511</w:t>
            </w:r>
          </w:p>
        </w:tc>
        <w:tc>
          <w:tcPr>
            <w:tcW w:w="875" w:type="dxa"/>
            <w:shd w:val="clear" w:color="auto" w:fill="auto"/>
            <w:noWrap/>
            <w:vAlign w:val="center"/>
            <w:hideMark/>
          </w:tcPr>
          <w:p w14:paraId="217663EF" w14:textId="77777777" w:rsidR="00980F16" w:rsidRPr="008174EF" w:rsidRDefault="00980F16" w:rsidP="00980F16">
            <w:pPr>
              <w:widowControl/>
              <w:suppressLineNumbers w:val="0"/>
              <w:suppressAutoHyphens w:val="0"/>
              <w:ind w:firstLine="0"/>
              <w:jc w:val="right"/>
              <w:rPr>
                <w:sz w:val="20"/>
              </w:rPr>
            </w:pPr>
            <w:r w:rsidRPr="008174EF">
              <w:rPr>
                <w:sz w:val="20"/>
              </w:rPr>
              <w:t>87</w:t>
            </w:r>
          </w:p>
        </w:tc>
        <w:tc>
          <w:tcPr>
            <w:tcW w:w="990" w:type="dxa"/>
            <w:shd w:val="clear" w:color="auto" w:fill="auto"/>
            <w:noWrap/>
            <w:vAlign w:val="center"/>
            <w:hideMark/>
          </w:tcPr>
          <w:p w14:paraId="55E48A36" w14:textId="77777777" w:rsidR="00980F16" w:rsidRPr="008174EF" w:rsidRDefault="00980F16" w:rsidP="00980F16">
            <w:pPr>
              <w:widowControl/>
              <w:suppressLineNumbers w:val="0"/>
              <w:suppressAutoHyphens w:val="0"/>
              <w:ind w:firstLine="0"/>
              <w:jc w:val="right"/>
              <w:rPr>
                <w:sz w:val="20"/>
              </w:rPr>
            </w:pPr>
            <w:r w:rsidRPr="008174EF">
              <w:rPr>
                <w:sz w:val="20"/>
              </w:rPr>
              <w:t>1,21%</w:t>
            </w:r>
          </w:p>
        </w:tc>
        <w:tc>
          <w:tcPr>
            <w:tcW w:w="1107" w:type="dxa"/>
            <w:shd w:val="clear" w:color="auto" w:fill="auto"/>
            <w:noWrap/>
            <w:vAlign w:val="center"/>
            <w:hideMark/>
          </w:tcPr>
          <w:p w14:paraId="3B9710E9" w14:textId="77777777" w:rsidR="00980F16" w:rsidRPr="008174EF" w:rsidRDefault="00980F16" w:rsidP="00980F16">
            <w:pPr>
              <w:widowControl/>
              <w:suppressLineNumbers w:val="0"/>
              <w:suppressAutoHyphens w:val="0"/>
              <w:ind w:firstLine="0"/>
              <w:jc w:val="right"/>
              <w:rPr>
                <w:sz w:val="20"/>
              </w:rPr>
            </w:pPr>
            <w:r w:rsidRPr="008174EF">
              <w:rPr>
                <w:sz w:val="20"/>
              </w:rPr>
              <w:t>1.776,60%</w:t>
            </w:r>
          </w:p>
        </w:tc>
      </w:tr>
      <w:tr w:rsidR="00980F16" w:rsidRPr="008174EF" w14:paraId="320624A4" w14:textId="77777777" w:rsidTr="00A81C88">
        <w:trPr>
          <w:trHeight w:val="234"/>
          <w:jc w:val="center"/>
        </w:trPr>
        <w:tc>
          <w:tcPr>
            <w:tcW w:w="4028" w:type="dxa"/>
            <w:shd w:val="clear" w:color="auto" w:fill="auto"/>
            <w:noWrap/>
            <w:vAlign w:val="bottom"/>
            <w:hideMark/>
          </w:tcPr>
          <w:p w14:paraId="50C12474" w14:textId="77777777" w:rsidR="00980F16" w:rsidRPr="008174EF" w:rsidRDefault="00980F16" w:rsidP="00980F16">
            <w:pPr>
              <w:widowControl/>
              <w:suppressLineNumbers w:val="0"/>
              <w:suppressAutoHyphens w:val="0"/>
              <w:ind w:firstLine="0"/>
              <w:jc w:val="left"/>
              <w:rPr>
                <w:sz w:val="20"/>
              </w:rPr>
            </w:pPr>
            <w:r w:rsidRPr="008174EF">
              <w:rPr>
                <w:sz w:val="20"/>
              </w:rPr>
              <w:t>Outras Despesas Operacionais com Plano de Assist. à Saúde</w:t>
            </w:r>
          </w:p>
        </w:tc>
        <w:tc>
          <w:tcPr>
            <w:tcW w:w="834" w:type="dxa"/>
            <w:shd w:val="clear" w:color="auto" w:fill="auto"/>
            <w:noWrap/>
            <w:vAlign w:val="center"/>
            <w:hideMark/>
          </w:tcPr>
          <w:p w14:paraId="1CA05DFE" w14:textId="77777777" w:rsidR="00980F16" w:rsidRPr="008174EF" w:rsidRDefault="00980F16" w:rsidP="00980F16">
            <w:pPr>
              <w:widowControl/>
              <w:suppressLineNumbers w:val="0"/>
              <w:suppressAutoHyphens w:val="0"/>
              <w:ind w:firstLine="0"/>
              <w:jc w:val="right"/>
              <w:rPr>
                <w:sz w:val="20"/>
              </w:rPr>
            </w:pPr>
            <w:r w:rsidRPr="008174EF">
              <w:rPr>
                <w:sz w:val="20"/>
              </w:rPr>
              <w:t>(2.144)</w:t>
            </w:r>
          </w:p>
        </w:tc>
        <w:tc>
          <w:tcPr>
            <w:tcW w:w="766" w:type="dxa"/>
            <w:shd w:val="clear" w:color="auto" w:fill="auto"/>
            <w:noWrap/>
            <w:vAlign w:val="center"/>
            <w:hideMark/>
          </w:tcPr>
          <w:p w14:paraId="4F42A9AC" w14:textId="77777777" w:rsidR="00980F16" w:rsidRPr="008174EF" w:rsidRDefault="00980F16" w:rsidP="00980F16">
            <w:pPr>
              <w:widowControl/>
              <w:suppressLineNumbers w:val="0"/>
              <w:suppressAutoHyphens w:val="0"/>
              <w:ind w:firstLine="0"/>
              <w:jc w:val="right"/>
              <w:rPr>
                <w:sz w:val="20"/>
              </w:rPr>
            </w:pPr>
            <w:r w:rsidRPr="008174EF">
              <w:rPr>
                <w:sz w:val="20"/>
              </w:rPr>
              <w:t>(795)</w:t>
            </w:r>
          </w:p>
        </w:tc>
        <w:tc>
          <w:tcPr>
            <w:tcW w:w="875" w:type="dxa"/>
            <w:shd w:val="clear" w:color="auto" w:fill="auto"/>
            <w:noWrap/>
            <w:vAlign w:val="center"/>
            <w:hideMark/>
          </w:tcPr>
          <w:p w14:paraId="4B740180" w14:textId="77777777" w:rsidR="00980F16" w:rsidRPr="008174EF" w:rsidRDefault="00980F16" w:rsidP="00980F16">
            <w:pPr>
              <w:widowControl/>
              <w:suppressLineNumbers w:val="0"/>
              <w:suppressAutoHyphens w:val="0"/>
              <w:ind w:firstLine="0"/>
              <w:jc w:val="right"/>
              <w:rPr>
                <w:sz w:val="20"/>
              </w:rPr>
            </w:pPr>
            <w:r w:rsidRPr="008174EF">
              <w:rPr>
                <w:sz w:val="20"/>
              </w:rPr>
              <w:t>(997)</w:t>
            </w:r>
          </w:p>
        </w:tc>
        <w:tc>
          <w:tcPr>
            <w:tcW w:w="875" w:type="dxa"/>
            <w:shd w:val="clear" w:color="auto" w:fill="auto"/>
            <w:noWrap/>
            <w:vAlign w:val="center"/>
            <w:hideMark/>
          </w:tcPr>
          <w:p w14:paraId="3C6A796C" w14:textId="77777777" w:rsidR="00980F16" w:rsidRPr="008174EF" w:rsidRDefault="00980F16" w:rsidP="00980F16">
            <w:pPr>
              <w:widowControl/>
              <w:suppressLineNumbers w:val="0"/>
              <w:suppressAutoHyphens w:val="0"/>
              <w:ind w:firstLine="0"/>
              <w:jc w:val="right"/>
              <w:rPr>
                <w:sz w:val="20"/>
              </w:rPr>
            </w:pPr>
            <w:r w:rsidRPr="008174EF">
              <w:rPr>
                <w:sz w:val="20"/>
              </w:rPr>
              <w:t>(711)</w:t>
            </w:r>
          </w:p>
        </w:tc>
        <w:tc>
          <w:tcPr>
            <w:tcW w:w="990" w:type="dxa"/>
            <w:shd w:val="clear" w:color="auto" w:fill="auto"/>
            <w:noWrap/>
            <w:vAlign w:val="center"/>
            <w:hideMark/>
          </w:tcPr>
          <w:p w14:paraId="5BC0E99E" w14:textId="77777777" w:rsidR="00980F16" w:rsidRPr="008174EF" w:rsidRDefault="00980F16" w:rsidP="00980F16">
            <w:pPr>
              <w:widowControl/>
              <w:suppressLineNumbers w:val="0"/>
              <w:suppressAutoHyphens w:val="0"/>
              <w:ind w:firstLine="0"/>
              <w:jc w:val="right"/>
              <w:rPr>
                <w:sz w:val="20"/>
              </w:rPr>
            </w:pPr>
            <w:r w:rsidRPr="008174EF">
              <w:rPr>
                <w:sz w:val="20"/>
              </w:rPr>
              <w:t>-8,40%</w:t>
            </w:r>
          </w:p>
        </w:tc>
        <w:tc>
          <w:tcPr>
            <w:tcW w:w="1107" w:type="dxa"/>
            <w:shd w:val="clear" w:color="auto" w:fill="auto"/>
            <w:noWrap/>
            <w:vAlign w:val="center"/>
            <w:hideMark/>
          </w:tcPr>
          <w:p w14:paraId="12CF33E2" w14:textId="77777777" w:rsidR="00980F16" w:rsidRPr="008174EF" w:rsidRDefault="00980F16" w:rsidP="00980F16">
            <w:pPr>
              <w:widowControl/>
              <w:suppressLineNumbers w:val="0"/>
              <w:suppressAutoHyphens w:val="0"/>
              <w:ind w:firstLine="0"/>
              <w:jc w:val="right"/>
              <w:rPr>
                <w:sz w:val="20"/>
              </w:rPr>
            </w:pPr>
            <w:r w:rsidRPr="008174EF">
              <w:rPr>
                <w:sz w:val="20"/>
              </w:rPr>
              <w:t>-66,84%</w:t>
            </w:r>
          </w:p>
        </w:tc>
      </w:tr>
      <w:tr w:rsidR="00980F16" w:rsidRPr="008174EF" w14:paraId="52835EB2" w14:textId="77777777" w:rsidTr="00A81C88">
        <w:trPr>
          <w:trHeight w:val="234"/>
          <w:jc w:val="center"/>
        </w:trPr>
        <w:tc>
          <w:tcPr>
            <w:tcW w:w="4028" w:type="dxa"/>
            <w:shd w:val="clear" w:color="auto" w:fill="auto"/>
            <w:noWrap/>
            <w:vAlign w:val="bottom"/>
            <w:hideMark/>
          </w:tcPr>
          <w:p w14:paraId="30B8829E" w14:textId="77777777" w:rsidR="00980F16" w:rsidRPr="008174EF" w:rsidRDefault="00980F16" w:rsidP="00980F16">
            <w:pPr>
              <w:widowControl/>
              <w:suppressLineNumbers w:val="0"/>
              <w:suppressAutoHyphens w:val="0"/>
              <w:ind w:firstLine="0"/>
              <w:jc w:val="left"/>
              <w:rPr>
                <w:sz w:val="20"/>
              </w:rPr>
            </w:pPr>
            <w:r w:rsidRPr="008174EF">
              <w:rPr>
                <w:sz w:val="20"/>
              </w:rPr>
              <w:t xml:space="preserve">Outras Desp. </w:t>
            </w:r>
            <w:proofErr w:type="spellStart"/>
            <w:r w:rsidRPr="008174EF">
              <w:rPr>
                <w:sz w:val="20"/>
              </w:rPr>
              <w:t>Oper</w:t>
            </w:r>
            <w:proofErr w:type="spellEnd"/>
            <w:r w:rsidRPr="008174EF">
              <w:rPr>
                <w:sz w:val="20"/>
              </w:rPr>
              <w:t xml:space="preserve">. Assist. Saúde Não </w:t>
            </w:r>
            <w:proofErr w:type="spellStart"/>
            <w:r w:rsidRPr="008174EF">
              <w:rPr>
                <w:sz w:val="20"/>
              </w:rPr>
              <w:t>Relac</w:t>
            </w:r>
            <w:proofErr w:type="spellEnd"/>
            <w:r w:rsidRPr="008174EF">
              <w:rPr>
                <w:sz w:val="20"/>
              </w:rPr>
              <w:t>. c/ Planos Saúde da Op.</w:t>
            </w:r>
          </w:p>
        </w:tc>
        <w:tc>
          <w:tcPr>
            <w:tcW w:w="834" w:type="dxa"/>
            <w:shd w:val="clear" w:color="auto" w:fill="auto"/>
            <w:noWrap/>
            <w:vAlign w:val="center"/>
            <w:hideMark/>
          </w:tcPr>
          <w:p w14:paraId="3177B57A" w14:textId="77777777" w:rsidR="00980F16" w:rsidRPr="008174EF" w:rsidRDefault="00980F16" w:rsidP="00980F16">
            <w:pPr>
              <w:widowControl/>
              <w:suppressLineNumbers w:val="0"/>
              <w:suppressAutoHyphens w:val="0"/>
              <w:ind w:firstLine="0"/>
              <w:jc w:val="right"/>
              <w:rPr>
                <w:sz w:val="20"/>
              </w:rPr>
            </w:pPr>
            <w:r w:rsidRPr="008174EF">
              <w:rPr>
                <w:sz w:val="20"/>
              </w:rPr>
              <w:t>(70)</w:t>
            </w:r>
          </w:p>
        </w:tc>
        <w:tc>
          <w:tcPr>
            <w:tcW w:w="766" w:type="dxa"/>
            <w:shd w:val="clear" w:color="auto" w:fill="auto"/>
            <w:noWrap/>
            <w:vAlign w:val="center"/>
            <w:hideMark/>
          </w:tcPr>
          <w:p w14:paraId="5879C723" w14:textId="77777777" w:rsidR="00980F16" w:rsidRPr="008174EF" w:rsidRDefault="00980F16" w:rsidP="00980F16">
            <w:pPr>
              <w:widowControl/>
              <w:suppressLineNumbers w:val="0"/>
              <w:suppressAutoHyphens w:val="0"/>
              <w:ind w:firstLine="0"/>
              <w:jc w:val="right"/>
              <w:rPr>
                <w:sz w:val="20"/>
              </w:rPr>
            </w:pPr>
            <w:r w:rsidRPr="008174EF">
              <w:rPr>
                <w:sz w:val="20"/>
              </w:rPr>
              <w:t>(57)</w:t>
            </w:r>
          </w:p>
        </w:tc>
        <w:tc>
          <w:tcPr>
            <w:tcW w:w="875" w:type="dxa"/>
            <w:shd w:val="clear" w:color="auto" w:fill="auto"/>
            <w:noWrap/>
            <w:vAlign w:val="center"/>
            <w:hideMark/>
          </w:tcPr>
          <w:p w14:paraId="52D95DEF" w14:textId="77777777" w:rsidR="00980F16" w:rsidRPr="008174EF" w:rsidRDefault="00980F16" w:rsidP="00980F16">
            <w:pPr>
              <w:widowControl/>
              <w:suppressLineNumbers w:val="0"/>
              <w:suppressAutoHyphens w:val="0"/>
              <w:ind w:firstLine="0"/>
              <w:jc w:val="right"/>
              <w:rPr>
                <w:sz w:val="20"/>
              </w:rPr>
            </w:pPr>
            <w:r w:rsidRPr="008174EF">
              <w:rPr>
                <w:sz w:val="20"/>
              </w:rPr>
              <w:t>(32)</w:t>
            </w:r>
          </w:p>
        </w:tc>
        <w:tc>
          <w:tcPr>
            <w:tcW w:w="875" w:type="dxa"/>
            <w:shd w:val="clear" w:color="auto" w:fill="auto"/>
            <w:noWrap/>
            <w:vAlign w:val="center"/>
            <w:hideMark/>
          </w:tcPr>
          <w:p w14:paraId="77F579F4" w14:textId="77777777" w:rsidR="00980F16" w:rsidRPr="008174EF" w:rsidRDefault="00980F16" w:rsidP="00980F16">
            <w:pPr>
              <w:widowControl/>
              <w:suppressLineNumbers w:val="0"/>
              <w:suppressAutoHyphens w:val="0"/>
              <w:ind w:firstLine="0"/>
              <w:jc w:val="right"/>
              <w:rPr>
                <w:sz w:val="20"/>
              </w:rPr>
            </w:pPr>
            <w:r w:rsidRPr="008174EF">
              <w:rPr>
                <w:sz w:val="20"/>
              </w:rPr>
              <w:t>(30)</w:t>
            </w:r>
          </w:p>
        </w:tc>
        <w:tc>
          <w:tcPr>
            <w:tcW w:w="990" w:type="dxa"/>
            <w:shd w:val="clear" w:color="auto" w:fill="auto"/>
            <w:noWrap/>
            <w:vAlign w:val="center"/>
            <w:hideMark/>
          </w:tcPr>
          <w:p w14:paraId="1F548792" w14:textId="77777777" w:rsidR="00980F16" w:rsidRPr="008174EF" w:rsidRDefault="00980F16" w:rsidP="00980F16">
            <w:pPr>
              <w:widowControl/>
              <w:suppressLineNumbers w:val="0"/>
              <w:suppressAutoHyphens w:val="0"/>
              <w:ind w:firstLine="0"/>
              <w:jc w:val="right"/>
              <w:rPr>
                <w:sz w:val="20"/>
              </w:rPr>
            </w:pPr>
            <w:r w:rsidRPr="008174EF">
              <w:rPr>
                <w:sz w:val="20"/>
              </w:rPr>
              <w:t>-0,34%</w:t>
            </w:r>
          </w:p>
        </w:tc>
        <w:tc>
          <w:tcPr>
            <w:tcW w:w="1107" w:type="dxa"/>
            <w:shd w:val="clear" w:color="auto" w:fill="auto"/>
            <w:noWrap/>
            <w:vAlign w:val="center"/>
            <w:hideMark/>
          </w:tcPr>
          <w:p w14:paraId="08E19E52" w14:textId="77777777" w:rsidR="00980F16" w:rsidRPr="008174EF" w:rsidRDefault="00980F16" w:rsidP="00980F16">
            <w:pPr>
              <w:widowControl/>
              <w:suppressLineNumbers w:val="0"/>
              <w:suppressAutoHyphens w:val="0"/>
              <w:ind w:firstLine="0"/>
              <w:jc w:val="right"/>
              <w:rPr>
                <w:sz w:val="20"/>
              </w:rPr>
            </w:pPr>
            <w:r w:rsidRPr="008174EF">
              <w:rPr>
                <w:sz w:val="20"/>
              </w:rPr>
              <w:t>-56,86%</w:t>
            </w:r>
          </w:p>
        </w:tc>
      </w:tr>
      <w:tr w:rsidR="00980F16" w:rsidRPr="008174EF" w14:paraId="1EEED086" w14:textId="77777777" w:rsidTr="00A81C88">
        <w:trPr>
          <w:trHeight w:val="234"/>
          <w:jc w:val="center"/>
        </w:trPr>
        <w:tc>
          <w:tcPr>
            <w:tcW w:w="4028" w:type="dxa"/>
            <w:shd w:val="clear" w:color="auto" w:fill="auto"/>
            <w:noWrap/>
            <w:vAlign w:val="bottom"/>
            <w:hideMark/>
          </w:tcPr>
          <w:p w14:paraId="14D4A144" w14:textId="77777777" w:rsidR="00980F16" w:rsidRPr="008174EF" w:rsidRDefault="00980F16" w:rsidP="00980F16">
            <w:pPr>
              <w:widowControl/>
              <w:suppressLineNumbers w:val="0"/>
              <w:suppressAutoHyphens w:val="0"/>
              <w:ind w:firstLine="0"/>
              <w:jc w:val="left"/>
              <w:rPr>
                <w:b/>
                <w:bCs/>
                <w:sz w:val="20"/>
              </w:rPr>
            </w:pPr>
            <w:r w:rsidRPr="008174EF">
              <w:rPr>
                <w:b/>
                <w:bCs/>
                <w:sz w:val="20"/>
              </w:rPr>
              <w:t>Resultado Bruto</w:t>
            </w:r>
          </w:p>
        </w:tc>
        <w:tc>
          <w:tcPr>
            <w:tcW w:w="834" w:type="dxa"/>
            <w:shd w:val="clear" w:color="auto" w:fill="auto"/>
            <w:noWrap/>
            <w:vAlign w:val="center"/>
            <w:hideMark/>
          </w:tcPr>
          <w:p w14:paraId="3C3B75EF"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605</w:t>
            </w:r>
          </w:p>
        </w:tc>
        <w:tc>
          <w:tcPr>
            <w:tcW w:w="766" w:type="dxa"/>
            <w:shd w:val="clear" w:color="auto" w:fill="auto"/>
            <w:noWrap/>
            <w:vAlign w:val="center"/>
            <w:hideMark/>
          </w:tcPr>
          <w:p w14:paraId="50282F8F"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2.131</w:t>
            </w:r>
          </w:p>
        </w:tc>
        <w:tc>
          <w:tcPr>
            <w:tcW w:w="875" w:type="dxa"/>
            <w:shd w:val="clear" w:color="auto" w:fill="auto"/>
            <w:noWrap/>
            <w:vAlign w:val="center"/>
            <w:hideMark/>
          </w:tcPr>
          <w:p w14:paraId="30B563B5"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2.078</w:t>
            </w:r>
          </w:p>
        </w:tc>
        <w:tc>
          <w:tcPr>
            <w:tcW w:w="875" w:type="dxa"/>
            <w:shd w:val="clear" w:color="auto" w:fill="auto"/>
            <w:noWrap/>
            <w:vAlign w:val="center"/>
            <w:hideMark/>
          </w:tcPr>
          <w:p w14:paraId="39BED9A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3.551</w:t>
            </w:r>
          </w:p>
        </w:tc>
        <w:tc>
          <w:tcPr>
            <w:tcW w:w="990" w:type="dxa"/>
            <w:shd w:val="clear" w:color="auto" w:fill="auto"/>
            <w:noWrap/>
            <w:vAlign w:val="center"/>
            <w:hideMark/>
          </w:tcPr>
          <w:p w14:paraId="69B13076" w14:textId="77777777" w:rsidR="00980F16" w:rsidRPr="008174EF" w:rsidRDefault="00980F16" w:rsidP="00980F16">
            <w:pPr>
              <w:widowControl/>
              <w:suppressLineNumbers w:val="0"/>
              <w:suppressAutoHyphens w:val="0"/>
              <w:ind w:firstLine="0"/>
              <w:jc w:val="right"/>
              <w:rPr>
                <w:b/>
                <w:bCs/>
                <w:sz w:val="20"/>
              </w:rPr>
            </w:pPr>
            <w:r w:rsidRPr="008174EF">
              <w:rPr>
                <w:b/>
                <w:bCs/>
                <w:sz w:val="20"/>
              </w:rPr>
              <w:t>15,12%</w:t>
            </w:r>
          </w:p>
        </w:tc>
        <w:tc>
          <w:tcPr>
            <w:tcW w:w="1107" w:type="dxa"/>
            <w:shd w:val="clear" w:color="auto" w:fill="auto"/>
            <w:noWrap/>
            <w:vAlign w:val="center"/>
            <w:hideMark/>
          </w:tcPr>
          <w:p w14:paraId="4D9D19AD" w14:textId="77777777" w:rsidR="00980F16" w:rsidRPr="008174EF" w:rsidRDefault="00980F16" w:rsidP="00980F16">
            <w:pPr>
              <w:widowControl/>
              <w:suppressLineNumbers w:val="0"/>
              <w:suppressAutoHyphens w:val="0"/>
              <w:ind w:firstLine="0"/>
              <w:jc w:val="right"/>
              <w:rPr>
                <w:b/>
                <w:bCs/>
                <w:sz w:val="20"/>
              </w:rPr>
            </w:pPr>
            <w:r w:rsidRPr="008174EF">
              <w:rPr>
                <w:b/>
                <w:bCs/>
                <w:sz w:val="20"/>
              </w:rPr>
              <w:t>487,03%</w:t>
            </w:r>
          </w:p>
        </w:tc>
      </w:tr>
      <w:tr w:rsidR="00980F16" w:rsidRPr="008174EF" w14:paraId="629CB888" w14:textId="77777777" w:rsidTr="00A81C88">
        <w:trPr>
          <w:trHeight w:val="93"/>
          <w:jc w:val="center"/>
        </w:trPr>
        <w:tc>
          <w:tcPr>
            <w:tcW w:w="4028" w:type="dxa"/>
            <w:shd w:val="clear" w:color="auto" w:fill="auto"/>
            <w:hideMark/>
          </w:tcPr>
          <w:p w14:paraId="4AC273E1" w14:textId="77777777" w:rsidR="00980F16" w:rsidRPr="008174EF" w:rsidRDefault="00980F16" w:rsidP="00980F16">
            <w:pPr>
              <w:widowControl/>
              <w:suppressLineNumbers w:val="0"/>
              <w:suppressAutoHyphens w:val="0"/>
              <w:ind w:firstLine="0"/>
              <w:jc w:val="left"/>
              <w:rPr>
                <w:sz w:val="20"/>
              </w:rPr>
            </w:pPr>
            <w:r w:rsidRPr="008174EF">
              <w:rPr>
                <w:sz w:val="20"/>
              </w:rPr>
              <w:t>Despesas de Comercialização</w:t>
            </w:r>
          </w:p>
        </w:tc>
        <w:tc>
          <w:tcPr>
            <w:tcW w:w="834" w:type="dxa"/>
            <w:shd w:val="clear" w:color="auto" w:fill="auto"/>
            <w:noWrap/>
            <w:vAlign w:val="center"/>
            <w:hideMark/>
          </w:tcPr>
          <w:p w14:paraId="20E4585B" w14:textId="77777777" w:rsidR="00980F16" w:rsidRPr="008174EF" w:rsidRDefault="00980F16" w:rsidP="00980F16">
            <w:pPr>
              <w:widowControl/>
              <w:suppressLineNumbers w:val="0"/>
              <w:suppressAutoHyphens w:val="0"/>
              <w:ind w:firstLine="0"/>
              <w:jc w:val="right"/>
              <w:rPr>
                <w:sz w:val="20"/>
              </w:rPr>
            </w:pPr>
            <w:r w:rsidRPr="008174EF">
              <w:rPr>
                <w:sz w:val="20"/>
              </w:rPr>
              <w:t>(84)</w:t>
            </w:r>
          </w:p>
        </w:tc>
        <w:tc>
          <w:tcPr>
            <w:tcW w:w="766" w:type="dxa"/>
            <w:shd w:val="clear" w:color="auto" w:fill="auto"/>
            <w:noWrap/>
            <w:vAlign w:val="center"/>
            <w:hideMark/>
          </w:tcPr>
          <w:p w14:paraId="731E57D3" w14:textId="77777777" w:rsidR="00980F16" w:rsidRPr="008174EF" w:rsidRDefault="00980F16" w:rsidP="00980F16">
            <w:pPr>
              <w:widowControl/>
              <w:suppressLineNumbers w:val="0"/>
              <w:suppressAutoHyphens w:val="0"/>
              <w:ind w:firstLine="0"/>
              <w:jc w:val="right"/>
              <w:rPr>
                <w:sz w:val="20"/>
              </w:rPr>
            </w:pPr>
            <w:r w:rsidRPr="008174EF">
              <w:rPr>
                <w:sz w:val="20"/>
              </w:rPr>
              <w:t>(128)</w:t>
            </w:r>
          </w:p>
        </w:tc>
        <w:tc>
          <w:tcPr>
            <w:tcW w:w="875" w:type="dxa"/>
            <w:shd w:val="clear" w:color="auto" w:fill="auto"/>
            <w:noWrap/>
            <w:vAlign w:val="center"/>
            <w:hideMark/>
          </w:tcPr>
          <w:p w14:paraId="6E1C1F67" w14:textId="77777777" w:rsidR="00980F16" w:rsidRPr="008174EF" w:rsidRDefault="00980F16" w:rsidP="00980F16">
            <w:pPr>
              <w:widowControl/>
              <w:suppressLineNumbers w:val="0"/>
              <w:suppressAutoHyphens w:val="0"/>
              <w:ind w:firstLine="0"/>
              <w:jc w:val="right"/>
              <w:rPr>
                <w:sz w:val="20"/>
              </w:rPr>
            </w:pPr>
            <w:r w:rsidRPr="008174EF">
              <w:rPr>
                <w:sz w:val="20"/>
              </w:rPr>
              <w:t>(178)</w:t>
            </w:r>
          </w:p>
        </w:tc>
        <w:tc>
          <w:tcPr>
            <w:tcW w:w="875" w:type="dxa"/>
            <w:shd w:val="clear" w:color="auto" w:fill="auto"/>
            <w:noWrap/>
            <w:vAlign w:val="center"/>
            <w:hideMark/>
          </w:tcPr>
          <w:p w14:paraId="47EDA608" w14:textId="77777777" w:rsidR="00980F16" w:rsidRPr="008174EF" w:rsidRDefault="00980F16" w:rsidP="00980F16">
            <w:pPr>
              <w:widowControl/>
              <w:suppressLineNumbers w:val="0"/>
              <w:suppressAutoHyphens w:val="0"/>
              <w:ind w:firstLine="0"/>
              <w:jc w:val="right"/>
              <w:rPr>
                <w:sz w:val="20"/>
              </w:rPr>
            </w:pPr>
            <w:r w:rsidRPr="008174EF">
              <w:rPr>
                <w:sz w:val="20"/>
              </w:rPr>
              <w:t>(159)</w:t>
            </w:r>
          </w:p>
        </w:tc>
        <w:tc>
          <w:tcPr>
            <w:tcW w:w="990" w:type="dxa"/>
            <w:shd w:val="clear" w:color="auto" w:fill="auto"/>
            <w:noWrap/>
            <w:vAlign w:val="center"/>
            <w:hideMark/>
          </w:tcPr>
          <w:p w14:paraId="0307653D" w14:textId="77777777" w:rsidR="00980F16" w:rsidRPr="008174EF" w:rsidRDefault="00980F16" w:rsidP="00980F16">
            <w:pPr>
              <w:widowControl/>
              <w:suppressLineNumbers w:val="0"/>
              <w:suppressAutoHyphens w:val="0"/>
              <w:ind w:firstLine="0"/>
              <w:jc w:val="right"/>
              <w:rPr>
                <w:sz w:val="20"/>
              </w:rPr>
            </w:pPr>
            <w:r w:rsidRPr="008174EF">
              <w:rPr>
                <w:sz w:val="20"/>
              </w:rPr>
              <w:t>-0,99%</w:t>
            </w:r>
          </w:p>
        </w:tc>
        <w:tc>
          <w:tcPr>
            <w:tcW w:w="1107" w:type="dxa"/>
            <w:shd w:val="clear" w:color="auto" w:fill="auto"/>
            <w:noWrap/>
            <w:vAlign w:val="center"/>
            <w:hideMark/>
          </w:tcPr>
          <w:p w14:paraId="4DC390F4" w14:textId="77777777" w:rsidR="00980F16" w:rsidRPr="008174EF" w:rsidRDefault="00980F16" w:rsidP="00980F16">
            <w:pPr>
              <w:widowControl/>
              <w:suppressLineNumbers w:val="0"/>
              <w:suppressAutoHyphens w:val="0"/>
              <w:ind w:firstLine="0"/>
              <w:jc w:val="right"/>
              <w:rPr>
                <w:sz w:val="20"/>
              </w:rPr>
            </w:pPr>
            <w:r w:rsidRPr="008174EF">
              <w:rPr>
                <w:sz w:val="20"/>
              </w:rPr>
              <w:t>87,96%</w:t>
            </w:r>
          </w:p>
        </w:tc>
      </w:tr>
      <w:tr w:rsidR="00980F16" w:rsidRPr="008174EF" w14:paraId="7413DC6D" w14:textId="77777777" w:rsidTr="00A81C88">
        <w:trPr>
          <w:trHeight w:val="234"/>
          <w:jc w:val="center"/>
        </w:trPr>
        <w:tc>
          <w:tcPr>
            <w:tcW w:w="4028" w:type="dxa"/>
            <w:shd w:val="clear" w:color="auto" w:fill="auto"/>
            <w:hideMark/>
          </w:tcPr>
          <w:p w14:paraId="31602CB9" w14:textId="77777777" w:rsidR="00980F16" w:rsidRPr="008174EF" w:rsidRDefault="00980F16" w:rsidP="00980F16">
            <w:pPr>
              <w:widowControl/>
              <w:suppressLineNumbers w:val="0"/>
              <w:suppressAutoHyphens w:val="0"/>
              <w:ind w:firstLine="0"/>
              <w:jc w:val="left"/>
              <w:rPr>
                <w:sz w:val="20"/>
              </w:rPr>
            </w:pPr>
            <w:r w:rsidRPr="008174EF">
              <w:rPr>
                <w:sz w:val="20"/>
              </w:rPr>
              <w:t>Despesas Administrativas</w:t>
            </w:r>
          </w:p>
        </w:tc>
        <w:tc>
          <w:tcPr>
            <w:tcW w:w="834" w:type="dxa"/>
            <w:shd w:val="clear" w:color="auto" w:fill="auto"/>
            <w:noWrap/>
            <w:vAlign w:val="center"/>
            <w:hideMark/>
          </w:tcPr>
          <w:p w14:paraId="51A07D96" w14:textId="77777777" w:rsidR="00980F16" w:rsidRPr="008174EF" w:rsidRDefault="00980F16" w:rsidP="00980F16">
            <w:pPr>
              <w:widowControl/>
              <w:suppressLineNumbers w:val="0"/>
              <w:suppressAutoHyphens w:val="0"/>
              <w:ind w:firstLine="0"/>
              <w:jc w:val="right"/>
              <w:rPr>
                <w:sz w:val="20"/>
              </w:rPr>
            </w:pPr>
            <w:r w:rsidRPr="008174EF">
              <w:rPr>
                <w:sz w:val="20"/>
              </w:rPr>
              <w:t>(1.876)</w:t>
            </w:r>
          </w:p>
        </w:tc>
        <w:tc>
          <w:tcPr>
            <w:tcW w:w="766" w:type="dxa"/>
            <w:shd w:val="clear" w:color="auto" w:fill="auto"/>
            <w:noWrap/>
            <w:vAlign w:val="center"/>
            <w:hideMark/>
          </w:tcPr>
          <w:p w14:paraId="14FECF2B" w14:textId="77777777" w:rsidR="00980F16" w:rsidRPr="008174EF" w:rsidRDefault="00980F16" w:rsidP="00980F16">
            <w:pPr>
              <w:widowControl/>
              <w:suppressLineNumbers w:val="0"/>
              <w:suppressAutoHyphens w:val="0"/>
              <w:ind w:firstLine="0"/>
              <w:jc w:val="right"/>
              <w:rPr>
                <w:sz w:val="20"/>
              </w:rPr>
            </w:pPr>
            <w:r w:rsidRPr="008174EF">
              <w:rPr>
                <w:sz w:val="20"/>
              </w:rPr>
              <w:t>(2.118)</w:t>
            </w:r>
          </w:p>
        </w:tc>
        <w:tc>
          <w:tcPr>
            <w:tcW w:w="875" w:type="dxa"/>
            <w:shd w:val="clear" w:color="auto" w:fill="auto"/>
            <w:noWrap/>
            <w:vAlign w:val="center"/>
            <w:hideMark/>
          </w:tcPr>
          <w:p w14:paraId="0E5E58C6" w14:textId="77777777" w:rsidR="00980F16" w:rsidRPr="008174EF" w:rsidRDefault="00980F16" w:rsidP="00980F16">
            <w:pPr>
              <w:widowControl/>
              <w:suppressLineNumbers w:val="0"/>
              <w:suppressAutoHyphens w:val="0"/>
              <w:ind w:firstLine="0"/>
              <w:jc w:val="right"/>
              <w:rPr>
                <w:sz w:val="20"/>
              </w:rPr>
            </w:pPr>
            <w:r w:rsidRPr="008174EF">
              <w:rPr>
                <w:sz w:val="20"/>
              </w:rPr>
              <w:t>(2.295)</w:t>
            </w:r>
          </w:p>
        </w:tc>
        <w:tc>
          <w:tcPr>
            <w:tcW w:w="875" w:type="dxa"/>
            <w:shd w:val="clear" w:color="auto" w:fill="auto"/>
            <w:noWrap/>
            <w:vAlign w:val="center"/>
            <w:hideMark/>
          </w:tcPr>
          <w:p w14:paraId="54806797" w14:textId="77777777" w:rsidR="00980F16" w:rsidRPr="008174EF" w:rsidRDefault="00980F16" w:rsidP="00980F16">
            <w:pPr>
              <w:widowControl/>
              <w:suppressLineNumbers w:val="0"/>
              <w:suppressAutoHyphens w:val="0"/>
              <w:ind w:firstLine="0"/>
              <w:jc w:val="right"/>
              <w:rPr>
                <w:sz w:val="20"/>
              </w:rPr>
            </w:pPr>
            <w:r w:rsidRPr="008174EF">
              <w:rPr>
                <w:sz w:val="20"/>
              </w:rPr>
              <w:t>(2.042)</w:t>
            </w:r>
          </w:p>
        </w:tc>
        <w:tc>
          <w:tcPr>
            <w:tcW w:w="990" w:type="dxa"/>
            <w:shd w:val="clear" w:color="auto" w:fill="auto"/>
            <w:noWrap/>
            <w:vAlign w:val="center"/>
            <w:hideMark/>
          </w:tcPr>
          <w:p w14:paraId="5D12E684" w14:textId="77777777" w:rsidR="00980F16" w:rsidRPr="008174EF" w:rsidRDefault="00980F16" w:rsidP="00980F16">
            <w:pPr>
              <w:widowControl/>
              <w:suppressLineNumbers w:val="0"/>
              <w:suppressAutoHyphens w:val="0"/>
              <w:ind w:firstLine="0"/>
              <w:jc w:val="right"/>
              <w:rPr>
                <w:sz w:val="20"/>
              </w:rPr>
            </w:pPr>
            <w:r w:rsidRPr="008174EF">
              <w:rPr>
                <w:sz w:val="20"/>
              </w:rPr>
              <w:t>-15,06%</w:t>
            </w:r>
          </w:p>
        </w:tc>
        <w:tc>
          <w:tcPr>
            <w:tcW w:w="1107" w:type="dxa"/>
            <w:shd w:val="clear" w:color="auto" w:fill="auto"/>
            <w:noWrap/>
            <w:vAlign w:val="center"/>
            <w:hideMark/>
          </w:tcPr>
          <w:p w14:paraId="39224DEA" w14:textId="77777777" w:rsidR="00980F16" w:rsidRPr="008174EF" w:rsidRDefault="00980F16" w:rsidP="00980F16">
            <w:pPr>
              <w:widowControl/>
              <w:suppressLineNumbers w:val="0"/>
              <w:suppressAutoHyphens w:val="0"/>
              <w:ind w:firstLine="0"/>
              <w:jc w:val="right"/>
              <w:rPr>
                <w:sz w:val="20"/>
              </w:rPr>
            </w:pPr>
            <w:r w:rsidRPr="008174EF">
              <w:rPr>
                <w:sz w:val="20"/>
              </w:rPr>
              <w:t>8,88%</w:t>
            </w:r>
          </w:p>
        </w:tc>
      </w:tr>
      <w:tr w:rsidR="00980F16" w:rsidRPr="008174EF" w14:paraId="46D7825D" w14:textId="77777777" w:rsidTr="00A81C88">
        <w:trPr>
          <w:trHeight w:val="234"/>
          <w:jc w:val="center"/>
        </w:trPr>
        <w:tc>
          <w:tcPr>
            <w:tcW w:w="4028" w:type="dxa"/>
            <w:shd w:val="clear" w:color="auto" w:fill="auto"/>
            <w:noWrap/>
            <w:vAlign w:val="bottom"/>
            <w:hideMark/>
          </w:tcPr>
          <w:p w14:paraId="38FC3A4F" w14:textId="77777777" w:rsidR="00980F16" w:rsidRPr="008174EF" w:rsidRDefault="00980F16" w:rsidP="00980F16">
            <w:pPr>
              <w:widowControl/>
              <w:suppressLineNumbers w:val="0"/>
              <w:suppressAutoHyphens w:val="0"/>
              <w:ind w:firstLine="0"/>
              <w:jc w:val="left"/>
              <w:rPr>
                <w:b/>
                <w:bCs/>
                <w:sz w:val="20"/>
              </w:rPr>
            </w:pPr>
            <w:r w:rsidRPr="008174EF">
              <w:rPr>
                <w:b/>
                <w:bCs/>
                <w:sz w:val="20"/>
              </w:rPr>
              <w:t>Resultado Financeiro Líquido</w:t>
            </w:r>
          </w:p>
        </w:tc>
        <w:tc>
          <w:tcPr>
            <w:tcW w:w="834" w:type="dxa"/>
            <w:shd w:val="clear" w:color="auto" w:fill="auto"/>
            <w:noWrap/>
            <w:vAlign w:val="center"/>
            <w:hideMark/>
          </w:tcPr>
          <w:p w14:paraId="3F55B427"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209</w:t>
            </w:r>
          </w:p>
        </w:tc>
        <w:tc>
          <w:tcPr>
            <w:tcW w:w="766" w:type="dxa"/>
            <w:shd w:val="clear" w:color="auto" w:fill="auto"/>
            <w:noWrap/>
            <w:vAlign w:val="center"/>
            <w:hideMark/>
          </w:tcPr>
          <w:p w14:paraId="55ED12A2"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139</w:t>
            </w:r>
          </w:p>
        </w:tc>
        <w:tc>
          <w:tcPr>
            <w:tcW w:w="875" w:type="dxa"/>
            <w:shd w:val="clear" w:color="auto" w:fill="auto"/>
            <w:noWrap/>
            <w:vAlign w:val="center"/>
            <w:hideMark/>
          </w:tcPr>
          <w:p w14:paraId="02F0C239"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183</w:t>
            </w:r>
          </w:p>
        </w:tc>
        <w:tc>
          <w:tcPr>
            <w:tcW w:w="875" w:type="dxa"/>
            <w:shd w:val="clear" w:color="auto" w:fill="auto"/>
            <w:noWrap/>
            <w:vAlign w:val="center"/>
            <w:hideMark/>
          </w:tcPr>
          <w:p w14:paraId="6957B15D"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103</w:t>
            </w:r>
          </w:p>
        </w:tc>
        <w:tc>
          <w:tcPr>
            <w:tcW w:w="990" w:type="dxa"/>
            <w:shd w:val="clear" w:color="auto" w:fill="auto"/>
            <w:noWrap/>
            <w:vAlign w:val="center"/>
            <w:hideMark/>
          </w:tcPr>
          <w:p w14:paraId="643C2084" w14:textId="77777777" w:rsidR="00980F16" w:rsidRPr="008174EF" w:rsidRDefault="00980F16" w:rsidP="00980F16">
            <w:pPr>
              <w:widowControl/>
              <w:suppressLineNumbers w:val="0"/>
              <w:suppressAutoHyphens w:val="0"/>
              <w:ind w:firstLine="0"/>
              <w:jc w:val="right"/>
              <w:rPr>
                <w:b/>
                <w:bCs/>
                <w:sz w:val="20"/>
              </w:rPr>
            </w:pPr>
            <w:r w:rsidRPr="008174EF">
              <w:rPr>
                <w:b/>
                <w:bCs/>
                <w:sz w:val="20"/>
              </w:rPr>
              <w:t>1,15%</w:t>
            </w:r>
          </w:p>
        </w:tc>
        <w:tc>
          <w:tcPr>
            <w:tcW w:w="1107" w:type="dxa"/>
            <w:shd w:val="clear" w:color="auto" w:fill="auto"/>
            <w:noWrap/>
            <w:vAlign w:val="center"/>
            <w:hideMark/>
          </w:tcPr>
          <w:p w14:paraId="71B84FBA" w14:textId="77777777" w:rsidR="00980F16" w:rsidRPr="008174EF" w:rsidRDefault="00980F16" w:rsidP="00980F16">
            <w:pPr>
              <w:widowControl/>
              <w:suppressLineNumbers w:val="0"/>
              <w:suppressAutoHyphens w:val="0"/>
              <w:ind w:firstLine="0"/>
              <w:jc w:val="right"/>
              <w:rPr>
                <w:b/>
                <w:bCs/>
                <w:sz w:val="20"/>
              </w:rPr>
            </w:pPr>
            <w:r w:rsidRPr="008174EF">
              <w:rPr>
                <w:b/>
                <w:bCs/>
                <w:sz w:val="20"/>
              </w:rPr>
              <w:t>-50,68%</w:t>
            </w:r>
          </w:p>
        </w:tc>
      </w:tr>
      <w:tr w:rsidR="00980F16" w:rsidRPr="008174EF" w14:paraId="08D28D4D" w14:textId="77777777" w:rsidTr="00A81C88">
        <w:trPr>
          <w:trHeight w:val="234"/>
          <w:jc w:val="center"/>
        </w:trPr>
        <w:tc>
          <w:tcPr>
            <w:tcW w:w="4028" w:type="dxa"/>
            <w:shd w:val="clear" w:color="auto" w:fill="auto"/>
            <w:noWrap/>
            <w:vAlign w:val="center"/>
            <w:hideMark/>
          </w:tcPr>
          <w:p w14:paraId="54B103EC" w14:textId="77777777" w:rsidR="00980F16" w:rsidRPr="008174EF" w:rsidRDefault="00980F16" w:rsidP="006469E3">
            <w:pPr>
              <w:widowControl/>
              <w:suppressLineNumbers w:val="0"/>
              <w:suppressAutoHyphens w:val="0"/>
              <w:ind w:firstLine="0"/>
              <w:jc w:val="left"/>
              <w:rPr>
                <w:sz w:val="20"/>
              </w:rPr>
            </w:pPr>
            <w:r w:rsidRPr="008174EF">
              <w:rPr>
                <w:sz w:val="20"/>
              </w:rPr>
              <w:t>Receitas Financeiras</w:t>
            </w:r>
          </w:p>
        </w:tc>
        <w:tc>
          <w:tcPr>
            <w:tcW w:w="834" w:type="dxa"/>
            <w:shd w:val="clear" w:color="auto" w:fill="auto"/>
            <w:noWrap/>
            <w:vAlign w:val="center"/>
            <w:hideMark/>
          </w:tcPr>
          <w:p w14:paraId="25F06248" w14:textId="77777777" w:rsidR="00980F16" w:rsidRPr="008174EF" w:rsidRDefault="00980F16" w:rsidP="00980F16">
            <w:pPr>
              <w:widowControl/>
              <w:suppressLineNumbers w:val="0"/>
              <w:suppressAutoHyphens w:val="0"/>
              <w:ind w:firstLine="0"/>
              <w:jc w:val="right"/>
              <w:rPr>
                <w:sz w:val="20"/>
              </w:rPr>
            </w:pPr>
            <w:r w:rsidRPr="008174EF">
              <w:rPr>
                <w:sz w:val="20"/>
              </w:rPr>
              <w:t>377</w:t>
            </w:r>
          </w:p>
        </w:tc>
        <w:tc>
          <w:tcPr>
            <w:tcW w:w="766" w:type="dxa"/>
            <w:shd w:val="clear" w:color="auto" w:fill="auto"/>
            <w:noWrap/>
            <w:vAlign w:val="center"/>
            <w:hideMark/>
          </w:tcPr>
          <w:p w14:paraId="11F72D11" w14:textId="77777777" w:rsidR="00980F16" w:rsidRPr="008174EF" w:rsidRDefault="00980F16" w:rsidP="00980F16">
            <w:pPr>
              <w:widowControl/>
              <w:suppressLineNumbers w:val="0"/>
              <w:suppressAutoHyphens w:val="0"/>
              <w:ind w:firstLine="0"/>
              <w:jc w:val="right"/>
              <w:rPr>
                <w:sz w:val="20"/>
              </w:rPr>
            </w:pPr>
            <w:r w:rsidRPr="008174EF">
              <w:rPr>
                <w:sz w:val="20"/>
              </w:rPr>
              <w:t>417</w:t>
            </w:r>
          </w:p>
        </w:tc>
        <w:tc>
          <w:tcPr>
            <w:tcW w:w="875" w:type="dxa"/>
            <w:shd w:val="clear" w:color="auto" w:fill="auto"/>
            <w:noWrap/>
            <w:vAlign w:val="center"/>
            <w:hideMark/>
          </w:tcPr>
          <w:p w14:paraId="52888E89" w14:textId="77777777" w:rsidR="00980F16" w:rsidRPr="008174EF" w:rsidRDefault="00980F16" w:rsidP="00980F16">
            <w:pPr>
              <w:widowControl/>
              <w:suppressLineNumbers w:val="0"/>
              <w:suppressAutoHyphens w:val="0"/>
              <w:ind w:firstLine="0"/>
              <w:jc w:val="right"/>
              <w:rPr>
                <w:sz w:val="20"/>
              </w:rPr>
            </w:pPr>
            <w:r w:rsidRPr="008174EF">
              <w:rPr>
                <w:sz w:val="20"/>
              </w:rPr>
              <w:t>319</w:t>
            </w:r>
          </w:p>
        </w:tc>
        <w:tc>
          <w:tcPr>
            <w:tcW w:w="875" w:type="dxa"/>
            <w:shd w:val="clear" w:color="auto" w:fill="auto"/>
            <w:noWrap/>
            <w:vAlign w:val="center"/>
            <w:hideMark/>
          </w:tcPr>
          <w:p w14:paraId="5BD101CC" w14:textId="77777777" w:rsidR="00980F16" w:rsidRPr="008174EF" w:rsidRDefault="00980F16" w:rsidP="00980F16">
            <w:pPr>
              <w:widowControl/>
              <w:suppressLineNumbers w:val="0"/>
              <w:suppressAutoHyphens w:val="0"/>
              <w:ind w:firstLine="0"/>
              <w:jc w:val="right"/>
              <w:rPr>
                <w:sz w:val="20"/>
              </w:rPr>
            </w:pPr>
            <w:r w:rsidRPr="008174EF">
              <w:rPr>
                <w:sz w:val="20"/>
              </w:rPr>
              <w:t>235</w:t>
            </w:r>
          </w:p>
        </w:tc>
        <w:tc>
          <w:tcPr>
            <w:tcW w:w="990" w:type="dxa"/>
            <w:shd w:val="clear" w:color="auto" w:fill="auto"/>
            <w:noWrap/>
            <w:vAlign w:val="center"/>
            <w:hideMark/>
          </w:tcPr>
          <w:p w14:paraId="7C3EDBC1" w14:textId="77777777" w:rsidR="00980F16" w:rsidRPr="008174EF" w:rsidRDefault="00980F16" w:rsidP="00980F16">
            <w:pPr>
              <w:widowControl/>
              <w:suppressLineNumbers w:val="0"/>
              <w:suppressAutoHyphens w:val="0"/>
              <w:ind w:firstLine="0"/>
              <w:jc w:val="right"/>
              <w:rPr>
                <w:sz w:val="20"/>
              </w:rPr>
            </w:pPr>
            <w:r w:rsidRPr="008174EF">
              <w:rPr>
                <w:sz w:val="20"/>
              </w:rPr>
              <w:t>2,44%</w:t>
            </w:r>
          </w:p>
        </w:tc>
        <w:tc>
          <w:tcPr>
            <w:tcW w:w="1107" w:type="dxa"/>
            <w:shd w:val="clear" w:color="auto" w:fill="auto"/>
            <w:noWrap/>
            <w:vAlign w:val="center"/>
            <w:hideMark/>
          </w:tcPr>
          <w:p w14:paraId="1281637E" w14:textId="77777777" w:rsidR="00980F16" w:rsidRPr="008174EF" w:rsidRDefault="00980F16" w:rsidP="00980F16">
            <w:pPr>
              <w:widowControl/>
              <w:suppressLineNumbers w:val="0"/>
              <w:suppressAutoHyphens w:val="0"/>
              <w:ind w:firstLine="0"/>
              <w:jc w:val="right"/>
              <w:rPr>
                <w:sz w:val="20"/>
              </w:rPr>
            </w:pPr>
            <w:r w:rsidRPr="008174EF">
              <w:rPr>
                <w:sz w:val="20"/>
              </w:rPr>
              <w:t>-37,57%</w:t>
            </w:r>
          </w:p>
        </w:tc>
      </w:tr>
      <w:tr w:rsidR="00980F16" w:rsidRPr="008174EF" w14:paraId="781F89D7" w14:textId="77777777" w:rsidTr="00A81C88">
        <w:trPr>
          <w:trHeight w:val="62"/>
          <w:jc w:val="center"/>
        </w:trPr>
        <w:tc>
          <w:tcPr>
            <w:tcW w:w="4028" w:type="dxa"/>
            <w:shd w:val="clear" w:color="auto" w:fill="auto"/>
            <w:noWrap/>
            <w:vAlign w:val="center"/>
            <w:hideMark/>
          </w:tcPr>
          <w:p w14:paraId="1083831D" w14:textId="77777777" w:rsidR="00980F16" w:rsidRPr="008174EF" w:rsidRDefault="00980F16" w:rsidP="006469E3">
            <w:pPr>
              <w:widowControl/>
              <w:suppressLineNumbers w:val="0"/>
              <w:suppressAutoHyphens w:val="0"/>
              <w:ind w:firstLine="0"/>
              <w:jc w:val="left"/>
              <w:rPr>
                <w:sz w:val="20"/>
              </w:rPr>
            </w:pPr>
            <w:r w:rsidRPr="008174EF">
              <w:rPr>
                <w:sz w:val="20"/>
              </w:rPr>
              <w:lastRenderedPageBreak/>
              <w:t>Despesas Financeiras</w:t>
            </w:r>
          </w:p>
        </w:tc>
        <w:tc>
          <w:tcPr>
            <w:tcW w:w="834" w:type="dxa"/>
            <w:shd w:val="clear" w:color="auto" w:fill="auto"/>
            <w:noWrap/>
            <w:vAlign w:val="center"/>
            <w:hideMark/>
          </w:tcPr>
          <w:p w14:paraId="2049B598" w14:textId="77777777" w:rsidR="00980F16" w:rsidRPr="008174EF" w:rsidRDefault="00980F16" w:rsidP="00980F16">
            <w:pPr>
              <w:widowControl/>
              <w:suppressLineNumbers w:val="0"/>
              <w:suppressAutoHyphens w:val="0"/>
              <w:ind w:firstLine="0"/>
              <w:jc w:val="right"/>
              <w:rPr>
                <w:sz w:val="20"/>
              </w:rPr>
            </w:pPr>
            <w:r w:rsidRPr="008174EF">
              <w:rPr>
                <w:sz w:val="20"/>
              </w:rPr>
              <w:t>(168)</w:t>
            </w:r>
          </w:p>
        </w:tc>
        <w:tc>
          <w:tcPr>
            <w:tcW w:w="766" w:type="dxa"/>
            <w:shd w:val="clear" w:color="auto" w:fill="auto"/>
            <w:noWrap/>
            <w:vAlign w:val="center"/>
            <w:hideMark/>
          </w:tcPr>
          <w:p w14:paraId="46C85BB0" w14:textId="77777777" w:rsidR="00980F16" w:rsidRPr="008174EF" w:rsidRDefault="00980F16" w:rsidP="00980F16">
            <w:pPr>
              <w:widowControl/>
              <w:suppressLineNumbers w:val="0"/>
              <w:suppressAutoHyphens w:val="0"/>
              <w:ind w:firstLine="0"/>
              <w:jc w:val="right"/>
              <w:rPr>
                <w:sz w:val="20"/>
              </w:rPr>
            </w:pPr>
            <w:r w:rsidRPr="008174EF">
              <w:rPr>
                <w:sz w:val="20"/>
              </w:rPr>
              <w:t>(278)</w:t>
            </w:r>
          </w:p>
        </w:tc>
        <w:tc>
          <w:tcPr>
            <w:tcW w:w="875" w:type="dxa"/>
            <w:shd w:val="clear" w:color="auto" w:fill="auto"/>
            <w:noWrap/>
            <w:vAlign w:val="center"/>
            <w:hideMark/>
          </w:tcPr>
          <w:p w14:paraId="0F72561E" w14:textId="77777777" w:rsidR="00980F16" w:rsidRPr="008174EF" w:rsidRDefault="00980F16" w:rsidP="00980F16">
            <w:pPr>
              <w:widowControl/>
              <w:suppressLineNumbers w:val="0"/>
              <w:suppressAutoHyphens w:val="0"/>
              <w:ind w:firstLine="0"/>
              <w:jc w:val="right"/>
              <w:rPr>
                <w:sz w:val="20"/>
              </w:rPr>
            </w:pPr>
            <w:r w:rsidRPr="008174EF">
              <w:rPr>
                <w:sz w:val="20"/>
              </w:rPr>
              <w:t xml:space="preserve"> (136)</w:t>
            </w:r>
          </w:p>
        </w:tc>
        <w:tc>
          <w:tcPr>
            <w:tcW w:w="875" w:type="dxa"/>
            <w:shd w:val="clear" w:color="auto" w:fill="auto"/>
            <w:noWrap/>
            <w:vAlign w:val="center"/>
            <w:hideMark/>
          </w:tcPr>
          <w:p w14:paraId="305E74F2" w14:textId="77777777" w:rsidR="00980F16" w:rsidRPr="008174EF" w:rsidRDefault="00980F16" w:rsidP="00980F16">
            <w:pPr>
              <w:widowControl/>
              <w:suppressLineNumbers w:val="0"/>
              <w:suppressAutoHyphens w:val="0"/>
              <w:ind w:firstLine="0"/>
              <w:jc w:val="right"/>
              <w:rPr>
                <w:sz w:val="20"/>
              </w:rPr>
            </w:pPr>
            <w:r w:rsidRPr="008174EF">
              <w:rPr>
                <w:sz w:val="20"/>
              </w:rPr>
              <w:t xml:space="preserve">    (132)</w:t>
            </w:r>
          </w:p>
        </w:tc>
        <w:tc>
          <w:tcPr>
            <w:tcW w:w="990" w:type="dxa"/>
            <w:shd w:val="clear" w:color="auto" w:fill="auto"/>
            <w:noWrap/>
            <w:vAlign w:val="center"/>
            <w:hideMark/>
          </w:tcPr>
          <w:p w14:paraId="32B93CA9" w14:textId="77777777" w:rsidR="00980F16" w:rsidRPr="008174EF" w:rsidRDefault="00980F16" w:rsidP="00980F16">
            <w:pPr>
              <w:widowControl/>
              <w:suppressLineNumbers w:val="0"/>
              <w:suppressAutoHyphens w:val="0"/>
              <w:ind w:firstLine="0"/>
              <w:jc w:val="right"/>
              <w:rPr>
                <w:sz w:val="20"/>
              </w:rPr>
            </w:pPr>
            <w:r w:rsidRPr="008174EF">
              <w:rPr>
                <w:sz w:val="20"/>
              </w:rPr>
              <w:t>-1,29%</w:t>
            </w:r>
          </w:p>
        </w:tc>
        <w:tc>
          <w:tcPr>
            <w:tcW w:w="1107" w:type="dxa"/>
            <w:shd w:val="clear" w:color="auto" w:fill="auto"/>
            <w:noWrap/>
            <w:vAlign w:val="center"/>
            <w:hideMark/>
          </w:tcPr>
          <w:p w14:paraId="0758E395" w14:textId="77777777" w:rsidR="00980F16" w:rsidRPr="008174EF" w:rsidRDefault="00980F16" w:rsidP="00980F16">
            <w:pPr>
              <w:widowControl/>
              <w:suppressLineNumbers w:val="0"/>
              <w:suppressAutoHyphens w:val="0"/>
              <w:ind w:firstLine="0"/>
              <w:jc w:val="right"/>
              <w:rPr>
                <w:sz w:val="20"/>
              </w:rPr>
            </w:pPr>
            <w:r w:rsidRPr="008174EF">
              <w:rPr>
                <w:sz w:val="20"/>
              </w:rPr>
              <w:t>-21,22%</w:t>
            </w:r>
          </w:p>
        </w:tc>
      </w:tr>
      <w:tr w:rsidR="00980F16" w:rsidRPr="008174EF" w14:paraId="5D02E374" w14:textId="77777777" w:rsidTr="00A81C88">
        <w:trPr>
          <w:trHeight w:val="234"/>
          <w:jc w:val="center"/>
        </w:trPr>
        <w:tc>
          <w:tcPr>
            <w:tcW w:w="4028" w:type="dxa"/>
            <w:shd w:val="clear" w:color="auto" w:fill="auto"/>
            <w:noWrap/>
            <w:vAlign w:val="bottom"/>
            <w:hideMark/>
          </w:tcPr>
          <w:p w14:paraId="6CF7FE94" w14:textId="77777777" w:rsidR="00980F16" w:rsidRPr="008174EF" w:rsidRDefault="00980F16" w:rsidP="00980F16">
            <w:pPr>
              <w:widowControl/>
              <w:suppressLineNumbers w:val="0"/>
              <w:suppressAutoHyphens w:val="0"/>
              <w:ind w:firstLine="0"/>
              <w:jc w:val="left"/>
              <w:rPr>
                <w:b/>
                <w:bCs/>
                <w:sz w:val="20"/>
              </w:rPr>
            </w:pPr>
            <w:r w:rsidRPr="008174EF">
              <w:rPr>
                <w:b/>
                <w:bCs/>
                <w:sz w:val="20"/>
              </w:rPr>
              <w:t>Resultado Patrimonial</w:t>
            </w:r>
          </w:p>
        </w:tc>
        <w:tc>
          <w:tcPr>
            <w:tcW w:w="834" w:type="dxa"/>
            <w:shd w:val="clear" w:color="auto" w:fill="auto"/>
            <w:noWrap/>
            <w:vAlign w:val="center"/>
            <w:hideMark/>
          </w:tcPr>
          <w:p w14:paraId="00EE6F2D"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w:t>
            </w:r>
          </w:p>
        </w:tc>
        <w:tc>
          <w:tcPr>
            <w:tcW w:w="766" w:type="dxa"/>
            <w:shd w:val="clear" w:color="auto" w:fill="auto"/>
            <w:noWrap/>
            <w:vAlign w:val="center"/>
            <w:hideMark/>
          </w:tcPr>
          <w:p w14:paraId="562BCB1E"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w:t>
            </w:r>
          </w:p>
        </w:tc>
        <w:tc>
          <w:tcPr>
            <w:tcW w:w="875" w:type="dxa"/>
            <w:shd w:val="clear" w:color="auto" w:fill="auto"/>
            <w:noWrap/>
            <w:vAlign w:val="center"/>
            <w:hideMark/>
          </w:tcPr>
          <w:p w14:paraId="691C1976"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w:t>
            </w:r>
          </w:p>
        </w:tc>
        <w:tc>
          <w:tcPr>
            <w:tcW w:w="875" w:type="dxa"/>
            <w:shd w:val="clear" w:color="auto" w:fill="auto"/>
            <w:noWrap/>
            <w:vAlign w:val="center"/>
            <w:hideMark/>
          </w:tcPr>
          <w:p w14:paraId="7609A7D2"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(5)</w:t>
            </w:r>
          </w:p>
        </w:tc>
        <w:tc>
          <w:tcPr>
            <w:tcW w:w="990" w:type="dxa"/>
            <w:shd w:val="clear" w:color="auto" w:fill="auto"/>
            <w:noWrap/>
            <w:vAlign w:val="center"/>
            <w:hideMark/>
          </w:tcPr>
          <w:p w14:paraId="6B7808F7" w14:textId="77777777" w:rsidR="00980F16" w:rsidRPr="008174EF" w:rsidRDefault="00980F16" w:rsidP="00980F16">
            <w:pPr>
              <w:widowControl/>
              <w:suppressLineNumbers w:val="0"/>
              <w:suppressAutoHyphens w:val="0"/>
              <w:ind w:firstLine="0"/>
              <w:jc w:val="right"/>
              <w:rPr>
                <w:b/>
                <w:bCs/>
                <w:sz w:val="20"/>
              </w:rPr>
            </w:pPr>
            <w:r w:rsidRPr="008174EF">
              <w:rPr>
                <w:b/>
                <w:bCs/>
                <w:sz w:val="20"/>
              </w:rPr>
              <w:t>-0,02%</w:t>
            </w:r>
          </w:p>
        </w:tc>
        <w:tc>
          <w:tcPr>
            <w:tcW w:w="1107" w:type="dxa"/>
            <w:shd w:val="clear" w:color="auto" w:fill="auto"/>
            <w:noWrap/>
            <w:vAlign w:val="center"/>
            <w:hideMark/>
          </w:tcPr>
          <w:p w14:paraId="76FCD84C" w14:textId="77777777" w:rsidR="00980F16" w:rsidRPr="008174EF" w:rsidRDefault="00980F16" w:rsidP="00980F16">
            <w:pPr>
              <w:widowControl/>
              <w:suppressLineNumbers w:val="0"/>
              <w:suppressAutoHyphens w:val="0"/>
              <w:ind w:firstLine="0"/>
              <w:jc w:val="right"/>
              <w:rPr>
                <w:b/>
                <w:bCs/>
                <w:sz w:val="20"/>
              </w:rPr>
            </w:pPr>
            <w:r w:rsidRPr="008174EF">
              <w:rPr>
                <w:b/>
                <w:bCs/>
                <w:sz w:val="20"/>
              </w:rPr>
              <w:t>183,43%</w:t>
            </w:r>
          </w:p>
        </w:tc>
      </w:tr>
      <w:tr w:rsidR="00980F16" w:rsidRPr="008174EF" w14:paraId="785295E8" w14:textId="77777777" w:rsidTr="00A81C88">
        <w:trPr>
          <w:trHeight w:val="234"/>
          <w:jc w:val="center"/>
        </w:trPr>
        <w:tc>
          <w:tcPr>
            <w:tcW w:w="4028" w:type="dxa"/>
            <w:shd w:val="clear" w:color="auto" w:fill="auto"/>
            <w:noWrap/>
            <w:vAlign w:val="center"/>
            <w:hideMark/>
          </w:tcPr>
          <w:p w14:paraId="52DCBF1E" w14:textId="77777777" w:rsidR="00980F16" w:rsidRPr="008174EF" w:rsidRDefault="00980F16" w:rsidP="006469E3">
            <w:pPr>
              <w:widowControl/>
              <w:suppressLineNumbers w:val="0"/>
              <w:suppressAutoHyphens w:val="0"/>
              <w:ind w:firstLine="0"/>
              <w:jc w:val="left"/>
              <w:rPr>
                <w:sz w:val="20"/>
              </w:rPr>
            </w:pPr>
            <w:r w:rsidRPr="008174EF">
              <w:rPr>
                <w:sz w:val="20"/>
              </w:rPr>
              <w:t>Despesas Patrimoniais</w:t>
            </w:r>
          </w:p>
        </w:tc>
        <w:tc>
          <w:tcPr>
            <w:tcW w:w="834" w:type="dxa"/>
            <w:shd w:val="clear" w:color="auto" w:fill="auto"/>
            <w:noWrap/>
            <w:vAlign w:val="center"/>
            <w:hideMark/>
          </w:tcPr>
          <w:p w14:paraId="799CC3E7" w14:textId="77777777" w:rsidR="00980F16" w:rsidRPr="008174EF" w:rsidRDefault="00980F16" w:rsidP="00980F16">
            <w:pPr>
              <w:widowControl/>
              <w:suppressLineNumbers w:val="0"/>
              <w:suppressAutoHyphens w:val="0"/>
              <w:ind w:firstLine="0"/>
              <w:jc w:val="right"/>
              <w:rPr>
                <w:sz w:val="20"/>
              </w:rPr>
            </w:pPr>
            <w:r w:rsidRPr="008174EF">
              <w:rPr>
                <w:sz w:val="20"/>
              </w:rPr>
              <w:t>(2)</w:t>
            </w:r>
          </w:p>
        </w:tc>
        <w:tc>
          <w:tcPr>
            <w:tcW w:w="766" w:type="dxa"/>
            <w:shd w:val="clear" w:color="auto" w:fill="auto"/>
            <w:noWrap/>
            <w:vAlign w:val="center"/>
            <w:hideMark/>
          </w:tcPr>
          <w:p w14:paraId="0E14653D" w14:textId="77777777" w:rsidR="00980F16" w:rsidRPr="008174EF" w:rsidRDefault="00980F16" w:rsidP="00980F16">
            <w:pPr>
              <w:widowControl/>
              <w:suppressLineNumbers w:val="0"/>
              <w:suppressAutoHyphens w:val="0"/>
              <w:ind w:firstLine="0"/>
              <w:jc w:val="right"/>
              <w:rPr>
                <w:sz w:val="20"/>
              </w:rPr>
            </w:pPr>
            <w:r w:rsidRPr="008174EF">
              <w:rPr>
                <w:sz w:val="20"/>
              </w:rPr>
              <w:t>(2)</w:t>
            </w:r>
          </w:p>
        </w:tc>
        <w:tc>
          <w:tcPr>
            <w:tcW w:w="875" w:type="dxa"/>
            <w:shd w:val="clear" w:color="auto" w:fill="auto"/>
            <w:noWrap/>
            <w:vAlign w:val="center"/>
            <w:hideMark/>
          </w:tcPr>
          <w:p w14:paraId="3F7C936D" w14:textId="77777777" w:rsidR="00980F16" w:rsidRPr="008174EF" w:rsidRDefault="00980F16" w:rsidP="00980F16">
            <w:pPr>
              <w:widowControl/>
              <w:suppressLineNumbers w:val="0"/>
              <w:suppressAutoHyphens w:val="0"/>
              <w:ind w:firstLine="0"/>
              <w:jc w:val="right"/>
              <w:rPr>
                <w:sz w:val="20"/>
              </w:rPr>
            </w:pPr>
            <w:r w:rsidRPr="008174EF">
              <w:rPr>
                <w:sz w:val="20"/>
              </w:rPr>
              <w:t>(1)</w:t>
            </w:r>
          </w:p>
        </w:tc>
        <w:tc>
          <w:tcPr>
            <w:tcW w:w="875" w:type="dxa"/>
            <w:shd w:val="clear" w:color="auto" w:fill="auto"/>
            <w:noWrap/>
            <w:vAlign w:val="center"/>
            <w:hideMark/>
          </w:tcPr>
          <w:p w14:paraId="29309444" w14:textId="77777777" w:rsidR="00980F16" w:rsidRPr="008174EF" w:rsidRDefault="00980F16" w:rsidP="00980F16">
            <w:pPr>
              <w:widowControl/>
              <w:suppressLineNumbers w:val="0"/>
              <w:suppressAutoHyphens w:val="0"/>
              <w:ind w:firstLine="0"/>
              <w:jc w:val="right"/>
              <w:rPr>
                <w:sz w:val="20"/>
              </w:rPr>
            </w:pPr>
            <w:r w:rsidRPr="008174EF">
              <w:rPr>
                <w:sz w:val="20"/>
              </w:rPr>
              <w:t>(5)</w:t>
            </w:r>
          </w:p>
        </w:tc>
        <w:tc>
          <w:tcPr>
            <w:tcW w:w="990" w:type="dxa"/>
            <w:shd w:val="clear" w:color="auto" w:fill="auto"/>
            <w:noWrap/>
            <w:vAlign w:val="center"/>
            <w:hideMark/>
          </w:tcPr>
          <w:p w14:paraId="47B4BC1C" w14:textId="77777777" w:rsidR="00980F16" w:rsidRPr="008174EF" w:rsidRDefault="00980F16" w:rsidP="00980F16">
            <w:pPr>
              <w:widowControl/>
              <w:suppressLineNumbers w:val="0"/>
              <w:suppressAutoHyphens w:val="0"/>
              <w:ind w:firstLine="0"/>
              <w:jc w:val="right"/>
              <w:rPr>
                <w:sz w:val="20"/>
              </w:rPr>
            </w:pPr>
            <w:r w:rsidRPr="008174EF">
              <w:rPr>
                <w:sz w:val="20"/>
              </w:rPr>
              <w:t>-0,02%</w:t>
            </w:r>
          </w:p>
        </w:tc>
        <w:tc>
          <w:tcPr>
            <w:tcW w:w="1107" w:type="dxa"/>
            <w:shd w:val="clear" w:color="auto" w:fill="auto"/>
            <w:noWrap/>
            <w:vAlign w:val="center"/>
            <w:hideMark/>
          </w:tcPr>
          <w:p w14:paraId="7BA15BFB" w14:textId="77777777" w:rsidR="00980F16" w:rsidRPr="008174EF" w:rsidRDefault="00980F16" w:rsidP="00980F16">
            <w:pPr>
              <w:widowControl/>
              <w:suppressLineNumbers w:val="0"/>
              <w:suppressAutoHyphens w:val="0"/>
              <w:ind w:firstLine="0"/>
              <w:jc w:val="right"/>
              <w:rPr>
                <w:sz w:val="20"/>
              </w:rPr>
            </w:pPr>
            <w:r w:rsidRPr="008174EF">
              <w:rPr>
                <w:sz w:val="20"/>
              </w:rPr>
              <w:t>183,43%</w:t>
            </w:r>
          </w:p>
        </w:tc>
      </w:tr>
      <w:tr w:rsidR="00980F16" w:rsidRPr="008174EF" w14:paraId="0031B84A" w14:textId="77777777" w:rsidTr="00A81C88">
        <w:trPr>
          <w:trHeight w:val="234"/>
          <w:jc w:val="center"/>
        </w:trPr>
        <w:tc>
          <w:tcPr>
            <w:tcW w:w="4028" w:type="dxa"/>
            <w:shd w:val="clear" w:color="auto" w:fill="auto"/>
            <w:noWrap/>
            <w:vAlign w:val="bottom"/>
            <w:hideMark/>
          </w:tcPr>
          <w:p w14:paraId="134DCA83" w14:textId="77777777" w:rsidR="00980F16" w:rsidRPr="008174EF" w:rsidRDefault="00980F16" w:rsidP="00980F16">
            <w:pPr>
              <w:widowControl/>
              <w:suppressLineNumbers w:val="0"/>
              <w:suppressAutoHyphens w:val="0"/>
              <w:ind w:firstLine="0"/>
              <w:jc w:val="left"/>
              <w:rPr>
                <w:b/>
                <w:bCs/>
                <w:sz w:val="20"/>
              </w:rPr>
            </w:pPr>
            <w:r w:rsidRPr="008174EF">
              <w:rPr>
                <w:b/>
                <w:bCs/>
                <w:sz w:val="20"/>
              </w:rPr>
              <w:t>Resultado Antes dos Impostos e Participações {LO}</w:t>
            </w:r>
          </w:p>
        </w:tc>
        <w:tc>
          <w:tcPr>
            <w:tcW w:w="834" w:type="dxa"/>
            <w:shd w:val="clear" w:color="auto" w:fill="auto"/>
            <w:noWrap/>
            <w:vAlign w:val="center"/>
            <w:hideMark/>
          </w:tcPr>
          <w:p w14:paraId="2A5EC65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(1.148)</w:t>
            </w:r>
          </w:p>
        </w:tc>
        <w:tc>
          <w:tcPr>
            <w:tcW w:w="766" w:type="dxa"/>
            <w:shd w:val="clear" w:color="auto" w:fill="auto"/>
            <w:noWrap/>
            <w:vAlign w:val="center"/>
            <w:hideMark/>
          </w:tcPr>
          <w:p w14:paraId="10EC3E78"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22</w:t>
            </w:r>
          </w:p>
        </w:tc>
        <w:tc>
          <w:tcPr>
            <w:tcW w:w="875" w:type="dxa"/>
            <w:shd w:val="clear" w:color="auto" w:fill="auto"/>
            <w:noWrap/>
            <w:vAlign w:val="center"/>
            <w:hideMark/>
          </w:tcPr>
          <w:p w14:paraId="522537EA"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(213)</w:t>
            </w:r>
          </w:p>
        </w:tc>
        <w:tc>
          <w:tcPr>
            <w:tcW w:w="875" w:type="dxa"/>
            <w:shd w:val="clear" w:color="auto" w:fill="auto"/>
            <w:noWrap/>
            <w:vAlign w:val="center"/>
            <w:hideMark/>
          </w:tcPr>
          <w:p w14:paraId="78DF004B"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1.448</w:t>
            </w:r>
          </w:p>
        </w:tc>
        <w:tc>
          <w:tcPr>
            <w:tcW w:w="990" w:type="dxa"/>
            <w:shd w:val="clear" w:color="auto" w:fill="auto"/>
            <w:noWrap/>
            <w:vAlign w:val="center"/>
            <w:hideMark/>
          </w:tcPr>
          <w:p w14:paraId="1E1B39DB" w14:textId="77777777" w:rsidR="00980F16" w:rsidRPr="008174EF" w:rsidRDefault="00980F16" w:rsidP="00980F16">
            <w:pPr>
              <w:widowControl/>
              <w:suppressLineNumbers w:val="0"/>
              <w:suppressAutoHyphens w:val="0"/>
              <w:ind w:firstLine="0"/>
              <w:jc w:val="right"/>
              <w:rPr>
                <w:b/>
                <w:bCs/>
                <w:sz w:val="20"/>
              </w:rPr>
            </w:pPr>
            <w:r w:rsidRPr="008174EF">
              <w:rPr>
                <w:b/>
                <w:bCs/>
                <w:sz w:val="20"/>
              </w:rPr>
              <w:t>0,20%</w:t>
            </w:r>
          </w:p>
        </w:tc>
        <w:tc>
          <w:tcPr>
            <w:tcW w:w="1107" w:type="dxa"/>
            <w:shd w:val="clear" w:color="auto" w:fill="auto"/>
            <w:noWrap/>
            <w:vAlign w:val="center"/>
            <w:hideMark/>
          </w:tcPr>
          <w:p w14:paraId="15873CBC" w14:textId="77777777" w:rsidR="00980F16" w:rsidRPr="008174EF" w:rsidRDefault="00980F16" w:rsidP="00980F16">
            <w:pPr>
              <w:widowControl/>
              <w:suppressLineNumbers w:val="0"/>
              <w:suppressAutoHyphens w:val="0"/>
              <w:ind w:firstLine="0"/>
              <w:jc w:val="right"/>
              <w:rPr>
                <w:b/>
                <w:bCs/>
                <w:sz w:val="20"/>
              </w:rPr>
            </w:pPr>
            <w:r w:rsidRPr="008174EF">
              <w:rPr>
                <w:b/>
                <w:bCs/>
                <w:sz w:val="20"/>
              </w:rPr>
              <w:t>-226,14%</w:t>
            </w:r>
          </w:p>
        </w:tc>
      </w:tr>
      <w:tr w:rsidR="00980F16" w:rsidRPr="008174EF" w14:paraId="48E79756" w14:textId="77777777" w:rsidTr="00A81C88">
        <w:trPr>
          <w:trHeight w:val="234"/>
          <w:jc w:val="center"/>
        </w:trPr>
        <w:tc>
          <w:tcPr>
            <w:tcW w:w="4028" w:type="dxa"/>
            <w:shd w:val="clear" w:color="auto" w:fill="auto"/>
            <w:noWrap/>
            <w:vAlign w:val="bottom"/>
            <w:hideMark/>
          </w:tcPr>
          <w:p w14:paraId="0E77A702" w14:textId="77777777" w:rsidR="00980F16" w:rsidRPr="008174EF" w:rsidRDefault="00980F16" w:rsidP="00980F16">
            <w:pPr>
              <w:widowControl/>
              <w:suppressLineNumbers w:val="0"/>
              <w:suppressAutoHyphens w:val="0"/>
              <w:ind w:firstLine="0"/>
              <w:jc w:val="left"/>
              <w:rPr>
                <w:b/>
                <w:bCs/>
                <w:sz w:val="20"/>
              </w:rPr>
            </w:pPr>
            <w:r w:rsidRPr="008174EF">
              <w:rPr>
                <w:b/>
                <w:bCs/>
                <w:sz w:val="20"/>
              </w:rPr>
              <w:t>Superávit/(Déficit) do Exercício</w:t>
            </w:r>
          </w:p>
        </w:tc>
        <w:tc>
          <w:tcPr>
            <w:tcW w:w="834" w:type="dxa"/>
            <w:shd w:val="clear" w:color="auto" w:fill="auto"/>
            <w:noWrap/>
            <w:vAlign w:val="center"/>
            <w:hideMark/>
          </w:tcPr>
          <w:p w14:paraId="1F4EAD14"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(1.148)</w:t>
            </w:r>
          </w:p>
        </w:tc>
        <w:tc>
          <w:tcPr>
            <w:tcW w:w="766" w:type="dxa"/>
            <w:shd w:val="clear" w:color="auto" w:fill="auto"/>
            <w:noWrap/>
            <w:vAlign w:val="center"/>
            <w:hideMark/>
          </w:tcPr>
          <w:p w14:paraId="2852A6B3"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22</w:t>
            </w:r>
          </w:p>
        </w:tc>
        <w:tc>
          <w:tcPr>
            <w:tcW w:w="875" w:type="dxa"/>
            <w:shd w:val="clear" w:color="auto" w:fill="auto"/>
            <w:noWrap/>
            <w:vAlign w:val="center"/>
            <w:hideMark/>
          </w:tcPr>
          <w:p w14:paraId="05D1E331"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(213)</w:t>
            </w:r>
          </w:p>
        </w:tc>
        <w:tc>
          <w:tcPr>
            <w:tcW w:w="875" w:type="dxa"/>
            <w:shd w:val="clear" w:color="auto" w:fill="auto"/>
            <w:noWrap/>
            <w:vAlign w:val="center"/>
            <w:hideMark/>
          </w:tcPr>
          <w:p w14:paraId="60059130" w14:textId="77777777" w:rsidR="00980F16" w:rsidRPr="008174EF" w:rsidRDefault="00980F16" w:rsidP="00980F16">
            <w:pPr>
              <w:widowControl/>
              <w:suppressLineNumbers w:val="0"/>
              <w:suppressAutoHyphens w:val="0"/>
              <w:ind w:firstLine="0"/>
              <w:jc w:val="right"/>
              <w:rPr>
                <w:b/>
                <w:bCs/>
                <w:sz w:val="20"/>
                <w:u w:val="single"/>
              </w:rPr>
            </w:pPr>
            <w:r w:rsidRPr="008174EF">
              <w:rPr>
                <w:b/>
                <w:bCs/>
                <w:sz w:val="20"/>
                <w:u w:val="single"/>
              </w:rPr>
              <w:t>1.448</w:t>
            </w:r>
          </w:p>
        </w:tc>
        <w:tc>
          <w:tcPr>
            <w:tcW w:w="990" w:type="dxa"/>
            <w:shd w:val="clear" w:color="auto" w:fill="auto"/>
            <w:noWrap/>
            <w:vAlign w:val="center"/>
            <w:hideMark/>
          </w:tcPr>
          <w:p w14:paraId="509FB5BA" w14:textId="77777777" w:rsidR="00980F16" w:rsidRPr="008174EF" w:rsidRDefault="00980F16" w:rsidP="00980F16">
            <w:pPr>
              <w:widowControl/>
              <w:suppressLineNumbers w:val="0"/>
              <w:suppressAutoHyphens w:val="0"/>
              <w:ind w:firstLine="0"/>
              <w:jc w:val="right"/>
              <w:rPr>
                <w:b/>
                <w:bCs/>
                <w:sz w:val="20"/>
              </w:rPr>
            </w:pPr>
            <w:r w:rsidRPr="008174EF">
              <w:rPr>
                <w:b/>
                <w:bCs/>
                <w:sz w:val="20"/>
              </w:rPr>
              <w:t>0,20%</w:t>
            </w:r>
          </w:p>
        </w:tc>
        <w:tc>
          <w:tcPr>
            <w:tcW w:w="1107" w:type="dxa"/>
            <w:shd w:val="clear" w:color="auto" w:fill="auto"/>
            <w:noWrap/>
            <w:vAlign w:val="center"/>
            <w:hideMark/>
          </w:tcPr>
          <w:p w14:paraId="1A0B91DD" w14:textId="77777777" w:rsidR="00980F16" w:rsidRPr="008174EF" w:rsidRDefault="00980F16" w:rsidP="00980F16">
            <w:pPr>
              <w:widowControl/>
              <w:suppressLineNumbers w:val="0"/>
              <w:suppressAutoHyphens w:val="0"/>
              <w:ind w:firstLine="0"/>
              <w:jc w:val="right"/>
              <w:rPr>
                <w:b/>
                <w:bCs/>
                <w:sz w:val="20"/>
              </w:rPr>
            </w:pPr>
            <w:r w:rsidRPr="008174EF">
              <w:rPr>
                <w:b/>
                <w:bCs/>
                <w:sz w:val="20"/>
              </w:rPr>
              <w:t>-226,14%</w:t>
            </w:r>
          </w:p>
        </w:tc>
      </w:tr>
    </w:tbl>
    <w:p w14:paraId="77A5A617" w14:textId="77777777" w:rsidR="00980F16" w:rsidRPr="008174EF" w:rsidRDefault="00980F16" w:rsidP="00410480">
      <w:pPr>
        <w:widowControl/>
        <w:suppressLineNumbers w:val="0"/>
        <w:shd w:val="clear" w:color="auto" w:fill="FFFFFF"/>
        <w:suppressAutoHyphens w:val="0"/>
        <w:ind w:firstLine="0"/>
        <w:rPr>
          <w:rFonts w:eastAsia="Calibri"/>
          <w:sz w:val="20"/>
          <w:szCs w:val="22"/>
          <w:lang w:eastAsia="en-US"/>
        </w:rPr>
      </w:pPr>
      <w:r w:rsidRPr="008174EF">
        <w:rPr>
          <w:rFonts w:eastAsia="Calibri"/>
          <w:sz w:val="20"/>
          <w:szCs w:val="22"/>
          <w:lang w:eastAsia="en-US"/>
        </w:rPr>
        <w:t>Fonte: Dados da pesquisa (2019).</w:t>
      </w:r>
    </w:p>
    <w:p w14:paraId="08D87A8A" w14:textId="77777777" w:rsidR="00592DFF" w:rsidRDefault="00592DFF" w:rsidP="00410480">
      <w:pPr>
        <w:widowControl/>
        <w:suppressLineNumbers w:val="0"/>
        <w:shd w:val="clear" w:color="auto" w:fill="FFFFFF"/>
        <w:suppressAutoHyphens w:val="0"/>
        <w:rPr>
          <w:rFonts w:eastAsia="Calibri"/>
          <w:szCs w:val="24"/>
          <w:lang w:eastAsia="en-US"/>
        </w:rPr>
      </w:pPr>
    </w:p>
    <w:p w14:paraId="763ACFFD" w14:textId="6A70EA46" w:rsidR="00980F16" w:rsidRPr="008174EF" w:rsidRDefault="00980F16" w:rsidP="00410480">
      <w:pPr>
        <w:widowControl/>
        <w:suppressLineNumbers w:val="0"/>
        <w:shd w:val="clear" w:color="auto" w:fill="FFFFFF"/>
        <w:suppressAutoHyphens w:val="0"/>
        <w:rPr>
          <w:rFonts w:eastAsia="Calibri"/>
          <w:szCs w:val="24"/>
          <w:lang w:eastAsia="en-US"/>
        </w:rPr>
      </w:pPr>
      <w:r w:rsidRPr="008174EF">
        <w:rPr>
          <w:rFonts w:eastAsia="Calibri"/>
          <w:szCs w:val="24"/>
          <w:lang w:eastAsia="en-US"/>
        </w:rPr>
        <w:t>No período ocorreu o crescimento das Contraprestações Efetivas no valor de 51,82%. Esse crescimento foi em virtude do aumento do número de beneficiários e dos preços dos planos de saúde comercializados. Os Eventos Indenizáveis Líquidos, que representam os custos dos serviços de saúde</w:t>
      </w:r>
      <w:r w:rsidR="00A81C88">
        <w:rPr>
          <w:rFonts w:eastAsia="Calibri"/>
          <w:szCs w:val="24"/>
          <w:lang w:eastAsia="en-US"/>
        </w:rPr>
        <w:t xml:space="preserve"> (81,57%)</w:t>
      </w:r>
      <w:r w:rsidRPr="008174EF">
        <w:rPr>
          <w:rFonts w:eastAsia="Calibri"/>
          <w:szCs w:val="24"/>
          <w:lang w:eastAsia="en-US"/>
        </w:rPr>
        <w:t>, tiveram crescimento de 29,05%. Esse crescimento está relacionado, principalmente, ao custo das cirurgias de alta complexidade, enquanto os custos de consultas, exames e terapias mantiveram-se estáveis no período. Constata-se que o crescimento das receitas foi superior aos custos dos serviços prestados, revelando uma situação favorável para a operadora.</w:t>
      </w:r>
    </w:p>
    <w:p w14:paraId="494A11CC" w14:textId="591C2C15" w:rsidR="00980F16" w:rsidRPr="008174EF" w:rsidRDefault="00980F16" w:rsidP="00410480">
      <w:pPr>
        <w:widowControl/>
        <w:suppressLineNumbers w:val="0"/>
        <w:shd w:val="clear" w:color="auto" w:fill="FFFFFF"/>
        <w:suppressAutoHyphens w:val="0"/>
        <w:rPr>
          <w:rFonts w:eastAsia="Calibri"/>
          <w:szCs w:val="24"/>
          <w:lang w:eastAsia="en-US"/>
        </w:rPr>
      </w:pPr>
      <w:r w:rsidRPr="008174EF">
        <w:rPr>
          <w:rFonts w:eastAsia="Calibri"/>
          <w:szCs w:val="24"/>
          <w:lang w:eastAsia="en-US"/>
        </w:rPr>
        <w:t>Na Demonstração de Resultado do período destacam-se também</w:t>
      </w:r>
      <w:r w:rsidR="009C7342" w:rsidRPr="008174EF">
        <w:rPr>
          <w:rFonts w:eastAsia="Calibri"/>
          <w:szCs w:val="24"/>
          <w:lang w:eastAsia="en-US"/>
        </w:rPr>
        <w:t>, no quadriênio,</w:t>
      </w:r>
      <w:r w:rsidRPr="008174EF">
        <w:rPr>
          <w:rFonts w:eastAsia="Calibri"/>
          <w:szCs w:val="24"/>
          <w:lang w:eastAsia="en-US"/>
        </w:rPr>
        <w:t xml:space="preserve"> as contas Despesas Administrativas (15,06%) e Outras Despesas Operacionais com Plano de Assistência à Saúde (8,40%). As Despesas Administrativas cresceram 8,88% ao longo do período e representam os gastos com salários e encargos, pagamentos com fornecedores, comissões de vendas. Esse crescimento foi devido à ampliação da área de abrangência comercial com a contratação de fornecedores, funcionários e aluguel de salas para atendimento dos beneficiários. </w:t>
      </w:r>
    </w:p>
    <w:p w14:paraId="3999A6BC" w14:textId="77777777" w:rsidR="00980F16" w:rsidRPr="008174EF" w:rsidRDefault="00980F16" w:rsidP="00410480">
      <w:pPr>
        <w:widowControl/>
        <w:suppressLineNumbers w:val="0"/>
        <w:shd w:val="clear" w:color="auto" w:fill="FFFFFF"/>
        <w:suppressAutoHyphens w:val="0"/>
        <w:rPr>
          <w:rFonts w:eastAsia="Calibri"/>
          <w:szCs w:val="24"/>
          <w:lang w:eastAsia="en-US"/>
        </w:rPr>
      </w:pPr>
      <w:r w:rsidRPr="008174EF">
        <w:rPr>
          <w:rFonts w:eastAsia="Calibri"/>
          <w:szCs w:val="24"/>
          <w:lang w:eastAsia="en-US"/>
        </w:rPr>
        <w:t xml:space="preserve">A conta Outras Despesas Operacionais contempla os gastos com fornecedores de serviços médicos que não estavam credenciados pela operadora, principalmente devido à nova área de atuação comercial da operadora. Além disso, nessa conta são reconhecidas as devoluções das mensalidades pelo cancelamento de planos de saúde, principalmente dos novos beneficiários advindos da política de expansão comercial, com a justificativa da ausência de rede credenciada na prestação de serviços de saúde. No período, essas despesas diminuíram em 66,84%, pois foi cancelada a política de expansão comercial, o que, por consequência, fez reduzir os gastos com serviços não credenciados e com devolução de mensalidades. </w:t>
      </w:r>
    </w:p>
    <w:p w14:paraId="569E5C27" w14:textId="1F2D670E" w:rsidR="00980F16" w:rsidRPr="008174EF" w:rsidRDefault="00980F16" w:rsidP="00410480">
      <w:pPr>
        <w:widowControl/>
        <w:suppressLineNumbers w:val="0"/>
        <w:shd w:val="clear" w:color="auto" w:fill="FFFFFF"/>
        <w:suppressAutoHyphens w:val="0"/>
        <w:ind w:firstLine="0"/>
        <w:rPr>
          <w:rFonts w:eastAsia="Calibri"/>
          <w:szCs w:val="22"/>
          <w:lang w:eastAsia="en-US"/>
        </w:rPr>
      </w:pPr>
      <w:r w:rsidRPr="008174EF">
        <w:rPr>
          <w:rFonts w:eastAsia="Calibri"/>
          <w:szCs w:val="22"/>
          <w:lang w:eastAsia="en-US"/>
        </w:rPr>
        <w:tab/>
        <w:t>Os resultados dos exercícios apresentaram significativas oscilações no período. Nos anos de 2015 e 2017 ocorreram déficits, enquanto nos anos de 2016 e 2018</w:t>
      </w:r>
      <w:r w:rsidR="009C7342" w:rsidRPr="008174EF">
        <w:rPr>
          <w:rFonts w:eastAsia="Calibri"/>
          <w:szCs w:val="22"/>
          <w:lang w:eastAsia="en-US"/>
        </w:rPr>
        <w:t>,</w:t>
      </w:r>
      <w:r w:rsidRPr="008174EF">
        <w:rPr>
          <w:rFonts w:eastAsia="Calibri"/>
          <w:szCs w:val="22"/>
          <w:lang w:eastAsia="en-US"/>
        </w:rPr>
        <w:t xml:space="preserve"> a Operadora </w:t>
      </w:r>
      <w:r w:rsidR="009C7342" w:rsidRPr="008174EF">
        <w:rPr>
          <w:rFonts w:eastAsia="Calibri"/>
          <w:szCs w:val="22"/>
          <w:lang w:eastAsia="en-US"/>
        </w:rPr>
        <w:t xml:space="preserve">Alfa </w:t>
      </w:r>
      <w:r w:rsidRPr="008174EF">
        <w:rPr>
          <w:rFonts w:eastAsia="Calibri"/>
          <w:szCs w:val="22"/>
          <w:lang w:eastAsia="en-US"/>
        </w:rPr>
        <w:t xml:space="preserve">obteve superávits. Os déficits do período foram ocasionados principalmente por gastos elevados registrados na conta de custos com Eventos Conhecidos ou Avisados (80,75%) e na conta de Despesas Administrativas (15,06%). </w:t>
      </w:r>
    </w:p>
    <w:p w14:paraId="7212AD50" w14:textId="77777777" w:rsidR="00E47099" w:rsidRDefault="00980F16" w:rsidP="00FA7C34">
      <w:pPr>
        <w:widowControl/>
        <w:suppressLineNumbers w:val="0"/>
        <w:shd w:val="clear" w:color="auto" w:fill="FFFFFF"/>
        <w:suppressAutoHyphens w:val="0"/>
        <w:rPr>
          <w:rFonts w:eastAsia="Calibri"/>
          <w:szCs w:val="22"/>
          <w:lang w:eastAsia="en-US"/>
        </w:rPr>
      </w:pPr>
      <w:r w:rsidRPr="008174EF">
        <w:rPr>
          <w:rFonts w:eastAsia="Calibri"/>
          <w:szCs w:val="22"/>
          <w:lang w:eastAsia="en-US"/>
        </w:rPr>
        <w:t xml:space="preserve">A partir dos déficits acumulados, no ano de 2018 foram realizadas ações gerenciais para melhoria do resultado organizacional, com destaque para: a) redução no quadro de funcionários; b) contratação de consultoria de gestão; c) reorganização do modelo de gestão; d) cancelamento de contratos de prestação de serviços; e) implantação do setor de cobrança; f) cancelamento da expansão  comercial e g) cancelamento de alguns contratos de plano de saúde do tipo Coletivo por Adesão na forma de pós-pagamento. Com essas ações gerenciais, a Operadora </w:t>
      </w:r>
      <w:r w:rsidR="009C7342" w:rsidRPr="008174EF">
        <w:rPr>
          <w:rFonts w:eastAsia="Calibri"/>
          <w:szCs w:val="22"/>
          <w:lang w:eastAsia="en-US"/>
        </w:rPr>
        <w:t xml:space="preserve">Alfa </w:t>
      </w:r>
      <w:r w:rsidRPr="008174EF">
        <w:rPr>
          <w:rFonts w:eastAsia="Calibri"/>
          <w:szCs w:val="22"/>
          <w:lang w:eastAsia="en-US"/>
        </w:rPr>
        <w:t>obteve um lucro de R$ 1.448 (milhões) com margem de lucro de 8,60%, além de melhoria no processo de gestão e nos indicadores econômico-financeiros.</w:t>
      </w:r>
      <w:r w:rsidR="00FA7C34" w:rsidRPr="008174EF">
        <w:rPr>
          <w:rFonts w:eastAsia="Calibri"/>
          <w:szCs w:val="22"/>
          <w:lang w:eastAsia="en-US"/>
        </w:rPr>
        <w:t xml:space="preserve"> </w:t>
      </w:r>
    </w:p>
    <w:p w14:paraId="48CDB5A8" w14:textId="194B1FE1" w:rsidR="00980F16" w:rsidRPr="008174EF" w:rsidRDefault="00980F16" w:rsidP="00FA7C34">
      <w:pPr>
        <w:widowControl/>
        <w:suppressLineNumbers w:val="0"/>
        <w:shd w:val="clear" w:color="auto" w:fill="FFFFFF"/>
        <w:suppressAutoHyphens w:val="0"/>
        <w:rPr>
          <w:rFonts w:eastAsia="Calibri"/>
          <w:szCs w:val="24"/>
          <w:lang w:eastAsia="en-US"/>
        </w:rPr>
      </w:pPr>
      <w:r w:rsidRPr="008174EF">
        <w:rPr>
          <w:rFonts w:eastAsia="Calibri"/>
          <w:szCs w:val="24"/>
          <w:lang w:eastAsia="en-US"/>
        </w:rPr>
        <w:lastRenderedPageBreak/>
        <w:t xml:space="preserve">A Tabela </w:t>
      </w:r>
      <w:r w:rsidR="00102445" w:rsidRPr="008174EF">
        <w:rPr>
          <w:rFonts w:eastAsia="Calibri"/>
          <w:szCs w:val="24"/>
          <w:lang w:eastAsia="en-US"/>
        </w:rPr>
        <w:t>5</w:t>
      </w:r>
      <w:r w:rsidRPr="008174EF">
        <w:rPr>
          <w:rFonts w:eastAsia="Calibri"/>
          <w:szCs w:val="24"/>
          <w:lang w:eastAsia="en-US"/>
        </w:rPr>
        <w:t xml:space="preserve"> apresenta os indicadores de liquidez da Operadora Alfa.</w:t>
      </w:r>
    </w:p>
    <w:p w14:paraId="743724E0" w14:textId="77777777" w:rsidR="009C7342" w:rsidRPr="008174EF" w:rsidRDefault="009C7342" w:rsidP="00FA7C34">
      <w:pPr>
        <w:widowControl/>
        <w:suppressLineNumbers w:val="0"/>
        <w:shd w:val="clear" w:color="auto" w:fill="FFFFFF"/>
        <w:suppressAutoHyphens w:val="0"/>
        <w:rPr>
          <w:rFonts w:eastAsia="Calibri"/>
          <w:szCs w:val="22"/>
          <w:highlight w:val="yellow"/>
          <w:lang w:eastAsia="en-US"/>
        </w:rPr>
      </w:pPr>
    </w:p>
    <w:p w14:paraId="2E8B18C2" w14:textId="33E39918" w:rsidR="00980F16" w:rsidRPr="008174EF" w:rsidRDefault="00980F16" w:rsidP="00980F16">
      <w:pPr>
        <w:widowControl/>
        <w:suppressLineNumbers w:val="0"/>
        <w:shd w:val="clear" w:color="auto" w:fill="FFFFFF"/>
        <w:suppressAutoHyphens w:val="0"/>
        <w:ind w:firstLine="0"/>
        <w:rPr>
          <w:rFonts w:eastAsia="Calibri"/>
          <w:b/>
          <w:szCs w:val="22"/>
          <w:lang w:eastAsia="en-US"/>
        </w:rPr>
      </w:pPr>
      <w:r w:rsidRPr="008174EF">
        <w:rPr>
          <w:rFonts w:eastAsia="Calibri"/>
          <w:b/>
          <w:szCs w:val="22"/>
          <w:lang w:eastAsia="en-US"/>
        </w:rPr>
        <w:t xml:space="preserve">Tabela </w:t>
      </w:r>
      <w:r w:rsidR="00102445" w:rsidRPr="008174EF">
        <w:rPr>
          <w:rFonts w:eastAsia="Calibri"/>
          <w:b/>
          <w:szCs w:val="22"/>
          <w:lang w:eastAsia="en-US"/>
        </w:rPr>
        <w:t>5</w:t>
      </w:r>
      <w:r w:rsidRPr="008174EF">
        <w:rPr>
          <w:rFonts w:eastAsia="Calibri"/>
          <w:b/>
          <w:szCs w:val="22"/>
          <w:lang w:eastAsia="en-US"/>
        </w:rPr>
        <w:t xml:space="preserve"> – Indicadores de Liquidez</w:t>
      </w:r>
    </w:p>
    <w:tbl>
      <w:tblPr>
        <w:tblW w:w="5000" w:type="pct"/>
        <w:tblCellMar>
          <w:left w:w="70" w:type="dxa"/>
          <w:right w:w="70" w:type="dxa"/>
        </w:tblCellMar>
        <w:tblLook w:val="04A0" w:firstRow="1" w:lastRow="0" w:firstColumn="1" w:lastColumn="0" w:noHBand="0" w:noVBand="1"/>
      </w:tblPr>
      <w:tblGrid>
        <w:gridCol w:w="5009"/>
        <w:gridCol w:w="1059"/>
        <w:gridCol w:w="1213"/>
        <w:gridCol w:w="1063"/>
        <w:gridCol w:w="1061"/>
      </w:tblGrid>
      <w:tr w:rsidR="00980F16" w:rsidRPr="008174EF" w14:paraId="09AF39DA" w14:textId="77777777" w:rsidTr="00BE3AF0">
        <w:trPr>
          <w:trHeight w:val="286"/>
        </w:trPr>
        <w:tc>
          <w:tcPr>
            <w:tcW w:w="2663" w:type="pct"/>
            <w:tcBorders>
              <w:top w:val="single" w:sz="4" w:space="0" w:color="auto"/>
              <w:left w:val="nil"/>
              <w:bottom w:val="single" w:sz="4" w:space="0" w:color="auto"/>
              <w:right w:val="single" w:sz="4" w:space="0" w:color="auto"/>
            </w:tcBorders>
            <w:shd w:val="clear" w:color="auto" w:fill="auto"/>
            <w:vAlign w:val="bottom"/>
            <w:hideMark/>
          </w:tcPr>
          <w:p w14:paraId="29418466" w14:textId="77777777" w:rsidR="00980F16" w:rsidRPr="008174EF" w:rsidRDefault="00980F16" w:rsidP="00980F16">
            <w:pPr>
              <w:widowControl/>
              <w:suppressLineNumbers w:val="0"/>
              <w:suppressAutoHyphens w:val="0"/>
              <w:ind w:firstLine="0"/>
              <w:jc w:val="left"/>
              <w:rPr>
                <w:b/>
                <w:bCs/>
                <w:sz w:val="20"/>
              </w:rPr>
            </w:pPr>
            <w:r w:rsidRPr="008174EF">
              <w:rPr>
                <w:b/>
                <w:bCs/>
                <w:sz w:val="20"/>
              </w:rPr>
              <w:t>Indicadores</w:t>
            </w:r>
          </w:p>
        </w:tc>
        <w:tc>
          <w:tcPr>
            <w:tcW w:w="563" w:type="pct"/>
            <w:tcBorders>
              <w:top w:val="single" w:sz="4" w:space="0" w:color="auto"/>
              <w:left w:val="nil"/>
              <w:bottom w:val="single" w:sz="4" w:space="0" w:color="auto"/>
              <w:right w:val="single" w:sz="4" w:space="0" w:color="auto"/>
            </w:tcBorders>
            <w:shd w:val="clear" w:color="auto" w:fill="auto"/>
            <w:noWrap/>
            <w:vAlign w:val="bottom"/>
            <w:hideMark/>
          </w:tcPr>
          <w:p w14:paraId="51810031"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2015</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5CF1280C"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2016</w:t>
            </w:r>
          </w:p>
        </w:tc>
        <w:tc>
          <w:tcPr>
            <w:tcW w:w="565" w:type="pct"/>
            <w:tcBorders>
              <w:top w:val="single" w:sz="4" w:space="0" w:color="auto"/>
              <w:left w:val="nil"/>
              <w:bottom w:val="single" w:sz="4" w:space="0" w:color="auto"/>
              <w:right w:val="single" w:sz="4" w:space="0" w:color="auto"/>
            </w:tcBorders>
            <w:shd w:val="clear" w:color="auto" w:fill="auto"/>
            <w:noWrap/>
            <w:vAlign w:val="bottom"/>
            <w:hideMark/>
          </w:tcPr>
          <w:p w14:paraId="2A9A42CE"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2017</w:t>
            </w:r>
          </w:p>
        </w:tc>
        <w:tc>
          <w:tcPr>
            <w:tcW w:w="564" w:type="pct"/>
            <w:tcBorders>
              <w:top w:val="single" w:sz="4" w:space="0" w:color="auto"/>
              <w:left w:val="nil"/>
              <w:bottom w:val="single" w:sz="4" w:space="0" w:color="auto"/>
              <w:right w:val="nil"/>
            </w:tcBorders>
            <w:shd w:val="clear" w:color="auto" w:fill="auto"/>
            <w:noWrap/>
            <w:vAlign w:val="bottom"/>
            <w:hideMark/>
          </w:tcPr>
          <w:p w14:paraId="7B01A8A2"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2018</w:t>
            </w:r>
          </w:p>
        </w:tc>
      </w:tr>
      <w:tr w:rsidR="00980F16" w:rsidRPr="008174EF" w14:paraId="3882B4FA" w14:textId="77777777" w:rsidTr="00BE3AF0">
        <w:trPr>
          <w:trHeight w:val="260"/>
        </w:trPr>
        <w:tc>
          <w:tcPr>
            <w:tcW w:w="2663" w:type="pct"/>
            <w:tcBorders>
              <w:top w:val="nil"/>
              <w:left w:val="nil"/>
              <w:bottom w:val="nil"/>
              <w:right w:val="nil"/>
            </w:tcBorders>
            <w:shd w:val="clear" w:color="auto" w:fill="auto"/>
            <w:noWrap/>
            <w:vAlign w:val="center"/>
            <w:hideMark/>
          </w:tcPr>
          <w:p w14:paraId="224B225C" w14:textId="77777777" w:rsidR="00980F16" w:rsidRPr="008174EF" w:rsidRDefault="00980F16" w:rsidP="00980F16">
            <w:pPr>
              <w:widowControl/>
              <w:suppressLineNumbers w:val="0"/>
              <w:suppressAutoHyphens w:val="0"/>
              <w:ind w:firstLine="0"/>
              <w:jc w:val="left"/>
              <w:rPr>
                <w:sz w:val="20"/>
              </w:rPr>
            </w:pPr>
            <w:r w:rsidRPr="008174EF">
              <w:rPr>
                <w:sz w:val="20"/>
              </w:rPr>
              <w:t>Liquidez Imediata (LI)</w:t>
            </w:r>
          </w:p>
        </w:tc>
        <w:tc>
          <w:tcPr>
            <w:tcW w:w="563" w:type="pct"/>
            <w:tcBorders>
              <w:top w:val="nil"/>
              <w:left w:val="nil"/>
              <w:bottom w:val="nil"/>
              <w:right w:val="nil"/>
            </w:tcBorders>
            <w:shd w:val="clear" w:color="auto" w:fill="auto"/>
            <w:vAlign w:val="center"/>
            <w:hideMark/>
          </w:tcPr>
          <w:p w14:paraId="3771E5CF" w14:textId="77777777" w:rsidR="00980F16" w:rsidRPr="008174EF" w:rsidRDefault="00980F16" w:rsidP="00980F16">
            <w:pPr>
              <w:widowControl/>
              <w:suppressLineNumbers w:val="0"/>
              <w:suppressAutoHyphens w:val="0"/>
              <w:ind w:firstLine="0"/>
              <w:jc w:val="center"/>
              <w:rPr>
                <w:sz w:val="20"/>
              </w:rPr>
            </w:pPr>
            <w:r w:rsidRPr="008174EF">
              <w:rPr>
                <w:sz w:val="20"/>
              </w:rPr>
              <w:t>0,05</w:t>
            </w:r>
          </w:p>
        </w:tc>
        <w:tc>
          <w:tcPr>
            <w:tcW w:w="645" w:type="pct"/>
            <w:tcBorders>
              <w:top w:val="nil"/>
              <w:left w:val="nil"/>
              <w:bottom w:val="nil"/>
              <w:right w:val="nil"/>
            </w:tcBorders>
            <w:shd w:val="clear" w:color="auto" w:fill="auto"/>
            <w:vAlign w:val="center"/>
            <w:hideMark/>
          </w:tcPr>
          <w:p w14:paraId="278A0D7E" w14:textId="77777777" w:rsidR="00980F16" w:rsidRPr="008174EF" w:rsidRDefault="00980F16" w:rsidP="00980F16">
            <w:pPr>
              <w:widowControl/>
              <w:suppressLineNumbers w:val="0"/>
              <w:suppressAutoHyphens w:val="0"/>
              <w:ind w:firstLine="0"/>
              <w:jc w:val="center"/>
              <w:rPr>
                <w:sz w:val="20"/>
              </w:rPr>
            </w:pPr>
            <w:r w:rsidRPr="008174EF">
              <w:rPr>
                <w:sz w:val="20"/>
              </w:rPr>
              <w:t>0,01</w:t>
            </w:r>
          </w:p>
        </w:tc>
        <w:tc>
          <w:tcPr>
            <w:tcW w:w="565" w:type="pct"/>
            <w:tcBorders>
              <w:top w:val="nil"/>
              <w:left w:val="nil"/>
              <w:bottom w:val="nil"/>
              <w:right w:val="nil"/>
            </w:tcBorders>
            <w:shd w:val="clear" w:color="auto" w:fill="auto"/>
            <w:vAlign w:val="center"/>
            <w:hideMark/>
          </w:tcPr>
          <w:p w14:paraId="763465B3" w14:textId="77777777" w:rsidR="00980F16" w:rsidRPr="008174EF" w:rsidRDefault="00980F16" w:rsidP="00980F16">
            <w:pPr>
              <w:widowControl/>
              <w:suppressLineNumbers w:val="0"/>
              <w:suppressAutoHyphens w:val="0"/>
              <w:ind w:firstLine="0"/>
              <w:jc w:val="center"/>
              <w:rPr>
                <w:sz w:val="20"/>
              </w:rPr>
            </w:pPr>
            <w:r w:rsidRPr="008174EF">
              <w:rPr>
                <w:sz w:val="20"/>
              </w:rPr>
              <w:t>0,00</w:t>
            </w:r>
          </w:p>
        </w:tc>
        <w:tc>
          <w:tcPr>
            <w:tcW w:w="564" w:type="pct"/>
            <w:tcBorders>
              <w:top w:val="nil"/>
              <w:left w:val="nil"/>
              <w:bottom w:val="nil"/>
              <w:right w:val="nil"/>
            </w:tcBorders>
            <w:shd w:val="clear" w:color="auto" w:fill="auto"/>
            <w:vAlign w:val="center"/>
            <w:hideMark/>
          </w:tcPr>
          <w:p w14:paraId="532E7671" w14:textId="77777777" w:rsidR="00980F16" w:rsidRPr="008174EF" w:rsidRDefault="00980F16" w:rsidP="00980F16">
            <w:pPr>
              <w:widowControl/>
              <w:suppressLineNumbers w:val="0"/>
              <w:suppressAutoHyphens w:val="0"/>
              <w:ind w:firstLine="0"/>
              <w:jc w:val="center"/>
              <w:rPr>
                <w:sz w:val="20"/>
              </w:rPr>
            </w:pPr>
            <w:r w:rsidRPr="008174EF">
              <w:rPr>
                <w:sz w:val="20"/>
              </w:rPr>
              <w:t>0,00</w:t>
            </w:r>
          </w:p>
        </w:tc>
      </w:tr>
      <w:tr w:rsidR="00980F16" w:rsidRPr="008174EF" w14:paraId="1FDFB18D" w14:textId="77777777" w:rsidTr="00BE3AF0">
        <w:trPr>
          <w:trHeight w:val="260"/>
        </w:trPr>
        <w:tc>
          <w:tcPr>
            <w:tcW w:w="2663" w:type="pct"/>
            <w:tcBorders>
              <w:top w:val="nil"/>
              <w:left w:val="nil"/>
              <w:bottom w:val="nil"/>
              <w:right w:val="nil"/>
            </w:tcBorders>
            <w:shd w:val="clear" w:color="auto" w:fill="auto"/>
            <w:noWrap/>
            <w:vAlign w:val="center"/>
            <w:hideMark/>
          </w:tcPr>
          <w:p w14:paraId="0965B231" w14:textId="77777777" w:rsidR="00980F16" w:rsidRPr="008174EF" w:rsidRDefault="00980F16" w:rsidP="00980F16">
            <w:pPr>
              <w:widowControl/>
              <w:suppressLineNumbers w:val="0"/>
              <w:suppressAutoHyphens w:val="0"/>
              <w:ind w:firstLine="0"/>
              <w:jc w:val="left"/>
              <w:rPr>
                <w:sz w:val="20"/>
              </w:rPr>
            </w:pPr>
            <w:r w:rsidRPr="008174EF">
              <w:rPr>
                <w:sz w:val="20"/>
              </w:rPr>
              <w:t>Liquidez Corrente (LC)</w:t>
            </w:r>
          </w:p>
        </w:tc>
        <w:tc>
          <w:tcPr>
            <w:tcW w:w="563" w:type="pct"/>
            <w:tcBorders>
              <w:top w:val="nil"/>
              <w:left w:val="nil"/>
              <w:bottom w:val="nil"/>
              <w:right w:val="nil"/>
            </w:tcBorders>
            <w:shd w:val="clear" w:color="auto" w:fill="auto"/>
            <w:vAlign w:val="center"/>
            <w:hideMark/>
          </w:tcPr>
          <w:p w14:paraId="1D71AD56" w14:textId="77777777" w:rsidR="00980F16" w:rsidRPr="008174EF" w:rsidRDefault="00980F16" w:rsidP="00980F16">
            <w:pPr>
              <w:widowControl/>
              <w:suppressLineNumbers w:val="0"/>
              <w:suppressAutoHyphens w:val="0"/>
              <w:ind w:firstLine="0"/>
              <w:jc w:val="center"/>
              <w:rPr>
                <w:sz w:val="20"/>
              </w:rPr>
            </w:pPr>
            <w:r w:rsidRPr="008174EF">
              <w:rPr>
                <w:sz w:val="20"/>
              </w:rPr>
              <w:t>0,95</w:t>
            </w:r>
          </w:p>
        </w:tc>
        <w:tc>
          <w:tcPr>
            <w:tcW w:w="645" w:type="pct"/>
            <w:tcBorders>
              <w:top w:val="nil"/>
              <w:left w:val="nil"/>
              <w:bottom w:val="nil"/>
              <w:right w:val="nil"/>
            </w:tcBorders>
            <w:shd w:val="clear" w:color="auto" w:fill="auto"/>
            <w:vAlign w:val="center"/>
            <w:hideMark/>
          </w:tcPr>
          <w:p w14:paraId="2D13842D" w14:textId="77777777" w:rsidR="00980F16" w:rsidRPr="008174EF" w:rsidRDefault="00980F16" w:rsidP="00980F16">
            <w:pPr>
              <w:widowControl/>
              <w:suppressLineNumbers w:val="0"/>
              <w:suppressAutoHyphens w:val="0"/>
              <w:ind w:firstLine="0"/>
              <w:jc w:val="center"/>
              <w:rPr>
                <w:sz w:val="20"/>
              </w:rPr>
            </w:pPr>
            <w:r w:rsidRPr="008174EF">
              <w:rPr>
                <w:sz w:val="20"/>
              </w:rPr>
              <w:t>0,95</w:t>
            </w:r>
          </w:p>
        </w:tc>
        <w:tc>
          <w:tcPr>
            <w:tcW w:w="565" w:type="pct"/>
            <w:tcBorders>
              <w:top w:val="nil"/>
              <w:left w:val="nil"/>
              <w:bottom w:val="nil"/>
              <w:right w:val="nil"/>
            </w:tcBorders>
            <w:shd w:val="clear" w:color="auto" w:fill="auto"/>
            <w:vAlign w:val="center"/>
            <w:hideMark/>
          </w:tcPr>
          <w:p w14:paraId="60C27435" w14:textId="77777777" w:rsidR="00980F16" w:rsidRPr="008174EF" w:rsidRDefault="00980F16" w:rsidP="00980F16">
            <w:pPr>
              <w:widowControl/>
              <w:suppressLineNumbers w:val="0"/>
              <w:suppressAutoHyphens w:val="0"/>
              <w:ind w:firstLine="0"/>
              <w:jc w:val="center"/>
              <w:rPr>
                <w:sz w:val="20"/>
              </w:rPr>
            </w:pPr>
            <w:r w:rsidRPr="008174EF">
              <w:rPr>
                <w:sz w:val="20"/>
              </w:rPr>
              <w:t>0,89</w:t>
            </w:r>
          </w:p>
        </w:tc>
        <w:tc>
          <w:tcPr>
            <w:tcW w:w="564" w:type="pct"/>
            <w:tcBorders>
              <w:top w:val="nil"/>
              <w:left w:val="nil"/>
              <w:bottom w:val="nil"/>
              <w:right w:val="nil"/>
            </w:tcBorders>
            <w:shd w:val="clear" w:color="auto" w:fill="auto"/>
            <w:vAlign w:val="center"/>
            <w:hideMark/>
          </w:tcPr>
          <w:p w14:paraId="1EF1087F" w14:textId="77777777" w:rsidR="00980F16" w:rsidRPr="008174EF" w:rsidRDefault="00980F16" w:rsidP="00980F16">
            <w:pPr>
              <w:widowControl/>
              <w:suppressLineNumbers w:val="0"/>
              <w:suppressAutoHyphens w:val="0"/>
              <w:ind w:firstLine="0"/>
              <w:jc w:val="center"/>
              <w:rPr>
                <w:sz w:val="20"/>
              </w:rPr>
            </w:pPr>
            <w:r w:rsidRPr="008174EF">
              <w:rPr>
                <w:sz w:val="20"/>
              </w:rPr>
              <w:t>1,30</w:t>
            </w:r>
          </w:p>
        </w:tc>
      </w:tr>
      <w:tr w:rsidR="00980F16" w:rsidRPr="008174EF" w14:paraId="073E2F4F" w14:textId="77777777" w:rsidTr="00BE3AF0">
        <w:trPr>
          <w:trHeight w:val="260"/>
        </w:trPr>
        <w:tc>
          <w:tcPr>
            <w:tcW w:w="2663" w:type="pct"/>
            <w:tcBorders>
              <w:top w:val="nil"/>
              <w:left w:val="nil"/>
              <w:bottom w:val="single" w:sz="4" w:space="0" w:color="auto"/>
              <w:right w:val="nil"/>
            </w:tcBorders>
            <w:shd w:val="clear" w:color="auto" w:fill="auto"/>
            <w:noWrap/>
            <w:vAlign w:val="center"/>
            <w:hideMark/>
          </w:tcPr>
          <w:p w14:paraId="63AB37A7" w14:textId="77777777" w:rsidR="00980F16" w:rsidRPr="008174EF" w:rsidRDefault="00980F16" w:rsidP="00980F16">
            <w:pPr>
              <w:widowControl/>
              <w:suppressLineNumbers w:val="0"/>
              <w:suppressAutoHyphens w:val="0"/>
              <w:ind w:firstLine="0"/>
              <w:jc w:val="left"/>
              <w:rPr>
                <w:sz w:val="20"/>
              </w:rPr>
            </w:pPr>
            <w:r w:rsidRPr="008174EF">
              <w:rPr>
                <w:sz w:val="20"/>
              </w:rPr>
              <w:t>Liquidez Geral (LG)</w:t>
            </w:r>
          </w:p>
        </w:tc>
        <w:tc>
          <w:tcPr>
            <w:tcW w:w="563" w:type="pct"/>
            <w:tcBorders>
              <w:top w:val="nil"/>
              <w:left w:val="nil"/>
              <w:bottom w:val="single" w:sz="4" w:space="0" w:color="auto"/>
              <w:right w:val="nil"/>
            </w:tcBorders>
            <w:shd w:val="clear" w:color="auto" w:fill="auto"/>
            <w:vAlign w:val="center"/>
            <w:hideMark/>
          </w:tcPr>
          <w:p w14:paraId="3A82DBCF" w14:textId="77777777" w:rsidR="00980F16" w:rsidRPr="008174EF" w:rsidRDefault="00980F16" w:rsidP="00980F16">
            <w:pPr>
              <w:widowControl/>
              <w:suppressLineNumbers w:val="0"/>
              <w:suppressAutoHyphens w:val="0"/>
              <w:ind w:firstLine="0"/>
              <w:jc w:val="center"/>
              <w:rPr>
                <w:sz w:val="20"/>
              </w:rPr>
            </w:pPr>
            <w:r w:rsidRPr="008174EF">
              <w:rPr>
                <w:sz w:val="20"/>
              </w:rPr>
              <w:t>0,96</w:t>
            </w:r>
          </w:p>
        </w:tc>
        <w:tc>
          <w:tcPr>
            <w:tcW w:w="645" w:type="pct"/>
            <w:tcBorders>
              <w:top w:val="nil"/>
              <w:left w:val="nil"/>
              <w:bottom w:val="single" w:sz="4" w:space="0" w:color="auto"/>
              <w:right w:val="nil"/>
            </w:tcBorders>
            <w:shd w:val="clear" w:color="auto" w:fill="auto"/>
            <w:vAlign w:val="center"/>
            <w:hideMark/>
          </w:tcPr>
          <w:p w14:paraId="49375B62" w14:textId="77777777" w:rsidR="00980F16" w:rsidRPr="008174EF" w:rsidRDefault="00980F16" w:rsidP="00980F16">
            <w:pPr>
              <w:widowControl/>
              <w:suppressLineNumbers w:val="0"/>
              <w:suppressAutoHyphens w:val="0"/>
              <w:ind w:firstLine="0"/>
              <w:jc w:val="center"/>
              <w:rPr>
                <w:sz w:val="20"/>
              </w:rPr>
            </w:pPr>
            <w:r w:rsidRPr="008174EF">
              <w:rPr>
                <w:sz w:val="20"/>
              </w:rPr>
              <w:t>0,95</w:t>
            </w:r>
          </w:p>
        </w:tc>
        <w:tc>
          <w:tcPr>
            <w:tcW w:w="565" w:type="pct"/>
            <w:tcBorders>
              <w:top w:val="nil"/>
              <w:left w:val="nil"/>
              <w:bottom w:val="single" w:sz="4" w:space="0" w:color="auto"/>
              <w:right w:val="nil"/>
            </w:tcBorders>
            <w:shd w:val="clear" w:color="auto" w:fill="auto"/>
            <w:vAlign w:val="center"/>
            <w:hideMark/>
          </w:tcPr>
          <w:p w14:paraId="6BB98781" w14:textId="77777777" w:rsidR="00980F16" w:rsidRPr="008174EF" w:rsidRDefault="00980F16" w:rsidP="00980F16">
            <w:pPr>
              <w:widowControl/>
              <w:suppressLineNumbers w:val="0"/>
              <w:suppressAutoHyphens w:val="0"/>
              <w:ind w:firstLine="0"/>
              <w:jc w:val="center"/>
              <w:rPr>
                <w:sz w:val="20"/>
              </w:rPr>
            </w:pPr>
            <w:r w:rsidRPr="008174EF">
              <w:rPr>
                <w:sz w:val="20"/>
              </w:rPr>
              <w:t>0,89</w:t>
            </w:r>
          </w:p>
        </w:tc>
        <w:tc>
          <w:tcPr>
            <w:tcW w:w="564" w:type="pct"/>
            <w:tcBorders>
              <w:top w:val="nil"/>
              <w:left w:val="nil"/>
              <w:bottom w:val="single" w:sz="4" w:space="0" w:color="auto"/>
              <w:right w:val="nil"/>
            </w:tcBorders>
            <w:shd w:val="clear" w:color="auto" w:fill="auto"/>
            <w:vAlign w:val="center"/>
            <w:hideMark/>
          </w:tcPr>
          <w:p w14:paraId="479055F3" w14:textId="77777777" w:rsidR="00980F16" w:rsidRPr="008174EF" w:rsidRDefault="00980F16" w:rsidP="00980F16">
            <w:pPr>
              <w:widowControl/>
              <w:suppressLineNumbers w:val="0"/>
              <w:suppressAutoHyphens w:val="0"/>
              <w:ind w:firstLine="0"/>
              <w:jc w:val="center"/>
              <w:rPr>
                <w:sz w:val="20"/>
              </w:rPr>
            </w:pPr>
            <w:r w:rsidRPr="008174EF">
              <w:rPr>
                <w:sz w:val="20"/>
              </w:rPr>
              <w:t>1,27</w:t>
            </w:r>
          </w:p>
        </w:tc>
      </w:tr>
    </w:tbl>
    <w:p w14:paraId="77A9AFFB" w14:textId="77777777" w:rsidR="00980F16" w:rsidRPr="008174EF" w:rsidRDefault="00980F16" w:rsidP="00E47099">
      <w:pPr>
        <w:widowControl/>
        <w:suppressLineNumbers w:val="0"/>
        <w:shd w:val="clear" w:color="auto" w:fill="FFFFFF"/>
        <w:suppressAutoHyphens w:val="0"/>
        <w:ind w:firstLine="0"/>
        <w:rPr>
          <w:rFonts w:eastAsia="Calibri"/>
          <w:sz w:val="20"/>
          <w:szCs w:val="22"/>
          <w:lang w:eastAsia="en-US"/>
        </w:rPr>
      </w:pPr>
      <w:r w:rsidRPr="008174EF">
        <w:rPr>
          <w:rFonts w:eastAsia="Calibri"/>
          <w:sz w:val="20"/>
          <w:szCs w:val="22"/>
          <w:lang w:eastAsia="en-US"/>
        </w:rPr>
        <w:t>Fonte: Dados da pesquisa (2019).</w:t>
      </w:r>
    </w:p>
    <w:p w14:paraId="79564481" w14:textId="77777777" w:rsidR="00592DFF" w:rsidRDefault="00592DFF" w:rsidP="00410480">
      <w:pPr>
        <w:widowControl/>
        <w:suppressLineNumbers w:val="0"/>
        <w:shd w:val="clear" w:color="auto" w:fill="FFFFFF"/>
        <w:suppressAutoHyphens w:val="0"/>
        <w:ind w:firstLine="708"/>
        <w:rPr>
          <w:rFonts w:eastAsia="Calibri"/>
          <w:szCs w:val="22"/>
          <w:lang w:eastAsia="en-US"/>
        </w:rPr>
      </w:pPr>
    </w:p>
    <w:p w14:paraId="47A800D6" w14:textId="35257716"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No período de 2015 a 2017</w:t>
      </w:r>
      <w:r w:rsidR="009C7342" w:rsidRPr="008174EF">
        <w:rPr>
          <w:rFonts w:eastAsia="Calibri"/>
          <w:szCs w:val="22"/>
          <w:lang w:eastAsia="en-US"/>
        </w:rPr>
        <w:t>,</w:t>
      </w:r>
      <w:r w:rsidRPr="008174EF">
        <w:rPr>
          <w:rFonts w:eastAsia="Calibri"/>
          <w:szCs w:val="22"/>
          <w:lang w:eastAsia="en-US"/>
        </w:rPr>
        <w:t xml:space="preserve"> a Operadora possuía uma situação de liquidez desfavorável, pois todos os indicadores estavam abaixo de 1,00. O indicador de Liquidez Imediata (LI) não é significativo para a operadora, uma vez que sua política financeira não investe recursos financeiros disponíveis em aplicações de curt</w:t>
      </w:r>
      <w:r w:rsidR="007825A2" w:rsidRPr="008174EF">
        <w:rPr>
          <w:rFonts w:eastAsia="Calibri"/>
          <w:szCs w:val="22"/>
          <w:lang w:eastAsia="en-US"/>
        </w:rPr>
        <w:t xml:space="preserve">o </w:t>
      </w:r>
      <w:r w:rsidRPr="008174EF">
        <w:rPr>
          <w:rFonts w:eastAsia="Calibri"/>
          <w:szCs w:val="22"/>
          <w:lang w:eastAsia="en-US"/>
        </w:rPr>
        <w:t>prazo.</w:t>
      </w:r>
      <w:r w:rsidR="007825A2" w:rsidRPr="008174EF">
        <w:rPr>
          <w:rFonts w:eastAsia="Calibri"/>
          <w:szCs w:val="22"/>
          <w:lang w:eastAsia="en-US"/>
        </w:rPr>
        <w:t xml:space="preserve"> Esses achados vão ao encontro de </w:t>
      </w:r>
      <w:r w:rsidR="007825A2" w:rsidRPr="008174EF">
        <w:t xml:space="preserve">Câmara et al. (2008) </w:t>
      </w:r>
      <w:r w:rsidR="007825A2" w:rsidRPr="008174EF">
        <w:rPr>
          <w:rFonts w:eastAsia="Calibri"/>
          <w:szCs w:val="22"/>
          <w:lang w:eastAsia="en-US"/>
        </w:rPr>
        <w:t>dado que observaram que</w:t>
      </w:r>
      <w:r w:rsidR="000654DE" w:rsidRPr="008174EF">
        <w:rPr>
          <w:rFonts w:eastAsia="Calibri"/>
          <w:szCs w:val="22"/>
          <w:lang w:eastAsia="en-US"/>
        </w:rPr>
        <w:t>,</w:t>
      </w:r>
      <w:r w:rsidR="007825A2" w:rsidRPr="008174EF">
        <w:rPr>
          <w:rFonts w:eastAsia="Calibri"/>
          <w:szCs w:val="22"/>
          <w:lang w:eastAsia="en-US"/>
        </w:rPr>
        <w:t xml:space="preserve"> o índice de liquidez das operadoras de planos de saúde que investigaram</w:t>
      </w:r>
      <w:r w:rsidR="000654DE" w:rsidRPr="008174EF">
        <w:rPr>
          <w:rFonts w:eastAsia="Calibri"/>
          <w:szCs w:val="22"/>
          <w:lang w:eastAsia="en-US"/>
        </w:rPr>
        <w:t>,</w:t>
      </w:r>
      <w:r w:rsidR="007825A2" w:rsidRPr="008174EF">
        <w:rPr>
          <w:rFonts w:eastAsia="Calibri"/>
          <w:szCs w:val="22"/>
          <w:lang w:eastAsia="en-US"/>
        </w:rPr>
        <w:t xml:space="preserve"> diminuía ao longo do tempo. </w:t>
      </w:r>
    </w:p>
    <w:p w14:paraId="1334F83F"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Os indicadores de Liquidez Corrente (LC) e Geral (LG) também ficaram abaixo de 1,00 nos três primeiros anos. Isso indica que a Operadora não tinha recursos suficientes para liquidar as dívidas de curto e longo prazos. Nesse período, a Operadora teve gastos extras referentes à liquidação de tributos e às medicações exigidas em ações judiciais, devido à não cobertura dos serviços do plano de saúde. Além disso, ocorreram gastos com cirurgias em hospitais não credenciados para algumas especialidades não disponíveis na rede credenciada.</w:t>
      </w:r>
    </w:p>
    <w:p w14:paraId="7DA773DC" w14:textId="77777777" w:rsidR="00E47099" w:rsidRDefault="00980F16" w:rsidP="00410480">
      <w:pPr>
        <w:widowControl/>
        <w:suppressLineNumbers w:val="0"/>
        <w:shd w:val="clear" w:color="auto" w:fill="FFFFFF"/>
        <w:suppressAutoHyphens w:val="0"/>
        <w:ind w:firstLine="708"/>
        <w:rPr>
          <w:rFonts w:eastAsia="Calibri"/>
          <w:szCs w:val="24"/>
          <w:lang w:eastAsia="en-US"/>
        </w:rPr>
      </w:pPr>
      <w:r w:rsidRPr="008174EF">
        <w:rPr>
          <w:rFonts w:eastAsia="Calibri"/>
          <w:szCs w:val="22"/>
          <w:lang w:eastAsia="en-US"/>
        </w:rPr>
        <w:t>No ano de 2018, os indicadores de Liquidez Corrente (LC) e Geral (LG) melhoraram, principalmente com o aumento da conta Aplicações Financeiras (R$ 4.181 milhões) e do superávit (R$ 1.448 milhões). Nesse ano, o resultado do período foi positivo, devido à diminuição de despesas administrativas, cancelamentos de contratos com fornecedores, desligamento de funcionários e redução da área de atuação comercial. Além disso, outro fator que ajudou a melhorar a situação de liquidez foi a baixa parcial referente ao valor de provisão do Imposto sobre Serviço de Qualquer Natureza (ISSQN), devido à atualização da legislação.</w:t>
      </w:r>
      <w:r w:rsidR="00410480" w:rsidRPr="008174EF">
        <w:rPr>
          <w:rFonts w:eastAsia="Calibri"/>
          <w:szCs w:val="22"/>
          <w:lang w:eastAsia="en-US"/>
        </w:rPr>
        <w:t xml:space="preserve"> </w:t>
      </w:r>
      <w:r w:rsidR="001E1C4D" w:rsidRPr="008174EF">
        <w:rPr>
          <w:rFonts w:eastAsia="Calibri"/>
          <w:szCs w:val="22"/>
          <w:lang w:eastAsia="en-US"/>
        </w:rPr>
        <w:t>Reafirma-se com isso, os achados de Ávila</w:t>
      </w:r>
      <w:r w:rsidR="001E1C4D" w:rsidRPr="008174EF">
        <w:t xml:space="preserve"> e Amorim (2016)</w:t>
      </w:r>
      <w:r w:rsidR="001E1C4D" w:rsidRPr="008174EF">
        <w:rPr>
          <w:rFonts w:eastAsia="Calibri"/>
          <w:szCs w:val="24"/>
          <w:lang w:eastAsia="en-US"/>
        </w:rPr>
        <w:t xml:space="preserve"> visto que, das 5 operadoras de planos de saúde que analisaram, observaram que 4 delas apresentaram um índice de liquidez corrente favorável. </w:t>
      </w:r>
    </w:p>
    <w:p w14:paraId="75F56D62" w14:textId="451CD1BF" w:rsidR="00980F16" w:rsidRPr="008174EF" w:rsidRDefault="00980F16" w:rsidP="00410480">
      <w:pPr>
        <w:widowControl/>
        <w:suppressLineNumbers w:val="0"/>
        <w:shd w:val="clear" w:color="auto" w:fill="FFFFFF"/>
        <w:suppressAutoHyphens w:val="0"/>
        <w:ind w:firstLine="708"/>
        <w:rPr>
          <w:rFonts w:eastAsia="Calibri"/>
          <w:szCs w:val="24"/>
          <w:lang w:eastAsia="en-US"/>
        </w:rPr>
      </w:pPr>
      <w:r w:rsidRPr="008174EF">
        <w:rPr>
          <w:rFonts w:eastAsia="Calibri"/>
          <w:szCs w:val="24"/>
          <w:lang w:eastAsia="en-US"/>
        </w:rPr>
        <w:t xml:space="preserve">A Tabela </w:t>
      </w:r>
      <w:r w:rsidR="00102445" w:rsidRPr="008174EF">
        <w:rPr>
          <w:rFonts w:eastAsia="Calibri"/>
          <w:szCs w:val="24"/>
          <w:lang w:eastAsia="en-US"/>
        </w:rPr>
        <w:t>6</w:t>
      </w:r>
      <w:r w:rsidRPr="008174EF">
        <w:rPr>
          <w:rFonts w:eastAsia="Calibri"/>
          <w:szCs w:val="24"/>
          <w:lang w:eastAsia="en-US"/>
        </w:rPr>
        <w:t xml:space="preserve"> mostra os indicadores de endividamento da Operadora Alfa.</w:t>
      </w:r>
    </w:p>
    <w:p w14:paraId="1914703B" w14:textId="77777777" w:rsidR="00410480" w:rsidRPr="008174EF" w:rsidRDefault="00410480" w:rsidP="00410480">
      <w:pPr>
        <w:widowControl/>
        <w:suppressLineNumbers w:val="0"/>
        <w:shd w:val="clear" w:color="auto" w:fill="FFFFFF"/>
        <w:suppressAutoHyphens w:val="0"/>
        <w:ind w:firstLine="708"/>
        <w:rPr>
          <w:rFonts w:eastAsia="Calibri"/>
          <w:szCs w:val="22"/>
          <w:lang w:eastAsia="en-US"/>
        </w:rPr>
      </w:pPr>
    </w:p>
    <w:p w14:paraId="2EA58385" w14:textId="581CA73E" w:rsidR="00980F16" w:rsidRPr="008174EF" w:rsidRDefault="00980F16" w:rsidP="00980F16">
      <w:pPr>
        <w:widowControl/>
        <w:suppressLineNumbers w:val="0"/>
        <w:shd w:val="clear" w:color="auto" w:fill="FFFFFF"/>
        <w:suppressAutoHyphens w:val="0"/>
        <w:ind w:firstLine="0"/>
        <w:rPr>
          <w:rFonts w:eastAsia="Calibri"/>
          <w:b/>
          <w:szCs w:val="22"/>
          <w:lang w:eastAsia="en-US"/>
        </w:rPr>
      </w:pPr>
      <w:r w:rsidRPr="008174EF">
        <w:rPr>
          <w:rFonts w:eastAsia="Calibri"/>
          <w:b/>
          <w:szCs w:val="22"/>
          <w:lang w:eastAsia="en-US"/>
        </w:rPr>
        <w:t xml:space="preserve">Tabela </w:t>
      </w:r>
      <w:r w:rsidR="00102445" w:rsidRPr="008174EF">
        <w:rPr>
          <w:rFonts w:eastAsia="Calibri"/>
          <w:b/>
          <w:szCs w:val="22"/>
          <w:lang w:eastAsia="en-US"/>
        </w:rPr>
        <w:t>6</w:t>
      </w:r>
      <w:r w:rsidRPr="008174EF">
        <w:rPr>
          <w:rFonts w:eastAsia="Calibri"/>
          <w:b/>
          <w:szCs w:val="22"/>
          <w:lang w:eastAsia="en-US"/>
        </w:rPr>
        <w:t xml:space="preserve"> – Indicadores de Endividamento</w:t>
      </w:r>
    </w:p>
    <w:tbl>
      <w:tblPr>
        <w:tblW w:w="5000" w:type="pct"/>
        <w:tblCellMar>
          <w:left w:w="70" w:type="dxa"/>
          <w:right w:w="70" w:type="dxa"/>
        </w:tblCellMar>
        <w:tblLook w:val="04A0" w:firstRow="1" w:lastRow="0" w:firstColumn="1" w:lastColumn="0" w:noHBand="0" w:noVBand="1"/>
      </w:tblPr>
      <w:tblGrid>
        <w:gridCol w:w="4552"/>
        <w:gridCol w:w="1213"/>
        <w:gridCol w:w="1213"/>
        <w:gridCol w:w="1061"/>
        <w:gridCol w:w="1366"/>
      </w:tblGrid>
      <w:tr w:rsidR="00980F16" w:rsidRPr="008174EF" w14:paraId="4E8835FD" w14:textId="77777777" w:rsidTr="00410480">
        <w:trPr>
          <w:trHeight w:val="70"/>
        </w:trPr>
        <w:tc>
          <w:tcPr>
            <w:tcW w:w="2420" w:type="pct"/>
            <w:tcBorders>
              <w:top w:val="single" w:sz="4" w:space="0" w:color="auto"/>
              <w:left w:val="nil"/>
              <w:bottom w:val="single" w:sz="4" w:space="0" w:color="auto"/>
              <w:right w:val="single" w:sz="4" w:space="0" w:color="auto"/>
            </w:tcBorders>
            <w:shd w:val="clear" w:color="auto" w:fill="auto"/>
            <w:vAlign w:val="bottom"/>
            <w:hideMark/>
          </w:tcPr>
          <w:p w14:paraId="1EB358CA" w14:textId="77777777" w:rsidR="00980F16" w:rsidRPr="008174EF" w:rsidRDefault="00980F16" w:rsidP="00980F16">
            <w:pPr>
              <w:widowControl/>
              <w:suppressLineNumbers w:val="0"/>
              <w:suppressAutoHyphens w:val="0"/>
              <w:ind w:firstLine="0"/>
              <w:jc w:val="left"/>
              <w:rPr>
                <w:b/>
                <w:bCs/>
                <w:sz w:val="20"/>
              </w:rPr>
            </w:pPr>
            <w:r w:rsidRPr="008174EF">
              <w:rPr>
                <w:b/>
                <w:bCs/>
                <w:sz w:val="20"/>
              </w:rPr>
              <w:t>Indicadores</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6161FE32"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2015</w:t>
            </w:r>
          </w:p>
        </w:tc>
        <w:tc>
          <w:tcPr>
            <w:tcW w:w="645" w:type="pct"/>
            <w:tcBorders>
              <w:top w:val="single" w:sz="4" w:space="0" w:color="auto"/>
              <w:left w:val="nil"/>
              <w:bottom w:val="single" w:sz="4" w:space="0" w:color="auto"/>
              <w:right w:val="single" w:sz="4" w:space="0" w:color="auto"/>
            </w:tcBorders>
            <w:shd w:val="clear" w:color="auto" w:fill="auto"/>
            <w:noWrap/>
            <w:vAlign w:val="bottom"/>
            <w:hideMark/>
          </w:tcPr>
          <w:p w14:paraId="0761A294"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2016</w:t>
            </w:r>
          </w:p>
        </w:tc>
        <w:tc>
          <w:tcPr>
            <w:tcW w:w="564" w:type="pct"/>
            <w:tcBorders>
              <w:top w:val="single" w:sz="4" w:space="0" w:color="auto"/>
              <w:left w:val="nil"/>
              <w:bottom w:val="single" w:sz="4" w:space="0" w:color="auto"/>
              <w:right w:val="single" w:sz="4" w:space="0" w:color="auto"/>
            </w:tcBorders>
            <w:shd w:val="clear" w:color="auto" w:fill="auto"/>
            <w:noWrap/>
            <w:vAlign w:val="bottom"/>
            <w:hideMark/>
          </w:tcPr>
          <w:p w14:paraId="47A6B625"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2017</w:t>
            </w:r>
          </w:p>
        </w:tc>
        <w:tc>
          <w:tcPr>
            <w:tcW w:w="726" w:type="pct"/>
            <w:tcBorders>
              <w:top w:val="single" w:sz="4" w:space="0" w:color="auto"/>
              <w:left w:val="nil"/>
              <w:bottom w:val="single" w:sz="4" w:space="0" w:color="auto"/>
              <w:right w:val="nil"/>
            </w:tcBorders>
            <w:shd w:val="clear" w:color="auto" w:fill="auto"/>
            <w:noWrap/>
            <w:vAlign w:val="bottom"/>
            <w:hideMark/>
          </w:tcPr>
          <w:p w14:paraId="61A693FD"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2018</w:t>
            </w:r>
          </w:p>
        </w:tc>
      </w:tr>
      <w:tr w:rsidR="00980F16" w:rsidRPr="008174EF" w14:paraId="4DC6AC09" w14:textId="77777777" w:rsidTr="00410480">
        <w:trPr>
          <w:trHeight w:val="260"/>
        </w:trPr>
        <w:tc>
          <w:tcPr>
            <w:tcW w:w="2420" w:type="pct"/>
            <w:tcBorders>
              <w:top w:val="nil"/>
              <w:left w:val="nil"/>
              <w:bottom w:val="nil"/>
              <w:right w:val="nil"/>
            </w:tcBorders>
            <w:shd w:val="clear" w:color="auto" w:fill="auto"/>
            <w:noWrap/>
            <w:vAlign w:val="center"/>
            <w:hideMark/>
          </w:tcPr>
          <w:p w14:paraId="5A8C0606" w14:textId="77777777" w:rsidR="00980F16" w:rsidRPr="008174EF" w:rsidRDefault="00980F16" w:rsidP="00980F16">
            <w:pPr>
              <w:widowControl/>
              <w:suppressLineNumbers w:val="0"/>
              <w:suppressAutoHyphens w:val="0"/>
              <w:ind w:firstLine="0"/>
              <w:jc w:val="left"/>
              <w:rPr>
                <w:sz w:val="20"/>
              </w:rPr>
            </w:pPr>
            <w:r w:rsidRPr="008174EF">
              <w:rPr>
                <w:sz w:val="20"/>
              </w:rPr>
              <w:t>Composição do Endividamento (CEN)</w:t>
            </w:r>
          </w:p>
        </w:tc>
        <w:tc>
          <w:tcPr>
            <w:tcW w:w="645" w:type="pct"/>
            <w:tcBorders>
              <w:top w:val="nil"/>
              <w:left w:val="nil"/>
              <w:bottom w:val="nil"/>
              <w:right w:val="nil"/>
            </w:tcBorders>
            <w:shd w:val="clear" w:color="auto" w:fill="auto"/>
            <w:vAlign w:val="center"/>
            <w:hideMark/>
          </w:tcPr>
          <w:p w14:paraId="48CFE939"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1,00</w:t>
            </w:r>
          </w:p>
        </w:tc>
        <w:tc>
          <w:tcPr>
            <w:tcW w:w="645" w:type="pct"/>
            <w:tcBorders>
              <w:top w:val="nil"/>
              <w:left w:val="nil"/>
              <w:bottom w:val="nil"/>
              <w:right w:val="nil"/>
            </w:tcBorders>
            <w:shd w:val="clear" w:color="auto" w:fill="auto"/>
            <w:vAlign w:val="center"/>
            <w:hideMark/>
          </w:tcPr>
          <w:p w14:paraId="6B330FC3"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1,00</w:t>
            </w:r>
          </w:p>
        </w:tc>
        <w:tc>
          <w:tcPr>
            <w:tcW w:w="564" w:type="pct"/>
            <w:tcBorders>
              <w:top w:val="nil"/>
              <w:left w:val="nil"/>
              <w:bottom w:val="nil"/>
              <w:right w:val="nil"/>
            </w:tcBorders>
            <w:shd w:val="clear" w:color="auto" w:fill="auto"/>
            <w:vAlign w:val="center"/>
            <w:hideMark/>
          </w:tcPr>
          <w:p w14:paraId="20F0A6CD"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0,96</w:t>
            </w:r>
          </w:p>
        </w:tc>
        <w:tc>
          <w:tcPr>
            <w:tcW w:w="726" w:type="pct"/>
            <w:tcBorders>
              <w:top w:val="nil"/>
              <w:left w:val="nil"/>
              <w:bottom w:val="nil"/>
              <w:right w:val="nil"/>
            </w:tcBorders>
            <w:shd w:val="clear" w:color="auto" w:fill="auto"/>
            <w:vAlign w:val="center"/>
            <w:hideMark/>
          </w:tcPr>
          <w:p w14:paraId="4B3BBCCC" w14:textId="77777777" w:rsidR="00980F16" w:rsidRPr="008174EF" w:rsidRDefault="00980F16" w:rsidP="00980F16">
            <w:pPr>
              <w:widowControl/>
              <w:suppressLineNumbers w:val="0"/>
              <w:suppressAutoHyphens w:val="0"/>
              <w:ind w:firstLine="0"/>
              <w:jc w:val="center"/>
              <w:rPr>
                <w:sz w:val="20"/>
              </w:rPr>
            </w:pPr>
            <w:r w:rsidRPr="008174EF">
              <w:rPr>
                <w:sz w:val="20"/>
              </w:rPr>
              <w:t>0,91</w:t>
            </w:r>
          </w:p>
        </w:tc>
      </w:tr>
      <w:tr w:rsidR="00980F16" w:rsidRPr="008174EF" w14:paraId="7D0C166A" w14:textId="77777777" w:rsidTr="00410480">
        <w:trPr>
          <w:trHeight w:val="260"/>
        </w:trPr>
        <w:tc>
          <w:tcPr>
            <w:tcW w:w="2420" w:type="pct"/>
            <w:tcBorders>
              <w:top w:val="nil"/>
              <w:left w:val="nil"/>
              <w:bottom w:val="nil"/>
              <w:right w:val="nil"/>
            </w:tcBorders>
            <w:shd w:val="clear" w:color="auto" w:fill="auto"/>
            <w:noWrap/>
            <w:vAlign w:val="center"/>
            <w:hideMark/>
          </w:tcPr>
          <w:p w14:paraId="59C2AB83" w14:textId="77777777" w:rsidR="00980F16" w:rsidRPr="008174EF" w:rsidRDefault="00980F16" w:rsidP="00980F16">
            <w:pPr>
              <w:widowControl/>
              <w:suppressLineNumbers w:val="0"/>
              <w:suppressAutoHyphens w:val="0"/>
              <w:ind w:firstLine="0"/>
              <w:jc w:val="left"/>
              <w:rPr>
                <w:sz w:val="20"/>
              </w:rPr>
            </w:pPr>
            <w:r w:rsidRPr="008174EF">
              <w:rPr>
                <w:sz w:val="20"/>
              </w:rPr>
              <w:t>Endividamento com Terceiros (ETE)</w:t>
            </w:r>
          </w:p>
        </w:tc>
        <w:tc>
          <w:tcPr>
            <w:tcW w:w="645" w:type="pct"/>
            <w:tcBorders>
              <w:top w:val="nil"/>
              <w:left w:val="nil"/>
              <w:bottom w:val="nil"/>
              <w:right w:val="nil"/>
            </w:tcBorders>
            <w:shd w:val="clear" w:color="auto" w:fill="auto"/>
            <w:vAlign w:val="center"/>
            <w:hideMark/>
          </w:tcPr>
          <w:p w14:paraId="1C3A9D0E" w14:textId="77777777" w:rsidR="00980F16" w:rsidRPr="008174EF" w:rsidRDefault="00980F16" w:rsidP="00980F16">
            <w:pPr>
              <w:widowControl/>
              <w:suppressLineNumbers w:val="0"/>
              <w:suppressAutoHyphens w:val="0"/>
              <w:ind w:firstLine="0"/>
              <w:jc w:val="center"/>
              <w:rPr>
                <w:sz w:val="20"/>
              </w:rPr>
            </w:pPr>
            <w:r w:rsidRPr="008174EF">
              <w:rPr>
                <w:sz w:val="20"/>
              </w:rPr>
              <w:t>-40,08</w:t>
            </w:r>
          </w:p>
        </w:tc>
        <w:tc>
          <w:tcPr>
            <w:tcW w:w="645" w:type="pct"/>
            <w:tcBorders>
              <w:top w:val="nil"/>
              <w:left w:val="nil"/>
              <w:bottom w:val="nil"/>
              <w:right w:val="nil"/>
            </w:tcBorders>
            <w:shd w:val="clear" w:color="auto" w:fill="auto"/>
            <w:vAlign w:val="center"/>
            <w:hideMark/>
          </w:tcPr>
          <w:p w14:paraId="0FA7DB1C" w14:textId="77777777" w:rsidR="00980F16" w:rsidRPr="008174EF" w:rsidRDefault="00980F16" w:rsidP="00980F16">
            <w:pPr>
              <w:widowControl/>
              <w:suppressLineNumbers w:val="0"/>
              <w:suppressAutoHyphens w:val="0"/>
              <w:ind w:firstLine="0"/>
              <w:jc w:val="center"/>
              <w:rPr>
                <w:sz w:val="20"/>
              </w:rPr>
            </w:pPr>
            <w:r w:rsidRPr="008174EF">
              <w:rPr>
                <w:sz w:val="20"/>
              </w:rPr>
              <w:t>-74,13</w:t>
            </w:r>
          </w:p>
        </w:tc>
        <w:tc>
          <w:tcPr>
            <w:tcW w:w="564" w:type="pct"/>
            <w:tcBorders>
              <w:top w:val="nil"/>
              <w:left w:val="nil"/>
              <w:bottom w:val="nil"/>
              <w:right w:val="nil"/>
            </w:tcBorders>
            <w:shd w:val="clear" w:color="auto" w:fill="auto"/>
            <w:vAlign w:val="center"/>
            <w:hideMark/>
          </w:tcPr>
          <w:p w14:paraId="358D7D6A" w14:textId="77777777" w:rsidR="00980F16" w:rsidRPr="008174EF" w:rsidRDefault="00980F16" w:rsidP="00980F16">
            <w:pPr>
              <w:widowControl/>
              <w:suppressLineNumbers w:val="0"/>
              <w:suppressAutoHyphens w:val="0"/>
              <w:ind w:firstLine="0"/>
              <w:jc w:val="center"/>
              <w:rPr>
                <w:sz w:val="20"/>
              </w:rPr>
            </w:pPr>
            <w:r w:rsidRPr="008174EF">
              <w:rPr>
                <w:sz w:val="20"/>
              </w:rPr>
              <w:t>-13,49</w:t>
            </w:r>
          </w:p>
        </w:tc>
        <w:tc>
          <w:tcPr>
            <w:tcW w:w="726" w:type="pct"/>
            <w:tcBorders>
              <w:top w:val="nil"/>
              <w:left w:val="nil"/>
              <w:bottom w:val="nil"/>
              <w:right w:val="nil"/>
            </w:tcBorders>
            <w:shd w:val="clear" w:color="auto" w:fill="auto"/>
            <w:vAlign w:val="center"/>
            <w:hideMark/>
          </w:tcPr>
          <w:p w14:paraId="101126D9" w14:textId="77777777" w:rsidR="00980F16" w:rsidRPr="008174EF" w:rsidRDefault="00980F16" w:rsidP="00980F16">
            <w:pPr>
              <w:widowControl/>
              <w:suppressLineNumbers w:val="0"/>
              <w:suppressAutoHyphens w:val="0"/>
              <w:ind w:firstLine="0"/>
              <w:jc w:val="center"/>
              <w:rPr>
                <w:sz w:val="20"/>
              </w:rPr>
            </w:pPr>
            <w:r w:rsidRPr="008174EF">
              <w:rPr>
                <w:sz w:val="20"/>
              </w:rPr>
              <w:t>3,38</w:t>
            </w:r>
          </w:p>
        </w:tc>
      </w:tr>
      <w:tr w:rsidR="00980F16" w:rsidRPr="008174EF" w14:paraId="47390E8A" w14:textId="77777777" w:rsidTr="00410480">
        <w:trPr>
          <w:trHeight w:val="260"/>
        </w:trPr>
        <w:tc>
          <w:tcPr>
            <w:tcW w:w="2420" w:type="pct"/>
            <w:tcBorders>
              <w:top w:val="nil"/>
              <w:left w:val="nil"/>
              <w:bottom w:val="single" w:sz="4" w:space="0" w:color="auto"/>
              <w:right w:val="nil"/>
            </w:tcBorders>
            <w:shd w:val="clear" w:color="auto" w:fill="auto"/>
            <w:noWrap/>
            <w:vAlign w:val="center"/>
            <w:hideMark/>
          </w:tcPr>
          <w:p w14:paraId="53C4DA91" w14:textId="77777777" w:rsidR="00980F16" w:rsidRPr="008174EF" w:rsidRDefault="00980F16" w:rsidP="00980F16">
            <w:pPr>
              <w:widowControl/>
              <w:suppressLineNumbers w:val="0"/>
              <w:suppressAutoHyphens w:val="0"/>
              <w:ind w:firstLine="0"/>
              <w:jc w:val="left"/>
              <w:rPr>
                <w:sz w:val="20"/>
              </w:rPr>
            </w:pPr>
            <w:r w:rsidRPr="008174EF">
              <w:rPr>
                <w:sz w:val="20"/>
              </w:rPr>
              <w:t>Endividamento Total (ETO)</w:t>
            </w:r>
          </w:p>
        </w:tc>
        <w:tc>
          <w:tcPr>
            <w:tcW w:w="645" w:type="pct"/>
            <w:tcBorders>
              <w:top w:val="nil"/>
              <w:left w:val="nil"/>
              <w:bottom w:val="single" w:sz="4" w:space="0" w:color="auto"/>
              <w:right w:val="nil"/>
            </w:tcBorders>
            <w:shd w:val="clear" w:color="auto" w:fill="auto"/>
            <w:vAlign w:val="center"/>
            <w:hideMark/>
          </w:tcPr>
          <w:p w14:paraId="4201C278"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1,03</w:t>
            </w:r>
          </w:p>
        </w:tc>
        <w:tc>
          <w:tcPr>
            <w:tcW w:w="645" w:type="pct"/>
            <w:tcBorders>
              <w:top w:val="nil"/>
              <w:left w:val="nil"/>
              <w:bottom w:val="single" w:sz="4" w:space="0" w:color="auto"/>
              <w:right w:val="nil"/>
            </w:tcBorders>
            <w:shd w:val="clear" w:color="auto" w:fill="auto"/>
            <w:vAlign w:val="center"/>
            <w:hideMark/>
          </w:tcPr>
          <w:p w14:paraId="588E4E9B"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1,01</w:t>
            </w:r>
          </w:p>
        </w:tc>
        <w:tc>
          <w:tcPr>
            <w:tcW w:w="564" w:type="pct"/>
            <w:tcBorders>
              <w:top w:val="nil"/>
              <w:left w:val="nil"/>
              <w:bottom w:val="single" w:sz="4" w:space="0" w:color="auto"/>
              <w:right w:val="nil"/>
            </w:tcBorders>
            <w:shd w:val="clear" w:color="auto" w:fill="auto"/>
            <w:vAlign w:val="center"/>
            <w:hideMark/>
          </w:tcPr>
          <w:p w14:paraId="666A886B" w14:textId="77777777" w:rsidR="00980F16" w:rsidRPr="008174EF" w:rsidRDefault="00980F16" w:rsidP="00980F16">
            <w:pPr>
              <w:widowControl/>
              <w:suppressLineNumbers w:val="0"/>
              <w:suppressAutoHyphens w:val="0"/>
              <w:ind w:firstLine="0"/>
              <w:jc w:val="center"/>
              <w:rPr>
                <w:sz w:val="20"/>
              </w:rPr>
            </w:pPr>
            <w:r w:rsidRPr="008174EF">
              <w:rPr>
                <w:sz w:val="20"/>
              </w:rPr>
              <w:t xml:space="preserve">   1,08</w:t>
            </w:r>
          </w:p>
        </w:tc>
        <w:tc>
          <w:tcPr>
            <w:tcW w:w="726" w:type="pct"/>
            <w:tcBorders>
              <w:top w:val="nil"/>
              <w:left w:val="nil"/>
              <w:bottom w:val="single" w:sz="4" w:space="0" w:color="auto"/>
              <w:right w:val="nil"/>
            </w:tcBorders>
            <w:shd w:val="clear" w:color="auto" w:fill="auto"/>
            <w:vAlign w:val="center"/>
            <w:hideMark/>
          </w:tcPr>
          <w:p w14:paraId="2000513B" w14:textId="77777777" w:rsidR="00980F16" w:rsidRPr="008174EF" w:rsidRDefault="00980F16" w:rsidP="00980F16">
            <w:pPr>
              <w:widowControl/>
              <w:suppressLineNumbers w:val="0"/>
              <w:suppressAutoHyphens w:val="0"/>
              <w:ind w:firstLine="0"/>
              <w:jc w:val="center"/>
              <w:rPr>
                <w:sz w:val="20"/>
              </w:rPr>
            </w:pPr>
            <w:r w:rsidRPr="008174EF">
              <w:rPr>
                <w:sz w:val="20"/>
              </w:rPr>
              <w:t>0,77</w:t>
            </w:r>
          </w:p>
        </w:tc>
      </w:tr>
    </w:tbl>
    <w:p w14:paraId="72EF9042" w14:textId="77777777" w:rsidR="00980F16" w:rsidRPr="008174EF" w:rsidRDefault="00980F16" w:rsidP="00E47099">
      <w:pPr>
        <w:widowControl/>
        <w:suppressLineNumbers w:val="0"/>
        <w:shd w:val="clear" w:color="auto" w:fill="FFFFFF"/>
        <w:suppressAutoHyphens w:val="0"/>
        <w:ind w:firstLine="0"/>
        <w:rPr>
          <w:rFonts w:eastAsia="Calibri"/>
          <w:sz w:val="20"/>
          <w:szCs w:val="22"/>
          <w:lang w:eastAsia="en-US"/>
        </w:rPr>
      </w:pPr>
      <w:r w:rsidRPr="008174EF">
        <w:rPr>
          <w:rFonts w:eastAsia="Calibri"/>
          <w:sz w:val="20"/>
          <w:szCs w:val="22"/>
          <w:lang w:eastAsia="en-US"/>
        </w:rPr>
        <w:t>Fonte: Dados da pesquisa (2019).</w:t>
      </w:r>
    </w:p>
    <w:p w14:paraId="6211EA83" w14:textId="77777777" w:rsidR="00E47099" w:rsidRDefault="00E47099" w:rsidP="00410480">
      <w:pPr>
        <w:widowControl/>
        <w:suppressLineNumbers w:val="0"/>
        <w:shd w:val="clear" w:color="auto" w:fill="FFFFFF"/>
        <w:suppressAutoHyphens w:val="0"/>
        <w:ind w:firstLine="567"/>
        <w:rPr>
          <w:rFonts w:eastAsia="Calibri"/>
          <w:szCs w:val="22"/>
          <w:lang w:eastAsia="en-US"/>
        </w:rPr>
      </w:pPr>
    </w:p>
    <w:p w14:paraId="6109B876" w14:textId="1C14B935" w:rsidR="00980F16" w:rsidRPr="008174EF" w:rsidRDefault="00980F16" w:rsidP="00410480">
      <w:pPr>
        <w:widowControl/>
        <w:suppressLineNumbers w:val="0"/>
        <w:shd w:val="clear" w:color="auto" w:fill="FFFFFF"/>
        <w:suppressAutoHyphens w:val="0"/>
        <w:ind w:firstLine="567"/>
        <w:rPr>
          <w:rFonts w:eastAsia="Calibri"/>
          <w:szCs w:val="22"/>
          <w:lang w:eastAsia="en-US"/>
        </w:rPr>
      </w:pPr>
      <w:r w:rsidRPr="008174EF">
        <w:rPr>
          <w:rFonts w:eastAsia="Calibri"/>
          <w:szCs w:val="22"/>
          <w:lang w:eastAsia="en-US"/>
        </w:rPr>
        <w:t xml:space="preserve">Os indicadores de endividamento mostram um elevado nível de dívidas para com terceiros como forma de suporte às operações. O indicador Composição de Endividamento (CEN) aponta que quase a totalidade das dívidas com terceiros vence no curto prazo. Essas dívidas estão </w:t>
      </w:r>
      <w:r w:rsidRPr="008174EF">
        <w:rPr>
          <w:rFonts w:eastAsia="Calibri"/>
          <w:szCs w:val="22"/>
          <w:lang w:eastAsia="en-US"/>
        </w:rPr>
        <w:lastRenderedPageBreak/>
        <w:t>relacionadas às atividades de custeio da Operadora, tais como pagamento dos prestadores de serviços médicos de consultas, laboratórios, clínicas, hospitais e do reconhecimento da Provisão de Eventos Ocorridos e Não Avisados (PEONA).</w:t>
      </w:r>
    </w:p>
    <w:p w14:paraId="4CF6644D" w14:textId="4C26B5D6" w:rsidR="00980F16" w:rsidRPr="008174EF" w:rsidRDefault="00980F16" w:rsidP="00410480">
      <w:pPr>
        <w:widowControl/>
        <w:suppressLineNumbers w:val="0"/>
        <w:shd w:val="clear" w:color="auto" w:fill="FFFFFF"/>
        <w:suppressAutoHyphens w:val="0"/>
        <w:ind w:firstLine="567"/>
        <w:rPr>
          <w:rFonts w:eastAsia="Calibri"/>
          <w:szCs w:val="22"/>
          <w:lang w:eastAsia="en-US"/>
        </w:rPr>
      </w:pPr>
      <w:r w:rsidRPr="008174EF">
        <w:rPr>
          <w:rFonts w:eastAsia="Calibri"/>
          <w:szCs w:val="22"/>
          <w:lang w:eastAsia="en-US"/>
        </w:rPr>
        <w:t>No período de 2015 a 2016</w:t>
      </w:r>
      <w:r w:rsidR="00CC3046" w:rsidRPr="008174EF">
        <w:rPr>
          <w:rFonts w:eastAsia="Calibri"/>
          <w:szCs w:val="22"/>
          <w:lang w:eastAsia="en-US"/>
        </w:rPr>
        <w:t>,</w:t>
      </w:r>
      <w:r w:rsidRPr="008174EF">
        <w:rPr>
          <w:rFonts w:eastAsia="Calibri"/>
          <w:szCs w:val="22"/>
          <w:lang w:eastAsia="en-US"/>
        </w:rPr>
        <w:t xml:space="preserve"> os indicadores de Endividamento com Terceiros</w:t>
      </w:r>
      <w:r w:rsidR="00CC3046" w:rsidRPr="008174EF">
        <w:rPr>
          <w:rFonts w:eastAsia="Calibri"/>
          <w:szCs w:val="22"/>
          <w:lang w:eastAsia="en-US"/>
        </w:rPr>
        <w:t xml:space="preserve"> (ETE)</w:t>
      </w:r>
      <w:r w:rsidRPr="008174EF">
        <w:rPr>
          <w:rFonts w:eastAsia="Calibri"/>
          <w:szCs w:val="22"/>
          <w:lang w:eastAsia="en-US"/>
        </w:rPr>
        <w:t xml:space="preserve"> foram negativos devido aos déficits acumulados que, por consequência, geraram um patrimônio líquido negativo (patrimônio líquido a descoberto). Isso revela que a operadora não tinha recursos próprios para honrar as dívidas. Cabe salientar que os proprietários da operadora, por pertencer a uma organização hospitalar sem fins lucrativos, não possuem recursos próprios disponíveis para integralizar o capital da empresa. </w:t>
      </w:r>
      <w:r w:rsidR="00E31297" w:rsidRPr="008174EF">
        <w:rPr>
          <w:rFonts w:eastAsia="Calibri"/>
          <w:szCs w:val="22"/>
          <w:lang w:eastAsia="en-US"/>
        </w:rPr>
        <w:t xml:space="preserve">Esses resultados corroboram com </w:t>
      </w:r>
      <w:r w:rsidR="00E31297" w:rsidRPr="008174EF">
        <w:t>Câmara et al. (2008) haja vista que</w:t>
      </w:r>
      <w:r w:rsidR="00565F76" w:rsidRPr="008174EF">
        <w:t>,</w:t>
      </w:r>
      <w:r w:rsidR="00E31297" w:rsidRPr="008174EF">
        <w:t xml:space="preserve"> também constataram que o índice de endividamentos das operadoras de planos de saúde foi desfavorável</w:t>
      </w:r>
      <w:r w:rsidR="00C379F8" w:rsidRPr="008174EF">
        <w:t>.</w:t>
      </w:r>
      <w:r w:rsidR="00E31297" w:rsidRPr="008174EF">
        <w:rPr>
          <w:rFonts w:eastAsia="Calibri"/>
          <w:szCs w:val="22"/>
          <w:lang w:eastAsia="en-US"/>
        </w:rPr>
        <w:t xml:space="preserve"> </w:t>
      </w:r>
      <w:r w:rsidRPr="008174EF">
        <w:rPr>
          <w:rFonts w:eastAsia="Calibri"/>
          <w:szCs w:val="22"/>
          <w:lang w:eastAsia="en-US"/>
        </w:rPr>
        <w:t>No ano de 2018, a operadora apresentou resultado positivo, entretanto ainda possui elevada participação do capital de terceiros, pois para cada R$ 1,00 de capital próprio a empresa utiliza R$ 3,38 de capital de terceiros no financiamento das operações.</w:t>
      </w:r>
    </w:p>
    <w:p w14:paraId="53468DBE" w14:textId="77777777" w:rsidR="00E47099" w:rsidRDefault="00980F16" w:rsidP="00410480">
      <w:pPr>
        <w:widowControl/>
        <w:suppressLineNumbers w:val="0"/>
        <w:shd w:val="clear" w:color="auto" w:fill="FFFFFF"/>
        <w:suppressAutoHyphens w:val="0"/>
        <w:ind w:firstLine="708"/>
      </w:pPr>
      <w:r w:rsidRPr="008174EF">
        <w:rPr>
          <w:rFonts w:eastAsia="Calibri"/>
          <w:szCs w:val="22"/>
          <w:lang w:eastAsia="en-US"/>
        </w:rPr>
        <w:t>No período, os indicadores de Endividamento Total</w:t>
      </w:r>
      <w:r w:rsidR="00CC3046" w:rsidRPr="008174EF">
        <w:rPr>
          <w:rFonts w:eastAsia="Calibri"/>
          <w:szCs w:val="22"/>
          <w:lang w:eastAsia="en-US"/>
        </w:rPr>
        <w:t xml:space="preserve"> (ETO)</w:t>
      </w:r>
      <w:r w:rsidRPr="008174EF">
        <w:rPr>
          <w:rFonts w:eastAsia="Calibri"/>
          <w:szCs w:val="22"/>
          <w:lang w:eastAsia="en-US"/>
        </w:rPr>
        <w:t xml:space="preserve"> são superiores a R$ 1,00. Isso mostra que para cada R$ 1,00 de ativos a Operadora</w:t>
      </w:r>
      <w:r w:rsidR="00CC3046" w:rsidRPr="008174EF">
        <w:rPr>
          <w:rFonts w:eastAsia="Calibri"/>
          <w:szCs w:val="22"/>
          <w:lang w:eastAsia="en-US"/>
        </w:rPr>
        <w:t xml:space="preserve"> Alfa</w:t>
      </w:r>
      <w:r w:rsidRPr="008174EF">
        <w:rPr>
          <w:rFonts w:eastAsia="Calibri"/>
          <w:szCs w:val="22"/>
          <w:lang w:eastAsia="en-US"/>
        </w:rPr>
        <w:t xml:space="preserve"> deve para terceiros R$ 1,03 (2015), R$ 1,01 (2016) e R$ 1,08 (2016). Somente no ano de 2018</w:t>
      </w:r>
      <w:r w:rsidR="00CC3046" w:rsidRPr="008174EF">
        <w:rPr>
          <w:rFonts w:eastAsia="Calibri"/>
          <w:szCs w:val="22"/>
          <w:lang w:eastAsia="en-US"/>
        </w:rPr>
        <w:t>,</w:t>
      </w:r>
      <w:r w:rsidRPr="008174EF">
        <w:rPr>
          <w:rFonts w:eastAsia="Calibri"/>
          <w:szCs w:val="22"/>
          <w:lang w:eastAsia="en-US"/>
        </w:rPr>
        <w:t xml:space="preserve"> a dívida com terceiros teve menor representatividade em relação aos ativos, evidenciando que a empresa tinha ativos de curto e longo prazos suficientes para liquidar as obrigações. No ano de 2018, a diminuição da representatividade do capital de terceiros foi ocasionada pela redução das contas provisões e débitos diversos. Consequentemente, a baixa desses passivos foi reconhecida no resultado como receita, aumentando o superávit no período.</w:t>
      </w:r>
      <w:r w:rsidR="00C379F8" w:rsidRPr="008174EF">
        <w:rPr>
          <w:rFonts w:eastAsia="Calibri"/>
          <w:szCs w:val="22"/>
          <w:lang w:eastAsia="en-US"/>
        </w:rPr>
        <w:t xml:space="preserve"> Apesar do endividamento ser desfavorável, no entanto, apresentou melhoria em 2018, fato que converge com os achados de </w:t>
      </w:r>
      <w:r w:rsidR="00C379F8" w:rsidRPr="008174EF">
        <w:t xml:space="preserve">Ávila e Amorim (2016). </w:t>
      </w:r>
    </w:p>
    <w:p w14:paraId="05EAF6BE" w14:textId="65CF0D85"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4"/>
          <w:lang w:eastAsia="en-US"/>
        </w:rPr>
        <w:t xml:space="preserve">A Tabela </w:t>
      </w:r>
      <w:r w:rsidR="00102445" w:rsidRPr="008174EF">
        <w:rPr>
          <w:rFonts w:eastAsia="Calibri"/>
          <w:szCs w:val="24"/>
          <w:lang w:eastAsia="en-US"/>
        </w:rPr>
        <w:t>7</w:t>
      </w:r>
      <w:r w:rsidRPr="008174EF">
        <w:rPr>
          <w:rFonts w:eastAsia="Calibri"/>
          <w:szCs w:val="24"/>
          <w:lang w:eastAsia="en-US"/>
        </w:rPr>
        <w:t xml:space="preserve"> evidencia os indicadores econômicos da Operadora Alfa.</w:t>
      </w:r>
    </w:p>
    <w:p w14:paraId="220890DF" w14:textId="77777777" w:rsidR="00980F16" w:rsidRPr="008174EF" w:rsidRDefault="00980F16" w:rsidP="00E47099">
      <w:pPr>
        <w:widowControl/>
        <w:suppressLineNumbers w:val="0"/>
        <w:shd w:val="clear" w:color="auto" w:fill="FFFFFF"/>
        <w:suppressAutoHyphens w:val="0"/>
        <w:rPr>
          <w:rFonts w:eastAsia="Calibri"/>
          <w:szCs w:val="22"/>
          <w:lang w:eastAsia="en-US"/>
        </w:rPr>
      </w:pPr>
    </w:p>
    <w:p w14:paraId="3DAA772E" w14:textId="428C465A" w:rsidR="00980F16" w:rsidRPr="008174EF" w:rsidRDefault="00980F16" w:rsidP="00980F16">
      <w:pPr>
        <w:widowControl/>
        <w:suppressLineNumbers w:val="0"/>
        <w:shd w:val="clear" w:color="auto" w:fill="FFFFFF"/>
        <w:suppressAutoHyphens w:val="0"/>
        <w:ind w:firstLine="0"/>
        <w:rPr>
          <w:rFonts w:eastAsia="Calibri"/>
          <w:b/>
          <w:szCs w:val="22"/>
          <w:lang w:eastAsia="en-US"/>
        </w:rPr>
      </w:pPr>
      <w:r w:rsidRPr="008174EF">
        <w:rPr>
          <w:rFonts w:eastAsia="Calibri"/>
          <w:b/>
          <w:szCs w:val="22"/>
          <w:lang w:eastAsia="en-US"/>
        </w:rPr>
        <w:t xml:space="preserve">Tabela </w:t>
      </w:r>
      <w:r w:rsidR="00102445" w:rsidRPr="008174EF">
        <w:rPr>
          <w:rFonts w:eastAsia="Calibri"/>
          <w:b/>
          <w:szCs w:val="22"/>
          <w:lang w:eastAsia="en-US"/>
        </w:rPr>
        <w:t>7</w:t>
      </w:r>
      <w:r w:rsidRPr="008174EF">
        <w:rPr>
          <w:rFonts w:eastAsia="Calibri"/>
          <w:b/>
          <w:szCs w:val="22"/>
          <w:lang w:eastAsia="en-US"/>
        </w:rPr>
        <w:t xml:space="preserve"> - Indicadores Econômicos da Operadora Alfa</w:t>
      </w:r>
    </w:p>
    <w:tbl>
      <w:tblPr>
        <w:tblW w:w="5000" w:type="pct"/>
        <w:tblCellMar>
          <w:left w:w="70" w:type="dxa"/>
          <w:right w:w="70" w:type="dxa"/>
        </w:tblCellMar>
        <w:tblLook w:val="04A0" w:firstRow="1" w:lastRow="0" w:firstColumn="1" w:lastColumn="0" w:noHBand="0" w:noVBand="1"/>
      </w:tblPr>
      <w:tblGrid>
        <w:gridCol w:w="4785"/>
        <w:gridCol w:w="1217"/>
        <w:gridCol w:w="1140"/>
        <w:gridCol w:w="1080"/>
        <w:gridCol w:w="1183"/>
      </w:tblGrid>
      <w:tr w:rsidR="00980F16" w:rsidRPr="008174EF" w14:paraId="7395745E" w14:textId="77777777" w:rsidTr="00410480">
        <w:trPr>
          <w:trHeight w:val="268"/>
        </w:trPr>
        <w:tc>
          <w:tcPr>
            <w:tcW w:w="2544" w:type="pct"/>
            <w:tcBorders>
              <w:top w:val="single" w:sz="4" w:space="0" w:color="auto"/>
              <w:left w:val="nil"/>
              <w:bottom w:val="single" w:sz="4" w:space="0" w:color="auto"/>
              <w:right w:val="single" w:sz="4" w:space="0" w:color="auto"/>
            </w:tcBorders>
            <w:shd w:val="clear" w:color="auto" w:fill="auto"/>
            <w:noWrap/>
            <w:vAlign w:val="center"/>
            <w:hideMark/>
          </w:tcPr>
          <w:p w14:paraId="4FAAF414" w14:textId="77777777" w:rsidR="00980F16" w:rsidRPr="008174EF" w:rsidRDefault="00980F16" w:rsidP="00980F16">
            <w:pPr>
              <w:widowControl/>
              <w:suppressLineNumbers w:val="0"/>
              <w:suppressAutoHyphens w:val="0"/>
              <w:ind w:firstLine="0"/>
              <w:jc w:val="center"/>
              <w:rPr>
                <w:b/>
                <w:bCs/>
                <w:sz w:val="20"/>
              </w:rPr>
            </w:pPr>
            <w:r w:rsidRPr="008174EF">
              <w:rPr>
                <w:b/>
                <w:bCs/>
                <w:sz w:val="20"/>
              </w:rPr>
              <w:t>Indicadores</w:t>
            </w:r>
          </w:p>
        </w:tc>
        <w:tc>
          <w:tcPr>
            <w:tcW w:w="647" w:type="pct"/>
            <w:tcBorders>
              <w:top w:val="single" w:sz="4" w:space="0" w:color="auto"/>
              <w:left w:val="nil"/>
              <w:bottom w:val="single" w:sz="4" w:space="0" w:color="auto"/>
              <w:right w:val="single" w:sz="4" w:space="0" w:color="auto"/>
            </w:tcBorders>
            <w:shd w:val="clear" w:color="auto" w:fill="auto"/>
            <w:noWrap/>
            <w:vAlign w:val="center"/>
            <w:hideMark/>
          </w:tcPr>
          <w:p w14:paraId="6C629155"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2015</w:t>
            </w:r>
          </w:p>
        </w:tc>
        <w:tc>
          <w:tcPr>
            <w:tcW w:w="606" w:type="pct"/>
            <w:tcBorders>
              <w:top w:val="single" w:sz="4" w:space="0" w:color="auto"/>
              <w:left w:val="nil"/>
              <w:bottom w:val="single" w:sz="4" w:space="0" w:color="auto"/>
              <w:right w:val="single" w:sz="4" w:space="0" w:color="auto"/>
            </w:tcBorders>
            <w:shd w:val="clear" w:color="auto" w:fill="auto"/>
            <w:noWrap/>
            <w:vAlign w:val="center"/>
            <w:hideMark/>
          </w:tcPr>
          <w:p w14:paraId="1C6E6391"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2016</w:t>
            </w:r>
          </w:p>
        </w:tc>
        <w:tc>
          <w:tcPr>
            <w:tcW w:w="574" w:type="pct"/>
            <w:tcBorders>
              <w:top w:val="single" w:sz="4" w:space="0" w:color="auto"/>
              <w:left w:val="nil"/>
              <w:bottom w:val="single" w:sz="4" w:space="0" w:color="auto"/>
              <w:right w:val="single" w:sz="4" w:space="0" w:color="auto"/>
            </w:tcBorders>
            <w:shd w:val="clear" w:color="auto" w:fill="auto"/>
            <w:noWrap/>
            <w:vAlign w:val="center"/>
            <w:hideMark/>
          </w:tcPr>
          <w:p w14:paraId="51EE648D"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2017</w:t>
            </w:r>
          </w:p>
        </w:tc>
        <w:tc>
          <w:tcPr>
            <w:tcW w:w="629" w:type="pct"/>
            <w:tcBorders>
              <w:top w:val="single" w:sz="4" w:space="0" w:color="auto"/>
              <w:left w:val="nil"/>
              <w:bottom w:val="single" w:sz="4" w:space="0" w:color="auto"/>
              <w:right w:val="nil"/>
            </w:tcBorders>
            <w:shd w:val="clear" w:color="auto" w:fill="auto"/>
            <w:noWrap/>
            <w:vAlign w:val="center"/>
            <w:hideMark/>
          </w:tcPr>
          <w:p w14:paraId="41945BE0" w14:textId="77777777" w:rsidR="00980F16" w:rsidRPr="008174EF" w:rsidRDefault="00980F16" w:rsidP="00980F16">
            <w:pPr>
              <w:widowControl/>
              <w:suppressLineNumbers w:val="0"/>
              <w:suppressAutoHyphens w:val="0"/>
              <w:ind w:firstLine="0"/>
              <w:jc w:val="center"/>
              <w:rPr>
                <w:b/>
                <w:bCs/>
                <w:sz w:val="20"/>
              </w:rPr>
            </w:pPr>
            <w:r w:rsidRPr="008174EF">
              <w:rPr>
                <w:b/>
                <w:bCs/>
                <w:sz w:val="20"/>
              </w:rPr>
              <w:t>2018</w:t>
            </w:r>
          </w:p>
        </w:tc>
      </w:tr>
      <w:tr w:rsidR="00980F16" w:rsidRPr="008174EF" w14:paraId="3AF91B92" w14:textId="77777777" w:rsidTr="00410480">
        <w:trPr>
          <w:trHeight w:val="268"/>
        </w:trPr>
        <w:tc>
          <w:tcPr>
            <w:tcW w:w="2544" w:type="pct"/>
            <w:tcBorders>
              <w:top w:val="nil"/>
              <w:left w:val="nil"/>
              <w:bottom w:val="nil"/>
              <w:right w:val="nil"/>
            </w:tcBorders>
            <w:shd w:val="clear" w:color="auto" w:fill="auto"/>
            <w:noWrap/>
            <w:vAlign w:val="center"/>
            <w:hideMark/>
          </w:tcPr>
          <w:p w14:paraId="479E2BBD" w14:textId="77777777" w:rsidR="00980F16" w:rsidRPr="008174EF" w:rsidRDefault="00980F16" w:rsidP="00980F16">
            <w:pPr>
              <w:widowControl/>
              <w:suppressLineNumbers w:val="0"/>
              <w:suppressAutoHyphens w:val="0"/>
              <w:ind w:firstLine="0"/>
              <w:jc w:val="left"/>
              <w:rPr>
                <w:sz w:val="20"/>
              </w:rPr>
            </w:pPr>
            <w:r w:rsidRPr="008174EF">
              <w:rPr>
                <w:sz w:val="20"/>
              </w:rPr>
              <w:t>Margem Bruta</w:t>
            </w:r>
          </w:p>
        </w:tc>
        <w:tc>
          <w:tcPr>
            <w:tcW w:w="647" w:type="pct"/>
            <w:tcBorders>
              <w:top w:val="nil"/>
              <w:left w:val="nil"/>
              <w:bottom w:val="nil"/>
              <w:right w:val="nil"/>
            </w:tcBorders>
            <w:shd w:val="clear" w:color="auto" w:fill="auto"/>
            <w:noWrap/>
            <w:vAlign w:val="center"/>
            <w:hideMark/>
          </w:tcPr>
          <w:p w14:paraId="1A00D997" w14:textId="77777777" w:rsidR="00980F16" w:rsidRPr="008174EF" w:rsidRDefault="00980F16" w:rsidP="00980F16">
            <w:pPr>
              <w:widowControl/>
              <w:suppressLineNumbers w:val="0"/>
              <w:suppressAutoHyphens w:val="0"/>
              <w:ind w:firstLine="0"/>
              <w:jc w:val="right"/>
              <w:rPr>
                <w:sz w:val="20"/>
              </w:rPr>
            </w:pPr>
            <w:r w:rsidRPr="008174EF">
              <w:rPr>
                <w:sz w:val="20"/>
              </w:rPr>
              <w:t>5,45%</w:t>
            </w:r>
          </w:p>
        </w:tc>
        <w:tc>
          <w:tcPr>
            <w:tcW w:w="606" w:type="pct"/>
            <w:tcBorders>
              <w:top w:val="nil"/>
              <w:left w:val="nil"/>
              <w:bottom w:val="nil"/>
              <w:right w:val="nil"/>
            </w:tcBorders>
            <w:shd w:val="clear" w:color="auto" w:fill="auto"/>
            <w:noWrap/>
            <w:vAlign w:val="center"/>
            <w:hideMark/>
          </w:tcPr>
          <w:p w14:paraId="2DA826DC" w14:textId="77777777" w:rsidR="00980F16" w:rsidRPr="008174EF" w:rsidRDefault="00980F16" w:rsidP="00980F16">
            <w:pPr>
              <w:widowControl/>
              <w:suppressLineNumbers w:val="0"/>
              <w:suppressAutoHyphens w:val="0"/>
              <w:ind w:firstLine="0"/>
              <w:jc w:val="right"/>
              <w:rPr>
                <w:sz w:val="20"/>
              </w:rPr>
            </w:pPr>
            <w:r w:rsidRPr="008174EF">
              <w:rPr>
                <w:sz w:val="20"/>
              </w:rPr>
              <w:t>16,72%</w:t>
            </w:r>
          </w:p>
        </w:tc>
        <w:tc>
          <w:tcPr>
            <w:tcW w:w="574" w:type="pct"/>
            <w:tcBorders>
              <w:top w:val="nil"/>
              <w:left w:val="nil"/>
              <w:bottom w:val="nil"/>
              <w:right w:val="nil"/>
            </w:tcBorders>
            <w:shd w:val="clear" w:color="auto" w:fill="auto"/>
            <w:noWrap/>
            <w:vAlign w:val="center"/>
            <w:hideMark/>
          </w:tcPr>
          <w:p w14:paraId="26E797D2" w14:textId="77777777" w:rsidR="00980F16" w:rsidRPr="008174EF" w:rsidRDefault="00980F16" w:rsidP="00980F16">
            <w:pPr>
              <w:widowControl/>
              <w:suppressLineNumbers w:val="0"/>
              <w:suppressAutoHyphens w:val="0"/>
              <w:ind w:firstLine="0"/>
              <w:jc w:val="right"/>
              <w:rPr>
                <w:sz w:val="20"/>
              </w:rPr>
            </w:pPr>
            <w:r w:rsidRPr="008174EF">
              <w:rPr>
                <w:sz w:val="20"/>
              </w:rPr>
              <w:t>14,20%</w:t>
            </w:r>
          </w:p>
        </w:tc>
        <w:tc>
          <w:tcPr>
            <w:tcW w:w="629" w:type="pct"/>
            <w:tcBorders>
              <w:top w:val="nil"/>
              <w:left w:val="nil"/>
              <w:bottom w:val="nil"/>
              <w:right w:val="nil"/>
            </w:tcBorders>
            <w:shd w:val="clear" w:color="auto" w:fill="auto"/>
            <w:noWrap/>
            <w:vAlign w:val="center"/>
            <w:hideMark/>
          </w:tcPr>
          <w:p w14:paraId="1DB81B39" w14:textId="77777777" w:rsidR="00980F16" w:rsidRPr="008174EF" w:rsidRDefault="00980F16" w:rsidP="00980F16">
            <w:pPr>
              <w:widowControl/>
              <w:suppressLineNumbers w:val="0"/>
              <w:suppressAutoHyphens w:val="0"/>
              <w:ind w:firstLine="0"/>
              <w:jc w:val="right"/>
              <w:rPr>
                <w:sz w:val="20"/>
              </w:rPr>
            </w:pPr>
            <w:r w:rsidRPr="008174EF">
              <w:rPr>
                <w:sz w:val="20"/>
              </w:rPr>
              <w:t>21,08%</w:t>
            </w:r>
          </w:p>
        </w:tc>
      </w:tr>
      <w:tr w:rsidR="00980F16" w:rsidRPr="008174EF" w14:paraId="3C3252A7" w14:textId="77777777" w:rsidTr="00410480">
        <w:trPr>
          <w:trHeight w:val="268"/>
        </w:trPr>
        <w:tc>
          <w:tcPr>
            <w:tcW w:w="2544" w:type="pct"/>
            <w:tcBorders>
              <w:top w:val="nil"/>
              <w:left w:val="nil"/>
              <w:bottom w:val="nil"/>
              <w:right w:val="nil"/>
            </w:tcBorders>
            <w:shd w:val="clear" w:color="auto" w:fill="auto"/>
            <w:noWrap/>
            <w:vAlign w:val="center"/>
            <w:hideMark/>
          </w:tcPr>
          <w:p w14:paraId="01A37CEB" w14:textId="77777777" w:rsidR="00980F16" w:rsidRPr="008174EF" w:rsidRDefault="00980F16" w:rsidP="00980F16">
            <w:pPr>
              <w:widowControl/>
              <w:suppressLineNumbers w:val="0"/>
              <w:suppressAutoHyphens w:val="0"/>
              <w:ind w:firstLine="0"/>
              <w:jc w:val="left"/>
              <w:rPr>
                <w:sz w:val="20"/>
              </w:rPr>
            </w:pPr>
            <w:r w:rsidRPr="008174EF">
              <w:rPr>
                <w:sz w:val="20"/>
              </w:rPr>
              <w:t>Margem Operacional</w:t>
            </w:r>
          </w:p>
        </w:tc>
        <w:tc>
          <w:tcPr>
            <w:tcW w:w="647" w:type="pct"/>
            <w:tcBorders>
              <w:top w:val="nil"/>
              <w:left w:val="nil"/>
              <w:bottom w:val="nil"/>
              <w:right w:val="nil"/>
            </w:tcBorders>
            <w:shd w:val="clear" w:color="auto" w:fill="auto"/>
            <w:noWrap/>
            <w:vAlign w:val="center"/>
            <w:hideMark/>
          </w:tcPr>
          <w:p w14:paraId="77FC04C8" w14:textId="77777777" w:rsidR="00980F16" w:rsidRPr="008174EF" w:rsidRDefault="00980F16" w:rsidP="00980F16">
            <w:pPr>
              <w:widowControl/>
              <w:suppressLineNumbers w:val="0"/>
              <w:suppressAutoHyphens w:val="0"/>
              <w:ind w:firstLine="0"/>
              <w:jc w:val="right"/>
              <w:rPr>
                <w:sz w:val="20"/>
              </w:rPr>
            </w:pPr>
            <w:r w:rsidRPr="008174EF">
              <w:rPr>
                <w:sz w:val="20"/>
              </w:rPr>
              <w:t>-10,35%</w:t>
            </w:r>
          </w:p>
        </w:tc>
        <w:tc>
          <w:tcPr>
            <w:tcW w:w="606" w:type="pct"/>
            <w:tcBorders>
              <w:top w:val="nil"/>
              <w:left w:val="nil"/>
              <w:bottom w:val="nil"/>
              <w:right w:val="nil"/>
            </w:tcBorders>
            <w:shd w:val="clear" w:color="auto" w:fill="auto"/>
            <w:noWrap/>
            <w:vAlign w:val="center"/>
            <w:hideMark/>
          </w:tcPr>
          <w:p w14:paraId="1A505C74" w14:textId="77777777" w:rsidR="00980F16" w:rsidRPr="008174EF" w:rsidRDefault="00980F16" w:rsidP="00980F16">
            <w:pPr>
              <w:widowControl/>
              <w:suppressLineNumbers w:val="0"/>
              <w:suppressAutoHyphens w:val="0"/>
              <w:ind w:firstLine="0"/>
              <w:jc w:val="right"/>
              <w:rPr>
                <w:sz w:val="20"/>
              </w:rPr>
            </w:pPr>
            <w:r w:rsidRPr="008174EF">
              <w:rPr>
                <w:sz w:val="20"/>
              </w:rPr>
              <w:t>0,18%</w:t>
            </w:r>
          </w:p>
        </w:tc>
        <w:tc>
          <w:tcPr>
            <w:tcW w:w="574" w:type="pct"/>
            <w:tcBorders>
              <w:top w:val="nil"/>
              <w:left w:val="nil"/>
              <w:bottom w:val="nil"/>
              <w:right w:val="nil"/>
            </w:tcBorders>
            <w:shd w:val="clear" w:color="auto" w:fill="auto"/>
            <w:noWrap/>
            <w:vAlign w:val="center"/>
            <w:hideMark/>
          </w:tcPr>
          <w:p w14:paraId="17F78D75" w14:textId="77777777" w:rsidR="00980F16" w:rsidRPr="008174EF" w:rsidRDefault="00980F16" w:rsidP="00980F16">
            <w:pPr>
              <w:widowControl/>
              <w:suppressLineNumbers w:val="0"/>
              <w:suppressAutoHyphens w:val="0"/>
              <w:ind w:firstLine="0"/>
              <w:jc w:val="right"/>
              <w:rPr>
                <w:sz w:val="20"/>
              </w:rPr>
            </w:pPr>
            <w:r w:rsidRPr="008174EF">
              <w:rPr>
                <w:sz w:val="20"/>
              </w:rPr>
              <w:t>-1,45%</w:t>
            </w:r>
          </w:p>
        </w:tc>
        <w:tc>
          <w:tcPr>
            <w:tcW w:w="629" w:type="pct"/>
            <w:tcBorders>
              <w:top w:val="nil"/>
              <w:left w:val="nil"/>
              <w:bottom w:val="nil"/>
              <w:right w:val="nil"/>
            </w:tcBorders>
            <w:shd w:val="clear" w:color="auto" w:fill="auto"/>
            <w:noWrap/>
            <w:vAlign w:val="center"/>
            <w:hideMark/>
          </w:tcPr>
          <w:p w14:paraId="0EFA87A4" w14:textId="77777777" w:rsidR="00980F16" w:rsidRPr="008174EF" w:rsidRDefault="00980F16" w:rsidP="00980F16">
            <w:pPr>
              <w:widowControl/>
              <w:suppressLineNumbers w:val="0"/>
              <w:suppressAutoHyphens w:val="0"/>
              <w:ind w:firstLine="0"/>
              <w:jc w:val="right"/>
              <w:rPr>
                <w:sz w:val="20"/>
              </w:rPr>
            </w:pPr>
            <w:r w:rsidRPr="008174EF">
              <w:rPr>
                <w:sz w:val="20"/>
              </w:rPr>
              <w:t>8,60%</w:t>
            </w:r>
          </w:p>
        </w:tc>
      </w:tr>
      <w:tr w:rsidR="00980F16" w:rsidRPr="008174EF" w14:paraId="14A0BD0E" w14:textId="77777777" w:rsidTr="00410480">
        <w:trPr>
          <w:trHeight w:val="268"/>
        </w:trPr>
        <w:tc>
          <w:tcPr>
            <w:tcW w:w="2544" w:type="pct"/>
            <w:tcBorders>
              <w:top w:val="nil"/>
              <w:left w:val="nil"/>
              <w:bottom w:val="nil"/>
              <w:right w:val="nil"/>
            </w:tcBorders>
            <w:shd w:val="clear" w:color="auto" w:fill="auto"/>
            <w:noWrap/>
            <w:vAlign w:val="center"/>
            <w:hideMark/>
          </w:tcPr>
          <w:p w14:paraId="7199B3B8" w14:textId="77777777" w:rsidR="00980F16" w:rsidRPr="008174EF" w:rsidRDefault="00980F16" w:rsidP="00980F16">
            <w:pPr>
              <w:widowControl/>
              <w:suppressLineNumbers w:val="0"/>
              <w:suppressAutoHyphens w:val="0"/>
              <w:ind w:firstLine="0"/>
              <w:jc w:val="left"/>
              <w:rPr>
                <w:sz w:val="20"/>
              </w:rPr>
            </w:pPr>
            <w:r w:rsidRPr="008174EF">
              <w:rPr>
                <w:sz w:val="20"/>
              </w:rPr>
              <w:t>Margem Líquida</w:t>
            </w:r>
          </w:p>
        </w:tc>
        <w:tc>
          <w:tcPr>
            <w:tcW w:w="647" w:type="pct"/>
            <w:tcBorders>
              <w:top w:val="nil"/>
              <w:left w:val="nil"/>
              <w:bottom w:val="nil"/>
              <w:right w:val="nil"/>
            </w:tcBorders>
            <w:shd w:val="clear" w:color="auto" w:fill="auto"/>
            <w:noWrap/>
            <w:vAlign w:val="center"/>
            <w:hideMark/>
          </w:tcPr>
          <w:p w14:paraId="30909EFE" w14:textId="77777777" w:rsidR="00980F16" w:rsidRPr="008174EF" w:rsidRDefault="00980F16" w:rsidP="00980F16">
            <w:pPr>
              <w:widowControl/>
              <w:suppressLineNumbers w:val="0"/>
              <w:suppressAutoHyphens w:val="0"/>
              <w:ind w:firstLine="0"/>
              <w:jc w:val="right"/>
              <w:rPr>
                <w:sz w:val="20"/>
              </w:rPr>
            </w:pPr>
            <w:r w:rsidRPr="008174EF">
              <w:rPr>
                <w:sz w:val="20"/>
              </w:rPr>
              <w:t>-10,35%</w:t>
            </w:r>
          </w:p>
        </w:tc>
        <w:tc>
          <w:tcPr>
            <w:tcW w:w="606" w:type="pct"/>
            <w:tcBorders>
              <w:top w:val="nil"/>
              <w:left w:val="nil"/>
              <w:bottom w:val="nil"/>
              <w:right w:val="nil"/>
            </w:tcBorders>
            <w:shd w:val="clear" w:color="auto" w:fill="auto"/>
            <w:noWrap/>
            <w:vAlign w:val="center"/>
            <w:hideMark/>
          </w:tcPr>
          <w:p w14:paraId="37304792" w14:textId="77777777" w:rsidR="00980F16" w:rsidRPr="008174EF" w:rsidRDefault="00980F16" w:rsidP="00980F16">
            <w:pPr>
              <w:widowControl/>
              <w:suppressLineNumbers w:val="0"/>
              <w:suppressAutoHyphens w:val="0"/>
              <w:ind w:firstLine="0"/>
              <w:jc w:val="right"/>
              <w:rPr>
                <w:sz w:val="20"/>
              </w:rPr>
            </w:pPr>
            <w:r w:rsidRPr="008174EF">
              <w:rPr>
                <w:sz w:val="20"/>
              </w:rPr>
              <w:t>0,18%</w:t>
            </w:r>
          </w:p>
        </w:tc>
        <w:tc>
          <w:tcPr>
            <w:tcW w:w="574" w:type="pct"/>
            <w:tcBorders>
              <w:top w:val="nil"/>
              <w:left w:val="nil"/>
              <w:bottom w:val="nil"/>
              <w:right w:val="nil"/>
            </w:tcBorders>
            <w:shd w:val="clear" w:color="auto" w:fill="auto"/>
            <w:noWrap/>
            <w:vAlign w:val="center"/>
            <w:hideMark/>
          </w:tcPr>
          <w:p w14:paraId="523688F3" w14:textId="77777777" w:rsidR="00980F16" w:rsidRPr="008174EF" w:rsidRDefault="00980F16" w:rsidP="00980F16">
            <w:pPr>
              <w:widowControl/>
              <w:suppressLineNumbers w:val="0"/>
              <w:suppressAutoHyphens w:val="0"/>
              <w:ind w:firstLine="0"/>
              <w:jc w:val="right"/>
              <w:rPr>
                <w:sz w:val="20"/>
              </w:rPr>
            </w:pPr>
            <w:r w:rsidRPr="008174EF">
              <w:rPr>
                <w:sz w:val="20"/>
              </w:rPr>
              <w:t>-1,45%</w:t>
            </w:r>
          </w:p>
        </w:tc>
        <w:tc>
          <w:tcPr>
            <w:tcW w:w="629" w:type="pct"/>
            <w:tcBorders>
              <w:top w:val="nil"/>
              <w:left w:val="nil"/>
              <w:bottom w:val="nil"/>
              <w:right w:val="nil"/>
            </w:tcBorders>
            <w:shd w:val="clear" w:color="auto" w:fill="auto"/>
            <w:noWrap/>
            <w:vAlign w:val="center"/>
            <w:hideMark/>
          </w:tcPr>
          <w:p w14:paraId="1130B51C" w14:textId="77777777" w:rsidR="00980F16" w:rsidRPr="008174EF" w:rsidRDefault="00980F16" w:rsidP="00980F16">
            <w:pPr>
              <w:widowControl/>
              <w:suppressLineNumbers w:val="0"/>
              <w:suppressAutoHyphens w:val="0"/>
              <w:ind w:firstLine="0"/>
              <w:jc w:val="right"/>
              <w:rPr>
                <w:sz w:val="20"/>
              </w:rPr>
            </w:pPr>
            <w:r w:rsidRPr="008174EF">
              <w:rPr>
                <w:sz w:val="20"/>
              </w:rPr>
              <w:t>8,60%</w:t>
            </w:r>
          </w:p>
        </w:tc>
      </w:tr>
      <w:tr w:rsidR="00980F16" w:rsidRPr="008174EF" w14:paraId="57D714EF" w14:textId="77777777" w:rsidTr="00410480">
        <w:trPr>
          <w:trHeight w:val="268"/>
        </w:trPr>
        <w:tc>
          <w:tcPr>
            <w:tcW w:w="2544" w:type="pct"/>
            <w:tcBorders>
              <w:top w:val="nil"/>
              <w:left w:val="nil"/>
              <w:bottom w:val="nil"/>
              <w:right w:val="nil"/>
            </w:tcBorders>
            <w:shd w:val="clear" w:color="auto" w:fill="auto"/>
            <w:noWrap/>
            <w:vAlign w:val="center"/>
            <w:hideMark/>
          </w:tcPr>
          <w:p w14:paraId="7581794E" w14:textId="77777777" w:rsidR="00980F16" w:rsidRPr="008174EF" w:rsidRDefault="00980F16" w:rsidP="00980F16">
            <w:pPr>
              <w:widowControl/>
              <w:suppressLineNumbers w:val="0"/>
              <w:suppressAutoHyphens w:val="0"/>
              <w:ind w:firstLine="0"/>
              <w:jc w:val="left"/>
              <w:rPr>
                <w:sz w:val="20"/>
              </w:rPr>
            </w:pPr>
            <w:r w:rsidRPr="008174EF">
              <w:rPr>
                <w:sz w:val="20"/>
              </w:rPr>
              <w:t>Margem EBITDA</w:t>
            </w:r>
          </w:p>
        </w:tc>
        <w:tc>
          <w:tcPr>
            <w:tcW w:w="647" w:type="pct"/>
            <w:tcBorders>
              <w:top w:val="nil"/>
              <w:left w:val="nil"/>
              <w:bottom w:val="nil"/>
              <w:right w:val="nil"/>
            </w:tcBorders>
            <w:shd w:val="clear" w:color="auto" w:fill="auto"/>
            <w:noWrap/>
            <w:vAlign w:val="center"/>
            <w:hideMark/>
          </w:tcPr>
          <w:p w14:paraId="0317A086" w14:textId="77777777" w:rsidR="00980F16" w:rsidRPr="008174EF" w:rsidRDefault="00980F16" w:rsidP="00980F16">
            <w:pPr>
              <w:widowControl/>
              <w:suppressLineNumbers w:val="0"/>
              <w:suppressAutoHyphens w:val="0"/>
              <w:ind w:firstLine="0"/>
              <w:jc w:val="right"/>
              <w:rPr>
                <w:sz w:val="20"/>
              </w:rPr>
            </w:pPr>
            <w:r w:rsidRPr="008174EF">
              <w:rPr>
                <w:sz w:val="20"/>
              </w:rPr>
              <w:t>-12,12%</w:t>
            </w:r>
          </w:p>
        </w:tc>
        <w:tc>
          <w:tcPr>
            <w:tcW w:w="606" w:type="pct"/>
            <w:tcBorders>
              <w:top w:val="nil"/>
              <w:left w:val="nil"/>
              <w:bottom w:val="nil"/>
              <w:right w:val="nil"/>
            </w:tcBorders>
            <w:shd w:val="clear" w:color="auto" w:fill="auto"/>
            <w:noWrap/>
            <w:vAlign w:val="center"/>
            <w:hideMark/>
          </w:tcPr>
          <w:p w14:paraId="3C75D978" w14:textId="77777777" w:rsidR="00980F16" w:rsidRPr="008174EF" w:rsidRDefault="00980F16" w:rsidP="00980F16">
            <w:pPr>
              <w:widowControl/>
              <w:suppressLineNumbers w:val="0"/>
              <w:suppressAutoHyphens w:val="0"/>
              <w:ind w:firstLine="0"/>
              <w:jc w:val="right"/>
              <w:rPr>
                <w:sz w:val="20"/>
              </w:rPr>
            </w:pPr>
            <w:r w:rsidRPr="008174EF">
              <w:rPr>
                <w:sz w:val="20"/>
              </w:rPr>
              <w:t>-0,78%</w:t>
            </w:r>
          </w:p>
        </w:tc>
        <w:tc>
          <w:tcPr>
            <w:tcW w:w="574" w:type="pct"/>
            <w:tcBorders>
              <w:top w:val="nil"/>
              <w:left w:val="nil"/>
              <w:bottom w:val="nil"/>
              <w:right w:val="nil"/>
            </w:tcBorders>
            <w:shd w:val="clear" w:color="auto" w:fill="auto"/>
            <w:noWrap/>
            <w:vAlign w:val="center"/>
            <w:hideMark/>
          </w:tcPr>
          <w:p w14:paraId="1024B18E" w14:textId="77777777" w:rsidR="00980F16" w:rsidRPr="008174EF" w:rsidRDefault="00980F16" w:rsidP="00980F16">
            <w:pPr>
              <w:widowControl/>
              <w:suppressLineNumbers w:val="0"/>
              <w:suppressAutoHyphens w:val="0"/>
              <w:ind w:firstLine="0"/>
              <w:jc w:val="right"/>
              <w:rPr>
                <w:sz w:val="20"/>
              </w:rPr>
            </w:pPr>
            <w:r w:rsidRPr="008174EF">
              <w:rPr>
                <w:sz w:val="20"/>
              </w:rPr>
              <w:t>-2,55%</w:t>
            </w:r>
          </w:p>
        </w:tc>
        <w:tc>
          <w:tcPr>
            <w:tcW w:w="629" w:type="pct"/>
            <w:tcBorders>
              <w:top w:val="nil"/>
              <w:left w:val="nil"/>
              <w:bottom w:val="nil"/>
              <w:right w:val="nil"/>
            </w:tcBorders>
            <w:shd w:val="clear" w:color="auto" w:fill="auto"/>
            <w:noWrap/>
            <w:vAlign w:val="center"/>
            <w:hideMark/>
          </w:tcPr>
          <w:p w14:paraId="6ABC60B6" w14:textId="77777777" w:rsidR="00980F16" w:rsidRPr="008174EF" w:rsidRDefault="00980F16" w:rsidP="00980F16">
            <w:pPr>
              <w:widowControl/>
              <w:suppressLineNumbers w:val="0"/>
              <w:suppressAutoHyphens w:val="0"/>
              <w:ind w:firstLine="0"/>
              <w:jc w:val="right"/>
              <w:rPr>
                <w:sz w:val="20"/>
              </w:rPr>
            </w:pPr>
            <w:r w:rsidRPr="008174EF">
              <w:rPr>
                <w:sz w:val="20"/>
              </w:rPr>
              <w:t>8,16%</w:t>
            </w:r>
          </w:p>
        </w:tc>
      </w:tr>
      <w:tr w:rsidR="00980F16" w:rsidRPr="008174EF" w14:paraId="4810929F" w14:textId="77777777" w:rsidTr="00410480">
        <w:trPr>
          <w:trHeight w:val="268"/>
        </w:trPr>
        <w:tc>
          <w:tcPr>
            <w:tcW w:w="2544" w:type="pct"/>
            <w:tcBorders>
              <w:top w:val="nil"/>
              <w:left w:val="nil"/>
              <w:bottom w:val="nil"/>
              <w:right w:val="nil"/>
            </w:tcBorders>
            <w:shd w:val="clear" w:color="auto" w:fill="auto"/>
            <w:noWrap/>
            <w:vAlign w:val="center"/>
            <w:hideMark/>
          </w:tcPr>
          <w:p w14:paraId="714B0776" w14:textId="77777777" w:rsidR="00980F16" w:rsidRPr="008174EF" w:rsidRDefault="00980F16" w:rsidP="00980F16">
            <w:pPr>
              <w:widowControl/>
              <w:suppressLineNumbers w:val="0"/>
              <w:suppressAutoHyphens w:val="0"/>
              <w:ind w:firstLine="0"/>
              <w:jc w:val="left"/>
              <w:rPr>
                <w:sz w:val="20"/>
              </w:rPr>
            </w:pPr>
            <w:r w:rsidRPr="008174EF">
              <w:rPr>
                <w:sz w:val="20"/>
              </w:rPr>
              <w:t>Retorno sobre Patrimônio Líquido (ROE)</w:t>
            </w:r>
          </w:p>
        </w:tc>
        <w:tc>
          <w:tcPr>
            <w:tcW w:w="647" w:type="pct"/>
            <w:tcBorders>
              <w:top w:val="nil"/>
              <w:left w:val="nil"/>
              <w:bottom w:val="nil"/>
              <w:right w:val="nil"/>
            </w:tcBorders>
            <w:shd w:val="clear" w:color="auto" w:fill="auto"/>
            <w:noWrap/>
            <w:vAlign w:val="center"/>
            <w:hideMark/>
          </w:tcPr>
          <w:p w14:paraId="666A369F" w14:textId="77777777" w:rsidR="00980F16" w:rsidRPr="008174EF" w:rsidRDefault="00980F16" w:rsidP="00980F16">
            <w:pPr>
              <w:widowControl/>
              <w:suppressLineNumbers w:val="0"/>
              <w:suppressAutoHyphens w:val="0"/>
              <w:ind w:firstLine="0"/>
              <w:jc w:val="center"/>
              <w:rPr>
                <w:sz w:val="20"/>
              </w:rPr>
            </w:pPr>
            <w:r w:rsidRPr="008174EF">
              <w:rPr>
                <w:sz w:val="20"/>
              </w:rPr>
              <w:t>-</w:t>
            </w:r>
          </w:p>
        </w:tc>
        <w:tc>
          <w:tcPr>
            <w:tcW w:w="606" w:type="pct"/>
            <w:tcBorders>
              <w:top w:val="nil"/>
              <w:left w:val="nil"/>
              <w:bottom w:val="nil"/>
              <w:right w:val="nil"/>
            </w:tcBorders>
            <w:shd w:val="clear" w:color="auto" w:fill="auto"/>
            <w:noWrap/>
            <w:vAlign w:val="center"/>
            <w:hideMark/>
          </w:tcPr>
          <w:p w14:paraId="13BE5C3D" w14:textId="77777777" w:rsidR="00980F16" w:rsidRPr="008174EF" w:rsidRDefault="00980F16" w:rsidP="00980F16">
            <w:pPr>
              <w:widowControl/>
              <w:suppressLineNumbers w:val="0"/>
              <w:suppressAutoHyphens w:val="0"/>
              <w:ind w:firstLine="0"/>
              <w:jc w:val="right"/>
              <w:rPr>
                <w:sz w:val="20"/>
              </w:rPr>
            </w:pPr>
            <w:r w:rsidRPr="008174EF">
              <w:rPr>
                <w:sz w:val="20"/>
              </w:rPr>
              <w:t>-44,55%</w:t>
            </w:r>
          </w:p>
        </w:tc>
        <w:tc>
          <w:tcPr>
            <w:tcW w:w="574" w:type="pct"/>
            <w:tcBorders>
              <w:top w:val="nil"/>
              <w:left w:val="nil"/>
              <w:bottom w:val="nil"/>
              <w:right w:val="nil"/>
            </w:tcBorders>
            <w:shd w:val="clear" w:color="auto" w:fill="auto"/>
            <w:noWrap/>
            <w:vAlign w:val="center"/>
            <w:hideMark/>
          </w:tcPr>
          <w:p w14:paraId="08E547E9" w14:textId="77777777" w:rsidR="00980F16" w:rsidRPr="008174EF" w:rsidRDefault="00980F16" w:rsidP="00980F16">
            <w:pPr>
              <w:widowControl/>
              <w:suppressLineNumbers w:val="0"/>
              <w:suppressAutoHyphens w:val="0"/>
              <w:ind w:firstLine="0"/>
              <w:jc w:val="center"/>
              <w:rPr>
                <w:sz w:val="20"/>
              </w:rPr>
            </w:pPr>
            <w:r w:rsidRPr="008174EF">
              <w:rPr>
                <w:sz w:val="20"/>
              </w:rPr>
              <w:t>-</w:t>
            </w:r>
          </w:p>
        </w:tc>
        <w:tc>
          <w:tcPr>
            <w:tcW w:w="629" w:type="pct"/>
            <w:tcBorders>
              <w:top w:val="nil"/>
              <w:left w:val="nil"/>
              <w:bottom w:val="nil"/>
              <w:right w:val="nil"/>
            </w:tcBorders>
            <w:shd w:val="clear" w:color="auto" w:fill="auto"/>
            <w:noWrap/>
            <w:vAlign w:val="center"/>
            <w:hideMark/>
          </w:tcPr>
          <w:p w14:paraId="5F046E83" w14:textId="77777777" w:rsidR="00980F16" w:rsidRPr="008174EF" w:rsidRDefault="00980F16" w:rsidP="00980F16">
            <w:pPr>
              <w:widowControl/>
              <w:suppressLineNumbers w:val="0"/>
              <w:suppressAutoHyphens w:val="0"/>
              <w:ind w:firstLine="0"/>
              <w:jc w:val="right"/>
              <w:rPr>
                <w:sz w:val="20"/>
              </w:rPr>
            </w:pPr>
            <w:r w:rsidRPr="008174EF">
              <w:rPr>
                <w:sz w:val="20"/>
              </w:rPr>
              <w:t>122,18%</w:t>
            </w:r>
          </w:p>
        </w:tc>
      </w:tr>
      <w:tr w:rsidR="00980F16" w:rsidRPr="008174EF" w14:paraId="24ABC028" w14:textId="77777777" w:rsidTr="00410480">
        <w:trPr>
          <w:trHeight w:val="268"/>
        </w:trPr>
        <w:tc>
          <w:tcPr>
            <w:tcW w:w="2544" w:type="pct"/>
            <w:tcBorders>
              <w:top w:val="nil"/>
              <w:left w:val="nil"/>
              <w:bottom w:val="single" w:sz="4" w:space="0" w:color="auto"/>
              <w:right w:val="nil"/>
            </w:tcBorders>
            <w:shd w:val="clear" w:color="auto" w:fill="auto"/>
            <w:noWrap/>
            <w:vAlign w:val="center"/>
            <w:hideMark/>
          </w:tcPr>
          <w:p w14:paraId="3ED5C158" w14:textId="77777777" w:rsidR="00980F16" w:rsidRPr="008174EF" w:rsidRDefault="00980F16" w:rsidP="00980F16">
            <w:pPr>
              <w:widowControl/>
              <w:suppressLineNumbers w:val="0"/>
              <w:suppressAutoHyphens w:val="0"/>
              <w:ind w:firstLine="0"/>
              <w:jc w:val="left"/>
              <w:rPr>
                <w:sz w:val="20"/>
              </w:rPr>
            </w:pPr>
            <w:r w:rsidRPr="008174EF">
              <w:rPr>
                <w:sz w:val="20"/>
              </w:rPr>
              <w:t>Retorno sobre Ativo (ROA)</w:t>
            </w:r>
          </w:p>
        </w:tc>
        <w:tc>
          <w:tcPr>
            <w:tcW w:w="647" w:type="pct"/>
            <w:tcBorders>
              <w:top w:val="nil"/>
              <w:left w:val="nil"/>
              <w:bottom w:val="single" w:sz="4" w:space="0" w:color="auto"/>
              <w:right w:val="nil"/>
            </w:tcBorders>
            <w:shd w:val="clear" w:color="auto" w:fill="auto"/>
            <w:noWrap/>
            <w:vAlign w:val="center"/>
            <w:hideMark/>
          </w:tcPr>
          <w:p w14:paraId="29670FCE" w14:textId="77777777" w:rsidR="00980F16" w:rsidRPr="008174EF" w:rsidRDefault="00980F16" w:rsidP="00980F16">
            <w:pPr>
              <w:widowControl/>
              <w:suppressLineNumbers w:val="0"/>
              <w:suppressAutoHyphens w:val="0"/>
              <w:ind w:firstLine="0"/>
              <w:jc w:val="right"/>
              <w:rPr>
                <w:sz w:val="20"/>
              </w:rPr>
            </w:pPr>
            <w:r w:rsidRPr="008174EF">
              <w:rPr>
                <w:sz w:val="20"/>
              </w:rPr>
              <w:t>-40,52%</w:t>
            </w:r>
          </w:p>
        </w:tc>
        <w:tc>
          <w:tcPr>
            <w:tcW w:w="606" w:type="pct"/>
            <w:tcBorders>
              <w:top w:val="nil"/>
              <w:left w:val="nil"/>
              <w:bottom w:val="single" w:sz="4" w:space="0" w:color="auto"/>
              <w:right w:val="nil"/>
            </w:tcBorders>
            <w:shd w:val="clear" w:color="auto" w:fill="auto"/>
            <w:noWrap/>
            <w:vAlign w:val="center"/>
            <w:hideMark/>
          </w:tcPr>
          <w:p w14:paraId="71D62C92" w14:textId="77777777" w:rsidR="00980F16" w:rsidRPr="008174EF" w:rsidRDefault="00980F16" w:rsidP="00980F16">
            <w:pPr>
              <w:widowControl/>
              <w:suppressLineNumbers w:val="0"/>
              <w:suppressAutoHyphens w:val="0"/>
              <w:ind w:firstLine="0"/>
              <w:jc w:val="right"/>
              <w:rPr>
                <w:sz w:val="20"/>
              </w:rPr>
            </w:pPr>
            <w:r w:rsidRPr="008174EF">
              <w:rPr>
                <w:sz w:val="20"/>
              </w:rPr>
              <w:t>0,61%</w:t>
            </w:r>
          </w:p>
        </w:tc>
        <w:tc>
          <w:tcPr>
            <w:tcW w:w="574" w:type="pct"/>
            <w:tcBorders>
              <w:top w:val="nil"/>
              <w:left w:val="nil"/>
              <w:bottom w:val="single" w:sz="4" w:space="0" w:color="auto"/>
              <w:right w:val="nil"/>
            </w:tcBorders>
            <w:shd w:val="clear" w:color="auto" w:fill="auto"/>
            <w:noWrap/>
            <w:vAlign w:val="center"/>
            <w:hideMark/>
          </w:tcPr>
          <w:p w14:paraId="4078DBF8" w14:textId="77777777" w:rsidR="00980F16" w:rsidRPr="008174EF" w:rsidRDefault="00980F16" w:rsidP="00980F16">
            <w:pPr>
              <w:widowControl/>
              <w:suppressLineNumbers w:val="0"/>
              <w:suppressAutoHyphens w:val="0"/>
              <w:ind w:firstLine="0"/>
              <w:jc w:val="right"/>
              <w:rPr>
                <w:sz w:val="20"/>
              </w:rPr>
            </w:pPr>
            <w:r w:rsidRPr="008174EF">
              <w:rPr>
                <w:sz w:val="20"/>
              </w:rPr>
              <w:t>-6,48%</w:t>
            </w:r>
          </w:p>
        </w:tc>
        <w:tc>
          <w:tcPr>
            <w:tcW w:w="629" w:type="pct"/>
            <w:tcBorders>
              <w:top w:val="nil"/>
              <w:left w:val="nil"/>
              <w:bottom w:val="single" w:sz="4" w:space="0" w:color="auto"/>
              <w:right w:val="nil"/>
            </w:tcBorders>
            <w:shd w:val="clear" w:color="auto" w:fill="auto"/>
            <w:noWrap/>
            <w:vAlign w:val="center"/>
            <w:hideMark/>
          </w:tcPr>
          <w:p w14:paraId="779B878A" w14:textId="77777777" w:rsidR="00980F16" w:rsidRPr="008174EF" w:rsidRDefault="00980F16" w:rsidP="00980F16">
            <w:pPr>
              <w:widowControl/>
              <w:suppressLineNumbers w:val="0"/>
              <w:suppressAutoHyphens w:val="0"/>
              <w:ind w:firstLine="0"/>
              <w:jc w:val="right"/>
              <w:rPr>
                <w:sz w:val="20"/>
              </w:rPr>
            </w:pPr>
            <w:r w:rsidRPr="008174EF">
              <w:rPr>
                <w:sz w:val="20"/>
              </w:rPr>
              <w:t>27,92%</w:t>
            </w:r>
          </w:p>
        </w:tc>
      </w:tr>
    </w:tbl>
    <w:p w14:paraId="6BF77E4B" w14:textId="77777777" w:rsidR="00980F16" w:rsidRPr="008174EF" w:rsidRDefault="00980F16" w:rsidP="00E47099">
      <w:pPr>
        <w:widowControl/>
        <w:suppressLineNumbers w:val="0"/>
        <w:shd w:val="clear" w:color="auto" w:fill="FFFFFF"/>
        <w:suppressAutoHyphens w:val="0"/>
        <w:ind w:firstLine="0"/>
        <w:rPr>
          <w:rFonts w:eastAsia="Calibri"/>
          <w:sz w:val="20"/>
          <w:szCs w:val="22"/>
          <w:lang w:eastAsia="en-US"/>
        </w:rPr>
      </w:pPr>
      <w:r w:rsidRPr="008174EF">
        <w:rPr>
          <w:rFonts w:eastAsia="Calibri"/>
          <w:sz w:val="20"/>
          <w:szCs w:val="22"/>
          <w:lang w:eastAsia="en-US"/>
        </w:rPr>
        <w:t>Fonte: Dados da pesquisa (2019).</w:t>
      </w:r>
    </w:p>
    <w:p w14:paraId="665B817A" w14:textId="77777777" w:rsidR="00E47099" w:rsidRDefault="00E47099" w:rsidP="00410480">
      <w:pPr>
        <w:widowControl/>
        <w:suppressLineNumbers w:val="0"/>
        <w:shd w:val="clear" w:color="auto" w:fill="FFFFFF"/>
        <w:suppressAutoHyphens w:val="0"/>
        <w:ind w:firstLine="708"/>
        <w:rPr>
          <w:rFonts w:eastAsia="Calibri"/>
          <w:szCs w:val="22"/>
          <w:lang w:eastAsia="en-US"/>
        </w:rPr>
      </w:pPr>
    </w:p>
    <w:p w14:paraId="08E260AB" w14:textId="0D0A7C9E"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No período de 2015 a 2018</w:t>
      </w:r>
      <w:r w:rsidR="00C544BA" w:rsidRPr="008174EF">
        <w:rPr>
          <w:rFonts w:eastAsia="Calibri"/>
          <w:szCs w:val="22"/>
          <w:lang w:eastAsia="en-US"/>
        </w:rPr>
        <w:t>,</w:t>
      </w:r>
      <w:r w:rsidRPr="008174EF">
        <w:rPr>
          <w:rFonts w:eastAsia="Calibri"/>
          <w:szCs w:val="22"/>
          <w:lang w:eastAsia="en-US"/>
        </w:rPr>
        <w:t xml:space="preserve"> os indicadores econômicos de margens de lucratividade Bruta, Operacional e Líquida revelaram que a operadora apresentou baixo superávit bruto e déficits operacionais e líquidos. Observa-se que após as deduções da receita de contraprestações efetivas e dos custos de eventos indenizáveis</w:t>
      </w:r>
      <w:r w:rsidR="00C544BA" w:rsidRPr="008174EF">
        <w:rPr>
          <w:rFonts w:eastAsia="Calibri"/>
          <w:szCs w:val="22"/>
          <w:lang w:eastAsia="en-US"/>
        </w:rPr>
        <w:t>,</w:t>
      </w:r>
      <w:r w:rsidRPr="008174EF">
        <w:rPr>
          <w:rFonts w:eastAsia="Calibri"/>
          <w:szCs w:val="22"/>
          <w:lang w:eastAsia="en-US"/>
        </w:rPr>
        <w:t xml:space="preserve"> a margem bruta é positiva e a mais elevada é de R$ 3.551 (milhões) (21,08%), no ano de 2018. Em seguida, com o reconhecimento das despesas e receitas operacionais, a Operadora </w:t>
      </w:r>
      <w:r w:rsidR="00C544BA" w:rsidRPr="008174EF">
        <w:rPr>
          <w:rFonts w:eastAsia="Calibri"/>
          <w:szCs w:val="22"/>
          <w:lang w:eastAsia="en-US"/>
        </w:rPr>
        <w:t xml:space="preserve">Alfa </w:t>
      </w:r>
      <w:r w:rsidRPr="008174EF">
        <w:rPr>
          <w:rFonts w:eastAsia="Calibri"/>
          <w:szCs w:val="22"/>
          <w:lang w:eastAsia="en-US"/>
        </w:rPr>
        <w:t xml:space="preserve">apresenta Margens Operacionais e Líquidas negativas nos anos de 2015 (-10,35%) e de 2017 (-1,45%) e positivas nos anos de 2016 (0,18%) e 2018 (8,60%). </w:t>
      </w:r>
    </w:p>
    <w:p w14:paraId="6FA326A2"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lastRenderedPageBreak/>
        <w:t xml:space="preserve">A redução dessas margens de lucratividade foi devido ao aumento das despesas administrativas referente à expansão comercial da área de atuação com a contratação de serviços, publicidade, funcionários e aluguel de salas de atendimento para os beneficiários. Além disso, ocorreram os gastos extras com beneficiários que exigiam serviços que a Operadora não possuía em sua rede credenciada. </w:t>
      </w:r>
    </w:p>
    <w:p w14:paraId="610DFCA0"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Logo, foi preciso custear tais demandas em redes particulares de serviços de saúde, principalmente para consultas médicas, exames e cirurgias, com pouca margem de negociação de preços. Outro fator que prejudica a lucratividade é a sinistralidade dos beneficiários, uma vez que os gastos com serviços de saúde podem ser superiores às contraprestações recebidas pela Operadora.</w:t>
      </w:r>
    </w:p>
    <w:p w14:paraId="70A175FE" w14:textId="5C7C1D7F"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No período de 2015 a 2017</w:t>
      </w:r>
      <w:r w:rsidR="00CC3046" w:rsidRPr="008174EF">
        <w:rPr>
          <w:rFonts w:eastAsia="Calibri"/>
          <w:szCs w:val="22"/>
          <w:lang w:eastAsia="en-US"/>
        </w:rPr>
        <w:t>,</w:t>
      </w:r>
      <w:r w:rsidRPr="008174EF">
        <w:rPr>
          <w:rFonts w:eastAsia="Calibri"/>
          <w:szCs w:val="22"/>
          <w:lang w:eastAsia="en-US"/>
        </w:rPr>
        <w:t xml:space="preserve"> o indicador Margem EBITDA aponta que o resultado da operação, desconsiderando as despesas econômicas, resultado financeiro e tributos sobre o lucro, é negativo. Consequentemente, os indicadores econômicos de Retorno sobre Patrimônio Líquido (ROE) e Retorno sobre o Ativo (ROA) foram desfavoráveis devido aos déficits do período e do patrimônio líquido negativo (descoberto). </w:t>
      </w:r>
    </w:p>
    <w:p w14:paraId="7D387261" w14:textId="095C54E0"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Em síntese, os resultados revelaram que nos anos de 2015 a 2017</w:t>
      </w:r>
      <w:r w:rsidR="00CC3046" w:rsidRPr="008174EF">
        <w:rPr>
          <w:rFonts w:eastAsia="Calibri"/>
          <w:szCs w:val="22"/>
          <w:lang w:eastAsia="en-US"/>
        </w:rPr>
        <w:t>,</w:t>
      </w:r>
      <w:r w:rsidRPr="008174EF">
        <w:rPr>
          <w:rFonts w:eastAsia="Calibri"/>
          <w:szCs w:val="22"/>
          <w:lang w:eastAsia="en-US"/>
        </w:rPr>
        <w:t xml:space="preserve"> a Operadora Alfa não apresentava resultados satisfatórios e que, portanto, necessitava de uma revisão no modelo de gestão do negócio quanto aos</w:t>
      </w:r>
      <w:r w:rsidR="00CC3046" w:rsidRPr="008174EF">
        <w:rPr>
          <w:rFonts w:eastAsia="Calibri"/>
          <w:szCs w:val="22"/>
          <w:lang w:eastAsia="en-US"/>
        </w:rPr>
        <w:t xml:space="preserve"> custos dos serviços prestados, à política comercial e à</w:t>
      </w:r>
      <w:r w:rsidRPr="008174EF">
        <w:rPr>
          <w:rFonts w:eastAsia="Calibri"/>
          <w:szCs w:val="22"/>
          <w:lang w:eastAsia="en-US"/>
        </w:rPr>
        <w:t xml:space="preserve">s despesas administrativas. </w:t>
      </w:r>
      <w:r w:rsidR="004F15E0" w:rsidRPr="008174EF">
        <w:rPr>
          <w:rFonts w:eastAsia="Calibri"/>
          <w:szCs w:val="22"/>
          <w:lang w:eastAsia="en-US"/>
        </w:rPr>
        <w:t xml:space="preserve">Esses resultados vão ao encontro de </w:t>
      </w:r>
      <w:r w:rsidR="004F15E0" w:rsidRPr="008174EF">
        <w:t xml:space="preserve">Câmara et al. (2008) </w:t>
      </w:r>
      <w:r w:rsidR="004F15E0" w:rsidRPr="008174EF">
        <w:rPr>
          <w:rFonts w:eastAsia="Calibri"/>
          <w:szCs w:val="22"/>
          <w:lang w:eastAsia="en-US"/>
        </w:rPr>
        <w:t xml:space="preserve">visto que, contatam que os indicadores econômicos e financeiros das operadoras de planos de saúde, </w:t>
      </w:r>
      <w:r w:rsidR="004F15E0" w:rsidRPr="008174EF">
        <w:t xml:space="preserve">diminuíam ao longo do período analisado. </w:t>
      </w:r>
      <w:r w:rsidRPr="008174EF">
        <w:rPr>
          <w:rFonts w:eastAsia="Calibri"/>
          <w:szCs w:val="22"/>
          <w:lang w:eastAsia="en-US"/>
        </w:rPr>
        <w:t xml:space="preserve">No ano de  2018 foram realizadas algumas ações gerenciais para reverter os déficits dos períodos anteriores, tais como: a) realização de acordos extrajudiciais para liberação de cirurgias, exames ou procedimentos para os beneficiários que possuem o plano sem cobertura; b) contratação de um funcionário para o setor de crédito e cobrança; c) cancelamento de contratos de serviços relacionados à expansão da área de atuação; d) redução do quadro de funcionários; e) cancelamento de contrato de aluguel de salas de atendimento; f) contratação de consultoria na área de gestão e g) análise de reajuste de preços de acordo com a sinistralidade do beneficiário. </w:t>
      </w:r>
      <w:r w:rsidR="0095775F" w:rsidRPr="008174EF">
        <w:rPr>
          <w:rFonts w:eastAsia="Calibri"/>
          <w:szCs w:val="22"/>
          <w:lang w:eastAsia="en-US"/>
        </w:rPr>
        <w:t>Observa-se que essas ações de mel</w:t>
      </w:r>
      <w:r w:rsidR="00F918A2" w:rsidRPr="008174EF">
        <w:rPr>
          <w:rFonts w:eastAsia="Calibri"/>
          <w:szCs w:val="22"/>
          <w:lang w:eastAsia="en-US"/>
        </w:rPr>
        <w:t xml:space="preserve">horia levaram </w:t>
      </w:r>
      <w:r w:rsidR="0095775F" w:rsidRPr="008174EF">
        <w:rPr>
          <w:rFonts w:eastAsia="Calibri"/>
          <w:szCs w:val="22"/>
          <w:lang w:eastAsia="en-US"/>
        </w:rPr>
        <w:t>convergir</w:t>
      </w:r>
      <w:r w:rsidR="00F918A2" w:rsidRPr="008174EF">
        <w:rPr>
          <w:rFonts w:eastAsia="Calibri"/>
          <w:szCs w:val="22"/>
          <w:lang w:eastAsia="en-US"/>
        </w:rPr>
        <w:t>am</w:t>
      </w:r>
      <w:r w:rsidR="0095775F" w:rsidRPr="008174EF">
        <w:rPr>
          <w:rFonts w:eastAsia="Calibri"/>
          <w:szCs w:val="22"/>
          <w:lang w:eastAsia="en-US"/>
        </w:rPr>
        <w:t xml:space="preserve"> com os achados de </w:t>
      </w:r>
      <w:r w:rsidR="0095775F" w:rsidRPr="008174EF">
        <w:t>Ávila e Amorim (2016).</w:t>
      </w:r>
    </w:p>
    <w:p w14:paraId="7988DCA9"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 xml:space="preserve">Em relação aos custos dos serviços prestados, cabe observar que serviços de saúde possuem preços elevados e que, em grande parte, a Operadora não possui poder de negociação para redução desses custos, como por exemplo a negociação com prestadores de serviços sobre os custos de determinada cirurgia ou dos exames de alta complexidade médica. Por outro lado, os prestadores de serviços em saúde procuram constantemente aumentar os preços dos serviços devido aos riscos que envolvem a atividade médica, como cirurgia, medicamentos e internações. </w:t>
      </w:r>
    </w:p>
    <w:p w14:paraId="12862F1E"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Quanto à política comercial, tem-se algumas restrições, tais como: a) dificuldade de aplicar reajustes, pois muitos beneficiários, tanto pessoa jurídica quanto pessoa física, não aceitam aumento de preços; b) dificuldade de conquistar novos clientes, uma vez que existe forte concorrência e a crise econômica do país prejudica o poder aquisitivo dos indivíduos; c) área de atuação limitada a municípios de pequeno porte e com indivíduos com baixo poder aquisitivo para planos de saúde e d) alta inadimplência pela falta de pagamentos de alguns beneficiários. Tudo isso prejudica o crescimento da lucratividade das operações.</w:t>
      </w:r>
    </w:p>
    <w:p w14:paraId="40CA3EC8" w14:textId="7635E405"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lastRenderedPageBreak/>
        <w:t>A partir das ações gerenciais ocorreram melhorias no processo de gestão que ocasionaram o aumento da Margem Bruta (21,08%), da Margem Operacional (8,60%), da Margem Líquida (8,60%), da Margem EBITDA (8,16%), do Retorno sobre Patrimônio Líquido (122,18%) e do Retorno sobre o Ativo (27,92%).</w:t>
      </w:r>
    </w:p>
    <w:p w14:paraId="29D750EE" w14:textId="77777777" w:rsidR="00980F16" w:rsidRPr="008174EF" w:rsidRDefault="00980F16" w:rsidP="00410480">
      <w:pPr>
        <w:widowControl/>
        <w:suppressLineNumbers w:val="0"/>
        <w:shd w:val="clear" w:color="auto" w:fill="FFFFFF"/>
        <w:suppressAutoHyphens w:val="0"/>
        <w:ind w:firstLine="0"/>
        <w:rPr>
          <w:rFonts w:eastAsia="Calibri"/>
          <w:b/>
          <w:szCs w:val="22"/>
          <w:lang w:eastAsia="en-US"/>
        </w:rPr>
      </w:pPr>
      <w:r w:rsidRPr="008174EF">
        <w:rPr>
          <w:rFonts w:eastAsia="Calibri"/>
          <w:b/>
          <w:szCs w:val="22"/>
          <w:lang w:eastAsia="en-US"/>
        </w:rPr>
        <w:tab/>
      </w:r>
    </w:p>
    <w:p w14:paraId="44487EDF" w14:textId="560C3F19" w:rsidR="00980F16" w:rsidRPr="008174EF" w:rsidRDefault="00980F16" w:rsidP="00410480">
      <w:pPr>
        <w:widowControl/>
        <w:suppressLineNumbers w:val="0"/>
        <w:shd w:val="clear" w:color="auto" w:fill="FFFFFF"/>
        <w:suppressAutoHyphens w:val="0"/>
        <w:ind w:firstLine="0"/>
        <w:rPr>
          <w:rFonts w:eastAsia="Calibri"/>
          <w:b/>
          <w:szCs w:val="22"/>
          <w:lang w:eastAsia="en-US"/>
        </w:rPr>
      </w:pPr>
      <w:r w:rsidRPr="008174EF">
        <w:rPr>
          <w:rFonts w:eastAsia="Calibri"/>
          <w:b/>
          <w:szCs w:val="22"/>
          <w:lang w:eastAsia="en-US"/>
        </w:rPr>
        <w:t xml:space="preserve">5 </w:t>
      </w:r>
      <w:r w:rsidR="00E47099" w:rsidRPr="008174EF">
        <w:rPr>
          <w:rFonts w:eastAsia="Calibri"/>
          <w:b/>
          <w:szCs w:val="22"/>
          <w:lang w:eastAsia="en-US"/>
        </w:rPr>
        <w:t>Considerações Finais</w:t>
      </w:r>
    </w:p>
    <w:p w14:paraId="4897FAE9" w14:textId="77777777" w:rsidR="00E47099" w:rsidRDefault="00E47099" w:rsidP="00410480">
      <w:pPr>
        <w:widowControl/>
        <w:suppressLineNumbers w:val="0"/>
        <w:shd w:val="clear" w:color="auto" w:fill="FFFFFF"/>
        <w:suppressAutoHyphens w:val="0"/>
        <w:ind w:firstLine="708"/>
        <w:rPr>
          <w:rFonts w:eastAsia="Calibri"/>
          <w:szCs w:val="22"/>
          <w:lang w:eastAsia="en-US"/>
        </w:rPr>
      </w:pPr>
    </w:p>
    <w:p w14:paraId="7C168999" w14:textId="54B8977A"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A análise de desempenho econômico-financeiro é importante para que gestores, proprietários e demais interessados consigam visualizar a situação organizacional e a eficácia no alcance dos resultados almejados. Diante disso, o objetivo geral da pesquisa foi verificar a situação econômico-financeira de uma operadora de plano de saúde localizada no sul do Brasil no período entre 2015 a 2018.</w:t>
      </w:r>
    </w:p>
    <w:p w14:paraId="07A9AF1E" w14:textId="4CB0F51A" w:rsidR="00980F16" w:rsidRPr="008174EF" w:rsidRDefault="00980F16" w:rsidP="00410480">
      <w:pPr>
        <w:widowControl/>
        <w:suppressLineNumbers w:val="0"/>
        <w:suppressAutoHyphens w:val="0"/>
        <w:ind w:firstLine="708"/>
        <w:rPr>
          <w:rFonts w:eastAsia="Calibri"/>
          <w:szCs w:val="22"/>
          <w:lang w:eastAsia="en-US"/>
        </w:rPr>
      </w:pPr>
      <w:r w:rsidRPr="008174EF">
        <w:rPr>
          <w:rFonts w:eastAsia="Calibri"/>
          <w:szCs w:val="22"/>
          <w:lang w:eastAsia="en-US"/>
        </w:rPr>
        <w:t>Os resultados da pesquisa mostraram que no Balanço Patrimonial da Operadora</w:t>
      </w:r>
      <w:r w:rsidR="00F918A2" w:rsidRPr="008174EF">
        <w:rPr>
          <w:rFonts w:eastAsia="Calibri"/>
          <w:szCs w:val="22"/>
          <w:lang w:eastAsia="en-US"/>
        </w:rPr>
        <w:t xml:space="preserve"> Alfa,</w:t>
      </w:r>
      <w:r w:rsidRPr="008174EF">
        <w:rPr>
          <w:rFonts w:eastAsia="Calibri"/>
          <w:szCs w:val="22"/>
          <w:lang w:eastAsia="en-US"/>
        </w:rPr>
        <w:t xml:space="preserve"> os grupos de contas mais representativos, em média</w:t>
      </w:r>
      <w:r w:rsidR="00F918A2" w:rsidRPr="008174EF">
        <w:rPr>
          <w:rFonts w:eastAsia="Calibri"/>
          <w:szCs w:val="22"/>
          <w:lang w:eastAsia="en-US"/>
        </w:rPr>
        <w:t xml:space="preserve"> no quadriênio</w:t>
      </w:r>
      <w:r w:rsidRPr="008174EF">
        <w:rPr>
          <w:rFonts w:eastAsia="Calibri"/>
          <w:szCs w:val="22"/>
          <w:lang w:eastAsia="en-US"/>
        </w:rPr>
        <w:t>, foram Ativo Circulante (93,84%) e Passivo Circulante (91,39%). As contas mais relevantes foram Aplicações Financeiras (80,34%) do Ativo e Provisões Técnicas de Operações de Assistência à Saúde (75,52%) do Passivo. Quanto à Demonstração de Resultado, os custos relacionados aos Eventos Indenizáveis possuem representatividade, em média, de 81,87% e as Despesas Administrativas possuem representatividade, em média</w:t>
      </w:r>
      <w:r w:rsidR="00F918A2" w:rsidRPr="008174EF">
        <w:rPr>
          <w:rFonts w:eastAsia="Calibri"/>
          <w:szCs w:val="22"/>
          <w:lang w:eastAsia="en-US"/>
        </w:rPr>
        <w:t xml:space="preserve"> no quadriênio</w:t>
      </w:r>
      <w:r w:rsidRPr="008174EF">
        <w:rPr>
          <w:rFonts w:eastAsia="Calibri"/>
          <w:szCs w:val="22"/>
          <w:lang w:eastAsia="en-US"/>
        </w:rPr>
        <w:t>, de 15,06%. Os resultados foram desfavoráveis nos anos de 2015 a 2017, com déficits significativos no período.</w:t>
      </w:r>
    </w:p>
    <w:p w14:paraId="13AFC12E"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 xml:space="preserve">Os indicadores econômico-financeiros apontaram uma situação desfavorável entre os anos de 2015 a 2017. Nesse período, a situação de liquidez evidenciava a falta de recursos para honrar as obrigações, a situação de endividamento indicava uma elevada participação de capital de terceiros no financiamento das operações e a situação econômica mostrava falta de lucratividade e rentabilidade, devido aos déficits acumulados. Entretanto, no ano de 2018, com as ações gerenciais, os indicadores revelaram uma situação econômico-financeira favorável com indicadores positivos de lucratividade e de rentabilidade, bem como a melhoria na capacidade de pagamento e na redução de dívidas com terceiros. </w:t>
      </w:r>
    </w:p>
    <w:p w14:paraId="5892CCCA" w14:textId="6C8814D5"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 xml:space="preserve">Os resultados também evidenciaram que a desvinculação da Operadora </w:t>
      </w:r>
      <w:r w:rsidR="00F918A2" w:rsidRPr="008174EF">
        <w:rPr>
          <w:rFonts w:eastAsia="Calibri"/>
          <w:szCs w:val="22"/>
          <w:lang w:eastAsia="en-US"/>
        </w:rPr>
        <w:t xml:space="preserve">Alfa, </w:t>
      </w:r>
      <w:r w:rsidRPr="008174EF">
        <w:rPr>
          <w:rFonts w:eastAsia="Calibri"/>
          <w:szCs w:val="22"/>
          <w:lang w:eastAsia="en-US"/>
        </w:rPr>
        <w:t>do CNPJ da matriz</w:t>
      </w:r>
      <w:r w:rsidR="00F918A2" w:rsidRPr="008174EF">
        <w:rPr>
          <w:rFonts w:eastAsia="Calibri"/>
          <w:szCs w:val="22"/>
          <w:lang w:eastAsia="en-US"/>
        </w:rPr>
        <w:t>,</w:t>
      </w:r>
      <w:r w:rsidRPr="008174EF">
        <w:rPr>
          <w:rFonts w:eastAsia="Calibri"/>
          <w:szCs w:val="22"/>
          <w:lang w:eastAsia="en-US"/>
        </w:rPr>
        <w:t xml:space="preserve"> proporcionou aos gestores a compreensão da realidade econômico-financeira do negócio, uma vez que antes o desempenho da operadora ficava em conjunto com o desempenho da matriz. Isso afetava na análise do desempenho efetivo do negócio, prejudicando as decisões gerenciais. A partir da desvinculação, o desempenho da Operadora ficou mais aparente e de modo específico, permitindo constatar pontos fortes e fracos de gestão, bem como o desenvolvimento de ações gerenciais para minimizar fragilidades e deficiências das atividades e para aumentar a eficácia organizacional. </w:t>
      </w:r>
    </w:p>
    <w:p w14:paraId="12C73B60"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 xml:space="preserve">Diante dos resultados, conclui-se que a Operadora apresentou uma situação econômico-financeira desfavorável entre os anos de 2015 e 2017. As ações gerenciais realizadas no ano de 2018 conseguiram reverter o desempenho econômico-financeiro para uma situação favorável, com a geração de resultado líquido positivo (8,60%). Entretanto, cabe mencionar que o elevado custo de serviços prestados, a política comercial limitada, os procedimentos autorizados via processo </w:t>
      </w:r>
      <w:r w:rsidRPr="008174EF">
        <w:rPr>
          <w:rFonts w:eastAsia="Calibri"/>
          <w:szCs w:val="22"/>
          <w:lang w:eastAsia="en-US"/>
        </w:rPr>
        <w:lastRenderedPageBreak/>
        <w:t>judicial e a alta sinistralidade nos contratos impõem baixa margem de lucratividade para a Operadora e isso prejudica a geração de recursos para fazer frente às demandas operacionais. Portanto, os gestores devem ficar atentos à estrutura do modelo de negócio para assegurar o atendimento aos beneficiários e a sobrevivência organizacional.</w:t>
      </w:r>
    </w:p>
    <w:p w14:paraId="003D8B20" w14:textId="77777777" w:rsidR="00980F16" w:rsidRPr="008174EF" w:rsidRDefault="00980F16" w:rsidP="00410480">
      <w:pPr>
        <w:widowControl/>
        <w:suppressLineNumbers w:val="0"/>
        <w:shd w:val="clear" w:color="auto" w:fill="FFFFFF"/>
        <w:suppressAutoHyphens w:val="0"/>
        <w:ind w:firstLine="708"/>
        <w:rPr>
          <w:rFonts w:eastAsia="Calibri"/>
          <w:szCs w:val="22"/>
          <w:lang w:eastAsia="en-US"/>
        </w:rPr>
      </w:pPr>
      <w:r w:rsidRPr="008174EF">
        <w:rPr>
          <w:rFonts w:eastAsia="Calibri"/>
          <w:szCs w:val="22"/>
          <w:lang w:eastAsia="en-US"/>
        </w:rPr>
        <w:t>Como sugestão para pesquisas futuras indica-se: a) a continuação do estudo em períodos futuros para consolidar os resultados e para verificar a evolução da situação econômico-financeira da Operadora e b) a realização de estudos comparativos com outras operadoras de planos de saúde para cotejamento de resultados.</w:t>
      </w:r>
    </w:p>
    <w:p w14:paraId="52E66A68" w14:textId="3658B536" w:rsidR="001C2B08" w:rsidRDefault="001C2B08" w:rsidP="001C2B08">
      <w:pPr>
        <w:shd w:val="clear" w:color="auto" w:fill="FFFFFF"/>
        <w:ind w:firstLine="708"/>
      </w:pPr>
    </w:p>
    <w:p w14:paraId="6C8CE721" w14:textId="134C639A" w:rsidR="001C2B08" w:rsidRDefault="00E47099" w:rsidP="001C2B08">
      <w:pPr>
        <w:shd w:val="clear" w:color="auto" w:fill="FFFFFF"/>
        <w:ind w:firstLine="0"/>
        <w:rPr>
          <w:b/>
        </w:rPr>
      </w:pPr>
      <w:r w:rsidRPr="008174EF">
        <w:rPr>
          <w:b/>
        </w:rPr>
        <w:t>Referências</w:t>
      </w:r>
    </w:p>
    <w:p w14:paraId="01A42F68" w14:textId="77777777" w:rsidR="00E47099" w:rsidRPr="008174EF" w:rsidRDefault="00E47099" w:rsidP="001C2B08">
      <w:pPr>
        <w:shd w:val="clear" w:color="auto" w:fill="FFFFFF"/>
        <w:ind w:firstLine="0"/>
        <w:rPr>
          <w:b/>
        </w:rPr>
      </w:pPr>
    </w:p>
    <w:p w14:paraId="4B95F8F0" w14:textId="02BDE646" w:rsidR="001C2B08" w:rsidRPr="008174EF" w:rsidRDefault="002F7318" w:rsidP="003A6B0D">
      <w:pPr>
        <w:ind w:left="567" w:hanging="567"/>
        <w:rPr>
          <w:rStyle w:val="Hyperlink"/>
          <w:color w:val="auto"/>
          <w:szCs w:val="24"/>
          <w:u w:val="none"/>
        </w:rPr>
      </w:pPr>
      <w:r w:rsidRPr="008174EF">
        <w:rPr>
          <w:rStyle w:val="Hyperlink"/>
          <w:color w:val="auto"/>
          <w:szCs w:val="24"/>
          <w:u w:val="none"/>
        </w:rPr>
        <w:t xml:space="preserve">Agência Nacional </w:t>
      </w:r>
      <w:r w:rsidR="00A52098">
        <w:rPr>
          <w:rStyle w:val="Hyperlink"/>
          <w:color w:val="auto"/>
          <w:szCs w:val="24"/>
          <w:u w:val="none"/>
        </w:rPr>
        <w:t>d</w:t>
      </w:r>
      <w:r w:rsidRPr="008174EF">
        <w:rPr>
          <w:rStyle w:val="Hyperlink"/>
          <w:color w:val="auto"/>
          <w:szCs w:val="24"/>
          <w:u w:val="none"/>
        </w:rPr>
        <w:t>e Saúde</w:t>
      </w:r>
      <w:r w:rsidR="001C2B08" w:rsidRPr="008174EF">
        <w:rPr>
          <w:rStyle w:val="Hyperlink"/>
          <w:color w:val="auto"/>
          <w:szCs w:val="24"/>
          <w:u w:val="none"/>
        </w:rPr>
        <w:t>.</w:t>
      </w:r>
      <w:r>
        <w:rPr>
          <w:rStyle w:val="Hyperlink"/>
          <w:color w:val="auto"/>
          <w:szCs w:val="24"/>
          <w:u w:val="none"/>
        </w:rPr>
        <w:t xml:space="preserve"> (2000).</w:t>
      </w:r>
      <w:r w:rsidR="001C2B08" w:rsidRPr="008174EF">
        <w:rPr>
          <w:rStyle w:val="Hyperlink"/>
          <w:color w:val="auto"/>
          <w:szCs w:val="24"/>
          <w:u w:val="none"/>
        </w:rPr>
        <w:t xml:space="preserve"> </w:t>
      </w:r>
      <w:r w:rsidR="001C2B08" w:rsidRPr="002F7318">
        <w:rPr>
          <w:rStyle w:val="Hyperlink"/>
          <w:i/>
          <w:color w:val="auto"/>
          <w:szCs w:val="24"/>
          <w:u w:val="none"/>
        </w:rPr>
        <w:t xml:space="preserve">Resolução de </w:t>
      </w:r>
      <w:r w:rsidR="000C0DC3">
        <w:rPr>
          <w:rStyle w:val="Hyperlink"/>
          <w:i/>
          <w:color w:val="auto"/>
          <w:szCs w:val="24"/>
          <w:u w:val="none"/>
        </w:rPr>
        <w:t>d</w:t>
      </w:r>
      <w:r w:rsidR="001C2B08" w:rsidRPr="002F7318">
        <w:rPr>
          <w:rStyle w:val="Hyperlink"/>
          <w:i/>
          <w:color w:val="auto"/>
          <w:szCs w:val="24"/>
          <w:u w:val="none"/>
        </w:rPr>
        <w:t xml:space="preserve">iretoria </w:t>
      </w:r>
      <w:r w:rsidR="000C0DC3">
        <w:rPr>
          <w:rStyle w:val="Hyperlink"/>
          <w:i/>
          <w:color w:val="auto"/>
          <w:szCs w:val="24"/>
          <w:u w:val="none"/>
        </w:rPr>
        <w:t>c</w:t>
      </w:r>
      <w:r w:rsidR="001C2B08" w:rsidRPr="002F7318">
        <w:rPr>
          <w:rStyle w:val="Hyperlink"/>
          <w:i/>
          <w:color w:val="auto"/>
          <w:szCs w:val="24"/>
          <w:u w:val="none"/>
        </w:rPr>
        <w:t xml:space="preserve">olegiada – RDC </w:t>
      </w:r>
      <w:r w:rsidR="006C0D0A">
        <w:rPr>
          <w:rStyle w:val="Hyperlink"/>
          <w:i/>
          <w:color w:val="auto"/>
          <w:szCs w:val="24"/>
          <w:u w:val="none"/>
        </w:rPr>
        <w:t>n.</w:t>
      </w:r>
      <w:r w:rsidR="001C2B08" w:rsidRPr="002F7318">
        <w:rPr>
          <w:rStyle w:val="Hyperlink"/>
          <w:i/>
          <w:color w:val="auto"/>
          <w:szCs w:val="24"/>
          <w:u w:val="none"/>
        </w:rPr>
        <w:t xml:space="preserve"> 39, de 27 de outubro de 2000</w:t>
      </w:r>
      <w:r w:rsidR="001C2B08" w:rsidRPr="002F7318">
        <w:rPr>
          <w:rStyle w:val="Hyperlink"/>
          <w:color w:val="auto"/>
          <w:szCs w:val="24"/>
          <w:u w:val="none"/>
        </w:rPr>
        <w:t>.</w:t>
      </w:r>
      <w:r w:rsidR="001C2B08" w:rsidRPr="008174EF">
        <w:rPr>
          <w:rStyle w:val="Hyperlink"/>
          <w:b/>
          <w:color w:val="auto"/>
          <w:szCs w:val="24"/>
          <w:u w:val="none"/>
        </w:rPr>
        <w:t xml:space="preserve"> </w:t>
      </w:r>
      <w:r w:rsidR="001C2B08" w:rsidRPr="008174EF">
        <w:rPr>
          <w:rStyle w:val="Hyperlink"/>
          <w:color w:val="auto"/>
          <w:szCs w:val="24"/>
          <w:u w:val="none"/>
        </w:rPr>
        <w:t xml:space="preserve">Dispõe sobre a definição, a segmentação e a classificação das Operadoras de Planos de Assistência à Saúde. </w:t>
      </w:r>
      <w:r>
        <w:rPr>
          <w:rStyle w:val="Hyperlink"/>
          <w:color w:val="auto"/>
          <w:szCs w:val="24"/>
          <w:u w:val="none"/>
        </w:rPr>
        <w:t>Recuperado em 24 de abril</w:t>
      </w:r>
      <w:r w:rsidR="003A6B0D">
        <w:rPr>
          <w:rStyle w:val="Hyperlink"/>
          <w:color w:val="auto"/>
          <w:szCs w:val="24"/>
          <w:u w:val="none"/>
        </w:rPr>
        <w:t>,</w:t>
      </w:r>
      <w:r>
        <w:rPr>
          <w:rStyle w:val="Hyperlink"/>
          <w:color w:val="auto"/>
          <w:szCs w:val="24"/>
          <w:u w:val="none"/>
        </w:rPr>
        <w:t xml:space="preserve"> 2019, de</w:t>
      </w:r>
      <w:r w:rsidR="001C2B08" w:rsidRPr="008174EF">
        <w:rPr>
          <w:rStyle w:val="Hyperlink"/>
          <w:color w:val="auto"/>
          <w:szCs w:val="24"/>
          <w:u w:val="none"/>
        </w:rPr>
        <w:t xml:space="preserve">: </w:t>
      </w:r>
      <w:hyperlink r:id="rId8" w:history="1">
        <w:r w:rsidR="001C2B08" w:rsidRPr="008174EF">
          <w:rPr>
            <w:rStyle w:val="Hyperlink"/>
            <w:color w:val="auto"/>
            <w:szCs w:val="24"/>
            <w:u w:val="none"/>
          </w:rPr>
          <w:t>http://www.ans.gov.br/component/legislacao/?view=legislacao&amp;task=TextoLei&amp;format=raw&amp;id=Mzgw</w:t>
        </w:r>
      </w:hyperlink>
      <w:r w:rsidR="001C2B08" w:rsidRPr="008174EF">
        <w:rPr>
          <w:szCs w:val="24"/>
        </w:rPr>
        <w:t>.</w:t>
      </w:r>
    </w:p>
    <w:p w14:paraId="42D35974" w14:textId="144E20B5" w:rsidR="006C0D0A" w:rsidRPr="008174EF" w:rsidRDefault="006C0D0A" w:rsidP="006C0D0A">
      <w:pPr>
        <w:ind w:left="567" w:hanging="567"/>
        <w:rPr>
          <w:szCs w:val="24"/>
        </w:rPr>
      </w:pPr>
      <w:r w:rsidRPr="008174EF">
        <w:rPr>
          <w:rStyle w:val="Hyperlink"/>
          <w:color w:val="auto"/>
          <w:szCs w:val="24"/>
          <w:u w:val="none"/>
        </w:rPr>
        <w:t xml:space="preserve">Agência Nacional </w:t>
      </w:r>
      <w:r>
        <w:rPr>
          <w:rStyle w:val="Hyperlink"/>
          <w:color w:val="auto"/>
          <w:szCs w:val="24"/>
          <w:u w:val="none"/>
        </w:rPr>
        <w:t>d</w:t>
      </w:r>
      <w:r w:rsidRPr="008174EF">
        <w:rPr>
          <w:rStyle w:val="Hyperlink"/>
          <w:color w:val="auto"/>
          <w:szCs w:val="24"/>
          <w:u w:val="none"/>
        </w:rPr>
        <w:t>e Saúde</w:t>
      </w:r>
      <w:r>
        <w:rPr>
          <w:rStyle w:val="Hyperlink"/>
          <w:color w:val="auto"/>
          <w:szCs w:val="24"/>
          <w:u w:val="none"/>
        </w:rPr>
        <w:t xml:space="preserve"> (2012)</w:t>
      </w:r>
      <w:r w:rsidRPr="008174EF">
        <w:rPr>
          <w:rStyle w:val="Hyperlink"/>
          <w:color w:val="auto"/>
          <w:szCs w:val="24"/>
          <w:u w:val="none"/>
        </w:rPr>
        <w:t xml:space="preserve">. </w:t>
      </w:r>
      <w:r w:rsidRPr="002F7318">
        <w:rPr>
          <w:rStyle w:val="Hyperlink"/>
          <w:i/>
          <w:color w:val="auto"/>
          <w:szCs w:val="24"/>
          <w:u w:val="none"/>
        </w:rPr>
        <w:t xml:space="preserve">Resolução </w:t>
      </w:r>
      <w:r>
        <w:rPr>
          <w:rStyle w:val="Hyperlink"/>
          <w:i/>
          <w:color w:val="auto"/>
          <w:szCs w:val="24"/>
          <w:u w:val="none"/>
        </w:rPr>
        <w:t>n</w:t>
      </w:r>
      <w:r w:rsidRPr="002F7318">
        <w:rPr>
          <w:rStyle w:val="Hyperlink"/>
          <w:i/>
          <w:color w:val="auto"/>
          <w:szCs w:val="24"/>
          <w:u w:val="none"/>
        </w:rPr>
        <w:t xml:space="preserve">ormativa – RN </w:t>
      </w:r>
      <w:r>
        <w:rPr>
          <w:rStyle w:val="Hyperlink"/>
          <w:i/>
          <w:color w:val="auto"/>
          <w:szCs w:val="24"/>
          <w:u w:val="none"/>
        </w:rPr>
        <w:t xml:space="preserve">n. </w:t>
      </w:r>
      <w:r w:rsidRPr="002F7318">
        <w:rPr>
          <w:rStyle w:val="Hyperlink"/>
          <w:i/>
          <w:color w:val="auto"/>
          <w:szCs w:val="24"/>
          <w:u w:val="none"/>
        </w:rPr>
        <w:t>316, de 30 de novembro de 2012</w:t>
      </w:r>
      <w:r w:rsidRPr="008174EF">
        <w:rPr>
          <w:rStyle w:val="Hyperlink"/>
          <w:color w:val="auto"/>
          <w:szCs w:val="24"/>
          <w:u w:val="none"/>
        </w:rPr>
        <w:t xml:space="preserve">. Dispõe sobre os regimes especiais de direção fiscal e de liquidação extrajudicial sobre as operadoras de planos de assistência à saúde. </w:t>
      </w:r>
      <w:r>
        <w:rPr>
          <w:rStyle w:val="Hyperlink"/>
          <w:color w:val="auto"/>
          <w:szCs w:val="24"/>
          <w:u w:val="none"/>
        </w:rPr>
        <w:t xml:space="preserve">Recuperado em 23 de abril, 2019, de </w:t>
      </w:r>
      <w:r w:rsidRPr="0073372E">
        <w:rPr>
          <w:szCs w:val="24"/>
        </w:rPr>
        <w:t>http://www.ans.gov.br/component/legislacao/?view=legislacao&amp;task=TextoLei&amp;format=raw&amp;id=MjMxNA==</w:t>
      </w:r>
      <w:r w:rsidRPr="008174EF">
        <w:rPr>
          <w:szCs w:val="24"/>
        </w:rPr>
        <w:t>.</w:t>
      </w:r>
    </w:p>
    <w:p w14:paraId="055DA07C" w14:textId="13D71163" w:rsidR="006C0D0A" w:rsidRPr="006C0D0A" w:rsidRDefault="006C0D0A" w:rsidP="003A6B0D">
      <w:pPr>
        <w:ind w:left="567" w:hanging="567"/>
        <w:rPr>
          <w:szCs w:val="24"/>
        </w:rPr>
      </w:pPr>
      <w:r w:rsidRPr="006C0D0A">
        <w:rPr>
          <w:szCs w:val="24"/>
        </w:rPr>
        <w:t xml:space="preserve">Agência Nacional de Saúde. (2016). </w:t>
      </w:r>
      <w:r w:rsidRPr="006C0D0A">
        <w:rPr>
          <w:i/>
          <w:szCs w:val="24"/>
        </w:rPr>
        <w:t>Resolução normativa – RN n. 400, de 25 de fevereiro de 2016</w:t>
      </w:r>
      <w:r w:rsidRPr="006C0D0A">
        <w:rPr>
          <w:szCs w:val="24"/>
        </w:rPr>
        <w:t xml:space="preserve">. </w:t>
      </w:r>
      <w:r w:rsidRPr="006C0D0A">
        <w:rPr>
          <w:iCs/>
          <w:color w:val="000000"/>
          <w:szCs w:val="24"/>
          <w:shd w:val="clear" w:color="auto" w:fill="FFFFFF"/>
        </w:rPr>
        <w:t>Dispõe sobre os parâmetros e procedimentos de acompanhamento econômico-financeiro das operadoras de planos privados de assistência à saúde e de monitoramento estratégico do mercado de saúde suplementar.</w:t>
      </w:r>
      <w:r>
        <w:rPr>
          <w:i/>
          <w:iCs/>
          <w:color w:val="000000"/>
          <w:szCs w:val="24"/>
          <w:shd w:val="clear" w:color="auto" w:fill="FFFFFF"/>
        </w:rPr>
        <w:t xml:space="preserve"> </w:t>
      </w:r>
      <w:r>
        <w:rPr>
          <w:rStyle w:val="Hyperlink"/>
          <w:color w:val="auto"/>
          <w:szCs w:val="24"/>
          <w:u w:val="none"/>
        </w:rPr>
        <w:t xml:space="preserve">Recuperado em 23 de abril, 2019, de </w:t>
      </w:r>
      <w:r w:rsidRPr="006C0D0A">
        <w:t>http://www.ans.gov.br/component/legislacao/?view=legislacao&amp;task=TextoLei&amp;format=raw&amp;id=MzIwNQ==</w:t>
      </w:r>
      <w:r>
        <w:t>.</w:t>
      </w:r>
    </w:p>
    <w:p w14:paraId="57E3B262" w14:textId="77777777" w:rsidR="006C0D0A" w:rsidRPr="008174EF" w:rsidRDefault="006C0D0A" w:rsidP="006C0D0A">
      <w:pPr>
        <w:shd w:val="clear" w:color="auto" w:fill="FFFFFF"/>
        <w:ind w:left="567" w:hanging="567"/>
        <w:rPr>
          <w:szCs w:val="24"/>
        </w:rPr>
      </w:pPr>
      <w:r w:rsidRPr="008174EF">
        <w:rPr>
          <w:szCs w:val="24"/>
        </w:rPr>
        <w:t xml:space="preserve">Agência Nacional </w:t>
      </w:r>
      <w:r>
        <w:rPr>
          <w:szCs w:val="24"/>
        </w:rPr>
        <w:t>d</w:t>
      </w:r>
      <w:r w:rsidRPr="008174EF">
        <w:rPr>
          <w:szCs w:val="24"/>
        </w:rPr>
        <w:t>e Saúde.</w:t>
      </w:r>
      <w:r>
        <w:rPr>
          <w:szCs w:val="24"/>
        </w:rPr>
        <w:t xml:space="preserve"> (2019).</w:t>
      </w:r>
      <w:r w:rsidRPr="008174EF">
        <w:rPr>
          <w:szCs w:val="24"/>
        </w:rPr>
        <w:t xml:space="preserve"> </w:t>
      </w:r>
      <w:r w:rsidRPr="002F7318">
        <w:rPr>
          <w:i/>
          <w:szCs w:val="24"/>
        </w:rPr>
        <w:t xml:space="preserve">Modalidade da </w:t>
      </w:r>
      <w:r>
        <w:rPr>
          <w:i/>
          <w:szCs w:val="24"/>
        </w:rPr>
        <w:t>o</w:t>
      </w:r>
      <w:r w:rsidRPr="002F7318">
        <w:rPr>
          <w:i/>
          <w:szCs w:val="24"/>
        </w:rPr>
        <w:t>peradora</w:t>
      </w:r>
      <w:r w:rsidRPr="002F7318">
        <w:rPr>
          <w:szCs w:val="24"/>
        </w:rPr>
        <w:t>.</w:t>
      </w:r>
      <w:r w:rsidRPr="008174EF">
        <w:rPr>
          <w:szCs w:val="24"/>
        </w:rPr>
        <w:t xml:space="preserve"> </w:t>
      </w:r>
      <w:r>
        <w:rPr>
          <w:szCs w:val="24"/>
        </w:rPr>
        <w:t xml:space="preserve">Recuperado em 09 de abril, 2009, de </w:t>
      </w:r>
      <w:hyperlink r:id="rId9" w:history="1">
        <w:r w:rsidRPr="008174EF">
          <w:rPr>
            <w:rStyle w:val="Hyperlink"/>
            <w:color w:val="auto"/>
            <w:szCs w:val="24"/>
            <w:u w:val="none"/>
          </w:rPr>
          <w:t>http://www.ans.gov.br/anstabnet/notas_operadora.htm</w:t>
        </w:r>
      </w:hyperlink>
      <w:r w:rsidRPr="008174EF">
        <w:rPr>
          <w:szCs w:val="24"/>
        </w:rPr>
        <w:t>.</w:t>
      </w:r>
    </w:p>
    <w:p w14:paraId="56E91DB6" w14:textId="73E26765" w:rsidR="001C2B08" w:rsidRPr="008174EF" w:rsidRDefault="001C2B08" w:rsidP="003A6B0D">
      <w:pPr>
        <w:ind w:left="567" w:hanging="567"/>
        <w:rPr>
          <w:szCs w:val="24"/>
        </w:rPr>
      </w:pPr>
      <w:r w:rsidRPr="008174EF">
        <w:rPr>
          <w:rStyle w:val="Hyperlink"/>
          <w:color w:val="auto"/>
          <w:szCs w:val="24"/>
          <w:u w:val="none"/>
        </w:rPr>
        <w:t xml:space="preserve">Agência Nacional de Saúde </w:t>
      </w:r>
      <w:r w:rsidR="00FB2096">
        <w:rPr>
          <w:rStyle w:val="Hyperlink"/>
          <w:color w:val="auto"/>
          <w:szCs w:val="24"/>
          <w:u w:val="none"/>
        </w:rPr>
        <w:t>(2019)</w:t>
      </w:r>
      <w:r w:rsidRPr="008174EF">
        <w:rPr>
          <w:rStyle w:val="Hyperlink"/>
          <w:color w:val="auto"/>
          <w:szCs w:val="24"/>
          <w:u w:val="none"/>
        </w:rPr>
        <w:t xml:space="preserve">. </w:t>
      </w:r>
      <w:r w:rsidRPr="002F7318">
        <w:rPr>
          <w:rStyle w:val="Hyperlink"/>
          <w:i/>
          <w:color w:val="auto"/>
          <w:szCs w:val="24"/>
          <w:u w:val="none"/>
        </w:rPr>
        <w:t xml:space="preserve">Planos de </w:t>
      </w:r>
      <w:r w:rsidR="000C0DC3">
        <w:rPr>
          <w:rStyle w:val="Hyperlink"/>
          <w:i/>
          <w:color w:val="auto"/>
          <w:szCs w:val="24"/>
          <w:u w:val="none"/>
        </w:rPr>
        <w:t>s</w:t>
      </w:r>
      <w:r w:rsidRPr="002F7318">
        <w:rPr>
          <w:rStyle w:val="Hyperlink"/>
          <w:i/>
          <w:color w:val="auto"/>
          <w:szCs w:val="24"/>
          <w:u w:val="none"/>
        </w:rPr>
        <w:t xml:space="preserve">aúde e </w:t>
      </w:r>
      <w:r w:rsidR="000C0DC3">
        <w:rPr>
          <w:rStyle w:val="Hyperlink"/>
          <w:i/>
          <w:color w:val="auto"/>
          <w:szCs w:val="24"/>
          <w:u w:val="none"/>
        </w:rPr>
        <w:t>o</w:t>
      </w:r>
      <w:r w:rsidRPr="002F7318">
        <w:rPr>
          <w:rStyle w:val="Hyperlink"/>
          <w:i/>
          <w:color w:val="auto"/>
          <w:szCs w:val="24"/>
          <w:u w:val="none"/>
        </w:rPr>
        <w:t>peradoras</w:t>
      </w:r>
      <w:r w:rsidRPr="008174EF">
        <w:rPr>
          <w:rStyle w:val="Hyperlink"/>
          <w:color w:val="auto"/>
          <w:szCs w:val="24"/>
          <w:u w:val="none"/>
        </w:rPr>
        <w:t xml:space="preserve">. </w:t>
      </w:r>
      <w:r w:rsidR="002F7318">
        <w:rPr>
          <w:rStyle w:val="Hyperlink"/>
          <w:color w:val="auto"/>
          <w:szCs w:val="24"/>
          <w:u w:val="none"/>
        </w:rPr>
        <w:t>Recuperado em 14 de abril</w:t>
      </w:r>
      <w:r w:rsidR="003A6B0D">
        <w:rPr>
          <w:rStyle w:val="Hyperlink"/>
          <w:color w:val="auto"/>
          <w:szCs w:val="24"/>
          <w:u w:val="none"/>
        </w:rPr>
        <w:t>,</w:t>
      </w:r>
      <w:r w:rsidR="002F7318">
        <w:rPr>
          <w:rStyle w:val="Hyperlink"/>
          <w:color w:val="auto"/>
          <w:szCs w:val="24"/>
          <w:u w:val="none"/>
        </w:rPr>
        <w:t xml:space="preserve"> 2019, de </w:t>
      </w:r>
      <w:hyperlink r:id="rId10" w:history="1">
        <w:r w:rsidRPr="008174EF">
          <w:rPr>
            <w:rStyle w:val="Hyperlink"/>
            <w:color w:val="auto"/>
            <w:szCs w:val="24"/>
            <w:u w:val="none"/>
          </w:rPr>
          <w:t>http://www.ans.gov.br/planos-de-saude-e-operadoras/espaco-da-operadora</w:t>
        </w:r>
      </w:hyperlink>
      <w:r w:rsidRPr="008174EF">
        <w:rPr>
          <w:rStyle w:val="Hyperlink"/>
          <w:color w:val="auto"/>
          <w:szCs w:val="24"/>
          <w:u w:val="none"/>
        </w:rPr>
        <w:t>.</w:t>
      </w:r>
    </w:p>
    <w:p w14:paraId="71D3576B" w14:textId="7ECA2047" w:rsidR="001C2B08" w:rsidRPr="008174EF" w:rsidRDefault="002F7318" w:rsidP="003A6B0D">
      <w:pPr>
        <w:shd w:val="clear" w:color="auto" w:fill="FFFFFF"/>
        <w:ind w:left="567" w:hanging="567"/>
        <w:rPr>
          <w:szCs w:val="24"/>
          <w:shd w:val="clear" w:color="auto" w:fill="FFFFFF"/>
        </w:rPr>
      </w:pPr>
      <w:r w:rsidRPr="008174EF">
        <w:rPr>
          <w:szCs w:val="24"/>
          <w:shd w:val="clear" w:color="auto" w:fill="FFFFFF"/>
        </w:rPr>
        <w:t>Assaf</w:t>
      </w:r>
      <w:r w:rsidR="009D57A3" w:rsidRPr="008174EF">
        <w:rPr>
          <w:szCs w:val="24"/>
          <w:shd w:val="clear" w:color="auto" w:fill="FFFFFF"/>
        </w:rPr>
        <w:t>,</w:t>
      </w:r>
      <w:r w:rsidR="00BE3AF0" w:rsidRPr="008174EF">
        <w:rPr>
          <w:szCs w:val="24"/>
          <w:shd w:val="clear" w:color="auto" w:fill="FFFFFF"/>
        </w:rPr>
        <w:t xml:space="preserve"> A</w:t>
      </w:r>
      <w:r>
        <w:rPr>
          <w:szCs w:val="24"/>
          <w:shd w:val="clear" w:color="auto" w:fill="FFFFFF"/>
        </w:rPr>
        <w:t xml:space="preserve">. N. </w:t>
      </w:r>
      <w:r w:rsidR="00BE3AF0" w:rsidRPr="008174EF">
        <w:rPr>
          <w:szCs w:val="24"/>
          <w:shd w:val="clear" w:color="auto" w:fill="FFFFFF"/>
        </w:rPr>
        <w:t xml:space="preserve">(2012). </w:t>
      </w:r>
      <w:r w:rsidR="00BE3AF0" w:rsidRPr="00A52098">
        <w:rPr>
          <w:i/>
          <w:szCs w:val="24"/>
          <w:shd w:val="clear" w:color="auto" w:fill="FFFFFF"/>
        </w:rPr>
        <w:t>Finanças corporativas e valor</w:t>
      </w:r>
      <w:r>
        <w:rPr>
          <w:szCs w:val="24"/>
          <w:shd w:val="clear" w:color="auto" w:fill="FFFFFF"/>
        </w:rPr>
        <w:t xml:space="preserve"> (6</w:t>
      </w:r>
      <w:r w:rsidR="00A52098">
        <w:rPr>
          <w:szCs w:val="24"/>
          <w:shd w:val="clear" w:color="auto" w:fill="FFFFFF"/>
        </w:rPr>
        <w:t>a ed.)</w:t>
      </w:r>
      <w:r>
        <w:rPr>
          <w:szCs w:val="24"/>
          <w:shd w:val="clear" w:color="auto" w:fill="FFFFFF"/>
        </w:rPr>
        <w:t>.</w:t>
      </w:r>
      <w:r w:rsidR="00BE3AF0" w:rsidRPr="008174EF">
        <w:rPr>
          <w:szCs w:val="24"/>
          <w:shd w:val="clear" w:color="auto" w:fill="FFFFFF"/>
        </w:rPr>
        <w:t xml:space="preserve"> São Paulo: Atlas. </w:t>
      </w:r>
    </w:p>
    <w:p w14:paraId="7A2BB8BE" w14:textId="70AC236D" w:rsidR="000C0DC3" w:rsidRDefault="00A52098" w:rsidP="003A6B0D">
      <w:pPr>
        <w:ind w:left="567" w:hanging="567"/>
        <w:rPr>
          <w:szCs w:val="24"/>
        </w:rPr>
      </w:pPr>
      <w:r w:rsidRPr="008174EF">
        <w:rPr>
          <w:szCs w:val="24"/>
        </w:rPr>
        <w:t>Assaf</w:t>
      </w:r>
      <w:r>
        <w:rPr>
          <w:szCs w:val="24"/>
        </w:rPr>
        <w:t xml:space="preserve">, </w:t>
      </w:r>
      <w:r w:rsidR="001C2B08" w:rsidRPr="008174EF">
        <w:rPr>
          <w:szCs w:val="24"/>
        </w:rPr>
        <w:t>A</w:t>
      </w:r>
      <w:r>
        <w:rPr>
          <w:szCs w:val="24"/>
        </w:rPr>
        <w:t>. N.</w:t>
      </w:r>
      <w:r w:rsidR="009453DD" w:rsidRPr="008174EF">
        <w:rPr>
          <w:szCs w:val="24"/>
        </w:rPr>
        <w:t xml:space="preserve"> (2015)</w:t>
      </w:r>
      <w:r w:rsidR="001C2B08" w:rsidRPr="008174EF">
        <w:rPr>
          <w:szCs w:val="24"/>
        </w:rPr>
        <w:t xml:space="preserve">. </w:t>
      </w:r>
      <w:r w:rsidR="001C2B08" w:rsidRPr="00A52098">
        <w:rPr>
          <w:i/>
          <w:szCs w:val="24"/>
        </w:rPr>
        <w:t xml:space="preserve">Estrutura e </w:t>
      </w:r>
      <w:r w:rsidR="000C0DC3">
        <w:rPr>
          <w:i/>
          <w:szCs w:val="24"/>
        </w:rPr>
        <w:t>a</w:t>
      </w:r>
      <w:r w:rsidR="001C2B08" w:rsidRPr="00A52098">
        <w:rPr>
          <w:i/>
          <w:szCs w:val="24"/>
        </w:rPr>
        <w:t xml:space="preserve">nálise de </w:t>
      </w:r>
      <w:r w:rsidR="000C0DC3">
        <w:rPr>
          <w:i/>
          <w:szCs w:val="24"/>
        </w:rPr>
        <w:t>b</w:t>
      </w:r>
      <w:r w:rsidR="001C2B08" w:rsidRPr="00A52098">
        <w:rPr>
          <w:i/>
          <w:szCs w:val="24"/>
        </w:rPr>
        <w:t>alanços: um enfoque econômico financeiro</w:t>
      </w:r>
      <w:r w:rsidR="001C2B08" w:rsidRPr="008174EF">
        <w:rPr>
          <w:szCs w:val="24"/>
        </w:rPr>
        <w:t xml:space="preserve"> </w:t>
      </w:r>
      <w:r>
        <w:rPr>
          <w:szCs w:val="24"/>
        </w:rPr>
        <w:t>(</w:t>
      </w:r>
      <w:r w:rsidR="001C2B08" w:rsidRPr="008174EF">
        <w:rPr>
          <w:szCs w:val="24"/>
        </w:rPr>
        <w:t>11</w:t>
      </w:r>
      <w:r>
        <w:rPr>
          <w:szCs w:val="24"/>
        </w:rPr>
        <w:t>a</w:t>
      </w:r>
      <w:r w:rsidR="001C2B08" w:rsidRPr="008174EF">
        <w:rPr>
          <w:szCs w:val="24"/>
        </w:rPr>
        <w:t xml:space="preserve"> ed.</w:t>
      </w:r>
      <w:r>
        <w:rPr>
          <w:szCs w:val="24"/>
        </w:rPr>
        <w:t>)</w:t>
      </w:r>
      <w:r w:rsidR="001C2B08" w:rsidRPr="008174EF">
        <w:rPr>
          <w:szCs w:val="24"/>
        </w:rPr>
        <w:t xml:space="preserve"> São Paulo: Atlas</w:t>
      </w:r>
      <w:r w:rsidR="009453DD" w:rsidRPr="008174EF">
        <w:rPr>
          <w:szCs w:val="24"/>
        </w:rPr>
        <w:t>.</w:t>
      </w:r>
    </w:p>
    <w:p w14:paraId="5210FDBD" w14:textId="5B77925A" w:rsidR="000C0DC3" w:rsidRPr="000C0DC3" w:rsidRDefault="00A52098" w:rsidP="003A6B0D">
      <w:pPr>
        <w:ind w:left="567" w:hanging="567"/>
        <w:rPr>
          <w:szCs w:val="24"/>
        </w:rPr>
      </w:pPr>
      <w:r w:rsidRPr="008174EF">
        <w:rPr>
          <w:szCs w:val="24"/>
        </w:rPr>
        <w:t>Ávila</w:t>
      </w:r>
      <w:r w:rsidR="001C2B08" w:rsidRPr="008174EF">
        <w:rPr>
          <w:szCs w:val="24"/>
        </w:rPr>
        <w:t>, L. B.</w:t>
      </w:r>
      <w:r w:rsidR="003A6B0D">
        <w:rPr>
          <w:szCs w:val="24"/>
        </w:rPr>
        <w:t>,</w:t>
      </w:r>
      <w:r>
        <w:rPr>
          <w:szCs w:val="24"/>
        </w:rPr>
        <w:t xml:space="preserve"> &amp; </w:t>
      </w:r>
      <w:r w:rsidRPr="008174EF">
        <w:rPr>
          <w:szCs w:val="24"/>
        </w:rPr>
        <w:t>Amorim</w:t>
      </w:r>
      <w:r w:rsidR="001C2B08" w:rsidRPr="008174EF">
        <w:rPr>
          <w:szCs w:val="24"/>
        </w:rPr>
        <w:t>, E. G.</w:t>
      </w:r>
      <w:r w:rsidR="009453DD" w:rsidRPr="008174EF">
        <w:rPr>
          <w:szCs w:val="24"/>
        </w:rPr>
        <w:t xml:space="preserve"> (2016)</w:t>
      </w:r>
      <w:r>
        <w:rPr>
          <w:szCs w:val="24"/>
        </w:rPr>
        <w:t>.</w:t>
      </w:r>
      <w:r w:rsidR="001C2B08" w:rsidRPr="008174EF">
        <w:rPr>
          <w:szCs w:val="24"/>
        </w:rPr>
        <w:t xml:space="preserve"> Uma </w:t>
      </w:r>
      <w:r w:rsidR="000C0DC3">
        <w:rPr>
          <w:szCs w:val="24"/>
        </w:rPr>
        <w:t>a</w:t>
      </w:r>
      <w:r w:rsidR="001C2B08" w:rsidRPr="008174EF">
        <w:rPr>
          <w:szCs w:val="24"/>
        </w:rPr>
        <w:t xml:space="preserve">nálise </w:t>
      </w:r>
      <w:r w:rsidR="000C0DC3">
        <w:rPr>
          <w:szCs w:val="24"/>
        </w:rPr>
        <w:t>c</w:t>
      </w:r>
      <w:r w:rsidR="001C2B08" w:rsidRPr="008174EF">
        <w:rPr>
          <w:szCs w:val="24"/>
        </w:rPr>
        <w:t>omparativa das cinco maiores operadoras de Saúde Suplementar e as tendências para o setor</w:t>
      </w:r>
      <w:r w:rsidR="000C0DC3">
        <w:rPr>
          <w:szCs w:val="24"/>
        </w:rPr>
        <w:t xml:space="preserve">. </w:t>
      </w:r>
      <w:r w:rsidR="000C0DC3" w:rsidRPr="000C0DC3">
        <w:rPr>
          <w:i/>
          <w:szCs w:val="24"/>
        </w:rPr>
        <w:t xml:space="preserve">Anais do </w:t>
      </w:r>
      <w:r w:rsidR="000C0DC3" w:rsidRPr="000C0DC3">
        <w:rPr>
          <w:bCs/>
          <w:i/>
          <w:szCs w:val="24"/>
          <w:shd w:val="clear" w:color="auto" w:fill="FFFFFF"/>
        </w:rPr>
        <w:t xml:space="preserve">Congresso Online - Gestão, Educação e Promoção da Saúde - </w:t>
      </w:r>
      <w:proofErr w:type="spellStart"/>
      <w:r w:rsidR="000C0DC3" w:rsidRPr="000C0DC3">
        <w:rPr>
          <w:bCs/>
          <w:i/>
          <w:szCs w:val="24"/>
          <w:shd w:val="clear" w:color="auto" w:fill="FFFFFF"/>
        </w:rPr>
        <w:t>Convibra</w:t>
      </w:r>
      <w:proofErr w:type="spellEnd"/>
      <w:r w:rsidR="000C0DC3">
        <w:rPr>
          <w:bCs/>
          <w:szCs w:val="24"/>
          <w:shd w:val="clear" w:color="auto" w:fill="FFFFFF"/>
        </w:rPr>
        <w:t>, São Paulo, SP, Brasil, 5.</w:t>
      </w:r>
    </w:p>
    <w:p w14:paraId="7A85E6F6" w14:textId="15366DE0" w:rsidR="001C2B08" w:rsidRPr="008174EF" w:rsidRDefault="000C0DC3" w:rsidP="003A6B0D">
      <w:pPr>
        <w:ind w:left="567" w:hanging="567"/>
        <w:rPr>
          <w:szCs w:val="24"/>
        </w:rPr>
      </w:pPr>
      <w:r w:rsidRPr="008174EF">
        <w:rPr>
          <w:szCs w:val="24"/>
        </w:rPr>
        <w:t>Borges</w:t>
      </w:r>
      <w:r w:rsidR="001C2B08" w:rsidRPr="008174EF">
        <w:rPr>
          <w:szCs w:val="24"/>
        </w:rPr>
        <w:t>, J. G.</w:t>
      </w:r>
      <w:r w:rsidR="003A6B0D">
        <w:rPr>
          <w:szCs w:val="24"/>
        </w:rPr>
        <w:t>,</w:t>
      </w:r>
      <w:r>
        <w:rPr>
          <w:szCs w:val="24"/>
        </w:rPr>
        <w:t xml:space="preserve"> &amp; </w:t>
      </w:r>
      <w:r w:rsidRPr="008174EF">
        <w:rPr>
          <w:szCs w:val="24"/>
        </w:rPr>
        <w:t>Carvalho</w:t>
      </w:r>
      <w:r w:rsidR="001C2B08" w:rsidRPr="008174EF">
        <w:rPr>
          <w:szCs w:val="24"/>
        </w:rPr>
        <w:t>, M. M.</w:t>
      </w:r>
      <w:r w:rsidR="009453DD" w:rsidRPr="008174EF">
        <w:rPr>
          <w:szCs w:val="24"/>
        </w:rPr>
        <w:t xml:space="preserve"> (2011)</w:t>
      </w:r>
      <w:r>
        <w:rPr>
          <w:szCs w:val="24"/>
        </w:rPr>
        <w:t>.</w:t>
      </w:r>
      <w:r w:rsidR="001C2B08" w:rsidRPr="008174EF">
        <w:rPr>
          <w:szCs w:val="24"/>
        </w:rPr>
        <w:t xml:space="preserve"> Sistemas de </w:t>
      </w:r>
      <w:r>
        <w:rPr>
          <w:szCs w:val="24"/>
        </w:rPr>
        <w:t>i</w:t>
      </w:r>
      <w:r w:rsidR="001C2B08" w:rsidRPr="008174EF">
        <w:rPr>
          <w:szCs w:val="24"/>
        </w:rPr>
        <w:t xml:space="preserve">ndicadores de </w:t>
      </w:r>
      <w:r>
        <w:rPr>
          <w:szCs w:val="24"/>
        </w:rPr>
        <w:t>d</w:t>
      </w:r>
      <w:r w:rsidR="001C2B08" w:rsidRPr="008174EF">
        <w:rPr>
          <w:szCs w:val="24"/>
        </w:rPr>
        <w:t xml:space="preserve">esempenho em </w:t>
      </w:r>
      <w:r>
        <w:rPr>
          <w:szCs w:val="24"/>
        </w:rPr>
        <w:t>p</w:t>
      </w:r>
      <w:r w:rsidR="001C2B08" w:rsidRPr="008174EF">
        <w:rPr>
          <w:szCs w:val="24"/>
        </w:rPr>
        <w:t xml:space="preserve">rojetos. </w:t>
      </w:r>
      <w:r w:rsidR="001C2B08" w:rsidRPr="000C0DC3">
        <w:rPr>
          <w:i/>
          <w:szCs w:val="24"/>
        </w:rPr>
        <w:t>Revista de Gestão e Projetos</w:t>
      </w:r>
      <w:r w:rsidR="001C2B08" w:rsidRPr="008174EF">
        <w:rPr>
          <w:szCs w:val="24"/>
        </w:rPr>
        <w:t xml:space="preserve">, </w:t>
      </w:r>
      <w:r w:rsidR="001C2B08" w:rsidRPr="000C0DC3">
        <w:rPr>
          <w:i/>
          <w:szCs w:val="24"/>
        </w:rPr>
        <w:t>2</w:t>
      </w:r>
      <w:r>
        <w:rPr>
          <w:szCs w:val="24"/>
        </w:rPr>
        <w:t>(</w:t>
      </w:r>
      <w:r w:rsidR="001C2B08" w:rsidRPr="008174EF">
        <w:rPr>
          <w:szCs w:val="24"/>
        </w:rPr>
        <w:t>1</w:t>
      </w:r>
      <w:r>
        <w:rPr>
          <w:szCs w:val="24"/>
        </w:rPr>
        <w:t>)</w:t>
      </w:r>
      <w:r w:rsidR="001C2B08" w:rsidRPr="008174EF">
        <w:rPr>
          <w:szCs w:val="24"/>
        </w:rPr>
        <w:t>, 174-207</w:t>
      </w:r>
      <w:r w:rsidR="009453DD" w:rsidRPr="008174EF">
        <w:rPr>
          <w:szCs w:val="24"/>
        </w:rPr>
        <w:t>.</w:t>
      </w:r>
    </w:p>
    <w:p w14:paraId="534BDFE3" w14:textId="46C56774" w:rsidR="001C2B08" w:rsidRPr="008174EF" w:rsidRDefault="003A6B0D" w:rsidP="003A6B0D">
      <w:pPr>
        <w:ind w:left="567" w:hanging="567"/>
      </w:pPr>
      <w:r w:rsidRPr="008174EF">
        <w:t>Bruni</w:t>
      </w:r>
      <w:r w:rsidR="001C2B08" w:rsidRPr="008174EF">
        <w:t>, A. L. A</w:t>
      </w:r>
      <w:r w:rsidR="00F22447">
        <w:t>.</w:t>
      </w:r>
      <w:r w:rsidR="001C2B08" w:rsidRPr="008174EF">
        <w:t xml:space="preserve"> </w:t>
      </w:r>
      <w:r w:rsidR="009453DD" w:rsidRPr="008174EF">
        <w:t>(2014)</w:t>
      </w:r>
      <w:r w:rsidR="00F22447">
        <w:t>.</w:t>
      </w:r>
      <w:r w:rsidR="009453DD" w:rsidRPr="008174EF">
        <w:t xml:space="preserve"> </w:t>
      </w:r>
      <w:r w:rsidR="001C2B08" w:rsidRPr="008174EF">
        <w:t xml:space="preserve">Análise contábil e financeira. 3. ed. São Paulo: Atlas. </w:t>
      </w:r>
    </w:p>
    <w:p w14:paraId="3F0573F1" w14:textId="1E1E9BD1" w:rsidR="001C2B08" w:rsidRPr="008174EF" w:rsidRDefault="003A6B0D" w:rsidP="003A6B0D">
      <w:pPr>
        <w:ind w:left="567" w:hanging="567"/>
        <w:rPr>
          <w:szCs w:val="24"/>
        </w:rPr>
      </w:pPr>
      <w:r w:rsidRPr="008174EF">
        <w:rPr>
          <w:szCs w:val="24"/>
        </w:rPr>
        <w:t>Câmara</w:t>
      </w:r>
      <w:r w:rsidR="001C2B08" w:rsidRPr="008174EF">
        <w:rPr>
          <w:szCs w:val="24"/>
        </w:rPr>
        <w:t>, R. P. B.</w:t>
      </w:r>
      <w:r>
        <w:rPr>
          <w:szCs w:val="24"/>
        </w:rPr>
        <w:t xml:space="preserve">, </w:t>
      </w:r>
      <w:r w:rsidRPr="008174EF">
        <w:rPr>
          <w:szCs w:val="24"/>
        </w:rPr>
        <w:t>Sobrinho</w:t>
      </w:r>
      <w:r w:rsidR="001C2B08" w:rsidRPr="008174EF">
        <w:rPr>
          <w:szCs w:val="24"/>
        </w:rPr>
        <w:t>, M. R. M.</w:t>
      </w:r>
      <w:r>
        <w:rPr>
          <w:szCs w:val="24"/>
        </w:rPr>
        <w:t xml:space="preserve">, &amp; </w:t>
      </w:r>
      <w:r w:rsidRPr="008174EF">
        <w:rPr>
          <w:szCs w:val="24"/>
        </w:rPr>
        <w:t>Lima</w:t>
      </w:r>
      <w:r w:rsidR="001C2B08" w:rsidRPr="008174EF">
        <w:rPr>
          <w:szCs w:val="24"/>
        </w:rPr>
        <w:t>, L. S</w:t>
      </w:r>
      <w:r w:rsidR="00F22447">
        <w:rPr>
          <w:szCs w:val="24"/>
        </w:rPr>
        <w:t>.</w:t>
      </w:r>
      <w:r w:rsidR="009453DD" w:rsidRPr="008174EF">
        <w:rPr>
          <w:szCs w:val="24"/>
        </w:rPr>
        <w:t xml:space="preserve"> (2008)</w:t>
      </w:r>
      <w:r w:rsidR="00F22447">
        <w:rPr>
          <w:szCs w:val="24"/>
        </w:rPr>
        <w:t>.</w:t>
      </w:r>
      <w:r w:rsidR="001C2B08" w:rsidRPr="008174EF">
        <w:rPr>
          <w:szCs w:val="24"/>
        </w:rPr>
        <w:t xml:space="preserve"> Análise financeira nas operadoras de </w:t>
      </w:r>
      <w:r w:rsidR="001C2B08" w:rsidRPr="008174EF">
        <w:rPr>
          <w:szCs w:val="24"/>
        </w:rPr>
        <w:lastRenderedPageBreak/>
        <w:t xml:space="preserve">planos de saúde. </w:t>
      </w:r>
      <w:r w:rsidR="001C2B08" w:rsidRPr="003A6B0D">
        <w:rPr>
          <w:i/>
          <w:szCs w:val="24"/>
        </w:rPr>
        <w:t>Revista Ciências Administrativas</w:t>
      </w:r>
      <w:r w:rsidR="001C2B08" w:rsidRPr="008174EF">
        <w:rPr>
          <w:szCs w:val="24"/>
        </w:rPr>
        <w:t xml:space="preserve">, </w:t>
      </w:r>
      <w:r w:rsidR="001C2B08" w:rsidRPr="003A6B0D">
        <w:rPr>
          <w:i/>
          <w:szCs w:val="24"/>
        </w:rPr>
        <w:t>14</w:t>
      </w:r>
      <w:r>
        <w:rPr>
          <w:szCs w:val="24"/>
        </w:rPr>
        <w:t>(</w:t>
      </w:r>
      <w:r w:rsidR="001C2B08" w:rsidRPr="008174EF">
        <w:rPr>
          <w:szCs w:val="24"/>
        </w:rPr>
        <w:t>1</w:t>
      </w:r>
      <w:r>
        <w:rPr>
          <w:szCs w:val="24"/>
        </w:rPr>
        <w:t>)</w:t>
      </w:r>
      <w:r w:rsidR="001C2B08" w:rsidRPr="008174EF">
        <w:rPr>
          <w:szCs w:val="24"/>
        </w:rPr>
        <w:t>, 105-121</w:t>
      </w:r>
      <w:r w:rsidR="009453DD" w:rsidRPr="008174EF">
        <w:rPr>
          <w:szCs w:val="24"/>
        </w:rPr>
        <w:t>.</w:t>
      </w:r>
      <w:r w:rsidR="001C2B08" w:rsidRPr="008174EF">
        <w:rPr>
          <w:szCs w:val="24"/>
        </w:rPr>
        <w:t xml:space="preserve"> </w:t>
      </w:r>
    </w:p>
    <w:p w14:paraId="5FD92327" w14:textId="77777777" w:rsidR="00844D95" w:rsidRPr="007E0039" w:rsidRDefault="00844D95" w:rsidP="00844D95">
      <w:pPr>
        <w:ind w:left="709" w:hanging="709"/>
        <w:rPr>
          <w:iCs/>
          <w:szCs w:val="24"/>
        </w:rPr>
      </w:pPr>
      <w:proofErr w:type="spellStart"/>
      <w:r w:rsidRPr="007E0039">
        <w:rPr>
          <w:rStyle w:val="xbe"/>
          <w:szCs w:val="24"/>
          <w:shd w:val="clear" w:color="auto" w:fill="FFFFFF"/>
        </w:rPr>
        <w:t>Frezatti</w:t>
      </w:r>
      <w:proofErr w:type="spellEnd"/>
      <w:r w:rsidRPr="007E0039">
        <w:rPr>
          <w:rStyle w:val="xbe"/>
          <w:szCs w:val="24"/>
          <w:shd w:val="clear" w:color="auto" w:fill="FFFFFF"/>
        </w:rPr>
        <w:t xml:space="preserve">, F., Rocha, W., Nascimento, A. R., &amp; Junqueira, E. (2009). </w:t>
      </w:r>
      <w:r w:rsidRPr="007E0039">
        <w:rPr>
          <w:i/>
          <w:iCs/>
          <w:szCs w:val="24"/>
        </w:rPr>
        <w:t>Controle gerencial: uma abordagem da contabilidade gerencial no contexto econômico, comportamental e sociológico</w:t>
      </w:r>
      <w:r w:rsidRPr="007E0039">
        <w:rPr>
          <w:iCs/>
          <w:szCs w:val="24"/>
        </w:rPr>
        <w:t>. São Paulo: Atlas.</w:t>
      </w:r>
    </w:p>
    <w:p w14:paraId="29A2DA10" w14:textId="3633F0C6" w:rsidR="001C2B08" w:rsidRPr="008174EF" w:rsidRDefault="003A6B0D" w:rsidP="006359E5">
      <w:pPr>
        <w:pStyle w:val="NormalWeb"/>
        <w:shd w:val="clear" w:color="auto" w:fill="FFFFFF"/>
        <w:autoSpaceDE w:val="0"/>
        <w:autoSpaceDN w:val="0"/>
        <w:adjustRightInd w:val="0"/>
        <w:spacing w:before="0" w:beforeAutospacing="0" w:after="0" w:afterAutospacing="0"/>
        <w:ind w:left="567" w:hanging="567"/>
        <w:rPr>
          <w:rStyle w:val="Hyperlink"/>
          <w:color w:val="auto"/>
          <w:u w:val="none"/>
        </w:rPr>
      </w:pPr>
      <w:proofErr w:type="spellStart"/>
      <w:r w:rsidRPr="008174EF">
        <w:t>Gasparetto</w:t>
      </w:r>
      <w:proofErr w:type="spellEnd"/>
      <w:r w:rsidR="001C2B08" w:rsidRPr="008174EF">
        <w:t>, V.</w:t>
      </w:r>
      <w:r w:rsidR="00603B32" w:rsidRPr="008174EF">
        <w:t xml:space="preserve"> (2004)</w:t>
      </w:r>
      <w:r w:rsidR="00F22447">
        <w:t>.</w:t>
      </w:r>
      <w:r w:rsidR="001C2B08" w:rsidRPr="008174EF">
        <w:t xml:space="preserve"> O papel da contabilidade no provimento de Informações para a avaliação do desempenho empresarial. </w:t>
      </w:r>
      <w:r w:rsidR="001C2B08" w:rsidRPr="00F22447">
        <w:rPr>
          <w:i/>
        </w:rPr>
        <w:t>Revista Contemporânea de Contabilidade</w:t>
      </w:r>
      <w:r w:rsidR="00F22447">
        <w:t xml:space="preserve">, </w:t>
      </w:r>
      <w:r w:rsidR="001C2B08" w:rsidRPr="008174EF">
        <w:rPr>
          <w:rStyle w:val="Hyperlink"/>
          <w:color w:val="auto"/>
          <w:u w:val="none"/>
        </w:rPr>
        <w:t>1</w:t>
      </w:r>
      <w:r w:rsidR="00F22447">
        <w:rPr>
          <w:rStyle w:val="Hyperlink"/>
          <w:color w:val="auto"/>
          <w:u w:val="none"/>
        </w:rPr>
        <w:t>(</w:t>
      </w:r>
      <w:r w:rsidR="001C2B08" w:rsidRPr="008174EF">
        <w:rPr>
          <w:rStyle w:val="Hyperlink"/>
          <w:color w:val="auto"/>
          <w:u w:val="none"/>
        </w:rPr>
        <w:t>2</w:t>
      </w:r>
      <w:r w:rsidR="00F22447">
        <w:rPr>
          <w:rStyle w:val="Hyperlink"/>
          <w:color w:val="auto"/>
          <w:u w:val="none"/>
        </w:rPr>
        <w:t>)</w:t>
      </w:r>
      <w:r w:rsidR="001C2B08" w:rsidRPr="008174EF">
        <w:rPr>
          <w:rStyle w:val="Hyperlink"/>
          <w:color w:val="auto"/>
          <w:u w:val="none"/>
        </w:rPr>
        <w:t>, 11-40</w:t>
      </w:r>
      <w:r w:rsidR="00F22447">
        <w:rPr>
          <w:rStyle w:val="Hyperlink"/>
          <w:color w:val="auto"/>
          <w:u w:val="none"/>
        </w:rPr>
        <w:t>.</w:t>
      </w:r>
    </w:p>
    <w:p w14:paraId="6A5153CE" w14:textId="38D71D9A" w:rsidR="009D57A3" w:rsidRPr="008174EF" w:rsidRDefault="00F22447" w:rsidP="006359E5">
      <w:pPr>
        <w:pStyle w:val="NormalWeb"/>
        <w:shd w:val="clear" w:color="auto" w:fill="FFFFFF"/>
        <w:autoSpaceDE w:val="0"/>
        <w:autoSpaceDN w:val="0"/>
        <w:adjustRightInd w:val="0"/>
        <w:spacing w:before="0" w:beforeAutospacing="0" w:after="0" w:afterAutospacing="0"/>
        <w:ind w:left="567" w:hanging="567"/>
      </w:pPr>
      <w:r w:rsidRPr="008174EF">
        <w:rPr>
          <w:shd w:val="clear" w:color="auto" w:fill="FFFFFF"/>
        </w:rPr>
        <w:t>Guimarães</w:t>
      </w:r>
      <w:r w:rsidR="009D57A3" w:rsidRPr="008174EF">
        <w:rPr>
          <w:shd w:val="clear" w:color="auto" w:fill="FFFFFF"/>
        </w:rPr>
        <w:t xml:space="preserve">, A. D. S., &amp; Nossa, V. (2010). Capital de </w:t>
      </w:r>
      <w:r>
        <w:rPr>
          <w:shd w:val="clear" w:color="auto" w:fill="FFFFFF"/>
        </w:rPr>
        <w:t>g</w:t>
      </w:r>
      <w:r w:rsidR="009D57A3" w:rsidRPr="008174EF">
        <w:rPr>
          <w:shd w:val="clear" w:color="auto" w:fill="FFFFFF"/>
        </w:rPr>
        <w:t xml:space="preserve">iro, </w:t>
      </w:r>
      <w:r>
        <w:rPr>
          <w:shd w:val="clear" w:color="auto" w:fill="FFFFFF"/>
        </w:rPr>
        <w:t>l</w:t>
      </w:r>
      <w:r w:rsidR="009D57A3" w:rsidRPr="008174EF">
        <w:rPr>
          <w:shd w:val="clear" w:color="auto" w:fill="FFFFFF"/>
        </w:rPr>
        <w:t xml:space="preserve">ucratividade, </w:t>
      </w:r>
      <w:r>
        <w:rPr>
          <w:shd w:val="clear" w:color="auto" w:fill="FFFFFF"/>
        </w:rPr>
        <w:t>l</w:t>
      </w:r>
      <w:r w:rsidR="009D57A3" w:rsidRPr="008174EF">
        <w:rPr>
          <w:shd w:val="clear" w:color="auto" w:fill="FFFFFF"/>
        </w:rPr>
        <w:t xml:space="preserve">iquidez e </w:t>
      </w:r>
      <w:r>
        <w:rPr>
          <w:shd w:val="clear" w:color="auto" w:fill="FFFFFF"/>
        </w:rPr>
        <w:t>s</w:t>
      </w:r>
      <w:r w:rsidR="009D57A3" w:rsidRPr="008174EF">
        <w:rPr>
          <w:shd w:val="clear" w:color="auto" w:fill="FFFFFF"/>
        </w:rPr>
        <w:t>olvência em operadoras de planos de saúde. </w:t>
      </w:r>
      <w:proofErr w:type="spellStart"/>
      <w:r w:rsidR="009D57A3" w:rsidRPr="008174EF">
        <w:rPr>
          <w:i/>
          <w:iCs/>
          <w:shd w:val="clear" w:color="auto" w:fill="FFFFFF"/>
        </w:rPr>
        <w:t>Brazilian</w:t>
      </w:r>
      <w:proofErr w:type="spellEnd"/>
      <w:r w:rsidR="009D57A3" w:rsidRPr="008174EF">
        <w:rPr>
          <w:i/>
          <w:iCs/>
          <w:shd w:val="clear" w:color="auto" w:fill="FFFFFF"/>
        </w:rPr>
        <w:t xml:space="preserve"> Business </w:t>
      </w:r>
      <w:proofErr w:type="spellStart"/>
      <w:r w:rsidR="009D57A3" w:rsidRPr="008174EF">
        <w:rPr>
          <w:i/>
          <w:iCs/>
          <w:shd w:val="clear" w:color="auto" w:fill="FFFFFF"/>
        </w:rPr>
        <w:t>Review</w:t>
      </w:r>
      <w:proofErr w:type="spellEnd"/>
      <w:r w:rsidR="009D57A3" w:rsidRPr="008174EF">
        <w:rPr>
          <w:i/>
          <w:iCs/>
          <w:shd w:val="clear" w:color="auto" w:fill="FFFFFF"/>
        </w:rPr>
        <w:t>, 7</w:t>
      </w:r>
      <w:r w:rsidR="009D57A3" w:rsidRPr="008174EF">
        <w:rPr>
          <w:shd w:val="clear" w:color="auto" w:fill="FFFFFF"/>
        </w:rPr>
        <w:t>(2), 40-63.</w:t>
      </w:r>
    </w:p>
    <w:p w14:paraId="6FCD18BF" w14:textId="5FEA0678" w:rsidR="00603B32" w:rsidRPr="008174EF" w:rsidRDefault="00F22447" w:rsidP="006359E5">
      <w:pPr>
        <w:pStyle w:val="NormalWeb"/>
        <w:shd w:val="clear" w:color="auto" w:fill="FFFFFF"/>
        <w:autoSpaceDE w:val="0"/>
        <w:autoSpaceDN w:val="0"/>
        <w:adjustRightInd w:val="0"/>
        <w:spacing w:before="0" w:beforeAutospacing="0" w:after="0" w:afterAutospacing="0"/>
        <w:ind w:left="567" w:hanging="567"/>
      </w:pPr>
      <w:r w:rsidRPr="008174EF">
        <w:t>Kaplan</w:t>
      </w:r>
      <w:r w:rsidR="001C2B08" w:rsidRPr="008174EF">
        <w:t>, R, S.</w:t>
      </w:r>
      <w:r>
        <w:t xml:space="preserve">, &amp; </w:t>
      </w:r>
      <w:r w:rsidRPr="008174EF">
        <w:t>Norton</w:t>
      </w:r>
      <w:r w:rsidR="001C2B08" w:rsidRPr="008174EF">
        <w:t>, D. P.</w:t>
      </w:r>
      <w:r w:rsidR="00603B32" w:rsidRPr="008174EF">
        <w:t xml:space="preserve"> (1997)</w:t>
      </w:r>
      <w:r>
        <w:t>.</w:t>
      </w:r>
      <w:r w:rsidR="001C2B08" w:rsidRPr="008174EF">
        <w:t xml:space="preserve"> </w:t>
      </w:r>
      <w:r w:rsidR="001C2B08" w:rsidRPr="00F22447">
        <w:t xml:space="preserve">Estratégia em </w:t>
      </w:r>
      <w:r>
        <w:t>a</w:t>
      </w:r>
      <w:r w:rsidR="001C2B08" w:rsidRPr="00F22447">
        <w:t xml:space="preserve">ção: </w:t>
      </w:r>
      <w:proofErr w:type="spellStart"/>
      <w:r>
        <w:t>b</w:t>
      </w:r>
      <w:r w:rsidR="001C2B08" w:rsidRPr="008174EF">
        <w:t>alanced</w:t>
      </w:r>
      <w:proofErr w:type="spellEnd"/>
      <w:r w:rsidR="001C2B08" w:rsidRPr="008174EF">
        <w:t xml:space="preserve"> </w:t>
      </w:r>
      <w:proofErr w:type="spellStart"/>
      <w:r>
        <w:t>s</w:t>
      </w:r>
      <w:r w:rsidR="001C2B08" w:rsidRPr="008174EF">
        <w:t>corecard</w:t>
      </w:r>
      <w:proofErr w:type="spellEnd"/>
      <w:r w:rsidR="001C2B08" w:rsidRPr="008174EF">
        <w:t xml:space="preserve">. </w:t>
      </w:r>
      <w:r>
        <w:t xml:space="preserve">Rio de Janeiro: </w:t>
      </w:r>
      <w:r w:rsidR="001C2B08" w:rsidRPr="008174EF">
        <w:t>Editora Campus.</w:t>
      </w:r>
    </w:p>
    <w:p w14:paraId="40305C3E" w14:textId="1C78EF92" w:rsidR="001C2B08" w:rsidRPr="008174EF" w:rsidRDefault="00F22447" w:rsidP="006359E5">
      <w:pPr>
        <w:pStyle w:val="NormalWeb"/>
        <w:shd w:val="clear" w:color="auto" w:fill="FFFFFF"/>
        <w:autoSpaceDE w:val="0"/>
        <w:autoSpaceDN w:val="0"/>
        <w:adjustRightInd w:val="0"/>
        <w:spacing w:before="0" w:beforeAutospacing="0" w:after="0" w:afterAutospacing="0"/>
        <w:ind w:left="567" w:hanging="567"/>
        <w:rPr>
          <w:shd w:val="clear" w:color="auto" w:fill="FFFFFF"/>
        </w:rPr>
      </w:pPr>
      <w:r w:rsidRPr="00C6432A">
        <w:rPr>
          <w:shd w:val="clear" w:color="auto" w:fill="FFFFFF"/>
        </w:rPr>
        <w:t>Lima</w:t>
      </w:r>
      <w:r w:rsidR="001C2B08" w:rsidRPr="00C6432A">
        <w:rPr>
          <w:shd w:val="clear" w:color="auto" w:fill="FFFFFF"/>
        </w:rPr>
        <w:t>,</w:t>
      </w:r>
      <w:r w:rsidR="001C2B08" w:rsidRPr="008174EF">
        <w:rPr>
          <w:shd w:val="clear" w:color="auto" w:fill="FFFFFF"/>
        </w:rPr>
        <w:t xml:space="preserve"> C. R. M.</w:t>
      </w:r>
      <w:r w:rsidR="00603B32" w:rsidRPr="008174EF">
        <w:rPr>
          <w:shd w:val="clear" w:color="auto" w:fill="FFFFFF"/>
        </w:rPr>
        <w:t xml:space="preserve"> (2008)</w:t>
      </w:r>
      <w:r>
        <w:rPr>
          <w:shd w:val="clear" w:color="auto" w:fill="FFFFFF"/>
        </w:rPr>
        <w:t>.</w:t>
      </w:r>
      <w:r w:rsidR="00603B32" w:rsidRPr="008174EF">
        <w:rPr>
          <w:shd w:val="clear" w:color="auto" w:fill="FFFFFF"/>
        </w:rPr>
        <w:t xml:space="preserve"> </w:t>
      </w:r>
      <w:r w:rsidR="00603B32" w:rsidRPr="00F22447">
        <w:rPr>
          <w:shd w:val="clear" w:color="auto" w:fill="FFFFFF"/>
        </w:rPr>
        <w:t>Informação</w:t>
      </w:r>
      <w:r w:rsidR="001C2B08" w:rsidRPr="00F22447">
        <w:rPr>
          <w:iCs/>
          <w:shd w:val="clear" w:color="auto" w:fill="FFFFFF"/>
        </w:rPr>
        <w:t xml:space="preserve"> e regulação da assistência suplementar à saúde</w:t>
      </w:r>
      <w:r w:rsidR="001C2B08" w:rsidRPr="008174EF">
        <w:rPr>
          <w:shd w:val="clear" w:color="auto" w:fill="FFFFFF"/>
        </w:rPr>
        <w:t>.</w:t>
      </w:r>
      <w:r w:rsidR="001C2B08" w:rsidRPr="008174EF">
        <w:rPr>
          <w:rStyle w:val="Hyperlink"/>
          <w:color w:val="auto"/>
          <w:u w:val="none"/>
          <w:shd w:val="clear" w:color="auto" w:fill="FFFFFF"/>
        </w:rPr>
        <w:t xml:space="preserve"> </w:t>
      </w:r>
      <w:proofErr w:type="spellStart"/>
      <w:r w:rsidR="001C2B08" w:rsidRPr="00F22447">
        <w:rPr>
          <w:rStyle w:val="Forte"/>
          <w:b w:val="0"/>
          <w:i/>
          <w:shd w:val="clear" w:color="auto" w:fill="FFFFFF"/>
        </w:rPr>
        <w:t>Physis</w:t>
      </w:r>
      <w:proofErr w:type="spellEnd"/>
      <w:r w:rsidR="001C2B08" w:rsidRPr="00F22447">
        <w:rPr>
          <w:rStyle w:val="Forte"/>
          <w:b w:val="0"/>
          <w:i/>
          <w:shd w:val="clear" w:color="auto" w:fill="FFFFFF"/>
        </w:rPr>
        <w:t>: Revista de Saúde Coletiva</w:t>
      </w:r>
      <w:r w:rsidR="001C2B08" w:rsidRPr="008174EF">
        <w:rPr>
          <w:shd w:val="clear" w:color="auto" w:fill="FFFFFF"/>
        </w:rPr>
        <w:t>, 18</w:t>
      </w:r>
      <w:r>
        <w:rPr>
          <w:shd w:val="clear" w:color="auto" w:fill="FFFFFF"/>
        </w:rPr>
        <w:t>(1)</w:t>
      </w:r>
      <w:r w:rsidR="001C2B08" w:rsidRPr="008174EF">
        <w:rPr>
          <w:shd w:val="clear" w:color="auto" w:fill="FFFFFF"/>
        </w:rPr>
        <w:t>, 767-783</w:t>
      </w:r>
      <w:r w:rsidR="00603B32" w:rsidRPr="008174EF">
        <w:rPr>
          <w:shd w:val="clear" w:color="auto" w:fill="FFFFFF"/>
        </w:rPr>
        <w:t xml:space="preserve">. </w:t>
      </w:r>
    </w:p>
    <w:p w14:paraId="2EE93728" w14:textId="43F5D23F" w:rsidR="003A6B0D" w:rsidRPr="008174EF" w:rsidRDefault="003A6B0D" w:rsidP="006359E5">
      <w:pPr>
        <w:autoSpaceDE w:val="0"/>
        <w:autoSpaceDN w:val="0"/>
        <w:adjustRightInd w:val="0"/>
        <w:ind w:left="567" w:hanging="567"/>
        <w:rPr>
          <w:sz w:val="28"/>
          <w:szCs w:val="24"/>
        </w:rPr>
      </w:pPr>
      <w:r w:rsidRPr="000C0DC3">
        <w:rPr>
          <w:i/>
          <w:szCs w:val="24"/>
        </w:rPr>
        <w:t>Lei n. 9.961, de 28 de janeiro de 2000</w:t>
      </w:r>
      <w:r w:rsidRPr="000C0DC3">
        <w:rPr>
          <w:szCs w:val="24"/>
        </w:rPr>
        <w:t>. (2000).</w:t>
      </w:r>
      <w:r w:rsidRPr="008174EF">
        <w:rPr>
          <w:szCs w:val="24"/>
        </w:rPr>
        <w:t xml:space="preserve"> Cria a Agência Nacional de Saúde Suplementar – ANS e dá Outras Providências. Brasília</w:t>
      </w:r>
      <w:r>
        <w:rPr>
          <w:szCs w:val="24"/>
        </w:rPr>
        <w:t xml:space="preserve">, DF. Recuperado em 14 de abril, 2019, de </w:t>
      </w:r>
      <w:hyperlink r:id="rId11" w:history="1">
        <w:r w:rsidRPr="008174EF">
          <w:rPr>
            <w:rStyle w:val="Hyperlink"/>
            <w:color w:val="auto"/>
            <w:u w:val="none"/>
          </w:rPr>
          <w:t>http://www.planalto.gov.br/ccivil_03/leis/l9961.htm</w:t>
        </w:r>
      </w:hyperlink>
      <w:r w:rsidRPr="008174EF">
        <w:t>.</w:t>
      </w:r>
    </w:p>
    <w:p w14:paraId="7A67A5AF" w14:textId="1D93424B" w:rsidR="001C2B08" w:rsidRPr="008174EF" w:rsidRDefault="00F22447" w:rsidP="006359E5">
      <w:pPr>
        <w:shd w:val="clear" w:color="auto" w:fill="FFFFFF"/>
        <w:autoSpaceDE w:val="0"/>
        <w:autoSpaceDN w:val="0"/>
        <w:adjustRightInd w:val="0"/>
        <w:ind w:left="567" w:hanging="567"/>
      </w:pPr>
      <w:r w:rsidRPr="008174EF">
        <w:t>Marion</w:t>
      </w:r>
      <w:r w:rsidR="001C2B08" w:rsidRPr="008174EF">
        <w:t>, J. C.</w:t>
      </w:r>
      <w:r w:rsidR="00603B32" w:rsidRPr="008174EF">
        <w:t xml:space="preserve"> (2010</w:t>
      </w:r>
      <w:r w:rsidR="00037CB3" w:rsidRPr="008174EF">
        <w:t>)</w:t>
      </w:r>
      <w:r>
        <w:t>.</w:t>
      </w:r>
      <w:r w:rsidR="00037CB3" w:rsidRPr="008174EF">
        <w:t xml:space="preserve"> Análise</w:t>
      </w:r>
      <w:r w:rsidR="001C2B08" w:rsidRPr="008174EF">
        <w:t xml:space="preserve"> das demonstrações contábeis</w:t>
      </w:r>
      <w:r>
        <w:t xml:space="preserve"> (</w:t>
      </w:r>
      <w:r w:rsidR="001C2B08" w:rsidRPr="008174EF">
        <w:t>6</w:t>
      </w:r>
      <w:r>
        <w:t>a</w:t>
      </w:r>
      <w:r w:rsidR="001C2B08" w:rsidRPr="008174EF">
        <w:t xml:space="preserve"> ed.</w:t>
      </w:r>
      <w:r>
        <w:t>).</w:t>
      </w:r>
      <w:r w:rsidR="001C2B08" w:rsidRPr="008174EF">
        <w:t xml:space="preserve"> São Paulo: Atlas</w:t>
      </w:r>
      <w:r w:rsidR="00603B32" w:rsidRPr="008174EF">
        <w:t xml:space="preserve">. </w:t>
      </w:r>
    </w:p>
    <w:p w14:paraId="6BAB2446" w14:textId="7A6B80A2" w:rsidR="001C2B08" w:rsidRPr="008174EF" w:rsidRDefault="00F22447" w:rsidP="006359E5">
      <w:pPr>
        <w:pStyle w:val="NormalWeb"/>
        <w:shd w:val="clear" w:color="auto" w:fill="FFFFFF"/>
        <w:autoSpaceDE w:val="0"/>
        <w:autoSpaceDN w:val="0"/>
        <w:adjustRightInd w:val="0"/>
        <w:spacing w:before="0" w:beforeAutospacing="0" w:after="0" w:afterAutospacing="0"/>
        <w:ind w:left="567" w:hanging="567"/>
      </w:pPr>
      <w:r w:rsidRPr="008174EF">
        <w:t>Matarazzo</w:t>
      </w:r>
      <w:r w:rsidR="001C2B08" w:rsidRPr="008174EF">
        <w:t>, D. C.</w:t>
      </w:r>
      <w:r w:rsidR="00037CB3" w:rsidRPr="008174EF">
        <w:t xml:space="preserve"> (2010)</w:t>
      </w:r>
      <w:r>
        <w:t>.</w:t>
      </w:r>
      <w:r w:rsidR="001C2B08" w:rsidRPr="008174EF">
        <w:t xml:space="preserve"> Análise financeira de balanços: abordagem geral</w:t>
      </w:r>
      <w:r>
        <w:t xml:space="preserve"> (</w:t>
      </w:r>
      <w:r w:rsidR="001C2B08" w:rsidRPr="008174EF">
        <w:t>7</w:t>
      </w:r>
      <w:r>
        <w:t>a</w:t>
      </w:r>
      <w:r w:rsidR="001C2B08" w:rsidRPr="008174EF">
        <w:t xml:space="preserve"> ed.</w:t>
      </w:r>
      <w:r>
        <w:t>).</w:t>
      </w:r>
      <w:r w:rsidR="001C2B08" w:rsidRPr="008174EF">
        <w:t xml:space="preserve"> São Paulo: Atlas</w:t>
      </w:r>
      <w:r w:rsidR="00037CB3" w:rsidRPr="008174EF">
        <w:t>.</w:t>
      </w:r>
    </w:p>
    <w:p w14:paraId="2DDB696D" w14:textId="28A4F540" w:rsidR="001C2B08" w:rsidRPr="008174EF" w:rsidRDefault="00F22447" w:rsidP="006359E5">
      <w:pPr>
        <w:pStyle w:val="NormalWeb"/>
        <w:shd w:val="clear" w:color="auto" w:fill="FFFFFF"/>
        <w:autoSpaceDE w:val="0"/>
        <w:autoSpaceDN w:val="0"/>
        <w:adjustRightInd w:val="0"/>
        <w:spacing w:before="0" w:beforeAutospacing="0" w:after="0" w:afterAutospacing="0"/>
        <w:ind w:left="567" w:hanging="567"/>
      </w:pPr>
      <w:r w:rsidRPr="008174EF">
        <w:t>Matos</w:t>
      </w:r>
      <w:r>
        <w:t>,</w:t>
      </w:r>
      <w:r w:rsidR="001C2B08" w:rsidRPr="008174EF">
        <w:t xml:space="preserve"> A. J.</w:t>
      </w:r>
      <w:r w:rsidR="00037CB3" w:rsidRPr="008174EF">
        <w:t xml:space="preserve"> (2002)</w:t>
      </w:r>
      <w:r>
        <w:t>.</w:t>
      </w:r>
      <w:r w:rsidR="00037CB3" w:rsidRPr="008174EF">
        <w:t xml:space="preserve"> Gestão</w:t>
      </w:r>
      <w:r w:rsidR="001C2B08" w:rsidRPr="008174EF">
        <w:rPr>
          <w:b/>
        </w:rPr>
        <w:t xml:space="preserve"> </w:t>
      </w:r>
      <w:r w:rsidR="001C2B08" w:rsidRPr="00F22447">
        <w:t xml:space="preserve">de </w:t>
      </w:r>
      <w:r>
        <w:t>c</w:t>
      </w:r>
      <w:r w:rsidR="001C2B08" w:rsidRPr="00F22447">
        <w:t xml:space="preserve">ustos </w:t>
      </w:r>
      <w:r>
        <w:t>h</w:t>
      </w:r>
      <w:r w:rsidR="001C2B08" w:rsidRPr="00F22447">
        <w:t>ospitalares</w:t>
      </w:r>
      <w:r w:rsidR="001C2B08" w:rsidRPr="008174EF">
        <w:t xml:space="preserve">: </w:t>
      </w:r>
      <w:r>
        <w:t>t</w:t>
      </w:r>
      <w:r w:rsidR="001C2B08" w:rsidRPr="008174EF">
        <w:t xml:space="preserve">écnicas, </w:t>
      </w:r>
      <w:r>
        <w:t>a</w:t>
      </w:r>
      <w:r w:rsidR="001C2B08" w:rsidRPr="008174EF">
        <w:t xml:space="preserve">nálise e </w:t>
      </w:r>
      <w:r>
        <w:t>t</w:t>
      </w:r>
      <w:r w:rsidR="001C2B08" w:rsidRPr="008174EF">
        <w:t xml:space="preserve">omada de </w:t>
      </w:r>
      <w:r>
        <w:t>d</w:t>
      </w:r>
      <w:r w:rsidR="001C2B08" w:rsidRPr="008174EF">
        <w:t>ecisão. São Paulo: STS</w:t>
      </w:r>
      <w:r w:rsidR="00037CB3" w:rsidRPr="008174EF">
        <w:t xml:space="preserve">. </w:t>
      </w:r>
    </w:p>
    <w:p w14:paraId="2C0712B3" w14:textId="7046871E" w:rsidR="001C2B08" w:rsidRPr="006359E5" w:rsidRDefault="00F22447" w:rsidP="006359E5">
      <w:pPr>
        <w:autoSpaceDE w:val="0"/>
        <w:autoSpaceDN w:val="0"/>
        <w:adjustRightInd w:val="0"/>
        <w:ind w:left="567" w:hanging="567"/>
        <w:rPr>
          <w:szCs w:val="24"/>
        </w:rPr>
      </w:pPr>
      <w:r w:rsidRPr="008174EF">
        <w:rPr>
          <w:szCs w:val="24"/>
        </w:rPr>
        <w:t>Miranda</w:t>
      </w:r>
      <w:r w:rsidR="001C2B08" w:rsidRPr="008174EF">
        <w:rPr>
          <w:szCs w:val="24"/>
        </w:rPr>
        <w:t>, L. C.</w:t>
      </w:r>
      <w:r>
        <w:rPr>
          <w:szCs w:val="24"/>
        </w:rPr>
        <w:t xml:space="preserve">, &amp; </w:t>
      </w:r>
      <w:r w:rsidRPr="008174EF">
        <w:rPr>
          <w:szCs w:val="24"/>
        </w:rPr>
        <w:t>Azevedo</w:t>
      </w:r>
      <w:r w:rsidR="001C2B08" w:rsidRPr="008174EF">
        <w:rPr>
          <w:szCs w:val="24"/>
        </w:rPr>
        <w:t>, S. G.</w:t>
      </w:r>
      <w:r w:rsidR="00037CB3" w:rsidRPr="008174EF">
        <w:rPr>
          <w:szCs w:val="24"/>
        </w:rPr>
        <w:t xml:space="preserve"> (2009)</w:t>
      </w:r>
      <w:r>
        <w:rPr>
          <w:szCs w:val="24"/>
        </w:rPr>
        <w:t>.</w:t>
      </w:r>
      <w:r w:rsidR="001C2B08" w:rsidRPr="008174EF">
        <w:rPr>
          <w:szCs w:val="24"/>
        </w:rPr>
        <w:t xml:space="preserve"> Indicadores de desempenho gerencial mais utilizados pelos empresários: estudo comparativo Brasil – Portugal. </w:t>
      </w:r>
      <w:r w:rsidR="001C2B08" w:rsidRPr="00F22447">
        <w:rPr>
          <w:i/>
          <w:szCs w:val="24"/>
        </w:rPr>
        <w:t xml:space="preserve">Revista de Contabilidade e </w:t>
      </w:r>
      <w:r w:rsidR="001C2B08" w:rsidRPr="006359E5">
        <w:rPr>
          <w:i/>
          <w:szCs w:val="24"/>
        </w:rPr>
        <w:t>Organizações – FEARP/USP</w:t>
      </w:r>
      <w:r w:rsidR="001C2B08" w:rsidRPr="006359E5">
        <w:rPr>
          <w:szCs w:val="24"/>
        </w:rPr>
        <w:t xml:space="preserve">, </w:t>
      </w:r>
      <w:r w:rsidR="001C2B08" w:rsidRPr="006359E5">
        <w:rPr>
          <w:i/>
          <w:szCs w:val="24"/>
        </w:rPr>
        <w:t>3</w:t>
      </w:r>
      <w:r w:rsidRPr="006359E5">
        <w:rPr>
          <w:szCs w:val="24"/>
        </w:rPr>
        <w:t>(</w:t>
      </w:r>
      <w:r w:rsidR="001C2B08" w:rsidRPr="006359E5">
        <w:rPr>
          <w:szCs w:val="24"/>
        </w:rPr>
        <w:t>6</w:t>
      </w:r>
      <w:r w:rsidRPr="006359E5">
        <w:rPr>
          <w:szCs w:val="24"/>
        </w:rPr>
        <w:t>)</w:t>
      </w:r>
      <w:r w:rsidR="001C2B08" w:rsidRPr="006359E5">
        <w:rPr>
          <w:szCs w:val="24"/>
        </w:rPr>
        <w:t>, 117</w:t>
      </w:r>
      <w:r w:rsidRPr="006359E5">
        <w:rPr>
          <w:szCs w:val="24"/>
        </w:rPr>
        <w:t>-</w:t>
      </w:r>
      <w:r w:rsidR="001C2B08" w:rsidRPr="006359E5">
        <w:rPr>
          <w:szCs w:val="24"/>
        </w:rPr>
        <w:t>142</w:t>
      </w:r>
      <w:r w:rsidRPr="006359E5">
        <w:rPr>
          <w:szCs w:val="24"/>
        </w:rPr>
        <w:t>.</w:t>
      </w:r>
    </w:p>
    <w:p w14:paraId="0AA2EDBD" w14:textId="1C66E27D" w:rsidR="006359E5" w:rsidRPr="00FA43E9" w:rsidRDefault="006359E5" w:rsidP="006359E5">
      <w:pPr>
        <w:autoSpaceDE w:val="0"/>
        <w:autoSpaceDN w:val="0"/>
        <w:adjustRightInd w:val="0"/>
        <w:ind w:left="567" w:hanging="567"/>
        <w:rPr>
          <w:rStyle w:val="Hyperlink"/>
          <w:color w:val="auto"/>
          <w:szCs w:val="24"/>
          <w:u w:val="none"/>
          <w:lang w:val="en-US"/>
        </w:rPr>
      </w:pPr>
      <w:r w:rsidRPr="00D5798E">
        <w:rPr>
          <w:color w:val="000000"/>
          <w:szCs w:val="24"/>
          <w:shd w:val="clear" w:color="auto" w:fill="FFFFFF"/>
          <w:lang w:val="en-US"/>
        </w:rPr>
        <w:t xml:space="preserve">Neely, A., Gregory, M., &amp; </w:t>
      </w:r>
      <w:proofErr w:type="spellStart"/>
      <w:r w:rsidRPr="00D5798E">
        <w:rPr>
          <w:color w:val="000000"/>
          <w:szCs w:val="24"/>
          <w:shd w:val="clear" w:color="auto" w:fill="FFFFFF"/>
          <w:lang w:val="en-US"/>
        </w:rPr>
        <w:t>Platts</w:t>
      </w:r>
      <w:proofErr w:type="spellEnd"/>
      <w:r w:rsidRPr="00D5798E">
        <w:rPr>
          <w:color w:val="000000"/>
          <w:szCs w:val="24"/>
          <w:shd w:val="clear" w:color="auto" w:fill="FFFFFF"/>
          <w:lang w:val="en-US"/>
        </w:rPr>
        <w:t xml:space="preserve">, K. (1995). </w:t>
      </w:r>
      <w:proofErr w:type="gramStart"/>
      <w:r w:rsidRPr="00FA43E9">
        <w:rPr>
          <w:color w:val="000000"/>
          <w:szCs w:val="24"/>
          <w:shd w:val="clear" w:color="auto" w:fill="FFFFFF"/>
          <w:lang w:val="en-US"/>
        </w:rPr>
        <w:t>Performance measurement system design</w:t>
      </w:r>
      <w:proofErr w:type="gramEnd"/>
      <w:r w:rsidRPr="00FA43E9">
        <w:rPr>
          <w:color w:val="000000"/>
          <w:szCs w:val="24"/>
          <w:shd w:val="clear" w:color="auto" w:fill="FFFFFF"/>
          <w:lang w:val="en-US"/>
        </w:rPr>
        <w:t xml:space="preserve">: a literature review and research agenda. </w:t>
      </w:r>
      <w:r w:rsidRPr="00FA43E9">
        <w:rPr>
          <w:i/>
          <w:color w:val="000000"/>
          <w:szCs w:val="24"/>
          <w:shd w:val="clear" w:color="auto" w:fill="FFFFFF"/>
          <w:lang w:val="en-US"/>
        </w:rPr>
        <w:t>International Journal of Operations &amp; Production Management</w:t>
      </w:r>
      <w:r w:rsidRPr="00FA43E9">
        <w:rPr>
          <w:color w:val="000000"/>
          <w:szCs w:val="24"/>
          <w:shd w:val="clear" w:color="auto" w:fill="FFFFFF"/>
          <w:lang w:val="en-US"/>
        </w:rPr>
        <w:t xml:space="preserve">, </w:t>
      </w:r>
      <w:r w:rsidRPr="00FA43E9">
        <w:rPr>
          <w:i/>
          <w:color w:val="000000"/>
          <w:szCs w:val="24"/>
          <w:shd w:val="clear" w:color="auto" w:fill="FFFFFF"/>
          <w:lang w:val="en-US"/>
        </w:rPr>
        <w:t>15</w:t>
      </w:r>
      <w:r w:rsidRPr="00FA43E9">
        <w:rPr>
          <w:color w:val="000000"/>
          <w:szCs w:val="24"/>
          <w:shd w:val="clear" w:color="auto" w:fill="FFFFFF"/>
          <w:lang w:val="en-US"/>
        </w:rPr>
        <w:t>(4), 80-116.</w:t>
      </w:r>
    </w:p>
    <w:p w14:paraId="71BDB908" w14:textId="262C95FD" w:rsidR="001C2B08" w:rsidRPr="008174EF" w:rsidRDefault="006359E5" w:rsidP="006359E5">
      <w:pPr>
        <w:autoSpaceDE w:val="0"/>
        <w:autoSpaceDN w:val="0"/>
        <w:adjustRightInd w:val="0"/>
        <w:ind w:left="567" w:hanging="567"/>
        <w:rPr>
          <w:szCs w:val="24"/>
        </w:rPr>
      </w:pPr>
      <w:r w:rsidRPr="00FA43E9">
        <w:rPr>
          <w:szCs w:val="24"/>
          <w:lang w:val="en-US"/>
        </w:rPr>
        <w:t>Perez</w:t>
      </w:r>
      <w:r w:rsidR="001C2B08" w:rsidRPr="00FA43E9">
        <w:rPr>
          <w:szCs w:val="24"/>
          <w:lang w:val="en-US"/>
        </w:rPr>
        <w:t>, M. M.</w:t>
      </w:r>
      <w:r w:rsidRPr="00FA43E9">
        <w:rPr>
          <w:szCs w:val="24"/>
          <w:lang w:val="en-US"/>
        </w:rPr>
        <w:t>, &amp;</w:t>
      </w:r>
      <w:r w:rsidR="001C2B08" w:rsidRPr="00FA43E9">
        <w:rPr>
          <w:szCs w:val="24"/>
          <w:lang w:val="en-US"/>
        </w:rPr>
        <w:t xml:space="preserve"> </w:t>
      </w:r>
      <w:proofErr w:type="spellStart"/>
      <w:r w:rsidRPr="00FA43E9">
        <w:rPr>
          <w:szCs w:val="24"/>
          <w:lang w:val="en-US"/>
        </w:rPr>
        <w:t>Famá</w:t>
      </w:r>
      <w:proofErr w:type="spellEnd"/>
      <w:r w:rsidR="001C2B08" w:rsidRPr="00FA43E9">
        <w:rPr>
          <w:szCs w:val="24"/>
          <w:lang w:val="en-US"/>
        </w:rPr>
        <w:t xml:space="preserve">, R. </w:t>
      </w:r>
      <w:r w:rsidR="00037CB3" w:rsidRPr="00FA43E9">
        <w:rPr>
          <w:szCs w:val="24"/>
          <w:lang w:val="en-US"/>
        </w:rPr>
        <w:t>(2003)</w:t>
      </w:r>
      <w:r w:rsidRPr="00FA43E9">
        <w:rPr>
          <w:szCs w:val="24"/>
          <w:lang w:val="en-US"/>
        </w:rPr>
        <w:t>.</w:t>
      </w:r>
      <w:r w:rsidR="00037CB3" w:rsidRPr="00FA43E9">
        <w:rPr>
          <w:szCs w:val="24"/>
          <w:lang w:val="en-US"/>
        </w:rPr>
        <w:t xml:space="preserve"> </w:t>
      </w:r>
      <w:r w:rsidR="001C2B08" w:rsidRPr="008174EF">
        <w:rPr>
          <w:szCs w:val="24"/>
        </w:rPr>
        <w:t xml:space="preserve">Métodos de avaliação de empresas e o balanço de determinação. </w:t>
      </w:r>
      <w:r w:rsidR="001C2B08" w:rsidRPr="006359E5">
        <w:rPr>
          <w:i/>
          <w:szCs w:val="24"/>
        </w:rPr>
        <w:t>Caderno de Pesquisa em Administração</w:t>
      </w:r>
      <w:r w:rsidR="001C2B08" w:rsidRPr="008174EF">
        <w:rPr>
          <w:szCs w:val="24"/>
        </w:rPr>
        <w:t xml:space="preserve">, </w:t>
      </w:r>
      <w:r w:rsidR="001C2B08" w:rsidRPr="006359E5">
        <w:rPr>
          <w:i/>
          <w:szCs w:val="24"/>
        </w:rPr>
        <w:t>10</w:t>
      </w:r>
      <w:r>
        <w:rPr>
          <w:szCs w:val="24"/>
        </w:rPr>
        <w:t>(</w:t>
      </w:r>
      <w:r w:rsidR="001C2B08" w:rsidRPr="008174EF">
        <w:rPr>
          <w:szCs w:val="24"/>
        </w:rPr>
        <w:t>4</w:t>
      </w:r>
      <w:r>
        <w:rPr>
          <w:szCs w:val="24"/>
        </w:rPr>
        <w:t>)</w:t>
      </w:r>
      <w:r w:rsidR="001C2B08" w:rsidRPr="008174EF">
        <w:rPr>
          <w:szCs w:val="24"/>
        </w:rPr>
        <w:t>, 47-59</w:t>
      </w:r>
      <w:r w:rsidR="00037CB3" w:rsidRPr="008174EF">
        <w:rPr>
          <w:szCs w:val="24"/>
        </w:rPr>
        <w:t xml:space="preserve">. </w:t>
      </w:r>
    </w:p>
    <w:p w14:paraId="6D8B37A1" w14:textId="622D6D5F" w:rsidR="001C2B08" w:rsidRPr="008174EF" w:rsidRDefault="006359E5" w:rsidP="006359E5">
      <w:pPr>
        <w:autoSpaceDE w:val="0"/>
        <w:autoSpaceDN w:val="0"/>
        <w:adjustRightInd w:val="0"/>
        <w:ind w:left="567" w:hanging="567"/>
        <w:rPr>
          <w:szCs w:val="24"/>
        </w:rPr>
      </w:pPr>
      <w:proofErr w:type="spellStart"/>
      <w:r w:rsidRPr="008174EF">
        <w:rPr>
          <w:szCs w:val="24"/>
        </w:rPr>
        <w:t>Rummler</w:t>
      </w:r>
      <w:proofErr w:type="spellEnd"/>
      <w:r w:rsidR="001C2B08" w:rsidRPr="008174EF">
        <w:rPr>
          <w:szCs w:val="24"/>
        </w:rPr>
        <w:t>, G.</w:t>
      </w:r>
      <w:r>
        <w:rPr>
          <w:szCs w:val="24"/>
        </w:rPr>
        <w:t xml:space="preserve">, &amp; </w:t>
      </w:r>
      <w:proofErr w:type="spellStart"/>
      <w:r w:rsidRPr="008174EF">
        <w:rPr>
          <w:szCs w:val="24"/>
        </w:rPr>
        <w:t>Brache</w:t>
      </w:r>
      <w:proofErr w:type="spellEnd"/>
      <w:r w:rsidR="001C2B08" w:rsidRPr="008174EF">
        <w:rPr>
          <w:szCs w:val="24"/>
        </w:rPr>
        <w:t>, A.</w:t>
      </w:r>
      <w:r w:rsidR="00037CB3" w:rsidRPr="008174EF">
        <w:rPr>
          <w:szCs w:val="24"/>
        </w:rPr>
        <w:t xml:space="preserve"> (1994)</w:t>
      </w:r>
      <w:r>
        <w:rPr>
          <w:szCs w:val="24"/>
        </w:rPr>
        <w:t>.</w:t>
      </w:r>
      <w:r w:rsidR="001C2B08" w:rsidRPr="008174EF">
        <w:rPr>
          <w:szCs w:val="24"/>
        </w:rPr>
        <w:t xml:space="preserve"> Melhores </w:t>
      </w:r>
      <w:r>
        <w:rPr>
          <w:szCs w:val="24"/>
        </w:rPr>
        <w:t>d</w:t>
      </w:r>
      <w:r w:rsidR="001C2B08" w:rsidRPr="008174EF">
        <w:rPr>
          <w:szCs w:val="24"/>
        </w:rPr>
        <w:t xml:space="preserve">esempenhos das </w:t>
      </w:r>
      <w:r>
        <w:rPr>
          <w:szCs w:val="24"/>
        </w:rPr>
        <w:t>e</w:t>
      </w:r>
      <w:r w:rsidR="001C2B08" w:rsidRPr="008174EF">
        <w:rPr>
          <w:szCs w:val="24"/>
        </w:rPr>
        <w:t>mpresas</w:t>
      </w:r>
      <w:r>
        <w:rPr>
          <w:szCs w:val="24"/>
        </w:rPr>
        <w:t xml:space="preserve"> (</w:t>
      </w:r>
      <w:r w:rsidR="001C2B08" w:rsidRPr="008174EF">
        <w:rPr>
          <w:szCs w:val="24"/>
        </w:rPr>
        <w:t>2</w:t>
      </w:r>
      <w:r>
        <w:rPr>
          <w:szCs w:val="24"/>
        </w:rPr>
        <w:t>a</w:t>
      </w:r>
      <w:r w:rsidR="001C2B08" w:rsidRPr="008174EF">
        <w:rPr>
          <w:szCs w:val="24"/>
        </w:rPr>
        <w:t xml:space="preserve"> ed.</w:t>
      </w:r>
      <w:r>
        <w:rPr>
          <w:szCs w:val="24"/>
        </w:rPr>
        <w:t>).</w:t>
      </w:r>
      <w:r w:rsidR="001C2B08" w:rsidRPr="008174EF">
        <w:rPr>
          <w:szCs w:val="24"/>
        </w:rPr>
        <w:t xml:space="preserve"> São Paulo: Makron Books</w:t>
      </w:r>
      <w:r w:rsidR="00037CB3" w:rsidRPr="008174EF">
        <w:rPr>
          <w:szCs w:val="24"/>
        </w:rPr>
        <w:t>.</w:t>
      </w:r>
    </w:p>
    <w:p w14:paraId="027A3719" w14:textId="522CBDAC" w:rsidR="001C2B08" w:rsidRPr="008174EF" w:rsidRDefault="006359E5" w:rsidP="006359E5">
      <w:pPr>
        <w:autoSpaceDE w:val="0"/>
        <w:autoSpaceDN w:val="0"/>
        <w:adjustRightInd w:val="0"/>
        <w:ind w:left="567" w:hanging="567"/>
        <w:rPr>
          <w:szCs w:val="24"/>
        </w:rPr>
      </w:pPr>
      <w:r w:rsidRPr="008174EF">
        <w:rPr>
          <w:szCs w:val="24"/>
        </w:rPr>
        <w:t>Soares</w:t>
      </w:r>
      <w:r w:rsidR="001C2B08" w:rsidRPr="008174EF">
        <w:rPr>
          <w:szCs w:val="24"/>
        </w:rPr>
        <w:t>, M</w:t>
      </w:r>
      <w:r>
        <w:rPr>
          <w:szCs w:val="24"/>
        </w:rPr>
        <w:t>.</w:t>
      </w:r>
      <w:r w:rsidR="001C2B08" w:rsidRPr="008174EF">
        <w:rPr>
          <w:szCs w:val="24"/>
        </w:rPr>
        <w:t xml:space="preserve"> A</w:t>
      </w:r>
      <w:r>
        <w:rPr>
          <w:szCs w:val="24"/>
        </w:rPr>
        <w:t>.</w:t>
      </w:r>
      <w:r w:rsidR="00037CB3" w:rsidRPr="008174EF">
        <w:rPr>
          <w:szCs w:val="24"/>
        </w:rPr>
        <w:t xml:space="preserve"> (2006)</w:t>
      </w:r>
      <w:r>
        <w:rPr>
          <w:szCs w:val="24"/>
        </w:rPr>
        <w:t>.</w:t>
      </w:r>
      <w:r w:rsidR="001C2B08" w:rsidRPr="008174EF">
        <w:rPr>
          <w:szCs w:val="24"/>
        </w:rPr>
        <w:t xml:space="preserve"> </w:t>
      </w:r>
      <w:r w:rsidR="001C2B08" w:rsidRPr="006359E5">
        <w:rPr>
          <w:i/>
          <w:szCs w:val="24"/>
        </w:rPr>
        <w:t>Análise de indicadores para avaliação de desempenho econômico-financeiro de operadoras de planos de saúde brasileiras: uma aplicação da análise fatorial</w:t>
      </w:r>
      <w:r w:rsidR="001C2B08" w:rsidRPr="008174EF">
        <w:rPr>
          <w:szCs w:val="24"/>
        </w:rPr>
        <w:t>. Dissertação</w:t>
      </w:r>
      <w:r>
        <w:rPr>
          <w:szCs w:val="24"/>
        </w:rPr>
        <w:t xml:space="preserve"> de Mestrado, Mestrado </w:t>
      </w:r>
      <w:r w:rsidR="001C2B08" w:rsidRPr="008174EF">
        <w:rPr>
          <w:szCs w:val="24"/>
        </w:rPr>
        <w:t>em Controladoria e Contabilidade - Faculdade de Economia, Administração e Contabilidade, Universidade de São Paulo, São Paulo</w:t>
      </w:r>
      <w:r>
        <w:rPr>
          <w:szCs w:val="24"/>
        </w:rPr>
        <w:t>, Brasil</w:t>
      </w:r>
      <w:r w:rsidR="00037CB3" w:rsidRPr="008174EF">
        <w:rPr>
          <w:szCs w:val="24"/>
        </w:rPr>
        <w:t>.</w:t>
      </w:r>
    </w:p>
    <w:p w14:paraId="4B1DF718" w14:textId="5DF95B82" w:rsidR="00EC6EDB" w:rsidRPr="008174EF" w:rsidRDefault="00EC6EDB" w:rsidP="001C2B08"/>
    <w:sectPr w:rsidR="00EC6EDB" w:rsidRPr="008174EF" w:rsidSect="00437AD0">
      <w:headerReference w:type="default" r:id="rId12"/>
      <w:footerReference w:type="default" r:id="rId13"/>
      <w:pgSz w:w="12240" w:h="15840" w:code="119"/>
      <w:pgMar w:top="1701" w:right="1134" w:bottom="1134"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D245B" w14:textId="77777777" w:rsidR="001B193F" w:rsidRDefault="001B193F" w:rsidP="005840EF">
      <w:r>
        <w:separator/>
      </w:r>
    </w:p>
  </w:endnote>
  <w:endnote w:type="continuationSeparator" w:id="0">
    <w:p w14:paraId="268A2231" w14:textId="77777777" w:rsidR="001B193F" w:rsidRDefault="001B193F"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BAAF" w14:textId="65355CA0" w:rsidR="005D6CE9" w:rsidRPr="008A781A" w:rsidRDefault="005D6CE9" w:rsidP="00D2342D">
    <w:pPr>
      <w:pStyle w:val="Rodap"/>
      <w:jc w:val="right"/>
    </w:pPr>
    <w:r w:rsidRPr="008A781A">
      <w:fldChar w:fldCharType="begin"/>
    </w:r>
    <w:r w:rsidRPr="008A781A">
      <w:instrText>PAGE   \* MERGEFORMAT</w:instrText>
    </w:r>
    <w:r w:rsidRPr="008A781A">
      <w:fldChar w:fldCharType="separate"/>
    </w:r>
    <w:r w:rsidR="0082734E">
      <w:rPr>
        <w:noProof/>
      </w:rPr>
      <w:t>17</w:t>
    </w:r>
    <w:r w:rsidRPr="008A781A">
      <w:fldChar w:fldCharType="end"/>
    </w:r>
  </w:p>
  <w:p w14:paraId="793B97FF" w14:textId="77777777" w:rsidR="005D6CE9" w:rsidRPr="00862FD2" w:rsidRDefault="005D6CE9" w:rsidP="004E0B39">
    <w:pPr>
      <w:pStyle w:val="Rodap"/>
      <w:ind w:firstLine="0"/>
      <w:jc w:val="center"/>
    </w:pPr>
    <w:r>
      <w:rPr>
        <w:noProof/>
        <w:lang w:val="pt-BR" w:eastAsia="pt-BR"/>
      </w:rPr>
      <w:drawing>
        <wp:inline distT="0" distB="0" distL="0" distR="0" wp14:anchorId="112EC1DA" wp14:editId="49CF8569">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859C37" w14:textId="77777777" w:rsidR="001B193F" w:rsidRDefault="001B193F" w:rsidP="005840EF">
      <w:r>
        <w:separator/>
      </w:r>
    </w:p>
  </w:footnote>
  <w:footnote w:type="continuationSeparator" w:id="0">
    <w:p w14:paraId="0EC0878F" w14:textId="77777777" w:rsidR="001B193F" w:rsidRDefault="001B193F"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E37C2" w14:textId="77777777" w:rsidR="005D6CE9" w:rsidRPr="004E0B39" w:rsidRDefault="005D6CE9" w:rsidP="004E0B39">
    <w:pPr>
      <w:pStyle w:val="Cabealho"/>
      <w:ind w:firstLine="0"/>
      <w:jc w:val="center"/>
    </w:pPr>
    <w:r>
      <w:rPr>
        <w:noProof/>
      </w:rPr>
      <w:drawing>
        <wp:inline distT="0" distB="0" distL="0" distR="0" wp14:anchorId="4D971252" wp14:editId="37A6B306">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770F"/>
    <w:multiLevelType w:val="hybridMultilevel"/>
    <w:tmpl w:val="BD90DB1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A53F77"/>
    <w:multiLevelType w:val="multilevel"/>
    <w:tmpl w:val="A5789928"/>
    <w:lvl w:ilvl="0">
      <w:start w:val="1"/>
      <w:numFmt w:val="bullet"/>
      <w:lvlText w:val=""/>
      <w:lvlJc w:val="left"/>
      <w:pPr>
        <w:tabs>
          <w:tab w:val="num" w:pos="720"/>
        </w:tabs>
        <w:ind w:left="720" w:hanging="360"/>
      </w:pPr>
      <w:rPr>
        <w:rFonts w:ascii="Symbol" w:hAnsi="Symbol" w:hint="default"/>
        <w:color w:val="0D0D0D" w:themeColor="text1" w:themeTint="F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0AD6"/>
    <w:multiLevelType w:val="hybridMultilevel"/>
    <w:tmpl w:val="B7AE2856"/>
    <w:lvl w:ilvl="0" w:tplc="4D68E938">
      <w:numFmt w:val="bullet"/>
      <w:lvlText w:val="•"/>
      <w:lvlJc w:val="left"/>
      <w:pPr>
        <w:ind w:left="1068" w:hanging="360"/>
      </w:pPr>
      <w:rPr>
        <w:rFonts w:ascii="Arial" w:eastAsiaTheme="minorHAnsi"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13292E58"/>
    <w:multiLevelType w:val="hybridMultilevel"/>
    <w:tmpl w:val="4F026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80113F0"/>
    <w:multiLevelType w:val="multilevel"/>
    <w:tmpl w:val="043E23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0"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1" w15:restartNumberingAfterBreak="0">
    <w:nsid w:val="36592B0A"/>
    <w:multiLevelType w:val="multilevel"/>
    <w:tmpl w:val="9482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BE31A4"/>
    <w:multiLevelType w:val="hybridMultilevel"/>
    <w:tmpl w:val="11CCFCA8"/>
    <w:lvl w:ilvl="0" w:tplc="B216AB9C">
      <w:start w:val="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097F40"/>
    <w:multiLevelType w:val="hybridMultilevel"/>
    <w:tmpl w:val="CCA20F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A494096"/>
    <w:multiLevelType w:val="hybridMultilevel"/>
    <w:tmpl w:val="F1865AA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5" w15:restartNumberingAfterBreak="0">
    <w:nsid w:val="3B7408E1"/>
    <w:multiLevelType w:val="hybridMultilevel"/>
    <w:tmpl w:val="C1DA3C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E156C60"/>
    <w:multiLevelType w:val="hybridMultilevel"/>
    <w:tmpl w:val="730E3C24"/>
    <w:lvl w:ilvl="0" w:tplc="9BEE62A6">
      <w:start w:val="1"/>
      <w:numFmt w:val="lowerLetter"/>
      <w:lvlText w:val="%1)"/>
      <w:lvlJc w:val="left"/>
      <w:pPr>
        <w:ind w:left="1428" w:hanging="360"/>
      </w:pPr>
      <w:rPr>
        <w:b w:val="0"/>
        <w:sz w:val="20"/>
        <w:szCs w:val="2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802714"/>
    <w:multiLevelType w:val="hybridMultilevel"/>
    <w:tmpl w:val="07C80284"/>
    <w:lvl w:ilvl="0" w:tplc="A48AF1E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557818A9"/>
    <w:multiLevelType w:val="hybridMultilevel"/>
    <w:tmpl w:val="07ACB51A"/>
    <w:lvl w:ilvl="0" w:tplc="F78C716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7763FE"/>
    <w:multiLevelType w:val="hybridMultilevel"/>
    <w:tmpl w:val="96E665F4"/>
    <w:lvl w:ilvl="0" w:tplc="E870A9FC">
      <w:start w:val="2"/>
      <w:numFmt w:val="bullet"/>
      <w:lvlText w:val=""/>
      <w:lvlJc w:val="left"/>
      <w:pPr>
        <w:ind w:left="720" w:hanging="360"/>
      </w:pPr>
      <w:rPr>
        <w:rFonts w:ascii="Symbol" w:eastAsiaTheme="minorHAnsi" w:hAnsi="Symbol" w:cstheme="minorBidi" w:hint="default"/>
        <w:color w:val="auto"/>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E06623C"/>
    <w:multiLevelType w:val="hybridMultilevel"/>
    <w:tmpl w:val="E050DBAC"/>
    <w:lvl w:ilvl="0" w:tplc="0416000D">
      <w:start w:val="1"/>
      <w:numFmt w:val="bullet"/>
      <w:lvlText w:val=""/>
      <w:lvlJc w:val="left"/>
      <w:pPr>
        <w:ind w:left="720" w:hanging="360"/>
      </w:pPr>
      <w:rPr>
        <w:rFonts w:ascii="Wingdings" w:hAnsi="Wingding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0"/>
  </w:num>
  <w:num w:numId="3">
    <w:abstractNumId w:val="17"/>
  </w:num>
  <w:num w:numId="4">
    <w:abstractNumId w:val="25"/>
  </w:num>
  <w:num w:numId="5">
    <w:abstractNumId w:val="9"/>
  </w:num>
  <w:num w:numId="6">
    <w:abstractNumId w:val="5"/>
  </w:num>
  <w:num w:numId="7">
    <w:abstractNumId w:val="3"/>
  </w:num>
  <w:num w:numId="8">
    <w:abstractNumId w:val="6"/>
  </w:num>
  <w:num w:numId="9">
    <w:abstractNumId w:val="6"/>
  </w:num>
  <w:num w:numId="10">
    <w:abstractNumId w:val="23"/>
  </w:num>
  <w:num w:numId="11">
    <w:abstractNumId w:val="24"/>
  </w:num>
  <w:num w:numId="12">
    <w:abstractNumId w:val="8"/>
  </w:num>
  <w:num w:numId="13">
    <w:abstractNumId w:val="18"/>
  </w:num>
  <w:num w:numId="14">
    <w:abstractNumId w:val="14"/>
  </w:num>
  <w:num w:numId="15">
    <w:abstractNumId w:val="7"/>
  </w:num>
  <w:num w:numId="16">
    <w:abstractNumId w:val="12"/>
  </w:num>
  <w:num w:numId="17">
    <w:abstractNumId w:val="19"/>
  </w:num>
  <w:num w:numId="18">
    <w:abstractNumId w:val="1"/>
  </w:num>
  <w:num w:numId="19">
    <w:abstractNumId w:val="16"/>
  </w:num>
  <w:num w:numId="20">
    <w:abstractNumId w:val="2"/>
  </w:num>
  <w:num w:numId="21">
    <w:abstractNumId w:val="0"/>
  </w:num>
  <w:num w:numId="22">
    <w:abstractNumId w:val="15"/>
  </w:num>
  <w:num w:numId="23">
    <w:abstractNumId w:val="22"/>
  </w:num>
  <w:num w:numId="24">
    <w:abstractNumId w:val="21"/>
  </w:num>
  <w:num w:numId="25">
    <w:abstractNumId w:val="4"/>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2704E"/>
    <w:rsid w:val="00032CF7"/>
    <w:rsid w:val="00037CB3"/>
    <w:rsid w:val="000505B3"/>
    <w:rsid w:val="0006261D"/>
    <w:rsid w:val="000654DE"/>
    <w:rsid w:val="000720BF"/>
    <w:rsid w:val="0007721B"/>
    <w:rsid w:val="00097658"/>
    <w:rsid w:val="000A2814"/>
    <w:rsid w:val="000C0DC3"/>
    <w:rsid w:val="000D1D4B"/>
    <w:rsid w:val="000D7722"/>
    <w:rsid w:val="000F0530"/>
    <w:rsid w:val="00102445"/>
    <w:rsid w:val="00113A29"/>
    <w:rsid w:val="001457BE"/>
    <w:rsid w:val="00160E08"/>
    <w:rsid w:val="00162D8E"/>
    <w:rsid w:val="001731AB"/>
    <w:rsid w:val="00173D32"/>
    <w:rsid w:val="00181010"/>
    <w:rsid w:val="00181277"/>
    <w:rsid w:val="00183E96"/>
    <w:rsid w:val="001B193F"/>
    <w:rsid w:val="001C2B08"/>
    <w:rsid w:val="001C7991"/>
    <w:rsid w:val="001D738D"/>
    <w:rsid w:val="001E08A6"/>
    <w:rsid w:val="001E1C4D"/>
    <w:rsid w:val="001E2E6C"/>
    <w:rsid w:val="001E7D8C"/>
    <w:rsid w:val="001F3AA1"/>
    <w:rsid w:val="0020354A"/>
    <w:rsid w:val="002056D7"/>
    <w:rsid w:val="00212FF5"/>
    <w:rsid w:val="002136AE"/>
    <w:rsid w:val="00216FED"/>
    <w:rsid w:val="00225E19"/>
    <w:rsid w:val="00227FC4"/>
    <w:rsid w:val="00244401"/>
    <w:rsid w:val="00244C0A"/>
    <w:rsid w:val="00251F9A"/>
    <w:rsid w:val="002531BD"/>
    <w:rsid w:val="002565B7"/>
    <w:rsid w:val="002566DC"/>
    <w:rsid w:val="00263CEF"/>
    <w:rsid w:val="002761B5"/>
    <w:rsid w:val="002776EF"/>
    <w:rsid w:val="002826C0"/>
    <w:rsid w:val="00292188"/>
    <w:rsid w:val="00292F16"/>
    <w:rsid w:val="00293BEF"/>
    <w:rsid w:val="002B6745"/>
    <w:rsid w:val="002B78FC"/>
    <w:rsid w:val="002C54B4"/>
    <w:rsid w:val="002C7235"/>
    <w:rsid w:val="002C77FD"/>
    <w:rsid w:val="002E18F5"/>
    <w:rsid w:val="002F170B"/>
    <w:rsid w:val="002F174C"/>
    <w:rsid w:val="002F7318"/>
    <w:rsid w:val="003020F9"/>
    <w:rsid w:val="00303C6F"/>
    <w:rsid w:val="00315EE6"/>
    <w:rsid w:val="003228FD"/>
    <w:rsid w:val="00323416"/>
    <w:rsid w:val="003301AB"/>
    <w:rsid w:val="00337ADE"/>
    <w:rsid w:val="00350F60"/>
    <w:rsid w:val="00356902"/>
    <w:rsid w:val="003600CC"/>
    <w:rsid w:val="00360330"/>
    <w:rsid w:val="0036296A"/>
    <w:rsid w:val="003640C9"/>
    <w:rsid w:val="00371DFF"/>
    <w:rsid w:val="003769E0"/>
    <w:rsid w:val="00381DA3"/>
    <w:rsid w:val="003923C3"/>
    <w:rsid w:val="00395244"/>
    <w:rsid w:val="003A3639"/>
    <w:rsid w:val="003A4C43"/>
    <w:rsid w:val="003A6B0D"/>
    <w:rsid w:val="003D1008"/>
    <w:rsid w:val="003E4F41"/>
    <w:rsid w:val="0040330E"/>
    <w:rsid w:val="004048AA"/>
    <w:rsid w:val="00406C08"/>
    <w:rsid w:val="00410480"/>
    <w:rsid w:val="00414913"/>
    <w:rsid w:val="00416F50"/>
    <w:rsid w:val="0041723C"/>
    <w:rsid w:val="00422BFD"/>
    <w:rsid w:val="00423365"/>
    <w:rsid w:val="004251EF"/>
    <w:rsid w:val="00426EF1"/>
    <w:rsid w:val="00432210"/>
    <w:rsid w:val="00437AD0"/>
    <w:rsid w:val="00443C83"/>
    <w:rsid w:val="00447C20"/>
    <w:rsid w:val="00453FF4"/>
    <w:rsid w:val="0045438C"/>
    <w:rsid w:val="00464AE0"/>
    <w:rsid w:val="0046594A"/>
    <w:rsid w:val="00472EE1"/>
    <w:rsid w:val="0048579A"/>
    <w:rsid w:val="0049262F"/>
    <w:rsid w:val="004B2ED1"/>
    <w:rsid w:val="004D13E2"/>
    <w:rsid w:val="004D2488"/>
    <w:rsid w:val="004E0B39"/>
    <w:rsid w:val="004F15E0"/>
    <w:rsid w:val="00500C45"/>
    <w:rsid w:val="00521334"/>
    <w:rsid w:val="00523BAB"/>
    <w:rsid w:val="00531A76"/>
    <w:rsid w:val="00533EE0"/>
    <w:rsid w:val="005376E3"/>
    <w:rsid w:val="00543108"/>
    <w:rsid w:val="0055088A"/>
    <w:rsid w:val="00565F76"/>
    <w:rsid w:val="005741C5"/>
    <w:rsid w:val="00583600"/>
    <w:rsid w:val="005840EF"/>
    <w:rsid w:val="00592DFF"/>
    <w:rsid w:val="005978AC"/>
    <w:rsid w:val="005B65A5"/>
    <w:rsid w:val="005B6C1E"/>
    <w:rsid w:val="005C58C7"/>
    <w:rsid w:val="005D0785"/>
    <w:rsid w:val="005D6752"/>
    <w:rsid w:val="005D6CE9"/>
    <w:rsid w:val="005D711E"/>
    <w:rsid w:val="005E6BD2"/>
    <w:rsid w:val="005F39A0"/>
    <w:rsid w:val="00603B32"/>
    <w:rsid w:val="00606F36"/>
    <w:rsid w:val="00614EC0"/>
    <w:rsid w:val="0063432D"/>
    <w:rsid w:val="006359E5"/>
    <w:rsid w:val="006454B2"/>
    <w:rsid w:val="006469E3"/>
    <w:rsid w:val="00656FDB"/>
    <w:rsid w:val="00660DF3"/>
    <w:rsid w:val="006704F4"/>
    <w:rsid w:val="006713EE"/>
    <w:rsid w:val="006750E6"/>
    <w:rsid w:val="00683BE5"/>
    <w:rsid w:val="00686325"/>
    <w:rsid w:val="00694EF1"/>
    <w:rsid w:val="006961AF"/>
    <w:rsid w:val="006A2D61"/>
    <w:rsid w:val="006A36B3"/>
    <w:rsid w:val="006B23F8"/>
    <w:rsid w:val="006C0D0A"/>
    <w:rsid w:val="006C284A"/>
    <w:rsid w:val="006D02CA"/>
    <w:rsid w:val="006D340F"/>
    <w:rsid w:val="006D3BC5"/>
    <w:rsid w:val="00705F7A"/>
    <w:rsid w:val="00710D8D"/>
    <w:rsid w:val="00714245"/>
    <w:rsid w:val="00716E32"/>
    <w:rsid w:val="007230CA"/>
    <w:rsid w:val="007265A7"/>
    <w:rsid w:val="00727C77"/>
    <w:rsid w:val="0073372E"/>
    <w:rsid w:val="007378C9"/>
    <w:rsid w:val="00756072"/>
    <w:rsid w:val="007610C6"/>
    <w:rsid w:val="007621AE"/>
    <w:rsid w:val="007710A4"/>
    <w:rsid w:val="00781A0E"/>
    <w:rsid w:val="007825A2"/>
    <w:rsid w:val="00785707"/>
    <w:rsid w:val="0078717E"/>
    <w:rsid w:val="007B13C8"/>
    <w:rsid w:val="007B68F0"/>
    <w:rsid w:val="007C0C2C"/>
    <w:rsid w:val="007F1447"/>
    <w:rsid w:val="0080510C"/>
    <w:rsid w:val="008174EF"/>
    <w:rsid w:val="0082734E"/>
    <w:rsid w:val="00844D95"/>
    <w:rsid w:val="00856AB4"/>
    <w:rsid w:val="00862FD2"/>
    <w:rsid w:val="008631A4"/>
    <w:rsid w:val="00865A23"/>
    <w:rsid w:val="00866591"/>
    <w:rsid w:val="00875C66"/>
    <w:rsid w:val="008902BE"/>
    <w:rsid w:val="008A1488"/>
    <w:rsid w:val="008A732E"/>
    <w:rsid w:val="008A781A"/>
    <w:rsid w:val="008B21BE"/>
    <w:rsid w:val="008E62B6"/>
    <w:rsid w:val="008F1B7C"/>
    <w:rsid w:val="008F4C5A"/>
    <w:rsid w:val="008F67F7"/>
    <w:rsid w:val="008F68E0"/>
    <w:rsid w:val="009071D8"/>
    <w:rsid w:val="00915DC1"/>
    <w:rsid w:val="00923875"/>
    <w:rsid w:val="0092413C"/>
    <w:rsid w:val="00940B49"/>
    <w:rsid w:val="00943459"/>
    <w:rsid w:val="009453DD"/>
    <w:rsid w:val="00952306"/>
    <w:rsid w:val="00952BE5"/>
    <w:rsid w:val="009530F1"/>
    <w:rsid w:val="0095775F"/>
    <w:rsid w:val="009724D8"/>
    <w:rsid w:val="00980F16"/>
    <w:rsid w:val="00983330"/>
    <w:rsid w:val="00983AB5"/>
    <w:rsid w:val="009976D2"/>
    <w:rsid w:val="009A5EB5"/>
    <w:rsid w:val="009B11E7"/>
    <w:rsid w:val="009B3488"/>
    <w:rsid w:val="009C7342"/>
    <w:rsid w:val="009C7DFA"/>
    <w:rsid w:val="009D2CAF"/>
    <w:rsid w:val="009D57A3"/>
    <w:rsid w:val="009D68AF"/>
    <w:rsid w:val="009F1452"/>
    <w:rsid w:val="00A01395"/>
    <w:rsid w:val="00A035E1"/>
    <w:rsid w:val="00A03EDC"/>
    <w:rsid w:val="00A04320"/>
    <w:rsid w:val="00A16D53"/>
    <w:rsid w:val="00A17BA4"/>
    <w:rsid w:val="00A22D25"/>
    <w:rsid w:val="00A2603F"/>
    <w:rsid w:val="00A30371"/>
    <w:rsid w:val="00A36DE0"/>
    <w:rsid w:val="00A52098"/>
    <w:rsid w:val="00A55891"/>
    <w:rsid w:val="00A658EB"/>
    <w:rsid w:val="00A80641"/>
    <w:rsid w:val="00A81C88"/>
    <w:rsid w:val="00A851F2"/>
    <w:rsid w:val="00A92E82"/>
    <w:rsid w:val="00A9798F"/>
    <w:rsid w:val="00AA0CF5"/>
    <w:rsid w:val="00AA482C"/>
    <w:rsid w:val="00AA565E"/>
    <w:rsid w:val="00AB3E68"/>
    <w:rsid w:val="00AB5527"/>
    <w:rsid w:val="00AC61AF"/>
    <w:rsid w:val="00AC7E25"/>
    <w:rsid w:val="00AF1C40"/>
    <w:rsid w:val="00AF6021"/>
    <w:rsid w:val="00B076B6"/>
    <w:rsid w:val="00B12485"/>
    <w:rsid w:val="00B12C3D"/>
    <w:rsid w:val="00B169EE"/>
    <w:rsid w:val="00B25FFE"/>
    <w:rsid w:val="00B357C1"/>
    <w:rsid w:val="00B801AB"/>
    <w:rsid w:val="00B854DA"/>
    <w:rsid w:val="00B911BF"/>
    <w:rsid w:val="00B956AB"/>
    <w:rsid w:val="00BA3CEB"/>
    <w:rsid w:val="00BA3E63"/>
    <w:rsid w:val="00BC3A5C"/>
    <w:rsid w:val="00BC4277"/>
    <w:rsid w:val="00BC64A3"/>
    <w:rsid w:val="00BE3AF0"/>
    <w:rsid w:val="00BF1CDA"/>
    <w:rsid w:val="00C00DBA"/>
    <w:rsid w:val="00C01F1F"/>
    <w:rsid w:val="00C024D6"/>
    <w:rsid w:val="00C16EF7"/>
    <w:rsid w:val="00C22A7A"/>
    <w:rsid w:val="00C23D1C"/>
    <w:rsid w:val="00C271A6"/>
    <w:rsid w:val="00C308E4"/>
    <w:rsid w:val="00C3177A"/>
    <w:rsid w:val="00C379F8"/>
    <w:rsid w:val="00C46BF6"/>
    <w:rsid w:val="00C50404"/>
    <w:rsid w:val="00C544BA"/>
    <w:rsid w:val="00C6432A"/>
    <w:rsid w:val="00C671EC"/>
    <w:rsid w:val="00C81F14"/>
    <w:rsid w:val="00C84F71"/>
    <w:rsid w:val="00CA52C0"/>
    <w:rsid w:val="00CC1EA3"/>
    <w:rsid w:val="00CC3046"/>
    <w:rsid w:val="00CE205E"/>
    <w:rsid w:val="00CE51E5"/>
    <w:rsid w:val="00CE75D8"/>
    <w:rsid w:val="00CF0D35"/>
    <w:rsid w:val="00D01ADD"/>
    <w:rsid w:val="00D03391"/>
    <w:rsid w:val="00D1558E"/>
    <w:rsid w:val="00D2342D"/>
    <w:rsid w:val="00D2442D"/>
    <w:rsid w:val="00D25093"/>
    <w:rsid w:val="00D366A6"/>
    <w:rsid w:val="00D44862"/>
    <w:rsid w:val="00D5170E"/>
    <w:rsid w:val="00D5798E"/>
    <w:rsid w:val="00D8033F"/>
    <w:rsid w:val="00D85762"/>
    <w:rsid w:val="00D86B5F"/>
    <w:rsid w:val="00D90487"/>
    <w:rsid w:val="00D94E67"/>
    <w:rsid w:val="00DA22FC"/>
    <w:rsid w:val="00DA5E5B"/>
    <w:rsid w:val="00DC37AF"/>
    <w:rsid w:val="00DD43E0"/>
    <w:rsid w:val="00DE13D1"/>
    <w:rsid w:val="00DE1E14"/>
    <w:rsid w:val="00DE631D"/>
    <w:rsid w:val="00DE75F7"/>
    <w:rsid w:val="00E04ACF"/>
    <w:rsid w:val="00E1786F"/>
    <w:rsid w:val="00E24E18"/>
    <w:rsid w:val="00E263E1"/>
    <w:rsid w:val="00E31297"/>
    <w:rsid w:val="00E3386E"/>
    <w:rsid w:val="00E4619B"/>
    <w:rsid w:val="00E47099"/>
    <w:rsid w:val="00E5072B"/>
    <w:rsid w:val="00E52806"/>
    <w:rsid w:val="00E62A77"/>
    <w:rsid w:val="00E62B56"/>
    <w:rsid w:val="00E808D9"/>
    <w:rsid w:val="00E92AEB"/>
    <w:rsid w:val="00E94A5E"/>
    <w:rsid w:val="00EA2E26"/>
    <w:rsid w:val="00EA42D2"/>
    <w:rsid w:val="00EC6EDB"/>
    <w:rsid w:val="00ED0838"/>
    <w:rsid w:val="00ED0F29"/>
    <w:rsid w:val="00ED6578"/>
    <w:rsid w:val="00EF213A"/>
    <w:rsid w:val="00EF5AB1"/>
    <w:rsid w:val="00F05FBB"/>
    <w:rsid w:val="00F106CC"/>
    <w:rsid w:val="00F14D76"/>
    <w:rsid w:val="00F22447"/>
    <w:rsid w:val="00F32E92"/>
    <w:rsid w:val="00F34078"/>
    <w:rsid w:val="00F5399E"/>
    <w:rsid w:val="00F60AFE"/>
    <w:rsid w:val="00F70D09"/>
    <w:rsid w:val="00F841EF"/>
    <w:rsid w:val="00F90BEF"/>
    <w:rsid w:val="00F918A2"/>
    <w:rsid w:val="00F97383"/>
    <w:rsid w:val="00FA21DE"/>
    <w:rsid w:val="00FA2624"/>
    <w:rsid w:val="00FA43E9"/>
    <w:rsid w:val="00FA7C34"/>
    <w:rsid w:val="00FB2096"/>
    <w:rsid w:val="00FB65F6"/>
    <w:rsid w:val="00FC1C75"/>
    <w:rsid w:val="00FC57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92068B6"/>
  <w15:docId w15:val="{E9B6ED62-5CB2-45F0-9897-4D839877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MenoPendente1">
    <w:name w:val="Menção Pendente1"/>
    <w:basedOn w:val="Fontepargpadro"/>
    <w:uiPriority w:val="99"/>
    <w:semiHidden/>
    <w:unhideWhenUsed/>
    <w:rsid w:val="00437AD0"/>
    <w:rPr>
      <w:color w:val="605E5C"/>
      <w:shd w:val="clear" w:color="auto" w:fill="E1DFDD"/>
    </w:rPr>
  </w:style>
  <w:style w:type="paragraph" w:styleId="PargrafodaLista">
    <w:name w:val="List Paragraph"/>
    <w:basedOn w:val="Normal"/>
    <w:uiPriority w:val="34"/>
    <w:qFormat/>
    <w:rsid w:val="00437AD0"/>
    <w:pPr>
      <w:widowControl/>
      <w:suppressLineNumbers w:val="0"/>
      <w:suppressAutoHyphens w:val="0"/>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customStyle="1" w:styleId="p14">
    <w:name w:val="p14"/>
    <w:basedOn w:val="Normal"/>
    <w:rsid w:val="00432210"/>
    <w:pPr>
      <w:widowControl/>
      <w:suppressLineNumbers w:val="0"/>
      <w:suppressAutoHyphens w:val="0"/>
      <w:spacing w:before="100" w:beforeAutospacing="1" w:after="100" w:afterAutospacing="1"/>
      <w:ind w:firstLine="0"/>
      <w:jc w:val="left"/>
    </w:pPr>
    <w:rPr>
      <w:szCs w:val="24"/>
    </w:rPr>
  </w:style>
  <w:style w:type="character" w:customStyle="1" w:styleId="ft4">
    <w:name w:val="ft4"/>
    <w:basedOn w:val="Fontepargpadro"/>
    <w:rsid w:val="00432210"/>
  </w:style>
  <w:style w:type="character" w:customStyle="1" w:styleId="text">
    <w:name w:val="text"/>
    <w:basedOn w:val="Fontepargpadro"/>
    <w:rsid w:val="00C00DBA"/>
  </w:style>
  <w:style w:type="character" w:customStyle="1" w:styleId="author-ref">
    <w:name w:val="author-ref"/>
    <w:basedOn w:val="Fontepargpadro"/>
    <w:rsid w:val="00C00DBA"/>
  </w:style>
  <w:style w:type="character" w:customStyle="1" w:styleId="object">
    <w:name w:val="object"/>
    <w:basedOn w:val="Fontepargpadro"/>
    <w:rsid w:val="001C2B08"/>
  </w:style>
  <w:style w:type="numbering" w:customStyle="1" w:styleId="Semlista1">
    <w:name w:val="Sem lista1"/>
    <w:next w:val="Semlista"/>
    <w:uiPriority w:val="99"/>
    <w:semiHidden/>
    <w:unhideWhenUsed/>
    <w:rsid w:val="00980F16"/>
  </w:style>
  <w:style w:type="table" w:customStyle="1" w:styleId="Tabelacomgrade2">
    <w:name w:val="Tabela com grade2"/>
    <w:basedOn w:val="Tabelanormal"/>
    <w:next w:val="Tabelacomgrade"/>
    <w:uiPriority w:val="39"/>
    <w:rsid w:val="00980F1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Fontepargpadro"/>
    <w:uiPriority w:val="99"/>
    <w:semiHidden/>
    <w:unhideWhenUsed/>
    <w:rsid w:val="00980F16"/>
    <w:rPr>
      <w:i/>
      <w:iCs/>
    </w:rPr>
  </w:style>
  <w:style w:type="paragraph" w:styleId="Reviso">
    <w:name w:val="Revision"/>
    <w:hidden/>
    <w:uiPriority w:val="99"/>
    <w:semiHidden/>
    <w:rsid w:val="00464AE0"/>
    <w:rPr>
      <w:sz w:val="24"/>
    </w:rPr>
  </w:style>
  <w:style w:type="character" w:styleId="HiperlinkVisitado">
    <w:name w:val="FollowedHyperlink"/>
    <w:basedOn w:val="Fontepargpadro"/>
    <w:uiPriority w:val="99"/>
    <w:semiHidden/>
    <w:unhideWhenUsed/>
    <w:rsid w:val="0073372E"/>
    <w:rPr>
      <w:color w:val="800080" w:themeColor="followedHyperlink"/>
      <w:u w:val="single"/>
    </w:rPr>
  </w:style>
  <w:style w:type="character" w:customStyle="1" w:styleId="xbe">
    <w:name w:val="_xbe"/>
    <w:rsid w:val="0084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125">
      <w:bodyDiv w:val="1"/>
      <w:marLeft w:val="0"/>
      <w:marRight w:val="0"/>
      <w:marTop w:val="0"/>
      <w:marBottom w:val="0"/>
      <w:divBdr>
        <w:top w:val="none" w:sz="0" w:space="0" w:color="auto"/>
        <w:left w:val="none" w:sz="0" w:space="0" w:color="auto"/>
        <w:bottom w:val="none" w:sz="0" w:space="0" w:color="auto"/>
        <w:right w:val="none" w:sz="0" w:space="0" w:color="auto"/>
      </w:divBdr>
      <w:divsChild>
        <w:div w:id="778644753">
          <w:marLeft w:val="0"/>
          <w:marRight w:val="0"/>
          <w:marTop w:val="0"/>
          <w:marBottom w:val="0"/>
          <w:divBdr>
            <w:top w:val="none" w:sz="0" w:space="0" w:color="auto"/>
            <w:left w:val="none" w:sz="0" w:space="0" w:color="auto"/>
            <w:bottom w:val="none" w:sz="0" w:space="0" w:color="auto"/>
            <w:right w:val="none" w:sz="0" w:space="0" w:color="auto"/>
          </w:divBdr>
        </w:div>
        <w:div w:id="1755542251">
          <w:marLeft w:val="0"/>
          <w:marRight w:val="0"/>
          <w:marTop w:val="0"/>
          <w:marBottom w:val="0"/>
          <w:divBdr>
            <w:top w:val="none" w:sz="0" w:space="0" w:color="auto"/>
            <w:left w:val="none" w:sz="0" w:space="0" w:color="auto"/>
            <w:bottom w:val="none" w:sz="0" w:space="0" w:color="auto"/>
            <w:right w:val="none" w:sz="0" w:space="0" w:color="auto"/>
          </w:divBdr>
        </w:div>
        <w:div w:id="1071342566">
          <w:marLeft w:val="0"/>
          <w:marRight w:val="0"/>
          <w:marTop w:val="0"/>
          <w:marBottom w:val="0"/>
          <w:divBdr>
            <w:top w:val="none" w:sz="0" w:space="0" w:color="auto"/>
            <w:left w:val="none" w:sz="0" w:space="0" w:color="auto"/>
            <w:bottom w:val="none" w:sz="0" w:space="0" w:color="auto"/>
            <w:right w:val="none" w:sz="0" w:space="0" w:color="auto"/>
          </w:divBdr>
        </w:div>
        <w:div w:id="193618757">
          <w:marLeft w:val="0"/>
          <w:marRight w:val="0"/>
          <w:marTop w:val="0"/>
          <w:marBottom w:val="0"/>
          <w:divBdr>
            <w:top w:val="none" w:sz="0" w:space="0" w:color="auto"/>
            <w:left w:val="none" w:sz="0" w:space="0" w:color="auto"/>
            <w:bottom w:val="none" w:sz="0" w:space="0" w:color="auto"/>
            <w:right w:val="none" w:sz="0" w:space="0" w:color="auto"/>
          </w:divBdr>
        </w:div>
      </w:divsChild>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546185791">
      <w:bodyDiv w:val="1"/>
      <w:marLeft w:val="0"/>
      <w:marRight w:val="0"/>
      <w:marTop w:val="0"/>
      <w:marBottom w:val="0"/>
      <w:divBdr>
        <w:top w:val="none" w:sz="0" w:space="0" w:color="auto"/>
        <w:left w:val="none" w:sz="0" w:space="0" w:color="auto"/>
        <w:bottom w:val="none" w:sz="0" w:space="0" w:color="auto"/>
        <w:right w:val="none" w:sz="0" w:space="0" w:color="auto"/>
      </w:divBdr>
    </w:div>
    <w:div w:id="789325794">
      <w:bodyDiv w:val="1"/>
      <w:marLeft w:val="0"/>
      <w:marRight w:val="0"/>
      <w:marTop w:val="0"/>
      <w:marBottom w:val="0"/>
      <w:divBdr>
        <w:top w:val="none" w:sz="0" w:space="0" w:color="auto"/>
        <w:left w:val="none" w:sz="0" w:space="0" w:color="auto"/>
        <w:bottom w:val="none" w:sz="0" w:space="0" w:color="auto"/>
        <w:right w:val="none" w:sz="0" w:space="0" w:color="auto"/>
      </w:divBdr>
      <w:divsChild>
        <w:div w:id="303433170">
          <w:marLeft w:val="0"/>
          <w:marRight w:val="0"/>
          <w:marTop w:val="0"/>
          <w:marBottom w:val="0"/>
          <w:divBdr>
            <w:top w:val="none" w:sz="0" w:space="0" w:color="auto"/>
            <w:left w:val="none" w:sz="0" w:space="0" w:color="auto"/>
            <w:bottom w:val="none" w:sz="0" w:space="0" w:color="auto"/>
            <w:right w:val="none" w:sz="0" w:space="0" w:color="auto"/>
          </w:divBdr>
        </w:div>
        <w:div w:id="1217200828">
          <w:marLeft w:val="0"/>
          <w:marRight w:val="0"/>
          <w:marTop w:val="0"/>
          <w:marBottom w:val="0"/>
          <w:divBdr>
            <w:top w:val="none" w:sz="0" w:space="0" w:color="auto"/>
            <w:left w:val="none" w:sz="0" w:space="0" w:color="auto"/>
            <w:bottom w:val="none" w:sz="0" w:space="0" w:color="auto"/>
            <w:right w:val="none" w:sz="0" w:space="0" w:color="auto"/>
          </w:divBdr>
        </w:div>
        <w:div w:id="1589653837">
          <w:marLeft w:val="0"/>
          <w:marRight w:val="0"/>
          <w:marTop w:val="0"/>
          <w:marBottom w:val="0"/>
          <w:divBdr>
            <w:top w:val="none" w:sz="0" w:space="0" w:color="auto"/>
            <w:left w:val="none" w:sz="0" w:space="0" w:color="auto"/>
            <w:bottom w:val="none" w:sz="0" w:space="0" w:color="auto"/>
            <w:right w:val="none" w:sz="0" w:space="0" w:color="auto"/>
          </w:divBdr>
        </w:div>
        <w:div w:id="1730378000">
          <w:marLeft w:val="0"/>
          <w:marRight w:val="0"/>
          <w:marTop w:val="0"/>
          <w:marBottom w:val="0"/>
          <w:divBdr>
            <w:top w:val="none" w:sz="0" w:space="0" w:color="auto"/>
            <w:left w:val="none" w:sz="0" w:space="0" w:color="auto"/>
            <w:bottom w:val="none" w:sz="0" w:space="0" w:color="auto"/>
            <w:right w:val="none" w:sz="0" w:space="0" w:color="auto"/>
          </w:divBdr>
        </w:div>
        <w:div w:id="382676183">
          <w:marLeft w:val="0"/>
          <w:marRight w:val="0"/>
          <w:marTop w:val="0"/>
          <w:marBottom w:val="0"/>
          <w:divBdr>
            <w:top w:val="none" w:sz="0" w:space="0" w:color="auto"/>
            <w:left w:val="none" w:sz="0" w:space="0" w:color="auto"/>
            <w:bottom w:val="none" w:sz="0" w:space="0" w:color="auto"/>
            <w:right w:val="none" w:sz="0" w:space="0" w:color="auto"/>
          </w:divBdr>
        </w:div>
        <w:div w:id="1271544116">
          <w:marLeft w:val="0"/>
          <w:marRight w:val="0"/>
          <w:marTop w:val="0"/>
          <w:marBottom w:val="0"/>
          <w:divBdr>
            <w:top w:val="none" w:sz="0" w:space="0" w:color="auto"/>
            <w:left w:val="none" w:sz="0" w:space="0" w:color="auto"/>
            <w:bottom w:val="none" w:sz="0" w:space="0" w:color="auto"/>
            <w:right w:val="none" w:sz="0" w:space="0" w:color="auto"/>
          </w:divBdr>
        </w:div>
        <w:div w:id="700667844">
          <w:marLeft w:val="0"/>
          <w:marRight w:val="0"/>
          <w:marTop w:val="0"/>
          <w:marBottom w:val="0"/>
          <w:divBdr>
            <w:top w:val="none" w:sz="0" w:space="0" w:color="auto"/>
            <w:left w:val="none" w:sz="0" w:space="0" w:color="auto"/>
            <w:bottom w:val="none" w:sz="0" w:space="0" w:color="auto"/>
            <w:right w:val="none" w:sz="0" w:space="0" w:color="auto"/>
          </w:divBdr>
        </w:div>
      </w:divsChild>
    </w:div>
    <w:div w:id="1179659282">
      <w:bodyDiv w:val="1"/>
      <w:marLeft w:val="0"/>
      <w:marRight w:val="0"/>
      <w:marTop w:val="0"/>
      <w:marBottom w:val="0"/>
      <w:divBdr>
        <w:top w:val="none" w:sz="0" w:space="0" w:color="auto"/>
        <w:left w:val="none" w:sz="0" w:space="0" w:color="auto"/>
        <w:bottom w:val="none" w:sz="0" w:space="0" w:color="auto"/>
        <w:right w:val="none" w:sz="0" w:space="0" w:color="auto"/>
      </w:divBdr>
      <w:divsChild>
        <w:div w:id="11998838">
          <w:marLeft w:val="0"/>
          <w:marRight w:val="0"/>
          <w:marTop w:val="0"/>
          <w:marBottom w:val="0"/>
          <w:divBdr>
            <w:top w:val="none" w:sz="0" w:space="0" w:color="auto"/>
            <w:left w:val="none" w:sz="0" w:space="0" w:color="auto"/>
            <w:bottom w:val="none" w:sz="0" w:space="0" w:color="auto"/>
            <w:right w:val="none" w:sz="0" w:space="0" w:color="auto"/>
          </w:divBdr>
        </w:div>
        <w:div w:id="1256477203">
          <w:marLeft w:val="0"/>
          <w:marRight w:val="0"/>
          <w:marTop w:val="0"/>
          <w:marBottom w:val="0"/>
          <w:divBdr>
            <w:top w:val="none" w:sz="0" w:space="0" w:color="auto"/>
            <w:left w:val="none" w:sz="0" w:space="0" w:color="auto"/>
            <w:bottom w:val="none" w:sz="0" w:space="0" w:color="auto"/>
            <w:right w:val="none" w:sz="0" w:space="0" w:color="auto"/>
          </w:divBdr>
        </w:div>
        <w:div w:id="895823378">
          <w:marLeft w:val="0"/>
          <w:marRight w:val="0"/>
          <w:marTop w:val="0"/>
          <w:marBottom w:val="0"/>
          <w:divBdr>
            <w:top w:val="none" w:sz="0" w:space="0" w:color="auto"/>
            <w:left w:val="none" w:sz="0" w:space="0" w:color="auto"/>
            <w:bottom w:val="none" w:sz="0" w:space="0" w:color="auto"/>
            <w:right w:val="none" w:sz="0" w:space="0" w:color="auto"/>
          </w:divBdr>
        </w:div>
        <w:div w:id="69426745">
          <w:marLeft w:val="0"/>
          <w:marRight w:val="0"/>
          <w:marTop w:val="0"/>
          <w:marBottom w:val="0"/>
          <w:divBdr>
            <w:top w:val="none" w:sz="0" w:space="0" w:color="auto"/>
            <w:left w:val="none" w:sz="0" w:space="0" w:color="auto"/>
            <w:bottom w:val="none" w:sz="0" w:space="0" w:color="auto"/>
            <w:right w:val="none" w:sz="0" w:space="0" w:color="auto"/>
          </w:divBdr>
        </w:div>
      </w:divsChild>
    </w:div>
    <w:div w:id="1270238181">
      <w:bodyDiv w:val="1"/>
      <w:marLeft w:val="0"/>
      <w:marRight w:val="0"/>
      <w:marTop w:val="0"/>
      <w:marBottom w:val="0"/>
      <w:divBdr>
        <w:top w:val="none" w:sz="0" w:space="0" w:color="auto"/>
        <w:left w:val="none" w:sz="0" w:space="0" w:color="auto"/>
        <w:bottom w:val="none" w:sz="0" w:space="0" w:color="auto"/>
        <w:right w:val="none" w:sz="0" w:space="0" w:color="auto"/>
      </w:divBdr>
      <w:divsChild>
        <w:div w:id="1222787584">
          <w:marLeft w:val="0"/>
          <w:marRight w:val="0"/>
          <w:marTop w:val="0"/>
          <w:marBottom w:val="0"/>
          <w:divBdr>
            <w:top w:val="none" w:sz="0" w:space="0" w:color="auto"/>
            <w:left w:val="none" w:sz="0" w:space="0" w:color="auto"/>
            <w:bottom w:val="none" w:sz="0" w:space="0" w:color="auto"/>
            <w:right w:val="none" w:sz="0" w:space="0" w:color="auto"/>
          </w:divBdr>
        </w:div>
        <w:div w:id="262611357">
          <w:marLeft w:val="0"/>
          <w:marRight w:val="0"/>
          <w:marTop w:val="0"/>
          <w:marBottom w:val="0"/>
          <w:divBdr>
            <w:top w:val="none" w:sz="0" w:space="0" w:color="auto"/>
            <w:left w:val="none" w:sz="0" w:space="0" w:color="auto"/>
            <w:bottom w:val="none" w:sz="0" w:space="0" w:color="auto"/>
            <w:right w:val="none" w:sz="0" w:space="0" w:color="auto"/>
          </w:divBdr>
        </w:div>
        <w:div w:id="430318198">
          <w:marLeft w:val="0"/>
          <w:marRight w:val="0"/>
          <w:marTop w:val="0"/>
          <w:marBottom w:val="0"/>
          <w:divBdr>
            <w:top w:val="none" w:sz="0" w:space="0" w:color="auto"/>
            <w:left w:val="none" w:sz="0" w:space="0" w:color="auto"/>
            <w:bottom w:val="none" w:sz="0" w:space="0" w:color="auto"/>
            <w:right w:val="none" w:sz="0" w:space="0" w:color="auto"/>
          </w:divBdr>
        </w:div>
        <w:div w:id="366881820">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58779634">
      <w:bodyDiv w:val="1"/>
      <w:marLeft w:val="0"/>
      <w:marRight w:val="0"/>
      <w:marTop w:val="0"/>
      <w:marBottom w:val="0"/>
      <w:divBdr>
        <w:top w:val="none" w:sz="0" w:space="0" w:color="auto"/>
        <w:left w:val="none" w:sz="0" w:space="0" w:color="auto"/>
        <w:bottom w:val="none" w:sz="0" w:space="0" w:color="auto"/>
        <w:right w:val="none" w:sz="0" w:space="0" w:color="auto"/>
      </w:divBdr>
      <w:divsChild>
        <w:div w:id="1114246912">
          <w:marLeft w:val="0"/>
          <w:marRight w:val="0"/>
          <w:marTop w:val="0"/>
          <w:marBottom w:val="0"/>
          <w:divBdr>
            <w:top w:val="none" w:sz="0" w:space="0" w:color="auto"/>
            <w:left w:val="none" w:sz="0" w:space="0" w:color="auto"/>
            <w:bottom w:val="none" w:sz="0" w:space="0" w:color="auto"/>
            <w:right w:val="none" w:sz="0" w:space="0" w:color="auto"/>
          </w:divBdr>
        </w:div>
        <w:div w:id="1852067619">
          <w:marLeft w:val="0"/>
          <w:marRight w:val="0"/>
          <w:marTop w:val="0"/>
          <w:marBottom w:val="0"/>
          <w:divBdr>
            <w:top w:val="none" w:sz="0" w:space="0" w:color="auto"/>
            <w:left w:val="none" w:sz="0" w:space="0" w:color="auto"/>
            <w:bottom w:val="none" w:sz="0" w:space="0" w:color="auto"/>
            <w:right w:val="none" w:sz="0" w:space="0" w:color="auto"/>
          </w:divBdr>
        </w:div>
        <w:div w:id="437066750">
          <w:marLeft w:val="0"/>
          <w:marRight w:val="0"/>
          <w:marTop w:val="0"/>
          <w:marBottom w:val="0"/>
          <w:divBdr>
            <w:top w:val="none" w:sz="0" w:space="0" w:color="auto"/>
            <w:left w:val="none" w:sz="0" w:space="0" w:color="auto"/>
            <w:bottom w:val="none" w:sz="0" w:space="0" w:color="auto"/>
            <w:right w:val="none" w:sz="0" w:space="0" w:color="auto"/>
          </w:divBdr>
        </w:div>
      </w:divsChild>
    </w:div>
    <w:div w:id="1647197755">
      <w:bodyDiv w:val="1"/>
      <w:marLeft w:val="0"/>
      <w:marRight w:val="0"/>
      <w:marTop w:val="0"/>
      <w:marBottom w:val="0"/>
      <w:divBdr>
        <w:top w:val="none" w:sz="0" w:space="0" w:color="auto"/>
        <w:left w:val="none" w:sz="0" w:space="0" w:color="auto"/>
        <w:bottom w:val="none" w:sz="0" w:space="0" w:color="auto"/>
        <w:right w:val="none" w:sz="0" w:space="0" w:color="auto"/>
      </w:divBdr>
    </w:div>
    <w:div w:id="1690907936">
      <w:bodyDiv w:val="1"/>
      <w:marLeft w:val="0"/>
      <w:marRight w:val="0"/>
      <w:marTop w:val="0"/>
      <w:marBottom w:val="0"/>
      <w:divBdr>
        <w:top w:val="none" w:sz="0" w:space="0" w:color="auto"/>
        <w:left w:val="none" w:sz="0" w:space="0" w:color="auto"/>
        <w:bottom w:val="none" w:sz="0" w:space="0" w:color="auto"/>
        <w:right w:val="none" w:sz="0" w:space="0" w:color="auto"/>
      </w:divBdr>
      <w:divsChild>
        <w:div w:id="1879465237">
          <w:marLeft w:val="0"/>
          <w:marRight w:val="0"/>
          <w:marTop w:val="0"/>
          <w:marBottom w:val="0"/>
          <w:divBdr>
            <w:top w:val="none" w:sz="0" w:space="0" w:color="auto"/>
            <w:left w:val="none" w:sz="0" w:space="0" w:color="auto"/>
            <w:bottom w:val="none" w:sz="0" w:space="0" w:color="auto"/>
            <w:right w:val="none" w:sz="0" w:space="0" w:color="auto"/>
          </w:divBdr>
        </w:div>
        <w:div w:id="47530321">
          <w:marLeft w:val="0"/>
          <w:marRight w:val="0"/>
          <w:marTop w:val="0"/>
          <w:marBottom w:val="0"/>
          <w:divBdr>
            <w:top w:val="none" w:sz="0" w:space="0" w:color="auto"/>
            <w:left w:val="none" w:sz="0" w:space="0" w:color="auto"/>
            <w:bottom w:val="none" w:sz="0" w:space="0" w:color="auto"/>
            <w:right w:val="none" w:sz="0" w:space="0" w:color="auto"/>
          </w:divBdr>
        </w:div>
      </w:divsChild>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1969045240">
      <w:bodyDiv w:val="1"/>
      <w:marLeft w:val="0"/>
      <w:marRight w:val="0"/>
      <w:marTop w:val="0"/>
      <w:marBottom w:val="0"/>
      <w:divBdr>
        <w:top w:val="none" w:sz="0" w:space="0" w:color="auto"/>
        <w:left w:val="none" w:sz="0" w:space="0" w:color="auto"/>
        <w:bottom w:val="none" w:sz="0" w:space="0" w:color="auto"/>
        <w:right w:val="none" w:sz="0" w:space="0" w:color="auto"/>
      </w:divBdr>
      <w:divsChild>
        <w:div w:id="163054113">
          <w:marLeft w:val="0"/>
          <w:marRight w:val="0"/>
          <w:marTop w:val="0"/>
          <w:marBottom w:val="0"/>
          <w:divBdr>
            <w:top w:val="none" w:sz="0" w:space="0" w:color="auto"/>
            <w:left w:val="none" w:sz="0" w:space="0" w:color="auto"/>
            <w:bottom w:val="none" w:sz="0" w:space="0" w:color="auto"/>
            <w:right w:val="none" w:sz="0" w:space="0" w:color="auto"/>
          </w:divBdr>
        </w:div>
        <w:div w:id="629359927">
          <w:marLeft w:val="0"/>
          <w:marRight w:val="0"/>
          <w:marTop w:val="0"/>
          <w:marBottom w:val="0"/>
          <w:divBdr>
            <w:top w:val="none" w:sz="0" w:space="0" w:color="auto"/>
            <w:left w:val="none" w:sz="0" w:space="0" w:color="auto"/>
            <w:bottom w:val="none" w:sz="0" w:space="0" w:color="auto"/>
            <w:right w:val="none" w:sz="0" w:space="0" w:color="auto"/>
          </w:divBdr>
        </w:div>
        <w:div w:id="1630895313">
          <w:marLeft w:val="0"/>
          <w:marRight w:val="0"/>
          <w:marTop w:val="0"/>
          <w:marBottom w:val="0"/>
          <w:divBdr>
            <w:top w:val="none" w:sz="0" w:space="0" w:color="auto"/>
            <w:left w:val="none" w:sz="0" w:space="0" w:color="auto"/>
            <w:bottom w:val="none" w:sz="0" w:space="0" w:color="auto"/>
            <w:right w:val="none" w:sz="0" w:space="0" w:color="auto"/>
          </w:divBdr>
        </w:div>
        <w:div w:id="328598735">
          <w:marLeft w:val="0"/>
          <w:marRight w:val="0"/>
          <w:marTop w:val="0"/>
          <w:marBottom w:val="0"/>
          <w:divBdr>
            <w:top w:val="none" w:sz="0" w:space="0" w:color="auto"/>
            <w:left w:val="none" w:sz="0" w:space="0" w:color="auto"/>
            <w:bottom w:val="none" w:sz="0" w:space="0" w:color="auto"/>
            <w:right w:val="none" w:sz="0" w:space="0" w:color="auto"/>
          </w:divBdr>
        </w:div>
        <w:div w:id="266696284">
          <w:marLeft w:val="0"/>
          <w:marRight w:val="0"/>
          <w:marTop w:val="0"/>
          <w:marBottom w:val="0"/>
          <w:divBdr>
            <w:top w:val="none" w:sz="0" w:space="0" w:color="auto"/>
            <w:left w:val="none" w:sz="0" w:space="0" w:color="auto"/>
            <w:bottom w:val="none" w:sz="0" w:space="0" w:color="auto"/>
            <w:right w:val="none" w:sz="0" w:space="0" w:color="auto"/>
          </w:divBdr>
        </w:div>
        <w:div w:id="1554459209">
          <w:marLeft w:val="0"/>
          <w:marRight w:val="0"/>
          <w:marTop w:val="0"/>
          <w:marBottom w:val="0"/>
          <w:divBdr>
            <w:top w:val="none" w:sz="0" w:space="0" w:color="auto"/>
            <w:left w:val="none" w:sz="0" w:space="0" w:color="auto"/>
            <w:bottom w:val="none" w:sz="0" w:space="0" w:color="auto"/>
            <w:right w:val="none" w:sz="0" w:space="0" w:color="auto"/>
          </w:divBdr>
        </w:div>
        <w:div w:id="1354183930">
          <w:marLeft w:val="0"/>
          <w:marRight w:val="0"/>
          <w:marTop w:val="0"/>
          <w:marBottom w:val="0"/>
          <w:divBdr>
            <w:top w:val="none" w:sz="0" w:space="0" w:color="auto"/>
            <w:left w:val="none" w:sz="0" w:space="0" w:color="auto"/>
            <w:bottom w:val="none" w:sz="0" w:space="0" w:color="auto"/>
            <w:right w:val="none" w:sz="0" w:space="0" w:color="auto"/>
          </w:divBdr>
        </w:div>
      </w:divsChild>
    </w:div>
    <w:div w:id="2016110635">
      <w:bodyDiv w:val="1"/>
      <w:marLeft w:val="0"/>
      <w:marRight w:val="0"/>
      <w:marTop w:val="0"/>
      <w:marBottom w:val="0"/>
      <w:divBdr>
        <w:top w:val="none" w:sz="0" w:space="0" w:color="auto"/>
        <w:left w:val="none" w:sz="0" w:space="0" w:color="auto"/>
        <w:bottom w:val="none" w:sz="0" w:space="0" w:color="auto"/>
        <w:right w:val="none" w:sz="0" w:space="0" w:color="auto"/>
      </w:divBdr>
      <w:divsChild>
        <w:div w:id="823937690">
          <w:marLeft w:val="0"/>
          <w:marRight w:val="0"/>
          <w:marTop w:val="0"/>
          <w:marBottom w:val="0"/>
          <w:divBdr>
            <w:top w:val="none" w:sz="0" w:space="0" w:color="auto"/>
            <w:left w:val="none" w:sz="0" w:space="0" w:color="auto"/>
            <w:bottom w:val="none" w:sz="0" w:space="0" w:color="auto"/>
            <w:right w:val="none" w:sz="0" w:space="0" w:color="auto"/>
          </w:divBdr>
        </w:div>
        <w:div w:id="265967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gov.br/component/legislacao/?view=legislacao&amp;task=TextoLei&amp;format=raw&amp;id=Mzg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_03/leis/l9961.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ns.gov.br/planos-de-saude-e-operadoras/espaco-da-operadora" TargetMode="External"/><Relationship Id="rId4" Type="http://schemas.openxmlformats.org/officeDocument/2006/relationships/settings" Target="settings.xml"/><Relationship Id="rId9" Type="http://schemas.openxmlformats.org/officeDocument/2006/relationships/hyperlink" Target="http://www.ans.gov.br/anstabnet/notas_operadora.ht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5C7BC-2528-4AD0-A530-1642A7325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17</Pages>
  <Words>8198</Words>
  <Characters>44272</Characters>
  <Application>Microsoft Office Word</Application>
  <DocSecurity>0</DocSecurity>
  <Lines>368</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52366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Cleiton</cp:lastModifiedBy>
  <cp:revision>54</cp:revision>
  <cp:lastPrinted>2016-08-30T16:57:00Z</cp:lastPrinted>
  <dcterms:created xsi:type="dcterms:W3CDTF">2019-06-30T17:24:00Z</dcterms:created>
  <dcterms:modified xsi:type="dcterms:W3CDTF">2019-07-09T23:02:00Z</dcterms:modified>
</cp:coreProperties>
</file>