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31914" w14:textId="77777777" w:rsidR="008970AA" w:rsidRPr="00A452D1" w:rsidRDefault="008970AA" w:rsidP="008970AA">
      <w:pPr>
        <w:jc w:val="center"/>
        <w:rPr>
          <w:szCs w:val="24"/>
        </w:rPr>
      </w:pPr>
      <w:r>
        <w:rPr>
          <w:b/>
          <w:szCs w:val="24"/>
        </w:rPr>
        <w:t>A</w:t>
      </w:r>
      <w:r w:rsidRPr="00A452D1">
        <w:rPr>
          <w:b/>
          <w:szCs w:val="24"/>
        </w:rPr>
        <w:t xml:space="preserve"> Riqueza</w:t>
      </w:r>
      <w:r>
        <w:rPr>
          <w:b/>
          <w:szCs w:val="24"/>
        </w:rPr>
        <w:t xml:space="preserve"> do Consumo: </w:t>
      </w:r>
      <w:r w:rsidRPr="00A452D1">
        <w:rPr>
          <w:b/>
          <w:szCs w:val="24"/>
        </w:rPr>
        <w:t>Análise das Demonstrações de Valor Adicionado</w:t>
      </w:r>
      <w:r>
        <w:rPr>
          <w:b/>
          <w:szCs w:val="24"/>
        </w:rPr>
        <w:t xml:space="preserve"> d</w:t>
      </w:r>
      <w:r w:rsidRPr="00A452D1">
        <w:rPr>
          <w:b/>
          <w:szCs w:val="24"/>
        </w:rPr>
        <w:t>os Setores de Consumo Cíclico e Não cíclico</w:t>
      </w:r>
      <w:r>
        <w:rPr>
          <w:b/>
          <w:szCs w:val="24"/>
        </w:rPr>
        <w:t xml:space="preserve"> à Luz da Teoria dos Ciclos Econômicos</w:t>
      </w:r>
      <w:r w:rsidRPr="00A452D1">
        <w:rPr>
          <w:szCs w:val="24"/>
        </w:rPr>
        <w:t>.</w:t>
      </w:r>
    </w:p>
    <w:p w14:paraId="7095C4BE" w14:textId="77777777" w:rsidR="008970AA" w:rsidRDefault="008970AA" w:rsidP="008970AA">
      <w:pPr>
        <w:rPr>
          <w:sz w:val="28"/>
          <w:szCs w:val="28"/>
        </w:rPr>
      </w:pPr>
    </w:p>
    <w:p w14:paraId="3CA99ADE" w14:textId="77777777" w:rsidR="008970AA" w:rsidRDefault="008970AA" w:rsidP="008970AA">
      <w:pPr>
        <w:jc w:val="right"/>
        <w:rPr>
          <w:szCs w:val="24"/>
        </w:rPr>
      </w:pPr>
      <w:r w:rsidRPr="007E0E57">
        <w:rPr>
          <w:szCs w:val="24"/>
        </w:rPr>
        <w:t>Karen Aparecida Batista da Silva</w:t>
      </w:r>
    </w:p>
    <w:p w14:paraId="51A71B93" w14:textId="77777777" w:rsidR="008970AA" w:rsidRDefault="008970AA" w:rsidP="008970AA">
      <w:pPr>
        <w:jc w:val="right"/>
        <w:rPr>
          <w:szCs w:val="24"/>
        </w:rPr>
      </w:pPr>
      <w:r>
        <w:rPr>
          <w:szCs w:val="24"/>
        </w:rPr>
        <w:t>Universidade Federal de Santa Catarina (UFSC)</w:t>
      </w:r>
    </w:p>
    <w:p w14:paraId="12D9C9F2" w14:textId="77777777" w:rsidR="008970AA" w:rsidRPr="007E0E57" w:rsidRDefault="008970AA" w:rsidP="008970AA">
      <w:pPr>
        <w:jc w:val="right"/>
        <w:rPr>
          <w:szCs w:val="24"/>
        </w:rPr>
      </w:pPr>
      <w:r>
        <w:rPr>
          <w:szCs w:val="24"/>
        </w:rPr>
        <w:t>karen.batistasilva@gmail.com</w:t>
      </w:r>
    </w:p>
    <w:p w14:paraId="4824FFD6" w14:textId="77777777" w:rsidR="008970AA" w:rsidRPr="007E0E57" w:rsidRDefault="008970AA" w:rsidP="008970AA">
      <w:pPr>
        <w:jc w:val="right"/>
        <w:rPr>
          <w:szCs w:val="24"/>
        </w:rPr>
      </w:pPr>
    </w:p>
    <w:p w14:paraId="4E77940D" w14:textId="77777777" w:rsidR="008970AA" w:rsidRPr="007E0E57" w:rsidRDefault="008970AA" w:rsidP="008970AA">
      <w:pPr>
        <w:jc w:val="right"/>
        <w:rPr>
          <w:szCs w:val="24"/>
        </w:rPr>
      </w:pPr>
      <w:proofErr w:type="spellStart"/>
      <w:r w:rsidRPr="007E0E57">
        <w:rPr>
          <w:szCs w:val="24"/>
        </w:rPr>
        <w:t>Denize</w:t>
      </w:r>
      <w:proofErr w:type="spellEnd"/>
      <w:r w:rsidRPr="007E0E57">
        <w:rPr>
          <w:szCs w:val="24"/>
        </w:rPr>
        <w:t xml:space="preserve"> </w:t>
      </w:r>
      <w:proofErr w:type="spellStart"/>
      <w:r w:rsidRPr="007E0E57">
        <w:rPr>
          <w:szCs w:val="24"/>
        </w:rPr>
        <w:t>Demarche</w:t>
      </w:r>
      <w:proofErr w:type="spellEnd"/>
      <w:r w:rsidRPr="007E0E57">
        <w:rPr>
          <w:szCs w:val="24"/>
        </w:rPr>
        <w:t xml:space="preserve"> </w:t>
      </w:r>
      <w:proofErr w:type="spellStart"/>
      <w:r w:rsidRPr="007E0E57">
        <w:rPr>
          <w:szCs w:val="24"/>
        </w:rPr>
        <w:t>Minatti</w:t>
      </w:r>
      <w:proofErr w:type="spellEnd"/>
      <w:r w:rsidRPr="007E0E57">
        <w:rPr>
          <w:szCs w:val="24"/>
        </w:rPr>
        <w:t xml:space="preserve"> Ferreira </w:t>
      </w:r>
    </w:p>
    <w:p w14:paraId="5C77925C" w14:textId="77777777" w:rsidR="008970AA" w:rsidRPr="007E0E57" w:rsidRDefault="008970AA" w:rsidP="008970AA">
      <w:pPr>
        <w:jc w:val="right"/>
        <w:rPr>
          <w:szCs w:val="24"/>
        </w:rPr>
      </w:pPr>
      <w:r w:rsidRPr="007E0E57">
        <w:rPr>
          <w:szCs w:val="24"/>
        </w:rPr>
        <w:t xml:space="preserve">Universidade Federal de Santa Catarina (UFSC) </w:t>
      </w:r>
    </w:p>
    <w:p w14:paraId="7236B2E1" w14:textId="77777777" w:rsidR="008970AA" w:rsidRPr="00C039A0" w:rsidRDefault="002644C3" w:rsidP="008970AA">
      <w:pPr>
        <w:jc w:val="right"/>
        <w:rPr>
          <w:szCs w:val="24"/>
        </w:rPr>
      </w:pPr>
      <w:hyperlink r:id="rId8" w:history="1">
        <w:r w:rsidR="008970AA" w:rsidRPr="00C039A0">
          <w:rPr>
            <w:rStyle w:val="Hyperlink"/>
            <w:color w:val="auto"/>
            <w:szCs w:val="24"/>
            <w:u w:val="none"/>
          </w:rPr>
          <w:t>denize.minatti@ufsc.br</w:t>
        </w:r>
      </w:hyperlink>
      <w:r w:rsidR="008970AA" w:rsidRPr="00C039A0">
        <w:rPr>
          <w:szCs w:val="24"/>
        </w:rPr>
        <w:t xml:space="preserve"> </w:t>
      </w:r>
    </w:p>
    <w:p w14:paraId="37794B50" w14:textId="77777777" w:rsidR="008970AA" w:rsidRPr="007E0E57" w:rsidRDefault="008970AA" w:rsidP="008970AA">
      <w:pPr>
        <w:jc w:val="right"/>
        <w:rPr>
          <w:szCs w:val="24"/>
        </w:rPr>
      </w:pPr>
    </w:p>
    <w:p w14:paraId="434B135B" w14:textId="77777777" w:rsidR="008970AA" w:rsidRPr="007E0E57" w:rsidRDefault="008970AA" w:rsidP="008970AA">
      <w:pPr>
        <w:jc w:val="right"/>
        <w:rPr>
          <w:szCs w:val="24"/>
        </w:rPr>
      </w:pPr>
      <w:r w:rsidRPr="007E0E57">
        <w:rPr>
          <w:szCs w:val="24"/>
        </w:rPr>
        <w:t xml:space="preserve">Monique Cristiane de Oliveira </w:t>
      </w:r>
    </w:p>
    <w:p w14:paraId="323254FD" w14:textId="77777777" w:rsidR="008970AA" w:rsidRPr="007E0E57" w:rsidRDefault="008970AA" w:rsidP="008970AA">
      <w:pPr>
        <w:jc w:val="right"/>
        <w:rPr>
          <w:szCs w:val="24"/>
        </w:rPr>
      </w:pPr>
      <w:r w:rsidRPr="007E0E57">
        <w:rPr>
          <w:szCs w:val="24"/>
        </w:rPr>
        <w:t xml:space="preserve">Universidade Federal de Santa Catarina (UFSC) </w:t>
      </w:r>
    </w:p>
    <w:p w14:paraId="4FF339F6" w14:textId="77777777" w:rsidR="008970AA" w:rsidRPr="007E0E57" w:rsidRDefault="008970AA" w:rsidP="008970AA">
      <w:pPr>
        <w:jc w:val="right"/>
        <w:rPr>
          <w:szCs w:val="24"/>
        </w:rPr>
      </w:pPr>
      <w:r w:rsidRPr="007E0E57">
        <w:rPr>
          <w:szCs w:val="24"/>
        </w:rPr>
        <w:t>monique_bona@hotmail.com</w:t>
      </w:r>
    </w:p>
    <w:p w14:paraId="41037A38" w14:textId="77777777" w:rsidR="008970AA" w:rsidRDefault="008970AA" w:rsidP="008970AA">
      <w:pPr>
        <w:jc w:val="center"/>
        <w:rPr>
          <w:sz w:val="28"/>
          <w:szCs w:val="28"/>
        </w:rPr>
      </w:pPr>
    </w:p>
    <w:p w14:paraId="3D7486BE" w14:textId="77777777" w:rsidR="000872F4" w:rsidRDefault="008970AA" w:rsidP="008970AA">
      <w:pPr>
        <w:rPr>
          <w:b/>
          <w:szCs w:val="24"/>
        </w:rPr>
      </w:pPr>
      <w:r w:rsidRPr="0002059C">
        <w:rPr>
          <w:b/>
          <w:szCs w:val="24"/>
        </w:rPr>
        <w:t>RESUMO</w:t>
      </w:r>
    </w:p>
    <w:p w14:paraId="3A61FD0B" w14:textId="77777777" w:rsidR="008970AA" w:rsidRPr="004F0AFE" w:rsidRDefault="008970AA" w:rsidP="000872F4">
      <w:pPr>
        <w:ind w:firstLine="708"/>
        <w:rPr>
          <w:szCs w:val="24"/>
        </w:rPr>
      </w:pPr>
      <w:r>
        <w:rPr>
          <w:szCs w:val="24"/>
        </w:rPr>
        <w:t>Os ciclos econômicos representam os movimentos de expansão e recessão das atividades econômicas. Com base na Teoria dos Ciclos Econômicos, alguns setores tendem a ser mais afetados por movimentos de expansão e recessão a depende</w:t>
      </w:r>
      <w:r w:rsidR="00C12BA6">
        <w:rPr>
          <w:szCs w:val="24"/>
        </w:rPr>
        <w:t>ndo</w:t>
      </w:r>
      <w:r>
        <w:rPr>
          <w:szCs w:val="24"/>
        </w:rPr>
        <w:t xml:space="preserve"> de sua atividade</w:t>
      </w:r>
      <w:r w:rsidR="00C12BA6">
        <w:rPr>
          <w:szCs w:val="24"/>
        </w:rPr>
        <w:t>, como os</w:t>
      </w:r>
      <w:r>
        <w:rPr>
          <w:szCs w:val="24"/>
        </w:rPr>
        <w:t xml:space="preserve"> setores que produzem bens duráveis que podem ser mais impactados, por exemplo, que os setores de bens de primeira necessidade quanto aos efeitos da recessão. Com isso o presente estudo tem por objetivo analisar</w:t>
      </w:r>
      <w:r w:rsidRPr="00C53222">
        <w:rPr>
          <w:szCs w:val="24"/>
        </w:rPr>
        <w:t xml:space="preserve"> a variação da riqueza gerada e distribuída entre os agentes econômicos nos setores de consumo cíclico e não cíclico nos períodos de expansão</w:t>
      </w:r>
      <w:r>
        <w:rPr>
          <w:szCs w:val="24"/>
        </w:rPr>
        <w:t xml:space="preserve"> e recessão econômica. A amostra compreendeu todas as empresas dos respectivos setores, segundo classificação setorial da [B]³, que disponibilizaram a Demonstração do Valor Adicionado entre 2009 e 2016, sendo 17 empresas do setor de consumo não cíclico e 65 do setor de consumo cíclico. Os resultados encontrados apontaram que ambos os setores não </w:t>
      </w:r>
      <w:r w:rsidR="00C12BA6">
        <w:rPr>
          <w:szCs w:val="24"/>
        </w:rPr>
        <w:t>apresentaram crescimento na</w:t>
      </w:r>
      <w:r>
        <w:rPr>
          <w:szCs w:val="24"/>
        </w:rPr>
        <w:t xml:space="preserve"> geração de riqueza </w:t>
      </w:r>
      <w:r w:rsidR="00C12BA6">
        <w:rPr>
          <w:szCs w:val="24"/>
        </w:rPr>
        <w:t>no período de recessão</w:t>
      </w:r>
      <w:r>
        <w:rPr>
          <w:szCs w:val="24"/>
        </w:rPr>
        <w:t>. No entanto, a ruptura de uma tendência de crescimento que era existente para</w:t>
      </w:r>
      <w:r w:rsidR="00C12BA6">
        <w:rPr>
          <w:szCs w:val="24"/>
        </w:rPr>
        <w:t xml:space="preserve"> ambos </w:t>
      </w:r>
      <w:r>
        <w:rPr>
          <w:szCs w:val="24"/>
        </w:rPr>
        <w:t xml:space="preserve">setores se apresentou primeiro no de consumo cíclico, </w:t>
      </w:r>
      <w:r w:rsidR="00C12BA6">
        <w:rPr>
          <w:szCs w:val="24"/>
        </w:rPr>
        <w:t>considerado setor sensível em períodos de recessão conforme a Teoria dos Ciclos Econômicos</w:t>
      </w:r>
      <w:r>
        <w:rPr>
          <w:szCs w:val="24"/>
        </w:rPr>
        <w:t>. Com relação a distribuição aos agentes econômicos,</w:t>
      </w:r>
      <w:r w:rsidRPr="005B76DD">
        <w:rPr>
          <w:szCs w:val="24"/>
        </w:rPr>
        <w:t xml:space="preserve"> </w:t>
      </w:r>
      <w:r>
        <w:rPr>
          <w:szCs w:val="24"/>
        </w:rPr>
        <w:t>o grupo remuneração de capitais de terceiros foi o que apresentou taxas de crescimento mais altas no perío</w:t>
      </w:r>
      <w:r w:rsidR="00C12BA6">
        <w:rPr>
          <w:szCs w:val="24"/>
        </w:rPr>
        <w:t>do de expansão em ambos setores</w:t>
      </w:r>
      <w:r>
        <w:rPr>
          <w:szCs w:val="24"/>
        </w:rPr>
        <w:t>. Já no período de recessão o grupo mais impactado por taxas negativa</w:t>
      </w:r>
      <w:r w:rsidR="00C12BA6">
        <w:rPr>
          <w:szCs w:val="24"/>
        </w:rPr>
        <w:t>s</w:t>
      </w:r>
      <w:r>
        <w:rPr>
          <w:szCs w:val="24"/>
        </w:rPr>
        <w:t>, representando um decréscimo na distribuição para esse período, em ambos os setores foi a remuneração de capital próprio</w:t>
      </w:r>
      <w:r w:rsidR="00C12BA6">
        <w:rPr>
          <w:szCs w:val="24"/>
        </w:rPr>
        <w:t>.</w:t>
      </w:r>
    </w:p>
    <w:p w14:paraId="5C35568D" w14:textId="77777777" w:rsidR="008970AA" w:rsidRDefault="008970AA" w:rsidP="008970AA">
      <w:pPr>
        <w:rPr>
          <w:szCs w:val="24"/>
        </w:rPr>
      </w:pPr>
    </w:p>
    <w:p w14:paraId="05464AF9" w14:textId="193A8604" w:rsidR="008970AA" w:rsidRDefault="008970AA" w:rsidP="008970AA">
      <w:pPr>
        <w:rPr>
          <w:szCs w:val="24"/>
        </w:rPr>
      </w:pPr>
      <w:r w:rsidRPr="00F36958">
        <w:rPr>
          <w:b/>
          <w:szCs w:val="24"/>
        </w:rPr>
        <w:t>Palavras-chave</w:t>
      </w:r>
      <w:r>
        <w:rPr>
          <w:szCs w:val="24"/>
        </w:rPr>
        <w:t>: Consumo cíclico; Consumo Não Cíclico; Expansão; Recessão; Demonstração do Valor Adicionado.</w:t>
      </w:r>
    </w:p>
    <w:p w14:paraId="74B6ED93" w14:textId="77777777" w:rsidR="00C12BA6" w:rsidRDefault="00C12BA6" w:rsidP="008970AA">
      <w:pPr>
        <w:rPr>
          <w:b/>
          <w:szCs w:val="24"/>
        </w:rPr>
      </w:pPr>
    </w:p>
    <w:p w14:paraId="28C5064E" w14:textId="77777777" w:rsidR="008970AA" w:rsidRDefault="008970AA" w:rsidP="000872F4">
      <w:pPr>
        <w:ind w:firstLine="708"/>
        <w:jc w:val="left"/>
        <w:rPr>
          <w:b/>
          <w:szCs w:val="24"/>
        </w:rPr>
      </w:pPr>
      <w:r>
        <w:rPr>
          <w:b/>
          <w:szCs w:val="24"/>
        </w:rPr>
        <w:t xml:space="preserve">Linha temática: </w:t>
      </w:r>
      <w:r w:rsidRPr="008970AA">
        <w:rPr>
          <w:szCs w:val="24"/>
        </w:rPr>
        <w:t>CONTABILIDADE FINANCEIRA</w:t>
      </w:r>
    </w:p>
    <w:p w14:paraId="298FB960" w14:textId="77777777" w:rsidR="008970AA" w:rsidRDefault="008970AA" w:rsidP="008970AA">
      <w:pPr>
        <w:rPr>
          <w:b/>
          <w:szCs w:val="24"/>
        </w:rPr>
      </w:pPr>
      <w:bookmarkStart w:id="0" w:name="_GoBack"/>
      <w:bookmarkEnd w:id="0"/>
    </w:p>
    <w:p w14:paraId="09C765F4" w14:textId="77777777" w:rsidR="00D5692D" w:rsidRDefault="00D5692D" w:rsidP="008970AA">
      <w:pPr>
        <w:ind w:firstLine="0"/>
        <w:rPr>
          <w:b/>
          <w:szCs w:val="24"/>
        </w:rPr>
      </w:pPr>
    </w:p>
    <w:p w14:paraId="419EFF75" w14:textId="77777777" w:rsidR="008970AA" w:rsidRDefault="008970AA" w:rsidP="008970AA">
      <w:pPr>
        <w:ind w:firstLine="0"/>
        <w:rPr>
          <w:b/>
          <w:szCs w:val="24"/>
        </w:rPr>
      </w:pPr>
      <w:r w:rsidRPr="00A452D1">
        <w:rPr>
          <w:b/>
          <w:szCs w:val="24"/>
        </w:rPr>
        <w:lastRenderedPageBreak/>
        <w:t>1 INTRODUÇÃO</w:t>
      </w:r>
    </w:p>
    <w:p w14:paraId="0BBAFFBA" w14:textId="77777777" w:rsidR="008970AA" w:rsidRDefault="008970AA" w:rsidP="008970AA">
      <w:pPr>
        <w:rPr>
          <w:szCs w:val="24"/>
        </w:rPr>
      </w:pPr>
    </w:p>
    <w:p w14:paraId="1FF13C58" w14:textId="77777777" w:rsidR="008970AA" w:rsidRPr="00C53222" w:rsidRDefault="008970AA" w:rsidP="008970AA">
      <w:pPr>
        <w:rPr>
          <w:szCs w:val="24"/>
        </w:rPr>
      </w:pPr>
      <w:r w:rsidRPr="00C53222">
        <w:rPr>
          <w:szCs w:val="24"/>
        </w:rPr>
        <w:t>As empresas estão inseridas em contextos macroeconômicos, estando suscet</w:t>
      </w:r>
      <w:r>
        <w:rPr>
          <w:szCs w:val="24"/>
        </w:rPr>
        <w:t>íveis as mais diversas variações de indicadores</w:t>
      </w:r>
      <w:r w:rsidRPr="00C53222">
        <w:rPr>
          <w:szCs w:val="24"/>
        </w:rPr>
        <w:t xml:space="preserve">, tais </w:t>
      </w:r>
      <w:r>
        <w:rPr>
          <w:szCs w:val="24"/>
        </w:rPr>
        <w:t>como</w:t>
      </w:r>
      <w:r w:rsidRPr="00C53222">
        <w:rPr>
          <w:szCs w:val="24"/>
        </w:rPr>
        <w:t xml:space="preserve"> taxas de inflação, de câmbio, </w:t>
      </w:r>
      <w:r>
        <w:rPr>
          <w:szCs w:val="24"/>
        </w:rPr>
        <w:t>de juros</w:t>
      </w:r>
      <w:r w:rsidRPr="00C53222">
        <w:rPr>
          <w:szCs w:val="24"/>
        </w:rPr>
        <w:t xml:space="preserve"> entre outras,</w:t>
      </w:r>
      <w:r>
        <w:rPr>
          <w:szCs w:val="24"/>
        </w:rPr>
        <w:t xml:space="preserve"> e à</w:t>
      </w:r>
      <w:r w:rsidRPr="00C53222">
        <w:rPr>
          <w:szCs w:val="24"/>
        </w:rPr>
        <w:t xml:space="preserve"> medida que o cenário econômico nacional dita o seu curso, elas sofrerão impactos </w:t>
      </w:r>
      <w:r>
        <w:rPr>
          <w:szCs w:val="24"/>
        </w:rPr>
        <w:t>desses fatores externos</w:t>
      </w:r>
      <w:r w:rsidRPr="00C53222">
        <w:rPr>
          <w:szCs w:val="24"/>
        </w:rPr>
        <w:t xml:space="preserve">. </w:t>
      </w:r>
      <w:r>
        <w:rPr>
          <w:szCs w:val="24"/>
        </w:rPr>
        <w:t>A depender do tipo de variável, região onde está inserida</w:t>
      </w:r>
      <w:r w:rsidRPr="00C53222">
        <w:rPr>
          <w:szCs w:val="24"/>
        </w:rPr>
        <w:t xml:space="preserve"> </w:t>
      </w:r>
      <w:r>
        <w:rPr>
          <w:szCs w:val="24"/>
        </w:rPr>
        <w:t>e</w:t>
      </w:r>
      <w:r w:rsidRPr="00C53222">
        <w:rPr>
          <w:szCs w:val="24"/>
        </w:rPr>
        <w:t xml:space="preserve"> setor de atuação as companhias podem </w:t>
      </w:r>
      <w:r>
        <w:rPr>
          <w:szCs w:val="24"/>
        </w:rPr>
        <w:t>sentir estes fatores</w:t>
      </w:r>
      <w:r w:rsidRPr="00C53222">
        <w:rPr>
          <w:szCs w:val="24"/>
        </w:rPr>
        <w:t xml:space="preserve"> em intensidades diferentes, tanto</w:t>
      </w:r>
      <w:r>
        <w:rPr>
          <w:szCs w:val="24"/>
        </w:rPr>
        <w:t xml:space="preserve"> positiva</w:t>
      </w:r>
      <w:r w:rsidRPr="00C53222">
        <w:rPr>
          <w:szCs w:val="24"/>
        </w:rPr>
        <w:t xml:space="preserve"> quanto negativamente (</w:t>
      </w:r>
      <w:proofErr w:type="spellStart"/>
      <w:r w:rsidRPr="00C53222">
        <w:rPr>
          <w:szCs w:val="24"/>
        </w:rPr>
        <w:t>Pand</w:t>
      </w:r>
      <w:r>
        <w:rPr>
          <w:szCs w:val="24"/>
        </w:rPr>
        <w:t>ini</w:t>
      </w:r>
      <w:proofErr w:type="spellEnd"/>
      <w:r>
        <w:rPr>
          <w:szCs w:val="24"/>
        </w:rPr>
        <w:t xml:space="preserve">, </w:t>
      </w:r>
      <w:proofErr w:type="spellStart"/>
      <w:r>
        <w:rPr>
          <w:szCs w:val="24"/>
        </w:rPr>
        <w:t>Stüp</w:t>
      </w:r>
      <w:proofErr w:type="spellEnd"/>
      <w:r>
        <w:rPr>
          <w:szCs w:val="24"/>
        </w:rPr>
        <w:t>, &amp;</w:t>
      </w:r>
      <w:r w:rsidRPr="00C53222">
        <w:rPr>
          <w:szCs w:val="24"/>
        </w:rPr>
        <w:t xml:space="preserve"> </w:t>
      </w:r>
      <w:proofErr w:type="spellStart"/>
      <w:r w:rsidRPr="00C53222">
        <w:rPr>
          <w:szCs w:val="24"/>
        </w:rPr>
        <w:t>Fabre</w:t>
      </w:r>
      <w:proofErr w:type="spellEnd"/>
      <w:r w:rsidRPr="00C53222">
        <w:rPr>
          <w:szCs w:val="24"/>
        </w:rPr>
        <w:t>, 2018).</w:t>
      </w:r>
    </w:p>
    <w:p w14:paraId="04A4B12C" w14:textId="77777777" w:rsidR="008970AA" w:rsidRPr="00C53222" w:rsidRDefault="008970AA" w:rsidP="008970AA">
      <w:pPr>
        <w:rPr>
          <w:szCs w:val="24"/>
        </w:rPr>
      </w:pPr>
      <w:r w:rsidRPr="00C53222">
        <w:rPr>
          <w:szCs w:val="24"/>
        </w:rPr>
        <w:t>Ao longo dos anos</w:t>
      </w:r>
      <w:r>
        <w:rPr>
          <w:szCs w:val="24"/>
        </w:rPr>
        <w:t>,</w:t>
      </w:r>
      <w:r w:rsidRPr="00C53222">
        <w:rPr>
          <w:szCs w:val="24"/>
        </w:rPr>
        <w:t xml:space="preserve"> </w:t>
      </w:r>
      <w:r>
        <w:rPr>
          <w:szCs w:val="24"/>
        </w:rPr>
        <w:t>enquanto a economia do Brasil se estruturou</w:t>
      </w:r>
      <w:r w:rsidRPr="00C53222">
        <w:rPr>
          <w:szCs w:val="24"/>
        </w:rPr>
        <w:t xml:space="preserve"> aconteceram variações no cenário nacional. Pode</w:t>
      </w:r>
      <w:r>
        <w:rPr>
          <w:szCs w:val="24"/>
        </w:rPr>
        <w:t>-se</w:t>
      </w:r>
      <w:r w:rsidRPr="00C53222">
        <w:rPr>
          <w:szCs w:val="24"/>
        </w:rPr>
        <w:t xml:space="preserve"> mencionar</w:t>
      </w:r>
      <w:r>
        <w:rPr>
          <w:szCs w:val="24"/>
        </w:rPr>
        <w:t>, por exemplo,</w:t>
      </w:r>
      <w:r w:rsidRPr="00C53222">
        <w:rPr>
          <w:szCs w:val="24"/>
        </w:rPr>
        <w:t xml:space="preserve"> que em meados dos anos 2000 </w:t>
      </w:r>
      <w:r>
        <w:rPr>
          <w:szCs w:val="24"/>
        </w:rPr>
        <w:t>houve</w:t>
      </w:r>
      <w:r w:rsidRPr="00C53222">
        <w:rPr>
          <w:szCs w:val="24"/>
        </w:rPr>
        <w:t xml:space="preserve"> crescimento na</w:t>
      </w:r>
      <w:r>
        <w:rPr>
          <w:szCs w:val="24"/>
        </w:rPr>
        <w:t xml:space="preserve"> situação econômica do país, com</w:t>
      </w:r>
      <w:r w:rsidRPr="00C53222">
        <w:rPr>
          <w:szCs w:val="24"/>
        </w:rPr>
        <w:t xml:space="preserve"> elevação no PIB e uma melhora n</w:t>
      </w:r>
      <w:r>
        <w:rPr>
          <w:szCs w:val="24"/>
        </w:rPr>
        <w:t>a distribuição de renda (Paula &amp;</w:t>
      </w:r>
      <w:r w:rsidRPr="00C53222">
        <w:rPr>
          <w:szCs w:val="24"/>
        </w:rPr>
        <w:t xml:space="preserve"> Pires, 2017</w:t>
      </w:r>
      <w:r>
        <w:rPr>
          <w:szCs w:val="24"/>
        </w:rPr>
        <w:t>). Porém em meados de 2014, uma</w:t>
      </w:r>
      <w:r w:rsidRPr="00C53222">
        <w:rPr>
          <w:szCs w:val="24"/>
        </w:rPr>
        <w:t xml:space="preserve"> recessão atingiu a economia brasileira e sua duração e efeitos foram sentidos nos anos seguintes (</w:t>
      </w:r>
      <w:proofErr w:type="spellStart"/>
      <w:r w:rsidRPr="00C53222">
        <w:rPr>
          <w:szCs w:val="24"/>
        </w:rPr>
        <w:t>Oreiro</w:t>
      </w:r>
      <w:proofErr w:type="spellEnd"/>
      <w:r w:rsidRPr="00C53222">
        <w:rPr>
          <w:szCs w:val="24"/>
        </w:rPr>
        <w:t xml:space="preserve">, 2017). </w:t>
      </w:r>
    </w:p>
    <w:p w14:paraId="3D2D971D" w14:textId="77777777" w:rsidR="008970AA" w:rsidRDefault="008970AA" w:rsidP="008970AA">
      <w:pPr>
        <w:rPr>
          <w:szCs w:val="24"/>
        </w:rPr>
      </w:pPr>
      <w:r>
        <w:rPr>
          <w:szCs w:val="24"/>
        </w:rPr>
        <w:t>Estas</w:t>
      </w:r>
      <w:r w:rsidRPr="00C53222">
        <w:rPr>
          <w:szCs w:val="24"/>
        </w:rPr>
        <w:t xml:space="preserve"> variações</w:t>
      </w:r>
      <w:r>
        <w:rPr>
          <w:szCs w:val="24"/>
        </w:rPr>
        <w:t xml:space="preserve"> de expansão e recessão</w:t>
      </w:r>
      <w:r w:rsidRPr="00C53222">
        <w:rPr>
          <w:szCs w:val="24"/>
        </w:rPr>
        <w:t xml:space="preserve"> na atividade econômica são denominadas ciclos e</w:t>
      </w:r>
      <w:r>
        <w:rPr>
          <w:szCs w:val="24"/>
        </w:rPr>
        <w:t>conômicos</w:t>
      </w:r>
      <w:r w:rsidRPr="00C53222">
        <w:rPr>
          <w:szCs w:val="24"/>
        </w:rPr>
        <w:t>,</w:t>
      </w:r>
      <w:r>
        <w:rPr>
          <w:szCs w:val="24"/>
        </w:rPr>
        <w:t xml:space="preserve"> e durante esses períodos a Teoria dos Ciclos Econômicos sugere que</w:t>
      </w:r>
      <w:r w:rsidRPr="00C53222">
        <w:rPr>
          <w:szCs w:val="24"/>
        </w:rPr>
        <w:t xml:space="preserve"> alguns setores empresariais tendem a ser mais afetados</w:t>
      </w:r>
      <w:r>
        <w:rPr>
          <w:szCs w:val="24"/>
        </w:rPr>
        <w:t xml:space="preserve"> que outros</w:t>
      </w:r>
      <w:r w:rsidRPr="00C53222">
        <w:rPr>
          <w:szCs w:val="24"/>
        </w:rPr>
        <w:t xml:space="preserve"> pelos efeito</w:t>
      </w:r>
      <w:r>
        <w:rPr>
          <w:szCs w:val="24"/>
        </w:rPr>
        <w:t>s decorrentes destas oscilações. O setor de consumo cíclico é um destes, pois, em geral, são responsáveis por bens de consumo duráveis e pode vir a ser mais afetado que o setor de consumo não cíclico, por exemplo, que atende a bens de primeira necessidade como alimentos e higiene, pois se entende que os produtos do primeiro setor podem ser adiados ou reduzidos pelas famílias em períodos de recessão econômica (Mitche</w:t>
      </w:r>
      <w:r w:rsidR="00C65A9B">
        <w:rPr>
          <w:szCs w:val="24"/>
        </w:rPr>
        <w:t>l</w:t>
      </w:r>
      <w:r>
        <w:rPr>
          <w:szCs w:val="24"/>
        </w:rPr>
        <w:t xml:space="preserve">l, 1988; </w:t>
      </w:r>
      <w:proofErr w:type="spellStart"/>
      <w:r>
        <w:rPr>
          <w:szCs w:val="24"/>
        </w:rPr>
        <w:t>Pandini</w:t>
      </w:r>
      <w:proofErr w:type="spellEnd"/>
      <w:r>
        <w:rPr>
          <w:szCs w:val="24"/>
        </w:rPr>
        <w:t xml:space="preserve">, </w:t>
      </w:r>
      <w:r w:rsidRPr="00184B36">
        <w:rPr>
          <w:i/>
          <w:szCs w:val="24"/>
        </w:rPr>
        <w:t>et. al</w:t>
      </w:r>
      <w:r>
        <w:rPr>
          <w:szCs w:val="24"/>
        </w:rPr>
        <w:t xml:space="preserve">, 2018). </w:t>
      </w:r>
    </w:p>
    <w:p w14:paraId="190AFADF" w14:textId="77777777" w:rsidR="008970AA" w:rsidRPr="007F7AF1" w:rsidRDefault="008970AA" w:rsidP="008970AA">
      <w:pPr>
        <w:rPr>
          <w:szCs w:val="24"/>
        </w:rPr>
      </w:pPr>
      <w:r w:rsidRPr="007C0001">
        <w:rPr>
          <w:szCs w:val="24"/>
        </w:rPr>
        <w:t>As demonstrações contábeis que são divulgadas por empresas destes setores, são elementos que podem servir de informação e análise de como esses impactos podem ser percebidos</w:t>
      </w:r>
      <w:r>
        <w:rPr>
          <w:szCs w:val="24"/>
        </w:rPr>
        <w:t>.</w:t>
      </w:r>
      <w:r w:rsidRPr="00386DC3">
        <w:rPr>
          <w:szCs w:val="24"/>
        </w:rPr>
        <w:t xml:space="preserve"> </w:t>
      </w:r>
      <w:r>
        <w:rPr>
          <w:szCs w:val="24"/>
        </w:rPr>
        <w:t xml:space="preserve">Considerando que se uma companhia relaciona outros a sua volta, como funcionários, credores, entre outros, ao ser impactada por fatores relacionados ao ambiente econômico este impacto tende a refletir no meio onde ela está inserida, podendo estender os efeitos positivos e negativos aos envolvidos. Dentre os demonstrativos, a Demonstração do Valor Adicionado (DVA) demonstra tanto </w:t>
      </w:r>
      <w:r w:rsidRPr="007C0001">
        <w:rPr>
          <w:szCs w:val="24"/>
        </w:rPr>
        <w:t xml:space="preserve">os valores correspondentes a companhia </w:t>
      </w:r>
      <w:r>
        <w:rPr>
          <w:szCs w:val="24"/>
        </w:rPr>
        <w:t>como</w:t>
      </w:r>
      <w:r w:rsidRPr="007C0001">
        <w:rPr>
          <w:szCs w:val="24"/>
        </w:rPr>
        <w:t xml:space="preserve"> também os </w:t>
      </w:r>
      <w:r>
        <w:rPr>
          <w:szCs w:val="24"/>
        </w:rPr>
        <w:t xml:space="preserve">relativos aos </w:t>
      </w:r>
      <w:r w:rsidRPr="007C0001">
        <w:rPr>
          <w:szCs w:val="24"/>
        </w:rPr>
        <w:t xml:space="preserve">agentes econômicos envolvidos </w:t>
      </w:r>
      <w:r>
        <w:rPr>
          <w:szCs w:val="24"/>
        </w:rPr>
        <w:t>na sua atividade fim. Como tal, é o instrumento responsável pel</w:t>
      </w:r>
      <w:r w:rsidRPr="007F7AF1">
        <w:rPr>
          <w:szCs w:val="24"/>
        </w:rPr>
        <w:t xml:space="preserve">a evidenciação da geração de riqueza de uma entidade, bem como o detalhamento de </w:t>
      </w:r>
      <w:r>
        <w:rPr>
          <w:szCs w:val="24"/>
        </w:rPr>
        <w:t>sua distribuição</w:t>
      </w:r>
      <w:r w:rsidRPr="007F7AF1">
        <w:rPr>
          <w:szCs w:val="24"/>
        </w:rPr>
        <w:t xml:space="preserve"> entre os agentes econômicos</w:t>
      </w:r>
      <w:r>
        <w:rPr>
          <w:szCs w:val="24"/>
        </w:rPr>
        <w:t xml:space="preserve"> (De Luca, Cunha</w:t>
      </w:r>
      <w:r w:rsidRPr="00A5307F">
        <w:rPr>
          <w:i/>
          <w:szCs w:val="24"/>
        </w:rPr>
        <w:t>,</w:t>
      </w:r>
      <w:r>
        <w:rPr>
          <w:szCs w:val="24"/>
        </w:rPr>
        <w:t xml:space="preserve"> Ribeiro, &amp; Oliveira, 2009).</w:t>
      </w:r>
    </w:p>
    <w:p w14:paraId="5546ED7D" w14:textId="77777777" w:rsidR="008970AA" w:rsidRPr="003C6BDA" w:rsidRDefault="008970AA" w:rsidP="008970AA">
      <w:pPr>
        <w:rPr>
          <w:szCs w:val="24"/>
        </w:rPr>
      </w:pPr>
      <w:r w:rsidRPr="003C6BDA">
        <w:rPr>
          <w:szCs w:val="24"/>
        </w:rPr>
        <w:t>Como base de análise</w:t>
      </w:r>
      <w:r>
        <w:rPr>
          <w:szCs w:val="24"/>
        </w:rPr>
        <w:t>,</w:t>
      </w:r>
      <w:r w:rsidRPr="003C6BDA">
        <w:rPr>
          <w:szCs w:val="24"/>
        </w:rPr>
        <w:t xml:space="preserve"> a DVA propicia comparar o valor adicionado ao longo dos anos, podendo perceber acréscimos ou decréscimos ano a ano, permitindo entender alguns paralelos que aconteceram na</w:t>
      </w:r>
      <w:r>
        <w:rPr>
          <w:szCs w:val="24"/>
        </w:rPr>
        <w:t>s</w:t>
      </w:r>
      <w:r w:rsidRPr="003C6BDA">
        <w:rPr>
          <w:szCs w:val="24"/>
        </w:rPr>
        <w:t xml:space="preserve"> atividade</w:t>
      </w:r>
      <w:r>
        <w:rPr>
          <w:szCs w:val="24"/>
        </w:rPr>
        <w:t>s</w:t>
      </w:r>
      <w:r w:rsidRPr="003C6BDA">
        <w:rPr>
          <w:szCs w:val="24"/>
        </w:rPr>
        <w:t xml:space="preserve"> das empresa</w:t>
      </w:r>
      <w:r>
        <w:rPr>
          <w:szCs w:val="24"/>
        </w:rPr>
        <w:t>s</w:t>
      </w:r>
      <w:r w:rsidRPr="003C6BDA">
        <w:rPr>
          <w:szCs w:val="24"/>
        </w:rPr>
        <w:t>, bem como comparar como está a distribuição da riqueza entre os agentes (Santos, 2007).</w:t>
      </w:r>
      <w:r>
        <w:rPr>
          <w:b/>
          <w:i/>
          <w:szCs w:val="24"/>
        </w:rPr>
        <w:t xml:space="preserve"> </w:t>
      </w:r>
      <w:r>
        <w:rPr>
          <w:szCs w:val="24"/>
        </w:rPr>
        <w:t xml:space="preserve"> Ainda cabe destacar que os aspectos de análise da DVA podem ser internos ou externos a empresa. No que tange ao ambiente interno, tem-se informações gerenciais já ao que tange o ambiente externo é possível análises que reflitam a participação da empresa no cenário econômico em que atue. (De Luca </w:t>
      </w:r>
      <w:r w:rsidRPr="00A5307F">
        <w:rPr>
          <w:i/>
          <w:szCs w:val="24"/>
        </w:rPr>
        <w:t>et al.,</w:t>
      </w:r>
      <w:r>
        <w:rPr>
          <w:szCs w:val="24"/>
        </w:rPr>
        <w:t xml:space="preserve"> 2009).</w:t>
      </w:r>
    </w:p>
    <w:p w14:paraId="1D11C242" w14:textId="77777777" w:rsidR="008970AA" w:rsidRPr="00C53222" w:rsidRDefault="008970AA" w:rsidP="008970AA">
      <w:pPr>
        <w:rPr>
          <w:szCs w:val="24"/>
        </w:rPr>
      </w:pPr>
      <w:r>
        <w:rPr>
          <w:szCs w:val="24"/>
        </w:rPr>
        <w:t>Com isso</w:t>
      </w:r>
      <w:r w:rsidRPr="00C53222">
        <w:rPr>
          <w:szCs w:val="24"/>
        </w:rPr>
        <w:t xml:space="preserve"> o presente estudo busca responder</w:t>
      </w:r>
      <w:r>
        <w:rPr>
          <w:szCs w:val="24"/>
        </w:rPr>
        <w:t>,</w:t>
      </w:r>
      <w:r w:rsidRPr="00C53222">
        <w:rPr>
          <w:szCs w:val="24"/>
        </w:rPr>
        <w:t xml:space="preserve"> </w:t>
      </w:r>
      <w:r>
        <w:rPr>
          <w:szCs w:val="24"/>
        </w:rPr>
        <w:t>qual</w:t>
      </w:r>
      <w:r w:rsidRPr="00C53222">
        <w:rPr>
          <w:szCs w:val="24"/>
        </w:rPr>
        <w:t xml:space="preserve"> o comportamento da riqueza gerada e distribuída por empresas do setor de consumo cíclico e não cíclico nos </w:t>
      </w:r>
      <w:r>
        <w:rPr>
          <w:szCs w:val="24"/>
        </w:rPr>
        <w:t>períodos expansão e recessão econômica</w:t>
      </w:r>
      <w:r w:rsidRPr="00C53222">
        <w:rPr>
          <w:szCs w:val="24"/>
        </w:rPr>
        <w:t>?</w:t>
      </w:r>
    </w:p>
    <w:p w14:paraId="4D561C64" w14:textId="77777777" w:rsidR="008970AA" w:rsidRDefault="008970AA" w:rsidP="008970AA">
      <w:pPr>
        <w:rPr>
          <w:szCs w:val="24"/>
        </w:rPr>
      </w:pPr>
      <w:r>
        <w:rPr>
          <w:szCs w:val="24"/>
        </w:rPr>
        <w:t>Assim,</w:t>
      </w:r>
      <w:r w:rsidRPr="00C53222">
        <w:rPr>
          <w:szCs w:val="24"/>
        </w:rPr>
        <w:t xml:space="preserve"> o objetivo geral desta pesquisa é analisar</w:t>
      </w:r>
      <w:r>
        <w:rPr>
          <w:szCs w:val="24"/>
        </w:rPr>
        <w:t xml:space="preserve"> </w:t>
      </w:r>
      <w:r w:rsidRPr="00C53222">
        <w:rPr>
          <w:szCs w:val="24"/>
        </w:rPr>
        <w:t xml:space="preserve">a variação da riqueza gerada e distribuída </w:t>
      </w:r>
      <w:r w:rsidRPr="00C53222">
        <w:rPr>
          <w:szCs w:val="24"/>
        </w:rPr>
        <w:lastRenderedPageBreak/>
        <w:t>entre os agentes econômicos nos setores de consumo cíclico e não cíclico nos períodos de expansão e recessão econômica.</w:t>
      </w:r>
    </w:p>
    <w:p w14:paraId="7B8C0DED" w14:textId="77777777" w:rsidR="008970AA" w:rsidRPr="003A6228" w:rsidRDefault="008970AA" w:rsidP="008970AA">
      <w:pPr>
        <w:rPr>
          <w:szCs w:val="24"/>
        </w:rPr>
      </w:pPr>
      <w:r>
        <w:rPr>
          <w:szCs w:val="24"/>
        </w:rPr>
        <w:t xml:space="preserve">Este objeto de pesquisa tomou por base aspectos do estudo desenvolvido por Santos, Cunha, De Luca e Ribeiro (2013) que identificaram o comportamento da riqueza criada pelas empresas e a sua distribuição durante os períodos de governo FHC e Lula (1996 – 2010).Diferentemente dos autores que analisaram cenários e períodos de governo, o enfoque deste estudo se dá nos períodos de expansão e recessão econômica que ocorreram entre os anos de 2009 a 2016, voltados para os setores de consumo que segundo Teoria dos Ciclos Econômicos, podem ter maior ou menor tendência à serem afetados pelas oscilações da economia. </w:t>
      </w:r>
    </w:p>
    <w:p w14:paraId="46FF48FD" w14:textId="77777777" w:rsidR="008970AA" w:rsidRDefault="008970AA" w:rsidP="008970AA">
      <w:pPr>
        <w:rPr>
          <w:szCs w:val="24"/>
        </w:rPr>
      </w:pPr>
      <w:r w:rsidRPr="00AB0EA5">
        <w:rPr>
          <w:szCs w:val="24"/>
        </w:rPr>
        <w:t>A</w:t>
      </w:r>
      <w:r>
        <w:rPr>
          <w:szCs w:val="24"/>
        </w:rPr>
        <w:t xml:space="preserve"> pesquisa se justifica pela relevância</w:t>
      </w:r>
      <w:r w:rsidRPr="00AB0EA5">
        <w:rPr>
          <w:szCs w:val="24"/>
        </w:rPr>
        <w:t xml:space="preserve"> de estudos que contemplem </w:t>
      </w:r>
      <w:r>
        <w:rPr>
          <w:szCs w:val="24"/>
        </w:rPr>
        <w:t>as</w:t>
      </w:r>
      <w:r w:rsidRPr="00AB0EA5">
        <w:rPr>
          <w:szCs w:val="24"/>
        </w:rPr>
        <w:t xml:space="preserve"> informações contidas na </w:t>
      </w:r>
      <w:r>
        <w:rPr>
          <w:szCs w:val="24"/>
        </w:rPr>
        <w:t>DVA evidenciando sua potencialidade para diferentes análises por parte de seus usuários, bem como o intuito de explorar a geração e distribuição de riqueza dos dois setores econômicos, não encontrados em pesquisas anteriores relacionadas ao referido demonstrativo.</w:t>
      </w:r>
    </w:p>
    <w:p w14:paraId="4A9FF08B" w14:textId="77777777" w:rsidR="008970AA" w:rsidRDefault="008970AA" w:rsidP="008970AA">
      <w:pPr>
        <w:rPr>
          <w:szCs w:val="24"/>
        </w:rPr>
      </w:pPr>
      <w:r>
        <w:rPr>
          <w:szCs w:val="24"/>
        </w:rPr>
        <w:t>Ainda, associará</w:t>
      </w:r>
      <w:r w:rsidRPr="00AB0EA5">
        <w:rPr>
          <w:szCs w:val="24"/>
        </w:rPr>
        <w:t xml:space="preserve"> a ideia teórica </w:t>
      </w:r>
      <w:r>
        <w:rPr>
          <w:szCs w:val="24"/>
        </w:rPr>
        <w:t>quanto a sensibilidade</w:t>
      </w:r>
      <w:r w:rsidRPr="00AB0EA5">
        <w:rPr>
          <w:szCs w:val="24"/>
        </w:rPr>
        <w:t xml:space="preserve"> dos setores</w:t>
      </w:r>
      <w:r>
        <w:rPr>
          <w:szCs w:val="24"/>
        </w:rPr>
        <w:t xml:space="preserve"> estudados</w:t>
      </w:r>
      <w:r w:rsidRPr="00AB0EA5">
        <w:rPr>
          <w:szCs w:val="24"/>
        </w:rPr>
        <w:t xml:space="preserve"> às variações na economia</w:t>
      </w:r>
      <w:r>
        <w:rPr>
          <w:szCs w:val="24"/>
        </w:rPr>
        <w:t>, analisando os períodos de expansão e recessão</w:t>
      </w:r>
      <w:r w:rsidRPr="000E1872">
        <w:rPr>
          <w:szCs w:val="24"/>
        </w:rPr>
        <w:t xml:space="preserve"> </w:t>
      </w:r>
      <w:r>
        <w:rPr>
          <w:szCs w:val="24"/>
        </w:rPr>
        <w:t xml:space="preserve">sob </w:t>
      </w:r>
      <w:r w:rsidRPr="00AB0EA5">
        <w:rPr>
          <w:szCs w:val="24"/>
        </w:rPr>
        <w:t>a perspectiva da geração de riqueza</w:t>
      </w:r>
      <w:r>
        <w:rPr>
          <w:szCs w:val="24"/>
        </w:rPr>
        <w:t xml:space="preserve"> desses setores, percebendo quais as variações de valor adicionado gerado por estas empresas e os reflexos nos agentes econômicos evidenciados neste demonstrativo.</w:t>
      </w:r>
    </w:p>
    <w:p w14:paraId="74DBEE24" w14:textId="77777777" w:rsidR="008970AA" w:rsidRDefault="008970AA" w:rsidP="008970AA">
      <w:pPr>
        <w:ind w:firstLine="0"/>
        <w:rPr>
          <w:b/>
          <w:szCs w:val="24"/>
        </w:rPr>
      </w:pPr>
    </w:p>
    <w:p w14:paraId="344BDFA1" w14:textId="77777777" w:rsidR="008970AA" w:rsidRPr="001348A9" w:rsidRDefault="008970AA" w:rsidP="008970AA">
      <w:pPr>
        <w:ind w:firstLine="0"/>
        <w:rPr>
          <w:b/>
          <w:szCs w:val="24"/>
        </w:rPr>
      </w:pPr>
      <w:r>
        <w:rPr>
          <w:b/>
          <w:szCs w:val="24"/>
        </w:rPr>
        <w:t xml:space="preserve">2 </w:t>
      </w:r>
      <w:r w:rsidRPr="001348A9">
        <w:rPr>
          <w:b/>
          <w:szCs w:val="24"/>
        </w:rPr>
        <w:t>REFERENCIAL TEÓRICO</w:t>
      </w:r>
    </w:p>
    <w:p w14:paraId="5DCEE367" w14:textId="77777777" w:rsidR="008970AA" w:rsidRDefault="008970AA" w:rsidP="008970AA">
      <w:pPr>
        <w:ind w:firstLine="0"/>
        <w:rPr>
          <w:b/>
          <w:szCs w:val="24"/>
        </w:rPr>
      </w:pPr>
    </w:p>
    <w:p w14:paraId="64F6BDEF" w14:textId="77777777" w:rsidR="008970AA" w:rsidRPr="00931481" w:rsidRDefault="008970AA" w:rsidP="008970AA">
      <w:pPr>
        <w:ind w:firstLine="0"/>
        <w:rPr>
          <w:b/>
          <w:szCs w:val="24"/>
        </w:rPr>
      </w:pPr>
      <w:r>
        <w:rPr>
          <w:b/>
          <w:szCs w:val="24"/>
        </w:rPr>
        <w:t>2.1 Teoria dos C</w:t>
      </w:r>
      <w:r w:rsidRPr="00931481">
        <w:rPr>
          <w:b/>
          <w:szCs w:val="24"/>
        </w:rPr>
        <w:t xml:space="preserve">iclos </w:t>
      </w:r>
      <w:r>
        <w:rPr>
          <w:b/>
          <w:szCs w:val="24"/>
        </w:rPr>
        <w:t>E</w:t>
      </w:r>
      <w:r w:rsidRPr="00931481">
        <w:rPr>
          <w:b/>
          <w:szCs w:val="24"/>
        </w:rPr>
        <w:t>conômicos e os ciclos brasileiros</w:t>
      </w:r>
    </w:p>
    <w:p w14:paraId="68E159A8" w14:textId="77777777" w:rsidR="008970AA" w:rsidRDefault="008970AA" w:rsidP="008970AA">
      <w:pPr>
        <w:rPr>
          <w:szCs w:val="24"/>
        </w:rPr>
      </w:pPr>
    </w:p>
    <w:p w14:paraId="28396816" w14:textId="77777777" w:rsidR="008970AA" w:rsidRDefault="008970AA" w:rsidP="008970AA">
      <w:pPr>
        <w:rPr>
          <w:szCs w:val="24"/>
        </w:rPr>
      </w:pPr>
      <w:r>
        <w:rPr>
          <w:szCs w:val="24"/>
        </w:rPr>
        <w:t xml:space="preserve">As atividades econômicas nacionais sofrem flutuações em virtude de uma série de variáveis macroeconômicas, oscilando com períodos de expansão e recessão e a este comportamento se dá o nome de ciclos econômicos. De acordo com Mitchell (1988), um acontecimento animador na economia gera prosperidade e essa prosperidade dá existência a uma crise que após algum tempo irá se conduzir a uma reativação econômica, formando assim um ciclo. </w:t>
      </w:r>
    </w:p>
    <w:p w14:paraId="3D5AD69B" w14:textId="77777777" w:rsidR="008970AA" w:rsidRDefault="008970AA" w:rsidP="008970AA">
      <w:pPr>
        <w:rPr>
          <w:szCs w:val="24"/>
        </w:rPr>
      </w:pPr>
      <w:r>
        <w:rPr>
          <w:szCs w:val="24"/>
        </w:rPr>
        <w:t xml:space="preserve">Segundo Keynes (1988), o movimento de mudança do ciclo da expansão para crise tende a ser de modo repentino e violento, ao passo que a saída da crise para um novo momento de crescimento econômico tende a ser um pouco mais lento. Para </w:t>
      </w:r>
      <w:proofErr w:type="spellStart"/>
      <w:r>
        <w:rPr>
          <w:szCs w:val="24"/>
        </w:rPr>
        <w:t>Schumpeter</w:t>
      </w:r>
      <w:proofErr w:type="spellEnd"/>
      <w:r>
        <w:rPr>
          <w:szCs w:val="24"/>
        </w:rPr>
        <w:t xml:space="preserve"> (1985), os contratempos que virão a intervir no desenvolvimento econômico e gerarão a crise, não apenas interrompem o período de crescimento e sim colocam um fim a esse período, sendo que o novo processo de reativação econômica após a crise será um novo processo com perspectivas diferentes do anterior.</w:t>
      </w:r>
    </w:p>
    <w:p w14:paraId="60E7BE24" w14:textId="77777777" w:rsidR="008970AA" w:rsidRDefault="008970AA" w:rsidP="008970AA">
      <w:pPr>
        <w:rPr>
          <w:szCs w:val="24"/>
        </w:rPr>
      </w:pPr>
      <w:r>
        <w:rPr>
          <w:szCs w:val="24"/>
        </w:rPr>
        <w:t xml:space="preserve">Quanto a periodicidade desses acontecimentos, </w:t>
      </w:r>
      <w:proofErr w:type="spellStart"/>
      <w:r>
        <w:rPr>
          <w:szCs w:val="24"/>
        </w:rPr>
        <w:t>Schumpeter</w:t>
      </w:r>
      <w:proofErr w:type="spellEnd"/>
      <w:r>
        <w:rPr>
          <w:szCs w:val="24"/>
        </w:rPr>
        <w:t xml:space="preserve"> (1985) apresenta que esse próprio movimento de que uma expansão leva a crise, e a crise a uma nova expansão já pode ser entendido como periodicidade, no entanto falando numericamente não é possível explicar teoricamente visto que depende dos dados individuais de cada caso. O Brasil, possui definido cronologicamente pelo Comitê de Datação de Ciclos Econômicos (CODACE) os seus ciclos. Estes representam o momento em que, de acordo com estatísticas econômicas utilizadas, estabelecem os pontos de virada entre períodos de expansão e recessão (picos e vales) alternados na economia nacional (CODACE, 2017).</w:t>
      </w:r>
    </w:p>
    <w:p w14:paraId="35765002" w14:textId="77777777" w:rsidR="008970AA" w:rsidRDefault="008970AA" w:rsidP="008970AA">
      <w:pPr>
        <w:rPr>
          <w:szCs w:val="24"/>
        </w:rPr>
      </w:pPr>
      <w:r>
        <w:rPr>
          <w:szCs w:val="24"/>
        </w:rPr>
        <w:t xml:space="preserve">O CODACE é um comitê independente criado pelo Instituto Brasileiro de Economia </w:t>
      </w:r>
      <w:r>
        <w:rPr>
          <w:szCs w:val="24"/>
        </w:rPr>
        <w:lastRenderedPageBreak/>
        <w:t>(IBRE) da Fundação Getúlio Vargas (FGV), com intuito de estabelecer uma cronologia de referência para ciclos econômicos brasileiros e entre suas diversas contribuições está a de ser referência para as mais diversas pesquisas acadêmicas (CODACE, 2009).</w:t>
      </w:r>
    </w:p>
    <w:p w14:paraId="16E829E8" w14:textId="77777777" w:rsidR="008970AA" w:rsidRDefault="008970AA" w:rsidP="008970AA">
      <w:pPr>
        <w:rPr>
          <w:szCs w:val="24"/>
        </w:rPr>
      </w:pPr>
      <w:r>
        <w:rPr>
          <w:szCs w:val="24"/>
        </w:rPr>
        <w:t>De acordo com o último relatório apresentado em 2017 pelo comitê, quanto ao ciclo de expansão o país teve um período que compreendeu o segundo trimestre de 2009 até o primeiro trimestre de 2014, o ciclo seguinte compreendeu um período de recessão que foi do segundo trimestre de 2014 se estendendo até o último trimestre de 2016. Seguindo a metodologia do comitê, entende-se que, como o ponto de virada da recessão já está determinado no momento o país vive um período de expansão, que se finalizará com o próximo ponto de recessão.</w:t>
      </w:r>
    </w:p>
    <w:p w14:paraId="639C6034" w14:textId="77777777" w:rsidR="008970AA" w:rsidRDefault="008970AA" w:rsidP="008970AA">
      <w:pPr>
        <w:rPr>
          <w:szCs w:val="24"/>
        </w:rPr>
      </w:pPr>
      <w:r>
        <w:rPr>
          <w:szCs w:val="24"/>
        </w:rPr>
        <w:t>Conforme um dos aspectos levantados na Teoria dos Ciclos Econômicos, quando o período é de crise, ocorrem as demissões em massa, e muitas famílias são forçadas a restringir seus gastos no orçamento doméstico. Com esta restrição, certos gastos como roupas, móveis e diversões passam a ser contidos ou podem ser cortados sem gerar muito desconforto e isso faz diminuir a demanda de consumo (Mitche</w:t>
      </w:r>
      <w:r w:rsidR="00C65A9B">
        <w:rPr>
          <w:szCs w:val="24"/>
        </w:rPr>
        <w:t>l</w:t>
      </w:r>
      <w:r>
        <w:rPr>
          <w:szCs w:val="24"/>
        </w:rPr>
        <w:t>l, 1988). Mitchell (1988) ainda sugere que o próprio setor responsável pelos bens de primeira necessidade, como alimentos, pode sofrer melhora em períodos de expansão visto pela opção de produtos de melhores qualidades e com maiores valores por parte dos consumidores.</w:t>
      </w:r>
    </w:p>
    <w:p w14:paraId="01238A34" w14:textId="77777777" w:rsidR="008970AA" w:rsidRPr="00E679A3" w:rsidRDefault="008970AA" w:rsidP="008970AA">
      <w:pPr>
        <w:rPr>
          <w:szCs w:val="24"/>
        </w:rPr>
      </w:pPr>
      <w:r w:rsidRPr="00E679A3">
        <w:rPr>
          <w:szCs w:val="24"/>
        </w:rPr>
        <w:t xml:space="preserve"> As empresas que apresentam essas características se enquadram no que está denominado como setores de consumo cíclico e de consumo não cíclico, onde a primeira é responsável basicamente pela produção de bens duráveis e a última responsável pela produção de bens não duráveis.</w:t>
      </w:r>
      <w:r>
        <w:rPr>
          <w:szCs w:val="24"/>
        </w:rPr>
        <w:t xml:space="preserve"> Segundo a classificação setorial da </w:t>
      </w:r>
      <w:r w:rsidR="00F66016">
        <w:rPr>
          <w:szCs w:val="24"/>
        </w:rPr>
        <w:t>[</w:t>
      </w:r>
      <w:r>
        <w:rPr>
          <w:szCs w:val="24"/>
        </w:rPr>
        <w:t>B</w:t>
      </w:r>
      <w:r w:rsidR="00F66016">
        <w:rPr>
          <w:szCs w:val="24"/>
        </w:rPr>
        <w:t>]</w:t>
      </w:r>
      <w:r>
        <w:rPr>
          <w:szCs w:val="24"/>
        </w:rPr>
        <w:t>³, no setor de consumo cíclico podem ser encontradas empresas, por exemplo de vestuários, calçados, viagens e lazer, já no setor não cíclico são as de alimentos, produtos de uso pessoal, de limpeza entre outros.</w:t>
      </w:r>
    </w:p>
    <w:p w14:paraId="4B79A22A" w14:textId="77777777" w:rsidR="008970AA" w:rsidRDefault="008970AA" w:rsidP="008970AA">
      <w:pPr>
        <w:rPr>
          <w:szCs w:val="24"/>
        </w:rPr>
      </w:pPr>
      <w:r>
        <w:rPr>
          <w:szCs w:val="24"/>
        </w:rPr>
        <w:t xml:space="preserve">Nesse sentido, </w:t>
      </w:r>
      <w:proofErr w:type="spellStart"/>
      <w:r>
        <w:rPr>
          <w:szCs w:val="24"/>
        </w:rPr>
        <w:t>Pandini</w:t>
      </w:r>
      <w:proofErr w:type="spellEnd"/>
      <w:r>
        <w:rPr>
          <w:szCs w:val="24"/>
        </w:rPr>
        <w:t xml:space="preserve">, </w:t>
      </w:r>
      <w:proofErr w:type="spellStart"/>
      <w:r>
        <w:rPr>
          <w:szCs w:val="24"/>
        </w:rPr>
        <w:t>Stüpp</w:t>
      </w:r>
      <w:proofErr w:type="spellEnd"/>
      <w:r>
        <w:rPr>
          <w:szCs w:val="24"/>
        </w:rPr>
        <w:t xml:space="preserve"> e </w:t>
      </w:r>
      <w:proofErr w:type="spellStart"/>
      <w:r>
        <w:rPr>
          <w:szCs w:val="24"/>
        </w:rPr>
        <w:t>Fabre</w:t>
      </w:r>
      <w:proofErr w:type="spellEnd"/>
      <w:r>
        <w:rPr>
          <w:szCs w:val="24"/>
        </w:rPr>
        <w:t xml:space="preserve"> (2018) verificaram o impacto das variáveis macroeconômicas nos indicadores econômico-financeiros das empresas desses setores no período de 2008 a 2015, onde por meio da correlação canônica apontou resultados que o setor de consumo cíclico é mais afetado pelo desempenho da economia que o de consumo não cíclico quanto aos indicadores econômicos financeiros, onde a va</w:t>
      </w:r>
      <w:r w:rsidR="00F66016">
        <w:rPr>
          <w:szCs w:val="24"/>
        </w:rPr>
        <w:t>riação da receita operacional lí</w:t>
      </w:r>
      <w:r>
        <w:rPr>
          <w:szCs w:val="24"/>
        </w:rPr>
        <w:t>quida foi apontada como a variável de desempenho mais impactada.</w:t>
      </w:r>
    </w:p>
    <w:p w14:paraId="144F04B8" w14:textId="77777777" w:rsidR="008970AA" w:rsidRDefault="008970AA" w:rsidP="008970AA">
      <w:pPr>
        <w:ind w:firstLine="0"/>
        <w:rPr>
          <w:szCs w:val="24"/>
        </w:rPr>
      </w:pPr>
    </w:p>
    <w:p w14:paraId="3674D585" w14:textId="77777777" w:rsidR="008970AA" w:rsidRPr="00931481" w:rsidRDefault="008970AA" w:rsidP="008970AA">
      <w:pPr>
        <w:ind w:firstLine="0"/>
        <w:rPr>
          <w:b/>
          <w:szCs w:val="24"/>
        </w:rPr>
      </w:pPr>
      <w:r>
        <w:rPr>
          <w:b/>
          <w:szCs w:val="24"/>
        </w:rPr>
        <w:t xml:space="preserve">2.2 </w:t>
      </w:r>
      <w:r w:rsidRPr="00931481">
        <w:rPr>
          <w:b/>
          <w:szCs w:val="24"/>
        </w:rPr>
        <w:t xml:space="preserve">Análise da demonstração do valor adicionado </w:t>
      </w:r>
    </w:p>
    <w:p w14:paraId="3B301E84" w14:textId="77777777" w:rsidR="008970AA" w:rsidRDefault="008970AA" w:rsidP="008970AA">
      <w:pPr>
        <w:rPr>
          <w:szCs w:val="24"/>
        </w:rPr>
      </w:pPr>
    </w:p>
    <w:p w14:paraId="400F8791" w14:textId="77777777" w:rsidR="008970AA" w:rsidRDefault="008970AA" w:rsidP="008970AA">
      <w:pPr>
        <w:rPr>
          <w:szCs w:val="24"/>
        </w:rPr>
      </w:pPr>
      <w:r>
        <w:rPr>
          <w:szCs w:val="24"/>
        </w:rPr>
        <w:t>Quem percebe a contabilidade com os olhos de hoje sem refletir o seu passado, fica alheio as evoluções que este ramo sofreu ao longo dos anos. Mudanças estas que acompanharam as transformações da realidade comercial, industrial e as novas necessidades econômicas, sociais e de informação que buscaram atender entre outros aos novos usuários da informação contábil (Santos, 2007).</w:t>
      </w:r>
    </w:p>
    <w:p w14:paraId="2ED0A8CF" w14:textId="77777777" w:rsidR="008970AA" w:rsidRPr="00A5307F" w:rsidRDefault="008970AA" w:rsidP="008970AA">
      <w:pPr>
        <w:rPr>
          <w:szCs w:val="24"/>
        </w:rPr>
      </w:pPr>
      <w:r>
        <w:rPr>
          <w:szCs w:val="24"/>
        </w:rPr>
        <w:t xml:space="preserve">Dentre as novas perspectivas contábeis, surge uma demonstração com visão diferenciada, que envolve a responsabilidade social e informações de natureza econômica denominada Demonstração do Valor Adicionado (DVA). Ela evidencia o quanto de riqueza foi criada por uma empresa, quanto de valor ela agrega aos insumos que adquiriu e como ela distribui essa riqueza entre os agentes econômicos que estão envolvidos nesse processo (De Luca </w:t>
      </w:r>
      <w:r w:rsidRPr="00A5307F">
        <w:rPr>
          <w:i/>
          <w:szCs w:val="24"/>
        </w:rPr>
        <w:t>et al</w:t>
      </w:r>
      <w:r>
        <w:rPr>
          <w:szCs w:val="24"/>
        </w:rPr>
        <w:t>., 2009).</w:t>
      </w:r>
    </w:p>
    <w:p w14:paraId="15E8CC97" w14:textId="77777777" w:rsidR="008970AA" w:rsidRDefault="008970AA" w:rsidP="008970AA">
      <w:pPr>
        <w:rPr>
          <w:szCs w:val="24"/>
        </w:rPr>
      </w:pPr>
      <w:r>
        <w:rPr>
          <w:szCs w:val="24"/>
        </w:rPr>
        <w:lastRenderedPageBreak/>
        <w:t>Por um período essa demonstração foi facultativa no Brasil, porém com a publicação da lei 11.638/2007, que alterou e revogou alguns pontos da lei das S.A (6.404/76) e da lei 6.385/76, a DVA passou a compor a lista de demonstrações de publicação obrigatória para as empresas de capital aberto. Posteriormente, ocorreu a publicação pelo Comitê de Pronunciamentos Contábeis do pronunciamento técnico CPC 09 que veio para orientar a elaboração desta.</w:t>
      </w:r>
    </w:p>
    <w:p w14:paraId="1EFD89F6" w14:textId="77777777" w:rsidR="008970AA" w:rsidRDefault="008970AA" w:rsidP="008970AA">
      <w:pPr>
        <w:rPr>
          <w:szCs w:val="24"/>
        </w:rPr>
      </w:pPr>
      <w:r>
        <w:rPr>
          <w:szCs w:val="24"/>
        </w:rPr>
        <w:t>As informações que podem ser extraídas da DVA, assim como as já contidas nas demonstrações tradicionais, são uteis para tomada de decisão bem como de análises comparativas. Ela pode servir de análise isoladamente, percebendo o valor da riqueza gerada, pode ser comparada ano a ano pela empresa além de visualizar como está sendo feita a distribuição dessa riqueza (Santos, 2007.).</w:t>
      </w:r>
    </w:p>
    <w:p w14:paraId="7FA25251" w14:textId="77777777" w:rsidR="008970AA" w:rsidRDefault="008970AA" w:rsidP="008970AA">
      <w:pPr>
        <w:rPr>
          <w:szCs w:val="24"/>
        </w:rPr>
      </w:pPr>
      <w:r>
        <w:rPr>
          <w:szCs w:val="24"/>
        </w:rPr>
        <w:t xml:space="preserve">Alguns indicadores que podem ser extraídos da análise da DVA são encontrados na obra de </w:t>
      </w:r>
      <w:proofErr w:type="spellStart"/>
      <w:r>
        <w:rPr>
          <w:szCs w:val="24"/>
        </w:rPr>
        <w:t>De</w:t>
      </w:r>
      <w:proofErr w:type="spellEnd"/>
      <w:r>
        <w:rPr>
          <w:szCs w:val="24"/>
        </w:rPr>
        <w:t xml:space="preserve"> Luca </w:t>
      </w:r>
      <w:r w:rsidRPr="00A94789">
        <w:rPr>
          <w:i/>
          <w:szCs w:val="24"/>
        </w:rPr>
        <w:t>et.al</w:t>
      </w:r>
      <w:r>
        <w:rPr>
          <w:szCs w:val="24"/>
        </w:rPr>
        <w:t xml:space="preserve"> (2009), que são indicadores de geração de riqueza, de distribuição de riqueza e indicadores de participação na economia, assim sendo, essa demonstração pode servir de análise para as mais diferentes conjunturas em que a empresa esteja inserida.</w:t>
      </w:r>
    </w:p>
    <w:p w14:paraId="113CF739" w14:textId="77777777" w:rsidR="008970AA" w:rsidRDefault="008970AA" w:rsidP="008970AA">
      <w:pPr>
        <w:rPr>
          <w:szCs w:val="24"/>
        </w:rPr>
      </w:pPr>
      <w:r>
        <w:rPr>
          <w:szCs w:val="24"/>
        </w:rPr>
        <w:t>Pesquisas que estejam atreladas a análise desse demonstrativo contábil puderam ser encontrados em estudos como de Tinoco, Moraes, Peleias, Claro e João (2008) que estudaram a DVA de empresas brasileiras de setores distintos da economia com objetivo de identificar, mensurar e comparar a carga tributária brasileira, buscando análise de causa e efeito. Como resultados obtiveram que é possível o uso da DVA como instrumento de medição da carga tributária nos diversos setores, bem como, que alguns destes sofrem com elevada carga tributária e isso consequentemente é transferido aos consumidores, como no caso dos setores de combustível, energia e telecomunicações.</w:t>
      </w:r>
    </w:p>
    <w:p w14:paraId="6AE4FAAE" w14:textId="77777777" w:rsidR="008970AA" w:rsidRDefault="008970AA" w:rsidP="008970AA">
      <w:pPr>
        <w:rPr>
          <w:szCs w:val="24"/>
        </w:rPr>
      </w:pPr>
      <w:r>
        <w:rPr>
          <w:szCs w:val="24"/>
        </w:rPr>
        <w:t>O estudo de Santos, Cunha, De Luca e Ribeiro (2013), que serviram de base para esta pesquisa, analisaram o comportamento da riqueza gerada e distribuída nos períodos dos governos FHC e Lula nos anos de 1996 a 2009, como amostra foram utilizadas 155 empresas no período FHC e 320 no governo Lula. Nos resultados encontrados foi visualizado um crescimento médio na geração de riqueza em cada ano dos dois governos, e na distribuição da riqueza ficou evidente a maior participação para o governo, entre outros aspectos.</w:t>
      </w:r>
    </w:p>
    <w:p w14:paraId="6D71CF28" w14:textId="77777777" w:rsidR="008970AA" w:rsidRDefault="008970AA" w:rsidP="008970AA">
      <w:pPr>
        <w:rPr>
          <w:szCs w:val="24"/>
        </w:rPr>
      </w:pPr>
      <w:r>
        <w:rPr>
          <w:szCs w:val="24"/>
        </w:rPr>
        <w:t xml:space="preserve">No estudo de Wink, Severo e Dorneles (2015), foi analisado a distribuição do valor adicionado aos agentes de produção de trabalho e capital nos setores da Auto indústria e de Bens de Capital no período de 2008 a 2012 onde a amostra totalizou 6 empresas e entre os resultados encontrados constatou-se que, de forma geral, as companhias distribuíram mais valor adicionado ao pessoal que aos de capitais, com algumas outras considerações referentes aos pontos de cada empresa analisada em relação a sua participação na amostra por setor. </w:t>
      </w:r>
    </w:p>
    <w:p w14:paraId="42252BBD" w14:textId="77777777" w:rsidR="008970AA" w:rsidRDefault="008970AA" w:rsidP="008970AA">
      <w:pPr>
        <w:rPr>
          <w:szCs w:val="24"/>
        </w:rPr>
      </w:pPr>
      <w:proofErr w:type="spellStart"/>
      <w:r>
        <w:rPr>
          <w:szCs w:val="24"/>
        </w:rPr>
        <w:t>Guesser</w:t>
      </w:r>
      <w:proofErr w:type="spellEnd"/>
      <w:r>
        <w:rPr>
          <w:szCs w:val="24"/>
        </w:rPr>
        <w:t xml:space="preserve">, </w:t>
      </w:r>
      <w:proofErr w:type="spellStart"/>
      <w:r>
        <w:rPr>
          <w:szCs w:val="24"/>
        </w:rPr>
        <w:t>Fedrigo</w:t>
      </w:r>
      <w:proofErr w:type="spellEnd"/>
      <w:r>
        <w:rPr>
          <w:szCs w:val="24"/>
        </w:rPr>
        <w:t xml:space="preserve"> e </w:t>
      </w:r>
      <w:proofErr w:type="spellStart"/>
      <w:r>
        <w:rPr>
          <w:szCs w:val="24"/>
        </w:rPr>
        <w:t>Einsweiller</w:t>
      </w:r>
      <w:proofErr w:type="spellEnd"/>
      <w:r>
        <w:rPr>
          <w:szCs w:val="24"/>
        </w:rPr>
        <w:t xml:space="preserve"> (2018), analisaram e descreveram a evolução da riqueza gerada e distribuída referente as 23 empresas catarinenses de capital aberto na BMF&amp;BOVESPA no período de 2010 a 2015, agrupadas de forma global, por ramos de atividade e por setor. De modo geral os resultados mostraram um crescimento no valor adicionado entre os anos de 2010 e 2015, e maior parte da distribuição de valor adicionado está em pessoal e a remuneração de capitais próprios é a que menos distribui.</w:t>
      </w:r>
    </w:p>
    <w:p w14:paraId="270BD564" w14:textId="77777777" w:rsidR="008970AA" w:rsidRDefault="008970AA" w:rsidP="008970AA">
      <w:pPr>
        <w:rPr>
          <w:szCs w:val="24"/>
        </w:rPr>
      </w:pPr>
      <w:r>
        <w:rPr>
          <w:szCs w:val="24"/>
        </w:rPr>
        <w:t>Já o estudo de Goulart, Ferreira, Araújo e Ferreira</w:t>
      </w:r>
      <w:r>
        <w:rPr>
          <w:i/>
          <w:szCs w:val="24"/>
        </w:rPr>
        <w:t xml:space="preserve"> </w:t>
      </w:r>
      <w:r>
        <w:rPr>
          <w:szCs w:val="24"/>
        </w:rPr>
        <w:t xml:space="preserve">(2018), analisaram a distribuição da riqueza com ênfase ao grupo pessoal nas demonstrações referentes aos exercícios sociais de 2015, </w:t>
      </w:r>
      <w:r>
        <w:rPr>
          <w:szCs w:val="24"/>
        </w:rPr>
        <w:lastRenderedPageBreak/>
        <w:t xml:space="preserve">2014 e 2013 por empresas classificadas como as melhores para trabalhar. Dentre os resultados encontrados temos que nos três anos, o maior montante médio de destinação foi ao grupo pessoal, apontando resultado divergente de estudo que trouxe o governo como maior parcela na distribuição. </w:t>
      </w:r>
    </w:p>
    <w:p w14:paraId="0C062E1B" w14:textId="77777777" w:rsidR="008970AA" w:rsidRDefault="008970AA" w:rsidP="008970AA">
      <w:pPr>
        <w:rPr>
          <w:szCs w:val="24"/>
        </w:rPr>
      </w:pPr>
      <w:r>
        <w:rPr>
          <w:szCs w:val="24"/>
        </w:rPr>
        <w:t xml:space="preserve">Com isso, assim como nos estudos anteriores, a presente pesquisa utiliza a DVA como um instrumento de análise, no entanto busca conectar este demonstrativo contábil de forma interdisciplinar, na tentativa de estabelecer uma conversa entre a Ciência Contábil e a Economia por meio de teoria e informações evidenciadas. </w:t>
      </w:r>
    </w:p>
    <w:p w14:paraId="64236DF1" w14:textId="77777777" w:rsidR="00AE610B" w:rsidRDefault="00AE610B" w:rsidP="00AE610B">
      <w:pPr>
        <w:rPr>
          <w:szCs w:val="24"/>
        </w:rPr>
      </w:pPr>
    </w:p>
    <w:p w14:paraId="3E3D8FDE" w14:textId="77777777" w:rsidR="008970AA" w:rsidRDefault="008970AA" w:rsidP="008970AA">
      <w:pPr>
        <w:ind w:firstLine="0"/>
        <w:rPr>
          <w:b/>
          <w:szCs w:val="24"/>
        </w:rPr>
      </w:pPr>
      <w:r>
        <w:rPr>
          <w:b/>
          <w:szCs w:val="24"/>
        </w:rPr>
        <w:t xml:space="preserve">3 </w:t>
      </w:r>
      <w:r w:rsidRPr="00EA3054">
        <w:rPr>
          <w:b/>
          <w:szCs w:val="24"/>
        </w:rPr>
        <w:t>METODOLOGIA</w:t>
      </w:r>
    </w:p>
    <w:p w14:paraId="5AC4FEE7" w14:textId="77777777" w:rsidR="008970AA" w:rsidRDefault="008970AA" w:rsidP="008970AA">
      <w:pPr>
        <w:rPr>
          <w:szCs w:val="24"/>
        </w:rPr>
      </w:pPr>
    </w:p>
    <w:p w14:paraId="5273DA27" w14:textId="77777777" w:rsidR="0075206B" w:rsidRDefault="008970AA" w:rsidP="001F5471">
      <w:pPr>
        <w:rPr>
          <w:szCs w:val="24"/>
        </w:rPr>
      </w:pPr>
      <w:r>
        <w:rPr>
          <w:szCs w:val="24"/>
        </w:rPr>
        <w:t>Esta pesquisa, que tem como objetivo analisar a</w:t>
      </w:r>
      <w:r w:rsidRPr="00C53222">
        <w:rPr>
          <w:szCs w:val="24"/>
        </w:rPr>
        <w:t xml:space="preserve"> variação da riqueza gerada e distribuída entre os agentes econômicos nos setores de consumo cíclico e não cíclico nos períodos d</w:t>
      </w:r>
      <w:r>
        <w:rPr>
          <w:szCs w:val="24"/>
        </w:rPr>
        <w:t xml:space="preserve">e expansão e recessão econômica, selecionou todas as empresas classificadas pela [B]³ em ambos os setores e que publicaram a DVA em todos os anos dos períodos </w:t>
      </w:r>
      <w:r w:rsidR="001F5471">
        <w:rPr>
          <w:szCs w:val="24"/>
        </w:rPr>
        <w:t>analisados. Esses</w:t>
      </w:r>
      <w:r>
        <w:rPr>
          <w:szCs w:val="24"/>
        </w:rPr>
        <w:t xml:space="preserve"> setores foram selecionados com base no aspecto da Teoria dos Ciclos Econômicos que sugere que o setor de consumo cíclico tende a ser mais afetado em períodos de recessão que o setor não cíclico, visto que o último atende a bens de primeira necessidade. </w:t>
      </w:r>
      <w:r w:rsidR="001F5471">
        <w:rPr>
          <w:szCs w:val="24"/>
        </w:rPr>
        <w:t>A T</w:t>
      </w:r>
      <w:r>
        <w:rPr>
          <w:szCs w:val="24"/>
        </w:rPr>
        <w:t>abela 1</w:t>
      </w:r>
      <w:r w:rsidR="001F5471">
        <w:rPr>
          <w:szCs w:val="24"/>
        </w:rPr>
        <w:t xml:space="preserve"> apresenta como foi composta a amostra final</w:t>
      </w:r>
      <w:r>
        <w:rPr>
          <w:szCs w:val="24"/>
        </w:rPr>
        <w:t>.</w:t>
      </w:r>
    </w:p>
    <w:p w14:paraId="4184FC22" w14:textId="77777777" w:rsidR="0075206B" w:rsidRDefault="0075206B" w:rsidP="0075206B">
      <w:pPr>
        <w:rPr>
          <w:sz w:val="20"/>
        </w:rPr>
      </w:pPr>
    </w:p>
    <w:p w14:paraId="25C988C2" w14:textId="77777777" w:rsidR="001F5471" w:rsidRPr="00256B88" w:rsidRDefault="00AF404F" w:rsidP="00E7557D">
      <w:pPr>
        <w:spacing w:line="259" w:lineRule="auto"/>
        <w:ind w:firstLine="0"/>
        <w:rPr>
          <w:sz w:val="20"/>
        </w:rPr>
      </w:pPr>
      <w:r>
        <w:rPr>
          <w:sz w:val="20"/>
        </w:rPr>
        <w:t>Tabela 1</w:t>
      </w:r>
      <w:r w:rsidR="001F5471" w:rsidRPr="00256B88">
        <w:rPr>
          <w:sz w:val="20"/>
        </w:rPr>
        <w:t>. Formação da amostra</w:t>
      </w:r>
    </w:p>
    <w:tbl>
      <w:tblPr>
        <w:tblW w:w="9356" w:type="dxa"/>
        <w:tblCellMar>
          <w:left w:w="70" w:type="dxa"/>
          <w:right w:w="70" w:type="dxa"/>
        </w:tblCellMar>
        <w:tblLook w:val="04A0" w:firstRow="1" w:lastRow="0" w:firstColumn="1" w:lastColumn="0" w:noHBand="0" w:noVBand="1"/>
      </w:tblPr>
      <w:tblGrid>
        <w:gridCol w:w="5615"/>
        <w:gridCol w:w="2026"/>
        <w:gridCol w:w="1715"/>
      </w:tblGrid>
      <w:tr w:rsidR="0027498E" w:rsidRPr="0027498E" w14:paraId="28D0AABB" w14:textId="77777777" w:rsidTr="00A7660B">
        <w:trPr>
          <w:trHeight w:val="283"/>
        </w:trPr>
        <w:tc>
          <w:tcPr>
            <w:tcW w:w="5615" w:type="dxa"/>
            <w:tcBorders>
              <w:top w:val="single" w:sz="4" w:space="0" w:color="auto"/>
              <w:left w:val="nil"/>
              <w:bottom w:val="single" w:sz="4" w:space="0" w:color="auto"/>
              <w:right w:val="single" w:sz="4" w:space="0" w:color="auto"/>
            </w:tcBorders>
            <w:shd w:val="clear" w:color="auto" w:fill="auto"/>
            <w:noWrap/>
            <w:vAlign w:val="bottom"/>
            <w:hideMark/>
          </w:tcPr>
          <w:p w14:paraId="3F903D3D" w14:textId="77777777" w:rsidR="0027498E" w:rsidRPr="0027498E" w:rsidRDefault="0027498E" w:rsidP="0027498E">
            <w:pPr>
              <w:widowControl/>
              <w:suppressLineNumbers w:val="0"/>
              <w:suppressAutoHyphens w:val="0"/>
              <w:ind w:firstLine="0"/>
              <w:jc w:val="left"/>
              <w:rPr>
                <w:color w:val="000000"/>
                <w:sz w:val="20"/>
              </w:rPr>
            </w:pPr>
            <w:r w:rsidRPr="0027498E">
              <w:rPr>
                <w:color w:val="000000"/>
                <w:sz w:val="20"/>
              </w:rPr>
              <w:t> </w:t>
            </w:r>
          </w:p>
        </w:tc>
        <w:tc>
          <w:tcPr>
            <w:tcW w:w="2026" w:type="dxa"/>
            <w:tcBorders>
              <w:top w:val="single" w:sz="4" w:space="0" w:color="auto"/>
              <w:left w:val="nil"/>
              <w:bottom w:val="single" w:sz="4" w:space="0" w:color="auto"/>
              <w:right w:val="single" w:sz="4" w:space="0" w:color="auto"/>
            </w:tcBorders>
            <w:shd w:val="clear" w:color="auto" w:fill="auto"/>
            <w:noWrap/>
            <w:vAlign w:val="bottom"/>
            <w:hideMark/>
          </w:tcPr>
          <w:p w14:paraId="1B8A20EF" w14:textId="77777777" w:rsidR="0027498E" w:rsidRPr="00A7660B" w:rsidRDefault="0027498E" w:rsidP="0027498E">
            <w:pPr>
              <w:widowControl/>
              <w:suppressLineNumbers w:val="0"/>
              <w:suppressAutoHyphens w:val="0"/>
              <w:ind w:firstLine="0"/>
              <w:jc w:val="center"/>
              <w:rPr>
                <w:b/>
                <w:bCs/>
                <w:color w:val="000000"/>
                <w:sz w:val="20"/>
              </w:rPr>
            </w:pPr>
            <w:r w:rsidRPr="00A7660B">
              <w:rPr>
                <w:b/>
                <w:bCs/>
                <w:color w:val="000000"/>
                <w:sz w:val="20"/>
              </w:rPr>
              <w:t>Cíclico</w:t>
            </w:r>
          </w:p>
        </w:tc>
        <w:tc>
          <w:tcPr>
            <w:tcW w:w="1715" w:type="dxa"/>
            <w:tcBorders>
              <w:top w:val="single" w:sz="4" w:space="0" w:color="auto"/>
              <w:left w:val="nil"/>
              <w:bottom w:val="single" w:sz="4" w:space="0" w:color="auto"/>
              <w:right w:val="nil"/>
            </w:tcBorders>
            <w:shd w:val="clear" w:color="auto" w:fill="auto"/>
            <w:noWrap/>
            <w:vAlign w:val="bottom"/>
            <w:hideMark/>
          </w:tcPr>
          <w:p w14:paraId="1D1E2726" w14:textId="77777777" w:rsidR="0027498E" w:rsidRPr="00A7660B" w:rsidRDefault="0027498E" w:rsidP="0027498E">
            <w:pPr>
              <w:widowControl/>
              <w:suppressLineNumbers w:val="0"/>
              <w:suppressAutoHyphens w:val="0"/>
              <w:ind w:firstLine="0"/>
              <w:jc w:val="center"/>
              <w:rPr>
                <w:b/>
                <w:bCs/>
                <w:color w:val="000000"/>
                <w:sz w:val="20"/>
              </w:rPr>
            </w:pPr>
            <w:r w:rsidRPr="00A7660B">
              <w:rPr>
                <w:b/>
                <w:bCs/>
                <w:color w:val="000000"/>
                <w:sz w:val="20"/>
              </w:rPr>
              <w:t>Não Cíclico</w:t>
            </w:r>
          </w:p>
        </w:tc>
      </w:tr>
      <w:tr w:rsidR="0027498E" w:rsidRPr="0027498E" w14:paraId="6D700ACF" w14:textId="77777777" w:rsidTr="00A7660B">
        <w:trPr>
          <w:trHeight w:val="283"/>
        </w:trPr>
        <w:tc>
          <w:tcPr>
            <w:tcW w:w="5615" w:type="dxa"/>
            <w:tcBorders>
              <w:top w:val="nil"/>
              <w:left w:val="nil"/>
              <w:bottom w:val="nil"/>
              <w:right w:val="single" w:sz="4" w:space="0" w:color="auto"/>
            </w:tcBorders>
            <w:shd w:val="clear" w:color="auto" w:fill="auto"/>
            <w:noWrap/>
            <w:vAlign w:val="bottom"/>
            <w:hideMark/>
          </w:tcPr>
          <w:p w14:paraId="68329E2D" w14:textId="77777777" w:rsidR="0027498E" w:rsidRPr="0027498E" w:rsidRDefault="0027498E" w:rsidP="0027498E">
            <w:pPr>
              <w:widowControl/>
              <w:suppressLineNumbers w:val="0"/>
              <w:suppressAutoHyphens w:val="0"/>
              <w:ind w:firstLine="0"/>
              <w:jc w:val="left"/>
              <w:rPr>
                <w:color w:val="000000"/>
                <w:sz w:val="20"/>
              </w:rPr>
            </w:pPr>
            <w:r w:rsidRPr="0027498E">
              <w:rPr>
                <w:color w:val="000000"/>
                <w:sz w:val="20"/>
              </w:rPr>
              <w:t>População</w:t>
            </w:r>
          </w:p>
        </w:tc>
        <w:tc>
          <w:tcPr>
            <w:tcW w:w="2026" w:type="dxa"/>
            <w:tcBorders>
              <w:top w:val="nil"/>
              <w:left w:val="nil"/>
              <w:bottom w:val="nil"/>
              <w:right w:val="single" w:sz="4" w:space="0" w:color="auto"/>
            </w:tcBorders>
            <w:shd w:val="clear" w:color="auto" w:fill="auto"/>
            <w:noWrap/>
            <w:vAlign w:val="bottom"/>
            <w:hideMark/>
          </w:tcPr>
          <w:p w14:paraId="78EB00CE" w14:textId="77777777" w:rsidR="0027498E" w:rsidRPr="0027498E" w:rsidRDefault="0027498E" w:rsidP="0027498E">
            <w:pPr>
              <w:widowControl/>
              <w:suppressLineNumbers w:val="0"/>
              <w:suppressAutoHyphens w:val="0"/>
              <w:ind w:firstLine="0"/>
              <w:jc w:val="center"/>
              <w:rPr>
                <w:color w:val="000000"/>
                <w:sz w:val="20"/>
              </w:rPr>
            </w:pPr>
            <w:r w:rsidRPr="0027498E">
              <w:rPr>
                <w:color w:val="000000"/>
                <w:sz w:val="20"/>
              </w:rPr>
              <w:t>81</w:t>
            </w:r>
          </w:p>
        </w:tc>
        <w:tc>
          <w:tcPr>
            <w:tcW w:w="1715" w:type="dxa"/>
            <w:tcBorders>
              <w:top w:val="nil"/>
              <w:left w:val="nil"/>
              <w:bottom w:val="nil"/>
              <w:right w:val="nil"/>
            </w:tcBorders>
            <w:shd w:val="clear" w:color="auto" w:fill="auto"/>
            <w:noWrap/>
            <w:vAlign w:val="bottom"/>
            <w:hideMark/>
          </w:tcPr>
          <w:p w14:paraId="6A8AE495" w14:textId="77777777" w:rsidR="0027498E" w:rsidRPr="0027498E" w:rsidRDefault="0027498E" w:rsidP="0027498E">
            <w:pPr>
              <w:widowControl/>
              <w:suppressLineNumbers w:val="0"/>
              <w:suppressAutoHyphens w:val="0"/>
              <w:ind w:firstLine="0"/>
              <w:jc w:val="center"/>
              <w:rPr>
                <w:color w:val="000000"/>
                <w:sz w:val="20"/>
              </w:rPr>
            </w:pPr>
            <w:r w:rsidRPr="0027498E">
              <w:rPr>
                <w:color w:val="000000"/>
                <w:sz w:val="20"/>
              </w:rPr>
              <w:t>25</w:t>
            </w:r>
          </w:p>
        </w:tc>
      </w:tr>
      <w:tr w:rsidR="0027498E" w:rsidRPr="0027498E" w14:paraId="12B6D795" w14:textId="77777777" w:rsidTr="00A7660B">
        <w:trPr>
          <w:trHeight w:val="283"/>
        </w:trPr>
        <w:tc>
          <w:tcPr>
            <w:tcW w:w="5615" w:type="dxa"/>
            <w:tcBorders>
              <w:top w:val="nil"/>
              <w:left w:val="nil"/>
              <w:bottom w:val="nil"/>
              <w:right w:val="single" w:sz="4" w:space="0" w:color="auto"/>
            </w:tcBorders>
            <w:shd w:val="clear" w:color="auto" w:fill="auto"/>
            <w:noWrap/>
            <w:vAlign w:val="bottom"/>
            <w:hideMark/>
          </w:tcPr>
          <w:p w14:paraId="7E5B8980" w14:textId="77777777" w:rsidR="0027498E" w:rsidRPr="0027498E" w:rsidRDefault="0027498E" w:rsidP="0027498E">
            <w:pPr>
              <w:widowControl/>
              <w:suppressLineNumbers w:val="0"/>
              <w:suppressAutoHyphens w:val="0"/>
              <w:ind w:firstLine="0"/>
              <w:jc w:val="left"/>
              <w:rPr>
                <w:color w:val="000000"/>
                <w:sz w:val="20"/>
              </w:rPr>
            </w:pPr>
            <w:r w:rsidRPr="0027498E">
              <w:rPr>
                <w:color w:val="000000"/>
                <w:sz w:val="20"/>
              </w:rPr>
              <w:t>(-) DVA de um ou mais períodos não disponível</w:t>
            </w:r>
          </w:p>
        </w:tc>
        <w:tc>
          <w:tcPr>
            <w:tcW w:w="2026" w:type="dxa"/>
            <w:tcBorders>
              <w:top w:val="nil"/>
              <w:left w:val="nil"/>
              <w:bottom w:val="nil"/>
              <w:right w:val="single" w:sz="4" w:space="0" w:color="auto"/>
            </w:tcBorders>
            <w:shd w:val="clear" w:color="auto" w:fill="auto"/>
            <w:noWrap/>
            <w:vAlign w:val="bottom"/>
            <w:hideMark/>
          </w:tcPr>
          <w:p w14:paraId="18B6FFB2" w14:textId="77777777" w:rsidR="0027498E" w:rsidRPr="0027498E" w:rsidRDefault="0027498E" w:rsidP="0027498E">
            <w:pPr>
              <w:widowControl/>
              <w:suppressLineNumbers w:val="0"/>
              <w:suppressAutoHyphens w:val="0"/>
              <w:ind w:firstLine="0"/>
              <w:jc w:val="center"/>
              <w:rPr>
                <w:color w:val="000000"/>
                <w:sz w:val="20"/>
              </w:rPr>
            </w:pPr>
            <w:r w:rsidRPr="0027498E">
              <w:rPr>
                <w:color w:val="000000"/>
                <w:sz w:val="20"/>
              </w:rPr>
              <w:t>15</w:t>
            </w:r>
          </w:p>
        </w:tc>
        <w:tc>
          <w:tcPr>
            <w:tcW w:w="1715" w:type="dxa"/>
            <w:tcBorders>
              <w:top w:val="nil"/>
              <w:left w:val="nil"/>
              <w:bottom w:val="nil"/>
              <w:right w:val="nil"/>
            </w:tcBorders>
            <w:shd w:val="clear" w:color="auto" w:fill="auto"/>
            <w:noWrap/>
            <w:vAlign w:val="bottom"/>
            <w:hideMark/>
          </w:tcPr>
          <w:p w14:paraId="3F7BFD72" w14:textId="77777777" w:rsidR="0027498E" w:rsidRPr="0027498E" w:rsidRDefault="0027498E" w:rsidP="0027498E">
            <w:pPr>
              <w:widowControl/>
              <w:suppressLineNumbers w:val="0"/>
              <w:suppressAutoHyphens w:val="0"/>
              <w:ind w:firstLine="0"/>
              <w:jc w:val="center"/>
              <w:rPr>
                <w:color w:val="000000"/>
                <w:sz w:val="20"/>
              </w:rPr>
            </w:pPr>
            <w:r w:rsidRPr="0027498E">
              <w:rPr>
                <w:color w:val="000000"/>
                <w:sz w:val="20"/>
              </w:rPr>
              <w:t>6</w:t>
            </w:r>
          </w:p>
        </w:tc>
      </w:tr>
      <w:tr w:rsidR="0027498E" w:rsidRPr="0027498E" w14:paraId="7D957071" w14:textId="77777777" w:rsidTr="00A7660B">
        <w:trPr>
          <w:trHeight w:val="283"/>
        </w:trPr>
        <w:tc>
          <w:tcPr>
            <w:tcW w:w="5615" w:type="dxa"/>
            <w:tcBorders>
              <w:top w:val="nil"/>
              <w:left w:val="nil"/>
              <w:bottom w:val="nil"/>
              <w:right w:val="single" w:sz="4" w:space="0" w:color="auto"/>
            </w:tcBorders>
            <w:shd w:val="clear" w:color="auto" w:fill="auto"/>
            <w:noWrap/>
            <w:vAlign w:val="bottom"/>
            <w:hideMark/>
          </w:tcPr>
          <w:p w14:paraId="0B792874" w14:textId="77777777" w:rsidR="0027498E" w:rsidRPr="0027498E" w:rsidRDefault="0027498E" w:rsidP="0027498E">
            <w:pPr>
              <w:widowControl/>
              <w:suppressLineNumbers w:val="0"/>
              <w:suppressAutoHyphens w:val="0"/>
              <w:ind w:firstLine="0"/>
              <w:jc w:val="left"/>
              <w:rPr>
                <w:color w:val="000000"/>
                <w:sz w:val="20"/>
              </w:rPr>
            </w:pPr>
            <w:r w:rsidRPr="0027498E">
              <w:rPr>
                <w:color w:val="000000"/>
                <w:sz w:val="20"/>
              </w:rPr>
              <w:t xml:space="preserve">(-) DVA publicada não corresponde ao ano </w:t>
            </w:r>
            <w:proofErr w:type="spellStart"/>
            <w:r w:rsidRPr="0027498E">
              <w:rPr>
                <w:color w:val="000000"/>
                <w:sz w:val="20"/>
              </w:rPr>
              <w:t>cívil</w:t>
            </w:r>
            <w:proofErr w:type="spellEnd"/>
          </w:p>
        </w:tc>
        <w:tc>
          <w:tcPr>
            <w:tcW w:w="2026" w:type="dxa"/>
            <w:tcBorders>
              <w:top w:val="nil"/>
              <w:left w:val="nil"/>
              <w:bottom w:val="nil"/>
              <w:right w:val="single" w:sz="4" w:space="0" w:color="auto"/>
            </w:tcBorders>
            <w:shd w:val="clear" w:color="auto" w:fill="auto"/>
            <w:noWrap/>
            <w:vAlign w:val="bottom"/>
            <w:hideMark/>
          </w:tcPr>
          <w:p w14:paraId="42119BE5" w14:textId="77777777" w:rsidR="0027498E" w:rsidRPr="0027498E" w:rsidRDefault="0027498E" w:rsidP="0027498E">
            <w:pPr>
              <w:widowControl/>
              <w:suppressLineNumbers w:val="0"/>
              <w:suppressAutoHyphens w:val="0"/>
              <w:ind w:firstLine="0"/>
              <w:jc w:val="center"/>
              <w:rPr>
                <w:color w:val="000000"/>
                <w:sz w:val="20"/>
              </w:rPr>
            </w:pPr>
            <w:r w:rsidRPr="0027498E">
              <w:rPr>
                <w:color w:val="000000"/>
                <w:sz w:val="20"/>
              </w:rPr>
              <w:t>1</w:t>
            </w:r>
          </w:p>
        </w:tc>
        <w:tc>
          <w:tcPr>
            <w:tcW w:w="1715" w:type="dxa"/>
            <w:tcBorders>
              <w:top w:val="nil"/>
              <w:left w:val="nil"/>
              <w:bottom w:val="nil"/>
              <w:right w:val="nil"/>
            </w:tcBorders>
            <w:shd w:val="clear" w:color="auto" w:fill="auto"/>
            <w:noWrap/>
            <w:vAlign w:val="bottom"/>
            <w:hideMark/>
          </w:tcPr>
          <w:p w14:paraId="38966B0C" w14:textId="77777777" w:rsidR="0027498E" w:rsidRPr="0027498E" w:rsidRDefault="0027498E" w:rsidP="0027498E">
            <w:pPr>
              <w:widowControl/>
              <w:suppressLineNumbers w:val="0"/>
              <w:suppressAutoHyphens w:val="0"/>
              <w:ind w:firstLine="0"/>
              <w:jc w:val="center"/>
              <w:rPr>
                <w:color w:val="000000"/>
                <w:sz w:val="20"/>
              </w:rPr>
            </w:pPr>
            <w:r w:rsidRPr="0027498E">
              <w:rPr>
                <w:color w:val="000000"/>
                <w:sz w:val="20"/>
              </w:rPr>
              <w:t>2</w:t>
            </w:r>
          </w:p>
        </w:tc>
      </w:tr>
      <w:tr w:rsidR="0027498E" w:rsidRPr="0027498E" w14:paraId="1A1AF304" w14:textId="77777777" w:rsidTr="00A7660B">
        <w:trPr>
          <w:trHeight w:val="283"/>
        </w:trPr>
        <w:tc>
          <w:tcPr>
            <w:tcW w:w="5615" w:type="dxa"/>
            <w:tcBorders>
              <w:top w:val="single" w:sz="4" w:space="0" w:color="auto"/>
              <w:left w:val="nil"/>
              <w:bottom w:val="single" w:sz="4" w:space="0" w:color="auto"/>
              <w:right w:val="single" w:sz="4" w:space="0" w:color="auto"/>
            </w:tcBorders>
            <w:shd w:val="clear" w:color="auto" w:fill="auto"/>
            <w:noWrap/>
            <w:vAlign w:val="bottom"/>
            <w:hideMark/>
          </w:tcPr>
          <w:p w14:paraId="69078B05" w14:textId="77777777" w:rsidR="0027498E" w:rsidRPr="00A7660B" w:rsidRDefault="0027498E" w:rsidP="0027498E">
            <w:pPr>
              <w:widowControl/>
              <w:suppressLineNumbers w:val="0"/>
              <w:suppressAutoHyphens w:val="0"/>
              <w:ind w:firstLine="0"/>
              <w:jc w:val="left"/>
              <w:rPr>
                <w:b/>
                <w:bCs/>
                <w:color w:val="000000"/>
                <w:sz w:val="20"/>
              </w:rPr>
            </w:pPr>
            <w:r w:rsidRPr="00A7660B">
              <w:rPr>
                <w:b/>
                <w:bCs/>
                <w:color w:val="000000"/>
                <w:sz w:val="20"/>
              </w:rPr>
              <w:t>Amostra final</w:t>
            </w:r>
          </w:p>
        </w:tc>
        <w:tc>
          <w:tcPr>
            <w:tcW w:w="2026" w:type="dxa"/>
            <w:tcBorders>
              <w:top w:val="single" w:sz="4" w:space="0" w:color="auto"/>
              <w:left w:val="nil"/>
              <w:bottom w:val="single" w:sz="4" w:space="0" w:color="auto"/>
              <w:right w:val="single" w:sz="4" w:space="0" w:color="auto"/>
            </w:tcBorders>
            <w:shd w:val="clear" w:color="auto" w:fill="auto"/>
            <w:noWrap/>
            <w:vAlign w:val="bottom"/>
            <w:hideMark/>
          </w:tcPr>
          <w:p w14:paraId="616D3547" w14:textId="77777777" w:rsidR="0027498E" w:rsidRPr="00A7660B" w:rsidRDefault="0027498E" w:rsidP="0027498E">
            <w:pPr>
              <w:widowControl/>
              <w:suppressLineNumbers w:val="0"/>
              <w:suppressAutoHyphens w:val="0"/>
              <w:ind w:firstLine="0"/>
              <w:jc w:val="center"/>
              <w:rPr>
                <w:b/>
                <w:bCs/>
                <w:color w:val="000000"/>
                <w:sz w:val="20"/>
              </w:rPr>
            </w:pPr>
            <w:r w:rsidRPr="00A7660B">
              <w:rPr>
                <w:b/>
                <w:bCs/>
                <w:color w:val="000000"/>
                <w:sz w:val="20"/>
              </w:rPr>
              <w:t>65</w:t>
            </w:r>
          </w:p>
        </w:tc>
        <w:tc>
          <w:tcPr>
            <w:tcW w:w="1715" w:type="dxa"/>
            <w:tcBorders>
              <w:top w:val="single" w:sz="4" w:space="0" w:color="auto"/>
              <w:left w:val="nil"/>
              <w:bottom w:val="single" w:sz="4" w:space="0" w:color="auto"/>
              <w:right w:val="nil"/>
            </w:tcBorders>
            <w:shd w:val="clear" w:color="auto" w:fill="auto"/>
            <w:noWrap/>
            <w:vAlign w:val="bottom"/>
            <w:hideMark/>
          </w:tcPr>
          <w:p w14:paraId="35A1C54D" w14:textId="77777777" w:rsidR="0027498E" w:rsidRPr="00A7660B" w:rsidRDefault="0027498E" w:rsidP="0027498E">
            <w:pPr>
              <w:widowControl/>
              <w:suppressLineNumbers w:val="0"/>
              <w:suppressAutoHyphens w:val="0"/>
              <w:ind w:firstLine="0"/>
              <w:jc w:val="center"/>
              <w:rPr>
                <w:b/>
                <w:bCs/>
                <w:color w:val="000000"/>
                <w:sz w:val="20"/>
              </w:rPr>
            </w:pPr>
            <w:r w:rsidRPr="00A7660B">
              <w:rPr>
                <w:b/>
                <w:bCs/>
                <w:color w:val="000000"/>
                <w:sz w:val="20"/>
              </w:rPr>
              <w:t>17</w:t>
            </w:r>
          </w:p>
        </w:tc>
      </w:tr>
    </w:tbl>
    <w:p w14:paraId="16E9A457" w14:textId="77777777" w:rsidR="0075206B" w:rsidRDefault="0075206B" w:rsidP="001F5471">
      <w:pPr>
        <w:ind w:firstLine="0"/>
        <w:rPr>
          <w:sz w:val="20"/>
        </w:rPr>
      </w:pPr>
    </w:p>
    <w:p w14:paraId="1C5266D0" w14:textId="77777777" w:rsidR="00270B60" w:rsidRPr="0075206B" w:rsidRDefault="00270B60" w:rsidP="0027498E">
      <w:r>
        <w:rPr>
          <w:szCs w:val="24"/>
        </w:rPr>
        <w:t>Conforme a Tabela 1, dentre as causas que fizeram as empresas a não compor a amostra foram não disponibilidade das demonstrações em um ou mais anos dos períodos analisados, e publicações da demonstração em formato não correspondente ao ano civil, pois as demonstrações deste formato são incompatíveis com o propósito de análise.</w:t>
      </w:r>
    </w:p>
    <w:p w14:paraId="203EFECC" w14:textId="77777777" w:rsidR="00270B60" w:rsidRDefault="00270B60" w:rsidP="00270B60">
      <w:pPr>
        <w:ind w:firstLine="708"/>
        <w:rPr>
          <w:szCs w:val="24"/>
        </w:rPr>
      </w:pPr>
      <w:r>
        <w:rPr>
          <w:szCs w:val="24"/>
        </w:rPr>
        <w:t>Assim</w:t>
      </w:r>
      <w:r w:rsidR="00AF404F">
        <w:rPr>
          <w:szCs w:val="24"/>
        </w:rPr>
        <w:t>,</w:t>
      </w:r>
      <w:r>
        <w:rPr>
          <w:szCs w:val="24"/>
        </w:rPr>
        <w:t xml:space="preserve"> a </w:t>
      </w:r>
      <w:r w:rsidR="00AF404F">
        <w:rPr>
          <w:szCs w:val="24"/>
        </w:rPr>
        <w:t>amostra inicial</w:t>
      </w:r>
      <w:r>
        <w:rPr>
          <w:szCs w:val="24"/>
        </w:rPr>
        <w:t xml:space="preserve"> era composta de 81 empresas no setor cíclico e 25 no setor não cíclico e ao ser levantado os dados restaram para serem analisadas 65 empresas de consumo cíclico e 17 empresas de consumo não cíclico</w:t>
      </w:r>
      <w:r w:rsidR="00AF404F">
        <w:rPr>
          <w:szCs w:val="24"/>
        </w:rPr>
        <w:t>. A T</w:t>
      </w:r>
      <w:r>
        <w:rPr>
          <w:szCs w:val="24"/>
        </w:rPr>
        <w:t>abela 2 apresenta as empresas que compuseram a amostra final por setor.</w:t>
      </w:r>
    </w:p>
    <w:p w14:paraId="2BC1ABA8" w14:textId="77777777" w:rsidR="00270B60" w:rsidRPr="00270B60" w:rsidRDefault="00270B60" w:rsidP="00270B60">
      <w:pPr>
        <w:ind w:firstLine="0"/>
        <w:rPr>
          <w:szCs w:val="24"/>
        </w:rPr>
      </w:pPr>
    </w:p>
    <w:p w14:paraId="3FE313D0" w14:textId="77777777" w:rsidR="0075206B" w:rsidRDefault="0075206B" w:rsidP="0075206B">
      <w:pPr>
        <w:rPr>
          <w:sz w:val="20"/>
        </w:rPr>
      </w:pPr>
    </w:p>
    <w:p w14:paraId="057BECDB" w14:textId="77777777" w:rsidR="0075206B" w:rsidRDefault="0075206B" w:rsidP="0075206B">
      <w:pPr>
        <w:rPr>
          <w:sz w:val="20"/>
        </w:rPr>
      </w:pPr>
    </w:p>
    <w:p w14:paraId="7E3A3C4F" w14:textId="77777777" w:rsidR="0075206B" w:rsidRDefault="0075206B" w:rsidP="0075206B">
      <w:pPr>
        <w:rPr>
          <w:sz w:val="20"/>
        </w:rPr>
      </w:pPr>
    </w:p>
    <w:p w14:paraId="1B28B017" w14:textId="77777777" w:rsidR="0075206B" w:rsidRDefault="0075206B" w:rsidP="0075206B">
      <w:pPr>
        <w:rPr>
          <w:sz w:val="20"/>
        </w:rPr>
      </w:pPr>
    </w:p>
    <w:p w14:paraId="02F832E8" w14:textId="77777777" w:rsidR="0075206B" w:rsidRDefault="0075206B" w:rsidP="0075206B">
      <w:pPr>
        <w:rPr>
          <w:sz w:val="20"/>
        </w:rPr>
      </w:pPr>
    </w:p>
    <w:p w14:paraId="06C5ABE0" w14:textId="77777777" w:rsidR="0075206B" w:rsidRDefault="0075206B" w:rsidP="0075206B">
      <w:pPr>
        <w:rPr>
          <w:sz w:val="20"/>
        </w:rPr>
      </w:pPr>
    </w:p>
    <w:p w14:paraId="685F6FB1" w14:textId="77777777" w:rsidR="0075206B" w:rsidRDefault="0075206B" w:rsidP="0075206B">
      <w:pPr>
        <w:rPr>
          <w:sz w:val="20"/>
        </w:rPr>
      </w:pPr>
    </w:p>
    <w:p w14:paraId="304CB66E" w14:textId="77777777" w:rsidR="00903B8A" w:rsidRDefault="00903B8A">
      <w:pPr>
        <w:widowControl/>
        <w:suppressLineNumbers w:val="0"/>
        <w:suppressAutoHyphens w:val="0"/>
        <w:ind w:firstLine="0"/>
        <w:jc w:val="left"/>
        <w:rPr>
          <w:sz w:val="20"/>
        </w:rPr>
      </w:pPr>
      <w:r>
        <w:rPr>
          <w:sz w:val="20"/>
        </w:rPr>
        <w:br w:type="page"/>
      </w:r>
    </w:p>
    <w:p w14:paraId="09FF5C0D" w14:textId="77777777" w:rsidR="0075206B" w:rsidRDefault="00AF404F" w:rsidP="00E7557D">
      <w:pPr>
        <w:spacing w:line="259" w:lineRule="auto"/>
        <w:ind w:firstLine="0"/>
        <w:rPr>
          <w:sz w:val="20"/>
        </w:rPr>
      </w:pPr>
      <w:r>
        <w:rPr>
          <w:sz w:val="20"/>
        </w:rPr>
        <w:lastRenderedPageBreak/>
        <w:t>Tabela 2</w:t>
      </w:r>
      <w:r w:rsidR="0075206B">
        <w:rPr>
          <w:sz w:val="20"/>
        </w:rPr>
        <w:t xml:space="preserve">. Empresas </w:t>
      </w:r>
      <w:r w:rsidR="0075206B" w:rsidRPr="00E63E6C">
        <w:rPr>
          <w:sz w:val="20"/>
        </w:rPr>
        <w:t>selecionadas</w:t>
      </w:r>
    </w:p>
    <w:tbl>
      <w:tblPr>
        <w:tblW w:w="9356" w:type="dxa"/>
        <w:tblCellMar>
          <w:left w:w="70" w:type="dxa"/>
          <w:right w:w="70" w:type="dxa"/>
        </w:tblCellMar>
        <w:tblLook w:val="04A0" w:firstRow="1" w:lastRow="0" w:firstColumn="1" w:lastColumn="0" w:noHBand="0" w:noVBand="1"/>
      </w:tblPr>
      <w:tblGrid>
        <w:gridCol w:w="2268"/>
        <w:gridCol w:w="1356"/>
        <w:gridCol w:w="1457"/>
        <w:gridCol w:w="1830"/>
        <w:gridCol w:w="2445"/>
      </w:tblGrid>
      <w:tr w:rsidR="00791C7D" w:rsidRPr="00791C7D" w14:paraId="131A5655" w14:textId="77777777" w:rsidTr="00791C7D">
        <w:trPr>
          <w:trHeight w:val="300"/>
        </w:trPr>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247B1A25" w14:textId="77777777" w:rsidR="00791C7D" w:rsidRPr="00A7660B" w:rsidRDefault="00791C7D" w:rsidP="00791C7D">
            <w:pPr>
              <w:widowControl/>
              <w:suppressLineNumbers w:val="0"/>
              <w:suppressAutoHyphens w:val="0"/>
              <w:ind w:firstLine="0"/>
              <w:jc w:val="center"/>
              <w:rPr>
                <w:b/>
                <w:bCs/>
                <w:color w:val="000000"/>
                <w:sz w:val="20"/>
              </w:rPr>
            </w:pPr>
            <w:r w:rsidRPr="00A7660B">
              <w:rPr>
                <w:b/>
                <w:bCs/>
                <w:color w:val="000000"/>
                <w:sz w:val="20"/>
              </w:rPr>
              <w:t xml:space="preserve">Consumo Não Cíclico </w:t>
            </w:r>
          </w:p>
        </w:tc>
        <w:tc>
          <w:tcPr>
            <w:tcW w:w="7088" w:type="dxa"/>
            <w:gridSpan w:val="4"/>
            <w:tcBorders>
              <w:top w:val="single" w:sz="4" w:space="0" w:color="auto"/>
              <w:left w:val="nil"/>
              <w:bottom w:val="single" w:sz="4" w:space="0" w:color="auto"/>
              <w:right w:val="nil"/>
            </w:tcBorders>
            <w:shd w:val="clear" w:color="auto" w:fill="auto"/>
            <w:noWrap/>
            <w:vAlign w:val="bottom"/>
            <w:hideMark/>
          </w:tcPr>
          <w:p w14:paraId="21A6B27E" w14:textId="77777777" w:rsidR="00791C7D" w:rsidRPr="00A7660B" w:rsidRDefault="00791C7D" w:rsidP="00791C7D">
            <w:pPr>
              <w:widowControl/>
              <w:suppressLineNumbers w:val="0"/>
              <w:suppressAutoHyphens w:val="0"/>
              <w:ind w:firstLine="0"/>
              <w:jc w:val="center"/>
              <w:rPr>
                <w:b/>
                <w:bCs/>
                <w:color w:val="000000"/>
                <w:sz w:val="20"/>
              </w:rPr>
            </w:pPr>
            <w:r w:rsidRPr="00A7660B">
              <w:rPr>
                <w:b/>
                <w:bCs/>
                <w:color w:val="000000"/>
                <w:sz w:val="20"/>
              </w:rPr>
              <w:t>Consumo Cíclico</w:t>
            </w:r>
          </w:p>
        </w:tc>
      </w:tr>
      <w:tr w:rsidR="00791C7D" w:rsidRPr="00791C7D" w14:paraId="514AB545"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746EA416"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Pomifrutas</w:t>
            </w:r>
            <w:proofErr w:type="spellEnd"/>
          </w:p>
        </w:tc>
        <w:tc>
          <w:tcPr>
            <w:tcW w:w="1356" w:type="dxa"/>
            <w:tcBorders>
              <w:top w:val="nil"/>
              <w:left w:val="nil"/>
              <w:bottom w:val="nil"/>
              <w:right w:val="nil"/>
            </w:tcBorders>
            <w:shd w:val="clear" w:color="auto" w:fill="auto"/>
            <w:noWrap/>
            <w:vAlign w:val="bottom"/>
            <w:hideMark/>
          </w:tcPr>
          <w:p w14:paraId="5399DC72"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Const</w:t>
            </w:r>
            <w:proofErr w:type="spellEnd"/>
            <w:r w:rsidRPr="00791C7D">
              <w:rPr>
                <w:color w:val="000000"/>
                <w:sz w:val="20"/>
              </w:rPr>
              <w:t xml:space="preserve"> A </w:t>
            </w:r>
            <w:proofErr w:type="spellStart"/>
            <w:r w:rsidRPr="00791C7D">
              <w:rPr>
                <w:color w:val="000000"/>
                <w:sz w:val="20"/>
              </w:rPr>
              <w:t>Lind</w:t>
            </w:r>
            <w:proofErr w:type="spellEnd"/>
          </w:p>
        </w:tc>
        <w:tc>
          <w:tcPr>
            <w:tcW w:w="1457" w:type="dxa"/>
            <w:tcBorders>
              <w:top w:val="nil"/>
              <w:left w:val="nil"/>
              <w:bottom w:val="nil"/>
              <w:right w:val="nil"/>
            </w:tcBorders>
            <w:shd w:val="clear" w:color="auto" w:fill="auto"/>
            <w:noWrap/>
            <w:vAlign w:val="bottom"/>
            <w:hideMark/>
          </w:tcPr>
          <w:p w14:paraId="50AAF660"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Viver</w:t>
            </w:r>
          </w:p>
        </w:tc>
        <w:tc>
          <w:tcPr>
            <w:tcW w:w="1830" w:type="dxa"/>
            <w:tcBorders>
              <w:top w:val="nil"/>
              <w:left w:val="nil"/>
              <w:bottom w:val="nil"/>
              <w:right w:val="nil"/>
            </w:tcBorders>
            <w:shd w:val="clear" w:color="auto" w:fill="auto"/>
            <w:noWrap/>
            <w:vAlign w:val="bottom"/>
            <w:hideMark/>
          </w:tcPr>
          <w:p w14:paraId="49BAAF78"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Technos</w:t>
            </w:r>
          </w:p>
        </w:tc>
        <w:tc>
          <w:tcPr>
            <w:tcW w:w="2445" w:type="dxa"/>
            <w:tcBorders>
              <w:top w:val="nil"/>
              <w:left w:val="nil"/>
              <w:bottom w:val="nil"/>
              <w:right w:val="nil"/>
            </w:tcBorders>
            <w:shd w:val="clear" w:color="auto" w:fill="auto"/>
            <w:noWrap/>
            <w:vAlign w:val="bottom"/>
            <w:hideMark/>
          </w:tcPr>
          <w:p w14:paraId="19EA6C55"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Localiza</w:t>
            </w:r>
          </w:p>
        </w:tc>
      </w:tr>
      <w:tr w:rsidR="00791C7D" w:rsidRPr="00791C7D" w14:paraId="7C5A8966"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3A190157"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Alipert</w:t>
            </w:r>
            <w:proofErr w:type="spellEnd"/>
          </w:p>
        </w:tc>
        <w:tc>
          <w:tcPr>
            <w:tcW w:w="1356" w:type="dxa"/>
            <w:tcBorders>
              <w:top w:val="nil"/>
              <w:left w:val="nil"/>
              <w:bottom w:val="nil"/>
              <w:right w:val="nil"/>
            </w:tcBorders>
            <w:shd w:val="clear" w:color="auto" w:fill="auto"/>
            <w:noWrap/>
            <w:vAlign w:val="bottom"/>
            <w:hideMark/>
          </w:tcPr>
          <w:p w14:paraId="6C55484F"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CR2</w:t>
            </w:r>
          </w:p>
        </w:tc>
        <w:tc>
          <w:tcPr>
            <w:tcW w:w="1457" w:type="dxa"/>
            <w:tcBorders>
              <w:top w:val="nil"/>
              <w:left w:val="nil"/>
              <w:bottom w:val="nil"/>
              <w:right w:val="nil"/>
            </w:tcBorders>
            <w:shd w:val="clear" w:color="auto" w:fill="auto"/>
            <w:noWrap/>
            <w:vAlign w:val="bottom"/>
            <w:hideMark/>
          </w:tcPr>
          <w:p w14:paraId="1EC3F982"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Cedro</w:t>
            </w:r>
          </w:p>
        </w:tc>
        <w:tc>
          <w:tcPr>
            <w:tcW w:w="1830" w:type="dxa"/>
            <w:tcBorders>
              <w:top w:val="nil"/>
              <w:left w:val="nil"/>
              <w:bottom w:val="nil"/>
              <w:right w:val="nil"/>
            </w:tcBorders>
            <w:shd w:val="clear" w:color="auto" w:fill="auto"/>
            <w:noWrap/>
            <w:vAlign w:val="bottom"/>
            <w:hideMark/>
          </w:tcPr>
          <w:p w14:paraId="5F47BEFA"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Whirlpool</w:t>
            </w:r>
          </w:p>
        </w:tc>
        <w:tc>
          <w:tcPr>
            <w:tcW w:w="2445" w:type="dxa"/>
            <w:tcBorders>
              <w:top w:val="nil"/>
              <w:left w:val="nil"/>
              <w:bottom w:val="nil"/>
              <w:right w:val="nil"/>
            </w:tcBorders>
            <w:shd w:val="clear" w:color="auto" w:fill="auto"/>
            <w:noWrap/>
            <w:vAlign w:val="bottom"/>
            <w:hideMark/>
          </w:tcPr>
          <w:p w14:paraId="5E7652FC"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Locamérica</w:t>
            </w:r>
            <w:proofErr w:type="spellEnd"/>
          </w:p>
        </w:tc>
      </w:tr>
      <w:tr w:rsidR="00791C7D" w:rsidRPr="00791C7D" w14:paraId="25E3570A"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385617EC" w14:textId="0EA4B93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 xml:space="preserve">SLC </w:t>
            </w:r>
            <w:r w:rsidR="00A7660B" w:rsidRPr="00791C7D">
              <w:rPr>
                <w:color w:val="000000"/>
                <w:sz w:val="20"/>
              </w:rPr>
              <w:t>Agrícola</w:t>
            </w:r>
          </w:p>
        </w:tc>
        <w:tc>
          <w:tcPr>
            <w:tcW w:w="1356" w:type="dxa"/>
            <w:tcBorders>
              <w:top w:val="nil"/>
              <w:left w:val="nil"/>
              <w:bottom w:val="nil"/>
              <w:right w:val="nil"/>
            </w:tcBorders>
            <w:shd w:val="clear" w:color="auto" w:fill="auto"/>
            <w:noWrap/>
            <w:vAlign w:val="bottom"/>
            <w:hideMark/>
          </w:tcPr>
          <w:p w14:paraId="59E09AF7"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Cyrela</w:t>
            </w:r>
            <w:proofErr w:type="spellEnd"/>
          </w:p>
        </w:tc>
        <w:tc>
          <w:tcPr>
            <w:tcW w:w="1457" w:type="dxa"/>
            <w:tcBorders>
              <w:top w:val="nil"/>
              <w:left w:val="nil"/>
              <w:bottom w:val="nil"/>
              <w:right w:val="nil"/>
            </w:tcBorders>
            <w:shd w:val="clear" w:color="auto" w:fill="auto"/>
            <w:noWrap/>
            <w:vAlign w:val="bottom"/>
            <w:hideMark/>
          </w:tcPr>
          <w:p w14:paraId="18A5D498"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Coteminas</w:t>
            </w:r>
          </w:p>
        </w:tc>
        <w:tc>
          <w:tcPr>
            <w:tcW w:w="1830" w:type="dxa"/>
            <w:tcBorders>
              <w:top w:val="nil"/>
              <w:left w:val="nil"/>
              <w:bottom w:val="nil"/>
              <w:right w:val="nil"/>
            </w:tcBorders>
            <w:shd w:val="clear" w:color="auto" w:fill="auto"/>
            <w:noWrap/>
            <w:vAlign w:val="bottom"/>
            <w:hideMark/>
          </w:tcPr>
          <w:p w14:paraId="2CD97D0C"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Unicasa</w:t>
            </w:r>
            <w:proofErr w:type="spellEnd"/>
          </w:p>
        </w:tc>
        <w:tc>
          <w:tcPr>
            <w:tcW w:w="2445" w:type="dxa"/>
            <w:tcBorders>
              <w:top w:val="nil"/>
              <w:left w:val="nil"/>
              <w:bottom w:val="nil"/>
              <w:right w:val="nil"/>
            </w:tcBorders>
            <w:shd w:val="clear" w:color="auto" w:fill="auto"/>
            <w:noWrap/>
            <w:vAlign w:val="bottom"/>
            <w:hideMark/>
          </w:tcPr>
          <w:p w14:paraId="2E9F072F"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Unidas</w:t>
            </w:r>
          </w:p>
        </w:tc>
      </w:tr>
      <w:tr w:rsidR="00791C7D" w:rsidRPr="00791C7D" w14:paraId="279FE2D2"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1D8EE09E"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Terra Santa</w:t>
            </w:r>
          </w:p>
        </w:tc>
        <w:tc>
          <w:tcPr>
            <w:tcW w:w="1356" w:type="dxa"/>
            <w:tcBorders>
              <w:top w:val="nil"/>
              <w:left w:val="nil"/>
              <w:bottom w:val="nil"/>
              <w:right w:val="nil"/>
            </w:tcBorders>
            <w:shd w:val="clear" w:color="auto" w:fill="auto"/>
            <w:noWrap/>
            <w:vAlign w:val="bottom"/>
            <w:hideMark/>
          </w:tcPr>
          <w:p w14:paraId="0D4BD9E7"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Direcional</w:t>
            </w:r>
          </w:p>
        </w:tc>
        <w:tc>
          <w:tcPr>
            <w:tcW w:w="1457" w:type="dxa"/>
            <w:tcBorders>
              <w:top w:val="nil"/>
              <w:left w:val="nil"/>
              <w:bottom w:val="nil"/>
              <w:right w:val="nil"/>
            </w:tcBorders>
            <w:shd w:val="clear" w:color="auto" w:fill="auto"/>
            <w:noWrap/>
            <w:vAlign w:val="bottom"/>
            <w:hideMark/>
          </w:tcPr>
          <w:p w14:paraId="31F337DA"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Dohler</w:t>
            </w:r>
          </w:p>
        </w:tc>
        <w:tc>
          <w:tcPr>
            <w:tcW w:w="1830" w:type="dxa"/>
            <w:tcBorders>
              <w:top w:val="nil"/>
              <w:left w:val="nil"/>
              <w:bottom w:val="nil"/>
              <w:right w:val="nil"/>
            </w:tcBorders>
            <w:shd w:val="clear" w:color="auto" w:fill="auto"/>
            <w:noWrap/>
            <w:vAlign w:val="bottom"/>
            <w:hideMark/>
          </w:tcPr>
          <w:p w14:paraId="5AB2843B"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Hercules</w:t>
            </w:r>
          </w:p>
        </w:tc>
        <w:tc>
          <w:tcPr>
            <w:tcW w:w="2445" w:type="dxa"/>
            <w:tcBorders>
              <w:top w:val="nil"/>
              <w:left w:val="nil"/>
              <w:bottom w:val="nil"/>
              <w:right w:val="nil"/>
            </w:tcBorders>
            <w:shd w:val="clear" w:color="auto" w:fill="auto"/>
            <w:noWrap/>
            <w:vAlign w:val="bottom"/>
            <w:hideMark/>
          </w:tcPr>
          <w:p w14:paraId="0D87A3B4"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 xml:space="preserve">Arezzo </w:t>
            </w:r>
            <w:proofErr w:type="spellStart"/>
            <w:r w:rsidRPr="00791C7D">
              <w:rPr>
                <w:color w:val="000000"/>
                <w:sz w:val="20"/>
              </w:rPr>
              <w:t>co</w:t>
            </w:r>
            <w:proofErr w:type="spellEnd"/>
          </w:p>
        </w:tc>
      </w:tr>
      <w:tr w:rsidR="00791C7D" w:rsidRPr="00791C7D" w14:paraId="02C826C4"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3BCD4F22"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BRF S.A</w:t>
            </w:r>
          </w:p>
        </w:tc>
        <w:tc>
          <w:tcPr>
            <w:tcW w:w="1356" w:type="dxa"/>
            <w:tcBorders>
              <w:top w:val="nil"/>
              <w:left w:val="nil"/>
              <w:bottom w:val="nil"/>
              <w:right w:val="nil"/>
            </w:tcBorders>
            <w:shd w:val="clear" w:color="auto" w:fill="auto"/>
            <w:noWrap/>
            <w:vAlign w:val="bottom"/>
            <w:hideMark/>
          </w:tcPr>
          <w:p w14:paraId="4E6191B5"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Even</w:t>
            </w:r>
            <w:proofErr w:type="spellEnd"/>
          </w:p>
        </w:tc>
        <w:tc>
          <w:tcPr>
            <w:tcW w:w="1457" w:type="dxa"/>
            <w:tcBorders>
              <w:top w:val="nil"/>
              <w:left w:val="nil"/>
              <w:bottom w:val="nil"/>
              <w:right w:val="nil"/>
            </w:tcBorders>
            <w:shd w:val="clear" w:color="auto" w:fill="auto"/>
            <w:noWrap/>
            <w:vAlign w:val="bottom"/>
            <w:hideMark/>
          </w:tcPr>
          <w:p w14:paraId="101FBC1A"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Encorpar</w:t>
            </w:r>
          </w:p>
        </w:tc>
        <w:tc>
          <w:tcPr>
            <w:tcW w:w="1830" w:type="dxa"/>
            <w:tcBorders>
              <w:top w:val="nil"/>
              <w:left w:val="nil"/>
              <w:bottom w:val="nil"/>
              <w:right w:val="nil"/>
            </w:tcBorders>
            <w:shd w:val="clear" w:color="auto" w:fill="auto"/>
            <w:noWrap/>
            <w:vAlign w:val="bottom"/>
            <w:hideMark/>
          </w:tcPr>
          <w:p w14:paraId="2C7FE1C7"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 xml:space="preserve">Nadir </w:t>
            </w:r>
            <w:proofErr w:type="spellStart"/>
            <w:r w:rsidRPr="00791C7D">
              <w:rPr>
                <w:color w:val="000000"/>
                <w:sz w:val="20"/>
              </w:rPr>
              <w:t>Figuei</w:t>
            </w:r>
            <w:proofErr w:type="spellEnd"/>
            <w:r w:rsidRPr="00791C7D">
              <w:rPr>
                <w:color w:val="000000"/>
                <w:sz w:val="20"/>
              </w:rPr>
              <w:t>.</w:t>
            </w:r>
          </w:p>
        </w:tc>
        <w:tc>
          <w:tcPr>
            <w:tcW w:w="2445" w:type="dxa"/>
            <w:tcBorders>
              <w:top w:val="nil"/>
              <w:left w:val="nil"/>
              <w:bottom w:val="nil"/>
              <w:right w:val="nil"/>
            </w:tcBorders>
            <w:shd w:val="clear" w:color="auto" w:fill="auto"/>
            <w:noWrap/>
            <w:vAlign w:val="bottom"/>
            <w:hideMark/>
          </w:tcPr>
          <w:p w14:paraId="410548D7"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Grazziotin</w:t>
            </w:r>
          </w:p>
        </w:tc>
      </w:tr>
      <w:tr w:rsidR="00791C7D" w:rsidRPr="00791C7D" w14:paraId="72F35795"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5383EBB1"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Excelsior</w:t>
            </w:r>
          </w:p>
        </w:tc>
        <w:tc>
          <w:tcPr>
            <w:tcW w:w="1356" w:type="dxa"/>
            <w:tcBorders>
              <w:top w:val="nil"/>
              <w:left w:val="nil"/>
              <w:bottom w:val="nil"/>
              <w:right w:val="nil"/>
            </w:tcBorders>
            <w:shd w:val="clear" w:color="auto" w:fill="auto"/>
            <w:noWrap/>
            <w:vAlign w:val="bottom"/>
            <w:hideMark/>
          </w:tcPr>
          <w:p w14:paraId="06F5D1E1"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Eztec</w:t>
            </w:r>
            <w:proofErr w:type="spellEnd"/>
          </w:p>
        </w:tc>
        <w:tc>
          <w:tcPr>
            <w:tcW w:w="1457" w:type="dxa"/>
            <w:tcBorders>
              <w:top w:val="nil"/>
              <w:left w:val="nil"/>
              <w:bottom w:val="nil"/>
              <w:right w:val="nil"/>
            </w:tcBorders>
            <w:shd w:val="clear" w:color="auto" w:fill="auto"/>
            <w:noWrap/>
            <w:vAlign w:val="bottom"/>
            <w:hideMark/>
          </w:tcPr>
          <w:p w14:paraId="1F81506C"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 xml:space="preserve">Ind. </w:t>
            </w:r>
            <w:proofErr w:type="spellStart"/>
            <w:r w:rsidRPr="00791C7D">
              <w:rPr>
                <w:color w:val="000000"/>
                <w:sz w:val="20"/>
              </w:rPr>
              <w:t>Cataguas</w:t>
            </w:r>
            <w:proofErr w:type="spellEnd"/>
          </w:p>
        </w:tc>
        <w:tc>
          <w:tcPr>
            <w:tcW w:w="1830" w:type="dxa"/>
            <w:tcBorders>
              <w:top w:val="nil"/>
              <w:left w:val="nil"/>
              <w:bottom w:val="nil"/>
              <w:right w:val="nil"/>
            </w:tcBorders>
            <w:shd w:val="clear" w:color="auto" w:fill="auto"/>
            <w:noWrap/>
            <w:vAlign w:val="bottom"/>
            <w:hideMark/>
          </w:tcPr>
          <w:p w14:paraId="3EF7151A"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IOCHP - Maxion</w:t>
            </w:r>
          </w:p>
        </w:tc>
        <w:tc>
          <w:tcPr>
            <w:tcW w:w="2445" w:type="dxa"/>
            <w:tcBorders>
              <w:top w:val="nil"/>
              <w:left w:val="nil"/>
              <w:bottom w:val="nil"/>
              <w:right w:val="nil"/>
            </w:tcBorders>
            <w:shd w:val="clear" w:color="auto" w:fill="auto"/>
            <w:noWrap/>
            <w:vAlign w:val="bottom"/>
            <w:hideMark/>
          </w:tcPr>
          <w:p w14:paraId="27F1666E"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Guararapes</w:t>
            </w:r>
          </w:p>
        </w:tc>
      </w:tr>
      <w:tr w:rsidR="00791C7D" w:rsidRPr="00791C7D" w14:paraId="07EBE568"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7C73F639"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JBS</w:t>
            </w:r>
          </w:p>
        </w:tc>
        <w:tc>
          <w:tcPr>
            <w:tcW w:w="1356" w:type="dxa"/>
            <w:tcBorders>
              <w:top w:val="nil"/>
              <w:left w:val="nil"/>
              <w:bottom w:val="nil"/>
              <w:right w:val="nil"/>
            </w:tcBorders>
            <w:shd w:val="clear" w:color="auto" w:fill="auto"/>
            <w:noWrap/>
            <w:vAlign w:val="bottom"/>
            <w:hideMark/>
          </w:tcPr>
          <w:p w14:paraId="07B9D5BB"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Grafisa</w:t>
            </w:r>
            <w:proofErr w:type="spellEnd"/>
          </w:p>
        </w:tc>
        <w:tc>
          <w:tcPr>
            <w:tcW w:w="1457" w:type="dxa"/>
            <w:tcBorders>
              <w:top w:val="nil"/>
              <w:left w:val="nil"/>
              <w:bottom w:val="nil"/>
              <w:right w:val="nil"/>
            </w:tcBorders>
            <w:shd w:val="clear" w:color="auto" w:fill="auto"/>
            <w:noWrap/>
            <w:vAlign w:val="bottom"/>
            <w:hideMark/>
          </w:tcPr>
          <w:p w14:paraId="7F49257F"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Karsten</w:t>
            </w:r>
          </w:p>
        </w:tc>
        <w:tc>
          <w:tcPr>
            <w:tcW w:w="1830" w:type="dxa"/>
            <w:tcBorders>
              <w:top w:val="nil"/>
              <w:left w:val="nil"/>
              <w:bottom w:val="nil"/>
              <w:right w:val="nil"/>
            </w:tcBorders>
            <w:shd w:val="clear" w:color="auto" w:fill="auto"/>
            <w:noWrap/>
            <w:vAlign w:val="bottom"/>
            <w:hideMark/>
          </w:tcPr>
          <w:p w14:paraId="34306CAD"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Metal Leve</w:t>
            </w:r>
          </w:p>
        </w:tc>
        <w:tc>
          <w:tcPr>
            <w:tcW w:w="2445" w:type="dxa"/>
            <w:tcBorders>
              <w:top w:val="nil"/>
              <w:left w:val="nil"/>
              <w:bottom w:val="nil"/>
              <w:right w:val="nil"/>
            </w:tcBorders>
            <w:shd w:val="clear" w:color="auto" w:fill="auto"/>
            <w:noWrap/>
            <w:vAlign w:val="bottom"/>
            <w:hideMark/>
          </w:tcPr>
          <w:p w14:paraId="40C60649"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Le Lis Blanc</w:t>
            </w:r>
          </w:p>
        </w:tc>
      </w:tr>
      <w:tr w:rsidR="00791C7D" w:rsidRPr="00791C7D" w14:paraId="5FF32227"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7FCC73CF"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Marfrig</w:t>
            </w:r>
            <w:proofErr w:type="spellEnd"/>
          </w:p>
        </w:tc>
        <w:tc>
          <w:tcPr>
            <w:tcW w:w="1356" w:type="dxa"/>
            <w:tcBorders>
              <w:top w:val="nil"/>
              <w:left w:val="nil"/>
              <w:bottom w:val="nil"/>
              <w:right w:val="nil"/>
            </w:tcBorders>
            <w:shd w:val="clear" w:color="auto" w:fill="auto"/>
            <w:noWrap/>
            <w:vAlign w:val="bottom"/>
            <w:hideMark/>
          </w:tcPr>
          <w:p w14:paraId="6183D2C5"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Helbor</w:t>
            </w:r>
            <w:proofErr w:type="spellEnd"/>
          </w:p>
        </w:tc>
        <w:tc>
          <w:tcPr>
            <w:tcW w:w="1457" w:type="dxa"/>
            <w:tcBorders>
              <w:top w:val="nil"/>
              <w:left w:val="nil"/>
              <w:bottom w:val="nil"/>
              <w:right w:val="nil"/>
            </w:tcBorders>
            <w:shd w:val="clear" w:color="auto" w:fill="auto"/>
            <w:noWrap/>
            <w:vAlign w:val="bottom"/>
            <w:hideMark/>
          </w:tcPr>
          <w:p w14:paraId="1939B21A"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Santanense</w:t>
            </w:r>
          </w:p>
        </w:tc>
        <w:tc>
          <w:tcPr>
            <w:tcW w:w="1830" w:type="dxa"/>
            <w:tcBorders>
              <w:top w:val="nil"/>
              <w:left w:val="nil"/>
              <w:bottom w:val="nil"/>
              <w:right w:val="nil"/>
            </w:tcBorders>
            <w:shd w:val="clear" w:color="auto" w:fill="auto"/>
            <w:noWrap/>
            <w:vAlign w:val="bottom"/>
            <w:hideMark/>
          </w:tcPr>
          <w:p w14:paraId="55723D73"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Plascar</w:t>
            </w:r>
          </w:p>
        </w:tc>
        <w:tc>
          <w:tcPr>
            <w:tcW w:w="2445" w:type="dxa"/>
            <w:tcBorders>
              <w:top w:val="nil"/>
              <w:left w:val="nil"/>
              <w:bottom w:val="nil"/>
              <w:right w:val="nil"/>
            </w:tcBorders>
            <w:shd w:val="clear" w:color="auto" w:fill="auto"/>
            <w:noWrap/>
            <w:vAlign w:val="bottom"/>
            <w:hideMark/>
          </w:tcPr>
          <w:p w14:paraId="1AAC52D9"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Lojas Marisa</w:t>
            </w:r>
          </w:p>
        </w:tc>
      </w:tr>
      <w:tr w:rsidR="00791C7D" w:rsidRPr="00791C7D" w14:paraId="6732DD7E"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0D720B69"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Minerva</w:t>
            </w:r>
          </w:p>
        </w:tc>
        <w:tc>
          <w:tcPr>
            <w:tcW w:w="1356" w:type="dxa"/>
            <w:tcBorders>
              <w:top w:val="nil"/>
              <w:left w:val="nil"/>
              <w:bottom w:val="nil"/>
              <w:right w:val="nil"/>
            </w:tcBorders>
            <w:shd w:val="clear" w:color="auto" w:fill="auto"/>
            <w:noWrap/>
            <w:vAlign w:val="bottom"/>
            <w:hideMark/>
          </w:tcPr>
          <w:p w14:paraId="6B2C7B6E"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JHSF</w:t>
            </w:r>
          </w:p>
        </w:tc>
        <w:tc>
          <w:tcPr>
            <w:tcW w:w="1457" w:type="dxa"/>
            <w:tcBorders>
              <w:top w:val="nil"/>
              <w:left w:val="nil"/>
              <w:bottom w:val="nil"/>
              <w:right w:val="nil"/>
            </w:tcBorders>
            <w:shd w:val="clear" w:color="auto" w:fill="auto"/>
            <w:noWrap/>
            <w:vAlign w:val="bottom"/>
            <w:hideMark/>
          </w:tcPr>
          <w:p w14:paraId="24882552"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Springs</w:t>
            </w:r>
          </w:p>
        </w:tc>
        <w:tc>
          <w:tcPr>
            <w:tcW w:w="1830" w:type="dxa"/>
            <w:tcBorders>
              <w:top w:val="nil"/>
              <w:left w:val="nil"/>
              <w:bottom w:val="nil"/>
              <w:right w:val="nil"/>
            </w:tcBorders>
            <w:shd w:val="clear" w:color="auto" w:fill="auto"/>
            <w:noWrap/>
            <w:vAlign w:val="bottom"/>
            <w:hideMark/>
          </w:tcPr>
          <w:p w14:paraId="160C8618"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Hoteis</w:t>
            </w:r>
            <w:proofErr w:type="spellEnd"/>
            <w:r w:rsidRPr="00791C7D">
              <w:rPr>
                <w:color w:val="000000"/>
                <w:sz w:val="20"/>
              </w:rPr>
              <w:t xml:space="preserve"> Othon</w:t>
            </w:r>
          </w:p>
        </w:tc>
        <w:tc>
          <w:tcPr>
            <w:tcW w:w="2445" w:type="dxa"/>
            <w:tcBorders>
              <w:top w:val="nil"/>
              <w:left w:val="nil"/>
              <w:bottom w:val="nil"/>
              <w:right w:val="nil"/>
            </w:tcBorders>
            <w:shd w:val="clear" w:color="auto" w:fill="auto"/>
            <w:noWrap/>
            <w:vAlign w:val="bottom"/>
            <w:hideMark/>
          </w:tcPr>
          <w:p w14:paraId="79810F3F"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Lojas Renner</w:t>
            </w:r>
          </w:p>
        </w:tc>
      </w:tr>
      <w:tr w:rsidR="00791C7D" w:rsidRPr="00791C7D" w14:paraId="665533CE"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2568237C"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Minupar</w:t>
            </w:r>
          </w:p>
        </w:tc>
        <w:tc>
          <w:tcPr>
            <w:tcW w:w="1356" w:type="dxa"/>
            <w:tcBorders>
              <w:top w:val="nil"/>
              <w:left w:val="nil"/>
              <w:bottom w:val="nil"/>
              <w:right w:val="nil"/>
            </w:tcBorders>
            <w:shd w:val="clear" w:color="auto" w:fill="auto"/>
            <w:noWrap/>
            <w:vAlign w:val="bottom"/>
            <w:hideMark/>
          </w:tcPr>
          <w:p w14:paraId="2726176D"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João Fortes</w:t>
            </w:r>
          </w:p>
        </w:tc>
        <w:tc>
          <w:tcPr>
            <w:tcW w:w="1457" w:type="dxa"/>
            <w:tcBorders>
              <w:top w:val="nil"/>
              <w:left w:val="nil"/>
              <w:bottom w:val="nil"/>
              <w:right w:val="nil"/>
            </w:tcBorders>
            <w:shd w:val="clear" w:color="auto" w:fill="auto"/>
            <w:noWrap/>
            <w:vAlign w:val="bottom"/>
            <w:hideMark/>
          </w:tcPr>
          <w:p w14:paraId="7B5D8018"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Teka</w:t>
            </w:r>
          </w:p>
        </w:tc>
        <w:tc>
          <w:tcPr>
            <w:tcW w:w="1830" w:type="dxa"/>
            <w:tcBorders>
              <w:top w:val="nil"/>
              <w:left w:val="nil"/>
              <w:bottom w:val="nil"/>
              <w:right w:val="nil"/>
            </w:tcBorders>
            <w:shd w:val="clear" w:color="auto" w:fill="auto"/>
            <w:noWrap/>
            <w:vAlign w:val="bottom"/>
            <w:hideMark/>
          </w:tcPr>
          <w:p w14:paraId="4D080E35"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Monark</w:t>
            </w:r>
            <w:proofErr w:type="spellEnd"/>
          </w:p>
        </w:tc>
        <w:tc>
          <w:tcPr>
            <w:tcW w:w="2445" w:type="dxa"/>
            <w:tcBorders>
              <w:top w:val="nil"/>
              <w:left w:val="nil"/>
              <w:bottom w:val="nil"/>
              <w:right w:val="nil"/>
            </w:tcBorders>
            <w:shd w:val="clear" w:color="auto" w:fill="auto"/>
            <w:noWrap/>
            <w:vAlign w:val="bottom"/>
            <w:hideMark/>
          </w:tcPr>
          <w:p w14:paraId="4915D9E6"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Magazine Luiza</w:t>
            </w:r>
          </w:p>
        </w:tc>
      </w:tr>
      <w:tr w:rsidR="00791C7D" w:rsidRPr="00791C7D" w14:paraId="575133C1"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6DB14B36"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J. Macedo</w:t>
            </w:r>
          </w:p>
        </w:tc>
        <w:tc>
          <w:tcPr>
            <w:tcW w:w="1356" w:type="dxa"/>
            <w:tcBorders>
              <w:top w:val="nil"/>
              <w:left w:val="nil"/>
              <w:bottom w:val="nil"/>
              <w:right w:val="nil"/>
            </w:tcBorders>
            <w:shd w:val="clear" w:color="auto" w:fill="auto"/>
            <w:noWrap/>
            <w:vAlign w:val="bottom"/>
            <w:hideMark/>
          </w:tcPr>
          <w:p w14:paraId="459F4D9A"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MRV</w:t>
            </w:r>
          </w:p>
        </w:tc>
        <w:tc>
          <w:tcPr>
            <w:tcW w:w="1457" w:type="dxa"/>
            <w:tcBorders>
              <w:top w:val="nil"/>
              <w:left w:val="nil"/>
              <w:bottom w:val="nil"/>
              <w:right w:val="nil"/>
            </w:tcBorders>
            <w:shd w:val="clear" w:color="auto" w:fill="auto"/>
            <w:noWrap/>
            <w:vAlign w:val="bottom"/>
            <w:hideMark/>
          </w:tcPr>
          <w:p w14:paraId="0B70F7DF"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Tex</w:t>
            </w:r>
            <w:proofErr w:type="spellEnd"/>
            <w:r w:rsidRPr="00791C7D">
              <w:rPr>
                <w:color w:val="000000"/>
                <w:sz w:val="20"/>
              </w:rPr>
              <w:t xml:space="preserve"> Renaux</w:t>
            </w:r>
          </w:p>
        </w:tc>
        <w:tc>
          <w:tcPr>
            <w:tcW w:w="1830" w:type="dxa"/>
            <w:tcBorders>
              <w:top w:val="nil"/>
              <w:left w:val="nil"/>
              <w:bottom w:val="nil"/>
              <w:right w:val="nil"/>
            </w:tcBorders>
            <w:shd w:val="clear" w:color="auto" w:fill="auto"/>
            <w:noWrap/>
            <w:vAlign w:val="bottom"/>
            <w:hideMark/>
          </w:tcPr>
          <w:p w14:paraId="07E1E135"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Estrela</w:t>
            </w:r>
          </w:p>
        </w:tc>
        <w:tc>
          <w:tcPr>
            <w:tcW w:w="2445" w:type="dxa"/>
            <w:tcBorders>
              <w:top w:val="nil"/>
              <w:left w:val="nil"/>
              <w:bottom w:val="nil"/>
              <w:right w:val="nil"/>
            </w:tcBorders>
            <w:shd w:val="clear" w:color="auto" w:fill="auto"/>
            <w:noWrap/>
            <w:vAlign w:val="bottom"/>
            <w:hideMark/>
          </w:tcPr>
          <w:p w14:paraId="7F8974C2"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Via Varejo</w:t>
            </w:r>
          </w:p>
        </w:tc>
      </w:tr>
      <w:tr w:rsidR="00791C7D" w:rsidRPr="00791C7D" w14:paraId="7F6B7936"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613B67ED"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Josapar</w:t>
            </w:r>
          </w:p>
        </w:tc>
        <w:tc>
          <w:tcPr>
            <w:tcW w:w="1356" w:type="dxa"/>
            <w:tcBorders>
              <w:top w:val="nil"/>
              <w:left w:val="nil"/>
              <w:bottom w:val="nil"/>
              <w:right w:val="nil"/>
            </w:tcBorders>
            <w:shd w:val="clear" w:color="auto" w:fill="auto"/>
            <w:noWrap/>
            <w:vAlign w:val="bottom"/>
            <w:hideMark/>
          </w:tcPr>
          <w:p w14:paraId="3F0ECFC1"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 xml:space="preserve">PDG </w:t>
            </w:r>
            <w:proofErr w:type="spellStart"/>
            <w:r w:rsidRPr="00791C7D">
              <w:rPr>
                <w:color w:val="000000"/>
                <w:sz w:val="20"/>
              </w:rPr>
              <w:t>Realt</w:t>
            </w:r>
            <w:proofErr w:type="spellEnd"/>
          </w:p>
        </w:tc>
        <w:tc>
          <w:tcPr>
            <w:tcW w:w="1457" w:type="dxa"/>
            <w:tcBorders>
              <w:top w:val="nil"/>
              <w:left w:val="nil"/>
              <w:bottom w:val="nil"/>
              <w:right w:val="nil"/>
            </w:tcBorders>
            <w:shd w:val="clear" w:color="auto" w:fill="auto"/>
            <w:noWrap/>
            <w:vAlign w:val="bottom"/>
            <w:hideMark/>
          </w:tcPr>
          <w:p w14:paraId="36450517"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Cia Hering</w:t>
            </w:r>
          </w:p>
        </w:tc>
        <w:tc>
          <w:tcPr>
            <w:tcW w:w="1830" w:type="dxa"/>
            <w:tcBorders>
              <w:top w:val="nil"/>
              <w:left w:val="nil"/>
              <w:bottom w:val="nil"/>
              <w:right w:val="nil"/>
            </w:tcBorders>
            <w:shd w:val="clear" w:color="auto" w:fill="auto"/>
            <w:noWrap/>
            <w:vAlign w:val="bottom"/>
            <w:hideMark/>
          </w:tcPr>
          <w:p w14:paraId="10E1255D"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Tectoy</w:t>
            </w:r>
          </w:p>
        </w:tc>
        <w:tc>
          <w:tcPr>
            <w:tcW w:w="2445" w:type="dxa"/>
            <w:tcBorders>
              <w:top w:val="nil"/>
              <w:left w:val="nil"/>
              <w:bottom w:val="nil"/>
              <w:right w:val="nil"/>
            </w:tcBorders>
            <w:shd w:val="clear" w:color="auto" w:fill="auto"/>
            <w:noWrap/>
            <w:vAlign w:val="bottom"/>
            <w:hideMark/>
          </w:tcPr>
          <w:p w14:paraId="28632ABE"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B2W Digital</w:t>
            </w:r>
          </w:p>
        </w:tc>
      </w:tr>
      <w:tr w:rsidR="00791C7D" w:rsidRPr="00791C7D" w14:paraId="16D10034"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591603AD"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M. Dias Branco</w:t>
            </w:r>
          </w:p>
        </w:tc>
        <w:tc>
          <w:tcPr>
            <w:tcW w:w="1356" w:type="dxa"/>
            <w:tcBorders>
              <w:top w:val="nil"/>
              <w:left w:val="nil"/>
              <w:bottom w:val="nil"/>
              <w:right w:val="nil"/>
            </w:tcBorders>
            <w:shd w:val="clear" w:color="auto" w:fill="auto"/>
            <w:noWrap/>
            <w:vAlign w:val="bottom"/>
            <w:hideMark/>
          </w:tcPr>
          <w:p w14:paraId="3C97F5D0"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RNI</w:t>
            </w:r>
          </w:p>
        </w:tc>
        <w:tc>
          <w:tcPr>
            <w:tcW w:w="1457" w:type="dxa"/>
            <w:tcBorders>
              <w:top w:val="nil"/>
              <w:left w:val="nil"/>
              <w:bottom w:val="nil"/>
              <w:right w:val="nil"/>
            </w:tcBorders>
            <w:shd w:val="clear" w:color="auto" w:fill="auto"/>
            <w:noWrap/>
            <w:vAlign w:val="bottom"/>
            <w:hideMark/>
          </w:tcPr>
          <w:p w14:paraId="2CBE10F8"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Alpargatas</w:t>
            </w:r>
          </w:p>
        </w:tc>
        <w:tc>
          <w:tcPr>
            <w:tcW w:w="1830" w:type="dxa"/>
            <w:tcBorders>
              <w:top w:val="nil"/>
              <w:left w:val="nil"/>
              <w:bottom w:val="nil"/>
              <w:right w:val="nil"/>
            </w:tcBorders>
            <w:shd w:val="clear" w:color="auto" w:fill="auto"/>
            <w:noWrap/>
            <w:vAlign w:val="bottom"/>
            <w:hideMark/>
          </w:tcPr>
          <w:p w14:paraId="129DBCDC"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Spturis</w:t>
            </w:r>
            <w:proofErr w:type="spellEnd"/>
          </w:p>
        </w:tc>
        <w:tc>
          <w:tcPr>
            <w:tcW w:w="2445" w:type="dxa"/>
            <w:tcBorders>
              <w:top w:val="nil"/>
              <w:left w:val="nil"/>
              <w:bottom w:val="nil"/>
              <w:right w:val="nil"/>
            </w:tcBorders>
            <w:shd w:val="clear" w:color="auto" w:fill="auto"/>
            <w:noWrap/>
            <w:vAlign w:val="bottom"/>
            <w:hideMark/>
          </w:tcPr>
          <w:p w14:paraId="4862F154"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Lojas Americanas</w:t>
            </w:r>
          </w:p>
        </w:tc>
      </w:tr>
      <w:tr w:rsidR="00791C7D" w:rsidRPr="00791C7D" w14:paraId="20BD8C35"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6B0198D0"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Oderich</w:t>
            </w:r>
            <w:proofErr w:type="spellEnd"/>
          </w:p>
        </w:tc>
        <w:tc>
          <w:tcPr>
            <w:tcW w:w="1356" w:type="dxa"/>
            <w:tcBorders>
              <w:top w:val="nil"/>
              <w:left w:val="nil"/>
              <w:bottom w:val="nil"/>
              <w:right w:val="nil"/>
            </w:tcBorders>
            <w:shd w:val="clear" w:color="auto" w:fill="auto"/>
            <w:noWrap/>
            <w:vAlign w:val="bottom"/>
            <w:hideMark/>
          </w:tcPr>
          <w:p w14:paraId="3750602B"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Rosi</w:t>
            </w:r>
            <w:proofErr w:type="spellEnd"/>
            <w:r w:rsidRPr="00791C7D">
              <w:rPr>
                <w:color w:val="000000"/>
                <w:sz w:val="20"/>
              </w:rPr>
              <w:t xml:space="preserve"> </w:t>
            </w:r>
            <w:proofErr w:type="spellStart"/>
            <w:r w:rsidRPr="00791C7D">
              <w:rPr>
                <w:color w:val="000000"/>
                <w:sz w:val="20"/>
              </w:rPr>
              <w:t>Resid</w:t>
            </w:r>
            <w:proofErr w:type="spellEnd"/>
          </w:p>
        </w:tc>
        <w:tc>
          <w:tcPr>
            <w:tcW w:w="1457" w:type="dxa"/>
            <w:tcBorders>
              <w:top w:val="nil"/>
              <w:left w:val="nil"/>
              <w:bottom w:val="nil"/>
              <w:right w:val="nil"/>
            </w:tcBorders>
            <w:shd w:val="clear" w:color="auto" w:fill="auto"/>
            <w:noWrap/>
            <w:vAlign w:val="bottom"/>
            <w:hideMark/>
          </w:tcPr>
          <w:p w14:paraId="21862E29"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Cambuci</w:t>
            </w:r>
          </w:p>
        </w:tc>
        <w:tc>
          <w:tcPr>
            <w:tcW w:w="1830" w:type="dxa"/>
            <w:tcBorders>
              <w:top w:val="nil"/>
              <w:left w:val="nil"/>
              <w:bottom w:val="nil"/>
              <w:right w:val="nil"/>
            </w:tcBorders>
            <w:shd w:val="clear" w:color="auto" w:fill="auto"/>
            <w:noWrap/>
            <w:vAlign w:val="bottom"/>
            <w:hideMark/>
          </w:tcPr>
          <w:p w14:paraId="33A59AE2"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 xml:space="preserve">Time for </w:t>
            </w:r>
            <w:proofErr w:type="spellStart"/>
            <w:r w:rsidRPr="00791C7D">
              <w:rPr>
                <w:color w:val="000000"/>
                <w:sz w:val="20"/>
              </w:rPr>
              <w:t>fun</w:t>
            </w:r>
            <w:proofErr w:type="spellEnd"/>
          </w:p>
        </w:tc>
        <w:tc>
          <w:tcPr>
            <w:tcW w:w="2445" w:type="dxa"/>
            <w:tcBorders>
              <w:top w:val="nil"/>
              <w:left w:val="nil"/>
              <w:bottom w:val="nil"/>
              <w:right w:val="nil"/>
            </w:tcBorders>
            <w:shd w:val="clear" w:color="auto" w:fill="auto"/>
            <w:noWrap/>
            <w:vAlign w:val="bottom"/>
            <w:hideMark/>
          </w:tcPr>
          <w:p w14:paraId="7333AE95"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Saraiva</w:t>
            </w:r>
          </w:p>
        </w:tc>
      </w:tr>
      <w:tr w:rsidR="00791C7D" w:rsidRPr="00791C7D" w14:paraId="7DEA5E68"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22B88D52"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Natura</w:t>
            </w:r>
          </w:p>
        </w:tc>
        <w:tc>
          <w:tcPr>
            <w:tcW w:w="1356" w:type="dxa"/>
            <w:tcBorders>
              <w:top w:val="nil"/>
              <w:left w:val="nil"/>
              <w:bottom w:val="nil"/>
              <w:right w:val="nil"/>
            </w:tcBorders>
            <w:shd w:val="clear" w:color="auto" w:fill="auto"/>
            <w:noWrap/>
            <w:vAlign w:val="bottom"/>
            <w:hideMark/>
          </w:tcPr>
          <w:p w14:paraId="1D1241E2"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Tecnisa</w:t>
            </w:r>
          </w:p>
        </w:tc>
        <w:tc>
          <w:tcPr>
            <w:tcW w:w="1457" w:type="dxa"/>
            <w:tcBorders>
              <w:top w:val="nil"/>
              <w:left w:val="nil"/>
              <w:bottom w:val="nil"/>
              <w:right w:val="nil"/>
            </w:tcBorders>
            <w:shd w:val="clear" w:color="auto" w:fill="auto"/>
            <w:noWrap/>
            <w:vAlign w:val="bottom"/>
            <w:hideMark/>
          </w:tcPr>
          <w:p w14:paraId="60762C54"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Grendene</w:t>
            </w:r>
          </w:p>
        </w:tc>
        <w:tc>
          <w:tcPr>
            <w:tcW w:w="1830" w:type="dxa"/>
            <w:tcBorders>
              <w:top w:val="nil"/>
              <w:left w:val="nil"/>
              <w:bottom w:val="nil"/>
              <w:right w:val="nil"/>
            </w:tcBorders>
            <w:shd w:val="clear" w:color="auto" w:fill="auto"/>
            <w:noWrap/>
            <w:vAlign w:val="bottom"/>
            <w:hideMark/>
          </w:tcPr>
          <w:p w14:paraId="308F7952"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Bahema</w:t>
            </w:r>
          </w:p>
        </w:tc>
        <w:tc>
          <w:tcPr>
            <w:tcW w:w="2445" w:type="dxa"/>
            <w:tcBorders>
              <w:top w:val="nil"/>
              <w:left w:val="nil"/>
              <w:bottom w:val="nil"/>
              <w:right w:val="nil"/>
            </w:tcBorders>
            <w:shd w:val="clear" w:color="auto" w:fill="auto"/>
            <w:noWrap/>
            <w:vAlign w:val="bottom"/>
            <w:hideMark/>
          </w:tcPr>
          <w:p w14:paraId="0B2DFA5C"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w:t>
            </w:r>
          </w:p>
        </w:tc>
      </w:tr>
      <w:tr w:rsidR="00791C7D" w:rsidRPr="00791C7D" w14:paraId="29B5D40D" w14:textId="77777777" w:rsidTr="00791C7D">
        <w:trPr>
          <w:trHeight w:val="300"/>
        </w:trPr>
        <w:tc>
          <w:tcPr>
            <w:tcW w:w="2268" w:type="dxa"/>
            <w:tcBorders>
              <w:top w:val="nil"/>
              <w:left w:val="nil"/>
              <w:bottom w:val="nil"/>
              <w:right w:val="single" w:sz="4" w:space="0" w:color="auto"/>
            </w:tcBorders>
            <w:shd w:val="clear" w:color="auto" w:fill="auto"/>
            <w:noWrap/>
            <w:vAlign w:val="bottom"/>
            <w:hideMark/>
          </w:tcPr>
          <w:p w14:paraId="2334A475"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Bombril</w:t>
            </w:r>
          </w:p>
        </w:tc>
        <w:tc>
          <w:tcPr>
            <w:tcW w:w="1356" w:type="dxa"/>
            <w:tcBorders>
              <w:top w:val="nil"/>
              <w:left w:val="nil"/>
              <w:bottom w:val="nil"/>
              <w:right w:val="nil"/>
            </w:tcBorders>
            <w:shd w:val="clear" w:color="auto" w:fill="auto"/>
            <w:noWrap/>
            <w:vAlign w:val="bottom"/>
            <w:hideMark/>
          </w:tcPr>
          <w:p w14:paraId="3595ECE7"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Tenda</w:t>
            </w:r>
          </w:p>
        </w:tc>
        <w:tc>
          <w:tcPr>
            <w:tcW w:w="1457" w:type="dxa"/>
            <w:tcBorders>
              <w:top w:val="nil"/>
              <w:left w:val="nil"/>
              <w:bottom w:val="nil"/>
              <w:right w:val="nil"/>
            </w:tcBorders>
            <w:shd w:val="clear" w:color="auto" w:fill="auto"/>
            <w:noWrap/>
            <w:vAlign w:val="bottom"/>
            <w:hideMark/>
          </w:tcPr>
          <w:p w14:paraId="53AE2FEF"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Vulcabras</w:t>
            </w:r>
            <w:proofErr w:type="spellEnd"/>
          </w:p>
        </w:tc>
        <w:tc>
          <w:tcPr>
            <w:tcW w:w="1830" w:type="dxa"/>
            <w:tcBorders>
              <w:top w:val="nil"/>
              <w:left w:val="nil"/>
              <w:bottom w:val="nil"/>
              <w:right w:val="nil"/>
            </w:tcBorders>
            <w:shd w:val="clear" w:color="auto" w:fill="auto"/>
            <w:noWrap/>
            <w:vAlign w:val="bottom"/>
            <w:hideMark/>
          </w:tcPr>
          <w:p w14:paraId="5C71D1BE"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Estácio Part.</w:t>
            </w:r>
          </w:p>
        </w:tc>
        <w:tc>
          <w:tcPr>
            <w:tcW w:w="2445" w:type="dxa"/>
            <w:tcBorders>
              <w:top w:val="nil"/>
              <w:left w:val="nil"/>
              <w:bottom w:val="nil"/>
              <w:right w:val="nil"/>
            </w:tcBorders>
            <w:shd w:val="clear" w:color="auto" w:fill="auto"/>
            <w:noWrap/>
            <w:vAlign w:val="bottom"/>
            <w:hideMark/>
          </w:tcPr>
          <w:p w14:paraId="158851C6"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w:t>
            </w:r>
          </w:p>
        </w:tc>
      </w:tr>
      <w:tr w:rsidR="00791C7D" w:rsidRPr="00791C7D" w14:paraId="10F50E29" w14:textId="77777777" w:rsidTr="00791C7D">
        <w:trPr>
          <w:trHeight w:val="300"/>
        </w:trPr>
        <w:tc>
          <w:tcPr>
            <w:tcW w:w="2268" w:type="dxa"/>
            <w:tcBorders>
              <w:top w:val="nil"/>
              <w:left w:val="nil"/>
              <w:bottom w:val="single" w:sz="4" w:space="0" w:color="auto"/>
              <w:right w:val="single" w:sz="4" w:space="0" w:color="auto"/>
            </w:tcBorders>
            <w:shd w:val="clear" w:color="auto" w:fill="auto"/>
            <w:noWrap/>
            <w:vAlign w:val="bottom"/>
            <w:hideMark/>
          </w:tcPr>
          <w:p w14:paraId="3F94B643" w14:textId="50411A6D"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P</w:t>
            </w:r>
            <w:r w:rsidR="00A7660B">
              <w:rPr>
                <w:color w:val="000000"/>
                <w:sz w:val="20"/>
              </w:rPr>
              <w:t xml:space="preserve">ão de </w:t>
            </w:r>
            <w:r w:rsidR="00A7660B" w:rsidRPr="00791C7D">
              <w:rPr>
                <w:color w:val="000000"/>
                <w:sz w:val="20"/>
              </w:rPr>
              <w:t>Açúcar</w:t>
            </w:r>
          </w:p>
        </w:tc>
        <w:tc>
          <w:tcPr>
            <w:tcW w:w="1356" w:type="dxa"/>
            <w:tcBorders>
              <w:top w:val="nil"/>
              <w:left w:val="nil"/>
              <w:bottom w:val="single" w:sz="4" w:space="0" w:color="auto"/>
              <w:right w:val="nil"/>
            </w:tcBorders>
            <w:shd w:val="clear" w:color="auto" w:fill="auto"/>
            <w:noWrap/>
            <w:vAlign w:val="bottom"/>
            <w:hideMark/>
          </w:tcPr>
          <w:p w14:paraId="47210361"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Trisul</w:t>
            </w:r>
          </w:p>
        </w:tc>
        <w:tc>
          <w:tcPr>
            <w:tcW w:w="1457" w:type="dxa"/>
            <w:tcBorders>
              <w:top w:val="nil"/>
              <w:left w:val="nil"/>
              <w:bottom w:val="single" w:sz="4" w:space="0" w:color="auto"/>
              <w:right w:val="nil"/>
            </w:tcBorders>
            <w:shd w:val="clear" w:color="auto" w:fill="auto"/>
            <w:noWrap/>
            <w:vAlign w:val="bottom"/>
            <w:hideMark/>
          </w:tcPr>
          <w:p w14:paraId="588B6E50"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Mundial</w:t>
            </w:r>
          </w:p>
        </w:tc>
        <w:tc>
          <w:tcPr>
            <w:tcW w:w="1830" w:type="dxa"/>
            <w:tcBorders>
              <w:top w:val="nil"/>
              <w:left w:val="nil"/>
              <w:bottom w:val="single" w:sz="4" w:space="0" w:color="auto"/>
              <w:right w:val="nil"/>
            </w:tcBorders>
            <w:shd w:val="clear" w:color="auto" w:fill="auto"/>
            <w:noWrap/>
            <w:vAlign w:val="bottom"/>
            <w:hideMark/>
          </w:tcPr>
          <w:p w14:paraId="7813D73D" w14:textId="77777777" w:rsidR="00791C7D" w:rsidRPr="00791C7D" w:rsidRDefault="00791C7D" w:rsidP="00791C7D">
            <w:pPr>
              <w:widowControl/>
              <w:suppressLineNumbers w:val="0"/>
              <w:suppressAutoHyphens w:val="0"/>
              <w:ind w:firstLine="0"/>
              <w:jc w:val="center"/>
              <w:rPr>
                <w:color w:val="000000"/>
                <w:sz w:val="20"/>
              </w:rPr>
            </w:pPr>
            <w:proofErr w:type="spellStart"/>
            <w:r w:rsidRPr="00791C7D">
              <w:rPr>
                <w:color w:val="000000"/>
                <w:sz w:val="20"/>
              </w:rPr>
              <w:t>Kroton</w:t>
            </w:r>
            <w:proofErr w:type="spellEnd"/>
          </w:p>
        </w:tc>
        <w:tc>
          <w:tcPr>
            <w:tcW w:w="2445" w:type="dxa"/>
            <w:tcBorders>
              <w:top w:val="nil"/>
              <w:left w:val="nil"/>
              <w:bottom w:val="single" w:sz="4" w:space="0" w:color="auto"/>
              <w:right w:val="nil"/>
            </w:tcBorders>
            <w:shd w:val="clear" w:color="auto" w:fill="auto"/>
            <w:noWrap/>
            <w:vAlign w:val="bottom"/>
            <w:hideMark/>
          </w:tcPr>
          <w:p w14:paraId="2C3539BF" w14:textId="77777777" w:rsidR="00791C7D" w:rsidRPr="00791C7D" w:rsidRDefault="00791C7D" w:rsidP="00791C7D">
            <w:pPr>
              <w:widowControl/>
              <w:suppressLineNumbers w:val="0"/>
              <w:suppressAutoHyphens w:val="0"/>
              <w:ind w:firstLine="0"/>
              <w:jc w:val="center"/>
              <w:rPr>
                <w:color w:val="000000"/>
                <w:sz w:val="20"/>
              </w:rPr>
            </w:pPr>
            <w:r w:rsidRPr="00791C7D">
              <w:rPr>
                <w:color w:val="000000"/>
                <w:sz w:val="20"/>
              </w:rPr>
              <w:t>-</w:t>
            </w:r>
          </w:p>
        </w:tc>
      </w:tr>
    </w:tbl>
    <w:p w14:paraId="7FBF05F6" w14:textId="77777777" w:rsidR="00E7557D" w:rsidRDefault="00E7557D" w:rsidP="00867F30">
      <w:pPr>
        <w:ind w:firstLine="708"/>
        <w:rPr>
          <w:szCs w:val="24"/>
        </w:rPr>
      </w:pPr>
    </w:p>
    <w:p w14:paraId="6B03A135" w14:textId="0EDE430D" w:rsidR="008970AA" w:rsidRDefault="008970AA" w:rsidP="00867F30">
      <w:pPr>
        <w:ind w:firstLine="708"/>
        <w:rPr>
          <w:szCs w:val="24"/>
        </w:rPr>
      </w:pPr>
      <w:r>
        <w:rPr>
          <w:szCs w:val="24"/>
        </w:rPr>
        <w:t xml:space="preserve">A partir da definição da amostra, </w:t>
      </w:r>
      <w:r w:rsidR="00804BEE">
        <w:rPr>
          <w:szCs w:val="24"/>
        </w:rPr>
        <w:t>delimitaram-se</w:t>
      </w:r>
      <w:r>
        <w:rPr>
          <w:szCs w:val="24"/>
        </w:rPr>
        <w:t xml:space="preserve"> os período</w:t>
      </w:r>
      <w:r w:rsidR="00804BEE">
        <w:rPr>
          <w:szCs w:val="24"/>
        </w:rPr>
        <w:t>s</w:t>
      </w:r>
      <w:r>
        <w:rPr>
          <w:szCs w:val="24"/>
        </w:rPr>
        <w:t xml:space="preserve"> de expansão e recessão com base no relatório do CODACE</w:t>
      </w:r>
      <w:r w:rsidR="00867F30">
        <w:rPr>
          <w:szCs w:val="24"/>
        </w:rPr>
        <w:t xml:space="preserve"> (2017)</w:t>
      </w:r>
      <w:r w:rsidR="00804BEE">
        <w:rPr>
          <w:szCs w:val="24"/>
        </w:rPr>
        <w:t>. A</w:t>
      </w:r>
      <w:r>
        <w:rPr>
          <w:szCs w:val="24"/>
        </w:rPr>
        <w:t xml:space="preserve"> expan</w:t>
      </w:r>
      <w:r w:rsidR="00F66016">
        <w:rPr>
          <w:szCs w:val="24"/>
        </w:rPr>
        <w:t>são econômica ficou estabelecida</w:t>
      </w:r>
      <w:r>
        <w:rPr>
          <w:szCs w:val="24"/>
        </w:rPr>
        <w:t xml:space="preserve"> </w:t>
      </w:r>
      <w:r w:rsidR="00F66016">
        <w:rPr>
          <w:szCs w:val="24"/>
        </w:rPr>
        <w:t>n</w:t>
      </w:r>
      <w:r>
        <w:rPr>
          <w:szCs w:val="24"/>
        </w:rPr>
        <w:t xml:space="preserve">o período compreendido entre os anos de 2009 a 2013, enquanto entre 2014 a 2016, foi definido como recessão. </w:t>
      </w:r>
    </w:p>
    <w:p w14:paraId="054C5BF4" w14:textId="77777777" w:rsidR="008970AA" w:rsidRDefault="00F66016" w:rsidP="00867F30">
      <w:pPr>
        <w:rPr>
          <w:szCs w:val="24"/>
        </w:rPr>
      </w:pPr>
      <w:r>
        <w:rPr>
          <w:szCs w:val="24"/>
        </w:rPr>
        <w:t>Com esta delimitação</w:t>
      </w:r>
      <w:r w:rsidR="008970AA">
        <w:rPr>
          <w:szCs w:val="24"/>
        </w:rPr>
        <w:t>, foram coletados os valores da DVA</w:t>
      </w:r>
      <w:r>
        <w:rPr>
          <w:szCs w:val="24"/>
        </w:rPr>
        <w:t xml:space="preserve">, entre 2009 a 2016, no que tange ao </w:t>
      </w:r>
      <w:r w:rsidR="008970AA">
        <w:rPr>
          <w:szCs w:val="24"/>
        </w:rPr>
        <w:t xml:space="preserve">valor adicionado total distribuir bem como os grupos de distribuição que são pessoal, impostos, taxas e contribuições, remuneração de capitais de terceiros e remuneração de capitais próprios. Esses valores foram atualizados pelo IPCA, assim como feito no estudo de Santos </w:t>
      </w:r>
      <w:r w:rsidR="008970AA" w:rsidRPr="006B0DE7">
        <w:rPr>
          <w:i/>
          <w:szCs w:val="24"/>
        </w:rPr>
        <w:t>et. al</w:t>
      </w:r>
      <w:r w:rsidR="008970AA">
        <w:rPr>
          <w:szCs w:val="24"/>
        </w:rPr>
        <w:t xml:space="preserve"> (2013) e para atualização foi utilizada na presente pesquisa a metodologia de cálculo obtida por meio da calculadora do cidadão disponível no si</w:t>
      </w:r>
      <w:r>
        <w:rPr>
          <w:szCs w:val="24"/>
        </w:rPr>
        <w:t>te do Banco Central do Brasil (</w:t>
      </w:r>
      <w:r w:rsidR="008970AA">
        <w:rPr>
          <w:szCs w:val="24"/>
        </w:rPr>
        <w:t>BCB</w:t>
      </w:r>
      <w:r>
        <w:rPr>
          <w:szCs w:val="24"/>
        </w:rPr>
        <w:t>)</w:t>
      </w:r>
      <w:r w:rsidR="008970AA">
        <w:rPr>
          <w:szCs w:val="24"/>
        </w:rPr>
        <w:t>.</w:t>
      </w:r>
    </w:p>
    <w:p w14:paraId="5D70501E" w14:textId="77777777" w:rsidR="008970AA" w:rsidRDefault="008970AA" w:rsidP="008970AA">
      <w:pPr>
        <w:rPr>
          <w:szCs w:val="24"/>
        </w:rPr>
      </w:pPr>
      <w:r>
        <w:rPr>
          <w:szCs w:val="24"/>
        </w:rPr>
        <w:t>Junto com uma análise qualitativa descritiva, também</w:t>
      </w:r>
      <w:r w:rsidRPr="00B94712">
        <w:rPr>
          <w:szCs w:val="24"/>
        </w:rPr>
        <w:t xml:space="preserve"> </w:t>
      </w:r>
      <w:r>
        <w:rPr>
          <w:szCs w:val="24"/>
        </w:rPr>
        <w:t>foi efetuado</w:t>
      </w:r>
      <w:r w:rsidRPr="00B94712">
        <w:rPr>
          <w:szCs w:val="24"/>
        </w:rPr>
        <w:t xml:space="preserve"> o cálculo da taxa de crescimento da riqueza gerada e distribuída conforme metodologia utilizada por Santos et. al (2013</w:t>
      </w:r>
      <w:r>
        <w:rPr>
          <w:szCs w:val="24"/>
        </w:rPr>
        <w:t>, p.53</w:t>
      </w:r>
      <w:r w:rsidRPr="00B94712">
        <w:rPr>
          <w:szCs w:val="24"/>
        </w:rPr>
        <w:t>), onde “a taxa de crescimento (r) representa o percentual de incremento médio anual de um ano para o outro nos períodos considerados”, de modo que ela representa uma média anual das taxas de crescimento encontradas em cada período.</w:t>
      </w:r>
    </w:p>
    <w:p w14:paraId="38BE7CBE" w14:textId="77777777" w:rsidR="008970AA" w:rsidRDefault="008970AA" w:rsidP="008970AA">
      <w:pPr>
        <w:rPr>
          <w:sz w:val="20"/>
        </w:rPr>
      </w:pPr>
      <w:r>
        <w:rPr>
          <w:szCs w:val="24"/>
        </w:rPr>
        <w:t xml:space="preserve">Como entendimento desta descrição, no presente estudo o valor encontrado corresponde ao cálculo de variação de crescimento de geração e distribuição de riqueza de um ano em relação ao seu anterior. Encontradas as taxas dessa forma, </w:t>
      </w:r>
      <w:r w:rsidR="00F66016">
        <w:rPr>
          <w:szCs w:val="24"/>
        </w:rPr>
        <w:t xml:space="preserve">o resultado </w:t>
      </w:r>
      <w:r>
        <w:rPr>
          <w:szCs w:val="24"/>
        </w:rPr>
        <w:t>taxa de crescimento apresentada será o somatório de todas as taxas dividas pelo número de variações encontradas (sendo 4 no período de expansão e duas no período de recessão, conforme demo</w:t>
      </w:r>
      <w:r w:rsidR="00725112">
        <w:rPr>
          <w:szCs w:val="24"/>
        </w:rPr>
        <w:t>n</w:t>
      </w:r>
      <w:r>
        <w:rPr>
          <w:szCs w:val="24"/>
        </w:rPr>
        <w:t xml:space="preserve">strado na </w:t>
      </w:r>
      <w:r w:rsidR="00F66016">
        <w:rPr>
          <w:szCs w:val="24"/>
        </w:rPr>
        <w:t>T</w:t>
      </w:r>
      <w:r>
        <w:rPr>
          <w:szCs w:val="24"/>
        </w:rPr>
        <w:t>abela 3).</w:t>
      </w:r>
    </w:p>
    <w:p w14:paraId="7EC469CC" w14:textId="77777777" w:rsidR="008970AA" w:rsidRDefault="008970AA" w:rsidP="008970AA">
      <w:pPr>
        <w:rPr>
          <w:sz w:val="20"/>
        </w:rPr>
      </w:pPr>
    </w:p>
    <w:p w14:paraId="501BC313" w14:textId="77777777" w:rsidR="008970AA" w:rsidRPr="00256B88" w:rsidRDefault="008970AA" w:rsidP="00E7557D">
      <w:pPr>
        <w:spacing w:line="259" w:lineRule="auto"/>
        <w:ind w:firstLine="0"/>
        <w:rPr>
          <w:sz w:val="20"/>
        </w:rPr>
      </w:pPr>
      <w:r w:rsidRPr="00256B88">
        <w:rPr>
          <w:sz w:val="20"/>
        </w:rPr>
        <w:t xml:space="preserve">Tabela 3: </w:t>
      </w:r>
      <w:r>
        <w:rPr>
          <w:sz w:val="20"/>
        </w:rPr>
        <w:t>Variação de geração e distribuição de riqueza</w:t>
      </w:r>
      <w:r w:rsidRPr="00256B88">
        <w:rPr>
          <w:sz w:val="20"/>
        </w:rPr>
        <w:t xml:space="preserve"> </w:t>
      </w:r>
      <w:r>
        <w:rPr>
          <w:sz w:val="20"/>
        </w:rPr>
        <w:t>calculadas</w:t>
      </w:r>
    </w:p>
    <w:tbl>
      <w:tblPr>
        <w:tblW w:w="9405" w:type="dxa"/>
        <w:tblCellMar>
          <w:left w:w="70" w:type="dxa"/>
          <w:right w:w="70" w:type="dxa"/>
        </w:tblCellMar>
        <w:tblLook w:val="04A0" w:firstRow="1" w:lastRow="0" w:firstColumn="1" w:lastColumn="0" w:noHBand="0" w:noVBand="1"/>
      </w:tblPr>
      <w:tblGrid>
        <w:gridCol w:w="2500"/>
        <w:gridCol w:w="3454"/>
        <w:gridCol w:w="191"/>
        <w:gridCol w:w="3260"/>
      </w:tblGrid>
      <w:tr w:rsidR="00F66016" w:rsidRPr="00791C7D" w14:paraId="30BA7261" w14:textId="77777777" w:rsidTr="00F66016">
        <w:trPr>
          <w:trHeight w:val="255"/>
        </w:trPr>
        <w:tc>
          <w:tcPr>
            <w:tcW w:w="2500" w:type="dxa"/>
            <w:tcBorders>
              <w:top w:val="single" w:sz="4" w:space="0" w:color="auto"/>
              <w:left w:val="nil"/>
              <w:bottom w:val="single" w:sz="4" w:space="0" w:color="auto"/>
              <w:right w:val="single" w:sz="4" w:space="0" w:color="auto"/>
            </w:tcBorders>
            <w:shd w:val="clear" w:color="auto" w:fill="auto"/>
            <w:noWrap/>
            <w:vAlign w:val="bottom"/>
            <w:hideMark/>
          </w:tcPr>
          <w:p w14:paraId="5417956E" w14:textId="77777777" w:rsidR="00F66016" w:rsidRPr="00791C7D" w:rsidRDefault="00F66016" w:rsidP="00791C7D">
            <w:pPr>
              <w:widowControl/>
              <w:suppressLineNumbers w:val="0"/>
              <w:suppressAutoHyphens w:val="0"/>
              <w:ind w:firstLine="0"/>
              <w:jc w:val="center"/>
              <w:rPr>
                <w:b/>
                <w:bCs/>
                <w:color w:val="000000"/>
                <w:sz w:val="20"/>
              </w:rPr>
            </w:pPr>
            <w:r w:rsidRPr="00791C7D">
              <w:rPr>
                <w:b/>
                <w:bCs/>
                <w:color w:val="000000"/>
                <w:sz w:val="20"/>
              </w:rPr>
              <w:t> </w:t>
            </w:r>
          </w:p>
        </w:tc>
        <w:tc>
          <w:tcPr>
            <w:tcW w:w="3454" w:type="dxa"/>
            <w:tcBorders>
              <w:top w:val="single" w:sz="4" w:space="0" w:color="auto"/>
              <w:left w:val="nil"/>
              <w:bottom w:val="single" w:sz="4" w:space="0" w:color="auto"/>
              <w:right w:val="single" w:sz="4" w:space="0" w:color="auto"/>
            </w:tcBorders>
            <w:shd w:val="clear" w:color="auto" w:fill="auto"/>
            <w:noWrap/>
            <w:vAlign w:val="bottom"/>
            <w:hideMark/>
          </w:tcPr>
          <w:p w14:paraId="27CC7B86" w14:textId="77777777" w:rsidR="00F66016" w:rsidRPr="00A7660B" w:rsidRDefault="00F66016" w:rsidP="00791C7D">
            <w:pPr>
              <w:widowControl/>
              <w:suppressLineNumbers w:val="0"/>
              <w:suppressAutoHyphens w:val="0"/>
              <w:ind w:firstLine="0"/>
              <w:jc w:val="center"/>
              <w:rPr>
                <w:b/>
                <w:bCs/>
                <w:color w:val="000000"/>
                <w:sz w:val="20"/>
              </w:rPr>
            </w:pPr>
            <w:r w:rsidRPr="00A7660B">
              <w:rPr>
                <w:b/>
                <w:bCs/>
                <w:color w:val="000000"/>
                <w:sz w:val="20"/>
              </w:rPr>
              <w:t>Expansão</w:t>
            </w:r>
          </w:p>
        </w:tc>
        <w:tc>
          <w:tcPr>
            <w:tcW w:w="191" w:type="dxa"/>
            <w:tcBorders>
              <w:top w:val="single" w:sz="4" w:space="0" w:color="auto"/>
              <w:left w:val="nil"/>
              <w:bottom w:val="single" w:sz="4" w:space="0" w:color="auto"/>
              <w:right w:val="nil"/>
            </w:tcBorders>
          </w:tcPr>
          <w:p w14:paraId="6AAB7FFF" w14:textId="77777777" w:rsidR="00F66016" w:rsidRPr="00A7660B" w:rsidRDefault="00F66016" w:rsidP="00791C7D">
            <w:pPr>
              <w:widowControl/>
              <w:suppressLineNumbers w:val="0"/>
              <w:suppressAutoHyphens w:val="0"/>
              <w:ind w:firstLine="0"/>
              <w:jc w:val="center"/>
              <w:rPr>
                <w:b/>
                <w:bCs/>
                <w:color w:val="000000"/>
                <w:sz w:val="20"/>
              </w:rPr>
            </w:pPr>
          </w:p>
        </w:tc>
        <w:tc>
          <w:tcPr>
            <w:tcW w:w="3260" w:type="dxa"/>
            <w:tcBorders>
              <w:top w:val="single" w:sz="4" w:space="0" w:color="auto"/>
              <w:left w:val="nil"/>
              <w:bottom w:val="single" w:sz="4" w:space="0" w:color="auto"/>
              <w:right w:val="nil"/>
            </w:tcBorders>
            <w:shd w:val="clear" w:color="auto" w:fill="auto"/>
            <w:noWrap/>
            <w:vAlign w:val="bottom"/>
            <w:hideMark/>
          </w:tcPr>
          <w:p w14:paraId="505A3BF1" w14:textId="77777777" w:rsidR="00F66016" w:rsidRPr="00A7660B" w:rsidRDefault="00F66016" w:rsidP="00791C7D">
            <w:pPr>
              <w:widowControl/>
              <w:suppressLineNumbers w:val="0"/>
              <w:suppressAutoHyphens w:val="0"/>
              <w:ind w:firstLine="0"/>
              <w:jc w:val="center"/>
              <w:rPr>
                <w:b/>
                <w:bCs/>
                <w:color w:val="000000"/>
                <w:sz w:val="20"/>
              </w:rPr>
            </w:pPr>
            <w:r w:rsidRPr="00A7660B">
              <w:rPr>
                <w:b/>
                <w:bCs/>
                <w:color w:val="000000"/>
                <w:sz w:val="20"/>
              </w:rPr>
              <w:t>Recessão</w:t>
            </w:r>
          </w:p>
        </w:tc>
      </w:tr>
      <w:tr w:rsidR="00F66016" w:rsidRPr="00791C7D" w14:paraId="07494A61" w14:textId="77777777" w:rsidTr="00F66016">
        <w:trPr>
          <w:trHeight w:val="255"/>
        </w:trPr>
        <w:tc>
          <w:tcPr>
            <w:tcW w:w="2500" w:type="dxa"/>
            <w:tcBorders>
              <w:top w:val="nil"/>
              <w:left w:val="nil"/>
              <w:bottom w:val="nil"/>
              <w:right w:val="single" w:sz="4" w:space="0" w:color="auto"/>
            </w:tcBorders>
            <w:shd w:val="clear" w:color="auto" w:fill="auto"/>
            <w:noWrap/>
            <w:vAlign w:val="bottom"/>
            <w:hideMark/>
          </w:tcPr>
          <w:p w14:paraId="7BC2C74E"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1º Variação Δ</w:t>
            </w:r>
          </w:p>
        </w:tc>
        <w:tc>
          <w:tcPr>
            <w:tcW w:w="3454" w:type="dxa"/>
            <w:tcBorders>
              <w:top w:val="nil"/>
              <w:left w:val="nil"/>
              <w:bottom w:val="nil"/>
              <w:right w:val="single" w:sz="4" w:space="0" w:color="auto"/>
            </w:tcBorders>
            <w:shd w:val="clear" w:color="auto" w:fill="auto"/>
            <w:noWrap/>
            <w:vAlign w:val="bottom"/>
            <w:hideMark/>
          </w:tcPr>
          <w:p w14:paraId="7A64F3E4"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2009 - 2010</w:t>
            </w:r>
          </w:p>
        </w:tc>
        <w:tc>
          <w:tcPr>
            <w:tcW w:w="191" w:type="dxa"/>
            <w:tcBorders>
              <w:top w:val="nil"/>
              <w:left w:val="nil"/>
              <w:bottom w:val="nil"/>
              <w:right w:val="nil"/>
            </w:tcBorders>
          </w:tcPr>
          <w:p w14:paraId="0DED7C13" w14:textId="77777777" w:rsidR="00F66016" w:rsidRPr="00791C7D" w:rsidRDefault="00F66016" w:rsidP="00791C7D">
            <w:pPr>
              <w:widowControl/>
              <w:suppressLineNumbers w:val="0"/>
              <w:suppressAutoHyphens w:val="0"/>
              <w:ind w:firstLine="0"/>
              <w:jc w:val="center"/>
              <w:rPr>
                <w:color w:val="000000"/>
                <w:sz w:val="20"/>
              </w:rPr>
            </w:pPr>
          </w:p>
        </w:tc>
        <w:tc>
          <w:tcPr>
            <w:tcW w:w="3260" w:type="dxa"/>
            <w:tcBorders>
              <w:top w:val="nil"/>
              <w:left w:val="nil"/>
              <w:bottom w:val="nil"/>
              <w:right w:val="nil"/>
            </w:tcBorders>
            <w:shd w:val="clear" w:color="auto" w:fill="auto"/>
            <w:noWrap/>
            <w:vAlign w:val="bottom"/>
            <w:hideMark/>
          </w:tcPr>
          <w:p w14:paraId="6ABD9D52"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2014 - 2015</w:t>
            </w:r>
          </w:p>
        </w:tc>
      </w:tr>
      <w:tr w:rsidR="00F66016" w:rsidRPr="00791C7D" w14:paraId="55E443E9" w14:textId="77777777" w:rsidTr="00F66016">
        <w:trPr>
          <w:trHeight w:val="255"/>
        </w:trPr>
        <w:tc>
          <w:tcPr>
            <w:tcW w:w="2500" w:type="dxa"/>
            <w:tcBorders>
              <w:top w:val="nil"/>
              <w:left w:val="nil"/>
              <w:bottom w:val="nil"/>
              <w:right w:val="single" w:sz="4" w:space="0" w:color="auto"/>
            </w:tcBorders>
            <w:shd w:val="clear" w:color="auto" w:fill="auto"/>
            <w:noWrap/>
            <w:vAlign w:val="bottom"/>
            <w:hideMark/>
          </w:tcPr>
          <w:p w14:paraId="21B71AD2"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2º Variação Δ</w:t>
            </w:r>
          </w:p>
        </w:tc>
        <w:tc>
          <w:tcPr>
            <w:tcW w:w="3454" w:type="dxa"/>
            <w:tcBorders>
              <w:top w:val="nil"/>
              <w:left w:val="nil"/>
              <w:bottom w:val="nil"/>
              <w:right w:val="single" w:sz="4" w:space="0" w:color="auto"/>
            </w:tcBorders>
            <w:shd w:val="clear" w:color="auto" w:fill="auto"/>
            <w:noWrap/>
            <w:vAlign w:val="bottom"/>
            <w:hideMark/>
          </w:tcPr>
          <w:p w14:paraId="088CAAE2"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2010 - 2011</w:t>
            </w:r>
          </w:p>
        </w:tc>
        <w:tc>
          <w:tcPr>
            <w:tcW w:w="191" w:type="dxa"/>
            <w:tcBorders>
              <w:top w:val="nil"/>
              <w:left w:val="nil"/>
              <w:bottom w:val="nil"/>
              <w:right w:val="nil"/>
            </w:tcBorders>
          </w:tcPr>
          <w:p w14:paraId="1784433F" w14:textId="77777777" w:rsidR="00F66016" w:rsidRPr="00791C7D" w:rsidRDefault="00F66016" w:rsidP="00791C7D">
            <w:pPr>
              <w:widowControl/>
              <w:suppressLineNumbers w:val="0"/>
              <w:suppressAutoHyphens w:val="0"/>
              <w:ind w:firstLine="0"/>
              <w:jc w:val="center"/>
              <w:rPr>
                <w:color w:val="000000"/>
                <w:sz w:val="20"/>
              </w:rPr>
            </w:pPr>
          </w:p>
        </w:tc>
        <w:tc>
          <w:tcPr>
            <w:tcW w:w="3260" w:type="dxa"/>
            <w:tcBorders>
              <w:top w:val="nil"/>
              <w:left w:val="nil"/>
              <w:bottom w:val="nil"/>
              <w:right w:val="nil"/>
            </w:tcBorders>
            <w:shd w:val="clear" w:color="auto" w:fill="auto"/>
            <w:noWrap/>
            <w:vAlign w:val="bottom"/>
            <w:hideMark/>
          </w:tcPr>
          <w:p w14:paraId="481482A1"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2015 - 2016</w:t>
            </w:r>
          </w:p>
        </w:tc>
      </w:tr>
      <w:tr w:rsidR="00F66016" w:rsidRPr="00791C7D" w14:paraId="303C7350" w14:textId="77777777" w:rsidTr="00F66016">
        <w:trPr>
          <w:trHeight w:val="255"/>
        </w:trPr>
        <w:tc>
          <w:tcPr>
            <w:tcW w:w="2500" w:type="dxa"/>
            <w:tcBorders>
              <w:top w:val="nil"/>
              <w:left w:val="nil"/>
              <w:bottom w:val="nil"/>
              <w:right w:val="single" w:sz="4" w:space="0" w:color="auto"/>
            </w:tcBorders>
            <w:shd w:val="clear" w:color="auto" w:fill="auto"/>
            <w:noWrap/>
            <w:vAlign w:val="bottom"/>
            <w:hideMark/>
          </w:tcPr>
          <w:p w14:paraId="310E314A"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3º Variação Δ</w:t>
            </w:r>
          </w:p>
        </w:tc>
        <w:tc>
          <w:tcPr>
            <w:tcW w:w="3454" w:type="dxa"/>
            <w:tcBorders>
              <w:top w:val="nil"/>
              <w:left w:val="nil"/>
              <w:bottom w:val="nil"/>
              <w:right w:val="single" w:sz="4" w:space="0" w:color="auto"/>
            </w:tcBorders>
            <w:shd w:val="clear" w:color="auto" w:fill="auto"/>
            <w:noWrap/>
            <w:vAlign w:val="bottom"/>
            <w:hideMark/>
          </w:tcPr>
          <w:p w14:paraId="0885B017"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2011 - 2012</w:t>
            </w:r>
          </w:p>
        </w:tc>
        <w:tc>
          <w:tcPr>
            <w:tcW w:w="191" w:type="dxa"/>
            <w:tcBorders>
              <w:top w:val="nil"/>
              <w:left w:val="nil"/>
              <w:bottom w:val="nil"/>
              <w:right w:val="nil"/>
            </w:tcBorders>
          </w:tcPr>
          <w:p w14:paraId="0BC10B6B" w14:textId="77777777" w:rsidR="00F66016" w:rsidRPr="00791C7D" w:rsidRDefault="00F66016" w:rsidP="00791C7D">
            <w:pPr>
              <w:widowControl/>
              <w:suppressLineNumbers w:val="0"/>
              <w:suppressAutoHyphens w:val="0"/>
              <w:ind w:firstLine="0"/>
              <w:jc w:val="center"/>
              <w:rPr>
                <w:color w:val="000000"/>
                <w:sz w:val="20"/>
              </w:rPr>
            </w:pPr>
          </w:p>
        </w:tc>
        <w:tc>
          <w:tcPr>
            <w:tcW w:w="3260" w:type="dxa"/>
            <w:tcBorders>
              <w:top w:val="nil"/>
              <w:left w:val="nil"/>
              <w:bottom w:val="nil"/>
              <w:right w:val="nil"/>
            </w:tcBorders>
            <w:shd w:val="clear" w:color="auto" w:fill="auto"/>
            <w:noWrap/>
            <w:vAlign w:val="bottom"/>
            <w:hideMark/>
          </w:tcPr>
          <w:p w14:paraId="07DFD008" w14:textId="77777777" w:rsidR="00F66016" w:rsidRPr="00791C7D" w:rsidRDefault="00F66016" w:rsidP="00791C7D">
            <w:pPr>
              <w:widowControl/>
              <w:suppressLineNumbers w:val="0"/>
              <w:suppressAutoHyphens w:val="0"/>
              <w:ind w:firstLine="0"/>
              <w:jc w:val="center"/>
              <w:rPr>
                <w:color w:val="000000"/>
                <w:sz w:val="20"/>
              </w:rPr>
            </w:pPr>
          </w:p>
        </w:tc>
      </w:tr>
      <w:tr w:rsidR="00F66016" w:rsidRPr="00791C7D" w14:paraId="2C83AE70" w14:textId="77777777" w:rsidTr="00F66016">
        <w:trPr>
          <w:trHeight w:val="255"/>
        </w:trPr>
        <w:tc>
          <w:tcPr>
            <w:tcW w:w="2500" w:type="dxa"/>
            <w:tcBorders>
              <w:top w:val="nil"/>
              <w:left w:val="nil"/>
              <w:bottom w:val="single" w:sz="4" w:space="0" w:color="auto"/>
              <w:right w:val="single" w:sz="4" w:space="0" w:color="auto"/>
            </w:tcBorders>
            <w:shd w:val="clear" w:color="auto" w:fill="auto"/>
            <w:noWrap/>
            <w:vAlign w:val="bottom"/>
            <w:hideMark/>
          </w:tcPr>
          <w:p w14:paraId="1A208494"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4º Variação Δ</w:t>
            </w:r>
          </w:p>
        </w:tc>
        <w:tc>
          <w:tcPr>
            <w:tcW w:w="3454" w:type="dxa"/>
            <w:tcBorders>
              <w:top w:val="nil"/>
              <w:left w:val="nil"/>
              <w:bottom w:val="single" w:sz="4" w:space="0" w:color="auto"/>
              <w:right w:val="single" w:sz="4" w:space="0" w:color="auto"/>
            </w:tcBorders>
            <w:shd w:val="clear" w:color="auto" w:fill="auto"/>
            <w:noWrap/>
            <w:vAlign w:val="bottom"/>
            <w:hideMark/>
          </w:tcPr>
          <w:p w14:paraId="6C8AE44D"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2012 - 2013</w:t>
            </w:r>
          </w:p>
        </w:tc>
        <w:tc>
          <w:tcPr>
            <w:tcW w:w="191" w:type="dxa"/>
            <w:tcBorders>
              <w:top w:val="nil"/>
              <w:left w:val="nil"/>
              <w:bottom w:val="single" w:sz="4" w:space="0" w:color="auto"/>
              <w:right w:val="nil"/>
            </w:tcBorders>
          </w:tcPr>
          <w:p w14:paraId="27654334" w14:textId="77777777" w:rsidR="00F66016" w:rsidRPr="00791C7D" w:rsidRDefault="00F66016" w:rsidP="00791C7D">
            <w:pPr>
              <w:widowControl/>
              <w:suppressLineNumbers w:val="0"/>
              <w:suppressAutoHyphens w:val="0"/>
              <w:ind w:firstLine="0"/>
              <w:jc w:val="center"/>
              <w:rPr>
                <w:color w:val="000000"/>
                <w:sz w:val="20"/>
              </w:rPr>
            </w:pPr>
          </w:p>
        </w:tc>
        <w:tc>
          <w:tcPr>
            <w:tcW w:w="3260" w:type="dxa"/>
            <w:tcBorders>
              <w:top w:val="nil"/>
              <w:left w:val="nil"/>
              <w:bottom w:val="single" w:sz="4" w:space="0" w:color="auto"/>
              <w:right w:val="nil"/>
            </w:tcBorders>
            <w:shd w:val="clear" w:color="auto" w:fill="auto"/>
            <w:noWrap/>
            <w:vAlign w:val="bottom"/>
            <w:hideMark/>
          </w:tcPr>
          <w:p w14:paraId="72CFE4A6" w14:textId="77777777" w:rsidR="00F66016" w:rsidRPr="00791C7D" w:rsidRDefault="00F66016" w:rsidP="00791C7D">
            <w:pPr>
              <w:widowControl/>
              <w:suppressLineNumbers w:val="0"/>
              <w:suppressAutoHyphens w:val="0"/>
              <w:ind w:firstLine="0"/>
              <w:jc w:val="center"/>
              <w:rPr>
                <w:color w:val="000000"/>
                <w:sz w:val="20"/>
              </w:rPr>
            </w:pPr>
            <w:r w:rsidRPr="00791C7D">
              <w:rPr>
                <w:color w:val="000000"/>
                <w:sz w:val="20"/>
              </w:rPr>
              <w:t> </w:t>
            </w:r>
          </w:p>
        </w:tc>
      </w:tr>
    </w:tbl>
    <w:p w14:paraId="52C7DB86" w14:textId="77777777" w:rsidR="00697242" w:rsidRDefault="00697242" w:rsidP="008970AA">
      <w:pPr>
        <w:rPr>
          <w:szCs w:val="24"/>
        </w:rPr>
      </w:pPr>
    </w:p>
    <w:p w14:paraId="583D7F8A" w14:textId="5677E4F0" w:rsidR="008970AA" w:rsidRDefault="00697242" w:rsidP="008970AA">
      <w:pPr>
        <w:rPr>
          <w:szCs w:val="24"/>
        </w:rPr>
      </w:pPr>
      <w:r>
        <w:rPr>
          <w:szCs w:val="24"/>
        </w:rPr>
        <w:t>As taxas de crescimentos são calculadas com base nos períodos de expansão e recessão, conforme a Equação I</w:t>
      </w:r>
      <w:r w:rsidR="00E7557D">
        <w:rPr>
          <w:szCs w:val="24"/>
        </w:rPr>
        <w:t>.</w:t>
      </w:r>
    </w:p>
    <w:p w14:paraId="4A52C57F" w14:textId="77777777" w:rsidR="00791C7D" w:rsidRPr="005D1D6B" w:rsidRDefault="00791C7D" w:rsidP="00791C7D">
      <w:pPr>
        <w:tabs>
          <w:tab w:val="left" w:pos="435"/>
          <w:tab w:val="center" w:pos="4535"/>
        </w:tabs>
        <w:ind w:firstLine="0"/>
        <w:jc w:val="right"/>
        <w:rPr>
          <w:szCs w:val="24"/>
        </w:rPr>
      </w:pPr>
      <m:oMath>
        <m:r>
          <w:rPr>
            <w:rFonts w:ascii="Cambria Math" w:hAnsi="Cambria Math"/>
            <w:sz w:val="28"/>
            <w:szCs w:val="28"/>
          </w:rPr>
          <m:t>TC=</m:t>
        </m:r>
        <m:f>
          <m:fPr>
            <m:ctrlPr>
              <w:rPr>
                <w:rFonts w:ascii="Cambria Math" w:hAnsi="Cambria Math"/>
                <w:i/>
                <w:sz w:val="28"/>
                <w:szCs w:val="28"/>
              </w:rPr>
            </m:ctrlPr>
          </m:fPr>
          <m:num>
            <m:nary>
              <m:naryPr>
                <m:chr m:val="∑"/>
                <m:limLoc m:val="undOvr"/>
                <m:subHide m:val="1"/>
                <m:supHide m:val="1"/>
                <m:ctrlPr>
                  <w:rPr>
                    <w:rFonts w:ascii="Cambria Math" w:hAnsi="Cambria Math"/>
                    <w:i/>
                    <w:sz w:val="28"/>
                    <w:szCs w:val="28"/>
                  </w:rPr>
                </m:ctrlPr>
              </m:naryPr>
              <m:sub/>
              <m:sup/>
              <m:e>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n,n-1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e>
                  <m:sub>
                    <m:r>
                      <w:rPr>
                        <w:rFonts w:ascii="Cambria Math" w:hAnsi="Cambria Math"/>
                        <w:sz w:val="28"/>
                        <w:szCs w:val="28"/>
                      </w:rPr>
                      <m:t>n,n-1</m:t>
                    </m:r>
                  </m:sub>
                </m:sSub>
              </m:e>
            </m:nary>
          </m:num>
          <m:den>
            <m:r>
              <w:rPr>
                <w:rFonts w:ascii="Cambria Math" w:hAnsi="Cambria Math"/>
                <w:sz w:val="28"/>
                <w:szCs w:val="28"/>
              </w:rPr>
              <m:t>nº de variações (∆)</m:t>
            </m:r>
          </m:den>
        </m:f>
      </m:oMath>
      <w:r>
        <w:rPr>
          <w:szCs w:val="24"/>
        </w:rPr>
        <w:t xml:space="preserve">                                                        (I)</w:t>
      </w:r>
    </w:p>
    <w:p w14:paraId="646F7658" w14:textId="77777777" w:rsidR="008970AA" w:rsidRDefault="008970AA" w:rsidP="008970AA">
      <w:pPr>
        <w:rPr>
          <w:szCs w:val="24"/>
        </w:rPr>
      </w:pPr>
    </w:p>
    <w:p w14:paraId="231C0CAD" w14:textId="77777777" w:rsidR="00791C7D" w:rsidRDefault="00791C7D" w:rsidP="00697242">
      <w:pPr>
        <w:ind w:firstLine="0"/>
        <w:rPr>
          <w:szCs w:val="24"/>
        </w:rPr>
      </w:pPr>
      <w:r>
        <w:rPr>
          <w:szCs w:val="24"/>
        </w:rPr>
        <w:t>Onde:</w:t>
      </w:r>
    </w:p>
    <w:p w14:paraId="061F023F" w14:textId="77777777" w:rsidR="00791C7D" w:rsidRDefault="00791C7D" w:rsidP="00697242">
      <w:pPr>
        <w:ind w:firstLine="708"/>
        <w:rPr>
          <w:szCs w:val="24"/>
        </w:rPr>
      </w:pPr>
      <w:r>
        <w:rPr>
          <w:szCs w:val="24"/>
        </w:rPr>
        <w:t>TC representa a taxa de crescimento referente a expansão ou a recessão;</w:t>
      </w:r>
    </w:p>
    <w:p w14:paraId="6EA5E39B" w14:textId="77777777" w:rsidR="00791C7D" w:rsidRDefault="002644C3" w:rsidP="00697242">
      <w:pPr>
        <w:ind w:firstLine="708"/>
        <w:rPr>
          <w:szCs w:val="24"/>
        </w:rPr>
      </w:pPr>
      <m:oMath>
        <m:sSub>
          <m:sSubPr>
            <m:ctrlPr>
              <w:rPr>
                <w:rFonts w:ascii="Cambria Math" w:hAnsi="Cambria Math"/>
                <w:i/>
                <w:szCs w:val="24"/>
              </w:rPr>
            </m:ctrlPr>
          </m:sSubPr>
          <m:e>
            <m:r>
              <w:rPr>
                <w:rFonts w:ascii="Cambria Math" w:hAnsi="Cambria Math"/>
                <w:szCs w:val="24"/>
              </w:rPr>
              <m:t>∆</m:t>
            </m:r>
          </m:e>
          <m:sub>
            <m:r>
              <w:rPr>
                <w:rFonts w:ascii="Cambria Math" w:hAnsi="Cambria Math"/>
                <w:szCs w:val="24"/>
              </w:rPr>
              <m:t>n,n-1</m:t>
            </m:r>
          </m:sub>
        </m:sSub>
      </m:oMath>
      <w:r w:rsidR="00791C7D">
        <w:rPr>
          <w:szCs w:val="24"/>
        </w:rPr>
        <w:t xml:space="preserve"> representa a variação percentual encontrada de um ano em relação ao seu anterior; </w:t>
      </w:r>
    </w:p>
    <w:p w14:paraId="6D199E67" w14:textId="77777777" w:rsidR="00791C7D" w:rsidRDefault="00791C7D" w:rsidP="00697242">
      <w:pPr>
        <w:ind w:firstLine="708"/>
        <w:rPr>
          <w:szCs w:val="24"/>
        </w:rPr>
      </w:pPr>
      <w:r>
        <w:rPr>
          <w:szCs w:val="24"/>
        </w:rPr>
        <w:t xml:space="preserve">Nº de </w:t>
      </w:r>
      <w:r w:rsidRPr="00210B6D">
        <w:rPr>
          <w:szCs w:val="24"/>
        </w:rPr>
        <w:t>Δ</w:t>
      </w:r>
      <w:r>
        <w:rPr>
          <w:szCs w:val="24"/>
        </w:rPr>
        <w:t xml:space="preserve"> representa o número de variações encontradas referente a expansão ou recessão.</w:t>
      </w:r>
    </w:p>
    <w:p w14:paraId="0ADEC13E" w14:textId="77777777" w:rsidR="00791C7D" w:rsidRDefault="00791C7D" w:rsidP="008970AA">
      <w:pPr>
        <w:rPr>
          <w:szCs w:val="24"/>
        </w:rPr>
      </w:pPr>
    </w:p>
    <w:p w14:paraId="1EA829B0" w14:textId="77777777" w:rsidR="008970AA" w:rsidRDefault="008970AA" w:rsidP="008970AA">
      <w:pPr>
        <w:rPr>
          <w:szCs w:val="24"/>
        </w:rPr>
      </w:pPr>
      <w:r>
        <w:rPr>
          <w:szCs w:val="24"/>
        </w:rPr>
        <w:t>A partir do cálculo das taxas de crescimento da expansão e recessão, foi possível analisar quanto cada setor apresentou de acréscimo/decréscimo médio na geração e distribuição de riqueza nos referidos períodos.</w:t>
      </w:r>
    </w:p>
    <w:p w14:paraId="34540753" w14:textId="77777777" w:rsidR="00AE610B" w:rsidRDefault="00AE610B">
      <w:pPr>
        <w:widowControl/>
        <w:suppressLineNumbers w:val="0"/>
        <w:suppressAutoHyphens w:val="0"/>
        <w:ind w:firstLine="0"/>
        <w:jc w:val="left"/>
        <w:rPr>
          <w:szCs w:val="24"/>
        </w:rPr>
      </w:pPr>
    </w:p>
    <w:p w14:paraId="16A9D272" w14:textId="77777777" w:rsidR="00601967" w:rsidRDefault="00601967" w:rsidP="00601967">
      <w:pPr>
        <w:ind w:firstLine="0"/>
        <w:rPr>
          <w:b/>
          <w:szCs w:val="24"/>
        </w:rPr>
      </w:pPr>
      <w:r>
        <w:rPr>
          <w:b/>
          <w:szCs w:val="24"/>
        </w:rPr>
        <w:t xml:space="preserve">4 </w:t>
      </w:r>
      <w:r w:rsidRPr="00EA3054">
        <w:rPr>
          <w:b/>
          <w:szCs w:val="24"/>
        </w:rPr>
        <w:t>DESCRIÇÃO E ANÁLISE DOS RESULTADOS</w:t>
      </w:r>
    </w:p>
    <w:p w14:paraId="0BFB2A59" w14:textId="77777777" w:rsidR="00601967" w:rsidRDefault="00601967" w:rsidP="00601967">
      <w:pPr>
        <w:ind w:firstLine="0"/>
        <w:rPr>
          <w:b/>
          <w:szCs w:val="24"/>
        </w:rPr>
      </w:pPr>
    </w:p>
    <w:p w14:paraId="3D943E05" w14:textId="77777777" w:rsidR="00601967" w:rsidRPr="00E37148" w:rsidRDefault="00601967" w:rsidP="00601967">
      <w:pPr>
        <w:ind w:firstLine="0"/>
        <w:rPr>
          <w:b/>
          <w:szCs w:val="24"/>
        </w:rPr>
      </w:pPr>
      <w:r>
        <w:rPr>
          <w:b/>
          <w:szCs w:val="24"/>
        </w:rPr>
        <w:t>4.1</w:t>
      </w:r>
      <w:r w:rsidRPr="00E37148">
        <w:rPr>
          <w:b/>
          <w:szCs w:val="24"/>
        </w:rPr>
        <w:t xml:space="preserve"> Geração e distribuição de riqueza no setor de consumo cíclico</w:t>
      </w:r>
    </w:p>
    <w:p w14:paraId="7B1C2DAA" w14:textId="77777777" w:rsidR="00601967" w:rsidRDefault="00601967" w:rsidP="00601967">
      <w:pPr>
        <w:rPr>
          <w:szCs w:val="24"/>
        </w:rPr>
      </w:pPr>
    </w:p>
    <w:p w14:paraId="0310C986" w14:textId="77777777" w:rsidR="00601967" w:rsidRDefault="00601967" w:rsidP="00601967">
      <w:pPr>
        <w:rPr>
          <w:szCs w:val="24"/>
        </w:rPr>
      </w:pPr>
      <w:r>
        <w:rPr>
          <w:szCs w:val="24"/>
        </w:rPr>
        <w:t xml:space="preserve">O setor de consumo cíclico nos anos de 2009 a 2016, gerou e distribui </w:t>
      </w:r>
      <w:r w:rsidR="006C0A1E">
        <w:rPr>
          <w:szCs w:val="24"/>
        </w:rPr>
        <w:t>cerca</w:t>
      </w:r>
      <w:r>
        <w:rPr>
          <w:szCs w:val="24"/>
        </w:rPr>
        <w:t xml:space="preserve"> de R$2,</w:t>
      </w:r>
      <w:r w:rsidR="006C0A1E">
        <w:rPr>
          <w:szCs w:val="24"/>
        </w:rPr>
        <w:t>6 trilhões</w:t>
      </w:r>
      <w:r w:rsidR="00CB446A">
        <w:rPr>
          <w:szCs w:val="24"/>
        </w:rPr>
        <w:t>, sendo aproximadamente R$1,6 trilhão</w:t>
      </w:r>
      <w:r>
        <w:rPr>
          <w:szCs w:val="24"/>
        </w:rPr>
        <w:t xml:space="preserve"> no período de expansão e </w:t>
      </w:r>
      <w:r w:rsidR="00CB446A">
        <w:rPr>
          <w:szCs w:val="24"/>
        </w:rPr>
        <w:t>R$ 1</w:t>
      </w:r>
      <w:r>
        <w:rPr>
          <w:szCs w:val="24"/>
        </w:rPr>
        <w:t xml:space="preserve"> </w:t>
      </w:r>
      <w:r w:rsidR="00CB446A">
        <w:rPr>
          <w:szCs w:val="24"/>
        </w:rPr>
        <w:t>tril</w:t>
      </w:r>
      <w:r>
        <w:rPr>
          <w:szCs w:val="24"/>
        </w:rPr>
        <w:t>hão no período de recessão.</w:t>
      </w:r>
    </w:p>
    <w:p w14:paraId="360FC969" w14:textId="77777777" w:rsidR="00601967" w:rsidRDefault="00601967" w:rsidP="00601967">
      <w:pPr>
        <w:rPr>
          <w:sz w:val="20"/>
        </w:rPr>
      </w:pPr>
    </w:p>
    <w:p w14:paraId="16AE8FAD" w14:textId="77777777" w:rsidR="00601967" w:rsidRDefault="00601967" w:rsidP="00E7557D">
      <w:pPr>
        <w:spacing w:line="259" w:lineRule="auto"/>
        <w:ind w:firstLine="0"/>
        <w:rPr>
          <w:sz w:val="20"/>
        </w:rPr>
      </w:pPr>
      <w:r>
        <w:rPr>
          <w:sz w:val="20"/>
        </w:rPr>
        <w:t>Tabela 4. Valores para o setor de consumo cíclico</w:t>
      </w:r>
      <w:r w:rsidR="00A11345">
        <w:rPr>
          <w:sz w:val="20"/>
        </w:rPr>
        <w:t xml:space="preserve"> (em bilhões de reais)</w:t>
      </w:r>
    </w:p>
    <w:tbl>
      <w:tblPr>
        <w:tblW w:w="5000" w:type="pct"/>
        <w:tblCellMar>
          <w:left w:w="70" w:type="dxa"/>
          <w:right w:w="70" w:type="dxa"/>
        </w:tblCellMar>
        <w:tblLook w:val="04A0" w:firstRow="1" w:lastRow="0" w:firstColumn="1" w:lastColumn="0" w:noHBand="0" w:noVBand="1"/>
      </w:tblPr>
      <w:tblGrid>
        <w:gridCol w:w="1900"/>
        <w:gridCol w:w="2803"/>
        <w:gridCol w:w="1811"/>
        <w:gridCol w:w="2891"/>
      </w:tblGrid>
      <w:tr w:rsidR="00903B8A" w:rsidRPr="00903B8A" w14:paraId="0ACCD057" w14:textId="77777777" w:rsidTr="00A7660B">
        <w:trPr>
          <w:trHeight w:val="255"/>
        </w:trPr>
        <w:tc>
          <w:tcPr>
            <w:tcW w:w="2500"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41CA91C0" w14:textId="77777777" w:rsidR="00903B8A" w:rsidRPr="00A7660B" w:rsidRDefault="00903B8A" w:rsidP="00903B8A">
            <w:pPr>
              <w:widowControl/>
              <w:suppressLineNumbers w:val="0"/>
              <w:suppressAutoHyphens w:val="0"/>
              <w:ind w:firstLine="0"/>
              <w:jc w:val="center"/>
              <w:rPr>
                <w:b/>
                <w:bCs/>
                <w:color w:val="000000"/>
                <w:sz w:val="20"/>
              </w:rPr>
            </w:pPr>
            <w:r w:rsidRPr="00A7660B">
              <w:rPr>
                <w:b/>
                <w:bCs/>
                <w:color w:val="000000"/>
                <w:sz w:val="20"/>
              </w:rPr>
              <w:t>Expansão</w:t>
            </w:r>
          </w:p>
        </w:tc>
        <w:tc>
          <w:tcPr>
            <w:tcW w:w="2500" w:type="pct"/>
            <w:gridSpan w:val="2"/>
            <w:tcBorders>
              <w:top w:val="single" w:sz="4" w:space="0" w:color="auto"/>
              <w:left w:val="nil"/>
              <w:bottom w:val="single" w:sz="4" w:space="0" w:color="auto"/>
              <w:right w:val="nil"/>
            </w:tcBorders>
            <w:shd w:val="clear" w:color="auto" w:fill="auto"/>
            <w:noWrap/>
            <w:vAlign w:val="bottom"/>
            <w:hideMark/>
          </w:tcPr>
          <w:p w14:paraId="13464B8B" w14:textId="77777777" w:rsidR="00903B8A" w:rsidRPr="00A7660B" w:rsidRDefault="00903B8A" w:rsidP="00903B8A">
            <w:pPr>
              <w:widowControl/>
              <w:suppressLineNumbers w:val="0"/>
              <w:suppressAutoHyphens w:val="0"/>
              <w:ind w:firstLine="0"/>
              <w:jc w:val="center"/>
              <w:rPr>
                <w:b/>
                <w:bCs/>
                <w:color w:val="000000"/>
                <w:sz w:val="20"/>
              </w:rPr>
            </w:pPr>
            <w:r w:rsidRPr="00A7660B">
              <w:rPr>
                <w:b/>
                <w:bCs/>
                <w:color w:val="000000"/>
                <w:sz w:val="20"/>
              </w:rPr>
              <w:t>Recessão</w:t>
            </w:r>
          </w:p>
        </w:tc>
      </w:tr>
      <w:tr w:rsidR="00903B8A" w:rsidRPr="00903B8A" w14:paraId="6BC8849C" w14:textId="77777777" w:rsidTr="00A7660B">
        <w:trPr>
          <w:trHeight w:val="255"/>
        </w:trPr>
        <w:tc>
          <w:tcPr>
            <w:tcW w:w="1010" w:type="pct"/>
            <w:tcBorders>
              <w:top w:val="nil"/>
              <w:left w:val="nil"/>
              <w:bottom w:val="nil"/>
              <w:right w:val="single" w:sz="4" w:space="0" w:color="auto"/>
            </w:tcBorders>
            <w:shd w:val="clear" w:color="auto" w:fill="auto"/>
            <w:noWrap/>
            <w:vAlign w:val="bottom"/>
            <w:hideMark/>
          </w:tcPr>
          <w:p w14:paraId="6E615FF6"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Total do período</w:t>
            </w:r>
          </w:p>
        </w:tc>
        <w:tc>
          <w:tcPr>
            <w:tcW w:w="1490" w:type="pct"/>
            <w:tcBorders>
              <w:top w:val="nil"/>
              <w:left w:val="nil"/>
              <w:bottom w:val="nil"/>
              <w:right w:val="single" w:sz="4" w:space="0" w:color="auto"/>
            </w:tcBorders>
            <w:shd w:val="clear" w:color="auto" w:fill="auto"/>
            <w:noWrap/>
            <w:vAlign w:val="bottom"/>
            <w:hideMark/>
          </w:tcPr>
          <w:p w14:paraId="28AB4FB6"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1</w:t>
            </w:r>
            <w:r>
              <w:rPr>
                <w:color w:val="000000"/>
                <w:sz w:val="20"/>
              </w:rPr>
              <w:t>,</w:t>
            </w:r>
            <w:r w:rsidR="00903B8A" w:rsidRPr="00903B8A">
              <w:rPr>
                <w:color w:val="000000"/>
                <w:sz w:val="20"/>
              </w:rPr>
              <w:t>574</w:t>
            </w:r>
          </w:p>
        </w:tc>
        <w:tc>
          <w:tcPr>
            <w:tcW w:w="963" w:type="pct"/>
            <w:tcBorders>
              <w:top w:val="nil"/>
              <w:left w:val="nil"/>
              <w:bottom w:val="nil"/>
              <w:right w:val="single" w:sz="4" w:space="0" w:color="auto"/>
            </w:tcBorders>
            <w:shd w:val="clear" w:color="auto" w:fill="auto"/>
            <w:noWrap/>
            <w:vAlign w:val="bottom"/>
            <w:hideMark/>
          </w:tcPr>
          <w:p w14:paraId="4F1DCFF5"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Total do período</w:t>
            </w:r>
          </w:p>
        </w:tc>
        <w:tc>
          <w:tcPr>
            <w:tcW w:w="1537" w:type="pct"/>
            <w:tcBorders>
              <w:top w:val="nil"/>
              <w:left w:val="nil"/>
              <w:bottom w:val="nil"/>
              <w:right w:val="nil"/>
            </w:tcBorders>
            <w:shd w:val="clear" w:color="auto" w:fill="auto"/>
            <w:noWrap/>
            <w:vAlign w:val="bottom"/>
            <w:hideMark/>
          </w:tcPr>
          <w:p w14:paraId="45BFD7D9"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1</w:t>
            </w:r>
            <w:r>
              <w:rPr>
                <w:color w:val="000000"/>
                <w:sz w:val="20"/>
              </w:rPr>
              <w:t>,</w:t>
            </w:r>
            <w:r w:rsidR="00903B8A" w:rsidRPr="00903B8A">
              <w:rPr>
                <w:color w:val="000000"/>
                <w:sz w:val="20"/>
              </w:rPr>
              <w:t xml:space="preserve">046 </w:t>
            </w:r>
          </w:p>
        </w:tc>
      </w:tr>
      <w:tr w:rsidR="00903B8A" w:rsidRPr="00903B8A" w14:paraId="088ED153" w14:textId="77777777" w:rsidTr="00A7660B">
        <w:trPr>
          <w:trHeight w:val="255"/>
        </w:trPr>
        <w:tc>
          <w:tcPr>
            <w:tcW w:w="1010" w:type="pct"/>
            <w:tcBorders>
              <w:top w:val="nil"/>
              <w:left w:val="nil"/>
              <w:bottom w:val="nil"/>
              <w:right w:val="single" w:sz="4" w:space="0" w:color="auto"/>
            </w:tcBorders>
            <w:shd w:val="clear" w:color="auto" w:fill="auto"/>
            <w:noWrap/>
            <w:vAlign w:val="bottom"/>
            <w:hideMark/>
          </w:tcPr>
          <w:p w14:paraId="06943A47"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Tamanho (anos)</w:t>
            </w:r>
          </w:p>
        </w:tc>
        <w:tc>
          <w:tcPr>
            <w:tcW w:w="1490" w:type="pct"/>
            <w:tcBorders>
              <w:top w:val="nil"/>
              <w:left w:val="nil"/>
              <w:bottom w:val="nil"/>
              <w:right w:val="single" w:sz="4" w:space="0" w:color="auto"/>
            </w:tcBorders>
            <w:shd w:val="clear" w:color="auto" w:fill="auto"/>
            <w:noWrap/>
            <w:vAlign w:val="bottom"/>
            <w:hideMark/>
          </w:tcPr>
          <w:p w14:paraId="7F8C74F4"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5</w:t>
            </w:r>
          </w:p>
        </w:tc>
        <w:tc>
          <w:tcPr>
            <w:tcW w:w="963" w:type="pct"/>
            <w:tcBorders>
              <w:top w:val="nil"/>
              <w:left w:val="nil"/>
              <w:bottom w:val="nil"/>
              <w:right w:val="single" w:sz="4" w:space="0" w:color="auto"/>
            </w:tcBorders>
            <w:shd w:val="clear" w:color="auto" w:fill="auto"/>
            <w:noWrap/>
            <w:vAlign w:val="bottom"/>
            <w:hideMark/>
          </w:tcPr>
          <w:p w14:paraId="4A6FB990"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Tamanho (anos)</w:t>
            </w:r>
          </w:p>
        </w:tc>
        <w:tc>
          <w:tcPr>
            <w:tcW w:w="1537" w:type="pct"/>
            <w:tcBorders>
              <w:top w:val="nil"/>
              <w:left w:val="nil"/>
              <w:bottom w:val="nil"/>
              <w:right w:val="nil"/>
            </w:tcBorders>
            <w:shd w:val="clear" w:color="auto" w:fill="auto"/>
            <w:noWrap/>
            <w:vAlign w:val="bottom"/>
            <w:hideMark/>
          </w:tcPr>
          <w:p w14:paraId="3B2EAC25"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3</w:t>
            </w:r>
          </w:p>
        </w:tc>
      </w:tr>
      <w:tr w:rsidR="00903B8A" w:rsidRPr="00903B8A" w14:paraId="60EDB9BD" w14:textId="77777777" w:rsidTr="00A7660B">
        <w:trPr>
          <w:trHeight w:val="255"/>
        </w:trPr>
        <w:tc>
          <w:tcPr>
            <w:tcW w:w="1010" w:type="pct"/>
            <w:tcBorders>
              <w:top w:val="nil"/>
              <w:left w:val="nil"/>
              <w:bottom w:val="nil"/>
              <w:right w:val="single" w:sz="4" w:space="0" w:color="auto"/>
            </w:tcBorders>
            <w:shd w:val="clear" w:color="auto" w:fill="auto"/>
            <w:noWrap/>
            <w:vAlign w:val="bottom"/>
            <w:hideMark/>
          </w:tcPr>
          <w:p w14:paraId="6A01145F"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Mínimo</w:t>
            </w:r>
          </w:p>
        </w:tc>
        <w:tc>
          <w:tcPr>
            <w:tcW w:w="1490" w:type="pct"/>
            <w:tcBorders>
              <w:top w:val="nil"/>
              <w:left w:val="nil"/>
              <w:bottom w:val="nil"/>
              <w:right w:val="single" w:sz="4" w:space="0" w:color="auto"/>
            </w:tcBorders>
            <w:shd w:val="clear" w:color="auto" w:fill="auto"/>
            <w:noWrap/>
            <w:vAlign w:val="bottom"/>
            <w:hideMark/>
          </w:tcPr>
          <w:p w14:paraId="46777BB2"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 xml:space="preserve">264 </w:t>
            </w:r>
          </w:p>
        </w:tc>
        <w:tc>
          <w:tcPr>
            <w:tcW w:w="963" w:type="pct"/>
            <w:tcBorders>
              <w:top w:val="nil"/>
              <w:left w:val="nil"/>
              <w:bottom w:val="nil"/>
              <w:right w:val="single" w:sz="4" w:space="0" w:color="auto"/>
            </w:tcBorders>
            <w:shd w:val="clear" w:color="auto" w:fill="auto"/>
            <w:noWrap/>
            <w:vAlign w:val="bottom"/>
            <w:hideMark/>
          </w:tcPr>
          <w:p w14:paraId="70D126D1"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Mínimo</w:t>
            </w:r>
          </w:p>
        </w:tc>
        <w:tc>
          <w:tcPr>
            <w:tcW w:w="1537" w:type="pct"/>
            <w:tcBorders>
              <w:top w:val="nil"/>
              <w:left w:val="nil"/>
              <w:bottom w:val="nil"/>
              <w:right w:val="nil"/>
            </w:tcBorders>
            <w:shd w:val="clear" w:color="auto" w:fill="auto"/>
            <w:noWrap/>
            <w:vAlign w:val="bottom"/>
            <w:hideMark/>
          </w:tcPr>
          <w:p w14:paraId="22CB00E3"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 xml:space="preserve">323 </w:t>
            </w:r>
          </w:p>
        </w:tc>
      </w:tr>
      <w:tr w:rsidR="00903B8A" w:rsidRPr="00903B8A" w14:paraId="2CE880E0" w14:textId="77777777" w:rsidTr="00A7660B">
        <w:trPr>
          <w:trHeight w:val="255"/>
        </w:trPr>
        <w:tc>
          <w:tcPr>
            <w:tcW w:w="1010" w:type="pct"/>
            <w:tcBorders>
              <w:top w:val="nil"/>
              <w:left w:val="nil"/>
              <w:bottom w:val="nil"/>
              <w:right w:val="single" w:sz="4" w:space="0" w:color="auto"/>
            </w:tcBorders>
            <w:shd w:val="clear" w:color="auto" w:fill="auto"/>
            <w:noWrap/>
            <w:vAlign w:val="bottom"/>
            <w:hideMark/>
          </w:tcPr>
          <w:p w14:paraId="1AFB671F"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Máximo</w:t>
            </w:r>
          </w:p>
        </w:tc>
        <w:tc>
          <w:tcPr>
            <w:tcW w:w="1490" w:type="pct"/>
            <w:tcBorders>
              <w:top w:val="nil"/>
              <w:left w:val="nil"/>
              <w:bottom w:val="nil"/>
              <w:right w:val="single" w:sz="4" w:space="0" w:color="auto"/>
            </w:tcBorders>
            <w:shd w:val="clear" w:color="auto" w:fill="auto"/>
            <w:noWrap/>
            <w:vAlign w:val="bottom"/>
            <w:hideMark/>
          </w:tcPr>
          <w:p w14:paraId="39AFD379"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 xml:space="preserve">398 </w:t>
            </w:r>
          </w:p>
        </w:tc>
        <w:tc>
          <w:tcPr>
            <w:tcW w:w="963" w:type="pct"/>
            <w:tcBorders>
              <w:top w:val="nil"/>
              <w:left w:val="nil"/>
              <w:bottom w:val="nil"/>
              <w:right w:val="single" w:sz="4" w:space="0" w:color="auto"/>
            </w:tcBorders>
            <w:shd w:val="clear" w:color="auto" w:fill="auto"/>
            <w:noWrap/>
            <w:vAlign w:val="bottom"/>
            <w:hideMark/>
          </w:tcPr>
          <w:p w14:paraId="2950A02D"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Máximo</w:t>
            </w:r>
          </w:p>
        </w:tc>
        <w:tc>
          <w:tcPr>
            <w:tcW w:w="1537" w:type="pct"/>
            <w:tcBorders>
              <w:top w:val="nil"/>
              <w:left w:val="nil"/>
              <w:bottom w:val="nil"/>
              <w:right w:val="nil"/>
            </w:tcBorders>
            <w:shd w:val="clear" w:color="auto" w:fill="auto"/>
            <w:noWrap/>
            <w:vAlign w:val="bottom"/>
            <w:hideMark/>
          </w:tcPr>
          <w:p w14:paraId="151DA250"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 xml:space="preserve">380 </w:t>
            </w:r>
          </w:p>
        </w:tc>
      </w:tr>
      <w:tr w:rsidR="00903B8A" w:rsidRPr="00903B8A" w14:paraId="6EA5D7D4" w14:textId="77777777" w:rsidTr="00A7660B">
        <w:trPr>
          <w:trHeight w:val="255"/>
        </w:trPr>
        <w:tc>
          <w:tcPr>
            <w:tcW w:w="1010" w:type="pct"/>
            <w:tcBorders>
              <w:top w:val="nil"/>
              <w:left w:val="nil"/>
              <w:bottom w:val="nil"/>
              <w:right w:val="nil"/>
            </w:tcBorders>
            <w:shd w:val="clear" w:color="auto" w:fill="auto"/>
            <w:noWrap/>
            <w:vAlign w:val="bottom"/>
            <w:hideMark/>
          </w:tcPr>
          <w:p w14:paraId="6EA4D27C"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 xml:space="preserve">Média </w:t>
            </w:r>
          </w:p>
        </w:tc>
        <w:tc>
          <w:tcPr>
            <w:tcW w:w="1490" w:type="pct"/>
            <w:tcBorders>
              <w:top w:val="nil"/>
              <w:left w:val="single" w:sz="4" w:space="0" w:color="auto"/>
              <w:bottom w:val="nil"/>
              <w:right w:val="single" w:sz="4" w:space="0" w:color="auto"/>
            </w:tcBorders>
            <w:shd w:val="clear" w:color="auto" w:fill="auto"/>
            <w:noWrap/>
            <w:vAlign w:val="bottom"/>
            <w:hideMark/>
          </w:tcPr>
          <w:p w14:paraId="442BD954"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 xml:space="preserve">314 </w:t>
            </w:r>
          </w:p>
        </w:tc>
        <w:tc>
          <w:tcPr>
            <w:tcW w:w="963" w:type="pct"/>
            <w:tcBorders>
              <w:top w:val="nil"/>
              <w:left w:val="nil"/>
              <w:bottom w:val="nil"/>
              <w:right w:val="single" w:sz="4" w:space="0" w:color="auto"/>
            </w:tcBorders>
            <w:shd w:val="clear" w:color="auto" w:fill="auto"/>
            <w:noWrap/>
            <w:vAlign w:val="bottom"/>
            <w:hideMark/>
          </w:tcPr>
          <w:p w14:paraId="613D5623"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Média</w:t>
            </w:r>
          </w:p>
        </w:tc>
        <w:tc>
          <w:tcPr>
            <w:tcW w:w="1537" w:type="pct"/>
            <w:tcBorders>
              <w:top w:val="nil"/>
              <w:left w:val="nil"/>
              <w:bottom w:val="nil"/>
              <w:right w:val="nil"/>
            </w:tcBorders>
            <w:shd w:val="clear" w:color="auto" w:fill="auto"/>
            <w:noWrap/>
            <w:vAlign w:val="bottom"/>
            <w:hideMark/>
          </w:tcPr>
          <w:p w14:paraId="091E68C4" w14:textId="77777777" w:rsidR="00903B8A" w:rsidRPr="00903B8A" w:rsidRDefault="00903B8A" w:rsidP="00A11345">
            <w:pPr>
              <w:widowControl/>
              <w:suppressLineNumbers w:val="0"/>
              <w:suppressAutoHyphens w:val="0"/>
              <w:ind w:firstLine="0"/>
              <w:jc w:val="center"/>
              <w:rPr>
                <w:color w:val="000000"/>
                <w:sz w:val="20"/>
              </w:rPr>
            </w:pPr>
            <w:r w:rsidRPr="00903B8A">
              <w:rPr>
                <w:color w:val="000000"/>
                <w:sz w:val="20"/>
              </w:rPr>
              <w:t xml:space="preserve"> R$</w:t>
            </w:r>
            <w:r w:rsidR="00A11345">
              <w:rPr>
                <w:color w:val="000000"/>
                <w:sz w:val="20"/>
              </w:rPr>
              <w:t xml:space="preserve"> </w:t>
            </w:r>
            <w:r w:rsidRPr="00903B8A">
              <w:rPr>
                <w:color w:val="000000"/>
                <w:sz w:val="20"/>
              </w:rPr>
              <w:t xml:space="preserve">348 </w:t>
            </w:r>
          </w:p>
        </w:tc>
      </w:tr>
      <w:tr w:rsidR="00903B8A" w:rsidRPr="00903B8A" w14:paraId="18DBABB0" w14:textId="77777777" w:rsidTr="00A7660B">
        <w:trPr>
          <w:trHeight w:val="255"/>
        </w:trPr>
        <w:tc>
          <w:tcPr>
            <w:tcW w:w="1010" w:type="pct"/>
            <w:tcBorders>
              <w:top w:val="nil"/>
              <w:left w:val="nil"/>
              <w:bottom w:val="nil"/>
              <w:right w:val="nil"/>
            </w:tcBorders>
            <w:shd w:val="clear" w:color="auto" w:fill="auto"/>
            <w:noWrap/>
            <w:vAlign w:val="bottom"/>
            <w:hideMark/>
          </w:tcPr>
          <w:p w14:paraId="6B55DBCB"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Nº de empresas</w:t>
            </w:r>
          </w:p>
        </w:tc>
        <w:tc>
          <w:tcPr>
            <w:tcW w:w="1490" w:type="pct"/>
            <w:tcBorders>
              <w:top w:val="nil"/>
              <w:left w:val="single" w:sz="4" w:space="0" w:color="auto"/>
              <w:bottom w:val="nil"/>
              <w:right w:val="single" w:sz="4" w:space="0" w:color="auto"/>
            </w:tcBorders>
            <w:shd w:val="clear" w:color="auto" w:fill="auto"/>
            <w:noWrap/>
            <w:vAlign w:val="bottom"/>
            <w:hideMark/>
          </w:tcPr>
          <w:p w14:paraId="57DDFDA5"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65</w:t>
            </w:r>
          </w:p>
        </w:tc>
        <w:tc>
          <w:tcPr>
            <w:tcW w:w="963" w:type="pct"/>
            <w:tcBorders>
              <w:top w:val="nil"/>
              <w:left w:val="nil"/>
              <w:bottom w:val="nil"/>
              <w:right w:val="single" w:sz="4" w:space="0" w:color="auto"/>
            </w:tcBorders>
            <w:shd w:val="clear" w:color="auto" w:fill="auto"/>
            <w:noWrap/>
            <w:vAlign w:val="bottom"/>
            <w:hideMark/>
          </w:tcPr>
          <w:p w14:paraId="7A58895D"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Nº de empresas</w:t>
            </w:r>
          </w:p>
        </w:tc>
        <w:tc>
          <w:tcPr>
            <w:tcW w:w="1537" w:type="pct"/>
            <w:tcBorders>
              <w:top w:val="nil"/>
              <w:left w:val="nil"/>
              <w:bottom w:val="nil"/>
              <w:right w:val="nil"/>
            </w:tcBorders>
            <w:shd w:val="clear" w:color="auto" w:fill="auto"/>
            <w:noWrap/>
            <w:vAlign w:val="bottom"/>
            <w:hideMark/>
          </w:tcPr>
          <w:p w14:paraId="319AC09A"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65</w:t>
            </w:r>
          </w:p>
        </w:tc>
      </w:tr>
      <w:tr w:rsidR="00903B8A" w:rsidRPr="00903B8A" w14:paraId="70CA22B4" w14:textId="77777777" w:rsidTr="00A7660B">
        <w:trPr>
          <w:trHeight w:val="255"/>
        </w:trPr>
        <w:tc>
          <w:tcPr>
            <w:tcW w:w="1010" w:type="pct"/>
            <w:tcBorders>
              <w:top w:val="nil"/>
              <w:left w:val="nil"/>
              <w:bottom w:val="single" w:sz="4" w:space="0" w:color="auto"/>
              <w:right w:val="nil"/>
            </w:tcBorders>
            <w:shd w:val="clear" w:color="auto" w:fill="auto"/>
            <w:noWrap/>
            <w:vAlign w:val="bottom"/>
            <w:hideMark/>
          </w:tcPr>
          <w:p w14:paraId="3E564D50"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Média por empresa</w:t>
            </w:r>
          </w:p>
        </w:tc>
        <w:tc>
          <w:tcPr>
            <w:tcW w:w="1490" w:type="pct"/>
            <w:tcBorders>
              <w:top w:val="nil"/>
              <w:left w:val="single" w:sz="4" w:space="0" w:color="auto"/>
              <w:bottom w:val="single" w:sz="4" w:space="0" w:color="auto"/>
              <w:right w:val="single" w:sz="4" w:space="0" w:color="auto"/>
            </w:tcBorders>
            <w:shd w:val="clear" w:color="auto" w:fill="auto"/>
            <w:noWrap/>
            <w:vAlign w:val="bottom"/>
            <w:hideMark/>
          </w:tcPr>
          <w:p w14:paraId="0FE0CFC1"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R$ 4.8</w:t>
            </w:r>
          </w:p>
        </w:tc>
        <w:tc>
          <w:tcPr>
            <w:tcW w:w="963" w:type="pct"/>
            <w:tcBorders>
              <w:top w:val="nil"/>
              <w:left w:val="nil"/>
              <w:bottom w:val="single" w:sz="4" w:space="0" w:color="auto"/>
              <w:right w:val="single" w:sz="4" w:space="0" w:color="auto"/>
            </w:tcBorders>
            <w:shd w:val="clear" w:color="auto" w:fill="auto"/>
            <w:noWrap/>
            <w:vAlign w:val="bottom"/>
            <w:hideMark/>
          </w:tcPr>
          <w:p w14:paraId="3E8EE2D9"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Média por empresa</w:t>
            </w:r>
          </w:p>
        </w:tc>
        <w:tc>
          <w:tcPr>
            <w:tcW w:w="1537" w:type="pct"/>
            <w:tcBorders>
              <w:top w:val="nil"/>
              <w:left w:val="nil"/>
              <w:bottom w:val="single" w:sz="4" w:space="0" w:color="auto"/>
              <w:right w:val="nil"/>
            </w:tcBorders>
            <w:shd w:val="clear" w:color="auto" w:fill="auto"/>
            <w:noWrap/>
            <w:vAlign w:val="bottom"/>
            <w:hideMark/>
          </w:tcPr>
          <w:p w14:paraId="0AA18078"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R$ </w:t>
            </w:r>
            <w:r w:rsidR="00903B8A" w:rsidRPr="00903B8A">
              <w:rPr>
                <w:color w:val="000000"/>
                <w:sz w:val="20"/>
              </w:rPr>
              <w:t>5</w:t>
            </w:r>
            <w:r>
              <w:rPr>
                <w:color w:val="000000"/>
                <w:sz w:val="20"/>
              </w:rPr>
              <w:t>.3</w:t>
            </w:r>
          </w:p>
        </w:tc>
      </w:tr>
    </w:tbl>
    <w:p w14:paraId="18E7CD85" w14:textId="77777777" w:rsidR="00E7557D" w:rsidRDefault="00E7557D" w:rsidP="00601967">
      <w:pPr>
        <w:rPr>
          <w:szCs w:val="24"/>
        </w:rPr>
      </w:pPr>
    </w:p>
    <w:p w14:paraId="0E5F8C20" w14:textId="23874ED4" w:rsidR="00601967" w:rsidRDefault="00601967" w:rsidP="00601967">
      <w:pPr>
        <w:rPr>
          <w:szCs w:val="24"/>
        </w:rPr>
      </w:pPr>
      <w:r>
        <w:rPr>
          <w:szCs w:val="24"/>
        </w:rPr>
        <w:t>Em média o setor gerou e distribui</w:t>
      </w:r>
      <w:r w:rsidR="0025651C">
        <w:rPr>
          <w:szCs w:val="24"/>
        </w:rPr>
        <w:t>u</w:t>
      </w:r>
      <w:r>
        <w:rPr>
          <w:szCs w:val="24"/>
        </w:rPr>
        <w:t xml:space="preserve"> mais riqueza no período de recessão do que no de expans</w:t>
      </w:r>
      <w:r w:rsidR="0025651C">
        <w:rPr>
          <w:szCs w:val="24"/>
        </w:rPr>
        <w:t>ão, como pode ser observado na T</w:t>
      </w:r>
      <w:r>
        <w:rPr>
          <w:szCs w:val="24"/>
        </w:rPr>
        <w:t xml:space="preserve">abela 4. </w:t>
      </w:r>
      <w:r w:rsidR="0025651C">
        <w:rPr>
          <w:szCs w:val="24"/>
        </w:rPr>
        <w:t>Uma possível</w:t>
      </w:r>
      <w:r>
        <w:rPr>
          <w:szCs w:val="24"/>
        </w:rPr>
        <w:t xml:space="preserve"> razão para tal acontecimento </w:t>
      </w:r>
      <w:r w:rsidR="0025651C">
        <w:rPr>
          <w:szCs w:val="24"/>
        </w:rPr>
        <w:t>se deve</w:t>
      </w:r>
      <w:r>
        <w:rPr>
          <w:szCs w:val="24"/>
        </w:rPr>
        <w:t xml:space="preserve"> ao fato de que no período de expansão as empresas estavam em processo de crescimento na </w:t>
      </w:r>
      <w:r>
        <w:rPr>
          <w:szCs w:val="24"/>
        </w:rPr>
        <w:lastRenderedPageBreak/>
        <w:t xml:space="preserve">geração de riqueza, com aumento gradativo ano a ano enquanto no período de recessão, apesar de o comportamento de crescimento ser interrompido, a riqueza gerada não regrediu a níveis iniciais do período de expansão, </w:t>
      </w:r>
      <w:r w:rsidR="0025651C">
        <w:rPr>
          <w:szCs w:val="24"/>
        </w:rPr>
        <w:t>conforme pode ser observado na F</w:t>
      </w:r>
      <w:r>
        <w:rPr>
          <w:szCs w:val="24"/>
        </w:rPr>
        <w:t xml:space="preserve">igura 1. </w:t>
      </w:r>
    </w:p>
    <w:p w14:paraId="028F655F" w14:textId="682ABBE6" w:rsidR="00601967" w:rsidRDefault="00A7660B" w:rsidP="00601967">
      <w:pPr>
        <w:rPr>
          <w:szCs w:val="24"/>
        </w:rPr>
      </w:pPr>
      <w:r>
        <w:rPr>
          <w:noProof/>
          <w:szCs w:val="24"/>
        </w:rPr>
        <w:drawing>
          <wp:anchor distT="0" distB="0" distL="114300" distR="114300" simplePos="0" relativeHeight="251663360" behindDoc="0" locked="0" layoutInCell="1" allowOverlap="1" wp14:anchorId="04AFD4E3" wp14:editId="6932A119">
            <wp:simplePos x="0" y="0"/>
            <wp:positionH relativeFrom="margin">
              <wp:posOffset>-6985</wp:posOffset>
            </wp:positionH>
            <wp:positionV relativeFrom="paragraph">
              <wp:posOffset>179071</wp:posOffset>
            </wp:positionV>
            <wp:extent cx="6000750" cy="2000250"/>
            <wp:effectExtent l="0" t="0" r="0" b="0"/>
            <wp:wrapNone/>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52309466" w14:textId="45A864AB" w:rsidR="00601967" w:rsidRDefault="00601967" w:rsidP="00601967">
      <w:pPr>
        <w:ind w:firstLine="0"/>
        <w:jc w:val="center"/>
        <w:rPr>
          <w:szCs w:val="24"/>
        </w:rPr>
      </w:pPr>
    </w:p>
    <w:p w14:paraId="2CB9F150" w14:textId="77777777" w:rsidR="00601967" w:rsidRDefault="00601967" w:rsidP="00601967">
      <w:pPr>
        <w:jc w:val="center"/>
        <w:rPr>
          <w:sz w:val="20"/>
        </w:rPr>
      </w:pPr>
    </w:p>
    <w:p w14:paraId="746B55E3" w14:textId="77777777" w:rsidR="00601967" w:rsidRDefault="00601967" w:rsidP="00601967">
      <w:pPr>
        <w:jc w:val="center"/>
        <w:rPr>
          <w:sz w:val="20"/>
        </w:rPr>
      </w:pPr>
    </w:p>
    <w:p w14:paraId="54CADEC6" w14:textId="77777777" w:rsidR="00601967" w:rsidRDefault="00601967" w:rsidP="00601967">
      <w:pPr>
        <w:jc w:val="center"/>
        <w:rPr>
          <w:sz w:val="20"/>
        </w:rPr>
      </w:pPr>
    </w:p>
    <w:p w14:paraId="05D12EC5" w14:textId="77777777" w:rsidR="00601967" w:rsidRDefault="00601967" w:rsidP="00601967">
      <w:pPr>
        <w:jc w:val="center"/>
        <w:rPr>
          <w:sz w:val="20"/>
        </w:rPr>
      </w:pPr>
    </w:p>
    <w:p w14:paraId="44FBF111" w14:textId="77777777" w:rsidR="00601967" w:rsidRDefault="00601967" w:rsidP="00601967">
      <w:pPr>
        <w:jc w:val="center"/>
        <w:rPr>
          <w:sz w:val="20"/>
        </w:rPr>
      </w:pPr>
    </w:p>
    <w:p w14:paraId="105BE72E" w14:textId="77777777" w:rsidR="00601967" w:rsidRDefault="00601967" w:rsidP="00601967">
      <w:pPr>
        <w:jc w:val="center"/>
        <w:rPr>
          <w:sz w:val="20"/>
        </w:rPr>
      </w:pPr>
    </w:p>
    <w:p w14:paraId="30C0868F" w14:textId="77777777" w:rsidR="00601967" w:rsidRDefault="00601967" w:rsidP="00601967">
      <w:pPr>
        <w:jc w:val="center"/>
        <w:rPr>
          <w:sz w:val="20"/>
        </w:rPr>
      </w:pPr>
    </w:p>
    <w:p w14:paraId="64F6F44A" w14:textId="77777777" w:rsidR="00601967" w:rsidRDefault="00601967" w:rsidP="00601967">
      <w:pPr>
        <w:jc w:val="center"/>
        <w:rPr>
          <w:sz w:val="20"/>
        </w:rPr>
      </w:pPr>
    </w:p>
    <w:p w14:paraId="71069AA3" w14:textId="77777777" w:rsidR="00601967" w:rsidRDefault="00601967" w:rsidP="00601967">
      <w:pPr>
        <w:jc w:val="center"/>
        <w:rPr>
          <w:sz w:val="20"/>
        </w:rPr>
      </w:pPr>
    </w:p>
    <w:p w14:paraId="256764AA" w14:textId="77777777" w:rsidR="00601967" w:rsidRDefault="00601967" w:rsidP="00601967">
      <w:pPr>
        <w:jc w:val="center"/>
        <w:rPr>
          <w:sz w:val="20"/>
        </w:rPr>
      </w:pPr>
    </w:p>
    <w:p w14:paraId="0A8D9492" w14:textId="77777777" w:rsidR="00601967" w:rsidRDefault="00601967" w:rsidP="00601967">
      <w:pPr>
        <w:jc w:val="center"/>
        <w:rPr>
          <w:sz w:val="20"/>
        </w:rPr>
      </w:pPr>
    </w:p>
    <w:p w14:paraId="74894B1A" w14:textId="77777777" w:rsidR="00601967" w:rsidRDefault="00601967" w:rsidP="00E7557D">
      <w:pPr>
        <w:jc w:val="center"/>
        <w:rPr>
          <w:sz w:val="20"/>
        </w:rPr>
      </w:pPr>
    </w:p>
    <w:p w14:paraId="521308C6" w14:textId="77777777" w:rsidR="00601967" w:rsidRDefault="00601967" w:rsidP="00601967">
      <w:pPr>
        <w:jc w:val="center"/>
        <w:rPr>
          <w:sz w:val="20"/>
        </w:rPr>
      </w:pPr>
    </w:p>
    <w:p w14:paraId="3F447629" w14:textId="77777777" w:rsidR="00601967" w:rsidRDefault="00601967" w:rsidP="00601967">
      <w:pPr>
        <w:ind w:firstLine="0"/>
        <w:rPr>
          <w:sz w:val="20"/>
        </w:rPr>
      </w:pPr>
      <w:r>
        <w:rPr>
          <w:sz w:val="20"/>
        </w:rPr>
        <w:t>Figura 1:Riqueza gerada ao ano (em bilhões de reais)</w:t>
      </w:r>
    </w:p>
    <w:p w14:paraId="4075E1C1" w14:textId="77777777" w:rsidR="00601967" w:rsidRDefault="00601967" w:rsidP="00601967">
      <w:pPr>
        <w:ind w:firstLine="708"/>
        <w:rPr>
          <w:szCs w:val="24"/>
        </w:rPr>
      </w:pPr>
    </w:p>
    <w:p w14:paraId="0562814F" w14:textId="77777777" w:rsidR="00601967" w:rsidRDefault="00601967" w:rsidP="00601967">
      <w:pPr>
        <w:rPr>
          <w:szCs w:val="24"/>
        </w:rPr>
      </w:pPr>
      <w:r>
        <w:rPr>
          <w:szCs w:val="24"/>
        </w:rPr>
        <w:t>Essa manutenção de geração de riqueza em níveis elevados</w:t>
      </w:r>
      <w:r w:rsidR="001B65E0">
        <w:rPr>
          <w:szCs w:val="24"/>
        </w:rPr>
        <w:t xml:space="preserve"> no período de recessão</w:t>
      </w:r>
      <w:r>
        <w:rPr>
          <w:szCs w:val="24"/>
        </w:rPr>
        <w:t xml:space="preserve"> pode levar a compreensão de uma média m</w:t>
      </w:r>
      <w:r w:rsidR="001B65E0">
        <w:rPr>
          <w:szCs w:val="24"/>
        </w:rPr>
        <w:t>ais alta para esse</w:t>
      </w:r>
      <w:r>
        <w:rPr>
          <w:szCs w:val="24"/>
        </w:rPr>
        <w:t xml:space="preserve"> momento, o que não </w:t>
      </w:r>
      <w:r w:rsidR="001B65E0">
        <w:rPr>
          <w:szCs w:val="24"/>
        </w:rPr>
        <w:t xml:space="preserve">representa de imediato que este </w:t>
      </w:r>
      <w:r w:rsidR="00CB446A">
        <w:rPr>
          <w:szCs w:val="24"/>
        </w:rPr>
        <w:t>período</w:t>
      </w:r>
      <w:r>
        <w:rPr>
          <w:szCs w:val="24"/>
        </w:rPr>
        <w:t xml:space="preserve"> foi melhor para as companhias desse setor, visto que houve ruptura na tendência de crescimento. Essa posição se corrobora por meio da taxa de crescimento para ambos o</w:t>
      </w:r>
      <w:r w:rsidR="0025651C">
        <w:rPr>
          <w:szCs w:val="24"/>
        </w:rPr>
        <w:t>s períodos conforme exposto na T</w:t>
      </w:r>
      <w:r>
        <w:rPr>
          <w:szCs w:val="24"/>
        </w:rPr>
        <w:t>abela 5.</w:t>
      </w:r>
    </w:p>
    <w:p w14:paraId="2F075F29" w14:textId="77777777" w:rsidR="00BF400C" w:rsidRDefault="00BF400C" w:rsidP="00BF400C">
      <w:pPr>
        <w:ind w:firstLine="0"/>
        <w:rPr>
          <w:sz w:val="20"/>
        </w:rPr>
      </w:pPr>
    </w:p>
    <w:p w14:paraId="48DA68DB" w14:textId="77777777" w:rsidR="00601967" w:rsidRPr="00695170" w:rsidRDefault="00601967" w:rsidP="00E7557D">
      <w:pPr>
        <w:spacing w:line="259" w:lineRule="auto"/>
        <w:ind w:firstLine="0"/>
        <w:rPr>
          <w:sz w:val="20"/>
        </w:rPr>
      </w:pPr>
      <w:r>
        <w:rPr>
          <w:sz w:val="20"/>
        </w:rPr>
        <w:t xml:space="preserve">Tabela 5: Taxa de crescimento </w:t>
      </w:r>
    </w:p>
    <w:tbl>
      <w:tblPr>
        <w:tblW w:w="9395" w:type="dxa"/>
        <w:tblCellMar>
          <w:left w:w="70" w:type="dxa"/>
          <w:right w:w="70" w:type="dxa"/>
        </w:tblCellMar>
        <w:tblLook w:val="04A0" w:firstRow="1" w:lastRow="0" w:firstColumn="1" w:lastColumn="0" w:noHBand="0" w:noVBand="1"/>
      </w:tblPr>
      <w:tblGrid>
        <w:gridCol w:w="1453"/>
        <w:gridCol w:w="1345"/>
        <w:gridCol w:w="979"/>
        <w:gridCol w:w="2151"/>
        <w:gridCol w:w="1756"/>
        <w:gridCol w:w="1711"/>
      </w:tblGrid>
      <w:tr w:rsidR="00903B8A" w:rsidRPr="00903B8A" w14:paraId="21D66E8C" w14:textId="77777777" w:rsidTr="00903B8A">
        <w:trPr>
          <w:trHeight w:val="278"/>
        </w:trPr>
        <w:tc>
          <w:tcPr>
            <w:tcW w:w="1453" w:type="dxa"/>
            <w:vMerge w:val="restart"/>
            <w:tcBorders>
              <w:top w:val="single" w:sz="4" w:space="0" w:color="auto"/>
              <w:left w:val="nil"/>
              <w:bottom w:val="single" w:sz="4" w:space="0" w:color="000000"/>
              <w:right w:val="single" w:sz="4" w:space="0" w:color="auto"/>
            </w:tcBorders>
            <w:shd w:val="clear" w:color="auto" w:fill="auto"/>
            <w:vAlign w:val="center"/>
            <w:hideMark/>
          </w:tcPr>
          <w:p w14:paraId="7DF585E7"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Taxa de Crescimento</w:t>
            </w:r>
          </w:p>
        </w:tc>
        <w:tc>
          <w:tcPr>
            <w:tcW w:w="1345" w:type="dxa"/>
            <w:vMerge w:val="restart"/>
            <w:tcBorders>
              <w:top w:val="single" w:sz="4" w:space="0" w:color="auto"/>
              <w:left w:val="nil"/>
              <w:bottom w:val="single" w:sz="4" w:space="0" w:color="auto"/>
              <w:right w:val="single" w:sz="4" w:space="0" w:color="000000"/>
            </w:tcBorders>
            <w:shd w:val="clear" w:color="auto" w:fill="auto"/>
            <w:vAlign w:val="center"/>
            <w:hideMark/>
          </w:tcPr>
          <w:p w14:paraId="4F1EE1C8"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Geração de riqueza</w:t>
            </w:r>
          </w:p>
        </w:tc>
        <w:tc>
          <w:tcPr>
            <w:tcW w:w="6597" w:type="dxa"/>
            <w:gridSpan w:val="4"/>
            <w:tcBorders>
              <w:top w:val="single" w:sz="4" w:space="0" w:color="auto"/>
              <w:left w:val="nil"/>
              <w:bottom w:val="single" w:sz="4" w:space="0" w:color="auto"/>
              <w:right w:val="nil"/>
            </w:tcBorders>
            <w:shd w:val="clear" w:color="auto" w:fill="auto"/>
            <w:noWrap/>
            <w:vAlign w:val="bottom"/>
            <w:hideMark/>
          </w:tcPr>
          <w:p w14:paraId="6EC8A107" w14:textId="77777777" w:rsidR="00903B8A" w:rsidRPr="00A7660B" w:rsidRDefault="00903B8A" w:rsidP="00903B8A">
            <w:pPr>
              <w:widowControl/>
              <w:suppressLineNumbers w:val="0"/>
              <w:suppressAutoHyphens w:val="0"/>
              <w:ind w:firstLine="0"/>
              <w:jc w:val="center"/>
              <w:rPr>
                <w:b/>
                <w:bCs/>
                <w:color w:val="000000"/>
                <w:sz w:val="20"/>
              </w:rPr>
            </w:pPr>
            <w:r w:rsidRPr="00A7660B">
              <w:rPr>
                <w:b/>
                <w:bCs/>
                <w:color w:val="000000"/>
                <w:sz w:val="20"/>
              </w:rPr>
              <w:t>Distribuição da riqueza</w:t>
            </w:r>
          </w:p>
        </w:tc>
      </w:tr>
      <w:tr w:rsidR="00903B8A" w:rsidRPr="00903B8A" w14:paraId="5F9D8830" w14:textId="77777777" w:rsidTr="00903B8A">
        <w:trPr>
          <w:trHeight w:val="278"/>
        </w:trPr>
        <w:tc>
          <w:tcPr>
            <w:tcW w:w="1453" w:type="dxa"/>
            <w:vMerge/>
            <w:tcBorders>
              <w:top w:val="single" w:sz="4" w:space="0" w:color="auto"/>
              <w:left w:val="nil"/>
              <w:bottom w:val="single" w:sz="4" w:space="0" w:color="000000"/>
              <w:right w:val="single" w:sz="4" w:space="0" w:color="auto"/>
            </w:tcBorders>
            <w:vAlign w:val="center"/>
            <w:hideMark/>
          </w:tcPr>
          <w:p w14:paraId="3A5BC501" w14:textId="77777777" w:rsidR="00903B8A" w:rsidRPr="00903B8A" w:rsidRDefault="00903B8A" w:rsidP="00903B8A">
            <w:pPr>
              <w:widowControl/>
              <w:suppressLineNumbers w:val="0"/>
              <w:suppressAutoHyphens w:val="0"/>
              <w:ind w:firstLine="0"/>
              <w:jc w:val="left"/>
              <w:rPr>
                <w:color w:val="000000"/>
                <w:sz w:val="20"/>
              </w:rPr>
            </w:pPr>
          </w:p>
        </w:tc>
        <w:tc>
          <w:tcPr>
            <w:tcW w:w="1345" w:type="dxa"/>
            <w:vMerge/>
            <w:tcBorders>
              <w:top w:val="single" w:sz="4" w:space="0" w:color="auto"/>
              <w:left w:val="nil"/>
              <w:bottom w:val="single" w:sz="4" w:space="0" w:color="auto"/>
              <w:right w:val="single" w:sz="4" w:space="0" w:color="000000"/>
            </w:tcBorders>
            <w:vAlign w:val="center"/>
            <w:hideMark/>
          </w:tcPr>
          <w:p w14:paraId="6DA19087" w14:textId="77777777" w:rsidR="00903B8A" w:rsidRPr="00903B8A" w:rsidRDefault="00903B8A" w:rsidP="00903B8A">
            <w:pPr>
              <w:widowControl/>
              <w:suppressLineNumbers w:val="0"/>
              <w:suppressAutoHyphens w:val="0"/>
              <w:ind w:firstLine="0"/>
              <w:jc w:val="left"/>
              <w:rPr>
                <w:color w:val="000000"/>
                <w:sz w:val="20"/>
              </w:rPr>
            </w:pPr>
          </w:p>
        </w:tc>
        <w:tc>
          <w:tcPr>
            <w:tcW w:w="9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326AB9"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Pessoal</w:t>
            </w:r>
          </w:p>
        </w:tc>
        <w:tc>
          <w:tcPr>
            <w:tcW w:w="2151" w:type="dxa"/>
            <w:vMerge w:val="restart"/>
            <w:tcBorders>
              <w:top w:val="nil"/>
              <w:left w:val="single" w:sz="4" w:space="0" w:color="auto"/>
              <w:bottom w:val="single" w:sz="4" w:space="0" w:color="auto"/>
              <w:right w:val="single" w:sz="4" w:space="0" w:color="auto"/>
            </w:tcBorders>
            <w:shd w:val="clear" w:color="auto" w:fill="auto"/>
            <w:vAlign w:val="center"/>
            <w:hideMark/>
          </w:tcPr>
          <w:p w14:paraId="2B3539C3"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Impostos, taxas e contribuições</w:t>
            </w:r>
          </w:p>
        </w:tc>
        <w:tc>
          <w:tcPr>
            <w:tcW w:w="1756" w:type="dxa"/>
            <w:vMerge w:val="restart"/>
            <w:tcBorders>
              <w:top w:val="nil"/>
              <w:left w:val="single" w:sz="4" w:space="0" w:color="auto"/>
              <w:bottom w:val="single" w:sz="4" w:space="0" w:color="auto"/>
              <w:right w:val="single" w:sz="4" w:space="0" w:color="auto"/>
            </w:tcBorders>
            <w:shd w:val="clear" w:color="auto" w:fill="auto"/>
            <w:vAlign w:val="center"/>
            <w:hideMark/>
          </w:tcPr>
          <w:p w14:paraId="33F5BFAA" w14:textId="2ECFE5C5"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Remun</w:t>
            </w:r>
            <w:r w:rsidR="00A7660B">
              <w:rPr>
                <w:color w:val="000000"/>
                <w:sz w:val="20"/>
              </w:rPr>
              <w:t>eração</w:t>
            </w:r>
            <w:r w:rsidRPr="00903B8A">
              <w:rPr>
                <w:color w:val="000000"/>
                <w:sz w:val="20"/>
              </w:rPr>
              <w:t xml:space="preserve"> Capital de terceiros</w:t>
            </w:r>
          </w:p>
        </w:tc>
        <w:tc>
          <w:tcPr>
            <w:tcW w:w="1708" w:type="dxa"/>
            <w:vMerge w:val="restart"/>
            <w:tcBorders>
              <w:top w:val="nil"/>
              <w:left w:val="single" w:sz="4" w:space="0" w:color="auto"/>
              <w:bottom w:val="single" w:sz="4" w:space="0" w:color="000000"/>
              <w:right w:val="nil"/>
            </w:tcBorders>
            <w:shd w:val="clear" w:color="auto" w:fill="auto"/>
            <w:vAlign w:val="center"/>
            <w:hideMark/>
          </w:tcPr>
          <w:p w14:paraId="75C69DB8" w14:textId="7F0B23F1"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Remun</w:t>
            </w:r>
            <w:r w:rsidR="00A7660B">
              <w:rPr>
                <w:color w:val="000000"/>
                <w:sz w:val="20"/>
              </w:rPr>
              <w:t>eração</w:t>
            </w:r>
            <w:r w:rsidRPr="00903B8A">
              <w:rPr>
                <w:color w:val="000000"/>
                <w:sz w:val="20"/>
              </w:rPr>
              <w:t xml:space="preserve"> Capital próprio</w:t>
            </w:r>
          </w:p>
        </w:tc>
      </w:tr>
      <w:tr w:rsidR="00903B8A" w:rsidRPr="00903B8A" w14:paraId="09F80DF3" w14:textId="77777777" w:rsidTr="00903B8A">
        <w:trPr>
          <w:trHeight w:val="278"/>
        </w:trPr>
        <w:tc>
          <w:tcPr>
            <w:tcW w:w="1453" w:type="dxa"/>
            <w:vMerge/>
            <w:tcBorders>
              <w:top w:val="single" w:sz="4" w:space="0" w:color="auto"/>
              <w:left w:val="nil"/>
              <w:bottom w:val="single" w:sz="4" w:space="0" w:color="000000"/>
              <w:right w:val="single" w:sz="4" w:space="0" w:color="auto"/>
            </w:tcBorders>
            <w:vAlign w:val="center"/>
            <w:hideMark/>
          </w:tcPr>
          <w:p w14:paraId="397E8C74" w14:textId="77777777" w:rsidR="00903B8A" w:rsidRPr="00903B8A" w:rsidRDefault="00903B8A" w:rsidP="00903B8A">
            <w:pPr>
              <w:widowControl/>
              <w:suppressLineNumbers w:val="0"/>
              <w:suppressAutoHyphens w:val="0"/>
              <w:ind w:firstLine="0"/>
              <w:jc w:val="left"/>
              <w:rPr>
                <w:color w:val="000000"/>
                <w:sz w:val="20"/>
              </w:rPr>
            </w:pPr>
          </w:p>
        </w:tc>
        <w:tc>
          <w:tcPr>
            <w:tcW w:w="1345" w:type="dxa"/>
            <w:vMerge/>
            <w:tcBorders>
              <w:top w:val="single" w:sz="4" w:space="0" w:color="auto"/>
              <w:left w:val="nil"/>
              <w:bottom w:val="single" w:sz="4" w:space="0" w:color="auto"/>
              <w:right w:val="single" w:sz="4" w:space="0" w:color="000000"/>
            </w:tcBorders>
            <w:vAlign w:val="center"/>
            <w:hideMark/>
          </w:tcPr>
          <w:p w14:paraId="46DF1103" w14:textId="77777777" w:rsidR="00903B8A" w:rsidRPr="00903B8A" w:rsidRDefault="00903B8A" w:rsidP="00903B8A">
            <w:pPr>
              <w:widowControl/>
              <w:suppressLineNumbers w:val="0"/>
              <w:suppressAutoHyphens w:val="0"/>
              <w:ind w:firstLine="0"/>
              <w:jc w:val="left"/>
              <w:rPr>
                <w:color w:val="000000"/>
                <w:sz w:val="20"/>
              </w:rPr>
            </w:pPr>
          </w:p>
        </w:tc>
        <w:tc>
          <w:tcPr>
            <w:tcW w:w="979" w:type="dxa"/>
            <w:vMerge/>
            <w:tcBorders>
              <w:top w:val="nil"/>
              <w:left w:val="single" w:sz="4" w:space="0" w:color="auto"/>
              <w:bottom w:val="single" w:sz="4" w:space="0" w:color="auto"/>
              <w:right w:val="single" w:sz="4" w:space="0" w:color="auto"/>
            </w:tcBorders>
            <w:vAlign w:val="center"/>
            <w:hideMark/>
          </w:tcPr>
          <w:p w14:paraId="769C75E1" w14:textId="77777777" w:rsidR="00903B8A" w:rsidRPr="00903B8A" w:rsidRDefault="00903B8A" w:rsidP="00903B8A">
            <w:pPr>
              <w:widowControl/>
              <w:suppressLineNumbers w:val="0"/>
              <w:suppressAutoHyphens w:val="0"/>
              <w:ind w:firstLine="0"/>
              <w:jc w:val="left"/>
              <w:rPr>
                <w:color w:val="000000"/>
                <w:sz w:val="20"/>
              </w:rPr>
            </w:pPr>
          </w:p>
        </w:tc>
        <w:tc>
          <w:tcPr>
            <w:tcW w:w="2151" w:type="dxa"/>
            <w:vMerge/>
            <w:tcBorders>
              <w:top w:val="nil"/>
              <w:left w:val="single" w:sz="4" w:space="0" w:color="auto"/>
              <w:bottom w:val="single" w:sz="4" w:space="0" w:color="auto"/>
              <w:right w:val="single" w:sz="4" w:space="0" w:color="auto"/>
            </w:tcBorders>
            <w:vAlign w:val="center"/>
            <w:hideMark/>
          </w:tcPr>
          <w:p w14:paraId="6B63381D" w14:textId="77777777" w:rsidR="00903B8A" w:rsidRPr="00903B8A" w:rsidRDefault="00903B8A" w:rsidP="00903B8A">
            <w:pPr>
              <w:widowControl/>
              <w:suppressLineNumbers w:val="0"/>
              <w:suppressAutoHyphens w:val="0"/>
              <w:ind w:firstLine="0"/>
              <w:jc w:val="left"/>
              <w:rPr>
                <w:color w:val="000000"/>
                <w:sz w:val="20"/>
              </w:rPr>
            </w:pPr>
          </w:p>
        </w:tc>
        <w:tc>
          <w:tcPr>
            <w:tcW w:w="1756" w:type="dxa"/>
            <w:vMerge/>
            <w:tcBorders>
              <w:top w:val="nil"/>
              <w:left w:val="single" w:sz="4" w:space="0" w:color="auto"/>
              <w:bottom w:val="single" w:sz="4" w:space="0" w:color="auto"/>
              <w:right w:val="single" w:sz="4" w:space="0" w:color="auto"/>
            </w:tcBorders>
            <w:vAlign w:val="center"/>
            <w:hideMark/>
          </w:tcPr>
          <w:p w14:paraId="586CA8A5" w14:textId="77777777" w:rsidR="00903B8A" w:rsidRPr="00903B8A" w:rsidRDefault="00903B8A" w:rsidP="00903B8A">
            <w:pPr>
              <w:widowControl/>
              <w:suppressLineNumbers w:val="0"/>
              <w:suppressAutoHyphens w:val="0"/>
              <w:ind w:firstLine="0"/>
              <w:jc w:val="left"/>
              <w:rPr>
                <w:color w:val="000000"/>
                <w:sz w:val="20"/>
              </w:rPr>
            </w:pPr>
          </w:p>
        </w:tc>
        <w:tc>
          <w:tcPr>
            <w:tcW w:w="1708" w:type="dxa"/>
            <w:vMerge/>
            <w:tcBorders>
              <w:top w:val="nil"/>
              <w:left w:val="single" w:sz="4" w:space="0" w:color="auto"/>
              <w:bottom w:val="single" w:sz="4" w:space="0" w:color="000000"/>
              <w:right w:val="nil"/>
            </w:tcBorders>
            <w:vAlign w:val="center"/>
            <w:hideMark/>
          </w:tcPr>
          <w:p w14:paraId="5B8EA25F" w14:textId="77777777" w:rsidR="00903B8A" w:rsidRPr="00903B8A" w:rsidRDefault="00903B8A" w:rsidP="00903B8A">
            <w:pPr>
              <w:widowControl/>
              <w:suppressLineNumbers w:val="0"/>
              <w:suppressAutoHyphens w:val="0"/>
              <w:ind w:firstLine="0"/>
              <w:jc w:val="left"/>
              <w:rPr>
                <w:color w:val="000000"/>
                <w:sz w:val="20"/>
              </w:rPr>
            </w:pPr>
          </w:p>
        </w:tc>
      </w:tr>
      <w:tr w:rsidR="00903B8A" w:rsidRPr="00903B8A" w14:paraId="19EECB9F" w14:textId="77777777" w:rsidTr="00903B8A">
        <w:trPr>
          <w:trHeight w:val="278"/>
        </w:trPr>
        <w:tc>
          <w:tcPr>
            <w:tcW w:w="1453" w:type="dxa"/>
            <w:tcBorders>
              <w:top w:val="nil"/>
              <w:left w:val="nil"/>
              <w:bottom w:val="single" w:sz="4" w:space="0" w:color="auto"/>
              <w:right w:val="single" w:sz="4" w:space="0" w:color="auto"/>
            </w:tcBorders>
            <w:shd w:val="clear" w:color="auto" w:fill="auto"/>
            <w:noWrap/>
            <w:vAlign w:val="bottom"/>
            <w:hideMark/>
          </w:tcPr>
          <w:p w14:paraId="0C3BEB49" w14:textId="77777777" w:rsidR="00903B8A" w:rsidRPr="00A7660B" w:rsidRDefault="00903B8A" w:rsidP="00903B8A">
            <w:pPr>
              <w:widowControl/>
              <w:suppressLineNumbers w:val="0"/>
              <w:suppressAutoHyphens w:val="0"/>
              <w:ind w:firstLine="0"/>
              <w:jc w:val="center"/>
              <w:rPr>
                <w:b/>
                <w:bCs/>
                <w:color w:val="000000"/>
                <w:sz w:val="20"/>
              </w:rPr>
            </w:pPr>
            <w:r w:rsidRPr="00A7660B">
              <w:rPr>
                <w:b/>
                <w:bCs/>
                <w:color w:val="000000"/>
                <w:sz w:val="20"/>
              </w:rPr>
              <w:t>Expansão</w:t>
            </w:r>
          </w:p>
        </w:tc>
        <w:tc>
          <w:tcPr>
            <w:tcW w:w="1345" w:type="dxa"/>
            <w:tcBorders>
              <w:top w:val="nil"/>
              <w:left w:val="nil"/>
              <w:bottom w:val="single" w:sz="4" w:space="0" w:color="auto"/>
              <w:right w:val="single" w:sz="4" w:space="0" w:color="auto"/>
            </w:tcBorders>
            <w:shd w:val="clear" w:color="auto" w:fill="auto"/>
            <w:noWrap/>
            <w:vAlign w:val="bottom"/>
            <w:hideMark/>
          </w:tcPr>
          <w:p w14:paraId="71BE1859"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10%</w:t>
            </w:r>
          </w:p>
        </w:tc>
        <w:tc>
          <w:tcPr>
            <w:tcW w:w="979" w:type="dxa"/>
            <w:tcBorders>
              <w:top w:val="nil"/>
              <w:left w:val="nil"/>
              <w:bottom w:val="single" w:sz="4" w:space="0" w:color="auto"/>
              <w:right w:val="single" w:sz="4" w:space="0" w:color="auto"/>
            </w:tcBorders>
            <w:shd w:val="clear" w:color="auto" w:fill="auto"/>
            <w:noWrap/>
            <w:vAlign w:val="bottom"/>
            <w:hideMark/>
          </w:tcPr>
          <w:p w14:paraId="24B8FD74"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6%</w:t>
            </w:r>
          </w:p>
        </w:tc>
        <w:tc>
          <w:tcPr>
            <w:tcW w:w="2151" w:type="dxa"/>
            <w:tcBorders>
              <w:top w:val="nil"/>
              <w:left w:val="nil"/>
              <w:bottom w:val="single" w:sz="4" w:space="0" w:color="auto"/>
              <w:right w:val="single" w:sz="4" w:space="0" w:color="auto"/>
            </w:tcBorders>
            <w:shd w:val="clear" w:color="auto" w:fill="auto"/>
            <w:noWrap/>
            <w:vAlign w:val="bottom"/>
            <w:hideMark/>
          </w:tcPr>
          <w:p w14:paraId="67E00D00"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5%</w:t>
            </w:r>
          </w:p>
        </w:tc>
        <w:tc>
          <w:tcPr>
            <w:tcW w:w="1756" w:type="dxa"/>
            <w:tcBorders>
              <w:top w:val="nil"/>
              <w:left w:val="nil"/>
              <w:bottom w:val="single" w:sz="4" w:space="0" w:color="auto"/>
              <w:right w:val="single" w:sz="4" w:space="0" w:color="auto"/>
            </w:tcBorders>
            <w:shd w:val="clear" w:color="auto" w:fill="auto"/>
            <w:noWrap/>
            <w:vAlign w:val="bottom"/>
            <w:hideMark/>
          </w:tcPr>
          <w:p w14:paraId="195FAC3E"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16%</w:t>
            </w:r>
          </w:p>
        </w:tc>
        <w:tc>
          <w:tcPr>
            <w:tcW w:w="1708" w:type="dxa"/>
            <w:tcBorders>
              <w:top w:val="nil"/>
              <w:left w:val="nil"/>
              <w:bottom w:val="single" w:sz="4" w:space="0" w:color="auto"/>
              <w:right w:val="nil"/>
            </w:tcBorders>
            <w:shd w:val="clear" w:color="auto" w:fill="auto"/>
            <w:noWrap/>
            <w:vAlign w:val="bottom"/>
            <w:hideMark/>
          </w:tcPr>
          <w:p w14:paraId="065F87F1"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11%</w:t>
            </w:r>
          </w:p>
        </w:tc>
      </w:tr>
      <w:tr w:rsidR="00903B8A" w:rsidRPr="00903B8A" w14:paraId="11DC6CD5" w14:textId="77777777" w:rsidTr="00903B8A">
        <w:trPr>
          <w:trHeight w:val="278"/>
        </w:trPr>
        <w:tc>
          <w:tcPr>
            <w:tcW w:w="1453" w:type="dxa"/>
            <w:tcBorders>
              <w:top w:val="nil"/>
              <w:left w:val="nil"/>
              <w:bottom w:val="single" w:sz="4" w:space="0" w:color="auto"/>
              <w:right w:val="single" w:sz="4" w:space="0" w:color="auto"/>
            </w:tcBorders>
            <w:shd w:val="clear" w:color="auto" w:fill="auto"/>
            <w:noWrap/>
            <w:vAlign w:val="bottom"/>
            <w:hideMark/>
          </w:tcPr>
          <w:p w14:paraId="79064689" w14:textId="77777777" w:rsidR="00903B8A" w:rsidRPr="00A7660B" w:rsidRDefault="00903B8A" w:rsidP="00903B8A">
            <w:pPr>
              <w:widowControl/>
              <w:suppressLineNumbers w:val="0"/>
              <w:suppressAutoHyphens w:val="0"/>
              <w:ind w:firstLine="0"/>
              <w:jc w:val="center"/>
              <w:rPr>
                <w:b/>
                <w:bCs/>
                <w:color w:val="000000"/>
                <w:sz w:val="20"/>
              </w:rPr>
            </w:pPr>
            <w:r w:rsidRPr="00A7660B">
              <w:rPr>
                <w:b/>
                <w:bCs/>
                <w:color w:val="000000"/>
                <w:sz w:val="20"/>
              </w:rPr>
              <w:t>Recessão</w:t>
            </w:r>
          </w:p>
        </w:tc>
        <w:tc>
          <w:tcPr>
            <w:tcW w:w="1345" w:type="dxa"/>
            <w:tcBorders>
              <w:top w:val="nil"/>
              <w:left w:val="nil"/>
              <w:bottom w:val="single" w:sz="4" w:space="0" w:color="auto"/>
              <w:right w:val="single" w:sz="4" w:space="0" w:color="auto"/>
            </w:tcBorders>
            <w:shd w:val="clear" w:color="auto" w:fill="auto"/>
            <w:noWrap/>
            <w:vAlign w:val="bottom"/>
            <w:hideMark/>
          </w:tcPr>
          <w:p w14:paraId="00CCE352"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-4%</w:t>
            </w:r>
          </w:p>
        </w:tc>
        <w:tc>
          <w:tcPr>
            <w:tcW w:w="979" w:type="dxa"/>
            <w:tcBorders>
              <w:top w:val="nil"/>
              <w:left w:val="nil"/>
              <w:bottom w:val="single" w:sz="4" w:space="0" w:color="auto"/>
              <w:right w:val="single" w:sz="4" w:space="0" w:color="auto"/>
            </w:tcBorders>
            <w:shd w:val="clear" w:color="auto" w:fill="auto"/>
            <w:noWrap/>
            <w:vAlign w:val="bottom"/>
            <w:hideMark/>
          </w:tcPr>
          <w:p w14:paraId="4F39637B"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-4%</w:t>
            </w:r>
          </w:p>
        </w:tc>
        <w:tc>
          <w:tcPr>
            <w:tcW w:w="2151" w:type="dxa"/>
            <w:tcBorders>
              <w:top w:val="nil"/>
              <w:left w:val="nil"/>
              <w:bottom w:val="single" w:sz="4" w:space="0" w:color="auto"/>
              <w:right w:val="single" w:sz="4" w:space="0" w:color="auto"/>
            </w:tcBorders>
            <w:shd w:val="clear" w:color="auto" w:fill="auto"/>
            <w:noWrap/>
            <w:vAlign w:val="bottom"/>
            <w:hideMark/>
          </w:tcPr>
          <w:p w14:paraId="67AA4358"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-2%</w:t>
            </w:r>
          </w:p>
        </w:tc>
        <w:tc>
          <w:tcPr>
            <w:tcW w:w="1756" w:type="dxa"/>
            <w:tcBorders>
              <w:top w:val="nil"/>
              <w:left w:val="nil"/>
              <w:bottom w:val="single" w:sz="4" w:space="0" w:color="auto"/>
              <w:right w:val="single" w:sz="4" w:space="0" w:color="auto"/>
            </w:tcBorders>
            <w:shd w:val="clear" w:color="auto" w:fill="auto"/>
            <w:noWrap/>
            <w:vAlign w:val="bottom"/>
            <w:hideMark/>
          </w:tcPr>
          <w:p w14:paraId="09E66E39"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-2%</w:t>
            </w:r>
          </w:p>
        </w:tc>
        <w:tc>
          <w:tcPr>
            <w:tcW w:w="1708" w:type="dxa"/>
            <w:tcBorders>
              <w:top w:val="nil"/>
              <w:left w:val="nil"/>
              <w:bottom w:val="single" w:sz="4" w:space="0" w:color="auto"/>
              <w:right w:val="nil"/>
            </w:tcBorders>
            <w:shd w:val="clear" w:color="auto" w:fill="auto"/>
            <w:noWrap/>
            <w:vAlign w:val="bottom"/>
            <w:hideMark/>
          </w:tcPr>
          <w:p w14:paraId="681F3FB8"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-8%</w:t>
            </w:r>
          </w:p>
        </w:tc>
      </w:tr>
    </w:tbl>
    <w:p w14:paraId="5047EBF0" w14:textId="77777777" w:rsidR="00601967" w:rsidRDefault="00601967" w:rsidP="00D33857">
      <w:pPr>
        <w:ind w:firstLine="0"/>
        <w:rPr>
          <w:szCs w:val="24"/>
        </w:rPr>
      </w:pPr>
    </w:p>
    <w:p w14:paraId="723337BE" w14:textId="77777777" w:rsidR="00837751" w:rsidRDefault="00601967" w:rsidP="00837751">
      <w:pPr>
        <w:rPr>
          <w:szCs w:val="24"/>
        </w:rPr>
      </w:pPr>
      <w:r>
        <w:rPr>
          <w:szCs w:val="24"/>
        </w:rPr>
        <w:t>É possível perceber que o setor apresentou uma taxa de crescimento</w:t>
      </w:r>
      <w:r w:rsidR="001B65E0">
        <w:rPr>
          <w:szCs w:val="24"/>
        </w:rPr>
        <w:t xml:space="preserve"> na geração de riqueza</w:t>
      </w:r>
      <w:r>
        <w:rPr>
          <w:szCs w:val="24"/>
        </w:rPr>
        <w:t xml:space="preserve"> em 10%</w:t>
      </w:r>
      <w:r w:rsidR="001B65E0">
        <w:rPr>
          <w:szCs w:val="24"/>
        </w:rPr>
        <w:t xml:space="preserve"> para o período de expansão enquanto no</w:t>
      </w:r>
      <w:r>
        <w:rPr>
          <w:szCs w:val="24"/>
        </w:rPr>
        <w:t xml:space="preserve"> período de recessão essa taxa foi negativa em 4%, representando </w:t>
      </w:r>
      <w:r w:rsidR="001B65E0">
        <w:rPr>
          <w:szCs w:val="24"/>
        </w:rPr>
        <w:t>um decréscimo</w:t>
      </w:r>
      <w:r>
        <w:rPr>
          <w:szCs w:val="24"/>
        </w:rPr>
        <w:t xml:space="preserve"> na geração de </w:t>
      </w:r>
      <w:r w:rsidR="00837751">
        <w:rPr>
          <w:szCs w:val="24"/>
        </w:rPr>
        <w:t xml:space="preserve">riqueza neste segundo momento. </w:t>
      </w:r>
      <w:r>
        <w:rPr>
          <w:szCs w:val="24"/>
        </w:rPr>
        <w:t xml:space="preserve">Isso </w:t>
      </w:r>
      <w:r w:rsidR="0025651C">
        <w:rPr>
          <w:szCs w:val="24"/>
        </w:rPr>
        <w:t>apresenta indícios</w:t>
      </w:r>
      <w:r>
        <w:rPr>
          <w:szCs w:val="24"/>
        </w:rPr>
        <w:t xml:space="preserve"> de que o setor </w:t>
      </w:r>
      <w:r w:rsidR="0025651C">
        <w:rPr>
          <w:szCs w:val="24"/>
        </w:rPr>
        <w:t>pode ter sido impactado pela</w:t>
      </w:r>
      <w:r>
        <w:rPr>
          <w:szCs w:val="24"/>
        </w:rPr>
        <w:t xml:space="preserve"> recessão no sentido de não prosseg</w:t>
      </w:r>
      <w:r w:rsidR="00837751">
        <w:rPr>
          <w:szCs w:val="24"/>
        </w:rPr>
        <w:t>uir na tendência de crescimento.</w:t>
      </w:r>
    </w:p>
    <w:p w14:paraId="31EE60E5" w14:textId="77777777" w:rsidR="001B65E0" w:rsidRDefault="00837751" w:rsidP="00837751">
      <w:pPr>
        <w:rPr>
          <w:szCs w:val="24"/>
        </w:rPr>
      </w:pPr>
      <w:r>
        <w:rPr>
          <w:szCs w:val="24"/>
        </w:rPr>
        <w:t>Ao observar as taxas de crescimento nos dois períodos, pode-se associar a</w:t>
      </w:r>
      <w:r w:rsidR="00601967">
        <w:rPr>
          <w:szCs w:val="24"/>
        </w:rPr>
        <w:t xml:space="preserve"> Teoria dos Ciclos Econômicos, </w:t>
      </w:r>
      <w:r>
        <w:rPr>
          <w:szCs w:val="24"/>
        </w:rPr>
        <w:t>no sentido de que no momento de expansão a situação pode ser</w:t>
      </w:r>
      <w:r w:rsidR="00601967">
        <w:rPr>
          <w:szCs w:val="24"/>
        </w:rPr>
        <w:t xml:space="preserve"> favorável ao crescimento</w:t>
      </w:r>
      <w:r w:rsidR="00E400C5">
        <w:rPr>
          <w:szCs w:val="24"/>
        </w:rPr>
        <w:t xml:space="preserve"> pelo clima animador da economia</w:t>
      </w:r>
      <w:r>
        <w:rPr>
          <w:szCs w:val="24"/>
        </w:rPr>
        <w:t>, visto que “(...) o movimento para prosperidade ganha impulso à medida que avança” (Mitchell</w:t>
      </w:r>
      <w:r w:rsidR="00601967">
        <w:rPr>
          <w:szCs w:val="24"/>
        </w:rPr>
        <w:t>,</w:t>
      </w:r>
      <w:r w:rsidR="009E7716">
        <w:rPr>
          <w:szCs w:val="24"/>
        </w:rPr>
        <w:t>1988 p.27), a</w:t>
      </w:r>
      <w:r w:rsidR="00601967">
        <w:rPr>
          <w:szCs w:val="24"/>
        </w:rPr>
        <w:t xml:space="preserve">o passo que </w:t>
      </w:r>
      <w:r w:rsidR="009E7716">
        <w:rPr>
          <w:szCs w:val="24"/>
        </w:rPr>
        <w:t xml:space="preserve">a </w:t>
      </w:r>
      <w:r w:rsidR="00601967">
        <w:rPr>
          <w:szCs w:val="24"/>
        </w:rPr>
        <w:t>recessão</w:t>
      </w:r>
      <w:r w:rsidR="009E7716">
        <w:rPr>
          <w:szCs w:val="24"/>
        </w:rPr>
        <w:t xml:space="preserve"> acaba por comprometer as condições que apoiam essa prosperidade</w:t>
      </w:r>
      <w:r w:rsidR="00601967">
        <w:rPr>
          <w:szCs w:val="24"/>
        </w:rPr>
        <w:t>.</w:t>
      </w:r>
      <w:r w:rsidR="00CB446A">
        <w:rPr>
          <w:szCs w:val="24"/>
        </w:rPr>
        <w:t xml:space="preserve"> Fazendo mais um paralelo com a teoria para</w:t>
      </w:r>
      <w:r w:rsidR="001B65E0">
        <w:rPr>
          <w:szCs w:val="24"/>
        </w:rPr>
        <w:t xml:space="preserve"> com</w:t>
      </w:r>
      <w:r w:rsidR="00CB446A">
        <w:rPr>
          <w:szCs w:val="24"/>
        </w:rPr>
        <w:t xml:space="preserve"> o setor em especifico, por se tratar de bens que não são de primeira necessidade, se os </w:t>
      </w:r>
      <w:r w:rsidR="00CB446A">
        <w:rPr>
          <w:szCs w:val="24"/>
        </w:rPr>
        <w:lastRenderedPageBreak/>
        <w:t xml:space="preserve">consumidores se virem em </w:t>
      </w:r>
      <w:r w:rsidR="00725112">
        <w:rPr>
          <w:szCs w:val="24"/>
        </w:rPr>
        <w:t>situação</w:t>
      </w:r>
      <w:r w:rsidR="00CB446A">
        <w:rPr>
          <w:szCs w:val="24"/>
        </w:rPr>
        <w:t xml:space="preserve"> de restrição orçamentária devido a recessão, a aquisição de bens desse setor pode ser adiada</w:t>
      </w:r>
      <w:r w:rsidR="00E400C5">
        <w:rPr>
          <w:szCs w:val="24"/>
        </w:rPr>
        <w:t xml:space="preserve"> (Mitchell, 1988).</w:t>
      </w:r>
    </w:p>
    <w:p w14:paraId="2108082F" w14:textId="77777777" w:rsidR="00D33857" w:rsidRDefault="00601967" w:rsidP="00601967">
      <w:pPr>
        <w:rPr>
          <w:szCs w:val="24"/>
        </w:rPr>
      </w:pPr>
      <w:r>
        <w:rPr>
          <w:szCs w:val="24"/>
        </w:rPr>
        <w:t xml:space="preserve">Partindo para a distribuição dessa riqueza, dentre os agentes econômicos que compõe a DVA o que recebeu o maior percentual nos dois períodos para este setor foi o governo por meio dos impostos, taxas e contribuições, onde do total da riqueza gerada no período de expansão e recessão 40% foi destinado a esse grupo. </w:t>
      </w:r>
      <w:r w:rsidR="009E7716">
        <w:rPr>
          <w:szCs w:val="24"/>
        </w:rPr>
        <w:t>Tal situação se repetiu</w:t>
      </w:r>
      <w:r>
        <w:rPr>
          <w:szCs w:val="24"/>
        </w:rPr>
        <w:t xml:space="preserve"> na distribuição a pessoal, que do montante da riqueza gerada</w:t>
      </w:r>
      <w:r w:rsidR="009E7716">
        <w:rPr>
          <w:szCs w:val="24"/>
        </w:rPr>
        <w:t>,</w:t>
      </w:r>
      <w:r>
        <w:rPr>
          <w:szCs w:val="24"/>
        </w:rPr>
        <w:t xml:space="preserve"> 28% foram en</w:t>
      </w:r>
      <w:r w:rsidR="009E7716">
        <w:rPr>
          <w:szCs w:val="24"/>
        </w:rPr>
        <w:t>tregues a este grupo, conforme F</w:t>
      </w:r>
      <w:r>
        <w:rPr>
          <w:szCs w:val="24"/>
        </w:rPr>
        <w:t>igura 2.</w:t>
      </w:r>
    </w:p>
    <w:p w14:paraId="4C2EC87E" w14:textId="77777777" w:rsidR="0075206B" w:rsidRDefault="0075206B" w:rsidP="00601967">
      <w:pPr>
        <w:rPr>
          <w:sz w:val="20"/>
        </w:rPr>
      </w:pPr>
    </w:p>
    <w:p w14:paraId="39CE6650" w14:textId="77777777" w:rsidR="00601967" w:rsidRDefault="00D33857" w:rsidP="00601967">
      <w:pPr>
        <w:rPr>
          <w:sz w:val="20"/>
        </w:rPr>
      </w:pPr>
      <w:r w:rsidRPr="00EE7CBF">
        <w:rPr>
          <w:noProof/>
          <w:sz w:val="20"/>
        </w:rPr>
        <w:drawing>
          <wp:anchor distT="0" distB="0" distL="114300" distR="114300" simplePos="0" relativeHeight="251664384" behindDoc="1" locked="0" layoutInCell="1" allowOverlap="1" wp14:anchorId="11B45772" wp14:editId="2482B6DE">
            <wp:simplePos x="0" y="0"/>
            <wp:positionH relativeFrom="margin">
              <wp:align>right</wp:align>
            </wp:positionH>
            <wp:positionV relativeFrom="paragraph">
              <wp:posOffset>7620</wp:posOffset>
            </wp:positionV>
            <wp:extent cx="5949950" cy="2349500"/>
            <wp:effectExtent l="0" t="0" r="12700" b="12700"/>
            <wp:wrapNone/>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3E37CB0D" w14:textId="77777777" w:rsidR="00601967" w:rsidRDefault="00601967" w:rsidP="00601967">
      <w:pPr>
        <w:rPr>
          <w:sz w:val="20"/>
        </w:rPr>
      </w:pPr>
    </w:p>
    <w:p w14:paraId="7D759034" w14:textId="77777777" w:rsidR="00601967" w:rsidRDefault="00601967" w:rsidP="00601967">
      <w:pPr>
        <w:rPr>
          <w:sz w:val="20"/>
        </w:rPr>
      </w:pPr>
    </w:p>
    <w:p w14:paraId="222A1CF8" w14:textId="77777777" w:rsidR="00601967" w:rsidRDefault="00601967" w:rsidP="00601967">
      <w:pPr>
        <w:rPr>
          <w:sz w:val="20"/>
        </w:rPr>
      </w:pPr>
    </w:p>
    <w:p w14:paraId="44A61628" w14:textId="77777777" w:rsidR="00601967" w:rsidRDefault="00601967" w:rsidP="00601967">
      <w:pPr>
        <w:rPr>
          <w:sz w:val="20"/>
        </w:rPr>
      </w:pPr>
    </w:p>
    <w:p w14:paraId="32ACE1FC" w14:textId="77777777" w:rsidR="00601967" w:rsidRDefault="00601967" w:rsidP="00601967">
      <w:pPr>
        <w:rPr>
          <w:sz w:val="20"/>
        </w:rPr>
      </w:pPr>
    </w:p>
    <w:p w14:paraId="2D665824" w14:textId="77777777" w:rsidR="00601967" w:rsidRDefault="00601967" w:rsidP="00601967">
      <w:pPr>
        <w:rPr>
          <w:sz w:val="20"/>
        </w:rPr>
      </w:pPr>
    </w:p>
    <w:p w14:paraId="4A501D84" w14:textId="77777777" w:rsidR="00601967" w:rsidRDefault="00601967" w:rsidP="00601967">
      <w:pPr>
        <w:rPr>
          <w:sz w:val="20"/>
        </w:rPr>
      </w:pPr>
    </w:p>
    <w:p w14:paraId="7E8932E2" w14:textId="77777777" w:rsidR="00601967" w:rsidRDefault="00601967" w:rsidP="00601967">
      <w:pPr>
        <w:rPr>
          <w:sz w:val="20"/>
        </w:rPr>
      </w:pPr>
    </w:p>
    <w:p w14:paraId="7071F173" w14:textId="77777777" w:rsidR="00601967" w:rsidRDefault="00601967" w:rsidP="00601967">
      <w:pPr>
        <w:ind w:firstLine="708"/>
        <w:jc w:val="center"/>
        <w:rPr>
          <w:sz w:val="20"/>
        </w:rPr>
      </w:pPr>
    </w:p>
    <w:p w14:paraId="5E48B19A" w14:textId="77777777" w:rsidR="00601967" w:rsidRPr="00837C0B" w:rsidRDefault="00601967" w:rsidP="00601967">
      <w:pPr>
        <w:tabs>
          <w:tab w:val="left" w:pos="4425"/>
        </w:tabs>
        <w:ind w:firstLine="708"/>
        <w:rPr>
          <w:sz w:val="20"/>
        </w:rPr>
      </w:pPr>
      <w:r>
        <w:rPr>
          <w:sz w:val="20"/>
        </w:rPr>
        <w:tab/>
      </w:r>
    </w:p>
    <w:p w14:paraId="25D23F48" w14:textId="77777777" w:rsidR="00601967" w:rsidRDefault="00601967" w:rsidP="00601967">
      <w:pPr>
        <w:ind w:firstLine="708"/>
        <w:jc w:val="center"/>
        <w:rPr>
          <w:sz w:val="20"/>
        </w:rPr>
      </w:pPr>
    </w:p>
    <w:p w14:paraId="0DD27AEF" w14:textId="77777777" w:rsidR="00D33857" w:rsidRDefault="00D33857" w:rsidP="00601967">
      <w:pPr>
        <w:rPr>
          <w:sz w:val="20"/>
        </w:rPr>
      </w:pPr>
    </w:p>
    <w:p w14:paraId="5EC2EB21" w14:textId="77777777" w:rsidR="00D33857" w:rsidRDefault="00D33857" w:rsidP="00601967">
      <w:pPr>
        <w:rPr>
          <w:sz w:val="20"/>
        </w:rPr>
      </w:pPr>
    </w:p>
    <w:p w14:paraId="76C335B0" w14:textId="77777777" w:rsidR="00A11345" w:rsidRDefault="00A11345" w:rsidP="00D33857">
      <w:pPr>
        <w:ind w:firstLine="0"/>
        <w:rPr>
          <w:sz w:val="20"/>
        </w:rPr>
      </w:pPr>
    </w:p>
    <w:p w14:paraId="464550C0" w14:textId="77777777" w:rsidR="0091113B" w:rsidRDefault="0091113B" w:rsidP="00D33857">
      <w:pPr>
        <w:ind w:firstLine="0"/>
        <w:rPr>
          <w:sz w:val="20"/>
        </w:rPr>
      </w:pPr>
    </w:p>
    <w:p w14:paraId="39EFA5F0" w14:textId="45AE2EC7" w:rsidR="00601967" w:rsidRDefault="00601967" w:rsidP="00D33857">
      <w:pPr>
        <w:ind w:firstLine="0"/>
        <w:rPr>
          <w:sz w:val="20"/>
        </w:rPr>
      </w:pPr>
      <w:r>
        <w:rPr>
          <w:sz w:val="20"/>
        </w:rPr>
        <w:t>Figura 2: Distribuição da riqueza gerada</w:t>
      </w:r>
    </w:p>
    <w:p w14:paraId="39BDAB8C" w14:textId="77777777" w:rsidR="00601967" w:rsidRPr="00391D08" w:rsidRDefault="00601967" w:rsidP="00601967">
      <w:pPr>
        <w:ind w:firstLine="708"/>
        <w:jc w:val="center"/>
        <w:rPr>
          <w:sz w:val="20"/>
        </w:rPr>
      </w:pPr>
    </w:p>
    <w:p w14:paraId="3C6AFF03" w14:textId="77777777" w:rsidR="00D63B99" w:rsidRDefault="00601967" w:rsidP="00D63B99">
      <w:pPr>
        <w:rPr>
          <w:szCs w:val="24"/>
        </w:rPr>
      </w:pPr>
      <w:r>
        <w:rPr>
          <w:szCs w:val="24"/>
        </w:rPr>
        <w:t xml:space="preserve">O grupo de remuneração de capital próprio </w:t>
      </w:r>
      <w:r w:rsidR="009E7716">
        <w:rPr>
          <w:szCs w:val="24"/>
        </w:rPr>
        <w:t>apresentou</w:t>
      </w:r>
      <w:r>
        <w:rPr>
          <w:szCs w:val="24"/>
        </w:rPr>
        <w:t xml:space="preserve"> percentual de distribuição menor na recessão em relação a expansão, ao passo que a remuneração de capital de terceiros </w:t>
      </w:r>
      <w:r w:rsidR="009E7716">
        <w:rPr>
          <w:szCs w:val="24"/>
        </w:rPr>
        <w:t>exibiu</w:t>
      </w:r>
      <w:r>
        <w:rPr>
          <w:szCs w:val="24"/>
        </w:rPr>
        <w:t xml:space="preserve"> percentual maior. Com relação a taxa </w:t>
      </w:r>
      <w:r w:rsidR="009E7716">
        <w:rPr>
          <w:szCs w:val="24"/>
        </w:rPr>
        <w:t>de crescimento apresentados na T</w:t>
      </w:r>
      <w:r>
        <w:rPr>
          <w:szCs w:val="24"/>
        </w:rPr>
        <w:t xml:space="preserve">abela 5, esses mesmos grupos merecem destaque, sendo que o de remuneração de capitais de terceiros foi o </w:t>
      </w:r>
      <w:r w:rsidR="00725112">
        <w:rPr>
          <w:szCs w:val="24"/>
        </w:rPr>
        <w:t>que exibiu</w:t>
      </w:r>
      <w:r>
        <w:rPr>
          <w:szCs w:val="24"/>
        </w:rPr>
        <w:t xml:space="preserve"> maior taxa de crescimento para a expansão com 16%, e o de remuneração de capital próprio o mais impactado negativamente na recessão com -8%.</w:t>
      </w:r>
      <w:r w:rsidR="001B65E0">
        <w:rPr>
          <w:szCs w:val="24"/>
        </w:rPr>
        <w:t xml:space="preserve"> </w:t>
      </w:r>
    </w:p>
    <w:p w14:paraId="6FC5F82B" w14:textId="77777777" w:rsidR="00601967" w:rsidRDefault="00601967" w:rsidP="00601967">
      <w:pPr>
        <w:rPr>
          <w:b/>
          <w:szCs w:val="24"/>
        </w:rPr>
      </w:pPr>
      <w:r>
        <w:rPr>
          <w:szCs w:val="24"/>
        </w:rPr>
        <w:tab/>
      </w:r>
    </w:p>
    <w:p w14:paraId="18CE80E9" w14:textId="77777777" w:rsidR="00601967" w:rsidRPr="00E37148" w:rsidRDefault="00601967" w:rsidP="00D33857">
      <w:pPr>
        <w:ind w:firstLine="0"/>
        <w:rPr>
          <w:b/>
          <w:szCs w:val="24"/>
        </w:rPr>
      </w:pPr>
      <w:r w:rsidRPr="00E37148">
        <w:rPr>
          <w:b/>
          <w:szCs w:val="24"/>
        </w:rPr>
        <w:t>4.</w:t>
      </w:r>
      <w:r>
        <w:rPr>
          <w:b/>
          <w:szCs w:val="24"/>
        </w:rPr>
        <w:t xml:space="preserve">2 </w:t>
      </w:r>
      <w:r w:rsidRPr="00E37148">
        <w:rPr>
          <w:b/>
          <w:szCs w:val="24"/>
        </w:rPr>
        <w:t>Geração e distribuição de riqueza no setor de consumo não cíclico</w:t>
      </w:r>
    </w:p>
    <w:p w14:paraId="453424B7" w14:textId="77777777" w:rsidR="00601967" w:rsidRPr="00ED6AC1" w:rsidRDefault="00601967" w:rsidP="00601967">
      <w:pPr>
        <w:rPr>
          <w:szCs w:val="24"/>
        </w:rPr>
      </w:pPr>
    </w:p>
    <w:p w14:paraId="7C71518D" w14:textId="77777777" w:rsidR="00601967" w:rsidRDefault="00601967" w:rsidP="00601967">
      <w:pPr>
        <w:rPr>
          <w:szCs w:val="24"/>
        </w:rPr>
      </w:pPr>
      <w:r>
        <w:rPr>
          <w:szCs w:val="24"/>
        </w:rPr>
        <w:t xml:space="preserve">O setor de consumo não cíclico gerou e distribui nos anos aqui analisados pouco mais de R$ 567 bilhões sendo que no momento de expansão esse valor foi de R$ 307 bilhões, ao passo que no momento de recessão R$ 260 bilhões. </w:t>
      </w:r>
    </w:p>
    <w:p w14:paraId="22527C98" w14:textId="77777777" w:rsidR="00D33857" w:rsidRDefault="00D33857">
      <w:pPr>
        <w:widowControl/>
        <w:suppressLineNumbers w:val="0"/>
        <w:suppressAutoHyphens w:val="0"/>
        <w:ind w:firstLine="0"/>
        <w:jc w:val="left"/>
        <w:rPr>
          <w:sz w:val="20"/>
        </w:rPr>
      </w:pPr>
    </w:p>
    <w:p w14:paraId="51829C20" w14:textId="77777777" w:rsidR="00A11345" w:rsidRDefault="00A11345">
      <w:pPr>
        <w:widowControl/>
        <w:suppressLineNumbers w:val="0"/>
        <w:suppressAutoHyphens w:val="0"/>
        <w:ind w:firstLine="0"/>
        <w:jc w:val="left"/>
        <w:rPr>
          <w:sz w:val="20"/>
        </w:rPr>
      </w:pPr>
      <w:r>
        <w:rPr>
          <w:sz w:val="20"/>
        </w:rPr>
        <w:br w:type="page"/>
      </w:r>
    </w:p>
    <w:p w14:paraId="1AAC475A" w14:textId="77777777" w:rsidR="00601967" w:rsidRDefault="00601967" w:rsidP="00E7557D">
      <w:pPr>
        <w:spacing w:line="259" w:lineRule="auto"/>
        <w:ind w:firstLine="0"/>
        <w:rPr>
          <w:sz w:val="20"/>
        </w:rPr>
      </w:pPr>
      <w:r>
        <w:rPr>
          <w:sz w:val="20"/>
        </w:rPr>
        <w:lastRenderedPageBreak/>
        <w:t xml:space="preserve">Tabela </w:t>
      </w:r>
      <w:r w:rsidR="00903B8A">
        <w:rPr>
          <w:sz w:val="20"/>
        </w:rPr>
        <w:t>6</w:t>
      </w:r>
      <w:r>
        <w:rPr>
          <w:sz w:val="20"/>
        </w:rPr>
        <w:t>. Valores para o setor de consumo não cíclico</w:t>
      </w:r>
      <w:r w:rsidR="00A11345">
        <w:rPr>
          <w:sz w:val="20"/>
        </w:rPr>
        <w:t xml:space="preserve"> (em bilhões de reais)</w:t>
      </w:r>
    </w:p>
    <w:tbl>
      <w:tblPr>
        <w:tblW w:w="5000" w:type="pct"/>
        <w:tblCellMar>
          <w:left w:w="70" w:type="dxa"/>
          <w:right w:w="70" w:type="dxa"/>
        </w:tblCellMar>
        <w:tblLook w:val="04A0" w:firstRow="1" w:lastRow="0" w:firstColumn="1" w:lastColumn="0" w:noHBand="0" w:noVBand="1"/>
      </w:tblPr>
      <w:tblGrid>
        <w:gridCol w:w="2036"/>
        <w:gridCol w:w="2667"/>
        <w:gridCol w:w="2035"/>
        <w:gridCol w:w="2667"/>
      </w:tblGrid>
      <w:tr w:rsidR="00903B8A" w:rsidRPr="00903B8A" w14:paraId="77067F8C" w14:textId="77777777" w:rsidTr="0091113B">
        <w:trPr>
          <w:trHeight w:val="255"/>
        </w:trPr>
        <w:tc>
          <w:tcPr>
            <w:tcW w:w="2500"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5E3A055C" w14:textId="77777777" w:rsidR="00903B8A" w:rsidRPr="0091113B" w:rsidRDefault="00903B8A" w:rsidP="00903B8A">
            <w:pPr>
              <w:widowControl/>
              <w:suppressLineNumbers w:val="0"/>
              <w:suppressAutoHyphens w:val="0"/>
              <w:ind w:firstLine="0"/>
              <w:jc w:val="center"/>
              <w:rPr>
                <w:b/>
                <w:bCs/>
                <w:color w:val="000000"/>
                <w:sz w:val="20"/>
              </w:rPr>
            </w:pPr>
            <w:r w:rsidRPr="0091113B">
              <w:rPr>
                <w:b/>
                <w:bCs/>
                <w:color w:val="000000"/>
                <w:sz w:val="20"/>
              </w:rPr>
              <w:t>Expansão</w:t>
            </w:r>
          </w:p>
        </w:tc>
        <w:tc>
          <w:tcPr>
            <w:tcW w:w="2500" w:type="pct"/>
            <w:gridSpan w:val="2"/>
            <w:tcBorders>
              <w:top w:val="single" w:sz="4" w:space="0" w:color="auto"/>
              <w:left w:val="nil"/>
              <w:bottom w:val="single" w:sz="4" w:space="0" w:color="auto"/>
              <w:right w:val="nil"/>
            </w:tcBorders>
            <w:shd w:val="clear" w:color="auto" w:fill="auto"/>
            <w:noWrap/>
            <w:vAlign w:val="bottom"/>
            <w:hideMark/>
          </w:tcPr>
          <w:p w14:paraId="72EC8711" w14:textId="77777777" w:rsidR="00903B8A" w:rsidRPr="0091113B" w:rsidRDefault="00903B8A" w:rsidP="00903B8A">
            <w:pPr>
              <w:widowControl/>
              <w:suppressLineNumbers w:val="0"/>
              <w:suppressAutoHyphens w:val="0"/>
              <w:ind w:firstLine="0"/>
              <w:jc w:val="center"/>
              <w:rPr>
                <w:b/>
                <w:bCs/>
                <w:color w:val="000000"/>
                <w:sz w:val="20"/>
              </w:rPr>
            </w:pPr>
            <w:r w:rsidRPr="0091113B">
              <w:rPr>
                <w:b/>
                <w:bCs/>
                <w:color w:val="000000"/>
                <w:sz w:val="20"/>
              </w:rPr>
              <w:t>Recessão</w:t>
            </w:r>
          </w:p>
        </w:tc>
      </w:tr>
      <w:tr w:rsidR="00903B8A" w:rsidRPr="00903B8A" w14:paraId="05757823" w14:textId="77777777" w:rsidTr="0091113B">
        <w:trPr>
          <w:trHeight w:val="255"/>
        </w:trPr>
        <w:tc>
          <w:tcPr>
            <w:tcW w:w="1082" w:type="pct"/>
            <w:tcBorders>
              <w:top w:val="nil"/>
              <w:left w:val="nil"/>
              <w:bottom w:val="nil"/>
              <w:right w:val="single" w:sz="4" w:space="0" w:color="auto"/>
            </w:tcBorders>
            <w:shd w:val="clear" w:color="auto" w:fill="auto"/>
            <w:noWrap/>
            <w:vAlign w:val="bottom"/>
            <w:hideMark/>
          </w:tcPr>
          <w:p w14:paraId="4F581F1C"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Total do período</w:t>
            </w:r>
          </w:p>
        </w:tc>
        <w:tc>
          <w:tcPr>
            <w:tcW w:w="1418" w:type="pct"/>
            <w:tcBorders>
              <w:top w:val="nil"/>
              <w:left w:val="nil"/>
              <w:bottom w:val="nil"/>
              <w:right w:val="single" w:sz="4" w:space="0" w:color="auto"/>
            </w:tcBorders>
            <w:shd w:val="clear" w:color="auto" w:fill="auto"/>
            <w:noWrap/>
            <w:vAlign w:val="bottom"/>
            <w:hideMark/>
          </w:tcPr>
          <w:p w14:paraId="02AE5BC1"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 xml:space="preserve">307 </w:t>
            </w:r>
          </w:p>
        </w:tc>
        <w:tc>
          <w:tcPr>
            <w:tcW w:w="1082" w:type="pct"/>
            <w:tcBorders>
              <w:top w:val="nil"/>
              <w:left w:val="nil"/>
              <w:bottom w:val="nil"/>
              <w:right w:val="single" w:sz="4" w:space="0" w:color="auto"/>
            </w:tcBorders>
            <w:shd w:val="clear" w:color="auto" w:fill="auto"/>
            <w:noWrap/>
            <w:vAlign w:val="bottom"/>
            <w:hideMark/>
          </w:tcPr>
          <w:p w14:paraId="7602A1C6"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Total do período</w:t>
            </w:r>
          </w:p>
        </w:tc>
        <w:tc>
          <w:tcPr>
            <w:tcW w:w="1418" w:type="pct"/>
            <w:tcBorders>
              <w:top w:val="nil"/>
              <w:left w:val="nil"/>
              <w:bottom w:val="nil"/>
              <w:right w:val="nil"/>
            </w:tcBorders>
            <w:shd w:val="clear" w:color="auto" w:fill="auto"/>
            <w:noWrap/>
            <w:vAlign w:val="bottom"/>
            <w:hideMark/>
          </w:tcPr>
          <w:p w14:paraId="5E051EA5" w14:textId="77777777" w:rsidR="00903B8A" w:rsidRPr="00903B8A" w:rsidRDefault="001031D8" w:rsidP="001031D8">
            <w:pPr>
              <w:widowControl/>
              <w:suppressLineNumbers w:val="0"/>
              <w:suppressAutoHyphens w:val="0"/>
              <w:ind w:firstLine="0"/>
              <w:jc w:val="center"/>
              <w:rPr>
                <w:color w:val="000000"/>
                <w:sz w:val="20"/>
              </w:rPr>
            </w:pPr>
            <w:r>
              <w:rPr>
                <w:color w:val="000000"/>
                <w:sz w:val="20"/>
              </w:rPr>
              <w:t xml:space="preserve">R$ </w:t>
            </w:r>
            <w:r w:rsidR="00903B8A" w:rsidRPr="00903B8A">
              <w:rPr>
                <w:color w:val="000000"/>
                <w:sz w:val="20"/>
              </w:rPr>
              <w:t>260</w:t>
            </w:r>
          </w:p>
        </w:tc>
      </w:tr>
      <w:tr w:rsidR="00903B8A" w:rsidRPr="00903B8A" w14:paraId="05B2D339" w14:textId="77777777" w:rsidTr="0091113B">
        <w:trPr>
          <w:trHeight w:val="255"/>
        </w:trPr>
        <w:tc>
          <w:tcPr>
            <w:tcW w:w="1082" w:type="pct"/>
            <w:tcBorders>
              <w:top w:val="nil"/>
              <w:left w:val="nil"/>
              <w:bottom w:val="nil"/>
              <w:right w:val="single" w:sz="4" w:space="0" w:color="auto"/>
            </w:tcBorders>
            <w:shd w:val="clear" w:color="auto" w:fill="auto"/>
            <w:noWrap/>
            <w:vAlign w:val="bottom"/>
            <w:hideMark/>
          </w:tcPr>
          <w:p w14:paraId="068E822D"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Tamanho (anos)</w:t>
            </w:r>
          </w:p>
        </w:tc>
        <w:tc>
          <w:tcPr>
            <w:tcW w:w="1418" w:type="pct"/>
            <w:tcBorders>
              <w:top w:val="nil"/>
              <w:left w:val="nil"/>
              <w:bottom w:val="nil"/>
              <w:right w:val="single" w:sz="4" w:space="0" w:color="auto"/>
            </w:tcBorders>
            <w:shd w:val="clear" w:color="auto" w:fill="auto"/>
            <w:noWrap/>
            <w:vAlign w:val="bottom"/>
            <w:hideMark/>
          </w:tcPr>
          <w:p w14:paraId="2424B950"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5</w:t>
            </w:r>
          </w:p>
        </w:tc>
        <w:tc>
          <w:tcPr>
            <w:tcW w:w="1082" w:type="pct"/>
            <w:tcBorders>
              <w:top w:val="nil"/>
              <w:left w:val="nil"/>
              <w:bottom w:val="nil"/>
              <w:right w:val="single" w:sz="4" w:space="0" w:color="auto"/>
            </w:tcBorders>
            <w:shd w:val="clear" w:color="auto" w:fill="auto"/>
            <w:noWrap/>
            <w:vAlign w:val="bottom"/>
            <w:hideMark/>
          </w:tcPr>
          <w:p w14:paraId="2FE5F80C"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Tamanho (anos)</w:t>
            </w:r>
          </w:p>
        </w:tc>
        <w:tc>
          <w:tcPr>
            <w:tcW w:w="1418" w:type="pct"/>
            <w:tcBorders>
              <w:top w:val="nil"/>
              <w:left w:val="nil"/>
              <w:bottom w:val="nil"/>
              <w:right w:val="nil"/>
            </w:tcBorders>
            <w:shd w:val="clear" w:color="auto" w:fill="auto"/>
            <w:noWrap/>
            <w:vAlign w:val="bottom"/>
            <w:hideMark/>
          </w:tcPr>
          <w:p w14:paraId="2469B0DD" w14:textId="77777777" w:rsidR="00903B8A" w:rsidRPr="00903B8A" w:rsidRDefault="00903B8A" w:rsidP="001031D8">
            <w:pPr>
              <w:widowControl/>
              <w:suppressLineNumbers w:val="0"/>
              <w:suppressAutoHyphens w:val="0"/>
              <w:ind w:firstLine="0"/>
              <w:jc w:val="center"/>
              <w:rPr>
                <w:color w:val="000000"/>
                <w:sz w:val="20"/>
              </w:rPr>
            </w:pPr>
            <w:r w:rsidRPr="00903B8A">
              <w:rPr>
                <w:color w:val="000000"/>
                <w:sz w:val="20"/>
              </w:rPr>
              <w:t>3</w:t>
            </w:r>
          </w:p>
        </w:tc>
      </w:tr>
      <w:tr w:rsidR="00903B8A" w:rsidRPr="00903B8A" w14:paraId="04C16FBD" w14:textId="77777777" w:rsidTr="0091113B">
        <w:trPr>
          <w:trHeight w:val="255"/>
        </w:trPr>
        <w:tc>
          <w:tcPr>
            <w:tcW w:w="1082" w:type="pct"/>
            <w:tcBorders>
              <w:top w:val="nil"/>
              <w:left w:val="nil"/>
              <w:bottom w:val="nil"/>
              <w:right w:val="single" w:sz="4" w:space="0" w:color="auto"/>
            </w:tcBorders>
            <w:shd w:val="clear" w:color="auto" w:fill="auto"/>
            <w:noWrap/>
            <w:vAlign w:val="bottom"/>
            <w:hideMark/>
          </w:tcPr>
          <w:p w14:paraId="385DE961"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Mínimo</w:t>
            </w:r>
          </w:p>
        </w:tc>
        <w:tc>
          <w:tcPr>
            <w:tcW w:w="1418" w:type="pct"/>
            <w:tcBorders>
              <w:top w:val="nil"/>
              <w:left w:val="nil"/>
              <w:bottom w:val="nil"/>
              <w:right w:val="single" w:sz="4" w:space="0" w:color="auto"/>
            </w:tcBorders>
            <w:shd w:val="clear" w:color="auto" w:fill="auto"/>
            <w:noWrap/>
            <w:vAlign w:val="bottom"/>
            <w:hideMark/>
          </w:tcPr>
          <w:p w14:paraId="05CF0682"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 xml:space="preserve">42 </w:t>
            </w:r>
          </w:p>
        </w:tc>
        <w:tc>
          <w:tcPr>
            <w:tcW w:w="1082" w:type="pct"/>
            <w:tcBorders>
              <w:top w:val="nil"/>
              <w:left w:val="nil"/>
              <w:bottom w:val="nil"/>
              <w:right w:val="single" w:sz="4" w:space="0" w:color="auto"/>
            </w:tcBorders>
            <w:shd w:val="clear" w:color="auto" w:fill="auto"/>
            <w:noWrap/>
            <w:vAlign w:val="bottom"/>
            <w:hideMark/>
          </w:tcPr>
          <w:p w14:paraId="72395BA7"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Mínimo</w:t>
            </w:r>
          </w:p>
        </w:tc>
        <w:tc>
          <w:tcPr>
            <w:tcW w:w="1418" w:type="pct"/>
            <w:tcBorders>
              <w:top w:val="nil"/>
              <w:left w:val="nil"/>
              <w:bottom w:val="nil"/>
              <w:right w:val="nil"/>
            </w:tcBorders>
            <w:shd w:val="clear" w:color="auto" w:fill="auto"/>
            <w:noWrap/>
            <w:vAlign w:val="bottom"/>
            <w:hideMark/>
          </w:tcPr>
          <w:p w14:paraId="1D7DF8E0" w14:textId="77777777" w:rsidR="00903B8A" w:rsidRPr="00903B8A" w:rsidRDefault="001031D8" w:rsidP="001031D8">
            <w:pPr>
              <w:widowControl/>
              <w:suppressLineNumbers w:val="0"/>
              <w:suppressAutoHyphens w:val="0"/>
              <w:ind w:firstLine="0"/>
              <w:jc w:val="center"/>
              <w:rPr>
                <w:color w:val="000000"/>
                <w:sz w:val="20"/>
              </w:rPr>
            </w:pPr>
            <w:r>
              <w:rPr>
                <w:color w:val="000000"/>
                <w:sz w:val="20"/>
              </w:rPr>
              <w:t xml:space="preserve">R$ </w:t>
            </w:r>
            <w:r w:rsidR="00903B8A" w:rsidRPr="00903B8A">
              <w:rPr>
                <w:color w:val="000000"/>
                <w:sz w:val="20"/>
              </w:rPr>
              <w:t>72</w:t>
            </w:r>
          </w:p>
        </w:tc>
      </w:tr>
      <w:tr w:rsidR="00903B8A" w:rsidRPr="00903B8A" w14:paraId="7F64DF52" w14:textId="77777777" w:rsidTr="0091113B">
        <w:trPr>
          <w:trHeight w:val="255"/>
        </w:trPr>
        <w:tc>
          <w:tcPr>
            <w:tcW w:w="1082" w:type="pct"/>
            <w:tcBorders>
              <w:top w:val="nil"/>
              <w:left w:val="nil"/>
              <w:bottom w:val="nil"/>
              <w:right w:val="single" w:sz="4" w:space="0" w:color="auto"/>
            </w:tcBorders>
            <w:shd w:val="clear" w:color="auto" w:fill="auto"/>
            <w:noWrap/>
            <w:vAlign w:val="bottom"/>
            <w:hideMark/>
          </w:tcPr>
          <w:p w14:paraId="0BE84848"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Máximo</w:t>
            </w:r>
          </w:p>
        </w:tc>
        <w:tc>
          <w:tcPr>
            <w:tcW w:w="1418" w:type="pct"/>
            <w:tcBorders>
              <w:top w:val="nil"/>
              <w:left w:val="nil"/>
              <w:bottom w:val="nil"/>
              <w:right w:val="single" w:sz="4" w:space="0" w:color="auto"/>
            </w:tcBorders>
            <w:shd w:val="clear" w:color="auto" w:fill="auto"/>
            <w:noWrap/>
            <w:vAlign w:val="bottom"/>
            <w:hideMark/>
          </w:tcPr>
          <w:p w14:paraId="6929A27C"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 xml:space="preserve">73 </w:t>
            </w:r>
          </w:p>
        </w:tc>
        <w:tc>
          <w:tcPr>
            <w:tcW w:w="1082" w:type="pct"/>
            <w:tcBorders>
              <w:top w:val="nil"/>
              <w:left w:val="nil"/>
              <w:bottom w:val="nil"/>
              <w:right w:val="single" w:sz="4" w:space="0" w:color="auto"/>
            </w:tcBorders>
            <w:shd w:val="clear" w:color="auto" w:fill="auto"/>
            <w:noWrap/>
            <w:vAlign w:val="bottom"/>
            <w:hideMark/>
          </w:tcPr>
          <w:p w14:paraId="7D4B4EF4"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Máximo</w:t>
            </w:r>
          </w:p>
        </w:tc>
        <w:tc>
          <w:tcPr>
            <w:tcW w:w="1418" w:type="pct"/>
            <w:tcBorders>
              <w:top w:val="nil"/>
              <w:left w:val="nil"/>
              <w:bottom w:val="nil"/>
              <w:right w:val="nil"/>
            </w:tcBorders>
            <w:shd w:val="clear" w:color="auto" w:fill="auto"/>
            <w:noWrap/>
            <w:vAlign w:val="bottom"/>
            <w:hideMark/>
          </w:tcPr>
          <w:p w14:paraId="4D20D3A9" w14:textId="77777777" w:rsidR="00903B8A" w:rsidRPr="00903B8A" w:rsidRDefault="001031D8" w:rsidP="001031D8">
            <w:pPr>
              <w:widowControl/>
              <w:suppressLineNumbers w:val="0"/>
              <w:suppressAutoHyphens w:val="0"/>
              <w:ind w:firstLine="0"/>
              <w:jc w:val="center"/>
              <w:rPr>
                <w:color w:val="000000"/>
                <w:sz w:val="20"/>
              </w:rPr>
            </w:pPr>
            <w:r>
              <w:rPr>
                <w:color w:val="000000"/>
                <w:sz w:val="20"/>
              </w:rPr>
              <w:t xml:space="preserve">R$ </w:t>
            </w:r>
            <w:r w:rsidR="00903B8A" w:rsidRPr="00903B8A">
              <w:rPr>
                <w:color w:val="000000"/>
                <w:sz w:val="20"/>
              </w:rPr>
              <w:t>100</w:t>
            </w:r>
          </w:p>
        </w:tc>
      </w:tr>
      <w:tr w:rsidR="00903B8A" w:rsidRPr="00903B8A" w14:paraId="380FCF1C" w14:textId="77777777" w:rsidTr="0091113B">
        <w:trPr>
          <w:trHeight w:val="255"/>
        </w:trPr>
        <w:tc>
          <w:tcPr>
            <w:tcW w:w="1082" w:type="pct"/>
            <w:tcBorders>
              <w:top w:val="nil"/>
              <w:left w:val="nil"/>
              <w:bottom w:val="nil"/>
              <w:right w:val="single" w:sz="4" w:space="0" w:color="auto"/>
            </w:tcBorders>
            <w:shd w:val="clear" w:color="auto" w:fill="auto"/>
            <w:noWrap/>
            <w:vAlign w:val="bottom"/>
            <w:hideMark/>
          </w:tcPr>
          <w:p w14:paraId="5BD84054"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 xml:space="preserve">Média </w:t>
            </w:r>
          </w:p>
        </w:tc>
        <w:tc>
          <w:tcPr>
            <w:tcW w:w="1418" w:type="pct"/>
            <w:tcBorders>
              <w:top w:val="nil"/>
              <w:left w:val="nil"/>
              <w:bottom w:val="nil"/>
              <w:right w:val="single" w:sz="4" w:space="0" w:color="auto"/>
            </w:tcBorders>
            <w:shd w:val="clear" w:color="auto" w:fill="auto"/>
            <w:noWrap/>
            <w:vAlign w:val="bottom"/>
            <w:hideMark/>
          </w:tcPr>
          <w:p w14:paraId="1228B3F4" w14:textId="77777777" w:rsidR="00903B8A" w:rsidRPr="00903B8A" w:rsidRDefault="00A11345" w:rsidP="00A11345">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 xml:space="preserve">61 </w:t>
            </w:r>
          </w:p>
        </w:tc>
        <w:tc>
          <w:tcPr>
            <w:tcW w:w="1082" w:type="pct"/>
            <w:tcBorders>
              <w:top w:val="nil"/>
              <w:left w:val="nil"/>
              <w:bottom w:val="nil"/>
              <w:right w:val="single" w:sz="4" w:space="0" w:color="auto"/>
            </w:tcBorders>
            <w:shd w:val="clear" w:color="auto" w:fill="auto"/>
            <w:noWrap/>
            <w:vAlign w:val="bottom"/>
            <w:hideMark/>
          </w:tcPr>
          <w:p w14:paraId="3E8C5E86"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Média</w:t>
            </w:r>
          </w:p>
        </w:tc>
        <w:tc>
          <w:tcPr>
            <w:tcW w:w="1418" w:type="pct"/>
            <w:tcBorders>
              <w:top w:val="nil"/>
              <w:left w:val="nil"/>
              <w:bottom w:val="nil"/>
              <w:right w:val="nil"/>
            </w:tcBorders>
            <w:shd w:val="clear" w:color="auto" w:fill="auto"/>
            <w:noWrap/>
            <w:vAlign w:val="bottom"/>
            <w:hideMark/>
          </w:tcPr>
          <w:p w14:paraId="2A130E14" w14:textId="77777777" w:rsidR="00903B8A" w:rsidRPr="00903B8A" w:rsidRDefault="001031D8" w:rsidP="001031D8">
            <w:pPr>
              <w:widowControl/>
              <w:suppressLineNumbers w:val="0"/>
              <w:suppressAutoHyphens w:val="0"/>
              <w:ind w:firstLine="0"/>
              <w:jc w:val="center"/>
              <w:rPr>
                <w:color w:val="000000"/>
                <w:sz w:val="20"/>
              </w:rPr>
            </w:pPr>
            <w:r>
              <w:rPr>
                <w:color w:val="000000"/>
                <w:sz w:val="20"/>
              </w:rPr>
              <w:t xml:space="preserve">R$ </w:t>
            </w:r>
            <w:r w:rsidR="00903B8A" w:rsidRPr="00903B8A">
              <w:rPr>
                <w:color w:val="000000"/>
                <w:sz w:val="20"/>
              </w:rPr>
              <w:t>86</w:t>
            </w:r>
          </w:p>
        </w:tc>
      </w:tr>
      <w:tr w:rsidR="00903B8A" w:rsidRPr="00903B8A" w14:paraId="147C8BF4" w14:textId="77777777" w:rsidTr="0091113B">
        <w:trPr>
          <w:trHeight w:val="255"/>
        </w:trPr>
        <w:tc>
          <w:tcPr>
            <w:tcW w:w="1082" w:type="pct"/>
            <w:tcBorders>
              <w:top w:val="nil"/>
              <w:left w:val="nil"/>
              <w:bottom w:val="nil"/>
              <w:right w:val="single" w:sz="4" w:space="0" w:color="auto"/>
            </w:tcBorders>
            <w:shd w:val="clear" w:color="auto" w:fill="auto"/>
            <w:noWrap/>
            <w:vAlign w:val="bottom"/>
            <w:hideMark/>
          </w:tcPr>
          <w:p w14:paraId="518947B4"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Nº de empresas</w:t>
            </w:r>
          </w:p>
        </w:tc>
        <w:tc>
          <w:tcPr>
            <w:tcW w:w="1418" w:type="pct"/>
            <w:tcBorders>
              <w:top w:val="nil"/>
              <w:left w:val="nil"/>
              <w:bottom w:val="nil"/>
              <w:right w:val="single" w:sz="4" w:space="0" w:color="auto"/>
            </w:tcBorders>
            <w:shd w:val="clear" w:color="auto" w:fill="auto"/>
            <w:noWrap/>
            <w:vAlign w:val="bottom"/>
            <w:hideMark/>
          </w:tcPr>
          <w:p w14:paraId="1A9098C3"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17</w:t>
            </w:r>
          </w:p>
        </w:tc>
        <w:tc>
          <w:tcPr>
            <w:tcW w:w="1082" w:type="pct"/>
            <w:tcBorders>
              <w:top w:val="nil"/>
              <w:left w:val="nil"/>
              <w:bottom w:val="nil"/>
              <w:right w:val="single" w:sz="4" w:space="0" w:color="auto"/>
            </w:tcBorders>
            <w:shd w:val="clear" w:color="auto" w:fill="auto"/>
            <w:noWrap/>
            <w:vAlign w:val="bottom"/>
            <w:hideMark/>
          </w:tcPr>
          <w:p w14:paraId="3841388C"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Nº de empresas</w:t>
            </w:r>
          </w:p>
        </w:tc>
        <w:tc>
          <w:tcPr>
            <w:tcW w:w="1418" w:type="pct"/>
            <w:tcBorders>
              <w:top w:val="nil"/>
              <w:left w:val="nil"/>
              <w:bottom w:val="nil"/>
              <w:right w:val="nil"/>
            </w:tcBorders>
            <w:shd w:val="clear" w:color="auto" w:fill="auto"/>
            <w:noWrap/>
            <w:vAlign w:val="bottom"/>
            <w:hideMark/>
          </w:tcPr>
          <w:p w14:paraId="3923262E" w14:textId="77777777" w:rsidR="00903B8A" w:rsidRPr="00903B8A" w:rsidRDefault="00903B8A" w:rsidP="001031D8">
            <w:pPr>
              <w:widowControl/>
              <w:suppressLineNumbers w:val="0"/>
              <w:suppressAutoHyphens w:val="0"/>
              <w:ind w:firstLine="0"/>
              <w:jc w:val="center"/>
              <w:rPr>
                <w:color w:val="000000"/>
                <w:sz w:val="20"/>
              </w:rPr>
            </w:pPr>
            <w:r w:rsidRPr="00903B8A">
              <w:rPr>
                <w:color w:val="000000"/>
                <w:sz w:val="20"/>
              </w:rPr>
              <w:t>17</w:t>
            </w:r>
          </w:p>
        </w:tc>
      </w:tr>
      <w:tr w:rsidR="00903B8A" w:rsidRPr="00903B8A" w14:paraId="5D858849" w14:textId="77777777" w:rsidTr="0091113B">
        <w:trPr>
          <w:trHeight w:val="255"/>
        </w:trPr>
        <w:tc>
          <w:tcPr>
            <w:tcW w:w="1082" w:type="pct"/>
            <w:tcBorders>
              <w:top w:val="nil"/>
              <w:left w:val="nil"/>
              <w:bottom w:val="single" w:sz="4" w:space="0" w:color="auto"/>
              <w:right w:val="single" w:sz="4" w:space="0" w:color="auto"/>
            </w:tcBorders>
            <w:shd w:val="clear" w:color="auto" w:fill="auto"/>
            <w:noWrap/>
            <w:vAlign w:val="bottom"/>
            <w:hideMark/>
          </w:tcPr>
          <w:p w14:paraId="0911CFEF"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Média por empresa</w:t>
            </w:r>
          </w:p>
        </w:tc>
        <w:tc>
          <w:tcPr>
            <w:tcW w:w="1418" w:type="pct"/>
            <w:tcBorders>
              <w:top w:val="nil"/>
              <w:left w:val="nil"/>
              <w:bottom w:val="single" w:sz="4" w:space="0" w:color="auto"/>
              <w:right w:val="single" w:sz="4" w:space="0" w:color="auto"/>
            </w:tcBorders>
            <w:shd w:val="clear" w:color="auto" w:fill="auto"/>
            <w:noWrap/>
            <w:vAlign w:val="bottom"/>
            <w:hideMark/>
          </w:tcPr>
          <w:p w14:paraId="0B62B176" w14:textId="77777777" w:rsidR="00903B8A" w:rsidRPr="00903B8A" w:rsidRDefault="001031D8" w:rsidP="001031D8">
            <w:pPr>
              <w:widowControl/>
              <w:suppressLineNumbers w:val="0"/>
              <w:suppressAutoHyphens w:val="0"/>
              <w:ind w:firstLine="0"/>
              <w:jc w:val="center"/>
              <w:rPr>
                <w:color w:val="000000"/>
                <w:sz w:val="20"/>
              </w:rPr>
            </w:pPr>
            <w:r>
              <w:rPr>
                <w:color w:val="000000"/>
                <w:sz w:val="20"/>
              </w:rPr>
              <w:t xml:space="preserve"> R$ </w:t>
            </w:r>
            <w:r w:rsidR="00903B8A" w:rsidRPr="00903B8A">
              <w:rPr>
                <w:color w:val="000000"/>
                <w:sz w:val="20"/>
              </w:rPr>
              <w:t>3.</w:t>
            </w:r>
            <w:r>
              <w:rPr>
                <w:color w:val="000000"/>
                <w:sz w:val="20"/>
              </w:rPr>
              <w:t>6</w:t>
            </w:r>
            <w:r w:rsidR="00903B8A" w:rsidRPr="00903B8A">
              <w:rPr>
                <w:color w:val="000000"/>
                <w:sz w:val="20"/>
              </w:rPr>
              <w:t xml:space="preserve"> </w:t>
            </w:r>
          </w:p>
        </w:tc>
        <w:tc>
          <w:tcPr>
            <w:tcW w:w="1082" w:type="pct"/>
            <w:tcBorders>
              <w:top w:val="nil"/>
              <w:left w:val="nil"/>
              <w:bottom w:val="single" w:sz="4" w:space="0" w:color="auto"/>
              <w:right w:val="single" w:sz="4" w:space="0" w:color="auto"/>
            </w:tcBorders>
            <w:shd w:val="clear" w:color="auto" w:fill="auto"/>
            <w:noWrap/>
            <w:vAlign w:val="bottom"/>
            <w:hideMark/>
          </w:tcPr>
          <w:p w14:paraId="643EA0BB" w14:textId="77777777" w:rsidR="00903B8A" w:rsidRPr="00903B8A" w:rsidRDefault="00903B8A" w:rsidP="00903B8A">
            <w:pPr>
              <w:widowControl/>
              <w:suppressLineNumbers w:val="0"/>
              <w:suppressAutoHyphens w:val="0"/>
              <w:ind w:firstLine="0"/>
              <w:jc w:val="left"/>
              <w:rPr>
                <w:color w:val="000000"/>
                <w:sz w:val="20"/>
              </w:rPr>
            </w:pPr>
            <w:r w:rsidRPr="00903B8A">
              <w:rPr>
                <w:color w:val="000000"/>
                <w:sz w:val="20"/>
              </w:rPr>
              <w:t>Média por empresa</w:t>
            </w:r>
          </w:p>
        </w:tc>
        <w:tc>
          <w:tcPr>
            <w:tcW w:w="1418" w:type="pct"/>
            <w:tcBorders>
              <w:top w:val="nil"/>
              <w:left w:val="nil"/>
              <w:bottom w:val="single" w:sz="4" w:space="0" w:color="auto"/>
              <w:right w:val="nil"/>
            </w:tcBorders>
            <w:shd w:val="clear" w:color="auto" w:fill="auto"/>
            <w:noWrap/>
            <w:vAlign w:val="bottom"/>
            <w:hideMark/>
          </w:tcPr>
          <w:p w14:paraId="51A90DDC" w14:textId="77777777" w:rsidR="00903B8A" w:rsidRPr="00903B8A" w:rsidRDefault="001031D8" w:rsidP="001031D8">
            <w:pPr>
              <w:widowControl/>
              <w:suppressLineNumbers w:val="0"/>
              <w:suppressAutoHyphens w:val="0"/>
              <w:ind w:firstLine="0"/>
              <w:jc w:val="center"/>
              <w:rPr>
                <w:color w:val="000000"/>
                <w:sz w:val="20"/>
              </w:rPr>
            </w:pPr>
            <w:r>
              <w:rPr>
                <w:color w:val="000000"/>
                <w:sz w:val="20"/>
              </w:rPr>
              <w:t xml:space="preserve">R$ </w:t>
            </w:r>
            <w:r w:rsidR="00903B8A" w:rsidRPr="00903B8A">
              <w:rPr>
                <w:color w:val="000000"/>
                <w:sz w:val="20"/>
              </w:rPr>
              <w:t>5.</w:t>
            </w:r>
            <w:r>
              <w:rPr>
                <w:color w:val="000000"/>
                <w:sz w:val="20"/>
              </w:rPr>
              <w:t>1</w:t>
            </w:r>
          </w:p>
        </w:tc>
      </w:tr>
    </w:tbl>
    <w:p w14:paraId="66CA50C7" w14:textId="77777777" w:rsidR="00601967" w:rsidRPr="00F12BBA" w:rsidRDefault="00601967" w:rsidP="00D33857">
      <w:pPr>
        <w:ind w:firstLine="0"/>
        <w:rPr>
          <w:sz w:val="20"/>
        </w:rPr>
      </w:pPr>
    </w:p>
    <w:p w14:paraId="1413F2B8" w14:textId="77777777" w:rsidR="00601967" w:rsidRDefault="00601967" w:rsidP="00601967">
      <w:pPr>
        <w:rPr>
          <w:szCs w:val="24"/>
        </w:rPr>
      </w:pPr>
      <w:r>
        <w:rPr>
          <w:szCs w:val="24"/>
        </w:rPr>
        <w:t>Apesar de ambos os setores apresentarem maior média de geração de riqueza no período de recessão, o setor de consumo não cíclico diferentemente do anterior, estendeu sua tendência de crescimento por mais dois anos na recessão.</w:t>
      </w:r>
    </w:p>
    <w:p w14:paraId="5C5349CB" w14:textId="77777777" w:rsidR="00601967" w:rsidRDefault="001965FD" w:rsidP="00601967">
      <w:pPr>
        <w:rPr>
          <w:szCs w:val="24"/>
        </w:rPr>
      </w:pPr>
      <w:r>
        <w:rPr>
          <w:szCs w:val="24"/>
        </w:rPr>
        <w:t>Na Figura 3, se percebe</w:t>
      </w:r>
      <w:r w:rsidR="00601967">
        <w:rPr>
          <w:szCs w:val="24"/>
        </w:rPr>
        <w:t xml:space="preserve"> essa sequência na tendência de crescimento, no entanto ressalta-se que isso mudou no último ano da recessão e a queda na geração de riqueza deste ano atingiu o nível de valor de riqueza gerada abaixo do último ano da expansão. </w:t>
      </w:r>
    </w:p>
    <w:p w14:paraId="0242DF7F" w14:textId="77777777" w:rsidR="00D63B99" w:rsidRDefault="00D63B99" w:rsidP="00601967">
      <w:pPr>
        <w:rPr>
          <w:szCs w:val="24"/>
        </w:rPr>
      </w:pPr>
    </w:p>
    <w:p w14:paraId="5A84AA15" w14:textId="77777777" w:rsidR="00601967" w:rsidRDefault="00601967" w:rsidP="00D33857">
      <w:pPr>
        <w:ind w:firstLine="0"/>
        <w:jc w:val="center"/>
        <w:rPr>
          <w:szCs w:val="24"/>
        </w:rPr>
      </w:pPr>
      <w:r>
        <w:rPr>
          <w:noProof/>
          <w:szCs w:val="24"/>
        </w:rPr>
        <w:drawing>
          <wp:inline distT="0" distB="0" distL="0" distR="0" wp14:anchorId="542517C4" wp14:editId="19B2E24A">
            <wp:extent cx="5937250" cy="1857375"/>
            <wp:effectExtent l="0" t="0" r="635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E7DC225" w14:textId="2BB64121" w:rsidR="00601967" w:rsidRDefault="00601967" w:rsidP="0075206B">
      <w:pPr>
        <w:ind w:firstLine="0"/>
        <w:rPr>
          <w:sz w:val="20"/>
        </w:rPr>
      </w:pPr>
      <w:r>
        <w:rPr>
          <w:sz w:val="20"/>
        </w:rPr>
        <w:t>Figura 3:</w:t>
      </w:r>
      <w:r w:rsidR="002D0BC1">
        <w:rPr>
          <w:sz w:val="20"/>
        </w:rPr>
        <w:t xml:space="preserve"> </w:t>
      </w:r>
      <w:r>
        <w:rPr>
          <w:sz w:val="20"/>
        </w:rPr>
        <w:t>Riqueza gerada ao ano (em bilhões de R$)</w:t>
      </w:r>
    </w:p>
    <w:p w14:paraId="298DE01B" w14:textId="77777777" w:rsidR="00601967" w:rsidRPr="00ED6AC1" w:rsidRDefault="00601967" w:rsidP="00601967">
      <w:pPr>
        <w:rPr>
          <w:szCs w:val="24"/>
        </w:rPr>
      </w:pPr>
    </w:p>
    <w:p w14:paraId="42DB3D68" w14:textId="77777777" w:rsidR="00601967" w:rsidRDefault="00601967" w:rsidP="00601967">
      <w:pPr>
        <w:ind w:firstLine="708"/>
        <w:rPr>
          <w:szCs w:val="24"/>
        </w:rPr>
      </w:pPr>
      <w:r>
        <w:rPr>
          <w:szCs w:val="24"/>
        </w:rPr>
        <w:t xml:space="preserve">Comparado ao setor cíclico, o regresso na geração do setor não cíclico foi menor visto que o nível de valor de geração de riqueza atingido na recessão foi pouco abaixo do apresentado no </w:t>
      </w:r>
      <w:r w:rsidR="00725112">
        <w:rPr>
          <w:szCs w:val="24"/>
        </w:rPr>
        <w:t>ano de 2013, ao passo que o</w:t>
      </w:r>
      <w:r>
        <w:rPr>
          <w:szCs w:val="24"/>
        </w:rPr>
        <w:t xml:space="preserve"> cíclico o valor mais baixo gerado na recessão atingiu </w:t>
      </w:r>
      <w:r w:rsidR="00543052">
        <w:rPr>
          <w:szCs w:val="24"/>
        </w:rPr>
        <w:t>números</w:t>
      </w:r>
      <w:r>
        <w:rPr>
          <w:szCs w:val="24"/>
        </w:rPr>
        <w:t xml:space="preserve"> inferior</w:t>
      </w:r>
      <w:r w:rsidR="00543052">
        <w:rPr>
          <w:szCs w:val="24"/>
        </w:rPr>
        <w:t>es</w:t>
      </w:r>
      <w:r>
        <w:rPr>
          <w:szCs w:val="24"/>
        </w:rPr>
        <w:t xml:space="preserve"> ao gerado em 2012. Fazendo um paralelo com a Teoria dos Ciclos Econômicos, pode-se entender que por se tratar de um setor de bens de primeira necessidade</w:t>
      </w:r>
      <w:r w:rsidR="00B75453">
        <w:rPr>
          <w:szCs w:val="24"/>
        </w:rPr>
        <w:t>,</w:t>
      </w:r>
      <w:r>
        <w:rPr>
          <w:szCs w:val="24"/>
        </w:rPr>
        <w:t xml:space="preserve"> seu impacto tenderia a ser menor pois seu consumo</w:t>
      </w:r>
      <w:r w:rsidR="00725112">
        <w:rPr>
          <w:szCs w:val="24"/>
        </w:rPr>
        <w:t>,</w:t>
      </w:r>
      <w:r>
        <w:rPr>
          <w:szCs w:val="24"/>
        </w:rPr>
        <w:t xml:space="preserve"> </w:t>
      </w:r>
      <w:r w:rsidR="00B75453">
        <w:rPr>
          <w:szCs w:val="24"/>
        </w:rPr>
        <w:t>apesar de</w:t>
      </w:r>
      <w:r>
        <w:rPr>
          <w:szCs w:val="24"/>
        </w:rPr>
        <w:t xml:space="preserve"> certos produtos possam ser substituídos por outros, não </w:t>
      </w:r>
      <w:r w:rsidR="00543052">
        <w:rPr>
          <w:szCs w:val="24"/>
        </w:rPr>
        <w:t>tendem a</w:t>
      </w:r>
      <w:r>
        <w:rPr>
          <w:szCs w:val="24"/>
        </w:rPr>
        <w:t xml:space="preserve"> </w:t>
      </w:r>
      <w:r w:rsidR="00B75453">
        <w:rPr>
          <w:szCs w:val="24"/>
        </w:rPr>
        <w:t>ser excluídos em sua totalidade (Mitchell, 1988).</w:t>
      </w:r>
    </w:p>
    <w:p w14:paraId="6FCF9133" w14:textId="77777777" w:rsidR="00601967" w:rsidRDefault="00601967" w:rsidP="00601967">
      <w:pPr>
        <w:ind w:firstLine="708"/>
        <w:rPr>
          <w:szCs w:val="24"/>
        </w:rPr>
      </w:pPr>
      <w:r>
        <w:rPr>
          <w:szCs w:val="24"/>
        </w:rPr>
        <w:t>No entanto, apesar de a ruptura de crescimento na geração de riqueza se apresentar tardiamente, isso não impediu que esse valor se refletisse na taxa de crescimento que apresentou valor negativo na recessão em 7%, enquanto na expansão o crescimento do setor foi de 15%.</w:t>
      </w:r>
    </w:p>
    <w:p w14:paraId="09024A3E" w14:textId="77777777" w:rsidR="00903B8A" w:rsidRDefault="00903B8A">
      <w:pPr>
        <w:widowControl/>
        <w:suppressLineNumbers w:val="0"/>
        <w:suppressAutoHyphens w:val="0"/>
        <w:ind w:firstLine="0"/>
        <w:jc w:val="left"/>
        <w:rPr>
          <w:sz w:val="20"/>
        </w:rPr>
      </w:pPr>
      <w:r>
        <w:rPr>
          <w:sz w:val="20"/>
        </w:rPr>
        <w:br w:type="page"/>
      </w:r>
    </w:p>
    <w:p w14:paraId="37E6D19D" w14:textId="77777777" w:rsidR="00D33857" w:rsidRDefault="00D33857">
      <w:pPr>
        <w:widowControl/>
        <w:suppressLineNumbers w:val="0"/>
        <w:suppressAutoHyphens w:val="0"/>
        <w:ind w:firstLine="0"/>
        <w:jc w:val="left"/>
        <w:rPr>
          <w:sz w:val="20"/>
        </w:rPr>
      </w:pPr>
    </w:p>
    <w:p w14:paraId="2D044A81" w14:textId="77777777" w:rsidR="00601967" w:rsidRPr="00695170" w:rsidRDefault="00903B8A" w:rsidP="00E7557D">
      <w:pPr>
        <w:spacing w:line="259" w:lineRule="auto"/>
        <w:ind w:firstLine="0"/>
        <w:rPr>
          <w:sz w:val="20"/>
        </w:rPr>
      </w:pPr>
      <w:r>
        <w:rPr>
          <w:sz w:val="20"/>
        </w:rPr>
        <w:t>Tabela 7.</w:t>
      </w:r>
      <w:r w:rsidR="00601967">
        <w:rPr>
          <w:sz w:val="20"/>
        </w:rPr>
        <w:t xml:space="preserve"> Taxa de crescimento </w:t>
      </w:r>
    </w:p>
    <w:tbl>
      <w:tblPr>
        <w:tblW w:w="9243" w:type="dxa"/>
        <w:tblCellMar>
          <w:left w:w="70" w:type="dxa"/>
          <w:right w:w="70" w:type="dxa"/>
        </w:tblCellMar>
        <w:tblLook w:val="04A0" w:firstRow="1" w:lastRow="0" w:firstColumn="1" w:lastColumn="0" w:noHBand="0" w:noVBand="1"/>
      </w:tblPr>
      <w:tblGrid>
        <w:gridCol w:w="1429"/>
        <w:gridCol w:w="1323"/>
        <w:gridCol w:w="962"/>
        <w:gridCol w:w="2115"/>
        <w:gridCol w:w="1728"/>
        <w:gridCol w:w="1686"/>
      </w:tblGrid>
      <w:tr w:rsidR="00903B8A" w:rsidRPr="00903B8A" w14:paraId="1DE7270C" w14:textId="77777777" w:rsidTr="00903B8A">
        <w:trPr>
          <w:trHeight w:val="273"/>
        </w:trPr>
        <w:tc>
          <w:tcPr>
            <w:tcW w:w="1429" w:type="dxa"/>
            <w:vMerge w:val="restart"/>
            <w:tcBorders>
              <w:top w:val="single" w:sz="4" w:space="0" w:color="auto"/>
              <w:left w:val="nil"/>
              <w:bottom w:val="single" w:sz="4" w:space="0" w:color="000000"/>
              <w:right w:val="single" w:sz="4" w:space="0" w:color="auto"/>
            </w:tcBorders>
            <w:shd w:val="clear" w:color="auto" w:fill="auto"/>
            <w:vAlign w:val="center"/>
            <w:hideMark/>
          </w:tcPr>
          <w:p w14:paraId="18AB01DF" w14:textId="77777777" w:rsidR="00903B8A" w:rsidRPr="002D0BC1" w:rsidRDefault="00903B8A" w:rsidP="00903B8A">
            <w:pPr>
              <w:widowControl/>
              <w:suppressLineNumbers w:val="0"/>
              <w:suppressAutoHyphens w:val="0"/>
              <w:ind w:firstLine="0"/>
              <w:jc w:val="center"/>
              <w:rPr>
                <w:b/>
                <w:bCs/>
                <w:color w:val="000000"/>
                <w:sz w:val="20"/>
              </w:rPr>
            </w:pPr>
            <w:r w:rsidRPr="002D0BC1">
              <w:rPr>
                <w:b/>
                <w:bCs/>
                <w:color w:val="000000"/>
                <w:sz w:val="20"/>
              </w:rPr>
              <w:t>Taxa de Crescimento</w:t>
            </w:r>
          </w:p>
        </w:tc>
        <w:tc>
          <w:tcPr>
            <w:tcW w:w="1323" w:type="dxa"/>
            <w:vMerge w:val="restart"/>
            <w:tcBorders>
              <w:top w:val="single" w:sz="4" w:space="0" w:color="auto"/>
              <w:left w:val="nil"/>
              <w:bottom w:val="single" w:sz="4" w:space="0" w:color="auto"/>
              <w:right w:val="single" w:sz="4" w:space="0" w:color="000000"/>
            </w:tcBorders>
            <w:shd w:val="clear" w:color="auto" w:fill="auto"/>
            <w:vAlign w:val="center"/>
            <w:hideMark/>
          </w:tcPr>
          <w:p w14:paraId="737374AB"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Geração de riqueza</w:t>
            </w:r>
          </w:p>
        </w:tc>
        <w:tc>
          <w:tcPr>
            <w:tcW w:w="6491" w:type="dxa"/>
            <w:gridSpan w:val="4"/>
            <w:tcBorders>
              <w:top w:val="single" w:sz="4" w:space="0" w:color="auto"/>
              <w:left w:val="nil"/>
              <w:bottom w:val="single" w:sz="4" w:space="0" w:color="auto"/>
              <w:right w:val="nil"/>
            </w:tcBorders>
            <w:shd w:val="clear" w:color="auto" w:fill="auto"/>
            <w:noWrap/>
            <w:vAlign w:val="bottom"/>
            <w:hideMark/>
          </w:tcPr>
          <w:p w14:paraId="2F4FA7DA" w14:textId="77777777" w:rsidR="00903B8A" w:rsidRPr="002D0BC1" w:rsidRDefault="00903B8A" w:rsidP="00903B8A">
            <w:pPr>
              <w:widowControl/>
              <w:suppressLineNumbers w:val="0"/>
              <w:suppressAutoHyphens w:val="0"/>
              <w:ind w:firstLine="0"/>
              <w:jc w:val="center"/>
              <w:rPr>
                <w:b/>
                <w:bCs/>
                <w:color w:val="000000"/>
                <w:sz w:val="20"/>
              </w:rPr>
            </w:pPr>
            <w:r w:rsidRPr="002D0BC1">
              <w:rPr>
                <w:b/>
                <w:bCs/>
                <w:color w:val="000000"/>
                <w:sz w:val="20"/>
              </w:rPr>
              <w:t>Distribuição da riqueza</w:t>
            </w:r>
          </w:p>
        </w:tc>
      </w:tr>
      <w:tr w:rsidR="00903B8A" w:rsidRPr="00903B8A" w14:paraId="6D98A295" w14:textId="77777777" w:rsidTr="00903B8A">
        <w:trPr>
          <w:trHeight w:val="276"/>
        </w:trPr>
        <w:tc>
          <w:tcPr>
            <w:tcW w:w="1429" w:type="dxa"/>
            <w:vMerge/>
            <w:tcBorders>
              <w:top w:val="single" w:sz="4" w:space="0" w:color="auto"/>
              <w:left w:val="nil"/>
              <w:bottom w:val="single" w:sz="4" w:space="0" w:color="000000"/>
              <w:right w:val="single" w:sz="4" w:space="0" w:color="auto"/>
            </w:tcBorders>
            <w:vAlign w:val="center"/>
            <w:hideMark/>
          </w:tcPr>
          <w:p w14:paraId="47D1AA76" w14:textId="77777777" w:rsidR="00903B8A" w:rsidRPr="00903B8A" w:rsidRDefault="00903B8A" w:rsidP="00903B8A">
            <w:pPr>
              <w:widowControl/>
              <w:suppressLineNumbers w:val="0"/>
              <w:suppressAutoHyphens w:val="0"/>
              <w:ind w:firstLine="0"/>
              <w:jc w:val="left"/>
              <w:rPr>
                <w:color w:val="000000"/>
                <w:sz w:val="20"/>
              </w:rPr>
            </w:pPr>
          </w:p>
        </w:tc>
        <w:tc>
          <w:tcPr>
            <w:tcW w:w="1323" w:type="dxa"/>
            <w:vMerge/>
            <w:tcBorders>
              <w:top w:val="single" w:sz="4" w:space="0" w:color="auto"/>
              <w:left w:val="nil"/>
              <w:bottom w:val="single" w:sz="4" w:space="0" w:color="auto"/>
              <w:right w:val="single" w:sz="4" w:space="0" w:color="000000"/>
            </w:tcBorders>
            <w:vAlign w:val="center"/>
            <w:hideMark/>
          </w:tcPr>
          <w:p w14:paraId="5185460F" w14:textId="77777777" w:rsidR="00903B8A" w:rsidRPr="00903B8A" w:rsidRDefault="00903B8A" w:rsidP="00903B8A">
            <w:pPr>
              <w:widowControl/>
              <w:suppressLineNumbers w:val="0"/>
              <w:suppressAutoHyphens w:val="0"/>
              <w:ind w:firstLine="0"/>
              <w:jc w:val="left"/>
              <w:rPr>
                <w:color w:val="000000"/>
                <w:sz w:val="20"/>
              </w:rPr>
            </w:pPr>
          </w:p>
        </w:tc>
        <w:tc>
          <w:tcPr>
            <w:tcW w:w="96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0DD9B73"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Pessoal</w:t>
            </w:r>
          </w:p>
        </w:tc>
        <w:tc>
          <w:tcPr>
            <w:tcW w:w="2115" w:type="dxa"/>
            <w:vMerge w:val="restart"/>
            <w:tcBorders>
              <w:top w:val="nil"/>
              <w:left w:val="single" w:sz="4" w:space="0" w:color="auto"/>
              <w:bottom w:val="single" w:sz="4" w:space="0" w:color="auto"/>
              <w:right w:val="single" w:sz="4" w:space="0" w:color="auto"/>
            </w:tcBorders>
            <w:shd w:val="clear" w:color="auto" w:fill="auto"/>
            <w:vAlign w:val="center"/>
            <w:hideMark/>
          </w:tcPr>
          <w:p w14:paraId="50A130C4"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Impostos, taxas e contribuições</w:t>
            </w:r>
          </w:p>
        </w:tc>
        <w:tc>
          <w:tcPr>
            <w:tcW w:w="1728" w:type="dxa"/>
            <w:vMerge w:val="restart"/>
            <w:tcBorders>
              <w:top w:val="nil"/>
              <w:left w:val="single" w:sz="4" w:space="0" w:color="auto"/>
              <w:bottom w:val="single" w:sz="4" w:space="0" w:color="auto"/>
              <w:right w:val="single" w:sz="4" w:space="0" w:color="auto"/>
            </w:tcBorders>
            <w:shd w:val="clear" w:color="auto" w:fill="auto"/>
            <w:vAlign w:val="center"/>
            <w:hideMark/>
          </w:tcPr>
          <w:p w14:paraId="52D8AC90" w14:textId="77777777" w:rsidR="00903B8A" w:rsidRPr="00903B8A" w:rsidRDefault="00903B8A" w:rsidP="00903B8A">
            <w:pPr>
              <w:widowControl/>
              <w:suppressLineNumbers w:val="0"/>
              <w:suppressAutoHyphens w:val="0"/>
              <w:ind w:firstLine="0"/>
              <w:jc w:val="center"/>
              <w:rPr>
                <w:color w:val="000000"/>
                <w:sz w:val="20"/>
              </w:rPr>
            </w:pPr>
            <w:proofErr w:type="spellStart"/>
            <w:r w:rsidRPr="00903B8A">
              <w:rPr>
                <w:color w:val="000000"/>
                <w:sz w:val="20"/>
              </w:rPr>
              <w:t>Remun</w:t>
            </w:r>
            <w:proofErr w:type="spellEnd"/>
            <w:r w:rsidRPr="00903B8A">
              <w:rPr>
                <w:color w:val="000000"/>
                <w:sz w:val="20"/>
              </w:rPr>
              <w:t>. Capital de terceiros</w:t>
            </w:r>
          </w:p>
        </w:tc>
        <w:tc>
          <w:tcPr>
            <w:tcW w:w="1684" w:type="dxa"/>
            <w:vMerge w:val="restart"/>
            <w:tcBorders>
              <w:top w:val="nil"/>
              <w:left w:val="single" w:sz="4" w:space="0" w:color="auto"/>
              <w:bottom w:val="single" w:sz="4" w:space="0" w:color="000000"/>
              <w:right w:val="nil"/>
            </w:tcBorders>
            <w:shd w:val="clear" w:color="auto" w:fill="auto"/>
            <w:vAlign w:val="center"/>
            <w:hideMark/>
          </w:tcPr>
          <w:p w14:paraId="5D61020D" w14:textId="77777777" w:rsidR="00903B8A" w:rsidRPr="00903B8A" w:rsidRDefault="00903B8A" w:rsidP="00903B8A">
            <w:pPr>
              <w:widowControl/>
              <w:suppressLineNumbers w:val="0"/>
              <w:suppressAutoHyphens w:val="0"/>
              <w:ind w:firstLine="0"/>
              <w:jc w:val="center"/>
              <w:rPr>
                <w:color w:val="000000"/>
                <w:sz w:val="20"/>
              </w:rPr>
            </w:pPr>
            <w:proofErr w:type="spellStart"/>
            <w:r w:rsidRPr="00903B8A">
              <w:rPr>
                <w:color w:val="000000"/>
                <w:sz w:val="20"/>
              </w:rPr>
              <w:t>Remun</w:t>
            </w:r>
            <w:proofErr w:type="spellEnd"/>
            <w:r w:rsidRPr="00903B8A">
              <w:rPr>
                <w:color w:val="000000"/>
                <w:sz w:val="20"/>
              </w:rPr>
              <w:t>. Capital próprio</w:t>
            </w:r>
          </w:p>
        </w:tc>
      </w:tr>
      <w:tr w:rsidR="00903B8A" w:rsidRPr="00903B8A" w14:paraId="69E04875" w14:textId="77777777" w:rsidTr="00903B8A">
        <w:trPr>
          <w:trHeight w:val="276"/>
        </w:trPr>
        <w:tc>
          <w:tcPr>
            <w:tcW w:w="1429" w:type="dxa"/>
            <w:vMerge/>
            <w:tcBorders>
              <w:top w:val="single" w:sz="4" w:space="0" w:color="auto"/>
              <w:left w:val="nil"/>
              <w:bottom w:val="single" w:sz="4" w:space="0" w:color="000000"/>
              <w:right w:val="single" w:sz="4" w:space="0" w:color="auto"/>
            </w:tcBorders>
            <w:vAlign w:val="center"/>
            <w:hideMark/>
          </w:tcPr>
          <w:p w14:paraId="13A2239F" w14:textId="77777777" w:rsidR="00903B8A" w:rsidRPr="00903B8A" w:rsidRDefault="00903B8A" w:rsidP="00903B8A">
            <w:pPr>
              <w:widowControl/>
              <w:suppressLineNumbers w:val="0"/>
              <w:suppressAutoHyphens w:val="0"/>
              <w:ind w:firstLine="0"/>
              <w:jc w:val="left"/>
              <w:rPr>
                <w:color w:val="000000"/>
                <w:sz w:val="20"/>
              </w:rPr>
            </w:pPr>
          </w:p>
        </w:tc>
        <w:tc>
          <w:tcPr>
            <w:tcW w:w="1323" w:type="dxa"/>
            <w:vMerge/>
            <w:tcBorders>
              <w:top w:val="single" w:sz="4" w:space="0" w:color="auto"/>
              <w:left w:val="nil"/>
              <w:bottom w:val="single" w:sz="4" w:space="0" w:color="auto"/>
              <w:right w:val="single" w:sz="4" w:space="0" w:color="000000"/>
            </w:tcBorders>
            <w:vAlign w:val="center"/>
            <w:hideMark/>
          </w:tcPr>
          <w:p w14:paraId="4E3D370B" w14:textId="77777777" w:rsidR="00903B8A" w:rsidRPr="00903B8A" w:rsidRDefault="00903B8A" w:rsidP="00903B8A">
            <w:pPr>
              <w:widowControl/>
              <w:suppressLineNumbers w:val="0"/>
              <w:suppressAutoHyphens w:val="0"/>
              <w:ind w:firstLine="0"/>
              <w:jc w:val="left"/>
              <w:rPr>
                <w:color w:val="000000"/>
                <w:sz w:val="20"/>
              </w:rPr>
            </w:pPr>
          </w:p>
        </w:tc>
        <w:tc>
          <w:tcPr>
            <w:tcW w:w="962" w:type="dxa"/>
            <w:vMerge/>
            <w:tcBorders>
              <w:top w:val="nil"/>
              <w:left w:val="single" w:sz="4" w:space="0" w:color="auto"/>
              <w:bottom w:val="single" w:sz="4" w:space="0" w:color="auto"/>
              <w:right w:val="single" w:sz="4" w:space="0" w:color="auto"/>
            </w:tcBorders>
            <w:vAlign w:val="center"/>
            <w:hideMark/>
          </w:tcPr>
          <w:p w14:paraId="1D758840" w14:textId="77777777" w:rsidR="00903B8A" w:rsidRPr="00903B8A" w:rsidRDefault="00903B8A" w:rsidP="00903B8A">
            <w:pPr>
              <w:widowControl/>
              <w:suppressLineNumbers w:val="0"/>
              <w:suppressAutoHyphens w:val="0"/>
              <w:ind w:firstLine="0"/>
              <w:jc w:val="left"/>
              <w:rPr>
                <w:color w:val="000000"/>
                <w:sz w:val="20"/>
              </w:rPr>
            </w:pPr>
          </w:p>
        </w:tc>
        <w:tc>
          <w:tcPr>
            <w:tcW w:w="2115" w:type="dxa"/>
            <w:vMerge/>
            <w:tcBorders>
              <w:top w:val="nil"/>
              <w:left w:val="single" w:sz="4" w:space="0" w:color="auto"/>
              <w:bottom w:val="single" w:sz="4" w:space="0" w:color="auto"/>
              <w:right w:val="single" w:sz="4" w:space="0" w:color="auto"/>
            </w:tcBorders>
            <w:vAlign w:val="center"/>
            <w:hideMark/>
          </w:tcPr>
          <w:p w14:paraId="40F8BE44" w14:textId="77777777" w:rsidR="00903B8A" w:rsidRPr="00903B8A" w:rsidRDefault="00903B8A" w:rsidP="00903B8A">
            <w:pPr>
              <w:widowControl/>
              <w:suppressLineNumbers w:val="0"/>
              <w:suppressAutoHyphens w:val="0"/>
              <w:ind w:firstLine="0"/>
              <w:jc w:val="left"/>
              <w:rPr>
                <w:color w:val="000000"/>
                <w:sz w:val="20"/>
              </w:rPr>
            </w:pPr>
          </w:p>
        </w:tc>
        <w:tc>
          <w:tcPr>
            <w:tcW w:w="1728" w:type="dxa"/>
            <w:vMerge/>
            <w:tcBorders>
              <w:top w:val="nil"/>
              <w:left w:val="single" w:sz="4" w:space="0" w:color="auto"/>
              <w:bottom w:val="single" w:sz="4" w:space="0" w:color="auto"/>
              <w:right w:val="single" w:sz="4" w:space="0" w:color="auto"/>
            </w:tcBorders>
            <w:vAlign w:val="center"/>
            <w:hideMark/>
          </w:tcPr>
          <w:p w14:paraId="21A80754" w14:textId="77777777" w:rsidR="00903B8A" w:rsidRPr="00903B8A" w:rsidRDefault="00903B8A" w:rsidP="00903B8A">
            <w:pPr>
              <w:widowControl/>
              <w:suppressLineNumbers w:val="0"/>
              <w:suppressAutoHyphens w:val="0"/>
              <w:ind w:firstLine="0"/>
              <w:jc w:val="left"/>
              <w:rPr>
                <w:color w:val="000000"/>
                <w:sz w:val="20"/>
              </w:rPr>
            </w:pPr>
          </w:p>
        </w:tc>
        <w:tc>
          <w:tcPr>
            <w:tcW w:w="1684" w:type="dxa"/>
            <w:vMerge/>
            <w:tcBorders>
              <w:top w:val="nil"/>
              <w:left w:val="single" w:sz="4" w:space="0" w:color="auto"/>
              <w:bottom w:val="single" w:sz="4" w:space="0" w:color="000000"/>
              <w:right w:val="nil"/>
            </w:tcBorders>
            <w:vAlign w:val="center"/>
            <w:hideMark/>
          </w:tcPr>
          <w:p w14:paraId="462DE613" w14:textId="77777777" w:rsidR="00903B8A" w:rsidRPr="00903B8A" w:rsidRDefault="00903B8A" w:rsidP="00903B8A">
            <w:pPr>
              <w:widowControl/>
              <w:suppressLineNumbers w:val="0"/>
              <w:suppressAutoHyphens w:val="0"/>
              <w:ind w:firstLine="0"/>
              <w:jc w:val="left"/>
              <w:rPr>
                <w:color w:val="000000"/>
                <w:sz w:val="20"/>
              </w:rPr>
            </w:pPr>
          </w:p>
        </w:tc>
      </w:tr>
      <w:tr w:rsidR="00903B8A" w:rsidRPr="00903B8A" w14:paraId="3D9EB212" w14:textId="77777777" w:rsidTr="00903B8A">
        <w:trPr>
          <w:trHeight w:val="273"/>
        </w:trPr>
        <w:tc>
          <w:tcPr>
            <w:tcW w:w="1429" w:type="dxa"/>
            <w:tcBorders>
              <w:top w:val="nil"/>
              <w:left w:val="nil"/>
              <w:bottom w:val="single" w:sz="4" w:space="0" w:color="auto"/>
              <w:right w:val="single" w:sz="4" w:space="0" w:color="auto"/>
            </w:tcBorders>
            <w:shd w:val="clear" w:color="auto" w:fill="auto"/>
            <w:noWrap/>
            <w:vAlign w:val="bottom"/>
            <w:hideMark/>
          </w:tcPr>
          <w:p w14:paraId="5C489D60" w14:textId="77777777" w:rsidR="00903B8A" w:rsidRPr="002D0BC1" w:rsidRDefault="00903B8A" w:rsidP="00903B8A">
            <w:pPr>
              <w:widowControl/>
              <w:suppressLineNumbers w:val="0"/>
              <w:suppressAutoHyphens w:val="0"/>
              <w:ind w:firstLine="0"/>
              <w:jc w:val="center"/>
              <w:rPr>
                <w:b/>
                <w:bCs/>
                <w:color w:val="000000"/>
                <w:sz w:val="20"/>
              </w:rPr>
            </w:pPr>
            <w:r w:rsidRPr="002D0BC1">
              <w:rPr>
                <w:b/>
                <w:bCs/>
                <w:color w:val="000000"/>
                <w:sz w:val="20"/>
              </w:rPr>
              <w:t>Expansão</w:t>
            </w:r>
          </w:p>
        </w:tc>
        <w:tc>
          <w:tcPr>
            <w:tcW w:w="1323" w:type="dxa"/>
            <w:tcBorders>
              <w:top w:val="nil"/>
              <w:left w:val="nil"/>
              <w:bottom w:val="single" w:sz="4" w:space="0" w:color="auto"/>
              <w:right w:val="single" w:sz="4" w:space="0" w:color="auto"/>
            </w:tcBorders>
            <w:shd w:val="clear" w:color="auto" w:fill="auto"/>
            <w:noWrap/>
            <w:vAlign w:val="bottom"/>
            <w:hideMark/>
          </w:tcPr>
          <w:p w14:paraId="68CA42CA"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15%</w:t>
            </w:r>
          </w:p>
        </w:tc>
        <w:tc>
          <w:tcPr>
            <w:tcW w:w="962" w:type="dxa"/>
            <w:tcBorders>
              <w:top w:val="nil"/>
              <w:left w:val="nil"/>
              <w:bottom w:val="single" w:sz="4" w:space="0" w:color="auto"/>
              <w:right w:val="single" w:sz="4" w:space="0" w:color="auto"/>
            </w:tcBorders>
            <w:shd w:val="clear" w:color="auto" w:fill="auto"/>
            <w:noWrap/>
            <w:vAlign w:val="bottom"/>
            <w:hideMark/>
          </w:tcPr>
          <w:p w14:paraId="32713432"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17%</w:t>
            </w:r>
          </w:p>
        </w:tc>
        <w:tc>
          <w:tcPr>
            <w:tcW w:w="2115" w:type="dxa"/>
            <w:tcBorders>
              <w:top w:val="nil"/>
              <w:left w:val="nil"/>
              <w:bottom w:val="single" w:sz="4" w:space="0" w:color="auto"/>
              <w:right w:val="single" w:sz="4" w:space="0" w:color="auto"/>
            </w:tcBorders>
            <w:shd w:val="clear" w:color="auto" w:fill="auto"/>
            <w:noWrap/>
            <w:vAlign w:val="bottom"/>
            <w:hideMark/>
          </w:tcPr>
          <w:p w14:paraId="3BEC42D2"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11%</w:t>
            </w:r>
          </w:p>
        </w:tc>
        <w:tc>
          <w:tcPr>
            <w:tcW w:w="1728" w:type="dxa"/>
            <w:tcBorders>
              <w:top w:val="nil"/>
              <w:left w:val="nil"/>
              <w:bottom w:val="single" w:sz="4" w:space="0" w:color="auto"/>
              <w:right w:val="single" w:sz="4" w:space="0" w:color="auto"/>
            </w:tcBorders>
            <w:shd w:val="clear" w:color="auto" w:fill="auto"/>
            <w:noWrap/>
            <w:vAlign w:val="bottom"/>
            <w:hideMark/>
          </w:tcPr>
          <w:p w14:paraId="71CC5844"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26%</w:t>
            </w:r>
          </w:p>
        </w:tc>
        <w:tc>
          <w:tcPr>
            <w:tcW w:w="1684" w:type="dxa"/>
            <w:tcBorders>
              <w:top w:val="nil"/>
              <w:left w:val="nil"/>
              <w:bottom w:val="single" w:sz="4" w:space="0" w:color="auto"/>
              <w:right w:val="nil"/>
            </w:tcBorders>
            <w:shd w:val="clear" w:color="auto" w:fill="auto"/>
            <w:noWrap/>
            <w:vAlign w:val="bottom"/>
            <w:hideMark/>
          </w:tcPr>
          <w:p w14:paraId="47630AB6"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4%</w:t>
            </w:r>
          </w:p>
        </w:tc>
      </w:tr>
      <w:tr w:rsidR="00903B8A" w:rsidRPr="00903B8A" w14:paraId="745594CE" w14:textId="77777777" w:rsidTr="00903B8A">
        <w:trPr>
          <w:trHeight w:val="273"/>
        </w:trPr>
        <w:tc>
          <w:tcPr>
            <w:tcW w:w="1429" w:type="dxa"/>
            <w:tcBorders>
              <w:top w:val="nil"/>
              <w:left w:val="nil"/>
              <w:bottom w:val="single" w:sz="4" w:space="0" w:color="auto"/>
              <w:right w:val="single" w:sz="4" w:space="0" w:color="auto"/>
            </w:tcBorders>
            <w:shd w:val="clear" w:color="auto" w:fill="auto"/>
            <w:noWrap/>
            <w:vAlign w:val="bottom"/>
            <w:hideMark/>
          </w:tcPr>
          <w:p w14:paraId="0C224119" w14:textId="77777777" w:rsidR="00903B8A" w:rsidRPr="002D0BC1" w:rsidRDefault="00903B8A" w:rsidP="00903B8A">
            <w:pPr>
              <w:widowControl/>
              <w:suppressLineNumbers w:val="0"/>
              <w:suppressAutoHyphens w:val="0"/>
              <w:ind w:firstLine="0"/>
              <w:jc w:val="center"/>
              <w:rPr>
                <w:b/>
                <w:bCs/>
                <w:color w:val="000000"/>
                <w:sz w:val="20"/>
              </w:rPr>
            </w:pPr>
            <w:r w:rsidRPr="002D0BC1">
              <w:rPr>
                <w:b/>
                <w:bCs/>
                <w:color w:val="000000"/>
                <w:sz w:val="20"/>
              </w:rPr>
              <w:t>Recessão</w:t>
            </w:r>
          </w:p>
        </w:tc>
        <w:tc>
          <w:tcPr>
            <w:tcW w:w="1323" w:type="dxa"/>
            <w:tcBorders>
              <w:top w:val="nil"/>
              <w:left w:val="nil"/>
              <w:bottom w:val="single" w:sz="4" w:space="0" w:color="auto"/>
              <w:right w:val="single" w:sz="4" w:space="0" w:color="auto"/>
            </w:tcBorders>
            <w:shd w:val="clear" w:color="auto" w:fill="auto"/>
            <w:noWrap/>
            <w:vAlign w:val="bottom"/>
            <w:hideMark/>
          </w:tcPr>
          <w:p w14:paraId="1928066B"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-7%</w:t>
            </w:r>
          </w:p>
        </w:tc>
        <w:tc>
          <w:tcPr>
            <w:tcW w:w="962" w:type="dxa"/>
            <w:tcBorders>
              <w:top w:val="nil"/>
              <w:left w:val="nil"/>
              <w:bottom w:val="single" w:sz="4" w:space="0" w:color="auto"/>
              <w:right w:val="single" w:sz="4" w:space="0" w:color="auto"/>
            </w:tcBorders>
            <w:shd w:val="clear" w:color="auto" w:fill="auto"/>
            <w:noWrap/>
            <w:vAlign w:val="bottom"/>
            <w:hideMark/>
          </w:tcPr>
          <w:p w14:paraId="2F8B0266"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2%</w:t>
            </w:r>
          </w:p>
        </w:tc>
        <w:tc>
          <w:tcPr>
            <w:tcW w:w="2115" w:type="dxa"/>
            <w:tcBorders>
              <w:top w:val="nil"/>
              <w:left w:val="nil"/>
              <w:bottom w:val="single" w:sz="4" w:space="0" w:color="auto"/>
              <w:right w:val="single" w:sz="4" w:space="0" w:color="auto"/>
            </w:tcBorders>
            <w:shd w:val="clear" w:color="auto" w:fill="auto"/>
            <w:noWrap/>
            <w:vAlign w:val="bottom"/>
            <w:hideMark/>
          </w:tcPr>
          <w:p w14:paraId="02E7E07F"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-28%</w:t>
            </w:r>
          </w:p>
        </w:tc>
        <w:tc>
          <w:tcPr>
            <w:tcW w:w="1728" w:type="dxa"/>
            <w:tcBorders>
              <w:top w:val="nil"/>
              <w:left w:val="nil"/>
              <w:bottom w:val="single" w:sz="4" w:space="0" w:color="auto"/>
              <w:right w:val="single" w:sz="4" w:space="0" w:color="auto"/>
            </w:tcBorders>
            <w:shd w:val="clear" w:color="auto" w:fill="auto"/>
            <w:noWrap/>
            <w:vAlign w:val="bottom"/>
            <w:hideMark/>
          </w:tcPr>
          <w:p w14:paraId="149C08A9"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6%</w:t>
            </w:r>
          </w:p>
        </w:tc>
        <w:tc>
          <w:tcPr>
            <w:tcW w:w="1684" w:type="dxa"/>
            <w:tcBorders>
              <w:top w:val="nil"/>
              <w:left w:val="nil"/>
              <w:bottom w:val="single" w:sz="4" w:space="0" w:color="auto"/>
              <w:right w:val="nil"/>
            </w:tcBorders>
            <w:shd w:val="clear" w:color="auto" w:fill="auto"/>
            <w:noWrap/>
            <w:vAlign w:val="bottom"/>
            <w:hideMark/>
          </w:tcPr>
          <w:p w14:paraId="4104E86E" w14:textId="77777777" w:rsidR="00903B8A" w:rsidRPr="00903B8A" w:rsidRDefault="00903B8A" w:rsidP="00903B8A">
            <w:pPr>
              <w:widowControl/>
              <w:suppressLineNumbers w:val="0"/>
              <w:suppressAutoHyphens w:val="0"/>
              <w:ind w:firstLine="0"/>
              <w:jc w:val="center"/>
              <w:rPr>
                <w:color w:val="000000"/>
                <w:sz w:val="20"/>
              </w:rPr>
            </w:pPr>
            <w:r w:rsidRPr="00903B8A">
              <w:rPr>
                <w:color w:val="000000"/>
                <w:sz w:val="20"/>
              </w:rPr>
              <w:t>-45%</w:t>
            </w:r>
          </w:p>
        </w:tc>
      </w:tr>
    </w:tbl>
    <w:p w14:paraId="123AA2AB" w14:textId="77777777" w:rsidR="00BF400C" w:rsidRDefault="00BF400C" w:rsidP="00601967">
      <w:pPr>
        <w:rPr>
          <w:szCs w:val="24"/>
        </w:rPr>
      </w:pPr>
    </w:p>
    <w:p w14:paraId="6E7F2919" w14:textId="77777777" w:rsidR="00601967" w:rsidRDefault="00601967" w:rsidP="00601967">
      <w:pPr>
        <w:rPr>
          <w:szCs w:val="24"/>
        </w:rPr>
      </w:pPr>
      <w:r>
        <w:rPr>
          <w:szCs w:val="24"/>
        </w:rPr>
        <w:t>No que tange a distribuição da riqueza, os valores em termos percentuais do total gerado em relação ao total que foi distr</w:t>
      </w:r>
      <w:r w:rsidR="00B75453">
        <w:rPr>
          <w:szCs w:val="24"/>
        </w:rPr>
        <w:t>ibuído podem ser observados na F</w:t>
      </w:r>
      <w:r>
        <w:rPr>
          <w:szCs w:val="24"/>
        </w:rPr>
        <w:t>igura 4. O grupo com maior percentual de distribuição no período de expansão foi o de pessoal com um valor de 42%, já no momento de recessão o que ficou com a maior fatia de distribuição foi o de remuneração de capitais de terceiros.</w:t>
      </w:r>
    </w:p>
    <w:p w14:paraId="1F58A004" w14:textId="77777777" w:rsidR="00601967" w:rsidRDefault="0075206B" w:rsidP="00601967">
      <w:pPr>
        <w:rPr>
          <w:szCs w:val="24"/>
        </w:rPr>
      </w:pPr>
      <w:r>
        <w:rPr>
          <w:noProof/>
          <w:szCs w:val="24"/>
        </w:rPr>
        <w:drawing>
          <wp:anchor distT="0" distB="0" distL="114300" distR="114300" simplePos="0" relativeHeight="251666432" behindDoc="0" locked="0" layoutInCell="1" allowOverlap="1" wp14:anchorId="5D05F85C" wp14:editId="19B9E32F">
            <wp:simplePos x="0" y="0"/>
            <wp:positionH relativeFrom="margin">
              <wp:align>left</wp:align>
            </wp:positionH>
            <wp:positionV relativeFrom="paragraph">
              <wp:posOffset>16510</wp:posOffset>
            </wp:positionV>
            <wp:extent cx="5943600" cy="2197100"/>
            <wp:effectExtent l="0" t="0" r="0" b="12700"/>
            <wp:wrapNone/>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25FF7DB7" w14:textId="77777777" w:rsidR="00601967" w:rsidRDefault="00601967" w:rsidP="00601967">
      <w:pPr>
        <w:jc w:val="center"/>
        <w:rPr>
          <w:szCs w:val="24"/>
        </w:rPr>
      </w:pPr>
    </w:p>
    <w:p w14:paraId="55869B2A" w14:textId="77777777" w:rsidR="00601967" w:rsidRDefault="00601967" w:rsidP="00601967">
      <w:pPr>
        <w:jc w:val="center"/>
        <w:rPr>
          <w:szCs w:val="24"/>
        </w:rPr>
      </w:pPr>
    </w:p>
    <w:p w14:paraId="27FB7140" w14:textId="77777777" w:rsidR="00601967" w:rsidRDefault="00601967" w:rsidP="00601967">
      <w:pPr>
        <w:ind w:firstLine="708"/>
        <w:rPr>
          <w:szCs w:val="24"/>
        </w:rPr>
      </w:pPr>
    </w:p>
    <w:p w14:paraId="743479AA" w14:textId="77777777" w:rsidR="00601967" w:rsidRDefault="00601967" w:rsidP="00601967">
      <w:pPr>
        <w:ind w:firstLine="708"/>
        <w:rPr>
          <w:szCs w:val="24"/>
        </w:rPr>
      </w:pPr>
    </w:p>
    <w:p w14:paraId="1C2C71A9" w14:textId="77777777" w:rsidR="00601967" w:rsidRDefault="00601967" w:rsidP="00601967">
      <w:pPr>
        <w:ind w:firstLine="708"/>
        <w:rPr>
          <w:szCs w:val="24"/>
        </w:rPr>
      </w:pPr>
    </w:p>
    <w:p w14:paraId="70112075" w14:textId="77777777" w:rsidR="00601967" w:rsidRDefault="00601967" w:rsidP="00601967">
      <w:pPr>
        <w:ind w:firstLine="708"/>
        <w:rPr>
          <w:szCs w:val="24"/>
        </w:rPr>
      </w:pPr>
    </w:p>
    <w:p w14:paraId="5C170DF5" w14:textId="77777777" w:rsidR="00601967" w:rsidRDefault="00601967" w:rsidP="00601967">
      <w:pPr>
        <w:ind w:firstLine="708"/>
        <w:rPr>
          <w:szCs w:val="24"/>
        </w:rPr>
      </w:pPr>
    </w:p>
    <w:p w14:paraId="7B7F47BE" w14:textId="77777777" w:rsidR="00601967" w:rsidRDefault="00601967" w:rsidP="00601967">
      <w:pPr>
        <w:ind w:firstLine="708"/>
        <w:rPr>
          <w:szCs w:val="24"/>
        </w:rPr>
      </w:pPr>
    </w:p>
    <w:p w14:paraId="5CF038C3" w14:textId="77777777" w:rsidR="00601967" w:rsidRDefault="00601967" w:rsidP="00601967">
      <w:pPr>
        <w:ind w:firstLine="708"/>
        <w:rPr>
          <w:szCs w:val="24"/>
        </w:rPr>
      </w:pPr>
    </w:p>
    <w:p w14:paraId="06BE6AAF" w14:textId="77777777" w:rsidR="00601967" w:rsidRDefault="00601967" w:rsidP="00601967">
      <w:pPr>
        <w:ind w:firstLine="708"/>
        <w:rPr>
          <w:szCs w:val="24"/>
        </w:rPr>
      </w:pPr>
    </w:p>
    <w:p w14:paraId="520F66E2" w14:textId="77777777" w:rsidR="00601967" w:rsidRDefault="00601967" w:rsidP="00601967">
      <w:pPr>
        <w:ind w:firstLine="708"/>
        <w:rPr>
          <w:szCs w:val="24"/>
        </w:rPr>
      </w:pPr>
    </w:p>
    <w:p w14:paraId="33EAC57E" w14:textId="77777777" w:rsidR="00601967" w:rsidRDefault="00601967" w:rsidP="00601967">
      <w:pPr>
        <w:ind w:firstLine="708"/>
        <w:rPr>
          <w:szCs w:val="24"/>
        </w:rPr>
      </w:pPr>
    </w:p>
    <w:p w14:paraId="50A740FF" w14:textId="77777777" w:rsidR="00601967" w:rsidRPr="00560231" w:rsidRDefault="00601967" w:rsidP="00D33857">
      <w:pPr>
        <w:ind w:firstLine="0"/>
        <w:rPr>
          <w:sz w:val="20"/>
        </w:rPr>
      </w:pPr>
      <w:r>
        <w:rPr>
          <w:sz w:val="20"/>
        </w:rPr>
        <w:t>Figura 4: Distribuição da riqueza gerada</w:t>
      </w:r>
    </w:p>
    <w:p w14:paraId="3B7568C1" w14:textId="77777777" w:rsidR="00601967" w:rsidRDefault="00601967" w:rsidP="00601967">
      <w:pPr>
        <w:ind w:firstLine="708"/>
        <w:rPr>
          <w:szCs w:val="24"/>
        </w:rPr>
      </w:pPr>
    </w:p>
    <w:p w14:paraId="22408018" w14:textId="77777777" w:rsidR="00601967" w:rsidRPr="00560231" w:rsidRDefault="00601967" w:rsidP="00601967">
      <w:pPr>
        <w:rPr>
          <w:szCs w:val="24"/>
        </w:rPr>
      </w:pPr>
      <w:r>
        <w:rPr>
          <w:szCs w:val="24"/>
        </w:rPr>
        <w:t>E</w:t>
      </w:r>
      <w:r w:rsidRPr="00560231">
        <w:rPr>
          <w:szCs w:val="24"/>
        </w:rPr>
        <w:t xml:space="preserve">sse grupo apresentou a variação mais expressiva em termos percentuais saindo de uma distribuição de 28% no período de expansão </w:t>
      </w:r>
      <w:r>
        <w:rPr>
          <w:szCs w:val="24"/>
        </w:rPr>
        <w:t xml:space="preserve">para 40% no período de recessão, isso também se refletiu na taxa de crescimento. Na expansão a taxa de crescimento para remuneração de capitais de terceiros foi a mais alta entre os grupos com 26%, na recessão ele continuou </w:t>
      </w:r>
      <w:r w:rsidR="00543052">
        <w:rPr>
          <w:szCs w:val="24"/>
        </w:rPr>
        <w:t>crescendo</w:t>
      </w:r>
      <w:r>
        <w:rPr>
          <w:szCs w:val="24"/>
        </w:rPr>
        <w:t xml:space="preserve"> apresentando 6%.</w:t>
      </w:r>
    </w:p>
    <w:p w14:paraId="1F7ED33D" w14:textId="77777777" w:rsidR="00601967" w:rsidRDefault="00601967" w:rsidP="00601967">
      <w:pPr>
        <w:rPr>
          <w:szCs w:val="24"/>
        </w:rPr>
      </w:pPr>
      <w:r w:rsidRPr="00560231">
        <w:rPr>
          <w:szCs w:val="24"/>
        </w:rPr>
        <w:t>O governo por meio de impostos</w:t>
      </w:r>
      <w:r>
        <w:rPr>
          <w:szCs w:val="24"/>
        </w:rPr>
        <w:t xml:space="preserve">, taxas e contribuições apresentou uma redução de sua parte na distribuição saindo de 24% no período de </w:t>
      </w:r>
      <w:r w:rsidR="00543052">
        <w:rPr>
          <w:szCs w:val="24"/>
        </w:rPr>
        <w:t>expansão para 15% na recessão, esse</w:t>
      </w:r>
      <w:r>
        <w:rPr>
          <w:szCs w:val="24"/>
        </w:rPr>
        <w:t xml:space="preserve"> reflexo </w:t>
      </w:r>
      <w:r w:rsidR="00543052">
        <w:rPr>
          <w:szCs w:val="24"/>
        </w:rPr>
        <w:t>também apareceu na</w:t>
      </w:r>
      <w:r>
        <w:rPr>
          <w:szCs w:val="24"/>
        </w:rPr>
        <w:t xml:space="preserve"> taxa de crescimento </w:t>
      </w:r>
      <w:r w:rsidR="00543052">
        <w:rPr>
          <w:szCs w:val="24"/>
        </w:rPr>
        <w:t>d</w:t>
      </w:r>
      <w:r>
        <w:rPr>
          <w:szCs w:val="24"/>
        </w:rPr>
        <w:t xml:space="preserve">esse grupo </w:t>
      </w:r>
      <w:r w:rsidR="00543052">
        <w:rPr>
          <w:szCs w:val="24"/>
        </w:rPr>
        <w:t>sendo ela</w:t>
      </w:r>
      <w:r>
        <w:rPr>
          <w:szCs w:val="24"/>
        </w:rPr>
        <w:t xml:space="preserve"> negativa em -28%</w:t>
      </w:r>
      <w:r w:rsidR="00543052">
        <w:rPr>
          <w:szCs w:val="24"/>
        </w:rPr>
        <w:t xml:space="preserve"> para o momento de recessão</w:t>
      </w:r>
      <w:r>
        <w:rPr>
          <w:szCs w:val="24"/>
        </w:rPr>
        <w:t xml:space="preserve">. </w:t>
      </w:r>
    </w:p>
    <w:p w14:paraId="5F7A9FAD" w14:textId="77777777" w:rsidR="00601967" w:rsidRPr="00CE6E53" w:rsidRDefault="00601967" w:rsidP="00601967">
      <w:pPr>
        <w:rPr>
          <w:szCs w:val="24"/>
        </w:rPr>
      </w:pPr>
      <w:r>
        <w:rPr>
          <w:szCs w:val="24"/>
        </w:rPr>
        <w:t xml:space="preserve">Nesse último ponto, </w:t>
      </w:r>
      <w:r w:rsidR="00543052">
        <w:rPr>
          <w:szCs w:val="24"/>
        </w:rPr>
        <w:t>o</w:t>
      </w:r>
      <w:r w:rsidR="00B75453">
        <w:rPr>
          <w:szCs w:val="24"/>
        </w:rPr>
        <w:t xml:space="preserve"> presente resultado aponta</w:t>
      </w:r>
      <w:r w:rsidR="00543052">
        <w:rPr>
          <w:szCs w:val="24"/>
        </w:rPr>
        <w:t xml:space="preserve"> divergência d</w:t>
      </w:r>
      <w:r>
        <w:rPr>
          <w:szCs w:val="24"/>
        </w:rPr>
        <w:t xml:space="preserve">o estudo de Santos et. al (2013) </w:t>
      </w:r>
      <w:r w:rsidR="00543052">
        <w:rPr>
          <w:szCs w:val="24"/>
        </w:rPr>
        <w:t xml:space="preserve">que </w:t>
      </w:r>
      <w:r>
        <w:rPr>
          <w:szCs w:val="24"/>
        </w:rPr>
        <w:t xml:space="preserve">encontrou o governo como o que recebeu maior percentual para análise realizada na </w:t>
      </w:r>
      <w:r w:rsidR="00543052">
        <w:rPr>
          <w:szCs w:val="24"/>
        </w:rPr>
        <w:t>pesquisa</w:t>
      </w:r>
      <w:r>
        <w:rPr>
          <w:szCs w:val="24"/>
        </w:rPr>
        <w:t xml:space="preserve">, no entanto </w:t>
      </w:r>
      <w:r w:rsidR="00B75453">
        <w:rPr>
          <w:szCs w:val="24"/>
        </w:rPr>
        <w:t xml:space="preserve">não </w:t>
      </w:r>
      <w:r w:rsidR="00543052">
        <w:rPr>
          <w:szCs w:val="24"/>
        </w:rPr>
        <w:t>seria apropriado uma comparação</w:t>
      </w:r>
      <w:r>
        <w:rPr>
          <w:szCs w:val="24"/>
        </w:rPr>
        <w:t xml:space="preserve"> neste </w:t>
      </w:r>
      <w:r w:rsidR="00543052">
        <w:rPr>
          <w:szCs w:val="24"/>
        </w:rPr>
        <w:t>sentido</w:t>
      </w:r>
      <w:r>
        <w:rPr>
          <w:szCs w:val="24"/>
        </w:rPr>
        <w:t xml:space="preserve"> visto que o estudo analisou setores em conjunto, ao passo que aqui a analise se dá na perspectiva da redução em um único setor. Em contrapartid</w:t>
      </w:r>
      <w:r w:rsidR="00543052">
        <w:rPr>
          <w:szCs w:val="24"/>
        </w:rPr>
        <w:t>a, pode-se</w:t>
      </w:r>
      <w:r>
        <w:rPr>
          <w:szCs w:val="24"/>
        </w:rPr>
        <w:t xml:space="preserve"> associar os resultados aqui apresentados ao encontrado por </w:t>
      </w:r>
      <w:r>
        <w:rPr>
          <w:szCs w:val="24"/>
        </w:rPr>
        <w:lastRenderedPageBreak/>
        <w:t xml:space="preserve">Tinoco </w:t>
      </w:r>
      <w:r w:rsidRPr="00CE6E53">
        <w:rPr>
          <w:i/>
          <w:szCs w:val="24"/>
        </w:rPr>
        <w:t>et. al</w:t>
      </w:r>
      <w:r w:rsidR="00B75453">
        <w:rPr>
          <w:i/>
          <w:szCs w:val="24"/>
        </w:rPr>
        <w:t xml:space="preserve"> </w:t>
      </w:r>
      <w:r w:rsidR="00B75453">
        <w:rPr>
          <w:szCs w:val="24"/>
        </w:rPr>
        <w:t>(2008)</w:t>
      </w:r>
      <w:r>
        <w:rPr>
          <w:szCs w:val="24"/>
        </w:rPr>
        <w:t xml:space="preserve">, que foi o de que </w:t>
      </w:r>
      <w:r w:rsidR="00A9309E">
        <w:rPr>
          <w:szCs w:val="24"/>
        </w:rPr>
        <w:t>alguns setores apresentam carga</w:t>
      </w:r>
      <w:r>
        <w:rPr>
          <w:szCs w:val="24"/>
        </w:rPr>
        <w:t xml:space="preserve"> tributária</w:t>
      </w:r>
      <w:r w:rsidR="00A9309E">
        <w:rPr>
          <w:szCs w:val="24"/>
        </w:rPr>
        <w:t xml:space="preserve"> mais elevada</w:t>
      </w:r>
      <w:r>
        <w:rPr>
          <w:szCs w:val="24"/>
        </w:rPr>
        <w:t xml:space="preserve"> em relação a outros, </w:t>
      </w:r>
      <w:r w:rsidR="00B75453">
        <w:rPr>
          <w:szCs w:val="24"/>
        </w:rPr>
        <w:t>de modo</w:t>
      </w:r>
      <w:r>
        <w:rPr>
          <w:szCs w:val="24"/>
        </w:rPr>
        <w:t xml:space="preserve"> que o setor de consumo cíclico apresentou valor de destinação maior à impostos, taxas e contribuições nos dois períodos</w:t>
      </w:r>
      <w:r w:rsidR="00543052">
        <w:rPr>
          <w:szCs w:val="24"/>
        </w:rPr>
        <w:t xml:space="preserve"> do que o não cíclico</w:t>
      </w:r>
      <w:r>
        <w:rPr>
          <w:szCs w:val="24"/>
        </w:rPr>
        <w:t>.</w:t>
      </w:r>
    </w:p>
    <w:p w14:paraId="7E4CABDA" w14:textId="77777777" w:rsidR="00601967" w:rsidRDefault="00601967" w:rsidP="00601967">
      <w:pPr>
        <w:rPr>
          <w:szCs w:val="24"/>
        </w:rPr>
      </w:pPr>
      <w:r>
        <w:rPr>
          <w:szCs w:val="24"/>
        </w:rPr>
        <w:t xml:space="preserve">Ao observarmos apenas percentual distribuído ao grupo </w:t>
      </w:r>
      <w:r w:rsidR="00CC5619">
        <w:rPr>
          <w:szCs w:val="24"/>
        </w:rPr>
        <w:t xml:space="preserve">remuneração </w:t>
      </w:r>
      <w:r>
        <w:rPr>
          <w:szCs w:val="24"/>
        </w:rPr>
        <w:t xml:space="preserve">de capitais próprios tem-se que ele foi </w:t>
      </w:r>
      <w:r w:rsidR="00CC5619">
        <w:rPr>
          <w:szCs w:val="24"/>
        </w:rPr>
        <w:t xml:space="preserve">o </w:t>
      </w:r>
      <w:r>
        <w:rPr>
          <w:szCs w:val="24"/>
        </w:rPr>
        <w:t xml:space="preserve">mesmo nos dois períodos e o menor em relação aos quatro grupos de distribuição, no entanto, </w:t>
      </w:r>
      <w:r w:rsidR="00A9309E">
        <w:rPr>
          <w:szCs w:val="24"/>
        </w:rPr>
        <w:t>supõe</w:t>
      </w:r>
      <w:r>
        <w:rPr>
          <w:szCs w:val="24"/>
        </w:rPr>
        <w:t xml:space="preserve">-se que os prejuízos apresentados nesse grupo </w:t>
      </w:r>
      <w:r w:rsidR="00A9309E">
        <w:rPr>
          <w:szCs w:val="24"/>
        </w:rPr>
        <w:t>podem ter contribuído</w:t>
      </w:r>
      <w:r>
        <w:rPr>
          <w:szCs w:val="24"/>
        </w:rPr>
        <w:t xml:space="preserve"> para a redução na distribuição de riqueza apresentada na figura 3 para o ano de 2016, visto que neste ano </w:t>
      </w:r>
      <w:r w:rsidR="00CC5619">
        <w:rPr>
          <w:szCs w:val="24"/>
        </w:rPr>
        <w:t>o valor para</w:t>
      </w:r>
      <w:r>
        <w:rPr>
          <w:szCs w:val="24"/>
        </w:rPr>
        <w:t xml:space="preserve"> distribuição desse grupo </w:t>
      </w:r>
      <w:r w:rsidR="00CC5619">
        <w:rPr>
          <w:szCs w:val="24"/>
        </w:rPr>
        <w:t>foi negativo</w:t>
      </w:r>
      <w:r>
        <w:rPr>
          <w:szCs w:val="24"/>
        </w:rPr>
        <w:t xml:space="preserve">. </w:t>
      </w:r>
      <w:r w:rsidR="00CC5619">
        <w:rPr>
          <w:szCs w:val="24"/>
        </w:rPr>
        <w:t>Remuneração de capitais próprios</w:t>
      </w:r>
      <w:r>
        <w:rPr>
          <w:szCs w:val="24"/>
        </w:rPr>
        <w:t xml:space="preserve"> também foi o agente mais impactado na taxa de crescimento da recessão, onde apresentou o percentual negativo em 45%.</w:t>
      </w:r>
    </w:p>
    <w:p w14:paraId="5E69BBA3" w14:textId="77777777" w:rsidR="00601967" w:rsidRDefault="00601967" w:rsidP="00601967">
      <w:pPr>
        <w:rPr>
          <w:szCs w:val="24"/>
        </w:rPr>
      </w:pPr>
      <w:r>
        <w:rPr>
          <w:szCs w:val="24"/>
        </w:rPr>
        <w:t>No que se refere as taxas de crescimento,</w:t>
      </w:r>
      <w:r w:rsidRPr="00E0399D">
        <w:rPr>
          <w:szCs w:val="24"/>
        </w:rPr>
        <w:t xml:space="preserve"> </w:t>
      </w:r>
      <w:r>
        <w:rPr>
          <w:szCs w:val="24"/>
        </w:rPr>
        <w:t>ao contrário do setor cíclico, em que todos os agentes de distribuição apresentaram decréscimos, no setor não cíclico dois grupos mantiveram crescimento na recessão sendo eles o de pessoal com 2% e o de remuneração d</w:t>
      </w:r>
      <w:r w:rsidR="00CC5619">
        <w:rPr>
          <w:szCs w:val="24"/>
        </w:rPr>
        <w:t>e capitais de terceiros com 6%.</w:t>
      </w:r>
    </w:p>
    <w:p w14:paraId="1950365B" w14:textId="77777777" w:rsidR="00601967" w:rsidRDefault="00601967" w:rsidP="00601967">
      <w:pPr>
        <w:rPr>
          <w:b/>
          <w:szCs w:val="24"/>
        </w:rPr>
      </w:pPr>
    </w:p>
    <w:p w14:paraId="3542083E" w14:textId="77777777" w:rsidR="00D33857" w:rsidRPr="00274719" w:rsidRDefault="00D33857" w:rsidP="00BF400C">
      <w:pPr>
        <w:ind w:firstLine="0"/>
        <w:rPr>
          <w:szCs w:val="24"/>
        </w:rPr>
      </w:pPr>
      <w:r>
        <w:rPr>
          <w:b/>
          <w:szCs w:val="24"/>
        </w:rPr>
        <w:t xml:space="preserve">5 </w:t>
      </w:r>
      <w:r w:rsidRPr="00EA3054">
        <w:rPr>
          <w:b/>
          <w:szCs w:val="24"/>
        </w:rPr>
        <w:t>CONSIDERAÇÕES FINAIS</w:t>
      </w:r>
    </w:p>
    <w:p w14:paraId="4142FB6E" w14:textId="77777777" w:rsidR="00D33857" w:rsidRDefault="00D33857" w:rsidP="00D33857">
      <w:pPr>
        <w:rPr>
          <w:szCs w:val="24"/>
        </w:rPr>
      </w:pPr>
    </w:p>
    <w:p w14:paraId="41B47AAF" w14:textId="77777777" w:rsidR="00D33857" w:rsidRDefault="00D33857" w:rsidP="00D33857">
      <w:pPr>
        <w:rPr>
          <w:szCs w:val="24"/>
        </w:rPr>
      </w:pPr>
      <w:r>
        <w:rPr>
          <w:szCs w:val="24"/>
        </w:rPr>
        <w:t>Entendendo que os ciclos econômicos representam os movimentos de expansão e recessão da economia, e que alguns setores podem ser mais impactados que outros em função de suas características, a presente pesquisa teve por objetivo analisar</w:t>
      </w:r>
      <w:r w:rsidRPr="00C53222">
        <w:rPr>
          <w:szCs w:val="24"/>
        </w:rPr>
        <w:t xml:space="preserve"> a variação da riqueza gerada e distribuída entre os agentes econômicos nos setores de consumo cíclico e não cíclico nos períodos de expansão</w:t>
      </w:r>
      <w:r w:rsidR="001965FD">
        <w:rPr>
          <w:szCs w:val="24"/>
        </w:rPr>
        <w:t xml:space="preserve"> e recessão econômica.</w:t>
      </w:r>
      <w:r>
        <w:rPr>
          <w:szCs w:val="24"/>
        </w:rPr>
        <w:t xml:space="preserve"> </w:t>
      </w:r>
      <w:r w:rsidR="001965FD">
        <w:rPr>
          <w:szCs w:val="24"/>
        </w:rPr>
        <w:t>Para tanto,</w:t>
      </w:r>
      <w:r>
        <w:rPr>
          <w:szCs w:val="24"/>
        </w:rPr>
        <w:t xml:space="preserve"> foram analisadas as DVA das empresas dos respectivos setores </w:t>
      </w:r>
      <w:r w:rsidR="001965FD">
        <w:rPr>
          <w:szCs w:val="24"/>
        </w:rPr>
        <w:t>listadas</w:t>
      </w:r>
      <w:r>
        <w:rPr>
          <w:szCs w:val="24"/>
        </w:rPr>
        <w:t xml:space="preserve"> na </w:t>
      </w:r>
      <w:r w:rsidR="00CC5619">
        <w:rPr>
          <w:szCs w:val="24"/>
        </w:rPr>
        <w:t>[</w:t>
      </w:r>
      <w:r>
        <w:rPr>
          <w:szCs w:val="24"/>
        </w:rPr>
        <w:t>B</w:t>
      </w:r>
      <w:r w:rsidR="00CC5619">
        <w:rPr>
          <w:szCs w:val="24"/>
        </w:rPr>
        <w:t>]</w:t>
      </w:r>
      <w:r>
        <w:rPr>
          <w:szCs w:val="24"/>
        </w:rPr>
        <w:t xml:space="preserve">³ </w:t>
      </w:r>
      <w:r w:rsidR="001965FD">
        <w:rPr>
          <w:szCs w:val="24"/>
        </w:rPr>
        <w:t xml:space="preserve">que divulgaram </w:t>
      </w:r>
      <w:r>
        <w:rPr>
          <w:szCs w:val="24"/>
        </w:rPr>
        <w:t>em todos os anos entre 2009 e 2016</w:t>
      </w:r>
      <w:r w:rsidR="001965FD">
        <w:rPr>
          <w:szCs w:val="24"/>
        </w:rPr>
        <w:t>, as demonstrações contábeis, contemplando uma amostra</w:t>
      </w:r>
      <w:r>
        <w:rPr>
          <w:szCs w:val="24"/>
        </w:rPr>
        <w:t xml:space="preserve"> de 17 empresas do setor de consumo não cíclico e 65 empresas do setor de consumo cíclico.</w:t>
      </w:r>
    </w:p>
    <w:p w14:paraId="43D36F9B" w14:textId="77777777" w:rsidR="00D33857" w:rsidRDefault="00D33857" w:rsidP="00D33857">
      <w:pPr>
        <w:rPr>
          <w:szCs w:val="24"/>
        </w:rPr>
      </w:pPr>
      <w:r>
        <w:rPr>
          <w:szCs w:val="24"/>
        </w:rPr>
        <w:t>Dentre os resultados encontrados foi percebido que o momento de transição entre o final do período de expansão e o início da rec</w:t>
      </w:r>
      <w:r w:rsidR="00CC5619">
        <w:rPr>
          <w:szCs w:val="24"/>
        </w:rPr>
        <w:t>essão a geração de riqueza</w:t>
      </w:r>
      <w:r>
        <w:rPr>
          <w:szCs w:val="24"/>
        </w:rPr>
        <w:t xml:space="preserve"> por ano no setor de consumo cíclico apresentou uma ruptura na tendência de </w:t>
      </w:r>
      <w:r w:rsidR="00B7130A">
        <w:rPr>
          <w:szCs w:val="24"/>
        </w:rPr>
        <w:t>crescimento. Isso</w:t>
      </w:r>
      <w:r>
        <w:rPr>
          <w:szCs w:val="24"/>
        </w:rPr>
        <w:t xml:space="preserve"> </w:t>
      </w:r>
      <w:r w:rsidR="00CC5619">
        <w:rPr>
          <w:szCs w:val="24"/>
        </w:rPr>
        <w:t>se refletiu também na taxa</w:t>
      </w:r>
      <w:r>
        <w:rPr>
          <w:szCs w:val="24"/>
        </w:rPr>
        <w:t xml:space="preserve"> de crescimento encontrada para o setor, que no período de expansão cresceu em média 10%, ao passo que no período de recessão esta taxa representou percentual negativo em 4%.</w:t>
      </w:r>
    </w:p>
    <w:p w14:paraId="216D5398" w14:textId="77777777" w:rsidR="00D33857" w:rsidRDefault="00D33857" w:rsidP="00D33857">
      <w:pPr>
        <w:rPr>
          <w:szCs w:val="24"/>
        </w:rPr>
      </w:pPr>
      <w:r>
        <w:rPr>
          <w:szCs w:val="24"/>
        </w:rPr>
        <w:t>Já o setor de consumo não cíclico, levou um tempo a mais para apresentar ruptura n</w:t>
      </w:r>
      <w:r w:rsidR="00CC5619">
        <w:rPr>
          <w:szCs w:val="24"/>
        </w:rPr>
        <w:t>a tendência de crescimento</w:t>
      </w:r>
      <w:r>
        <w:rPr>
          <w:szCs w:val="24"/>
        </w:rPr>
        <w:t xml:space="preserve"> da geração de riqueza, que veio a ocorrer no terceiro e último ano do período de recessão, porém essa ruptura tardia não impediu que a taxa média de crescimento do setor para esse momento fosse negativa em 7%. </w:t>
      </w:r>
    </w:p>
    <w:p w14:paraId="7A2CB03A" w14:textId="77777777" w:rsidR="00D33857" w:rsidRDefault="00D33857" w:rsidP="00D33857">
      <w:pPr>
        <w:rPr>
          <w:szCs w:val="24"/>
        </w:rPr>
      </w:pPr>
      <w:r>
        <w:rPr>
          <w:szCs w:val="24"/>
        </w:rPr>
        <w:t>Apesar de ambos os setores se mostrarem impactados negativamente</w:t>
      </w:r>
      <w:r w:rsidR="00CC02A1">
        <w:rPr>
          <w:szCs w:val="24"/>
        </w:rPr>
        <w:t xml:space="preserve"> na taxa de crescimento da geração de riqueza</w:t>
      </w:r>
      <w:r>
        <w:rPr>
          <w:szCs w:val="24"/>
        </w:rPr>
        <w:t xml:space="preserve"> pelo </w:t>
      </w:r>
      <w:r w:rsidR="00CC02A1">
        <w:rPr>
          <w:szCs w:val="24"/>
        </w:rPr>
        <w:t>momento de</w:t>
      </w:r>
      <w:r>
        <w:rPr>
          <w:szCs w:val="24"/>
        </w:rPr>
        <w:t xml:space="preserve"> recessão, o setor de consumo cíclico</w:t>
      </w:r>
      <w:r w:rsidR="00CC02A1">
        <w:rPr>
          <w:szCs w:val="24"/>
        </w:rPr>
        <w:t xml:space="preserve"> em seu montante gerado ano a ano</w:t>
      </w:r>
      <w:r>
        <w:rPr>
          <w:szCs w:val="24"/>
        </w:rPr>
        <w:t xml:space="preserve"> respondeu negativamente no primeiro ano em que a recessão foi delimitada ao passo que o setor de consumo não cícli</w:t>
      </w:r>
      <w:r w:rsidR="00CC02A1">
        <w:rPr>
          <w:szCs w:val="24"/>
        </w:rPr>
        <w:t>co apresentou mais dois anos de valores crescentes</w:t>
      </w:r>
      <w:r>
        <w:rPr>
          <w:szCs w:val="24"/>
        </w:rPr>
        <w:t>, o que pode apresentar uma associação a ideia da Teoria dos Ciclos Econômicos quanto de sensibilidade ao período de recessão para o primeiro setor, visto que seus produtos podem ter o consumo adiados para um momento de melhor situação econômica.</w:t>
      </w:r>
    </w:p>
    <w:p w14:paraId="1F71A240" w14:textId="77777777" w:rsidR="00D33857" w:rsidRDefault="00D33857" w:rsidP="00D33857">
      <w:pPr>
        <w:rPr>
          <w:szCs w:val="24"/>
        </w:rPr>
      </w:pPr>
      <w:r>
        <w:rPr>
          <w:szCs w:val="24"/>
        </w:rPr>
        <w:t xml:space="preserve">Ao analisar o percentual de distribuição sobre o total das riquezas geradas por período o </w:t>
      </w:r>
      <w:r>
        <w:rPr>
          <w:szCs w:val="24"/>
        </w:rPr>
        <w:lastRenderedPageBreak/>
        <w:t xml:space="preserve">setor de consumo cíclico apresenta </w:t>
      </w:r>
      <w:r w:rsidR="007C1DAA">
        <w:rPr>
          <w:szCs w:val="24"/>
        </w:rPr>
        <w:t>uma</w:t>
      </w:r>
      <w:r>
        <w:rPr>
          <w:szCs w:val="24"/>
        </w:rPr>
        <w:t xml:space="preserve"> maior distribuição em ambos os momentos para impostos, taxas e contribuições, com 40%. Já o setor de consumo não cíclico no período de expansão distribui maior fatia da sua riqueza gerada para pessoal e no período de recessão esse maior valor foi para remuneração de capital de terceiros.</w:t>
      </w:r>
    </w:p>
    <w:p w14:paraId="656A2A6B" w14:textId="77777777" w:rsidR="00D33857" w:rsidRDefault="007C1DAA" w:rsidP="00D33857">
      <w:pPr>
        <w:rPr>
          <w:szCs w:val="24"/>
        </w:rPr>
      </w:pPr>
      <w:r>
        <w:rPr>
          <w:szCs w:val="24"/>
        </w:rPr>
        <w:t>Sob</w:t>
      </w:r>
      <w:r w:rsidR="00D33857">
        <w:rPr>
          <w:szCs w:val="24"/>
        </w:rPr>
        <w:t xml:space="preserve"> a perspectiva da </w:t>
      </w:r>
      <w:r>
        <w:rPr>
          <w:szCs w:val="24"/>
        </w:rPr>
        <w:t>taxa</w:t>
      </w:r>
      <w:r w:rsidR="00D33857">
        <w:rPr>
          <w:szCs w:val="24"/>
        </w:rPr>
        <w:t xml:space="preserve"> de crescimento</w:t>
      </w:r>
      <w:r>
        <w:rPr>
          <w:szCs w:val="24"/>
        </w:rPr>
        <w:t>,</w:t>
      </w:r>
      <w:r w:rsidR="00D33857">
        <w:rPr>
          <w:szCs w:val="24"/>
        </w:rPr>
        <w:t xml:space="preserve"> dentre os agentes econômicos que compõe a distribuição da riqueza o grupo com maior percentual de crescimento no período de expansão foi a remuneração de capital de terceiros nos dois setores. Já no período de recessão os agentes mais impactados negativamente na distribuição da riqueza foi o grupo pessoal para o setor de consumo cíclico e o grupo impostos, taxas e contribuições para o setor de consumo não cíclico. </w:t>
      </w:r>
    </w:p>
    <w:p w14:paraId="34EA3B6A" w14:textId="77777777" w:rsidR="00967C3F" w:rsidRDefault="007C1DAA" w:rsidP="00D33857">
      <w:pPr>
        <w:rPr>
          <w:szCs w:val="24"/>
        </w:rPr>
      </w:pPr>
      <w:r>
        <w:rPr>
          <w:szCs w:val="24"/>
        </w:rPr>
        <w:t xml:space="preserve">Apenas </w:t>
      </w:r>
      <w:r w:rsidR="00D33857">
        <w:rPr>
          <w:szCs w:val="24"/>
        </w:rPr>
        <w:t>dois</w:t>
      </w:r>
      <w:r>
        <w:rPr>
          <w:szCs w:val="24"/>
        </w:rPr>
        <w:t xml:space="preserve"> grupos de distribuição</w:t>
      </w:r>
      <w:r w:rsidR="00D33857">
        <w:rPr>
          <w:szCs w:val="24"/>
        </w:rPr>
        <w:t xml:space="preserve"> continuaram com taxas de crescimento </w:t>
      </w:r>
      <w:r>
        <w:rPr>
          <w:szCs w:val="24"/>
        </w:rPr>
        <w:t>positiva no período de recessão</w:t>
      </w:r>
      <w:r w:rsidR="00D33857">
        <w:rPr>
          <w:szCs w:val="24"/>
        </w:rPr>
        <w:t xml:space="preserve"> e pertencem ao setor de consumo não cíclico</w:t>
      </w:r>
      <w:r>
        <w:rPr>
          <w:szCs w:val="24"/>
        </w:rPr>
        <w:t>,</w:t>
      </w:r>
      <w:r w:rsidR="00D33857">
        <w:rPr>
          <w:szCs w:val="24"/>
        </w:rPr>
        <w:t xml:space="preserve"> sendo eles o grupo de pessoal com taxa de crescimento de 2% e a remuneração de capitais de terceiros com 6%. </w:t>
      </w:r>
    </w:p>
    <w:p w14:paraId="18F6249B" w14:textId="77777777" w:rsidR="00D33857" w:rsidRDefault="007C1DAA" w:rsidP="00D33857">
      <w:pPr>
        <w:rPr>
          <w:szCs w:val="24"/>
        </w:rPr>
      </w:pPr>
      <w:r>
        <w:rPr>
          <w:szCs w:val="24"/>
        </w:rPr>
        <w:t>De modo geral, os resultados encontrados para ambos os setores quanto ao comportamento da geração e distribuição de riqueza</w:t>
      </w:r>
      <w:r w:rsidR="00B7130A">
        <w:rPr>
          <w:szCs w:val="24"/>
        </w:rPr>
        <w:t xml:space="preserve"> apontam para um movimento de crescimento n</w:t>
      </w:r>
      <w:r>
        <w:rPr>
          <w:szCs w:val="24"/>
        </w:rPr>
        <w:t xml:space="preserve">o período de expansão </w:t>
      </w:r>
      <w:r w:rsidR="00B7130A">
        <w:rPr>
          <w:szCs w:val="24"/>
        </w:rPr>
        <w:t>e um decréscimo para o período de recessão, salvo as duas exceções apontadas em parágrafo anterior.</w:t>
      </w:r>
      <w:r>
        <w:rPr>
          <w:szCs w:val="24"/>
        </w:rPr>
        <w:t xml:space="preserve"> </w:t>
      </w:r>
      <w:r w:rsidR="00B7130A">
        <w:rPr>
          <w:szCs w:val="24"/>
        </w:rPr>
        <w:t xml:space="preserve"> Porém, e</w:t>
      </w:r>
      <w:r w:rsidR="00D33857">
        <w:rPr>
          <w:szCs w:val="24"/>
        </w:rPr>
        <w:t xml:space="preserve">sta pesquisa poderia apresentar resultados diferentes ou fazer outros paralelos se comparados a outros ciclos de expansão e recessão já delimitados na economia brasileira, no entanto visto a não obrigatoriedade de publicação da DVA em período anterior a 2008, a pesquisa se limitou aos ciclos mais recentes. </w:t>
      </w:r>
    </w:p>
    <w:p w14:paraId="35E712A5" w14:textId="77777777" w:rsidR="00D33857" w:rsidRDefault="00D33857" w:rsidP="00D33857">
      <w:pPr>
        <w:rPr>
          <w:b/>
          <w:szCs w:val="24"/>
        </w:rPr>
      </w:pPr>
    </w:p>
    <w:p w14:paraId="7CC31097" w14:textId="77777777" w:rsidR="00D33857" w:rsidRDefault="00D33857" w:rsidP="00D33857">
      <w:pPr>
        <w:rPr>
          <w:b/>
          <w:szCs w:val="24"/>
        </w:rPr>
      </w:pPr>
    </w:p>
    <w:p w14:paraId="62606A16" w14:textId="77777777" w:rsidR="00D33857" w:rsidRPr="00EA3054" w:rsidRDefault="00D33857" w:rsidP="00D33857">
      <w:pPr>
        <w:ind w:firstLine="0"/>
        <w:rPr>
          <w:b/>
          <w:szCs w:val="24"/>
        </w:rPr>
      </w:pPr>
      <w:r w:rsidRPr="00EA3054">
        <w:rPr>
          <w:b/>
          <w:szCs w:val="24"/>
        </w:rPr>
        <w:t>REFERÊNCIAS</w:t>
      </w:r>
    </w:p>
    <w:p w14:paraId="27D2CA4D" w14:textId="77777777" w:rsidR="00D33857" w:rsidRDefault="00D33857" w:rsidP="00D33857">
      <w:pPr>
        <w:rPr>
          <w:szCs w:val="24"/>
        </w:rPr>
      </w:pPr>
    </w:p>
    <w:p w14:paraId="5CA7AC8F" w14:textId="77777777" w:rsidR="00D33857" w:rsidRPr="00051D10" w:rsidRDefault="00D33857" w:rsidP="00D33857">
      <w:pPr>
        <w:ind w:firstLine="0"/>
        <w:rPr>
          <w:szCs w:val="24"/>
        </w:rPr>
      </w:pPr>
      <w:r w:rsidRPr="00051D10">
        <w:rPr>
          <w:szCs w:val="24"/>
        </w:rPr>
        <w:t xml:space="preserve">BANCO CENTRAL DO BRASIL – BCB (2019). Calculadora do Cidadão. Disponível em: </w:t>
      </w:r>
      <w:hyperlink r:id="rId13" w:history="1">
        <w:r w:rsidRPr="00D33857">
          <w:rPr>
            <w:rStyle w:val="Hyperlink"/>
            <w:color w:val="auto"/>
            <w:szCs w:val="24"/>
            <w:u w:val="none"/>
          </w:rPr>
          <w:t>https://www3.bcb.gov.br/CALCIDADAO/publico/exibirFormCorrecaoValores.do?method=exibirFormCorrecaoValores</w:t>
        </w:r>
      </w:hyperlink>
      <w:r w:rsidRPr="00D33857">
        <w:rPr>
          <w:szCs w:val="24"/>
        </w:rPr>
        <w:t xml:space="preserve">. </w:t>
      </w:r>
      <w:r>
        <w:rPr>
          <w:szCs w:val="24"/>
        </w:rPr>
        <w:t>Acesso em: 15/06/2019.</w:t>
      </w:r>
    </w:p>
    <w:p w14:paraId="2793D9D2" w14:textId="77777777" w:rsidR="00D33857" w:rsidRDefault="00D33857" w:rsidP="00D33857">
      <w:pPr>
        <w:rPr>
          <w:szCs w:val="24"/>
        </w:rPr>
      </w:pPr>
    </w:p>
    <w:p w14:paraId="6E180808" w14:textId="77777777" w:rsidR="00D33857" w:rsidRPr="00E86EEA" w:rsidRDefault="00D33857" w:rsidP="00D33857">
      <w:pPr>
        <w:ind w:firstLine="0"/>
        <w:rPr>
          <w:szCs w:val="24"/>
        </w:rPr>
      </w:pPr>
      <w:r w:rsidRPr="00D33857">
        <w:rPr>
          <w:szCs w:val="24"/>
        </w:rPr>
        <w:t xml:space="preserve">BRASIL BOLSA BALCÃO – B3(2019). Empresas Listadas por setor de atuação. Disponível em: </w:t>
      </w:r>
      <w:hyperlink r:id="rId14" w:history="1">
        <w:r w:rsidRPr="00D33857">
          <w:rPr>
            <w:rStyle w:val="Hyperlink"/>
            <w:color w:val="auto"/>
            <w:szCs w:val="24"/>
            <w:u w:val="none"/>
          </w:rPr>
          <w:t>http://www.b3.com.br/pt_br/produtos-e-servicos/negociacao/renda-variavel/empresas-listadas.htm</w:t>
        </w:r>
      </w:hyperlink>
      <w:r w:rsidRPr="00D33857">
        <w:rPr>
          <w:szCs w:val="24"/>
        </w:rPr>
        <w:t xml:space="preserve">. </w:t>
      </w:r>
      <w:r w:rsidRPr="00E86EEA">
        <w:rPr>
          <w:szCs w:val="24"/>
        </w:rPr>
        <w:t>Acesso em: 20/05/2019.</w:t>
      </w:r>
    </w:p>
    <w:p w14:paraId="2AF90455" w14:textId="77777777" w:rsidR="00D33857" w:rsidRDefault="00D33857" w:rsidP="00D33857">
      <w:pPr>
        <w:rPr>
          <w:szCs w:val="24"/>
        </w:rPr>
      </w:pPr>
    </w:p>
    <w:p w14:paraId="2E27FA3C" w14:textId="77777777" w:rsidR="00D33857" w:rsidRDefault="00D33857" w:rsidP="00D33857">
      <w:pPr>
        <w:ind w:firstLine="0"/>
        <w:rPr>
          <w:szCs w:val="24"/>
        </w:rPr>
      </w:pPr>
      <w:r>
        <w:rPr>
          <w:szCs w:val="24"/>
        </w:rPr>
        <w:t xml:space="preserve">Comitê de Datação de Ciclos econômicos – CODACE (2009). Comunicado de Criação do CODACE e Datação de Ciclos Trimestrais Brasileiro, Mai.2009. Disponível em: </w:t>
      </w:r>
      <w:hyperlink r:id="rId15" w:history="1">
        <w:r w:rsidRPr="00D33857">
          <w:rPr>
            <w:rStyle w:val="Hyperlink"/>
            <w:color w:val="auto"/>
            <w:szCs w:val="24"/>
            <w:u w:val="none"/>
          </w:rPr>
          <w:t>https://portalibre.fgv.br/main.jsp?lumChannelId=4028808126B9BC4C0126BEA1755C6C93</w:t>
        </w:r>
      </w:hyperlink>
      <w:r>
        <w:rPr>
          <w:szCs w:val="24"/>
        </w:rPr>
        <w:t>. Acesso em: 26/05/2019.</w:t>
      </w:r>
    </w:p>
    <w:p w14:paraId="4EB7A2F7" w14:textId="77777777" w:rsidR="00D33857" w:rsidRDefault="00D33857" w:rsidP="00D33857">
      <w:pPr>
        <w:rPr>
          <w:szCs w:val="24"/>
        </w:rPr>
      </w:pPr>
    </w:p>
    <w:p w14:paraId="75F3CF65" w14:textId="77777777" w:rsidR="00D33857" w:rsidRPr="00092A6F" w:rsidRDefault="00D33857" w:rsidP="00D33857">
      <w:pPr>
        <w:ind w:firstLine="0"/>
        <w:rPr>
          <w:szCs w:val="24"/>
        </w:rPr>
      </w:pPr>
      <w:r w:rsidRPr="00092A6F">
        <w:rPr>
          <w:szCs w:val="24"/>
        </w:rPr>
        <w:t>Comitê de Datação</w:t>
      </w:r>
      <w:r>
        <w:rPr>
          <w:szCs w:val="24"/>
        </w:rPr>
        <w:t xml:space="preserve"> de Ciclos econômicos –CODACE (2017).</w:t>
      </w:r>
      <w:r w:rsidRPr="00092A6F">
        <w:rPr>
          <w:szCs w:val="24"/>
        </w:rPr>
        <w:t xml:space="preserve"> Comunicado de datação de ciclos mensais brasil</w:t>
      </w:r>
      <w:r>
        <w:rPr>
          <w:szCs w:val="24"/>
        </w:rPr>
        <w:t xml:space="preserve">eiros, Out.2017. Disponível em: </w:t>
      </w:r>
      <w:hyperlink r:id="rId16" w:history="1">
        <w:r w:rsidRPr="00D33857">
          <w:rPr>
            <w:rStyle w:val="Hyperlink"/>
            <w:color w:val="auto"/>
            <w:szCs w:val="24"/>
            <w:u w:val="none"/>
          </w:rPr>
          <w:t>https://portalibre.fgv.br/main.jsp?lumChannelId=4028808126B9BC4C0126BEA1755C6C93</w:t>
        </w:r>
      </w:hyperlink>
      <w:r>
        <w:rPr>
          <w:szCs w:val="24"/>
        </w:rPr>
        <w:t>. Acesso em 01/05/2019</w:t>
      </w:r>
    </w:p>
    <w:p w14:paraId="25684496" w14:textId="77777777" w:rsidR="00D33857" w:rsidRDefault="00D33857" w:rsidP="00D33857">
      <w:pPr>
        <w:rPr>
          <w:szCs w:val="24"/>
        </w:rPr>
      </w:pPr>
    </w:p>
    <w:p w14:paraId="2C1C01BD" w14:textId="39DF3D48" w:rsidR="00D33857" w:rsidRDefault="00D33857" w:rsidP="00D33857">
      <w:pPr>
        <w:ind w:firstLine="0"/>
        <w:rPr>
          <w:szCs w:val="24"/>
        </w:rPr>
      </w:pPr>
      <w:r>
        <w:rPr>
          <w:szCs w:val="24"/>
        </w:rPr>
        <w:t xml:space="preserve">DE LUCA, M. M. M.; CUNHA, J. V. A. da; RIBEIRO, M. S.; OLIVEIRA, M. C. (2009). </w:t>
      </w:r>
      <w:r>
        <w:rPr>
          <w:szCs w:val="24"/>
        </w:rPr>
        <w:lastRenderedPageBreak/>
        <w:t>Demonstração do valor adicionado: do cálculo da riqueza criada pela empresa ao valor do PIB. 2 ed. São Paulo: Atlas.</w:t>
      </w:r>
    </w:p>
    <w:p w14:paraId="497B81EE" w14:textId="77777777" w:rsidR="00D33857" w:rsidRDefault="00D33857" w:rsidP="00D33857">
      <w:pPr>
        <w:rPr>
          <w:szCs w:val="24"/>
        </w:rPr>
      </w:pPr>
    </w:p>
    <w:p w14:paraId="2234723C" w14:textId="43B07FC9" w:rsidR="00D33857" w:rsidRDefault="00D33857" w:rsidP="00D33857">
      <w:pPr>
        <w:ind w:firstLine="0"/>
        <w:rPr>
          <w:szCs w:val="24"/>
        </w:rPr>
      </w:pPr>
      <w:r>
        <w:rPr>
          <w:szCs w:val="24"/>
        </w:rPr>
        <w:t xml:space="preserve">GOULART, M.; FERREIRA, L.F.; ARAUJO, A. R. M. de; FERREIRA, D. D. M. (2019). Distribuição de riqueza aos agentes econômicos da DVA: Um olhar sobre o ranking das “Melhores empresas para se trabalhar em 2016, 2015 e 2014. Revista Capital </w:t>
      </w:r>
      <w:r w:rsidR="00E7557D">
        <w:rPr>
          <w:szCs w:val="24"/>
        </w:rPr>
        <w:t>Científico</w:t>
      </w:r>
      <w:r>
        <w:rPr>
          <w:szCs w:val="24"/>
        </w:rPr>
        <w:t>, v.17, n.1, p.42-58.</w:t>
      </w:r>
    </w:p>
    <w:p w14:paraId="510F3B6B" w14:textId="77777777" w:rsidR="00D33857" w:rsidRDefault="00D33857" w:rsidP="00D33857">
      <w:pPr>
        <w:rPr>
          <w:szCs w:val="24"/>
        </w:rPr>
      </w:pPr>
    </w:p>
    <w:p w14:paraId="5067469F" w14:textId="08801B02" w:rsidR="00D33857" w:rsidRPr="00C53222" w:rsidRDefault="00D33857" w:rsidP="00D33857">
      <w:pPr>
        <w:ind w:firstLine="0"/>
        <w:rPr>
          <w:szCs w:val="24"/>
        </w:rPr>
      </w:pPr>
      <w:r>
        <w:rPr>
          <w:szCs w:val="24"/>
        </w:rPr>
        <w:t>GUESSER, A. P. G.; FEDRIGO, J.; EINSWEILLER, A. C.(2018). Demonstração do valor adicionado: a evolução e distribuição da riqueza das empresas catarinenses listadas na BMF&amp;BOVESPA. Revista Ambiente Contábil, Natal, vol.10, n.1, p.200- 222.</w:t>
      </w:r>
    </w:p>
    <w:p w14:paraId="250D17EE" w14:textId="77777777" w:rsidR="00D33857" w:rsidRDefault="00D33857" w:rsidP="00D33857">
      <w:pPr>
        <w:rPr>
          <w:szCs w:val="24"/>
        </w:rPr>
      </w:pPr>
    </w:p>
    <w:p w14:paraId="025BDAF5" w14:textId="77777777" w:rsidR="00D33857" w:rsidRDefault="00D33857" w:rsidP="00D33857">
      <w:pPr>
        <w:ind w:firstLine="0"/>
        <w:rPr>
          <w:szCs w:val="24"/>
        </w:rPr>
      </w:pPr>
      <w:r>
        <w:rPr>
          <w:szCs w:val="24"/>
        </w:rPr>
        <w:t>KEYNES, J. M. (1988). A teoria geral do emprego, do juro e da moeda. Tradução de Mário R. da Cruz. São Paulo: Nova Cultural.</w:t>
      </w:r>
    </w:p>
    <w:p w14:paraId="18EBA626" w14:textId="77777777" w:rsidR="00D33857" w:rsidRDefault="00D33857" w:rsidP="00D33857">
      <w:pPr>
        <w:rPr>
          <w:szCs w:val="24"/>
        </w:rPr>
      </w:pPr>
    </w:p>
    <w:p w14:paraId="2351BBAD" w14:textId="77777777" w:rsidR="00D33857" w:rsidRDefault="00D33857" w:rsidP="00D33857">
      <w:pPr>
        <w:ind w:firstLine="0"/>
        <w:rPr>
          <w:szCs w:val="24"/>
        </w:rPr>
      </w:pPr>
      <w:r>
        <w:rPr>
          <w:szCs w:val="24"/>
        </w:rPr>
        <w:t>MITCHELL, W. C.(1988). Os ciclos econômicos e suas causas</w:t>
      </w:r>
      <w:r w:rsidR="00D910F3">
        <w:rPr>
          <w:szCs w:val="24"/>
        </w:rPr>
        <w:t xml:space="preserve"> (3a ed.). Tradução de Ida </w:t>
      </w:r>
      <w:proofErr w:type="spellStart"/>
      <w:r w:rsidR="00D910F3">
        <w:rPr>
          <w:szCs w:val="24"/>
        </w:rPr>
        <w:t>Rosental</w:t>
      </w:r>
      <w:proofErr w:type="spellEnd"/>
      <w:r w:rsidR="00D910F3">
        <w:rPr>
          <w:szCs w:val="24"/>
        </w:rPr>
        <w:t xml:space="preserve">. </w:t>
      </w:r>
      <w:r>
        <w:rPr>
          <w:szCs w:val="24"/>
        </w:rPr>
        <w:t>São Paulo: Nova Cultural.</w:t>
      </w:r>
    </w:p>
    <w:p w14:paraId="1199AB5A" w14:textId="77777777" w:rsidR="00D33857" w:rsidRPr="00C53222" w:rsidRDefault="00D33857" w:rsidP="00D33857">
      <w:pPr>
        <w:rPr>
          <w:szCs w:val="24"/>
        </w:rPr>
      </w:pPr>
    </w:p>
    <w:p w14:paraId="4F4F4475" w14:textId="59400802" w:rsidR="00D33857" w:rsidRDefault="00D33857" w:rsidP="00D33857">
      <w:pPr>
        <w:ind w:firstLine="0"/>
        <w:rPr>
          <w:szCs w:val="24"/>
        </w:rPr>
      </w:pPr>
      <w:r>
        <w:rPr>
          <w:szCs w:val="24"/>
        </w:rPr>
        <w:t>OREIRO, J. L(2017)</w:t>
      </w:r>
      <w:r w:rsidRPr="00C53222">
        <w:rPr>
          <w:szCs w:val="24"/>
        </w:rPr>
        <w:t>. A grande recessão brasileira: diagnóstico e uma agenda de política econômica. Instituto de Estudos Avançados da Universidade de São Paulo, vol.31,</w:t>
      </w:r>
      <w:r>
        <w:rPr>
          <w:szCs w:val="24"/>
        </w:rPr>
        <w:t xml:space="preserve"> no.89, p. 75-88</w:t>
      </w:r>
      <w:r w:rsidRPr="00C53222">
        <w:rPr>
          <w:szCs w:val="24"/>
        </w:rPr>
        <w:t xml:space="preserve">. </w:t>
      </w:r>
    </w:p>
    <w:p w14:paraId="2F020F27" w14:textId="77777777" w:rsidR="00D33857" w:rsidRPr="00C53222" w:rsidRDefault="00D33857" w:rsidP="00D33857">
      <w:pPr>
        <w:rPr>
          <w:szCs w:val="24"/>
        </w:rPr>
      </w:pPr>
    </w:p>
    <w:p w14:paraId="7D0C0C0D" w14:textId="6523175C" w:rsidR="00D33857" w:rsidRDefault="00D33857" w:rsidP="00D33857">
      <w:pPr>
        <w:ind w:firstLine="0"/>
        <w:rPr>
          <w:szCs w:val="24"/>
        </w:rPr>
      </w:pPr>
      <w:r>
        <w:rPr>
          <w:szCs w:val="24"/>
        </w:rPr>
        <w:t>PANDINI, J.; STÜPP, D. R.; FABRE, V. V.</w:t>
      </w:r>
      <w:r w:rsidRPr="00C53222">
        <w:rPr>
          <w:szCs w:val="24"/>
        </w:rPr>
        <w:t xml:space="preserve"> </w:t>
      </w:r>
      <w:r>
        <w:rPr>
          <w:szCs w:val="24"/>
        </w:rPr>
        <w:t xml:space="preserve">(2018). </w:t>
      </w:r>
      <w:r w:rsidRPr="00C53222">
        <w:rPr>
          <w:szCs w:val="24"/>
        </w:rPr>
        <w:t>Análise do impacto das variáveis macroeconômicas no desempenho econômico-financeiro das empresas dos setores de consumo cíclico e não cíclico da BMF&amp;BOVESPA. Revista Catarinense da Ciência Contábil, Florianópolis, v.</w:t>
      </w:r>
      <w:r>
        <w:rPr>
          <w:szCs w:val="24"/>
        </w:rPr>
        <w:t>17, no.51, p.7-22</w:t>
      </w:r>
      <w:r w:rsidRPr="00C53222">
        <w:rPr>
          <w:szCs w:val="24"/>
        </w:rPr>
        <w:t xml:space="preserve">. </w:t>
      </w:r>
    </w:p>
    <w:p w14:paraId="52375A77" w14:textId="77777777" w:rsidR="00D33857" w:rsidRDefault="00D33857" w:rsidP="00D33857">
      <w:pPr>
        <w:rPr>
          <w:szCs w:val="24"/>
        </w:rPr>
      </w:pPr>
    </w:p>
    <w:p w14:paraId="309657EE" w14:textId="0E44205B" w:rsidR="00D33857" w:rsidRDefault="00D33857" w:rsidP="00D33857">
      <w:pPr>
        <w:ind w:firstLine="0"/>
        <w:rPr>
          <w:szCs w:val="24"/>
        </w:rPr>
      </w:pPr>
      <w:r>
        <w:rPr>
          <w:szCs w:val="24"/>
        </w:rPr>
        <w:t>PAULA, L.F.; PIRES, M</w:t>
      </w:r>
      <w:r w:rsidRPr="00C53222">
        <w:rPr>
          <w:szCs w:val="24"/>
        </w:rPr>
        <w:t>.</w:t>
      </w:r>
      <w:r>
        <w:rPr>
          <w:szCs w:val="24"/>
        </w:rPr>
        <w:t>(2017).</w:t>
      </w:r>
      <w:r w:rsidRPr="00C53222">
        <w:rPr>
          <w:szCs w:val="24"/>
        </w:rPr>
        <w:t xml:space="preserve"> Crise e perspectivas para economia brasileira. Instituto de Estudos Avançados da Universidade de São Paulo, vol.31, n</w:t>
      </w:r>
      <w:r>
        <w:rPr>
          <w:szCs w:val="24"/>
        </w:rPr>
        <w:t>o.89, p. 125-144</w:t>
      </w:r>
      <w:r w:rsidRPr="00C53222">
        <w:rPr>
          <w:szCs w:val="24"/>
        </w:rPr>
        <w:t xml:space="preserve">. </w:t>
      </w:r>
    </w:p>
    <w:p w14:paraId="12B810FE" w14:textId="77777777" w:rsidR="00D33857" w:rsidRDefault="00D33857" w:rsidP="00D33857">
      <w:pPr>
        <w:rPr>
          <w:szCs w:val="24"/>
        </w:rPr>
      </w:pPr>
    </w:p>
    <w:p w14:paraId="3A709759" w14:textId="77777777" w:rsidR="00D33857" w:rsidRDefault="00D33857" w:rsidP="00D33857">
      <w:pPr>
        <w:ind w:firstLine="0"/>
        <w:rPr>
          <w:szCs w:val="24"/>
        </w:rPr>
      </w:pPr>
      <w:r>
        <w:rPr>
          <w:szCs w:val="24"/>
        </w:rPr>
        <w:t>SANTOS, A. dos (2007).  Demonstração do valor adicionado:</w:t>
      </w:r>
      <w:r w:rsidR="00D910F3">
        <w:rPr>
          <w:szCs w:val="24"/>
        </w:rPr>
        <w:t xml:space="preserve"> como elaborar e analisar a DVA (2a ed.)</w:t>
      </w:r>
      <w:r>
        <w:rPr>
          <w:szCs w:val="24"/>
        </w:rPr>
        <w:t>. São Paulo: Atlas, 2007.</w:t>
      </w:r>
    </w:p>
    <w:p w14:paraId="0C6AF838" w14:textId="77777777" w:rsidR="00D33857" w:rsidRDefault="00D33857" w:rsidP="00D33857">
      <w:pPr>
        <w:rPr>
          <w:szCs w:val="24"/>
        </w:rPr>
      </w:pPr>
    </w:p>
    <w:p w14:paraId="7EC1295F" w14:textId="669A072B" w:rsidR="00D33857" w:rsidRDefault="00D33857" w:rsidP="00D33857">
      <w:pPr>
        <w:ind w:firstLine="0"/>
        <w:rPr>
          <w:szCs w:val="24"/>
        </w:rPr>
      </w:pPr>
      <w:r>
        <w:rPr>
          <w:szCs w:val="24"/>
        </w:rPr>
        <w:t>SANTOS, A. dos; CUNHA, J. V. A. da; DE LUCA, M. M. M.; RIBEIRO, M. de S.(2013). A economia das empresas nos governos FHC e Lula: uma análise a partir da demonstração do valor adicionado. Revista de Contabilidade e Controladoria, Curitiba, v.5, no 1, p. 47-64.</w:t>
      </w:r>
    </w:p>
    <w:p w14:paraId="535D2815" w14:textId="77777777" w:rsidR="00D33857" w:rsidRDefault="00D33857" w:rsidP="00D33857">
      <w:pPr>
        <w:rPr>
          <w:szCs w:val="24"/>
        </w:rPr>
      </w:pPr>
    </w:p>
    <w:p w14:paraId="37D79029" w14:textId="3EDACF0D" w:rsidR="00D33857" w:rsidRDefault="00D33857" w:rsidP="00D33857">
      <w:pPr>
        <w:ind w:firstLine="0"/>
        <w:rPr>
          <w:szCs w:val="24"/>
        </w:rPr>
      </w:pPr>
      <w:r>
        <w:rPr>
          <w:szCs w:val="24"/>
        </w:rPr>
        <w:t>SCHUMPETER, J. A. (1985). Teoria do desenvolvimento econômico: uma investigação sobre lucros, capital, crédito, juro e o ciclo econômico</w:t>
      </w:r>
      <w:r w:rsidR="00D910F3">
        <w:rPr>
          <w:szCs w:val="24"/>
        </w:rPr>
        <w:t xml:space="preserve"> (2a ed.)</w:t>
      </w:r>
      <w:r>
        <w:rPr>
          <w:szCs w:val="24"/>
        </w:rPr>
        <w:t>. T</w:t>
      </w:r>
      <w:r w:rsidR="00D910F3">
        <w:rPr>
          <w:szCs w:val="24"/>
        </w:rPr>
        <w:t>radução de Maria Sílvia Possas.</w:t>
      </w:r>
      <w:r w:rsidR="00D57C26">
        <w:rPr>
          <w:szCs w:val="24"/>
        </w:rPr>
        <w:t xml:space="preserve"> </w:t>
      </w:r>
      <w:r>
        <w:rPr>
          <w:szCs w:val="24"/>
        </w:rPr>
        <w:t>São Paulo: Nova Cultural.</w:t>
      </w:r>
    </w:p>
    <w:p w14:paraId="63C24943" w14:textId="77777777" w:rsidR="00D33857" w:rsidRDefault="00D33857" w:rsidP="00D33857">
      <w:pPr>
        <w:rPr>
          <w:szCs w:val="24"/>
        </w:rPr>
      </w:pPr>
    </w:p>
    <w:p w14:paraId="2F817D69" w14:textId="3E11DABB" w:rsidR="00D33857" w:rsidRDefault="00D33857" w:rsidP="00D33857">
      <w:pPr>
        <w:ind w:firstLine="0"/>
        <w:rPr>
          <w:szCs w:val="24"/>
        </w:rPr>
      </w:pPr>
      <w:r>
        <w:rPr>
          <w:szCs w:val="24"/>
        </w:rPr>
        <w:t>TINOCO, J. E. P.; MORAES, P. B.</w:t>
      </w:r>
      <w:r w:rsidR="00D57C26">
        <w:rPr>
          <w:szCs w:val="24"/>
        </w:rPr>
        <w:t xml:space="preserve"> </w:t>
      </w:r>
      <w:r>
        <w:rPr>
          <w:szCs w:val="24"/>
        </w:rPr>
        <w:t xml:space="preserve">(2008). Uso da Demonstração do Valor Adicionado – DVA, como ferramenta de medição da carga tributária no Brasil. Revista Eletrônica de Gestão e Negócios, v.4, no 1, p. 1-32. </w:t>
      </w:r>
    </w:p>
    <w:p w14:paraId="15B4F878" w14:textId="77777777" w:rsidR="00D33857" w:rsidRDefault="00D33857" w:rsidP="00D33857">
      <w:pPr>
        <w:rPr>
          <w:szCs w:val="24"/>
        </w:rPr>
      </w:pPr>
    </w:p>
    <w:p w14:paraId="5AACC678" w14:textId="1AE2A14B" w:rsidR="00D33857" w:rsidRPr="00C53222" w:rsidRDefault="00D33857" w:rsidP="00D33857">
      <w:pPr>
        <w:ind w:firstLine="0"/>
        <w:rPr>
          <w:szCs w:val="24"/>
        </w:rPr>
      </w:pPr>
      <w:r w:rsidRPr="00E7557D">
        <w:rPr>
          <w:szCs w:val="24"/>
          <w:lang w:val="en-US"/>
        </w:rPr>
        <w:t>WINK, E.; SEVERO, P. S.; DORNELLES, M. T.</w:t>
      </w:r>
      <w:r w:rsidR="00D57C26" w:rsidRPr="00E7557D">
        <w:rPr>
          <w:szCs w:val="24"/>
          <w:lang w:val="en-US"/>
        </w:rPr>
        <w:t xml:space="preserve"> </w:t>
      </w:r>
      <w:r w:rsidRPr="00E7557D">
        <w:rPr>
          <w:szCs w:val="24"/>
          <w:lang w:val="en-US"/>
        </w:rPr>
        <w:t xml:space="preserve">(2015). </w:t>
      </w:r>
      <w:r>
        <w:rPr>
          <w:szCs w:val="24"/>
        </w:rPr>
        <w:t xml:space="preserve">Demonstração do valor adicionado (DVA): distribuição de riqueza ao pessoal e aos capitais de entidades dos setores da </w:t>
      </w:r>
      <w:r w:rsidR="00F66016">
        <w:rPr>
          <w:szCs w:val="24"/>
        </w:rPr>
        <w:t>auto indústria</w:t>
      </w:r>
      <w:r>
        <w:rPr>
          <w:szCs w:val="24"/>
        </w:rPr>
        <w:t xml:space="preserve"> e de bens de capital. Revista metropolitana de sustentabilidade, São Paulo, v. 5, n.3, p.</w:t>
      </w:r>
      <w:r w:rsidR="00D57C26">
        <w:rPr>
          <w:szCs w:val="24"/>
        </w:rPr>
        <w:t xml:space="preserve"> </w:t>
      </w:r>
      <w:r>
        <w:rPr>
          <w:szCs w:val="24"/>
        </w:rPr>
        <w:t>61-80.</w:t>
      </w:r>
    </w:p>
    <w:p w14:paraId="3146D03F" w14:textId="77777777" w:rsidR="00601967" w:rsidRPr="00095FFD" w:rsidRDefault="00601967">
      <w:pPr>
        <w:widowControl/>
        <w:suppressLineNumbers w:val="0"/>
        <w:suppressAutoHyphens w:val="0"/>
        <w:ind w:firstLine="0"/>
        <w:jc w:val="left"/>
        <w:rPr>
          <w:szCs w:val="24"/>
        </w:rPr>
      </w:pPr>
    </w:p>
    <w:sectPr w:rsidR="00601967" w:rsidRPr="00095FFD" w:rsidSect="00C271A6">
      <w:headerReference w:type="default" r:id="rId17"/>
      <w:footerReference w:type="default" r:id="rId18"/>
      <w:pgSz w:w="12240" w:h="15840" w:code="119"/>
      <w:pgMar w:top="1701" w:right="1134" w:bottom="1701" w:left="1701" w:header="14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5A6D4" w14:textId="77777777" w:rsidR="002644C3" w:rsidRDefault="002644C3" w:rsidP="005840EF">
      <w:r>
        <w:separator/>
      </w:r>
    </w:p>
  </w:endnote>
  <w:endnote w:type="continuationSeparator" w:id="0">
    <w:p w14:paraId="08C6EE3C" w14:textId="77777777" w:rsidR="002644C3" w:rsidRDefault="002644C3"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097D1" w14:textId="77777777" w:rsidR="00A11345" w:rsidRPr="00F05FBB" w:rsidRDefault="00A11345"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041CC7">
      <w:rPr>
        <w:noProof/>
        <w:sz w:val="20"/>
      </w:rPr>
      <w:t>15</w:t>
    </w:r>
    <w:r w:rsidRPr="00F05FBB">
      <w:rPr>
        <w:sz w:val="20"/>
      </w:rPr>
      <w:fldChar w:fldCharType="end"/>
    </w:r>
  </w:p>
  <w:p w14:paraId="572CE785" w14:textId="77777777" w:rsidR="00A11345" w:rsidRPr="00862FD2" w:rsidRDefault="00A11345" w:rsidP="004E0B39">
    <w:pPr>
      <w:pStyle w:val="Rodap"/>
      <w:ind w:firstLine="0"/>
      <w:jc w:val="center"/>
    </w:pPr>
    <w:r>
      <w:rPr>
        <w:noProof/>
        <w:lang w:val="pt-BR" w:eastAsia="pt-BR"/>
      </w:rPr>
      <w:drawing>
        <wp:inline distT="0" distB="0" distL="0" distR="0" wp14:anchorId="11A82C7A" wp14:editId="7BBEF0F9">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A41C2" w14:textId="77777777" w:rsidR="002644C3" w:rsidRDefault="002644C3" w:rsidP="005840EF">
      <w:r>
        <w:separator/>
      </w:r>
    </w:p>
  </w:footnote>
  <w:footnote w:type="continuationSeparator" w:id="0">
    <w:p w14:paraId="0D54C158" w14:textId="77777777" w:rsidR="002644C3" w:rsidRDefault="002644C3"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6D2E1" w14:textId="77777777" w:rsidR="00A11345" w:rsidRPr="004E0B39" w:rsidRDefault="00A11345" w:rsidP="004E0B39">
    <w:pPr>
      <w:pStyle w:val="Cabealho"/>
      <w:ind w:firstLine="0"/>
      <w:jc w:val="center"/>
    </w:pPr>
    <w:r>
      <w:rPr>
        <w:noProof/>
      </w:rPr>
      <w:drawing>
        <wp:inline distT="0" distB="0" distL="0" distR="0" wp14:anchorId="1B94D8E1" wp14:editId="3850DFD8">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6"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4"/>
  </w:num>
  <w:num w:numId="6">
    <w:abstractNumId w:val="1"/>
  </w:num>
  <w:num w:numId="7">
    <w:abstractNumId w:val="0"/>
  </w:num>
  <w:num w:numId="8">
    <w:abstractNumId w:val="2"/>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40F"/>
    <w:rsid w:val="000011A2"/>
    <w:rsid w:val="000103E0"/>
    <w:rsid w:val="00021054"/>
    <w:rsid w:val="00022C2D"/>
    <w:rsid w:val="00041CC7"/>
    <w:rsid w:val="0006261D"/>
    <w:rsid w:val="00067145"/>
    <w:rsid w:val="000720BF"/>
    <w:rsid w:val="000872F4"/>
    <w:rsid w:val="00095FFD"/>
    <w:rsid w:val="000A591B"/>
    <w:rsid w:val="000D7722"/>
    <w:rsid w:val="000F0530"/>
    <w:rsid w:val="001031D8"/>
    <w:rsid w:val="001457BE"/>
    <w:rsid w:val="00160E08"/>
    <w:rsid w:val="001965FD"/>
    <w:rsid w:val="001B65E0"/>
    <w:rsid w:val="001E2E6C"/>
    <w:rsid w:val="001F5471"/>
    <w:rsid w:val="0020354A"/>
    <w:rsid w:val="002056D7"/>
    <w:rsid w:val="002136AE"/>
    <w:rsid w:val="00244401"/>
    <w:rsid w:val="00244C0A"/>
    <w:rsid w:val="0025651C"/>
    <w:rsid w:val="002566DC"/>
    <w:rsid w:val="00263CEF"/>
    <w:rsid w:val="00264470"/>
    <w:rsid w:val="002644C3"/>
    <w:rsid w:val="00270B60"/>
    <w:rsid w:val="0027498E"/>
    <w:rsid w:val="002826C0"/>
    <w:rsid w:val="002B78FC"/>
    <w:rsid w:val="002C7235"/>
    <w:rsid w:val="002D0BC1"/>
    <w:rsid w:val="00303C6F"/>
    <w:rsid w:val="00371DFF"/>
    <w:rsid w:val="003923C3"/>
    <w:rsid w:val="00395244"/>
    <w:rsid w:val="003A3639"/>
    <w:rsid w:val="00406C08"/>
    <w:rsid w:val="00414084"/>
    <w:rsid w:val="00423365"/>
    <w:rsid w:val="004251EF"/>
    <w:rsid w:val="004320BD"/>
    <w:rsid w:val="00447033"/>
    <w:rsid w:val="00472EE1"/>
    <w:rsid w:val="0048579A"/>
    <w:rsid w:val="0049262F"/>
    <w:rsid w:val="004A0E4E"/>
    <w:rsid w:val="004B5424"/>
    <w:rsid w:val="004C0059"/>
    <w:rsid w:val="004E0B39"/>
    <w:rsid w:val="00523BAB"/>
    <w:rsid w:val="00531A76"/>
    <w:rsid w:val="00543052"/>
    <w:rsid w:val="0055088A"/>
    <w:rsid w:val="005840EF"/>
    <w:rsid w:val="00593982"/>
    <w:rsid w:val="005D0785"/>
    <w:rsid w:val="005D711E"/>
    <w:rsid w:val="00601967"/>
    <w:rsid w:val="00606F36"/>
    <w:rsid w:val="0063432D"/>
    <w:rsid w:val="0064067D"/>
    <w:rsid w:val="006750E6"/>
    <w:rsid w:val="00683BE5"/>
    <w:rsid w:val="00697242"/>
    <w:rsid w:val="006C0A1E"/>
    <w:rsid w:val="006C284A"/>
    <w:rsid w:val="006D02CA"/>
    <w:rsid w:val="006D340F"/>
    <w:rsid w:val="00710D8D"/>
    <w:rsid w:val="00714245"/>
    <w:rsid w:val="00725112"/>
    <w:rsid w:val="0075206B"/>
    <w:rsid w:val="00752635"/>
    <w:rsid w:val="007610C6"/>
    <w:rsid w:val="00791C7D"/>
    <w:rsid w:val="007C0C2C"/>
    <w:rsid w:val="007C1DAA"/>
    <w:rsid w:val="007F1447"/>
    <w:rsid w:val="00804BEE"/>
    <w:rsid w:val="00813236"/>
    <w:rsid w:val="00830092"/>
    <w:rsid w:val="00837751"/>
    <w:rsid w:val="00862FD2"/>
    <w:rsid w:val="00865A23"/>
    <w:rsid w:val="00866591"/>
    <w:rsid w:val="00867F30"/>
    <w:rsid w:val="008902BE"/>
    <w:rsid w:val="00896FDA"/>
    <w:rsid w:val="008970AA"/>
    <w:rsid w:val="008A1488"/>
    <w:rsid w:val="008B0389"/>
    <w:rsid w:val="008B21BE"/>
    <w:rsid w:val="008E4DFF"/>
    <w:rsid w:val="008F1B7C"/>
    <w:rsid w:val="008F67F7"/>
    <w:rsid w:val="00903B8A"/>
    <w:rsid w:val="0091113B"/>
    <w:rsid w:val="0092413C"/>
    <w:rsid w:val="00943459"/>
    <w:rsid w:val="00945DBE"/>
    <w:rsid w:val="00952306"/>
    <w:rsid w:val="00967C3F"/>
    <w:rsid w:val="009724D8"/>
    <w:rsid w:val="009976D2"/>
    <w:rsid w:val="009B11E7"/>
    <w:rsid w:val="009B3488"/>
    <w:rsid w:val="009C7DFA"/>
    <w:rsid w:val="009D68AF"/>
    <w:rsid w:val="009E7716"/>
    <w:rsid w:val="00A01395"/>
    <w:rsid w:val="00A0508C"/>
    <w:rsid w:val="00A11345"/>
    <w:rsid w:val="00A16D53"/>
    <w:rsid w:val="00A7660B"/>
    <w:rsid w:val="00A80641"/>
    <w:rsid w:val="00A9309E"/>
    <w:rsid w:val="00AB5527"/>
    <w:rsid w:val="00AC5230"/>
    <w:rsid w:val="00AC61AF"/>
    <w:rsid w:val="00AC7E25"/>
    <w:rsid w:val="00AE610B"/>
    <w:rsid w:val="00AF404F"/>
    <w:rsid w:val="00AF682D"/>
    <w:rsid w:val="00B12485"/>
    <w:rsid w:val="00B169EE"/>
    <w:rsid w:val="00B25FFE"/>
    <w:rsid w:val="00B51251"/>
    <w:rsid w:val="00B54DA5"/>
    <w:rsid w:val="00B560C9"/>
    <w:rsid w:val="00B7130A"/>
    <w:rsid w:val="00B75453"/>
    <w:rsid w:val="00B801AB"/>
    <w:rsid w:val="00BC4277"/>
    <w:rsid w:val="00BF400C"/>
    <w:rsid w:val="00C01F1F"/>
    <w:rsid w:val="00C039A0"/>
    <w:rsid w:val="00C12BA6"/>
    <w:rsid w:val="00C143F6"/>
    <w:rsid w:val="00C153BD"/>
    <w:rsid w:val="00C22A7A"/>
    <w:rsid w:val="00C271A6"/>
    <w:rsid w:val="00C65A9B"/>
    <w:rsid w:val="00C667C6"/>
    <w:rsid w:val="00C671EC"/>
    <w:rsid w:val="00C84F71"/>
    <w:rsid w:val="00CB446A"/>
    <w:rsid w:val="00CB46D4"/>
    <w:rsid w:val="00CC02A1"/>
    <w:rsid w:val="00CC5619"/>
    <w:rsid w:val="00CF0D35"/>
    <w:rsid w:val="00D2172D"/>
    <w:rsid w:val="00D2342D"/>
    <w:rsid w:val="00D33857"/>
    <w:rsid w:val="00D463E0"/>
    <w:rsid w:val="00D51BAF"/>
    <w:rsid w:val="00D5692D"/>
    <w:rsid w:val="00D57C26"/>
    <w:rsid w:val="00D63B99"/>
    <w:rsid w:val="00D86B5F"/>
    <w:rsid w:val="00D910F3"/>
    <w:rsid w:val="00D94E67"/>
    <w:rsid w:val="00DA5E5B"/>
    <w:rsid w:val="00DE1E14"/>
    <w:rsid w:val="00DE631D"/>
    <w:rsid w:val="00DE75F7"/>
    <w:rsid w:val="00E104B6"/>
    <w:rsid w:val="00E1786F"/>
    <w:rsid w:val="00E24E18"/>
    <w:rsid w:val="00E400C5"/>
    <w:rsid w:val="00E40AB9"/>
    <w:rsid w:val="00E7557D"/>
    <w:rsid w:val="00E90C83"/>
    <w:rsid w:val="00E93065"/>
    <w:rsid w:val="00E94A5E"/>
    <w:rsid w:val="00EC6EDB"/>
    <w:rsid w:val="00ED6578"/>
    <w:rsid w:val="00EF213A"/>
    <w:rsid w:val="00F05FBB"/>
    <w:rsid w:val="00F63440"/>
    <w:rsid w:val="00F66016"/>
    <w:rsid w:val="00F70D09"/>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6DA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8940">
      <w:bodyDiv w:val="1"/>
      <w:marLeft w:val="0"/>
      <w:marRight w:val="0"/>
      <w:marTop w:val="0"/>
      <w:marBottom w:val="0"/>
      <w:divBdr>
        <w:top w:val="none" w:sz="0" w:space="0" w:color="auto"/>
        <w:left w:val="none" w:sz="0" w:space="0" w:color="auto"/>
        <w:bottom w:val="none" w:sz="0" w:space="0" w:color="auto"/>
        <w:right w:val="none" w:sz="0" w:space="0" w:color="auto"/>
      </w:divBdr>
    </w:div>
    <w:div w:id="69621606">
      <w:bodyDiv w:val="1"/>
      <w:marLeft w:val="0"/>
      <w:marRight w:val="0"/>
      <w:marTop w:val="0"/>
      <w:marBottom w:val="0"/>
      <w:divBdr>
        <w:top w:val="none" w:sz="0" w:space="0" w:color="auto"/>
        <w:left w:val="none" w:sz="0" w:space="0" w:color="auto"/>
        <w:bottom w:val="none" w:sz="0" w:space="0" w:color="auto"/>
        <w:right w:val="none" w:sz="0" w:space="0" w:color="auto"/>
      </w:divBdr>
    </w:div>
    <w:div w:id="70934590">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929461978">
      <w:bodyDiv w:val="1"/>
      <w:marLeft w:val="0"/>
      <w:marRight w:val="0"/>
      <w:marTop w:val="0"/>
      <w:marBottom w:val="0"/>
      <w:divBdr>
        <w:top w:val="none" w:sz="0" w:space="0" w:color="auto"/>
        <w:left w:val="none" w:sz="0" w:space="0" w:color="auto"/>
        <w:bottom w:val="none" w:sz="0" w:space="0" w:color="auto"/>
        <w:right w:val="none" w:sz="0" w:space="0" w:color="auto"/>
      </w:divBdr>
    </w:div>
    <w:div w:id="1155491760">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067684">
      <w:bodyDiv w:val="1"/>
      <w:marLeft w:val="0"/>
      <w:marRight w:val="0"/>
      <w:marTop w:val="0"/>
      <w:marBottom w:val="0"/>
      <w:divBdr>
        <w:top w:val="none" w:sz="0" w:space="0" w:color="auto"/>
        <w:left w:val="none" w:sz="0" w:space="0" w:color="auto"/>
        <w:bottom w:val="none" w:sz="0" w:space="0" w:color="auto"/>
        <w:right w:val="none" w:sz="0" w:space="0" w:color="auto"/>
      </w:divBdr>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 w:id="202731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nize.minatti@ufsc.br" TargetMode="External"/><Relationship Id="rId13" Type="http://schemas.openxmlformats.org/officeDocument/2006/relationships/hyperlink" Target="https://www3.bcb.gov.br/CALCIDADAO/publico/exibirFormCorrecaoValores.do?method=exibirFormCorrecaoValor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portalibre.fgv.br/main.jsp?lumChannelId=4028808126B9BC4C0126BEA1755C6C9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portalibre.fgv.br/main.jsp?lumChannelId=4028808126B9BC4C0126BEA1755C6C93" TargetMode="Externa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b3.com.br/pt_br/produtos-e-servicos/negociacao/renda-variavel/empresas-listadas.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0956353965688"/>
          <c:y val="0.10542635658914729"/>
          <c:w val="0.86190436460343123"/>
          <c:h val="0.74874394189098459"/>
        </c:manualLayout>
      </c:layout>
      <c:lineChart>
        <c:grouping val="standard"/>
        <c:varyColors val="0"/>
        <c:ser>
          <c:idx val="0"/>
          <c:order val="0"/>
          <c:tx>
            <c:strRef>
              <c:f>Plan1!$B$1</c:f>
              <c:strCache>
                <c:ptCount val="1"/>
                <c:pt idx="0">
                  <c:v>Colunas1</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Plan1!$A$2:$A$9</c:f>
              <c:numCache>
                <c:formatCode>General</c:formatCode>
                <c:ptCount val="8"/>
                <c:pt idx="0">
                  <c:v>2009</c:v>
                </c:pt>
                <c:pt idx="1">
                  <c:v>2010</c:v>
                </c:pt>
                <c:pt idx="2">
                  <c:v>2011</c:v>
                </c:pt>
                <c:pt idx="3">
                  <c:v>2012</c:v>
                </c:pt>
                <c:pt idx="4">
                  <c:v>2013</c:v>
                </c:pt>
                <c:pt idx="5">
                  <c:v>2014</c:v>
                </c:pt>
                <c:pt idx="6">
                  <c:v>2015</c:v>
                </c:pt>
                <c:pt idx="7">
                  <c:v>2016</c:v>
                </c:pt>
              </c:numCache>
            </c:numRef>
          </c:cat>
          <c:val>
            <c:numRef>
              <c:f>Plan1!$B$2:$B$9</c:f>
              <c:numCache>
                <c:formatCode>_("R$"* #,##0.00_);_("R$"* \(#,##0.00\);_("R$"* "-"??_);_(@_)</c:formatCode>
                <c:ptCount val="8"/>
                <c:pt idx="0">
                  <c:v>277369937560.40997</c:v>
                </c:pt>
                <c:pt idx="1">
                  <c:v>264145834012.67001</c:v>
                </c:pt>
                <c:pt idx="2">
                  <c:v>307474199606.12</c:v>
                </c:pt>
                <c:pt idx="3">
                  <c:v>326706568165.78998</c:v>
                </c:pt>
                <c:pt idx="4">
                  <c:v>398929906694.66998</c:v>
                </c:pt>
                <c:pt idx="5">
                  <c:v>380087148780.95001</c:v>
                </c:pt>
                <c:pt idx="6">
                  <c:v>323246863431.21002</c:v>
                </c:pt>
                <c:pt idx="7">
                  <c:v>342730928000</c:v>
                </c:pt>
              </c:numCache>
            </c:numRef>
          </c:val>
          <c:smooth val="0"/>
          <c:extLst>
            <c:ext xmlns:c16="http://schemas.microsoft.com/office/drawing/2014/chart" uri="{C3380CC4-5D6E-409C-BE32-E72D297353CC}">
              <c16:uniqueId val="{00000000-B1CD-44C4-98BE-1DAB76F8A8A8}"/>
            </c:ext>
          </c:extLst>
        </c:ser>
        <c:dLbls>
          <c:showLegendKey val="0"/>
          <c:showVal val="0"/>
          <c:showCatName val="0"/>
          <c:showSerName val="0"/>
          <c:showPercent val="0"/>
          <c:showBubbleSize val="0"/>
        </c:dLbls>
        <c:marker val="1"/>
        <c:smooth val="0"/>
        <c:axId val="396203232"/>
        <c:axId val="396205976"/>
      </c:lineChart>
      <c:catAx>
        <c:axId val="396203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96205976"/>
        <c:crosses val="autoZero"/>
        <c:auto val="1"/>
        <c:lblAlgn val="ctr"/>
        <c:lblOffset val="100"/>
        <c:noMultiLvlLbl val="0"/>
      </c:catAx>
      <c:valAx>
        <c:axId val="396205976"/>
        <c:scaling>
          <c:orientation val="minMax"/>
        </c:scaling>
        <c:delete val="0"/>
        <c:axPos val="l"/>
        <c:majorGridlines>
          <c:spPr>
            <a:ln w="9525" cap="flat" cmpd="sng" algn="ctr">
              <a:solidFill>
                <a:schemeClr val="tx1">
                  <a:lumMod val="15000"/>
                  <a:lumOff val="85000"/>
                </a:schemeClr>
              </a:solidFill>
              <a:round/>
            </a:ln>
            <a:effectLst/>
          </c:spPr>
        </c:majorGridlines>
        <c:numFmt formatCode="_(&quot;R$&quot;* #,##0.00_);_(&quot;R$&quot;* \(#,##0.00\);_(&quot;R$&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96203232"/>
        <c:crosses val="autoZero"/>
        <c:crossBetween val="between"/>
        <c:dispUnits>
          <c:builtInUnit val="billions"/>
        </c:dispUnits>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Plan1!$D$1</c:f>
              <c:strCache>
                <c:ptCount val="1"/>
                <c:pt idx="0">
                  <c:v>Expansão</c:v>
                </c:pt>
              </c:strCache>
            </c:strRef>
          </c:tx>
          <c:spPr>
            <a:solidFill>
              <a:schemeClr val="dk1">
                <a:tint val="88500"/>
              </a:schemeClr>
            </a:solidFill>
            <a:ln w="19050">
              <a:solidFill>
                <a:schemeClr val="lt1"/>
              </a:solidFill>
            </a:ln>
            <a:effectLst/>
          </c:spPr>
          <c:invertIfNegative val="0"/>
          <c:dPt>
            <c:idx val="0"/>
            <c:invertIfNegative val="0"/>
            <c:bubble3D val="0"/>
            <c:explosion val="2"/>
            <c:extLst>
              <c:ext xmlns:c16="http://schemas.microsoft.com/office/drawing/2014/chart" uri="{C3380CC4-5D6E-409C-BE32-E72D297353CC}">
                <c16:uniqueId val="{00000000-4425-4308-8948-6DD01980068E}"/>
              </c:ext>
            </c:extLst>
          </c:dPt>
          <c:dPt>
            <c:idx val="1"/>
            <c:invertIfNegative val="0"/>
            <c:bubble3D val="0"/>
            <c:explosion val="2"/>
            <c:extLst>
              <c:ext xmlns:c16="http://schemas.microsoft.com/office/drawing/2014/chart" uri="{C3380CC4-5D6E-409C-BE32-E72D297353CC}">
                <c16:uniqueId val="{00000001-4425-4308-8948-6DD01980068E}"/>
              </c:ext>
            </c:extLst>
          </c:dPt>
          <c:dPt>
            <c:idx val="2"/>
            <c:invertIfNegative val="0"/>
            <c:bubble3D val="0"/>
            <c:explosion val="3"/>
            <c:extLst>
              <c:ext xmlns:c16="http://schemas.microsoft.com/office/drawing/2014/chart" uri="{C3380CC4-5D6E-409C-BE32-E72D297353CC}">
                <c16:uniqueId val="{00000002-4425-4308-8948-6DD01980068E}"/>
              </c:ext>
            </c:extLst>
          </c:dPt>
          <c:dPt>
            <c:idx val="3"/>
            <c:invertIfNegative val="0"/>
            <c:bubble3D val="0"/>
            <c:extLst>
              <c:ext xmlns:c16="http://schemas.microsoft.com/office/drawing/2014/chart" uri="{C3380CC4-5D6E-409C-BE32-E72D297353CC}">
                <c16:uniqueId val="{00000003-4425-4308-8948-6DD01980068E}"/>
              </c:ext>
            </c:extLst>
          </c:dPt>
          <c:cat>
            <c:strRef>
              <c:f>Plan1!$A$2:$A$5</c:f>
              <c:strCache>
                <c:ptCount val="4"/>
                <c:pt idx="0">
                  <c:v>Pessoal</c:v>
                </c:pt>
                <c:pt idx="1">
                  <c:v>Impostos, taxas e contribuições</c:v>
                </c:pt>
                <c:pt idx="2">
                  <c:v>Rem. Capital de terceiros</c:v>
                </c:pt>
                <c:pt idx="3">
                  <c:v>Rem. Capital próprio</c:v>
                </c:pt>
              </c:strCache>
            </c:strRef>
          </c:cat>
          <c:val>
            <c:numRef>
              <c:f>Plan1!$D$2:$D$5</c:f>
              <c:numCache>
                <c:formatCode>0%</c:formatCode>
                <c:ptCount val="4"/>
                <c:pt idx="0">
                  <c:v>0.28000000000000003</c:v>
                </c:pt>
                <c:pt idx="1">
                  <c:v>0.4</c:v>
                </c:pt>
                <c:pt idx="2">
                  <c:v>0.12</c:v>
                </c:pt>
                <c:pt idx="3">
                  <c:v>0.2</c:v>
                </c:pt>
              </c:numCache>
            </c:numRef>
          </c:val>
          <c:extLst>
            <c:ext xmlns:c16="http://schemas.microsoft.com/office/drawing/2014/chart" uri="{C3380CC4-5D6E-409C-BE32-E72D297353CC}">
              <c16:uniqueId val="{00000004-4425-4308-8948-6DD01980068E}"/>
            </c:ext>
          </c:extLst>
        </c:ser>
        <c:ser>
          <c:idx val="2"/>
          <c:order val="1"/>
          <c:tx>
            <c:strRef>
              <c:f>Plan1!$B$1</c:f>
              <c:strCache>
                <c:ptCount val="1"/>
                <c:pt idx="0">
                  <c:v>Recessão</c:v>
                </c:pt>
              </c:strCache>
            </c:strRef>
          </c:tx>
          <c:spPr>
            <a:solidFill>
              <a:schemeClr val="dk1">
                <a:tint val="75000"/>
              </a:schemeClr>
            </a:solidFill>
            <a:ln w="19050">
              <a:solidFill>
                <a:schemeClr val="lt1"/>
              </a:solidFill>
            </a:ln>
            <a:effectLst/>
          </c:spPr>
          <c:invertIfNegative val="0"/>
          <c:cat>
            <c:strRef>
              <c:f>Plan1!$A$2:$A$5</c:f>
              <c:strCache>
                <c:ptCount val="4"/>
                <c:pt idx="0">
                  <c:v>Pessoal</c:v>
                </c:pt>
                <c:pt idx="1">
                  <c:v>Impostos, taxas e contribuições</c:v>
                </c:pt>
                <c:pt idx="2">
                  <c:v>Rem. Capital de terceiros</c:v>
                </c:pt>
                <c:pt idx="3">
                  <c:v>Rem. Capital próprio</c:v>
                </c:pt>
              </c:strCache>
            </c:strRef>
          </c:cat>
          <c:val>
            <c:numRef>
              <c:f>Plan1!$B$2:$B$5</c:f>
              <c:numCache>
                <c:formatCode>0%</c:formatCode>
                <c:ptCount val="4"/>
                <c:pt idx="0">
                  <c:v>0.28000000000000003</c:v>
                </c:pt>
                <c:pt idx="1">
                  <c:v>0.4</c:v>
                </c:pt>
                <c:pt idx="2">
                  <c:v>0.14000000000000001</c:v>
                </c:pt>
                <c:pt idx="3">
                  <c:v>0.18</c:v>
                </c:pt>
              </c:numCache>
            </c:numRef>
          </c:val>
          <c:extLst>
            <c:ext xmlns:c16="http://schemas.microsoft.com/office/drawing/2014/chart" uri="{C3380CC4-5D6E-409C-BE32-E72D297353CC}">
              <c16:uniqueId val="{00000005-4425-4308-8948-6DD01980068E}"/>
            </c:ext>
          </c:extLst>
        </c:ser>
        <c:dLbls>
          <c:showLegendKey val="0"/>
          <c:showVal val="0"/>
          <c:showCatName val="0"/>
          <c:showSerName val="0"/>
          <c:showPercent val="0"/>
          <c:showBubbleSize val="0"/>
        </c:dLbls>
        <c:gapWidth val="100"/>
        <c:axId val="396204016"/>
        <c:axId val="396206368"/>
      </c:barChart>
      <c:catAx>
        <c:axId val="39620401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96206368"/>
        <c:crosses val="autoZero"/>
        <c:auto val="1"/>
        <c:lblAlgn val="ctr"/>
        <c:lblOffset val="100"/>
        <c:noMultiLvlLbl val="0"/>
      </c:catAx>
      <c:valAx>
        <c:axId val="396206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9620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dbl" algn="ctr">
      <a:solidFill>
        <a:schemeClr val="bg1"/>
      </a:solidFill>
      <a:prstDash val="sysDash"/>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17359375069629"/>
          <c:y val="8.9800864444183282E-2"/>
          <c:w val="0.87951178428672649"/>
          <c:h val="0.73991460022721045"/>
        </c:manualLayout>
      </c:layout>
      <c:lineChart>
        <c:grouping val="standard"/>
        <c:varyColors val="0"/>
        <c:ser>
          <c:idx val="0"/>
          <c:order val="0"/>
          <c:tx>
            <c:strRef>
              <c:f>Plan1!$B$1</c:f>
              <c:strCache>
                <c:ptCount val="1"/>
                <c:pt idx="0">
                  <c:v>Colunas1</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cat>
            <c:numRef>
              <c:f>Plan1!$A$2:$A$9</c:f>
              <c:numCache>
                <c:formatCode>General</c:formatCode>
                <c:ptCount val="8"/>
                <c:pt idx="0">
                  <c:v>2009</c:v>
                </c:pt>
                <c:pt idx="1">
                  <c:v>2010</c:v>
                </c:pt>
                <c:pt idx="2">
                  <c:v>2011</c:v>
                </c:pt>
                <c:pt idx="3">
                  <c:v>2012</c:v>
                </c:pt>
                <c:pt idx="4">
                  <c:v>2013</c:v>
                </c:pt>
                <c:pt idx="5">
                  <c:v>2014</c:v>
                </c:pt>
                <c:pt idx="6">
                  <c:v>2015</c:v>
                </c:pt>
                <c:pt idx="7">
                  <c:v>2016</c:v>
                </c:pt>
              </c:numCache>
            </c:numRef>
          </c:cat>
          <c:val>
            <c:numRef>
              <c:f>Plan1!$B$2:$B$9</c:f>
              <c:numCache>
                <c:formatCode>_("R$"* #,##0.00_);_("R$"* \(#,##0.00\);_("R$"* "-"??_);_(@_)</c:formatCode>
                <c:ptCount val="8"/>
                <c:pt idx="0">
                  <c:v>42506385075.169998</c:v>
                </c:pt>
                <c:pt idx="1">
                  <c:v>59608260459.82</c:v>
                </c:pt>
                <c:pt idx="2">
                  <c:v>65836305570.970001</c:v>
                </c:pt>
                <c:pt idx="3">
                  <c:v>65857258707.790001</c:v>
                </c:pt>
                <c:pt idx="4">
                  <c:v>73269015306.130005</c:v>
                </c:pt>
                <c:pt idx="5">
                  <c:v>87793165934.460007</c:v>
                </c:pt>
                <c:pt idx="6">
                  <c:v>100309615967.86</c:v>
                </c:pt>
                <c:pt idx="7">
                  <c:v>72411308000</c:v>
                </c:pt>
              </c:numCache>
            </c:numRef>
          </c:val>
          <c:smooth val="0"/>
          <c:extLst>
            <c:ext xmlns:c16="http://schemas.microsoft.com/office/drawing/2014/chart" uri="{C3380CC4-5D6E-409C-BE32-E72D297353CC}">
              <c16:uniqueId val="{00000000-7DA5-401F-8418-B64C9FDA9E0A}"/>
            </c:ext>
          </c:extLst>
        </c:ser>
        <c:dLbls>
          <c:showLegendKey val="0"/>
          <c:showVal val="0"/>
          <c:showCatName val="0"/>
          <c:showSerName val="0"/>
          <c:showPercent val="0"/>
          <c:showBubbleSize val="0"/>
        </c:dLbls>
        <c:marker val="1"/>
        <c:smooth val="0"/>
        <c:axId val="387505264"/>
        <c:axId val="387504480"/>
      </c:lineChart>
      <c:catAx>
        <c:axId val="38750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87504480"/>
        <c:crosses val="autoZero"/>
        <c:auto val="1"/>
        <c:lblAlgn val="ctr"/>
        <c:lblOffset val="100"/>
        <c:noMultiLvlLbl val="0"/>
      </c:catAx>
      <c:valAx>
        <c:axId val="387504480"/>
        <c:scaling>
          <c:orientation val="minMax"/>
          <c:max val="120000000000"/>
          <c:min val="0"/>
        </c:scaling>
        <c:delete val="0"/>
        <c:axPos val="l"/>
        <c:majorGridlines>
          <c:spPr>
            <a:ln w="9525" cap="flat" cmpd="sng" algn="ctr">
              <a:solidFill>
                <a:schemeClr val="tx1">
                  <a:lumMod val="15000"/>
                  <a:lumOff val="85000"/>
                </a:schemeClr>
              </a:solidFill>
              <a:round/>
            </a:ln>
            <a:effectLst/>
          </c:spPr>
        </c:majorGridlines>
        <c:numFmt formatCode="_(&quot;R$&quot;* #,##0.00_);_(&quot;R$&quot;* \(#,##0.00\);_(&quot;R$&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87505264"/>
        <c:crosses val="autoZero"/>
        <c:crossBetween val="between"/>
        <c:majorUnit val="20000000000"/>
        <c:dispUnits>
          <c:builtInUnit val="billions"/>
        </c:dispUnits>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7.1032834471849993E-2"/>
          <c:y val="8.3660130718954243E-2"/>
          <c:w val="0.89540508595365975"/>
          <c:h val="0.68016550872317416"/>
        </c:manualLayout>
      </c:layout>
      <c:barChart>
        <c:barDir val="col"/>
        <c:grouping val="clustered"/>
        <c:varyColors val="0"/>
        <c:ser>
          <c:idx val="0"/>
          <c:order val="0"/>
          <c:tx>
            <c:strRef>
              <c:f>Plan1!$B$1</c:f>
              <c:strCache>
                <c:ptCount val="1"/>
                <c:pt idx="0">
                  <c:v>Expansão</c:v>
                </c:pt>
              </c:strCache>
            </c:strRef>
          </c:tx>
          <c:spPr>
            <a:solidFill>
              <a:schemeClr val="dk1">
                <a:tint val="88500"/>
              </a:schemeClr>
            </a:solidFill>
            <a:ln w="19050">
              <a:solidFill>
                <a:schemeClr val="lt1"/>
              </a:solidFill>
            </a:ln>
            <a:effectLst/>
          </c:spPr>
          <c:invertIfNegative val="0"/>
          <c:dPt>
            <c:idx val="0"/>
            <c:invertIfNegative val="0"/>
            <c:bubble3D val="0"/>
            <c:explosion val="4"/>
            <c:extLst>
              <c:ext xmlns:c16="http://schemas.microsoft.com/office/drawing/2014/chart" uri="{C3380CC4-5D6E-409C-BE32-E72D297353CC}">
                <c16:uniqueId val="{00000000-B731-4B87-9700-E1F013B8B42D}"/>
              </c:ext>
            </c:extLst>
          </c:dPt>
          <c:dPt>
            <c:idx val="1"/>
            <c:invertIfNegative val="0"/>
            <c:bubble3D val="0"/>
            <c:extLst>
              <c:ext xmlns:c16="http://schemas.microsoft.com/office/drawing/2014/chart" uri="{C3380CC4-5D6E-409C-BE32-E72D297353CC}">
                <c16:uniqueId val="{00000001-B731-4B87-9700-E1F013B8B42D}"/>
              </c:ext>
            </c:extLst>
          </c:dPt>
          <c:dPt>
            <c:idx val="2"/>
            <c:invertIfNegative val="0"/>
            <c:bubble3D val="0"/>
            <c:explosion val="3"/>
            <c:extLst>
              <c:ext xmlns:c16="http://schemas.microsoft.com/office/drawing/2014/chart" uri="{C3380CC4-5D6E-409C-BE32-E72D297353CC}">
                <c16:uniqueId val="{00000002-B731-4B87-9700-E1F013B8B42D}"/>
              </c:ext>
            </c:extLst>
          </c:dPt>
          <c:dPt>
            <c:idx val="3"/>
            <c:invertIfNegative val="0"/>
            <c:bubble3D val="0"/>
            <c:extLst>
              <c:ext xmlns:c16="http://schemas.microsoft.com/office/drawing/2014/chart" uri="{C3380CC4-5D6E-409C-BE32-E72D297353CC}">
                <c16:uniqueId val="{00000003-B731-4B87-9700-E1F013B8B42D}"/>
              </c:ext>
            </c:extLst>
          </c:dPt>
          <c:cat>
            <c:strRef>
              <c:f>Plan1!$A$2:$A$5</c:f>
              <c:strCache>
                <c:ptCount val="4"/>
                <c:pt idx="0">
                  <c:v>Pessoal</c:v>
                </c:pt>
                <c:pt idx="1">
                  <c:v>Impostos taxas e contribuições</c:v>
                </c:pt>
                <c:pt idx="2">
                  <c:v>Rem. Capital de terceiros</c:v>
                </c:pt>
                <c:pt idx="3">
                  <c:v>Rem. Capital próprio</c:v>
                </c:pt>
              </c:strCache>
            </c:strRef>
          </c:cat>
          <c:val>
            <c:numRef>
              <c:f>Plan1!$B$2:$B$5</c:f>
              <c:numCache>
                <c:formatCode>0%</c:formatCode>
                <c:ptCount val="4"/>
                <c:pt idx="0">
                  <c:v>0.42</c:v>
                </c:pt>
                <c:pt idx="1">
                  <c:v>0.24</c:v>
                </c:pt>
                <c:pt idx="2">
                  <c:v>0.28000000000000003</c:v>
                </c:pt>
                <c:pt idx="3">
                  <c:v>0.06</c:v>
                </c:pt>
              </c:numCache>
            </c:numRef>
          </c:val>
          <c:extLst>
            <c:ext xmlns:c16="http://schemas.microsoft.com/office/drawing/2014/chart" uri="{C3380CC4-5D6E-409C-BE32-E72D297353CC}">
              <c16:uniqueId val="{00000004-B731-4B87-9700-E1F013B8B42D}"/>
            </c:ext>
          </c:extLst>
        </c:ser>
        <c:ser>
          <c:idx val="1"/>
          <c:order val="1"/>
          <c:tx>
            <c:strRef>
              <c:f>Plan1!$C$1</c:f>
              <c:strCache>
                <c:ptCount val="1"/>
                <c:pt idx="0">
                  <c:v>Recessão</c:v>
                </c:pt>
              </c:strCache>
            </c:strRef>
          </c:tx>
          <c:spPr>
            <a:solidFill>
              <a:schemeClr val="dk1">
                <a:tint val="55000"/>
              </a:schemeClr>
            </a:solidFill>
            <a:ln w="19050">
              <a:solidFill>
                <a:schemeClr val="lt1"/>
              </a:solidFill>
            </a:ln>
            <a:effectLst/>
          </c:spPr>
          <c:invertIfNegative val="0"/>
          <c:cat>
            <c:strRef>
              <c:f>Plan1!$A$2:$A$5</c:f>
              <c:strCache>
                <c:ptCount val="4"/>
                <c:pt idx="0">
                  <c:v>Pessoal</c:v>
                </c:pt>
                <c:pt idx="1">
                  <c:v>Impostos taxas e contribuições</c:v>
                </c:pt>
                <c:pt idx="2">
                  <c:v>Rem. Capital de terceiros</c:v>
                </c:pt>
                <c:pt idx="3">
                  <c:v>Rem. Capital próprio</c:v>
                </c:pt>
              </c:strCache>
            </c:strRef>
          </c:cat>
          <c:val>
            <c:numRef>
              <c:f>Plan1!$C$2:$C$5</c:f>
              <c:numCache>
                <c:formatCode>0%</c:formatCode>
                <c:ptCount val="4"/>
                <c:pt idx="0">
                  <c:v>0.39</c:v>
                </c:pt>
                <c:pt idx="1">
                  <c:v>0.15</c:v>
                </c:pt>
                <c:pt idx="2">
                  <c:v>0.4</c:v>
                </c:pt>
                <c:pt idx="3">
                  <c:v>0.06</c:v>
                </c:pt>
              </c:numCache>
            </c:numRef>
          </c:val>
          <c:extLst>
            <c:ext xmlns:c16="http://schemas.microsoft.com/office/drawing/2014/chart" uri="{C3380CC4-5D6E-409C-BE32-E72D297353CC}">
              <c16:uniqueId val="{00000005-B731-4B87-9700-E1F013B8B42D}"/>
            </c:ext>
          </c:extLst>
        </c:ser>
        <c:dLbls>
          <c:showLegendKey val="0"/>
          <c:showVal val="0"/>
          <c:showCatName val="0"/>
          <c:showSerName val="0"/>
          <c:showPercent val="0"/>
          <c:showBubbleSize val="0"/>
        </c:dLbls>
        <c:gapWidth val="100"/>
        <c:axId val="388735312"/>
        <c:axId val="388735704"/>
      </c:barChart>
      <c:catAx>
        <c:axId val="3887353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88735704"/>
        <c:crosses val="autoZero"/>
        <c:auto val="1"/>
        <c:lblAlgn val="ctr"/>
        <c:lblOffset val="100"/>
        <c:noMultiLvlLbl val="0"/>
      </c:catAx>
      <c:valAx>
        <c:axId val="388735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388735312"/>
        <c:crosses val="autoZero"/>
        <c:crossBetween val="between"/>
      </c:valAx>
      <c:spPr>
        <a:noFill/>
        <a:ln>
          <a:noFill/>
        </a:ln>
        <a:effectLst/>
      </c:spPr>
    </c:plotArea>
    <c:legend>
      <c:legendPos val="b"/>
      <c:layout>
        <c:manualLayout>
          <c:xMode val="edge"/>
          <c:yMode val="edge"/>
          <c:x val="0.37281465644608991"/>
          <c:y val="0.94249786677899827"/>
          <c:w val="0.25437068710782013"/>
          <c:h val="5.6568194933080171E-2"/>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6E00A-DCE1-4E9E-B06B-16515058A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6021</Words>
  <Characters>32515</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2019-07-10T15:39:00Z</dcterms:created>
  <dcterms:modified xsi:type="dcterms:W3CDTF">2019-07-10T15:42:00Z</dcterms:modified>
</cp:coreProperties>
</file>