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87243" w14:textId="77777777" w:rsidR="00A80641" w:rsidRDefault="00A80641" w:rsidP="00FF63F4">
      <w:pPr>
        <w:ind w:firstLine="0"/>
        <w:rPr>
          <w:b/>
        </w:rPr>
      </w:pPr>
    </w:p>
    <w:p w14:paraId="5FACC723" w14:textId="7F949129" w:rsidR="00C271A6" w:rsidRPr="002E10A3" w:rsidRDefault="002E10A3" w:rsidP="004C08D4">
      <w:pPr>
        <w:ind w:firstLine="0"/>
        <w:jc w:val="center"/>
      </w:pPr>
      <w:r w:rsidRPr="002E10A3">
        <w:rPr>
          <w:b/>
        </w:rPr>
        <w:t>Resultado</w:t>
      </w:r>
      <w:r w:rsidR="00BE7BEF" w:rsidRPr="002E10A3">
        <w:rPr>
          <w:b/>
        </w:rPr>
        <w:t xml:space="preserve"> Financeiro dos</w:t>
      </w:r>
      <w:r w:rsidR="00625B15" w:rsidRPr="002E10A3">
        <w:rPr>
          <w:b/>
        </w:rPr>
        <w:t xml:space="preserve"> Municípios d</w:t>
      </w:r>
      <w:r w:rsidR="00BE7BEF" w:rsidRPr="002E10A3">
        <w:rPr>
          <w:b/>
        </w:rPr>
        <w:t>o Estado do</w:t>
      </w:r>
      <w:r w:rsidR="004069B9">
        <w:rPr>
          <w:b/>
        </w:rPr>
        <w:t xml:space="preserve"> Pará de 2015 a 2017: Análise por Aplicação d</w:t>
      </w:r>
      <w:r w:rsidR="00913A36">
        <w:rPr>
          <w:b/>
        </w:rPr>
        <w:t xml:space="preserve">e </w:t>
      </w:r>
      <w:r w:rsidR="00285BA4">
        <w:rPr>
          <w:b/>
        </w:rPr>
        <w:t>Quocientes</w:t>
      </w:r>
      <w:r w:rsidR="004069B9">
        <w:rPr>
          <w:b/>
        </w:rPr>
        <w:t xml:space="preserve"> nos Balanços Financeiros d</w:t>
      </w:r>
      <w:r w:rsidR="004D65A5">
        <w:rPr>
          <w:b/>
        </w:rPr>
        <w:t xml:space="preserve">os Entes, </w:t>
      </w:r>
      <w:r w:rsidR="00285BA4">
        <w:rPr>
          <w:b/>
        </w:rPr>
        <w:t>divididos</w:t>
      </w:r>
      <w:r w:rsidR="004D65A5">
        <w:rPr>
          <w:b/>
        </w:rPr>
        <w:t xml:space="preserve"> p</w:t>
      </w:r>
      <w:r w:rsidR="004069B9">
        <w:rPr>
          <w:b/>
        </w:rPr>
        <w:t>or Porte.</w:t>
      </w:r>
    </w:p>
    <w:p w14:paraId="02607A43" w14:textId="77777777" w:rsidR="00C271A6" w:rsidRDefault="00C271A6" w:rsidP="00913A36">
      <w:pPr>
        <w:rPr>
          <w:b/>
          <w:szCs w:val="24"/>
        </w:rPr>
      </w:pPr>
    </w:p>
    <w:p w14:paraId="375DCBA7" w14:textId="77777777" w:rsidR="00CA4F79" w:rsidRPr="00CA4F79" w:rsidRDefault="00CA4F79" w:rsidP="00CA4F79">
      <w:pPr>
        <w:jc w:val="right"/>
        <w:rPr>
          <w:b/>
          <w:szCs w:val="24"/>
        </w:rPr>
      </w:pPr>
      <w:r w:rsidRPr="00CA4F79">
        <w:rPr>
          <w:b/>
          <w:szCs w:val="24"/>
        </w:rPr>
        <w:t>Mauro Alexandre de Almeida Ribeiro</w:t>
      </w:r>
    </w:p>
    <w:p w14:paraId="245A9E63" w14:textId="77777777" w:rsidR="00CA4F79" w:rsidRPr="00CA4F79" w:rsidRDefault="00CA4F79" w:rsidP="00CA4F79">
      <w:pPr>
        <w:jc w:val="right"/>
        <w:rPr>
          <w:b/>
          <w:szCs w:val="24"/>
        </w:rPr>
      </w:pPr>
      <w:r w:rsidRPr="00CA4F79">
        <w:rPr>
          <w:b/>
          <w:szCs w:val="24"/>
        </w:rPr>
        <w:t>Universidade Federal Rural da Amazônia (UFRA)</w:t>
      </w:r>
    </w:p>
    <w:p w14:paraId="5E9C8F95" w14:textId="6ECBB192" w:rsidR="00CA4F79" w:rsidRPr="00CA4F79" w:rsidRDefault="00CA4F79" w:rsidP="00FF63F4">
      <w:pPr>
        <w:jc w:val="right"/>
        <w:rPr>
          <w:b/>
          <w:szCs w:val="24"/>
        </w:rPr>
      </w:pPr>
      <w:r w:rsidRPr="00CA4F79">
        <w:rPr>
          <w:b/>
          <w:szCs w:val="24"/>
        </w:rPr>
        <w:t>E-ma</w:t>
      </w:r>
      <w:r w:rsidR="00FF63F4">
        <w:rPr>
          <w:b/>
          <w:szCs w:val="24"/>
        </w:rPr>
        <w:t>il: mauro.ribeiro01@hotmail.com</w:t>
      </w:r>
    </w:p>
    <w:p w14:paraId="373D3619" w14:textId="77777777" w:rsidR="00CA4F79" w:rsidRPr="00CA4F79" w:rsidRDefault="00CA4F79" w:rsidP="00CA4F79">
      <w:pPr>
        <w:jc w:val="right"/>
        <w:rPr>
          <w:b/>
          <w:szCs w:val="24"/>
        </w:rPr>
      </w:pPr>
    </w:p>
    <w:p w14:paraId="4251374C" w14:textId="77777777" w:rsidR="00CA4F79" w:rsidRPr="00CA4F79" w:rsidRDefault="00CA4F79" w:rsidP="00CA4F79">
      <w:pPr>
        <w:jc w:val="right"/>
        <w:rPr>
          <w:b/>
          <w:szCs w:val="24"/>
        </w:rPr>
      </w:pPr>
      <w:r w:rsidRPr="00CA4F79">
        <w:rPr>
          <w:b/>
          <w:szCs w:val="24"/>
        </w:rPr>
        <w:t>Leticia Ferreira Soares</w:t>
      </w:r>
    </w:p>
    <w:p w14:paraId="40C32CC3" w14:textId="77777777" w:rsidR="00CA4F79" w:rsidRPr="00CA4F79" w:rsidRDefault="00CA4F79" w:rsidP="00CA4F79">
      <w:pPr>
        <w:jc w:val="right"/>
        <w:rPr>
          <w:b/>
          <w:szCs w:val="24"/>
        </w:rPr>
      </w:pPr>
      <w:r w:rsidRPr="00CA4F79">
        <w:rPr>
          <w:b/>
          <w:szCs w:val="24"/>
        </w:rPr>
        <w:t>Universidade Federal Rural da Amazônia (UFRA)</w:t>
      </w:r>
    </w:p>
    <w:p w14:paraId="1A98F9A0" w14:textId="77777777" w:rsidR="00CA4F79" w:rsidRPr="00CA4F79" w:rsidRDefault="00CA4F79" w:rsidP="00CA4F79">
      <w:pPr>
        <w:jc w:val="right"/>
        <w:rPr>
          <w:b/>
          <w:szCs w:val="24"/>
        </w:rPr>
      </w:pPr>
      <w:r w:rsidRPr="00CA4F79">
        <w:rPr>
          <w:b/>
          <w:szCs w:val="24"/>
        </w:rPr>
        <w:t>E-mail: leticiasoares989@gmail.com</w:t>
      </w:r>
    </w:p>
    <w:p w14:paraId="065F4E38" w14:textId="641DCB9B" w:rsidR="00CA4F79" w:rsidRPr="00CA4F79" w:rsidRDefault="00CA4F79" w:rsidP="00FF63F4">
      <w:pPr>
        <w:ind w:firstLine="0"/>
        <w:rPr>
          <w:b/>
          <w:szCs w:val="24"/>
        </w:rPr>
      </w:pPr>
    </w:p>
    <w:p w14:paraId="11486C06" w14:textId="77777777" w:rsidR="00CA4F79" w:rsidRPr="00CA4F79" w:rsidRDefault="00CA4F79" w:rsidP="00CA4F79">
      <w:pPr>
        <w:jc w:val="right"/>
        <w:rPr>
          <w:b/>
          <w:szCs w:val="24"/>
        </w:rPr>
      </w:pPr>
      <w:r w:rsidRPr="00CA4F79">
        <w:rPr>
          <w:b/>
          <w:szCs w:val="24"/>
        </w:rPr>
        <w:t>Maria de Nazareth Oliveira Maciel</w:t>
      </w:r>
    </w:p>
    <w:p w14:paraId="2264E611" w14:textId="77777777" w:rsidR="00CA4F79" w:rsidRPr="00CA4F79" w:rsidRDefault="00CA4F79" w:rsidP="00CA4F79">
      <w:pPr>
        <w:jc w:val="right"/>
        <w:rPr>
          <w:b/>
          <w:szCs w:val="24"/>
        </w:rPr>
      </w:pPr>
      <w:r w:rsidRPr="00CA4F79">
        <w:rPr>
          <w:b/>
          <w:szCs w:val="24"/>
        </w:rPr>
        <w:t>Universidade Federal Rural da Amazônia (UFRA)</w:t>
      </w:r>
    </w:p>
    <w:p w14:paraId="13DAE362" w14:textId="77777777" w:rsidR="00CA4F79" w:rsidRPr="00CA4F79" w:rsidRDefault="00CA4F79" w:rsidP="00CA4F79">
      <w:pPr>
        <w:jc w:val="right"/>
        <w:rPr>
          <w:b/>
          <w:szCs w:val="24"/>
        </w:rPr>
      </w:pPr>
      <w:r w:rsidRPr="00CA4F79">
        <w:rPr>
          <w:b/>
          <w:szCs w:val="24"/>
        </w:rPr>
        <w:t>E-mail: nazarethmaciel@yahoo.com.br</w:t>
      </w:r>
    </w:p>
    <w:p w14:paraId="4F51EBD6" w14:textId="77777777" w:rsidR="00CA4F79" w:rsidRPr="00CA4F79" w:rsidRDefault="00CA4F79" w:rsidP="00CA4F79">
      <w:pPr>
        <w:jc w:val="right"/>
        <w:rPr>
          <w:b/>
          <w:szCs w:val="24"/>
        </w:rPr>
      </w:pPr>
    </w:p>
    <w:p w14:paraId="14D1444A" w14:textId="77777777" w:rsidR="00CA4F79" w:rsidRPr="00CA4F79" w:rsidRDefault="00CA4F79" w:rsidP="00CA4F79">
      <w:pPr>
        <w:jc w:val="right"/>
        <w:rPr>
          <w:b/>
          <w:szCs w:val="24"/>
        </w:rPr>
      </w:pPr>
      <w:r w:rsidRPr="00CA4F79">
        <w:rPr>
          <w:b/>
          <w:szCs w:val="24"/>
        </w:rPr>
        <w:t>Tany Ingrid Sagredo Marin</w:t>
      </w:r>
    </w:p>
    <w:p w14:paraId="3B3592AA" w14:textId="77777777" w:rsidR="00CA4F79" w:rsidRPr="00CA4F79" w:rsidRDefault="00CA4F79" w:rsidP="00CA4F79">
      <w:pPr>
        <w:jc w:val="right"/>
        <w:rPr>
          <w:b/>
          <w:szCs w:val="24"/>
        </w:rPr>
      </w:pPr>
      <w:r w:rsidRPr="00CA4F79">
        <w:rPr>
          <w:b/>
          <w:szCs w:val="24"/>
        </w:rPr>
        <w:t>Universidade Federal Rural da Amazônia (UFRA)</w:t>
      </w:r>
    </w:p>
    <w:p w14:paraId="5F6739FD" w14:textId="10300566" w:rsidR="0071084E" w:rsidRDefault="00CA4F79" w:rsidP="00FF63F4">
      <w:pPr>
        <w:jc w:val="right"/>
        <w:rPr>
          <w:b/>
          <w:szCs w:val="24"/>
        </w:rPr>
      </w:pPr>
      <w:r w:rsidRPr="00CA4F79">
        <w:rPr>
          <w:b/>
          <w:szCs w:val="24"/>
        </w:rPr>
        <w:t xml:space="preserve">E-mail: </w:t>
      </w:r>
      <w:hyperlink r:id="rId9" w:history="1">
        <w:r w:rsidRPr="00BB7732">
          <w:rPr>
            <w:rStyle w:val="Hyperlink"/>
            <w:b/>
            <w:szCs w:val="24"/>
          </w:rPr>
          <w:t>profa.tany@gmail.com</w:t>
        </w:r>
      </w:hyperlink>
    </w:p>
    <w:p w14:paraId="7199FC08" w14:textId="4D59F2BC" w:rsidR="00C271A6" w:rsidRPr="00BF382D" w:rsidRDefault="00C271A6" w:rsidP="00C8104A">
      <w:pPr>
        <w:ind w:firstLine="0"/>
        <w:rPr>
          <w:b/>
          <w:szCs w:val="24"/>
        </w:rPr>
      </w:pPr>
      <w:r w:rsidRPr="00BF382D">
        <w:rPr>
          <w:b/>
          <w:szCs w:val="24"/>
        </w:rPr>
        <w:t xml:space="preserve">Resumo </w:t>
      </w:r>
    </w:p>
    <w:p w14:paraId="70008404" w14:textId="38C972A3" w:rsidR="00C271A6" w:rsidRPr="000A54E5" w:rsidRDefault="000A54E5" w:rsidP="00FF63F4">
      <w:pPr>
        <w:ind w:firstLine="0"/>
        <w:rPr>
          <w:b/>
          <w:szCs w:val="24"/>
        </w:rPr>
      </w:pPr>
      <w:r w:rsidRPr="000A54E5">
        <w:rPr>
          <w:szCs w:val="24"/>
        </w:rPr>
        <w:t>Os balanços financeiros</w:t>
      </w:r>
      <w:r>
        <w:rPr>
          <w:szCs w:val="24"/>
        </w:rPr>
        <w:t xml:space="preserve"> oferecem </w:t>
      </w:r>
      <w:r w:rsidRPr="000A54E5">
        <w:rPr>
          <w:szCs w:val="24"/>
        </w:rPr>
        <w:t xml:space="preserve">dados e informações </w:t>
      </w:r>
      <w:r>
        <w:rPr>
          <w:szCs w:val="24"/>
        </w:rPr>
        <w:t xml:space="preserve">que possibilitam </w:t>
      </w:r>
      <w:r w:rsidR="00BF382D">
        <w:rPr>
          <w:szCs w:val="24"/>
        </w:rPr>
        <w:t xml:space="preserve">aplicar </w:t>
      </w:r>
      <w:r w:rsidR="00BF382D" w:rsidRPr="000A54E5">
        <w:rPr>
          <w:szCs w:val="24"/>
        </w:rPr>
        <w:t>quocientes</w:t>
      </w:r>
      <w:r w:rsidRPr="000A54E5">
        <w:rPr>
          <w:szCs w:val="24"/>
        </w:rPr>
        <w:t xml:space="preserve"> </w:t>
      </w:r>
      <w:r>
        <w:rPr>
          <w:szCs w:val="24"/>
        </w:rPr>
        <w:t xml:space="preserve">e coletar resultados sobre a </w:t>
      </w:r>
      <w:r w:rsidR="007005E1">
        <w:rPr>
          <w:szCs w:val="24"/>
        </w:rPr>
        <w:t>performance financeira dos Entes públicos</w:t>
      </w:r>
      <w:r w:rsidR="00625B15" w:rsidRPr="000A54E5">
        <w:rPr>
          <w:szCs w:val="24"/>
        </w:rPr>
        <w:t xml:space="preserve">. Esta investigação tem por objetivo </w:t>
      </w:r>
      <w:r w:rsidR="00913A36">
        <w:rPr>
          <w:szCs w:val="24"/>
        </w:rPr>
        <w:t>c</w:t>
      </w:r>
      <w:r w:rsidR="00913A36" w:rsidRPr="000A54E5">
        <w:rPr>
          <w:szCs w:val="24"/>
        </w:rPr>
        <w:t>onhecer</w:t>
      </w:r>
      <w:r w:rsidR="00913A36" w:rsidRPr="000A54E5">
        <w:t xml:space="preserve"> </w:t>
      </w:r>
      <w:r w:rsidR="00913A36">
        <w:t>o r</w:t>
      </w:r>
      <w:r w:rsidR="00913A36" w:rsidRPr="000A54E5">
        <w:rPr>
          <w:szCs w:val="24"/>
        </w:rPr>
        <w:t>esultado financeiro dos municípios d</w:t>
      </w:r>
      <w:r w:rsidR="00913A36">
        <w:rPr>
          <w:szCs w:val="24"/>
        </w:rPr>
        <w:t>o estado do</w:t>
      </w:r>
      <w:r>
        <w:rPr>
          <w:szCs w:val="24"/>
        </w:rPr>
        <w:t xml:space="preserve"> Pará de 2015 a 2017</w:t>
      </w:r>
      <w:r w:rsidR="007005E1">
        <w:rPr>
          <w:szCs w:val="24"/>
        </w:rPr>
        <w:t>,</w:t>
      </w:r>
      <w:r>
        <w:rPr>
          <w:szCs w:val="24"/>
        </w:rPr>
        <w:t xml:space="preserve"> atrav</w:t>
      </w:r>
      <w:r w:rsidR="00913A36">
        <w:rPr>
          <w:szCs w:val="24"/>
        </w:rPr>
        <w:t>és</w:t>
      </w:r>
      <w:r>
        <w:rPr>
          <w:szCs w:val="24"/>
        </w:rPr>
        <w:t xml:space="preserve"> da a</w:t>
      </w:r>
      <w:r w:rsidR="00913A36">
        <w:rPr>
          <w:szCs w:val="24"/>
        </w:rPr>
        <w:t>nálise e aplicação de quocientes a</w:t>
      </w:r>
      <w:r w:rsidRPr="000A54E5">
        <w:rPr>
          <w:szCs w:val="24"/>
        </w:rPr>
        <w:t xml:space="preserve">os </w:t>
      </w:r>
      <w:r w:rsidR="00913A36" w:rsidRPr="000A54E5">
        <w:rPr>
          <w:szCs w:val="24"/>
        </w:rPr>
        <w:t xml:space="preserve">balanços financeiros dos entes, divididos por </w:t>
      </w:r>
      <w:r w:rsidR="00BF382D" w:rsidRPr="000A54E5">
        <w:rPr>
          <w:szCs w:val="24"/>
        </w:rPr>
        <w:t>porte.</w:t>
      </w:r>
      <w:r w:rsidR="00625B15" w:rsidRPr="000A54E5">
        <w:rPr>
          <w:szCs w:val="24"/>
        </w:rPr>
        <w:t xml:space="preserve"> Foi utilizado o método de pesquisa empírico-analítico, de classificação descritiva com características bibliográfica e documental e abordagem quantitativa. Os dados foram coletados, organizados e tabulados a p</w:t>
      </w:r>
      <w:r w:rsidR="00BF382D">
        <w:rPr>
          <w:szCs w:val="24"/>
        </w:rPr>
        <w:t xml:space="preserve">artir dos balanços </w:t>
      </w:r>
      <w:r w:rsidR="00020671">
        <w:rPr>
          <w:szCs w:val="24"/>
        </w:rPr>
        <w:t>financeiros</w:t>
      </w:r>
      <w:r w:rsidR="00625B15" w:rsidRPr="000A54E5">
        <w:rPr>
          <w:szCs w:val="24"/>
        </w:rPr>
        <w:t xml:space="preserve">, baixados na íntegra no sítio eletrônico do Tribunal de Contas dos Municípios do Estado do Pará (TCM/PA), tratados pelos pesquisadores como fonte de informações para responder à questão de pesquisa. </w:t>
      </w:r>
      <w:r w:rsidR="007005E1">
        <w:rPr>
          <w:szCs w:val="24"/>
        </w:rPr>
        <w:t>Nos resultados, o</w:t>
      </w:r>
      <w:r w:rsidR="00020671">
        <w:rPr>
          <w:szCs w:val="24"/>
        </w:rPr>
        <w:t xml:space="preserve"> maior destaque ocorreu</w:t>
      </w:r>
      <w:r w:rsidR="00FF63F4">
        <w:rPr>
          <w:szCs w:val="24"/>
        </w:rPr>
        <w:t>,</w:t>
      </w:r>
      <w:r w:rsidR="00020671">
        <w:rPr>
          <w:szCs w:val="24"/>
        </w:rPr>
        <w:t xml:space="preserve"> </w:t>
      </w:r>
      <w:r w:rsidR="00FF63F4">
        <w:rPr>
          <w:szCs w:val="24"/>
        </w:rPr>
        <w:t>d</w:t>
      </w:r>
      <w:r w:rsidR="00020671">
        <w:rPr>
          <w:szCs w:val="24"/>
        </w:rPr>
        <w:t xml:space="preserve">a aplicação do </w:t>
      </w:r>
      <w:r w:rsidR="00020671" w:rsidRPr="00020671">
        <w:rPr>
          <w:szCs w:val="24"/>
        </w:rPr>
        <w:t>Quociente do Resultado dos Saldos Financeiros</w:t>
      </w:r>
      <w:r w:rsidR="00020671">
        <w:rPr>
          <w:szCs w:val="24"/>
        </w:rPr>
        <w:t xml:space="preserve"> onde os achados demonstram</w:t>
      </w:r>
      <w:r w:rsidR="00020671" w:rsidRPr="00020671">
        <w:rPr>
          <w:szCs w:val="24"/>
        </w:rPr>
        <w:t xml:space="preserve"> resultado</w:t>
      </w:r>
      <w:r w:rsidR="00020671">
        <w:rPr>
          <w:szCs w:val="24"/>
        </w:rPr>
        <w:t>s</w:t>
      </w:r>
      <w:r w:rsidR="00FF63F4">
        <w:rPr>
          <w:szCs w:val="24"/>
        </w:rPr>
        <w:t>,</w:t>
      </w:r>
      <w:r w:rsidR="00020671" w:rsidRPr="00020671">
        <w:rPr>
          <w:szCs w:val="24"/>
        </w:rPr>
        <w:t xml:space="preserve"> menor</w:t>
      </w:r>
      <w:r w:rsidR="00020671">
        <w:rPr>
          <w:szCs w:val="24"/>
        </w:rPr>
        <w:t>es</w:t>
      </w:r>
      <w:r w:rsidR="00020671" w:rsidRPr="00020671">
        <w:rPr>
          <w:szCs w:val="24"/>
        </w:rPr>
        <w:t xml:space="preserve"> que 1</w:t>
      </w:r>
      <w:r w:rsidR="00FF63F4">
        <w:rPr>
          <w:szCs w:val="24"/>
        </w:rPr>
        <w:t>,</w:t>
      </w:r>
      <w:r w:rsidR="00020671" w:rsidRPr="00020671">
        <w:rPr>
          <w:szCs w:val="24"/>
        </w:rPr>
        <w:t xml:space="preserve"> </w:t>
      </w:r>
      <w:r w:rsidR="00020671">
        <w:rPr>
          <w:szCs w:val="24"/>
        </w:rPr>
        <w:t>na</w:t>
      </w:r>
      <w:r w:rsidR="00020671" w:rsidRPr="00020671">
        <w:rPr>
          <w:szCs w:val="24"/>
        </w:rPr>
        <w:t xml:space="preserve"> maioria dos </w:t>
      </w:r>
      <w:r w:rsidR="00FF63F4">
        <w:rPr>
          <w:szCs w:val="24"/>
        </w:rPr>
        <w:t xml:space="preserve">municípios pesquisados, </w:t>
      </w:r>
      <w:r w:rsidR="00020671">
        <w:rPr>
          <w:szCs w:val="24"/>
        </w:rPr>
        <w:t>em todos os grupos de porte</w:t>
      </w:r>
      <w:r w:rsidR="00E5605D">
        <w:rPr>
          <w:szCs w:val="24"/>
        </w:rPr>
        <w:t xml:space="preserve"> nos três anos de pesquisa. O </w:t>
      </w:r>
      <w:r w:rsidR="00E5605D" w:rsidRPr="00020671">
        <w:rPr>
          <w:szCs w:val="24"/>
        </w:rPr>
        <w:t>maior</w:t>
      </w:r>
      <w:r w:rsidR="00020671" w:rsidRPr="00020671">
        <w:rPr>
          <w:szCs w:val="24"/>
        </w:rPr>
        <w:t xml:space="preserve"> percentual </w:t>
      </w:r>
      <w:r w:rsidR="00E5605D">
        <w:rPr>
          <w:szCs w:val="24"/>
        </w:rPr>
        <w:t xml:space="preserve">foi </w:t>
      </w:r>
      <w:r w:rsidR="00020671">
        <w:rPr>
          <w:szCs w:val="24"/>
        </w:rPr>
        <w:t>encontrado</w:t>
      </w:r>
      <w:r w:rsidR="00E5605D">
        <w:rPr>
          <w:szCs w:val="24"/>
        </w:rPr>
        <w:t xml:space="preserve"> n</w:t>
      </w:r>
      <w:r w:rsidR="00020671" w:rsidRPr="00020671">
        <w:rPr>
          <w:szCs w:val="24"/>
        </w:rPr>
        <w:t>os municípios de pequeno porte</w:t>
      </w:r>
      <w:r w:rsidR="00E5605D">
        <w:rPr>
          <w:szCs w:val="24"/>
        </w:rPr>
        <w:t>,</w:t>
      </w:r>
      <w:r w:rsidR="00020671" w:rsidRPr="00020671">
        <w:rPr>
          <w:szCs w:val="24"/>
        </w:rPr>
        <w:t xml:space="preserve"> no ano de 2016</w:t>
      </w:r>
      <w:r w:rsidR="00E5605D">
        <w:rPr>
          <w:szCs w:val="24"/>
        </w:rPr>
        <w:t xml:space="preserve">, com 64%. Esse resultado financeiro comprova </w:t>
      </w:r>
      <w:r w:rsidR="00FF63F4">
        <w:rPr>
          <w:szCs w:val="24"/>
        </w:rPr>
        <w:t>que o</w:t>
      </w:r>
      <w:r w:rsidR="00111FDC">
        <w:rPr>
          <w:szCs w:val="24"/>
        </w:rPr>
        <w:t xml:space="preserve"> saldo</w:t>
      </w:r>
      <w:r w:rsidR="00FF63F4">
        <w:rPr>
          <w:szCs w:val="24"/>
        </w:rPr>
        <w:t>,</w:t>
      </w:r>
      <w:r w:rsidR="00111FDC">
        <w:rPr>
          <w:szCs w:val="24"/>
        </w:rPr>
        <w:t xml:space="preserve"> transferido </w:t>
      </w:r>
      <w:r w:rsidR="00111FDC" w:rsidRPr="00020671">
        <w:rPr>
          <w:szCs w:val="24"/>
        </w:rPr>
        <w:t>para</w:t>
      </w:r>
      <w:r w:rsidR="00020671" w:rsidRPr="00020671">
        <w:rPr>
          <w:szCs w:val="24"/>
        </w:rPr>
        <w:t xml:space="preserve"> o exercício seguinte</w:t>
      </w:r>
      <w:r w:rsidR="00FF63F4">
        <w:rPr>
          <w:szCs w:val="24"/>
        </w:rPr>
        <w:t>, foi</w:t>
      </w:r>
      <w:r w:rsidR="00020671" w:rsidRPr="00020671">
        <w:rPr>
          <w:szCs w:val="24"/>
        </w:rPr>
        <w:t xml:space="preserve"> menor do que</w:t>
      </w:r>
      <w:r w:rsidR="00FF63F4">
        <w:rPr>
          <w:szCs w:val="24"/>
        </w:rPr>
        <w:t xml:space="preserve"> o saldo do exercício anterior. Neste caso há uma</w:t>
      </w:r>
      <w:r w:rsidR="00111FDC">
        <w:rPr>
          <w:szCs w:val="24"/>
        </w:rPr>
        <w:t xml:space="preserve"> </w:t>
      </w:r>
      <w:r w:rsidR="007005E1">
        <w:rPr>
          <w:szCs w:val="24"/>
        </w:rPr>
        <w:t xml:space="preserve">necessidade de novas pesquisas que possam </w:t>
      </w:r>
      <w:r w:rsidR="00020671" w:rsidRPr="00020671">
        <w:rPr>
          <w:szCs w:val="24"/>
        </w:rPr>
        <w:t>verificar</w:t>
      </w:r>
      <w:r w:rsidR="007005E1">
        <w:rPr>
          <w:szCs w:val="24"/>
        </w:rPr>
        <w:t xml:space="preserve"> </w:t>
      </w:r>
      <w:r w:rsidR="00FF63F4">
        <w:rPr>
          <w:szCs w:val="24"/>
        </w:rPr>
        <w:t xml:space="preserve">se </w:t>
      </w:r>
      <w:r w:rsidR="00020671" w:rsidRPr="00020671">
        <w:rPr>
          <w:szCs w:val="24"/>
        </w:rPr>
        <w:t xml:space="preserve">as disponibilidades </w:t>
      </w:r>
      <w:r w:rsidR="007005E1">
        <w:rPr>
          <w:szCs w:val="24"/>
        </w:rPr>
        <w:t>(</w:t>
      </w:r>
      <w:r w:rsidR="00FF63F4">
        <w:rPr>
          <w:szCs w:val="24"/>
        </w:rPr>
        <w:t>saldo de caixa/bancos) refletira</w:t>
      </w:r>
      <w:r w:rsidR="007005E1">
        <w:rPr>
          <w:szCs w:val="24"/>
        </w:rPr>
        <w:t>m, realmente,</w:t>
      </w:r>
      <w:r w:rsidR="00020671" w:rsidRPr="00020671">
        <w:rPr>
          <w:szCs w:val="24"/>
        </w:rPr>
        <w:t xml:space="preserve"> a movimentação financeira de</w:t>
      </w:r>
      <w:r w:rsidR="007005E1">
        <w:rPr>
          <w:szCs w:val="24"/>
        </w:rPr>
        <w:t xml:space="preserve"> origem extraorçamentária</w:t>
      </w:r>
      <w:r w:rsidR="00FF63F4">
        <w:rPr>
          <w:szCs w:val="24"/>
        </w:rPr>
        <w:t xml:space="preserve"> e assim,</w:t>
      </w:r>
      <w:r w:rsidR="007005E1">
        <w:rPr>
          <w:szCs w:val="24"/>
        </w:rPr>
        <w:t xml:space="preserve"> criar bases seguras de</w:t>
      </w:r>
      <w:r w:rsidR="00FF63F4">
        <w:rPr>
          <w:szCs w:val="24"/>
        </w:rPr>
        <w:t xml:space="preserve"> análise e interpretação, sendo esta uma limitação da pesquisa.</w:t>
      </w:r>
    </w:p>
    <w:p w14:paraId="5ED58915" w14:textId="50F8787A" w:rsidR="00C271A6" w:rsidRPr="000A54E5" w:rsidRDefault="00C271A6" w:rsidP="00C8104A">
      <w:pPr>
        <w:ind w:firstLine="0"/>
        <w:rPr>
          <w:szCs w:val="24"/>
        </w:rPr>
      </w:pPr>
      <w:r w:rsidRPr="000A54E5">
        <w:rPr>
          <w:b/>
          <w:szCs w:val="24"/>
        </w:rPr>
        <w:t xml:space="preserve">Palavras-chave: </w:t>
      </w:r>
      <w:r w:rsidR="00625B15" w:rsidRPr="000A54E5">
        <w:rPr>
          <w:szCs w:val="24"/>
        </w:rPr>
        <w:t>Municípios; Performance orçamentária; Balanço orçamentário</w:t>
      </w:r>
      <w:r w:rsidR="006E36D8">
        <w:rPr>
          <w:szCs w:val="24"/>
        </w:rPr>
        <w:t>;</w:t>
      </w:r>
      <w:bookmarkStart w:id="0" w:name="_GoBack"/>
      <w:bookmarkEnd w:id="0"/>
      <w:r w:rsidR="00625B15" w:rsidRPr="000A54E5">
        <w:rPr>
          <w:szCs w:val="24"/>
        </w:rPr>
        <w:t xml:space="preserve"> Estado do Pará.</w:t>
      </w:r>
    </w:p>
    <w:p w14:paraId="40F8DFBE" w14:textId="77777777" w:rsidR="00C271A6" w:rsidRPr="00C8104A" w:rsidRDefault="00C271A6" w:rsidP="00C271A6">
      <w:pPr>
        <w:rPr>
          <w:color w:val="C00000"/>
          <w:szCs w:val="24"/>
        </w:rPr>
      </w:pPr>
    </w:p>
    <w:p w14:paraId="3A0C2DB1" w14:textId="334441AB" w:rsidR="0071084E" w:rsidRDefault="00C8104A" w:rsidP="00C8104A">
      <w:pPr>
        <w:ind w:firstLine="0"/>
        <w:rPr>
          <w:b/>
          <w:szCs w:val="24"/>
        </w:rPr>
      </w:pPr>
      <w:r w:rsidRPr="00C8104A">
        <w:rPr>
          <w:b/>
          <w:szCs w:val="24"/>
        </w:rPr>
        <w:t>Linha Temática: Outros te</w:t>
      </w:r>
      <w:r>
        <w:rPr>
          <w:b/>
          <w:szCs w:val="24"/>
        </w:rPr>
        <w:t>mas relevantes em contabilidade</w:t>
      </w:r>
      <w:r w:rsidR="00735B23">
        <w:rPr>
          <w:b/>
          <w:szCs w:val="24"/>
        </w:rPr>
        <w:t>:</w:t>
      </w:r>
      <w:r>
        <w:rPr>
          <w:b/>
          <w:szCs w:val="24"/>
        </w:rPr>
        <w:t xml:space="preserve"> </w:t>
      </w:r>
      <w:r w:rsidR="006E4134">
        <w:rPr>
          <w:b/>
          <w:szCs w:val="24"/>
        </w:rPr>
        <w:t xml:space="preserve">g) </w:t>
      </w:r>
      <w:r w:rsidRPr="00C8104A">
        <w:rPr>
          <w:b/>
          <w:szCs w:val="24"/>
        </w:rPr>
        <w:t>Con</w:t>
      </w:r>
      <w:r w:rsidR="00FF63F4">
        <w:rPr>
          <w:b/>
          <w:szCs w:val="24"/>
        </w:rPr>
        <w:t>tabilidade Pública Governamental.</w:t>
      </w:r>
    </w:p>
    <w:p w14:paraId="3500469F" w14:textId="77777777" w:rsidR="00F1039B" w:rsidRPr="00402422" w:rsidRDefault="00F1039B" w:rsidP="00F1039B">
      <w:pPr>
        <w:ind w:firstLine="0"/>
        <w:rPr>
          <w:b/>
          <w:szCs w:val="24"/>
        </w:rPr>
      </w:pPr>
      <w:r w:rsidRPr="00402422">
        <w:rPr>
          <w:b/>
          <w:szCs w:val="24"/>
        </w:rPr>
        <w:lastRenderedPageBreak/>
        <w:t>1 Introdução</w:t>
      </w:r>
    </w:p>
    <w:p w14:paraId="2E843CFA" w14:textId="77777777" w:rsidR="00DD401D" w:rsidRPr="00402422" w:rsidRDefault="00DD401D" w:rsidP="00F1039B">
      <w:pPr>
        <w:rPr>
          <w:b/>
          <w:szCs w:val="24"/>
        </w:rPr>
      </w:pPr>
    </w:p>
    <w:p w14:paraId="1A0712EE" w14:textId="14C41864" w:rsidR="00F1039B" w:rsidRPr="00402422" w:rsidRDefault="00402422" w:rsidP="00DB48BE">
      <w:pPr>
        <w:contextualSpacing/>
        <w:rPr>
          <w:rFonts w:eastAsia="Calibri"/>
          <w:szCs w:val="24"/>
        </w:rPr>
      </w:pPr>
      <w:r>
        <w:rPr>
          <w:rFonts w:eastAsia="Calibri"/>
          <w:szCs w:val="24"/>
        </w:rPr>
        <w:t>Os</w:t>
      </w:r>
      <w:r w:rsidR="00F1039B" w:rsidRPr="00402422">
        <w:rPr>
          <w:rFonts w:eastAsia="Calibri"/>
          <w:szCs w:val="24"/>
        </w:rPr>
        <w:t xml:space="preserve"> resultados a aplicação de quocientes</w:t>
      </w:r>
      <w:r w:rsidRPr="00402422">
        <w:t xml:space="preserve"> </w:t>
      </w:r>
      <w:r>
        <w:t>no</w:t>
      </w:r>
      <w:r w:rsidRPr="00402422">
        <w:rPr>
          <w:rFonts w:eastAsia="Calibri"/>
          <w:szCs w:val="24"/>
        </w:rPr>
        <w:t xml:space="preserve">s balanços governamentais </w:t>
      </w:r>
      <w:r>
        <w:rPr>
          <w:rFonts w:eastAsia="Calibri"/>
          <w:szCs w:val="24"/>
        </w:rPr>
        <w:t>possibilitam achados significativos para receber análise dos gestores públicos e corroborar para tomada de decisões seguras. A analise da</w:t>
      </w:r>
      <w:r w:rsidRPr="00402422">
        <w:rPr>
          <w:rFonts w:eastAsia="Calibri"/>
          <w:szCs w:val="24"/>
        </w:rPr>
        <w:t xml:space="preserve"> </w:t>
      </w:r>
      <w:r>
        <w:rPr>
          <w:rFonts w:eastAsia="Calibri"/>
          <w:szCs w:val="24"/>
        </w:rPr>
        <w:t>situação orçamentária, financeira</w:t>
      </w:r>
      <w:r w:rsidRPr="00402422">
        <w:rPr>
          <w:rFonts w:eastAsia="Calibri"/>
          <w:szCs w:val="24"/>
        </w:rPr>
        <w:t xml:space="preserve"> e patrimo</w:t>
      </w:r>
      <w:r>
        <w:rPr>
          <w:rFonts w:eastAsia="Calibri"/>
          <w:szCs w:val="24"/>
        </w:rPr>
        <w:t xml:space="preserve">nial das </w:t>
      </w:r>
      <w:r w:rsidR="00A34A22">
        <w:rPr>
          <w:rFonts w:eastAsia="Calibri"/>
          <w:szCs w:val="24"/>
        </w:rPr>
        <w:t xml:space="preserve">organizações </w:t>
      </w:r>
      <w:r w:rsidR="00A34A22" w:rsidRPr="00402422">
        <w:rPr>
          <w:rFonts w:eastAsia="Calibri"/>
          <w:szCs w:val="24"/>
        </w:rPr>
        <w:t>permite</w:t>
      </w:r>
      <w:r w:rsidR="00F1039B" w:rsidRPr="00402422">
        <w:rPr>
          <w:rFonts w:eastAsia="Calibri"/>
          <w:szCs w:val="24"/>
        </w:rPr>
        <w:t xml:space="preserve"> a promoção de mudanças e uma mais célere tomada de decisão. A utiliza</w:t>
      </w:r>
      <w:r w:rsidR="00A34A22">
        <w:rPr>
          <w:rFonts w:eastAsia="Calibri"/>
          <w:szCs w:val="24"/>
        </w:rPr>
        <w:t>ção correta das ferramentas da C</w:t>
      </w:r>
      <w:r w:rsidR="00F1039B" w:rsidRPr="00402422">
        <w:rPr>
          <w:rFonts w:eastAsia="Calibri"/>
          <w:szCs w:val="24"/>
        </w:rPr>
        <w:t xml:space="preserve">ontabilidade </w:t>
      </w:r>
      <w:r w:rsidR="00A34A22">
        <w:rPr>
          <w:rFonts w:eastAsia="Calibri"/>
          <w:szCs w:val="24"/>
        </w:rPr>
        <w:t>A</w:t>
      </w:r>
      <w:r w:rsidR="00F1039B" w:rsidRPr="00402422">
        <w:rPr>
          <w:rFonts w:eastAsia="Calibri"/>
          <w:szCs w:val="24"/>
        </w:rPr>
        <w:t xml:space="preserve">plicada ao </w:t>
      </w:r>
      <w:r w:rsidR="00A34A22">
        <w:rPr>
          <w:rFonts w:eastAsia="Calibri"/>
          <w:szCs w:val="24"/>
        </w:rPr>
        <w:t>Setor P</w:t>
      </w:r>
      <w:r w:rsidR="00F1039B" w:rsidRPr="00402422">
        <w:rPr>
          <w:rFonts w:eastAsia="Calibri"/>
          <w:szCs w:val="24"/>
        </w:rPr>
        <w:t>úblico (CASP) enseja fundamentos de gestão que capacitam a correta análise dos resultados públicos. Nesse sentido o uso dos critérios do manual de contabilidade aplicada ao setor público (MCASP) garante a correta utilização da ferramenta contábil, além de   induzir transparência nos resultados.</w:t>
      </w:r>
    </w:p>
    <w:p w14:paraId="1C6E0683" w14:textId="77777777" w:rsidR="00F1039B" w:rsidRPr="00402422" w:rsidRDefault="00F1039B" w:rsidP="00DB48BE">
      <w:pPr>
        <w:contextualSpacing/>
        <w:rPr>
          <w:rFonts w:eastAsia="Calibri"/>
          <w:szCs w:val="24"/>
        </w:rPr>
      </w:pPr>
      <w:r w:rsidRPr="00402422">
        <w:rPr>
          <w:rFonts w:eastAsia="Calibri"/>
          <w:szCs w:val="24"/>
        </w:rPr>
        <w:t>Os critérios de elaboração, dos balanços do setor público, são ditados pelo MCASP e deverão ser observados pela União, estados, distrito federal e municípios, possibilitando consolidação e evidenciação, com base nos procedimentos do plano de contas aplicado ao setor público (PCASP), combinando regras das leis nº. 4.320/1964 e nº. 101/2000 (Coelho e Quintana, 2008). O manual é organizado conforme regras rígidas, normatizadas a partir de padrões contábeis, específicos, com propósito público que determina que o orçamento é instrumento do planejamento onde as metas predizem que as receitas serão estimadas e as despesas fixadas. Para Resende, Gomes e Leroy, 2016, esta condição garante o controle das contas públicas, por demandarem uma situação de equilíbrio.</w:t>
      </w:r>
    </w:p>
    <w:p w14:paraId="43FC7F18" w14:textId="77777777" w:rsidR="00F1039B" w:rsidRPr="00402422" w:rsidRDefault="00F1039B" w:rsidP="00DB48BE">
      <w:pPr>
        <w:contextualSpacing/>
        <w:rPr>
          <w:rFonts w:eastAsia="Calibri"/>
          <w:szCs w:val="24"/>
        </w:rPr>
      </w:pPr>
      <w:r w:rsidRPr="00402422">
        <w:rPr>
          <w:rFonts w:eastAsia="Calibri"/>
          <w:szCs w:val="24"/>
        </w:rPr>
        <w:t>Para conhecer a performance das organizações públicas, é imprescindível o emprego de técnicas de controle a partir em projeções futuras capazes de prever tendências, validadas por análise das informações das demonstrações contábeis (Resende, Gomes e Leroy, 2016).  Os balanços públicos permitem instrumentalizar a gestão a partir da compilação de informações e dados e da aplicação de indicadores de desempenho para fins de análise e interpretação.</w:t>
      </w:r>
    </w:p>
    <w:p w14:paraId="79DD4F5F" w14:textId="66009E42" w:rsidR="002E10A3" w:rsidRPr="00402422" w:rsidRDefault="00F1039B" w:rsidP="00A34A22">
      <w:pPr>
        <w:contextualSpacing/>
        <w:rPr>
          <w:rFonts w:eastAsia="Calibri"/>
          <w:szCs w:val="24"/>
        </w:rPr>
      </w:pPr>
      <w:r w:rsidRPr="00402422">
        <w:rPr>
          <w:rFonts w:eastAsia="Calibri"/>
          <w:szCs w:val="24"/>
        </w:rPr>
        <w:t>Segundo Grateron (1999) a utilização de indicadores de desempenho na gestão pública possibilita: i) conhecimento dos objetivos e metas perseguidos pela organização ii) obtenção de informações detalhadas das atividades, assim como, a correta compreensão dos custos envolvidos; iii) compressão dos resultados e a possibilidade de compará-los com os padrões ou melhores práticas e, ainda, a possibilidade de aperfeiçoamento do processo de prestação de contas. A utilização de indicadores resultada em vantagens para a administração pública, que ao identificar seus limites. Para Kohama (2016) a aa análise e interpretação por indicadores de desempenho oferece segurança a tomada de decisão. Pode-se inferir que, a aplicação de quocientes é ferramenta útil para atualização segura das metas gove</w:t>
      </w:r>
      <w:r w:rsidR="00A34A22">
        <w:rPr>
          <w:rFonts w:eastAsia="Calibri"/>
          <w:szCs w:val="24"/>
        </w:rPr>
        <w:t>rnamentais, oferecendo convicção</w:t>
      </w:r>
      <w:r w:rsidRPr="00402422">
        <w:rPr>
          <w:rFonts w:eastAsia="Calibri"/>
          <w:szCs w:val="24"/>
        </w:rPr>
        <w:t xml:space="preserve"> para correção de rumos,</w:t>
      </w:r>
      <w:r w:rsidRPr="00402422">
        <w:rPr>
          <w:rFonts w:eastAsia="Calibri"/>
        </w:rPr>
        <w:t xml:space="preserve"> </w:t>
      </w:r>
      <w:r w:rsidRPr="00402422">
        <w:rPr>
          <w:rFonts w:eastAsia="Calibri"/>
          <w:szCs w:val="24"/>
        </w:rPr>
        <w:t>o que permite adequações dos sistemas de controle em tempo hábil</w:t>
      </w:r>
      <w:r w:rsidRPr="00402422">
        <w:rPr>
          <w:rFonts w:eastAsia="Calibri"/>
        </w:rPr>
        <w:t>. A</w:t>
      </w:r>
      <w:r w:rsidR="00A34A22">
        <w:rPr>
          <w:rFonts w:eastAsia="Calibri"/>
        </w:rPr>
        <w:t>ceitando o entendimento acima,</w:t>
      </w:r>
      <w:r w:rsidRPr="00402422">
        <w:rPr>
          <w:rFonts w:eastAsia="Calibri"/>
        </w:rPr>
        <w:t xml:space="preserve"> qual o resultado da aplicação de quocientes nos balanços</w:t>
      </w:r>
      <w:r w:rsidR="00A34A22">
        <w:rPr>
          <w:rFonts w:eastAsia="Calibri"/>
        </w:rPr>
        <w:t xml:space="preserve"> financeiros, </w:t>
      </w:r>
      <w:r w:rsidRPr="00402422">
        <w:rPr>
          <w:rFonts w:eastAsia="Calibri"/>
        </w:rPr>
        <w:t xml:space="preserve">dos </w:t>
      </w:r>
      <w:r w:rsidRPr="00402422">
        <w:rPr>
          <w:rFonts w:eastAsia="Calibri"/>
          <w:szCs w:val="24"/>
        </w:rPr>
        <w:t>municípios do estado do Pará, nos anos de 2015 a 2017</w:t>
      </w:r>
      <w:r w:rsidR="00A34A22">
        <w:rPr>
          <w:rFonts w:eastAsia="Calibri"/>
          <w:szCs w:val="24"/>
        </w:rPr>
        <w:t>, divididos por porte</w:t>
      </w:r>
      <w:r w:rsidRPr="00402422">
        <w:rPr>
          <w:rFonts w:eastAsia="Calibri"/>
          <w:szCs w:val="24"/>
        </w:rPr>
        <w:t>? O objetivo da investigação foi</w:t>
      </w:r>
      <w:r w:rsidRPr="00402422">
        <w:t xml:space="preserve"> </w:t>
      </w:r>
      <w:r w:rsidR="00BF382D" w:rsidRPr="00402422">
        <w:rPr>
          <w:rFonts w:eastAsia="Calibri"/>
          <w:szCs w:val="24"/>
        </w:rPr>
        <w:t xml:space="preserve">conhecer o resultado financeiro dos municípios do estado do Pará de 2015 a 2017 através da análise e aplicação de quocientes aos balanços financeiros dos entes, divididos por porte </w:t>
      </w:r>
    </w:p>
    <w:p w14:paraId="6DF61604" w14:textId="22DD81BC" w:rsidR="00F1039B" w:rsidRPr="00402422" w:rsidRDefault="00F1039B" w:rsidP="00DB48BE">
      <w:pPr>
        <w:contextualSpacing/>
        <w:rPr>
          <w:rFonts w:eastAsia="Calibri"/>
          <w:szCs w:val="24"/>
        </w:rPr>
      </w:pPr>
      <w:r w:rsidRPr="00402422">
        <w:rPr>
          <w:rFonts w:eastAsia="Calibri"/>
          <w:szCs w:val="24"/>
        </w:rPr>
        <w:t>As investigações cientificas são alternativas viáveis de ampliação da visão da sociedade aos resultados públicos possibilitando, assim,</w:t>
      </w:r>
      <w:r w:rsidR="00A34A22">
        <w:rPr>
          <w:rFonts w:eastAsia="Calibri"/>
          <w:szCs w:val="24"/>
        </w:rPr>
        <w:t xml:space="preserve"> o exercício do controle social</w:t>
      </w:r>
      <w:r w:rsidRPr="00402422">
        <w:rPr>
          <w:rFonts w:eastAsia="Calibri"/>
          <w:szCs w:val="24"/>
        </w:rPr>
        <w:t xml:space="preserve"> e, ainda, garante, </w:t>
      </w:r>
      <w:r w:rsidRPr="00402422">
        <w:rPr>
          <w:rFonts w:eastAsia="Calibri"/>
        </w:rPr>
        <w:t xml:space="preserve">aos </w:t>
      </w:r>
      <w:r w:rsidR="00A34A22">
        <w:rPr>
          <w:rFonts w:eastAsia="Calibri"/>
          <w:szCs w:val="24"/>
        </w:rPr>
        <w:t>agentes públicos, ter uma confiança em</w:t>
      </w:r>
      <w:r w:rsidRPr="00402422">
        <w:rPr>
          <w:rFonts w:eastAsia="Calibri"/>
          <w:szCs w:val="24"/>
        </w:rPr>
        <w:t xml:space="preserve"> seus resultados, tornando-se, então, ferramenta de </w:t>
      </w:r>
      <w:r w:rsidRPr="00402422">
        <w:rPr>
          <w:rFonts w:eastAsia="Calibri"/>
          <w:szCs w:val="24"/>
        </w:rPr>
        <w:lastRenderedPageBreak/>
        <w:t xml:space="preserve">controle interno ao possibilitar diversas análises. Estes mesmos </w:t>
      </w:r>
      <w:r w:rsidR="00A34A22">
        <w:rPr>
          <w:rFonts w:eastAsia="Calibri"/>
          <w:szCs w:val="24"/>
        </w:rPr>
        <w:t>resultados podem ensejar a certeza</w:t>
      </w:r>
      <w:r w:rsidRPr="00402422">
        <w:rPr>
          <w:rFonts w:eastAsia="Calibri"/>
          <w:szCs w:val="24"/>
        </w:rPr>
        <w:t xml:space="preserve"> aos órgãos de controle externo.  Esta investigação contribui no aprimoramento do uso da contabilidade aplicada ao setor público e permite gestão de recursos no que diz respeito às finanças públicas. A literatura sobre essa abordagem é defendida por diversos autores que entendem a aplicação de parâmetros, indicadores ou quocientes deve integrar, de forma obrigatória, os relatórios contábeis, porque oferecem transparência nos resultados, gerencia informações financeiras, úteis, para controle e tomada de decisão </w:t>
      </w:r>
      <w:r w:rsidRPr="00402422">
        <w:rPr>
          <w:rFonts w:eastAsia="Calibri"/>
        </w:rPr>
        <w:t>(</w:t>
      </w:r>
      <w:r w:rsidRPr="00402422">
        <w:rPr>
          <w:rFonts w:eastAsia="Calibri"/>
          <w:szCs w:val="24"/>
        </w:rPr>
        <w:t>Guzmán 1991; Grateron,1999; Jubran, 2006, Silva, 2013, Kohama, 2015,</w:t>
      </w:r>
      <w:r w:rsidRPr="00402422">
        <w:t xml:space="preserve"> </w:t>
      </w:r>
      <w:r w:rsidRPr="00402422">
        <w:rPr>
          <w:rFonts w:eastAsia="Calibri"/>
          <w:szCs w:val="24"/>
        </w:rPr>
        <w:t>Fiirst, 2018). A escolha dos municípios do estado do Pará, para esta pesquisa, foi motivada pelo fato de ser escassa as pesquisas no Brasil com análises especificas dos municipios da região norte do país. Esta investigação é fruto de uma pesquisa, em andamento para construção de trabalho de conclusão de curso e a escolha dos balanços municipais, a partir do ano de 2015, se justifica por ser o marco inicial, da exigência de adoção aos entes públicos municipais brasileiros, aos novos padrões contábeis (Brasil, 2016) e o ano de 2017 foi usado como período</w:t>
      </w:r>
      <w:r w:rsidR="001D7599">
        <w:rPr>
          <w:rFonts w:eastAsia="Calibri"/>
          <w:szCs w:val="24"/>
        </w:rPr>
        <w:t>,</w:t>
      </w:r>
      <w:r w:rsidRPr="00402422">
        <w:rPr>
          <w:rFonts w:eastAsia="Calibri"/>
          <w:szCs w:val="24"/>
        </w:rPr>
        <w:t xml:space="preserve"> porque</w:t>
      </w:r>
      <w:r w:rsidR="001D7599">
        <w:rPr>
          <w:rFonts w:eastAsia="Calibri"/>
          <w:szCs w:val="24"/>
        </w:rPr>
        <w:t>,</w:t>
      </w:r>
      <w:r w:rsidRPr="00402422">
        <w:rPr>
          <w:rFonts w:eastAsia="Calibri"/>
          <w:szCs w:val="24"/>
        </w:rPr>
        <w:t xml:space="preserve"> até o final do fechamento deste artigo</w:t>
      </w:r>
      <w:r w:rsidR="001D7599">
        <w:rPr>
          <w:rFonts w:eastAsia="Calibri"/>
          <w:szCs w:val="24"/>
        </w:rPr>
        <w:t>,</w:t>
      </w:r>
      <w:r w:rsidRPr="00402422">
        <w:rPr>
          <w:rFonts w:eastAsia="Calibri"/>
          <w:szCs w:val="24"/>
        </w:rPr>
        <w:t xml:space="preserve"> ainda não haviam sido disponibilizados os balanços gerais de 2018. O tema é relevante para o controle social, garante que a participação, fiscalização, monitoramento e acompanhamento da gestão pública seja mais efetiva. À vista disso, esta pesquisa contribui com um modelo teórico e empírico de avaliação do desempenho dos municipios do estado do Pará.</w:t>
      </w:r>
    </w:p>
    <w:p w14:paraId="14B77830" w14:textId="77777777" w:rsidR="00F1039B" w:rsidRPr="00402422" w:rsidRDefault="00F1039B" w:rsidP="00DB48BE">
      <w:pPr>
        <w:contextualSpacing/>
        <w:rPr>
          <w:rFonts w:eastAsia="Calibri"/>
          <w:szCs w:val="24"/>
        </w:rPr>
      </w:pPr>
      <w:r w:rsidRPr="00402422">
        <w:rPr>
          <w:rFonts w:eastAsia="Calibri"/>
          <w:szCs w:val="24"/>
        </w:rPr>
        <w:t>Para atingir o objetivo, esta investigação foi dividida em cinco seções. Após esta introdução, a seção dois traz a revisão da literatura. A seção seguinte os procedimentos metodológicos. A quarta seção mostra os resultados e análise de pesquisa. A quinta seção trata das considerações finais.</w:t>
      </w:r>
    </w:p>
    <w:p w14:paraId="5D1EBB45" w14:textId="619C59AF" w:rsidR="006E6CAF" w:rsidRPr="00402422" w:rsidRDefault="006E6CAF" w:rsidP="00DD401D">
      <w:pPr>
        <w:rPr>
          <w:rFonts w:eastAsia="Calibri"/>
        </w:rPr>
      </w:pPr>
    </w:p>
    <w:p w14:paraId="4FD9EF65" w14:textId="26AA483B" w:rsidR="00F1039B" w:rsidRPr="00F1039B" w:rsidRDefault="00F1039B" w:rsidP="00F1039B">
      <w:pPr>
        <w:widowControl/>
        <w:suppressLineNumbers w:val="0"/>
        <w:suppressAutoHyphens w:val="0"/>
        <w:ind w:firstLine="0"/>
        <w:contextualSpacing/>
        <w:rPr>
          <w:rFonts w:eastAsia="Calibri"/>
          <w:b/>
          <w:szCs w:val="24"/>
          <w:lang w:eastAsia="en-US"/>
        </w:rPr>
      </w:pPr>
      <w:r w:rsidRPr="00F1039B">
        <w:rPr>
          <w:rFonts w:eastAsia="Calibri"/>
          <w:b/>
          <w:szCs w:val="24"/>
          <w:lang w:eastAsia="en-US"/>
        </w:rPr>
        <w:t xml:space="preserve">2 Revisão </w:t>
      </w:r>
      <w:r>
        <w:rPr>
          <w:rFonts w:eastAsia="Calibri"/>
          <w:b/>
          <w:szCs w:val="24"/>
          <w:lang w:eastAsia="en-US"/>
        </w:rPr>
        <w:t>da</w:t>
      </w:r>
      <w:r w:rsidRPr="00F1039B">
        <w:rPr>
          <w:rFonts w:eastAsia="Calibri"/>
          <w:b/>
          <w:szCs w:val="24"/>
          <w:lang w:eastAsia="en-US"/>
        </w:rPr>
        <w:t xml:space="preserve"> Literatura</w:t>
      </w:r>
    </w:p>
    <w:p w14:paraId="76C1CFD4" w14:textId="77777777" w:rsidR="00F1039B" w:rsidRPr="00F1039B" w:rsidRDefault="00F1039B" w:rsidP="00F1039B">
      <w:pPr>
        <w:widowControl/>
        <w:suppressLineNumbers w:val="0"/>
        <w:suppressAutoHyphens w:val="0"/>
        <w:ind w:firstLine="0"/>
        <w:contextualSpacing/>
        <w:rPr>
          <w:rFonts w:eastAsia="Calibri"/>
          <w:b/>
          <w:szCs w:val="24"/>
          <w:lang w:eastAsia="en-US"/>
        </w:rPr>
      </w:pPr>
    </w:p>
    <w:p w14:paraId="044EE591" w14:textId="77777777" w:rsidR="00F1039B" w:rsidRPr="00F1039B" w:rsidRDefault="00F1039B" w:rsidP="00F1039B">
      <w:pPr>
        <w:widowControl/>
        <w:suppressLineNumbers w:val="0"/>
        <w:suppressAutoHyphens w:val="0"/>
        <w:ind w:firstLine="0"/>
        <w:contextualSpacing/>
        <w:rPr>
          <w:rFonts w:eastAsia="Calibri"/>
          <w:b/>
          <w:szCs w:val="22"/>
          <w:lang w:eastAsia="en-US"/>
        </w:rPr>
      </w:pPr>
      <w:r w:rsidRPr="00F1039B">
        <w:rPr>
          <w:rFonts w:eastAsia="Calibri"/>
          <w:b/>
          <w:szCs w:val="22"/>
          <w:lang w:eastAsia="en-US"/>
        </w:rPr>
        <w:t>2.1 Os Balanços Governamentais</w:t>
      </w:r>
    </w:p>
    <w:p w14:paraId="57C44956" w14:textId="77777777" w:rsidR="00DB48BE" w:rsidRDefault="00DB48BE" w:rsidP="00DB48BE">
      <w:pPr>
        <w:ind w:firstLine="708"/>
        <w:contextualSpacing/>
        <w:rPr>
          <w:rFonts w:eastAsia="Calibri"/>
        </w:rPr>
      </w:pPr>
    </w:p>
    <w:p w14:paraId="1CCF03B4" w14:textId="0F368B17" w:rsidR="00DB48BE" w:rsidRPr="00334A56" w:rsidRDefault="002E10A3" w:rsidP="006E4134">
      <w:pPr>
        <w:rPr>
          <w:rFonts w:eastAsia="Calibri"/>
        </w:rPr>
      </w:pPr>
      <w:r>
        <w:rPr>
          <w:rFonts w:eastAsia="Calibri"/>
        </w:rPr>
        <w:t xml:space="preserve">Os balanços governamentais têm característica </w:t>
      </w:r>
      <w:r w:rsidR="002F743C">
        <w:rPr>
          <w:rFonts w:eastAsia="Calibri"/>
        </w:rPr>
        <w:t>ímpar de</w:t>
      </w:r>
      <w:r w:rsidR="00DB48BE" w:rsidRPr="00334A56">
        <w:rPr>
          <w:rFonts w:eastAsia="Calibri"/>
        </w:rPr>
        <w:t xml:space="preserve"> </w:t>
      </w:r>
      <w:r w:rsidR="002F743C">
        <w:rPr>
          <w:rFonts w:eastAsia="Calibri"/>
        </w:rPr>
        <w:t>apresentação, até porque sua elaboração está baseada na escrituração dos atos e fatos das organizações que integram o setor público (Kohama, 2015</w:t>
      </w:r>
      <w:r w:rsidR="00DB48BE" w:rsidRPr="00334A56">
        <w:rPr>
          <w:rFonts w:eastAsia="Calibri"/>
        </w:rPr>
        <w:t xml:space="preserve">). </w:t>
      </w:r>
      <w:r w:rsidR="002F743C">
        <w:rPr>
          <w:rFonts w:eastAsia="Calibri"/>
        </w:rPr>
        <w:t>As regras, métodos e condições para escrituração das demonstrações contábeis da área pública são determinadas na Contabilidade Aplicada ao Setor Público. Tais re</w:t>
      </w:r>
      <w:r w:rsidR="00DB48BE" w:rsidRPr="00334A56">
        <w:rPr>
          <w:rFonts w:eastAsia="Calibri"/>
        </w:rPr>
        <w:t xml:space="preserve">latórios, representam o conjunto </w:t>
      </w:r>
      <w:r w:rsidR="00DB48BE">
        <w:rPr>
          <w:rFonts w:eastAsia="Calibri"/>
        </w:rPr>
        <w:t>de</w:t>
      </w:r>
      <w:r w:rsidR="00DB48BE" w:rsidRPr="00334A56">
        <w:rPr>
          <w:rFonts w:eastAsia="Calibri"/>
        </w:rPr>
        <w:t xml:space="preserve"> informações orçamentárias, financeiras e patrimoniais </w:t>
      </w:r>
      <w:r w:rsidR="00DB48BE">
        <w:rPr>
          <w:rFonts w:eastAsia="Calibri"/>
        </w:rPr>
        <w:t xml:space="preserve">consolidadas </w:t>
      </w:r>
      <w:r w:rsidR="00DB48BE" w:rsidRPr="00334A56">
        <w:rPr>
          <w:rFonts w:eastAsia="Calibri"/>
        </w:rPr>
        <w:t>da gestão federal, estadual</w:t>
      </w:r>
      <w:r w:rsidR="002F743C">
        <w:rPr>
          <w:rFonts w:eastAsia="Calibri"/>
        </w:rPr>
        <w:t xml:space="preserve"> ou municipal (Brasil, 2016). Para elaboração e apresentação da modelagem atual é necessário seguir diretivas do Manual de Contabilidade Aplicada ao Setor Público (MCASP). A finalidade precípua é </w:t>
      </w:r>
      <w:r w:rsidR="00A1428D">
        <w:rPr>
          <w:rFonts w:eastAsia="Calibri"/>
        </w:rPr>
        <w:t xml:space="preserve">a instrumentalização </w:t>
      </w:r>
      <w:r w:rsidR="00A1428D" w:rsidRPr="00334A56">
        <w:rPr>
          <w:rFonts w:eastAsia="Calibri"/>
        </w:rPr>
        <w:t>do</w:t>
      </w:r>
      <w:r w:rsidR="00DB48BE" w:rsidRPr="00334A56">
        <w:rPr>
          <w:rFonts w:eastAsia="Calibri"/>
        </w:rPr>
        <w:t xml:space="preserve"> controle e</w:t>
      </w:r>
      <w:r w:rsidR="002F743C">
        <w:rPr>
          <w:rFonts w:eastAsia="Calibri"/>
        </w:rPr>
        <w:t xml:space="preserve"> transparência dos resultados das entidades públicas.</w:t>
      </w:r>
    </w:p>
    <w:p w14:paraId="4CCDD4F3" w14:textId="77777777" w:rsidR="00DB48BE" w:rsidRPr="00334A56" w:rsidRDefault="00DB48BE" w:rsidP="006E4134">
      <w:pPr>
        <w:rPr>
          <w:rFonts w:eastAsia="Calibri"/>
        </w:rPr>
      </w:pPr>
      <w:r w:rsidRPr="00334A56">
        <w:rPr>
          <w:rFonts w:eastAsia="Calibri"/>
        </w:rPr>
        <w:t>Jubran, (2006) afirma que a contabilidade aplicada ao setor público (CASP) é um dos ramos mais complexos e importantes da ciência contábil e seus relatórios produzem efetividade às organizações públicas. Para Soares et al, (2011) a CASP é vocacionada para captar, acumular, registrar e interpretar fenômenos contábeis que afetam a situação orçamentária, financeira e patrimonial dos órgãos públicos.</w:t>
      </w:r>
      <w:r>
        <w:rPr>
          <w:rFonts w:eastAsia="Calibri"/>
        </w:rPr>
        <w:t xml:space="preserve"> Os balanços públicos registram</w:t>
      </w:r>
      <w:r w:rsidRPr="00334A56">
        <w:rPr>
          <w:rFonts w:eastAsia="Calibri"/>
        </w:rPr>
        <w:t xml:space="preserve"> </w:t>
      </w:r>
      <w:r>
        <w:rPr>
          <w:rFonts w:eastAsia="Calibri"/>
        </w:rPr>
        <w:t xml:space="preserve">fenômenos contábeis que </w:t>
      </w:r>
      <w:r w:rsidRPr="00334A56">
        <w:rPr>
          <w:rFonts w:eastAsia="Calibri"/>
        </w:rPr>
        <w:t xml:space="preserve">facilitar análises e interpretações dos usuários internos e externos (Brasil, 2016). </w:t>
      </w:r>
      <w:r>
        <w:rPr>
          <w:rFonts w:eastAsia="Calibri"/>
        </w:rPr>
        <w:t xml:space="preserve">Os balanços </w:t>
      </w:r>
      <w:r>
        <w:rPr>
          <w:rFonts w:eastAsia="Calibri"/>
        </w:rPr>
        <w:lastRenderedPageBreak/>
        <w:t>governamentais são instrumentos da adequada prestação de contas, induzem a</w:t>
      </w:r>
      <w:r w:rsidRPr="00334A56">
        <w:rPr>
          <w:rFonts w:eastAsia="Calibri"/>
        </w:rPr>
        <w:t xml:space="preserve"> transparência da gestão fiscal e possibilitam controle aos diversos organismos internos, externos e sociais. Foram introduzidos no cenário contábil brasileiro a partir da lei federal nº 4.320 de 1964, posteriormente, a lei complementar nº 101/2000 determinou critérios de transparência e gestão fiscal. </w:t>
      </w:r>
    </w:p>
    <w:p w14:paraId="0F6F4FD6" w14:textId="2E1C2CEB" w:rsidR="00DB48BE" w:rsidRPr="00A1428D" w:rsidRDefault="00DB48BE" w:rsidP="006E4134">
      <w:pPr>
        <w:rPr>
          <w:rFonts w:eastAsia="Calibri"/>
          <w:color w:val="0070C0"/>
        </w:rPr>
      </w:pPr>
      <w:r w:rsidRPr="00334A56">
        <w:rPr>
          <w:rFonts w:eastAsia="Calibri"/>
        </w:rPr>
        <w:t>A partir da exigência de padronização às normas internacionais</w:t>
      </w:r>
      <w:r>
        <w:rPr>
          <w:rFonts w:eastAsia="Calibri"/>
        </w:rPr>
        <w:t xml:space="preserve"> houve uma parametrização d</w:t>
      </w:r>
      <w:r w:rsidRPr="00334A56">
        <w:rPr>
          <w:rFonts w:eastAsia="Calibri"/>
        </w:rPr>
        <w:t xml:space="preserve">a norma brasileira de contabilidade (NBC) e </w:t>
      </w:r>
      <w:r>
        <w:rPr>
          <w:rFonts w:eastAsia="Calibri"/>
        </w:rPr>
        <w:t>d</w:t>
      </w:r>
      <w:r w:rsidRPr="00334A56">
        <w:rPr>
          <w:rFonts w:eastAsia="Calibri"/>
        </w:rPr>
        <w:t xml:space="preserve">o manual de contabilidade aplicada ao setor público (MCASP) </w:t>
      </w:r>
      <w:r>
        <w:rPr>
          <w:rFonts w:eastAsia="Calibri"/>
        </w:rPr>
        <w:t xml:space="preserve">que </w:t>
      </w:r>
      <w:r w:rsidRPr="00334A56">
        <w:rPr>
          <w:rFonts w:eastAsia="Calibri"/>
        </w:rPr>
        <w:t xml:space="preserve">atualizaram </w:t>
      </w:r>
      <w:r w:rsidR="00A1428D">
        <w:rPr>
          <w:rFonts w:eastAsia="Calibri"/>
        </w:rPr>
        <w:t xml:space="preserve">a </w:t>
      </w:r>
      <w:r w:rsidRPr="00334A56">
        <w:rPr>
          <w:rFonts w:eastAsia="Calibri"/>
        </w:rPr>
        <w:t xml:space="preserve">forma de elaboração e </w:t>
      </w:r>
      <w:r w:rsidR="00A1428D">
        <w:rPr>
          <w:rFonts w:eastAsia="Calibri"/>
        </w:rPr>
        <w:t xml:space="preserve">os </w:t>
      </w:r>
      <w:r w:rsidRPr="00334A56">
        <w:rPr>
          <w:rFonts w:eastAsia="Calibri"/>
        </w:rPr>
        <w:t xml:space="preserve">padrões de apresentação. </w:t>
      </w:r>
      <w:r w:rsidR="00A1428D" w:rsidRPr="00A1428D">
        <w:rPr>
          <w:rFonts w:eastAsia="Calibri"/>
        </w:rPr>
        <w:t>Esta pesquisa aborda o</w:t>
      </w:r>
      <w:r w:rsidRPr="00A1428D">
        <w:rPr>
          <w:rFonts w:eastAsia="Calibri"/>
        </w:rPr>
        <w:t xml:space="preserve"> </w:t>
      </w:r>
      <w:r w:rsidR="00A1428D" w:rsidRPr="00A1428D">
        <w:rPr>
          <w:rFonts w:eastAsia="Calibri"/>
        </w:rPr>
        <w:t>resultado financeiro dos municípios do estado do Pará no período de 2015 a 2017</w:t>
      </w:r>
      <w:r w:rsidRPr="00A1428D">
        <w:rPr>
          <w:rFonts w:eastAsia="Calibri"/>
        </w:rPr>
        <w:t xml:space="preserve">, a partir </w:t>
      </w:r>
      <w:r w:rsidR="00A1428D" w:rsidRPr="00A1428D">
        <w:rPr>
          <w:rFonts w:eastAsia="Calibri"/>
        </w:rPr>
        <w:t>de aplicação de</w:t>
      </w:r>
      <w:r w:rsidRPr="00A1428D">
        <w:rPr>
          <w:rFonts w:eastAsia="Calibri"/>
        </w:rPr>
        <w:t xml:space="preserve"> quocientes que </w:t>
      </w:r>
      <w:r w:rsidR="00A1428D" w:rsidRPr="00A1428D">
        <w:rPr>
          <w:rFonts w:eastAsia="Calibri"/>
        </w:rPr>
        <w:t>permitam uma investigação dos fatos com base nos dados apresentados nos Balanços Financeiros</w:t>
      </w:r>
      <w:r w:rsidR="00A1428D">
        <w:rPr>
          <w:rFonts w:eastAsia="Calibri"/>
          <w:color w:val="0070C0"/>
        </w:rPr>
        <w:t>.</w:t>
      </w:r>
      <w:r w:rsidRPr="00A1428D">
        <w:rPr>
          <w:rFonts w:eastAsia="Calibri"/>
          <w:color w:val="0070C0"/>
        </w:rPr>
        <w:t xml:space="preserve"> </w:t>
      </w:r>
      <w:r w:rsidRPr="00A1428D">
        <w:rPr>
          <w:rFonts w:eastAsia="Calibri"/>
        </w:rPr>
        <w:t xml:space="preserve"> Para Jubran, (2006</w:t>
      </w:r>
      <w:r w:rsidRPr="00334A56">
        <w:rPr>
          <w:rFonts w:eastAsia="Calibri"/>
        </w:rPr>
        <w:t xml:space="preserve">) a análise </w:t>
      </w:r>
      <w:r>
        <w:rPr>
          <w:rFonts w:eastAsia="Calibri"/>
        </w:rPr>
        <w:t>por quocientes</w:t>
      </w:r>
      <w:r w:rsidRPr="00334A56">
        <w:rPr>
          <w:rFonts w:eastAsia="Calibri"/>
        </w:rPr>
        <w:t xml:space="preserve"> possibilita o</w:t>
      </w:r>
      <w:r>
        <w:rPr>
          <w:rFonts w:eastAsia="Calibri"/>
        </w:rPr>
        <w:t xml:space="preserve"> correto </w:t>
      </w:r>
      <w:r w:rsidRPr="00334A56">
        <w:rPr>
          <w:rFonts w:eastAsia="Calibri"/>
        </w:rPr>
        <w:t>conhecimento dos resultados das organizações públicas, no que é acompanhado por Kohama, (2015) quando ensina</w:t>
      </w:r>
      <w:r>
        <w:rPr>
          <w:rFonts w:eastAsia="Calibri"/>
        </w:rPr>
        <w:t xml:space="preserve"> que a aplicação de quociente</w:t>
      </w:r>
      <w:r w:rsidRPr="00334A56">
        <w:rPr>
          <w:rFonts w:eastAsia="Calibri"/>
        </w:rPr>
        <w:t xml:space="preserve"> é uma técnica capaz de produzir, com oportunidade e fidedignidade, análises dos balanços públicos </w:t>
      </w:r>
      <w:r w:rsidR="00A1428D">
        <w:rPr>
          <w:rFonts w:eastAsia="Calibri"/>
        </w:rPr>
        <w:t>tornando a</w:t>
      </w:r>
      <w:r w:rsidRPr="00334A56">
        <w:rPr>
          <w:rFonts w:eastAsia="Calibri"/>
        </w:rPr>
        <w:t xml:space="preserve"> tomada de decisão e</w:t>
      </w:r>
      <w:r w:rsidR="00641433">
        <w:rPr>
          <w:rFonts w:eastAsia="Calibri"/>
        </w:rPr>
        <w:t xml:space="preserve"> o controle dos gastos públicos mais efetivos.</w:t>
      </w:r>
      <w:r w:rsidRPr="00334A56">
        <w:rPr>
          <w:rFonts w:eastAsia="Calibri"/>
        </w:rPr>
        <w:t xml:space="preserve"> </w:t>
      </w:r>
    </w:p>
    <w:p w14:paraId="7C0E854E" w14:textId="1112D57F" w:rsidR="00395C32" w:rsidRDefault="008315B4" w:rsidP="006E4134">
      <w:pPr>
        <w:rPr>
          <w:rFonts w:eastAsia="Calibri"/>
        </w:rPr>
      </w:pPr>
      <w:r>
        <w:rPr>
          <w:rFonts w:eastAsia="Calibri"/>
        </w:rPr>
        <w:t>Conforme o artigo 103 da lei 4.320/64 o</w:t>
      </w:r>
      <w:r w:rsidR="008570B0" w:rsidRPr="008570B0">
        <w:rPr>
          <w:rFonts w:eastAsia="Calibri"/>
        </w:rPr>
        <w:t xml:space="preserve"> balanço financeiro demonstrará a receita e despesa orçamentárias, bem como os recebimentos e os pagamentos de natureza extraorçamentárias, conjugados com os saldos </w:t>
      </w:r>
      <w:r>
        <w:rPr>
          <w:rFonts w:eastAsia="Calibri"/>
        </w:rPr>
        <w:t xml:space="preserve">em espécie provenientes do exercício anterior, e os que se </w:t>
      </w:r>
      <w:r w:rsidR="00FF2C80">
        <w:rPr>
          <w:rFonts w:eastAsia="Calibri"/>
        </w:rPr>
        <w:t>transferem para o exercício seguinte.</w:t>
      </w:r>
      <w:r w:rsidR="005F05E5">
        <w:rPr>
          <w:rFonts w:eastAsia="Calibri"/>
        </w:rPr>
        <w:t xml:space="preserve"> Uma característica, descrita no parágrafo </w:t>
      </w:r>
      <w:r w:rsidR="00395C32">
        <w:rPr>
          <w:rFonts w:eastAsia="Calibri"/>
        </w:rPr>
        <w:t>único deve</w:t>
      </w:r>
      <w:r w:rsidR="005F05E5">
        <w:rPr>
          <w:rFonts w:eastAsia="Calibri"/>
        </w:rPr>
        <w:t xml:space="preserve"> ser observada</w:t>
      </w:r>
      <w:r w:rsidR="00395C32">
        <w:rPr>
          <w:rFonts w:eastAsia="Calibri"/>
        </w:rPr>
        <w:t xml:space="preserve"> no que concerne ao tratamento dado aos restos a pagar, que estabelece que os restos a pagar do exercício serão computados na receita Extraorçamentária para compensar sua inclusão da despesa Extraorçamentária.</w:t>
      </w:r>
    </w:p>
    <w:p w14:paraId="5F28ED2A" w14:textId="2B56BD67" w:rsidR="00DB48BE" w:rsidRDefault="005F05E5" w:rsidP="006E4134">
      <w:pPr>
        <w:rPr>
          <w:rFonts w:eastAsia="Calibri"/>
        </w:rPr>
      </w:pPr>
      <w:r w:rsidRPr="00395C32">
        <w:rPr>
          <w:rFonts w:eastAsia="Calibri"/>
        </w:rPr>
        <w:t xml:space="preserve"> </w:t>
      </w:r>
      <w:r w:rsidR="00395C32">
        <w:rPr>
          <w:rFonts w:eastAsia="Calibri"/>
        </w:rPr>
        <w:t xml:space="preserve">Para Kohama (2015) do ponto de vista financeiros, essa determinação legal, tem a finalidade de igualar o regime de escrituração o proceder a inclusão dos restos </w:t>
      </w:r>
      <w:r w:rsidR="00E878C7">
        <w:rPr>
          <w:rFonts w:eastAsia="Calibri"/>
        </w:rPr>
        <w:t>a</w:t>
      </w:r>
      <w:r w:rsidR="00395C32">
        <w:rPr>
          <w:rFonts w:eastAsia="Calibri"/>
        </w:rPr>
        <w:t xml:space="preserve"> pagar do exercício na receita </w:t>
      </w:r>
      <w:r w:rsidR="00A86728">
        <w:rPr>
          <w:rFonts w:eastAsia="Calibri"/>
        </w:rPr>
        <w:t>extraorçamentária</w:t>
      </w:r>
      <w:r w:rsidR="00395C32">
        <w:rPr>
          <w:rFonts w:eastAsia="Calibri"/>
        </w:rPr>
        <w:t xml:space="preserve">, faz com </w:t>
      </w:r>
      <w:r w:rsidR="00A86728">
        <w:rPr>
          <w:rFonts w:eastAsia="Calibri"/>
        </w:rPr>
        <w:t>que a</w:t>
      </w:r>
      <w:r w:rsidR="00395C32">
        <w:rPr>
          <w:rFonts w:eastAsia="Calibri"/>
        </w:rPr>
        <w:t xml:space="preserve"> despesa</w:t>
      </w:r>
      <w:r w:rsidR="00A86728">
        <w:rPr>
          <w:rFonts w:eastAsia="Calibri"/>
        </w:rPr>
        <w:t xml:space="preserve"> orçamentaria seja considerada como se fosse registrada pelo regime de caixa. Para o autor a prescrição da lei 4.320</w:t>
      </w:r>
      <w:r w:rsidR="00E878C7">
        <w:rPr>
          <w:rFonts w:eastAsia="Calibri"/>
        </w:rPr>
        <w:t xml:space="preserve"> compensa seu próprio tratamento dicotômico determinado no artigo 35 quando prescreve que </w:t>
      </w:r>
      <w:r w:rsidR="00A7169E">
        <w:rPr>
          <w:rFonts w:eastAsia="Calibri"/>
        </w:rPr>
        <w:t xml:space="preserve">pertencem ao exercício financeiro tanto </w:t>
      </w:r>
      <w:r w:rsidR="00A7169E" w:rsidRPr="00A7169E">
        <w:rPr>
          <w:rFonts w:eastAsia="Calibri"/>
        </w:rPr>
        <w:t>as receitas nele</w:t>
      </w:r>
      <w:r w:rsidR="00A7169E">
        <w:rPr>
          <w:rFonts w:eastAsia="Calibri"/>
        </w:rPr>
        <w:t xml:space="preserve"> arrecadadas, </w:t>
      </w:r>
      <w:r w:rsidR="00A7169E" w:rsidRPr="00A7169E">
        <w:rPr>
          <w:rFonts w:eastAsia="Calibri"/>
        </w:rPr>
        <w:t>as despesas nele legalmente empenhadas.</w:t>
      </w:r>
    </w:p>
    <w:p w14:paraId="0EBC2280" w14:textId="77777777" w:rsidR="005A6B4D" w:rsidRDefault="00BE4757" w:rsidP="006E4134">
      <w:pPr>
        <w:rPr>
          <w:rFonts w:eastAsia="Calibri"/>
        </w:rPr>
      </w:pPr>
      <w:r>
        <w:rPr>
          <w:rFonts w:eastAsia="Calibri"/>
        </w:rPr>
        <w:t xml:space="preserve">Relativamente às operações financeiras que não são provenientes da execução orçamentária o art.93 da lei 4.30/64 determina que </w:t>
      </w:r>
      <w:r w:rsidR="00C90ED1">
        <w:rPr>
          <w:rFonts w:eastAsia="Calibri"/>
        </w:rPr>
        <w:t>todas as operações de que resultem débitos e créditos de natureza financeira</w:t>
      </w:r>
      <w:r w:rsidR="00202F0C">
        <w:rPr>
          <w:rFonts w:eastAsia="Calibri"/>
        </w:rPr>
        <w:t>, não compreendidas na execução orçamentária, serão objeto de registro, individuação e controle contábil.</w:t>
      </w:r>
      <w:r w:rsidR="008A4DE3">
        <w:rPr>
          <w:rFonts w:eastAsia="Calibri"/>
        </w:rPr>
        <w:t xml:space="preserve"> </w:t>
      </w:r>
      <w:r w:rsidR="00202F0C">
        <w:rPr>
          <w:rFonts w:eastAsia="Calibri"/>
        </w:rPr>
        <w:t>Kohama (2015) ensina que um exame na composição e no conteúdo da parte extraorçamentária do Balanço Financeiro</w:t>
      </w:r>
      <w:r w:rsidR="003666DE">
        <w:rPr>
          <w:rFonts w:eastAsia="Calibri"/>
        </w:rPr>
        <w:t xml:space="preserve"> leva a conclusão que as contas, deste grupo, constituem a chamada dívida flutuante. Ora, a legislação endereça as conclusões de Kohama, posto que, no art. 92 está cristalino a sinalização que a dívida flutuante compreende: i) os restos a pagar, excluídos os serviços da dívida; ii) os serviços da dívida a pagar; iii) os depósitos; e, iv) os débitos de tesouraria.</w:t>
      </w:r>
      <w:r w:rsidR="008A4DE3">
        <w:rPr>
          <w:rFonts w:eastAsia="Calibri"/>
        </w:rPr>
        <w:t xml:space="preserve"> </w:t>
      </w:r>
      <w:r w:rsidR="00702CBC">
        <w:rPr>
          <w:rFonts w:eastAsia="Calibri"/>
        </w:rPr>
        <w:t>Vale salientar, que os registros dos restos a pagar deverão serão feitos por exercício e por credor, distinguindo-se as despesas processadas da não processadas (Brasil, 1964).</w:t>
      </w:r>
      <w:r w:rsidR="008A4DE3">
        <w:rPr>
          <w:rFonts w:eastAsia="Calibri"/>
        </w:rPr>
        <w:t xml:space="preserve"> </w:t>
      </w:r>
      <w:r w:rsidR="00EC1F5E">
        <w:rPr>
          <w:rFonts w:eastAsia="Calibri"/>
        </w:rPr>
        <w:t>Dessarte</w:t>
      </w:r>
      <w:r w:rsidR="005A6B4D">
        <w:rPr>
          <w:rFonts w:eastAsia="Calibri"/>
        </w:rPr>
        <w:t xml:space="preserve"> é</w:t>
      </w:r>
      <w:r w:rsidR="00EC1F5E">
        <w:rPr>
          <w:rFonts w:eastAsia="Calibri"/>
        </w:rPr>
        <w:t xml:space="preserve"> preciso observar que no Balanço </w:t>
      </w:r>
      <w:r w:rsidR="00040ADC">
        <w:rPr>
          <w:rFonts w:eastAsia="Calibri"/>
        </w:rPr>
        <w:t>Financeiro</w:t>
      </w:r>
      <w:r w:rsidR="00EC1F5E">
        <w:rPr>
          <w:rFonts w:eastAsia="Calibri"/>
        </w:rPr>
        <w:t xml:space="preserve"> são </w:t>
      </w:r>
      <w:r w:rsidR="00040ADC">
        <w:rPr>
          <w:rFonts w:eastAsia="Calibri"/>
        </w:rPr>
        <w:t>demonstrados</w:t>
      </w:r>
      <w:r w:rsidR="00EC1F5E">
        <w:rPr>
          <w:rFonts w:eastAsia="Calibri"/>
        </w:rPr>
        <w:t xml:space="preserve"> os movimentos financeiros do exercício, significando a somatória das operações realizadas durante o exercício</w:t>
      </w:r>
      <w:r w:rsidR="00586060">
        <w:rPr>
          <w:rFonts w:eastAsia="Calibri"/>
        </w:rPr>
        <w:t>.</w:t>
      </w:r>
      <w:r w:rsidR="00EC1F5E">
        <w:rPr>
          <w:rFonts w:eastAsia="Calibri"/>
        </w:rPr>
        <w:t xml:space="preserve"> </w:t>
      </w:r>
    </w:p>
    <w:p w14:paraId="45FAEA2C" w14:textId="62843322" w:rsidR="00EC1F5E" w:rsidRPr="00395C32" w:rsidRDefault="00EC1F5E" w:rsidP="006E4134">
      <w:pPr>
        <w:rPr>
          <w:rFonts w:eastAsia="Calibri"/>
        </w:rPr>
      </w:pPr>
      <w:r>
        <w:rPr>
          <w:rFonts w:eastAsia="Calibri"/>
        </w:rPr>
        <w:t xml:space="preserve"> </w:t>
      </w:r>
    </w:p>
    <w:p w14:paraId="462982A3" w14:textId="3547EB3F" w:rsidR="00F1039B" w:rsidRDefault="00E262AD" w:rsidP="00E262AD">
      <w:pPr>
        <w:ind w:firstLine="0"/>
        <w:rPr>
          <w:rFonts w:eastAsia="Calibri"/>
          <w:b/>
          <w:bCs/>
        </w:rPr>
      </w:pPr>
      <w:r w:rsidRPr="00E262AD">
        <w:rPr>
          <w:rFonts w:eastAsia="Calibri"/>
          <w:b/>
          <w:bCs/>
        </w:rPr>
        <w:lastRenderedPageBreak/>
        <w:t>2.2 Análise e Interpretação dos Balanços Públicos por Quocientes.</w:t>
      </w:r>
    </w:p>
    <w:p w14:paraId="72DE94A6" w14:textId="77777777" w:rsidR="002D10C8" w:rsidRDefault="002D10C8" w:rsidP="002D10C8">
      <w:pPr>
        <w:rPr>
          <w:rFonts w:eastAsia="Calibri"/>
        </w:rPr>
      </w:pPr>
    </w:p>
    <w:p w14:paraId="142445D2" w14:textId="3DC325B3" w:rsidR="002D10C8" w:rsidRDefault="002D10C8" w:rsidP="00D30A19">
      <w:pPr>
        <w:rPr>
          <w:rFonts w:eastAsia="Calibri"/>
        </w:rPr>
      </w:pPr>
      <w:r w:rsidRPr="00334A56">
        <w:rPr>
          <w:rFonts w:eastAsia="Calibri"/>
        </w:rPr>
        <w:t>A principal finalidade dos órgãos e entidades o setor público é prestar serviços à sociedade, sem a proposição de lucro ou retorno financeiro. Para Kohama, (2015) a análise e interpretação dos balanços públicos, por quociente</w:t>
      </w:r>
      <w:r w:rsidR="008A4DE3">
        <w:rPr>
          <w:rFonts w:eastAsia="Calibri"/>
        </w:rPr>
        <w:t xml:space="preserve">s, deve ser efetuada com técnicas </w:t>
      </w:r>
      <w:r w:rsidR="008A4DE3" w:rsidRPr="00334A56">
        <w:rPr>
          <w:rFonts w:eastAsia="Calibri"/>
        </w:rPr>
        <w:t>diferente</w:t>
      </w:r>
      <w:r w:rsidR="008A4DE3">
        <w:rPr>
          <w:rFonts w:eastAsia="Calibri"/>
        </w:rPr>
        <w:t>s das aplicadas</w:t>
      </w:r>
      <w:r w:rsidRPr="00334A56">
        <w:rPr>
          <w:rFonts w:eastAsia="Calibri"/>
        </w:rPr>
        <w:t xml:space="preserve"> empregada aos balanços das entidades privadas empresariais comerciais ou</w:t>
      </w:r>
      <w:r w:rsidRPr="00334A56">
        <w:rPr>
          <w:rFonts w:eastAsia="Calibri"/>
          <w:b/>
        </w:rPr>
        <w:t xml:space="preserve"> </w:t>
      </w:r>
      <w:r w:rsidRPr="00334A56">
        <w:rPr>
          <w:rFonts w:eastAsia="Calibri"/>
        </w:rPr>
        <w:t xml:space="preserve">industriais, </w:t>
      </w:r>
      <w:r w:rsidR="008A4DE3">
        <w:rPr>
          <w:rFonts w:eastAsia="Calibri"/>
        </w:rPr>
        <w:t xml:space="preserve">porque os órgãos e entidades públicas não têm </w:t>
      </w:r>
      <w:r w:rsidR="008A4DE3" w:rsidRPr="00334A56">
        <w:rPr>
          <w:rFonts w:eastAsia="Calibri"/>
        </w:rPr>
        <w:t>preocupações relativas</w:t>
      </w:r>
      <w:r w:rsidRPr="00334A56">
        <w:rPr>
          <w:rFonts w:eastAsia="Calibri"/>
        </w:rPr>
        <w:t xml:space="preserve"> a rentabilidade, resultado de lucros e perdas,</w:t>
      </w:r>
      <w:r w:rsidRPr="00334A56">
        <w:rPr>
          <w:rFonts w:eastAsia="Calibri"/>
          <w:b/>
        </w:rPr>
        <w:t xml:space="preserve"> </w:t>
      </w:r>
      <w:r w:rsidRPr="00334A56">
        <w:rPr>
          <w:rFonts w:eastAsia="Calibri"/>
        </w:rPr>
        <w:t xml:space="preserve">índices de liquidez e imobilização de capitais. </w:t>
      </w:r>
      <w:r w:rsidR="008A4DE3">
        <w:rPr>
          <w:rFonts w:eastAsia="Calibri"/>
        </w:rPr>
        <w:t>Essas</w:t>
      </w:r>
      <w:r w:rsidRPr="00334A56">
        <w:rPr>
          <w:rFonts w:eastAsia="Calibri"/>
        </w:rPr>
        <w:t xml:space="preserve"> questões, não estão no foco das entidades públicas, que, são de outra ordem e especificidade, mas, não de menor importância, porque perseguem o lucro social.</w:t>
      </w:r>
    </w:p>
    <w:p w14:paraId="19F4C909" w14:textId="30394B47" w:rsidR="002D10C8" w:rsidRPr="00700F46" w:rsidRDefault="0083015B" w:rsidP="00D30A19">
      <w:pPr>
        <w:rPr>
          <w:rFonts w:eastAsia="Calibri"/>
        </w:rPr>
      </w:pPr>
      <w:r>
        <w:rPr>
          <w:rFonts w:eastAsia="Calibri"/>
        </w:rPr>
        <w:t>Kohama (2015) ensina que a</w:t>
      </w:r>
      <w:r w:rsidR="002D10C8" w:rsidRPr="000E664E">
        <w:rPr>
          <w:rFonts w:eastAsia="Calibri"/>
        </w:rPr>
        <w:t xml:space="preserve"> análise e interpretação tem importância impar para coleta de dados e informações porque oportunizam a obtenção de detalhes que ajudam na investigação dos fatos</w:t>
      </w:r>
      <w:r w:rsidR="002D10C8" w:rsidRPr="000E664E">
        <w:t xml:space="preserve"> </w:t>
      </w:r>
      <w:r w:rsidR="002D10C8" w:rsidRPr="000E664E">
        <w:rPr>
          <w:rFonts w:eastAsia="Calibri"/>
        </w:rPr>
        <w:t>Este autor aconselha o uso de quocientes, para analisar a performance pública, por serem estatísticas capazes de retratar situações e mudanças de amplitude ao longo do tempo.</w:t>
      </w:r>
      <w:r>
        <w:rPr>
          <w:rFonts w:eastAsia="Calibri"/>
        </w:rPr>
        <w:t xml:space="preserve"> </w:t>
      </w:r>
      <w:r w:rsidR="002D10C8" w:rsidRPr="00334A56">
        <w:rPr>
          <w:rFonts w:eastAsia="Calibri"/>
        </w:rPr>
        <w:t>Os resultados das organizações públicas são apresentados por</w:t>
      </w:r>
      <w:r w:rsidR="002D10C8" w:rsidRPr="00334A56">
        <w:rPr>
          <w:rFonts w:eastAsia="Calibri"/>
          <w:b/>
        </w:rPr>
        <w:t xml:space="preserve"> </w:t>
      </w:r>
      <w:r w:rsidR="002D10C8" w:rsidRPr="00334A56">
        <w:rPr>
          <w:rFonts w:eastAsia="Calibri"/>
        </w:rPr>
        <w:t xml:space="preserve">meio de três balanços cujas análises, por aplicação de índices, permitem extrair informações que apontam causas e efeitos das variações sobre o patrimônio público e promovem o princípio da eficiência. </w:t>
      </w:r>
      <w:r w:rsidR="002D10C8">
        <w:rPr>
          <w:rFonts w:eastAsia="Calibri"/>
        </w:rPr>
        <w:t>Nesta pesquisa a análise e interpretação do</w:t>
      </w:r>
      <w:r w:rsidR="002D10C8" w:rsidRPr="00334A56">
        <w:rPr>
          <w:rFonts w:eastAsia="Calibri"/>
        </w:rPr>
        <w:t>s</w:t>
      </w:r>
      <w:r w:rsidR="009D2440">
        <w:rPr>
          <w:rFonts w:eastAsia="Calibri"/>
        </w:rPr>
        <w:t xml:space="preserve"> balanços financeiros </w:t>
      </w:r>
      <w:r w:rsidR="002D10C8" w:rsidRPr="00334A56">
        <w:rPr>
          <w:rFonts w:eastAsia="Calibri"/>
        </w:rPr>
        <w:t>dos municípios do estado do Pará, foram utilizados os quocientes sugeridos, como adequados, por</w:t>
      </w:r>
      <w:r w:rsidR="002D10C8">
        <w:rPr>
          <w:rFonts w:eastAsia="Calibri"/>
        </w:rPr>
        <w:t xml:space="preserve"> </w:t>
      </w:r>
      <w:r w:rsidR="002D10C8" w:rsidRPr="00334A56">
        <w:rPr>
          <w:rFonts w:eastAsia="Calibri"/>
        </w:rPr>
        <w:t xml:space="preserve">Kohama, 2015, dispostos nas tabelas </w:t>
      </w:r>
      <w:r w:rsidR="002D10C8" w:rsidRPr="00700F46">
        <w:rPr>
          <w:rFonts w:eastAsia="Calibri"/>
        </w:rPr>
        <w:t>1</w:t>
      </w:r>
      <w:r w:rsidR="00700F46">
        <w:rPr>
          <w:rFonts w:eastAsia="Calibri"/>
        </w:rPr>
        <w:t>, 2, 3, 4 e, 5</w:t>
      </w:r>
    </w:p>
    <w:p w14:paraId="3A841CBA" w14:textId="2FBDBEA7" w:rsidR="00F50A07" w:rsidRDefault="0083015B" w:rsidP="00D30A19">
      <w:pPr>
        <w:rPr>
          <w:rFonts w:eastAsia="Calibri"/>
        </w:rPr>
      </w:pPr>
      <w:r>
        <w:rPr>
          <w:rFonts w:eastAsia="Calibri"/>
        </w:rPr>
        <w:t xml:space="preserve">O primeiro quociente, </w:t>
      </w:r>
      <w:r w:rsidR="009D2440">
        <w:rPr>
          <w:rFonts w:eastAsia="Calibri"/>
        </w:rPr>
        <w:t xml:space="preserve">aplicado aos </w:t>
      </w:r>
      <w:r w:rsidR="009478A6">
        <w:rPr>
          <w:rFonts w:eastAsia="Calibri"/>
        </w:rPr>
        <w:t>balanços financeiros dos municípios paraenses</w:t>
      </w:r>
      <w:r>
        <w:rPr>
          <w:rFonts w:eastAsia="Calibri"/>
        </w:rPr>
        <w:t>,</w:t>
      </w:r>
      <w:r w:rsidR="009D2440">
        <w:rPr>
          <w:rFonts w:eastAsia="Calibri"/>
        </w:rPr>
        <w:t xml:space="preserve"> </w:t>
      </w:r>
      <w:r w:rsidR="009478A6">
        <w:rPr>
          <w:rFonts w:eastAsia="Calibri"/>
        </w:rPr>
        <w:t>foi o quociente da</w:t>
      </w:r>
      <w:r w:rsidR="002D10C8">
        <w:rPr>
          <w:rFonts w:eastAsia="Calibri"/>
        </w:rPr>
        <w:t xml:space="preserve"> exec</w:t>
      </w:r>
      <w:r w:rsidR="009D2440">
        <w:rPr>
          <w:rFonts w:eastAsia="Calibri"/>
        </w:rPr>
        <w:t>ução orçamentária</w:t>
      </w:r>
      <w:r w:rsidR="009478A6" w:rsidRPr="009478A6">
        <w:t xml:space="preserve"> </w:t>
      </w:r>
      <w:r w:rsidR="009478A6">
        <w:t xml:space="preserve">cujo </w:t>
      </w:r>
      <w:r w:rsidR="009478A6" w:rsidRPr="009478A6">
        <w:rPr>
          <w:rFonts w:eastAsia="Calibri"/>
        </w:rPr>
        <w:t xml:space="preserve">significado </w:t>
      </w:r>
      <w:r w:rsidR="009478A6">
        <w:rPr>
          <w:rFonts w:eastAsia="Calibri"/>
        </w:rPr>
        <w:t xml:space="preserve">segue demonstrado na tabela 1, </w:t>
      </w:r>
      <w:r w:rsidR="009D2440">
        <w:rPr>
          <w:rFonts w:eastAsia="Calibri"/>
        </w:rPr>
        <w:t>que destaca receitas orçamentárias e despesas orçamentárias.</w:t>
      </w:r>
    </w:p>
    <w:p w14:paraId="14CABEC2" w14:textId="77777777" w:rsidR="009478A6" w:rsidRDefault="009478A6" w:rsidP="009478A6">
      <w:pPr>
        <w:contextualSpacing/>
        <w:rPr>
          <w:rFonts w:eastAsia="Calibri"/>
        </w:rPr>
      </w:pPr>
    </w:p>
    <w:p w14:paraId="2EB9550A" w14:textId="5F94558B" w:rsidR="00396BFA" w:rsidRPr="00EC5542" w:rsidRDefault="00396BFA" w:rsidP="00396BFA">
      <w:pPr>
        <w:ind w:firstLine="0"/>
        <w:contextualSpacing/>
        <w:rPr>
          <w:rFonts w:eastAsia="Calibri"/>
          <w:sz w:val="20"/>
        </w:rPr>
      </w:pPr>
      <w:bookmarkStart w:id="1" w:name="_Hlk10662135"/>
      <w:r w:rsidRPr="00EC5542">
        <w:rPr>
          <w:rFonts w:eastAsia="Calibri"/>
          <w:sz w:val="20"/>
        </w:rPr>
        <w:t>Tabela 1</w:t>
      </w:r>
      <w:r>
        <w:rPr>
          <w:rFonts w:eastAsia="Calibri"/>
          <w:sz w:val="20"/>
        </w:rPr>
        <w:t>-</w:t>
      </w:r>
      <w:r w:rsidRPr="00EC5542">
        <w:rPr>
          <w:rFonts w:eastAsia="Calibri"/>
          <w:sz w:val="20"/>
        </w:rPr>
        <w:t xml:space="preserve"> </w:t>
      </w:r>
      <w:bookmarkEnd w:id="1"/>
      <w:r w:rsidRPr="00396BFA">
        <w:rPr>
          <w:rFonts w:eastAsia="Calibri"/>
          <w:sz w:val="20"/>
        </w:rPr>
        <w:t xml:space="preserve">Quociente </w:t>
      </w:r>
      <w:r>
        <w:rPr>
          <w:rFonts w:eastAsia="Calibri"/>
          <w:sz w:val="20"/>
        </w:rPr>
        <w:t>d</w:t>
      </w:r>
      <w:r w:rsidRPr="00396BFA">
        <w:rPr>
          <w:rFonts w:eastAsia="Calibri"/>
          <w:sz w:val="20"/>
        </w:rPr>
        <w:t>a Execução Orçamentária</w:t>
      </w:r>
    </w:p>
    <w:tbl>
      <w:tblPr>
        <w:tblW w:w="9277" w:type="dxa"/>
        <w:tblInd w:w="80"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099"/>
        <w:gridCol w:w="8178"/>
      </w:tblGrid>
      <w:tr w:rsidR="00647749" w:rsidRPr="00647749" w14:paraId="13EFFF9B" w14:textId="77777777" w:rsidTr="006A0CB8">
        <w:trPr>
          <w:trHeight w:val="21"/>
        </w:trPr>
        <w:tc>
          <w:tcPr>
            <w:tcW w:w="1099" w:type="dxa"/>
            <w:shd w:val="clear" w:color="auto" w:fill="auto"/>
            <w:vAlign w:val="center"/>
            <w:hideMark/>
          </w:tcPr>
          <w:p w14:paraId="043D16C5" w14:textId="07FC60AD" w:rsidR="00647749" w:rsidRPr="00647749" w:rsidRDefault="002D750D" w:rsidP="00647749">
            <w:pPr>
              <w:widowControl/>
              <w:suppressLineNumbers w:val="0"/>
              <w:suppressAutoHyphens w:val="0"/>
              <w:ind w:firstLine="0"/>
              <w:jc w:val="center"/>
              <w:rPr>
                <w:color w:val="000000"/>
                <w:sz w:val="20"/>
              </w:rPr>
            </w:pPr>
            <w:r>
              <w:rPr>
                <w:color w:val="000000"/>
                <w:sz w:val="20"/>
              </w:rPr>
              <w:t>Igual a 1</w:t>
            </w:r>
          </w:p>
        </w:tc>
        <w:tc>
          <w:tcPr>
            <w:tcW w:w="8178" w:type="dxa"/>
            <w:shd w:val="clear" w:color="auto" w:fill="auto"/>
            <w:vAlign w:val="center"/>
            <w:hideMark/>
          </w:tcPr>
          <w:p w14:paraId="369F2F8D" w14:textId="77777777" w:rsidR="00647749" w:rsidRPr="00647749" w:rsidRDefault="00647749" w:rsidP="00C939E0">
            <w:pPr>
              <w:widowControl/>
              <w:suppressLineNumbers w:val="0"/>
              <w:suppressAutoHyphens w:val="0"/>
              <w:ind w:firstLine="0"/>
              <w:jc w:val="left"/>
              <w:rPr>
                <w:color w:val="000000"/>
                <w:sz w:val="20"/>
              </w:rPr>
            </w:pPr>
            <w:r w:rsidRPr="00647749">
              <w:rPr>
                <w:color w:val="000000"/>
                <w:sz w:val="20"/>
              </w:rPr>
              <w:t>Receita orçamentária realizada igual à Despesa Orçamentária realizada. Hipótese embora possível, é de difícil ocorrência.</w:t>
            </w:r>
          </w:p>
        </w:tc>
      </w:tr>
      <w:tr w:rsidR="00647749" w:rsidRPr="00647749" w14:paraId="1F818AC8" w14:textId="77777777" w:rsidTr="006A0CB8">
        <w:trPr>
          <w:trHeight w:val="21"/>
        </w:trPr>
        <w:tc>
          <w:tcPr>
            <w:tcW w:w="1099" w:type="dxa"/>
            <w:shd w:val="clear" w:color="auto" w:fill="auto"/>
            <w:vAlign w:val="center"/>
            <w:hideMark/>
          </w:tcPr>
          <w:p w14:paraId="792D8671" w14:textId="77777777" w:rsidR="00647749" w:rsidRPr="00647749" w:rsidRDefault="00647749" w:rsidP="00647749">
            <w:pPr>
              <w:widowControl/>
              <w:suppressLineNumbers w:val="0"/>
              <w:suppressAutoHyphens w:val="0"/>
              <w:ind w:firstLine="0"/>
              <w:jc w:val="center"/>
              <w:rPr>
                <w:color w:val="000000"/>
                <w:sz w:val="20"/>
              </w:rPr>
            </w:pPr>
            <w:r w:rsidRPr="00647749">
              <w:rPr>
                <w:color w:val="000000"/>
                <w:sz w:val="20"/>
              </w:rPr>
              <w:t>Maior que 1</w:t>
            </w:r>
          </w:p>
        </w:tc>
        <w:tc>
          <w:tcPr>
            <w:tcW w:w="8178" w:type="dxa"/>
            <w:shd w:val="clear" w:color="auto" w:fill="auto"/>
            <w:vAlign w:val="center"/>
            <w:hideMark/>
          </w:tcPr>
          <w:p w14:paraId="628B9289" w14:textId="77777777" w:rsidR="00647749" w:rsidRPr="00647749" w:rsidRDefault="00647749" w:rsidP="00C939E0">
            <w:pPr>
              <w:widowControl/>
              <w:suppressLineNumbers w:val="0"/>
              <w:suppressAutoHyphens w:val="0"/>
              <w:ind w:firstLine="0"/>
              <w:jc w:val="left"/>
              <w:rPr>
                <w:color w:val="000000"/>
                <w:sz w:val="20"/>
              </w:rPr>
            </w:pPr>
            <w:r w:rsidRPr="00647749">
              <w:rPr>
                <w:color w:val="000000"/>
                <w:sz w:val="20"/>
              </w:rPr>
              <w:t>Receita orçamentária realizada maior que a Despesa orçamentária realizada. Essa hipótese apresentará a existência de um superávit orçamentária na execução e movimentação financeira.</w:t>
            </w:r>
          </w:p>
        </w:tc>
      </w:tr>
      <w:tr w:rsidR="00647749" w:rsidRPr="00647749" w14:paraId="6D5C89FF" w14:textId="77777777" w:rsidTr="006A0CB8">
        <w:trPr>
          <w:trHeight w:val="21"/>
        </w:trPr>
        <w:tc>
          <w:tcPr>
            <w:tcW w:w="1099" w:type="dxa"/>
            <w:shd w:val="clear" w:color="auto" w:fill="auto"/>
            <w:vAlign w:val="center"/>
            <w:hideMark/>
          </w:tcPr>
          <w:p w14:paraId="47B5DB8B" w14:textId="77777777" w:rsidR="00647749" w:rsidRPr="00647749" w:rsidRDefault="00647749" w:rsidP="00647749">
            <w:pPr>
              <w:widowControl/>
              <w:suppressLineNumbers w:val="0"/>
              <w:suppressAutoHyphens w:val="0"/>
              <w:ind w:firstLine="0"/>
              <w:jc w:val="center"/>
              <w:rPr>
                <w:color w:val="000000"/>
                <w:sz w:val="20"/>
              </w:rPr>
            </w:pPr>
            <w:r w:rsidRPr="00647749">
              <w:rPr>
                <w:color w:val="000000"/>
                <w:sz w:val="20"/>
              </w:rPr>
              <w:t>Menor que 1</w:t>
            </w:r>
          </w:p>
        </w:tc>
        <w:tc>
          <w:tcPr>
            <w:tcW w:w="8178" w:type="dxa"/>
            <w:shd w:val="clear" w:color="auto" w:fill="auto"/>
            <w:vAlign w:val="center"/>
            <w:hideMark/>
          </w:tcPr>
          <w:p w14:paraId="26B448E0" w14:textId="77777777" w:rsidR="00647749" w:rsidRPr="00647749" w:rsidRDefault="00647749" w:rsidP="00C939E0">
            <w:pPr>
              <w:widowControl/>
              <w:suppressLineNumbers w:val="0"/>
              <w:suppressAutoHyphens w:val="0"/>
              <w:ind w:firstLine="0"/>
              <w:jc w:val="left"/>
              <w:rPr>
                <w:color w:val="000000"/>
                <w:sz w:val="20"/>
              </w:rPr>
            </w:pPr>
            <w:r w:rsidRPr="00647749">
              <w:rPr>
                <w:color w:val="000000"/>
                <w:sz w:val="20"/>
              </w:rPr>
              <w:t>Receita orçamentária realizada menor que a Despesa orçamentária realizada. Essa hipótese apresentará a existência de um déficit orçamentário na execução e movimentação financeira.</w:t>
            </w:r>
          </w:p>
        </w:tc>
      </w:tr>
    </w:tbl>
    <w:p w14:paraId="04D02B58" w14:textId="6E0C048B" w:rsidR="00396BFA" w:rsidRDefault="0049492D" w:rsidP="00396BFA">
      <w:pPr>
        <w:ind w:firstLine="0"/>
        <w:contextualSpacing/>
        <w:rPr>
          <w:rFonts w:eastAsia="Calibri"/>
          <w:sz w:val="20"/>
        </w:rPr>
      </w:pPr>
      <w:r>
        <w:rPr>
          <w:rFonts w:eastAsia="Calibri"/>
          <w:sz w:val="20"/>
        </w:rPr>
        <w:t>Fonte: Kohama (2015)</w:t>
      </w:r>
    </w:p>
    <w:p w14:paraId="3AE5B2F5" w14:textId="650AB236" w:rsidR="00F50A07" w:rsidRPr="00BC3285" w:rsidRDefault="00F50A07" w:rsidP="006A0CB8">
      <w:pPr>
        <w:ind w:firstLine="0"/>
        <w:rPr>
          <w:szCs w:val="24"/>
        </w:rPr>
      </w:pPr>
    </w:p>
    <w:p w14:paraId="2589CC5C" w14:textId="1AA086E0" w:rsidR="00A62E99" w:rsidRPr="00BC3285" w:rsidRDefault="001804D2" w:rsidP="0083015B">
      <w:pPr>
        <w:rPr>
          <w:szCs w:val="24"/>
        </w:rPr>
      </w:pPr>
      <w:r>
        <w:rPr>
          <w:szCs w:val="24"/>
        </w:rPr>
        <w:t>E</w:t>
      </w:r>
      <w:r w:rsidRPr="00BC3285">
        <w:rPr>
          <w:szCs w:val="24"/>
        </w:rPr>
        <w:t xml:space="preserve">sse quociente deve demonstrar </w:t>
      </w:r>
      <w:r w:rsidR="00DC25C3">
        <w:rPr>
          <w:szCs w:val="24"/>
        </w:rPr>
        <w:t xml:space="preserve">o </w:t>
      </w:r>
      <w:r w:rsidRPr="00BC3285">
        <w:rPr>
          <w:szCs w:val="24"/>
        </w:rPr>
        <w:t xml:space="preserve">quanto </w:t>
      </w:r>
      <w:r w:rsidR="00DC25C3">
        <w:rPr>
          <w:szCs w:val="24"/>
        </w:rPr>
        <w:t>a</w:t>
      </w:r>
      <w:r w:rsidRPr="00BC3285">
        <w:rPr>
          <w:szCs w:val="24"/>
        </w:rPr>
        <w:t xml:space="preserve"> receita orçamentária representa para o pagamento da despesa orçamentária</w:t>
      </w:r>
      <w:r w:rsidR="00DC25C3">
        <w:rPr>
          <w:szCs w:val="24"/>
        </w:rPr>
        <w:t xml:space="preserve">. </w:t>
      </w:r>
      <w:r w:rsidR="0083015B">
        <w:rPr>
          <w:szCs w:val="24"/>
        </w:rPr>
        <w:t>É o</w:t>
      </w:r>
      <w:r>
        <w:rPr>
          <w:szCs w:val="24"/>
        </w:rPr>
        <w:t xml:space="preserve"> </w:t>
      </w:r>
      <w:r w:rsidRPr="00BC3285">
        <w:rPr>
          <w:szCs w:val="24"/>
        </w:rPr>
        <w:t>resultado</w:t>
      </w:r>
      <w:r>
        <w:rPr>
          <w:szCs w:val="24"/>
        </w:rPr>
        <w:t xml:space="preserve"> da </w:t>
      </w:r>
      <w:r w:rsidRPr="00BC3285">
        <w:rPr>
          <w:szCs w:val="24"/>
        </w:rPr>
        <w:t>movimentação financeira</w:t>
      </w:r>
      <w:r w:rsidR="0083015B">
        <w:rPr>
          <w:szCs w:val="24"/>
        </w:rPr>
        <w:t xml:space="preserve"> que poderá ser</w:t>
      </w:r>
      <w:r>
        <w:rPr>
          <w:szCs w:val="24"/>
        </w:rPr>
        <w:t xml:space="preserve"> </w:t>
      </w:r>
      <w:r w:rsidRPr="001804D2">
        <w:rPr>
          <w:i/>
          <w:szCs w:val="24"/>
        </w:rPr>
        <w:t>déficit</w:t>
      </w:r>
      <w:r>
        <w:rPr>
          <w:szCs w:val="24"/>
        </w:rPr>
        <w:t xml:space="preserve"> ou </w:t>
      </w:r>
      <w:r w:rsidRPr="001804D2">
        <w:rPr>
          <w:i/>
          <w:szCs w:val="24"/>
        </w:rPr>
        <w:t>superávit</w:t>
      </w:r>
      <w:r w:rsidRPr="00BC3285">
        <w:rPr>
          <w:szCs w:val="24"/>
        </w:rPr>
        <w:t xml:space="preserve"> finan</w:t>
      </w:r>
      <w:r w:rsidR="0083015B">
        <w:rPr>
          <w:szCs w:val="24"/>
        </w:rPr>
        <w:t xml:space="preserve">ceiro. </w:t>
      </w:r>
      <w:r w:rsidR="00DC25C3" w:rsidRPr="00DC25C3">
        <w:rPr>
          <w:szCs w:val="24"/>
        </w:rPr>
        <w:t>O significado representativo do quociente financeiro real da execução orçamentaria está disposto na tabela 2</w:t>
      </w:r>
      <w:r w:rsidR="00DC25C3">
        <w:rPr>
          <w:szCs w:val="24"/>
        </w:rPr>
        <w:t xml:space="preserve">, </w:t>
      </w:r>
      <w:r w:rsidR="00565333">
        <w:rPr>
          <w:szCs w:val="24"/>
        </w:rPr>
        <w:t xml:space="preserve">comparando </w:t>
      </w:r>
      <w:r>
        <w:rPr>
          <w:szCs w:val="24"/>
        </w:rPr>
        <w:t xml:space="preserve">receitas orçamentárias com as despesas orçamentárias pagas. </w:t>
      </w:r>
    </w:p>
    <w:p w14:paraId="663BFA4B" w14:textId="08F7E6CB" w:rsidR="0083015B" w:rsidRPr="00EC5542" w:rsidRDefault="0083015B" w:rsidP="00DC25C3">
      <w:pPr>
        <w:ind w:firstLine="0"/>
        <w:rPr>
          <w:rFonts w:eastAsia="Calibri"/>
          <w:sz w:val="20"/>
        </w:rPr>
      </w:pPr>
    </w:p>
    <w:p w14:paraId="4A7393BC" w14:textId="11F95C80" w:rsidR="00396BFA" w:rsidRDefault="00396BFA" w:rsidP="00396BFA">
      <w:pPr>
        <w:ind w:firstLine="0"/>
        <w:rPr>
          <w:rFonts w:eastAsia="Calibri"/>
          <w:sz w:val="20"/>
        </w:rPr>
      </w:pPr>
      <w:r w:rsidRPr="00EC5542">
        <w:rPr>
          <w:rFonts w:eastAsia="Calibri"/>
          <w:sz w:val="20"/>
        </w:rPr>
        <w:t xml:space="preserve">Tabela 2 - </w:t>
      </w:r>
      <w:r w:rsidRPr="00396BFA">
        <w:rPr>
          <w:rFonts w:eastAsia="Calibri"/>
          <w:sz w:val="20"/>
        </w:rPr>
        <w:t xml:space="preserve">Quociente Financeiro Real </w:t>
      </w:r>
      <w:r>
        <w:rPr>
          <w:rFonts w:eastAsia="Calibri"/>
          <w:sz w:val="20"/>
        </w:rPr>
        <w:t>d</w:t>
      </w:r>
      <w:r w:rsidRPr="00396BFA">
        <w:rPr>
          <w:rFonts w:eastAsia="Calibri"/>
          <w:sz w:val="20"/>
        </w:rPr>
        <w:t>a Execução Orçamentaria</w:t>
      </w:r>
    </w:p>
    <w:tbl>
      <w:tblPr>
        <w:tblW w:w="9488" w:type="dxa"/>
        <w:tblInd w:w="80"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124"/>
        <w:gridCol w:w="8364"/>
      </w:tblGrid>
      <w:tr w:rsidR="00396BFA" w:rsidRPr="00396BFA" w14:paraId="3781B442" w14:textId="77777777" w:rsidTr="00396BFA">
        <w:trPr>
          <w:trHeight w:val="20"/>
        </w:trPr>
        <w:tc>
          <w:tcPr>
            <w:tcW w:w="1124" w:type="dxa"/>
            <w:shd w:val="clear" w:color="auto" w:fill="auto"/>
            <w:vAlign w:val="center"/>
            <w:hideMark/>
          </w:tcPr>
          <w:p w14:paraId="781A551F" w14:textId="77777777" w:rsidR="00396BFA" w:rsidRPr="00396BFA" w:rsidRDefault="00396BFA" w:rsidP="00396BFA">
            <w:pPr>
              <w:widowControl/>
              <w:suppressLineNumbers w:val="0"/>
              <w:suppressAutoHyphens w:val="0"/>
              <w:ind w:firstLine="0"/>
              <w:jc w:val="center"/>
              <w:rPr>
                <w:color w:val="000000"/>
                <w:sz w:val="20"/>
              </w:rPr>
            </w:pPr>
            <w:r w:rsidRPr="00396BFA">
              <w:rPr>
                <w:color w:val="000000"/>
                <w:sz w:val="20"/>
              </w:rPr>
              <w:t>1 =</w:t>
            </w:r>
          </w:p>
        </w:tc>
        <w:tc>
          <w:tcPr>
            <w:tcW w:w="8364" w:type="dxa"/>
            <w:shd w:val="clear" w:color="auto" w:fill="auto"/>
            <w:vAlign w:val="center"/>
            <w:hideMark/>
          </w:tcPr>
          <w:p w14:paraId="254086D7" w14:textId="77777777" w:rsidR="00396BFA" w:rsidRPr="00396BFA" w:rsidRDefault="00396BFA" w:rsidP="00396BFA">
            <w:pPr>
              <w:widowControl/>
              <w:suppressLineNumbers w:val="0"/>
              <w:suppressAutoHyphens w:val="0"/>
              <w:ind w:firstLine="0"/>
              <w:rPr>
                <w:color w:val="000000"/>
                <w:sz w:val="20"/>
              </w:rPr>
            </w:pPr>
            <w:r w:rsidRPr="00396BFA">
              <w:rPr>
                <w:color w:val="000000"/>
                <w:sz w:val="20"/>
              </w:rPr>
              <w:t>Receita orçamentária realizada igual à Despesa Orçamentária, menos os restos a pagar inscritos no exercício.  Essa hipótese demonstrará haver igualdade na execução orçamentaria e financeira, se fosse utilizado o regime de caixa também para a despesa orçamentaria.</w:t>
            </w:r>
          </w:p>
        </w:tc>
      </w:tr>
      <w:tr w:rsidR="00396BFA" w:rsidRPr="00396BFA" w14:paraId="53A02BB2" w14:textId="77777777" w:rsidTr="00396BFA">
        <w:trPr>
          <w:trHeight w:val="20"/>
        </w:trPr>
        <w:tc>
          <w:tcPr>
            <w:tcW w:w="1124" w:type="dxa"/>
            <w:shd w:val="clear" w:color="auto" w:fill="auto"/>
            <w:vAlign w:val="center"/>
            <w:hideMark/>
          </w:tcPr>
          <w:p w14:paraId="05ED0CC4" w14:textId="77777777" w:rsidR="00396BFA" w:rsidRPr="00396BFA" w:rsidRDefault="00396BFA" w:rsidP="00396BFA">
            <w:pPr>
              <w:widowControl/>
              <w:suppressLineNumbers w:val="0"/>
              <w:suppressAutoHyphens w:val="0"/>
              <w:ind w:firstLine="0"/>
              <w:jc w:val="center"/>
              <w:rPr>
                <w:color w:val="000000"/>
                <w:sz w:val="20"/>
              </w:rPr>
            </w:pPr>
            <w:r w:rsidRPr="00396BFA">
              <w:rPr>
                <w:color w:val="000000"/>
                <w:sz w:val="20"/>
              </w:rPr>
              <w:t>Maior que 1</w:t>
            </w:r>
          </w:p>
        </w:tc>
        <w:tc>
          <w:tcPr>
            <w:tcW w:w="8364" w:type="dxa"/>
            <w:shd w:val="clear" w:color="auto" w:fill="auto"/>
            <w:vAlign w:val="center"/>
            <w:hideMark/>
          </w:tcPr>
          <w:p w14:paraId="720F64EF" w14:textId="77777777" w:rsidR="00396BFA" w:rsidRPr="00396BFA" w:rsidRDefault="00396BFA" w:rsidP="00396BFA">
            <w:pPr>
              <w:widowControl/>
              <w:suppressLineNumbers w:val="0"/>
              <w:suppressAutoHyphens w:val="0"/>
              <w:ind w:firstLine="0"/>
              <w:rPr>
                <w:color w:val="000000"/>
                <w:sz w:val="20"/>
              </w:rPr>
            </w:pPr>
            <w:r w:rsidRPr="00396BFA">
              <w:rPr>
                <w:color w:val="000000"/>
                <w:sz w:val="20"/>
              </w:rPr>
              <w:t xml:space="preserve">Receita orçamentária realizada maior que a Despesa orçamentária realizada. Essa hipótese apresentará </w:t>
            </w:r>
            <w:r w:rsidRPr="00396BFA">
              <w:rPr>
                <w:color w:val="000000"/>
                <w:sz w:val="20"/>
              </w:rPr>
              <w:lastRenderedPageBreak/>
              <w:t>a existência de um superávit orçamentária na execução e movimentação financeira.</w:t>
            </w:r>
          </w:p>
        </w:tc>
      </w:tr>
      <w:tr w:rsidR="00396BFA" w:rsidRPr="00396BFA" w14:paraId="13884EC9" w14:textId="77777777" w:rsidTr="00C939E0">
        <w:trPr>
          <w:trHeight w:val="521"/>
        </w:trPr>
        <w:tc>
          <w:tcPr>
            <w:tcW w:w="1124" w:type="dxa"/>
            <w:shd w:val="clear" w:color="auto" w:fill="auto"/>
            <w:vAlign w:val="center"/>
            <w:hideMark/>
          </w:tcPr>
          <w:p w14:paraId="42B923B4" w14:textId="77777777" w:rsidR="00396BFA" w:rsidRPr="00396BFA" w:rsidRDefault="00396BFA" w:rsidP="00396BFA">
            <w:pPr>
              <w:widowControl/>
              <w:suppressLineNumbers w:val="0"/>
              <w:suppressAutoHyphens w:val="0"/>
              <w:ind w:firstLine="0"/>
              <w:jc w:val="center"/>
              <w:rPr>
                <w:color w:val="000000"/>
                <w:sz w:val="20"/>
              </w:rPr>
            </w:pPr>
            <w:r w:rsidRPr="00396BFA">
              <w:rPr>
                <w:color w:val="000000"/>
                <w:sz w:val="20"/>
              </w:rPr>
              <w:lastRenderedPageBreak/>
              <w:t>Menor que 1</w:t>
            </w:r>
          </w:p>
        </w:tc>
        <w:tc>
          <w:tcPr>
            <w:tcW w:w="8364" w:type="dxa"/>
            <w:shd w:val="clear" w:color="auto" w:fill="auto"/>
            <w:vAlign w:val="center"/>
            <w:hideMark/>
          </w:tcPr>
          <w:p w14:paraId="539B9AA3" w14:textId="77777777" w:rsidR="00396BFA" w:rsidRPr="00396BFA" w:rsidRDefault="00396BFA" w:rsidP="00396BFA">
            <w:pPr>
              <w:widowControl/>
              <w:suppressLineNumbers w:val="0"/>
              <w:suppressAutoHyphens w:val="0"/>
              <w:ind w:firstLine="0"/>
              <w:rPr>
                <w:color w:val="000000"/>
                <w:sz w:val="20"/>
              </w:rPr>
            </w:pPr>
            <w:r w:rsidRPr="00396BFA">
              <w:rPr>
                <w:color w:val="000000"/>
                <w:sz w:val="20"/>
              </w:rPr>
              <w:t>Receita orçamentária realizada menor que a Despesa orçamentária realizada. Essa hipótese apresentará a existência de um déficit orçamentário na execução e movimentação financeira.</w:t>
            </w:r>
          </w:p>
        </w:tc>
      </w:tr>
    </w:tbl>
    <w:p w14:paraId="5BED3EAB" w14:textId="77777777" w:rsidR="00A40EAA" w:rsidRDefault="00396BFA" w:rsidP="00A40EAA">
      <w:pPr>
        <w:ind w:firstLine="0"/>
        <w:contextualSpacing/>
        <w:rPr>
          <w:rFonts w:eastAsia="Calibri"/>
          <w:sz w:val="20"/>
        </w:rPr>
      </w:pPr>
      <w:r w:rsidRPr="00EC5542">
        <w:rPr>
          <w:rFonts w:eastAsia="Calibri"/>
          <w:sz w:val="20"/>
        </w:rPr>
        <w:t>Fonte: Kohama (2015).</w:t>
      </w:r>
    </w:p>
    <w:p w14:paraId="50B65084" w14:textId="77777777" w:rsidR="00A40EAA" w:rsidRDefault="00A40EAA" w:rsidP="00A40EAA">
      <w:pPr>
        <w:ind w:firstLine="708"/>
        <w:contextualSpacing/>
        <w:rPr>
          <w:rFonts w:eastAsia="Calibri"/>
          <w:sz w:val="20"/>
        </w:rPr>
      </w:pPr>
    </w:p>
    <w:p w14:paraId="1FE84DA5" w14:textId="15C9CD75" w:rsidR="00575C6B" w:rsidRPr="00A40EAA" w:rsidRDefault="00575C6B" w:rsidP="001337C3">
      <w:pPr>
        <w:rPr>
          <w:rFonts w:eastAsia="Calibri"/>
          <w:sz w:val="20"/>
        </w:rPr>
      </w:pPr>
      <w:r w:rsidRPr="00BC3285">
        <w:rPr>
          <w:szCs w:val="24"/>
        </w:rPr>
        <w:t xml:space="preserve">Esse quociente deve demonstrar quanto a receita orçamentaria realizada representa em relação a despesa </w:t>
      </w:r>
      <w:r w:rsidR="009F703B">
        <w:rPr>
          <w:szCs w:val="24"/>
        </w:rPr>
        <w:t>orçamentaria paga. A finalidade é</w:t>
      </w:r>
      <w:r w:rsidRPr="00BC3285">
        <w:rPr>
          <w:szCs w:val="24"/>
        </w:rPr>
        <w:t xml:space="preserve"> demonstrar a re</w:t>
      </w:r>
      <w:r w:rsidR="009F703B">
        <w:rPr>
          <w:szCs w:val="24"/>
        </w:rPr>
        <w:t xml:space="preserve">lação da receita orçamentaria com a </w:t>
      </w:r>
      <w:r w:rsidRPr="00BC3285">
        <w:rPr>
          <w:szCs w:val="24"/>
        </w:rPr>
        <w:t>d</w:t>
      </w:r>
      <w:r w:rsidR="009F703B">
        <w:rPr>
          <w:szCs w:val="24"/>
        </w:rPr>
        <w:t xml:space="preserve">espesa orçamentaria, </w:t>
      </w:r>
      <w:r w:rsidRPr="00BC3285">
        <w:rPr>
          <w:szCs w:val="24"/>
        </w:rPr>
        <w:t xml:space="preserve">pelo regime de </w:t>
      </w:r>
      <w:r w:rsidR="009F703B">
        <w:rPr>
          <w:szCs w:val="24"/>
        </w:rPr>
        <w:t>caixa. Q</w:t>
      </w:r>
      <w:r w:rsidRPr="00BC3285">
        <w:rPr>
          <w:szCs w:val="24"/>
        </w:rPr>
        <w:t xml:space="preserve">uando se aborda o quociente da soma da receita e despesa (orçamentaria + </w:t>
      </w:r>
      <w:r w:rsidR="001804D2" w:rsidRPr="00BC3285">
        <w:rPr>
          <w:szCs w:val="24"/>
        </w:rPr>
        <w:t>extraorçamentária</w:t>
      </w:r>
      <w:r w:rsidRPr="00BC3285">
        <w:rPr>
          <w:szCs w:val="24"/>
        </w:rPr>
        <w:t>)</w:t>
      </w:r>
      <w:r w:rsidR="009F703B">
        <w:rPr>
          <w:szCs w:val="24"/>
        </w:rPr>
        <w:t xml:space="preserve"> deve-se </w:t>
      </w:r>
      <w:r w:rsidRPr="00BC3285">
        <w:rPr>
          <w:szCs w:val="24"/>
        </w:rPr>
        <w:t>considera</w:t>
      </w:r>
      <w:r w:rsidR="009F703B">
        <w:rPr>
          <w:szCs w:val="24"/>
        </w:rPr>
        <w:t>r</w:t>
      </w:r>
      <w:r w:rsidRPr="00BC3285">
        <w:rPr>
          <w:szCs w:val="24"/>
        </w:rPr>
        <w:t xml:space="preserve"> normal o resultado 1 e bom o maior que 1. Caso o resultado seja menor que 1, deve ser considerado preocupante, pois a receita orçamentaria arrecadada será, menor que a despesa orçamentaria paga, pressupondo-se a utilização de recursos financeiros provenientes da receita extraor</w:t>
      </w:r>
      <w:r w:rsidR="00A40EAA">
        <w:rPr>
          <w:szCs w:val="24"/>
        </w:rPr>
        <w:t>çamentária para a sua cobertura (KOHAMA, 2015).</w:t>
      </w:r>
    </w:p>
    <w:p w14:paraId="56089A7E" w14:textId="31ED979D" w:rsidR="00C52698" w:rsidRPr="00BC3285" w:rsidRDefault="00A40EAA" w:rsidP="001337C3">
      <w:pPr>
        <w:rPr>
          <w:szCs w:val="24"/>
        </w:rPr>
      </w:pPr>
      <w:r w:rsidRPr="00A40EAA">
        <w:rPr>
          <w:szCs w:val="24"/>
        </w:rPr>
        <w:t>O</w:t>
      </w:r>
      <w:r w:rsidR="0040391C">
        <w:rPr>
          <w:szCs w:val="24"/>
        </w:rPr>
        <w:t xml:space="preserve"> significado </w:t>
      </w:r>
      <w:r w:rsidR="005403B7">
        <w:rPr>
          <w:szCs w:val="24"/>
        </w:rPr>
        <w:t xml:space="preserve">do </w:t>
      </w:r>
      <w:r w:rsidR="005403B7" w:rsidRPr="00A40EAA">
        <w:rPr>
          <w:szCs w:val="24"/>
        </w:rPr>
        <w:t>quociente</w:t>
      </w:r>
      <w:r w:rsidRPr="00A40EAA">
        <w:rPr>
          <w:szCs w:val="24"/>
        </w:rPr>
        <w:t xml:space="preserve"> da execução extraorçamentária</w:t>
      </w:r>
      <w:r>
        <w:rPr>
          <w:szCs w:val="24"/>
        </w:rPr>
        <w:t xml:space="preserve"> segue disposto na tabela 3, que vai analisar receita extraorçamentária em </w:t>
      </w:r>
      <w:r w:rsidR="00692BFD">
        <w:rPr>
          <w:szCs w:val="24"/>
        </w:rPr>
        <w:t>confronto com</w:t>
      </w:r>
      <w:r>
        <w:rPr>
          <w:szCs w:val="24"/>
        </w:rPr>
        <w:t xml:space="preserve"> despesa extraorçamentária. </w:t>
      </w:r>
      <w:r w:rsidR="005403B7">
        <w:rPr>
          <w:szCs w:val="24"/>
        </w:rPr>
        <w:t>R</w:t>
      </w:r>
      <w:r>
        <w:rPr>
          <w:szCs w:val="24"/>
        </w:rPr>
        <w:t>essalta</w:t>
      </w:r>
      <w:r w:rsidR="005403B7">
        <w:rPr>
          <w:szCs w:val="24"/>
        </w:rPr>
        <w:t>-se</w:t>
      </w:r>
      <w:r>
        <w:rPr>
          <w:szCs w:val="24"/>
        </w:rPr>
        <w:t xml:space="preserve"> que </w:t>
      </w:r>
      <w:r w:rsidR="005C1CB7">
        <w:rPr>
          <w:szCs w:val="24"/>
        </w:rPr>
        <w:t xml:space="preserve">o </w:t>
      </w:r>
      <w:r>
        <w:rPr>
          <w:szCs w:val="24"/>
        </w:rPr>
        <w:t xml:space="preserve">MCASP propôs um novo modelo do anexo nº 13 do </w:t>
      </w:r>
      <w:r w:rsidR="00C52698" w:rsidRPr="00BC3285">
        <w:rPr>
          <w:szCs w:val="24"/>
        </w:rPr>
        <w:t xml:space="preserve">Balanço Financeiro </w:t>
      </w:r>
      <w:r>
        <w:rPr>
          <w:szCs w:val="24"/>
        </w:rPr>
        <w:t xml:space="preserve">para </w:t>
      </w:r>
      <w:r w:rsidR="00C52698" w:rsidRPr="00BC3285">
        <w:rPr>
          <w:szCs w:val="24"/>
        </w:rPr>
        <w:t>demonstra</w:t>
      </w:r>
      <w:r>
        <w:rPr>
          <w:szCs w:val="24"/>
        </w:rPr>
        <w:t>r</w:t>
      </w:r>
      <w:r w:rsidR="00C52698" w:rsidRPr="00BC3285">
        <w:rPr>
          <w:szCs w:val="24"/>
        </w:rPr>
        <w:t xml:space="preserve"> a execução extraorçamentária, através dos recebimentos e pagamentos extraorçamentários, </w:t>
      </w:r>
      <w:r>
        <w:rPr>
          <w:szCs w:val="24"/>
        </w:rPr>
        <w:t>no entanto</w:t>
      </w:r>
      <w:r w:rsidR="00C52698" w:rsidRPr="00BC3285">
        <w:rPr>
          <w:szCs w:val="24"/>
        </w:rPr>
        <w:t xml:space="preserve">, a lei 4.320/64 considera os recebimentos e pagamentos extraorçamentários, como </w:t>
      </w:r>
      <w:r w:rsidRPr="00BC3285">
        <w:rPr>
          <w:szCs w:val="24"/>
        </w:rPr>
        <w:t xml:space="preserve">receita e despesa </w:t>
      </w:r>
      <w:r w:rsidR="00C52698" w:rsidRPr="00BC3285">
        <w:rPr>
          <w:szCs w:val="24"/>
        </w:rPr>
        <w:t xml:space="preserve">extraorçamentária. </w:t>
      </w:r>
      <w:r w:rsidR="005C1CB7">
        <w:rPr>
          <w:szCs w:val="24"/>
        </w:rPr>
        <w:t xml:space="preserve">Destarte, </w:t>
      </w:r>
      <w:r>
        <w:rPr>
          <w:szCs w:val="24"/>
        </w:rPr>
        <w:t xml:space="preserve">se </w:t>
      </w:r>
      <w:r w:rsidR="00C52698" w:rsidRPr="00BC3285">
        <w:rPr>
          <w:szCs w:val="24"/>
        </w:rPr>
        <w:t>trata</w:t>
      </w:r>
      <w:r w:rsidR="005C1CB7">
        <w:rPr>
          <w:szCs w:val="24"/>
        </w:rPr>
        <w:t xml:space="preserve"> de uma questão de semântica</w:t>
      </w:r>
      <w:r w:rsidR="00C52698" w:rsidRPr="00BC3285">
        <w:rPr>
          <w:szCs w:val="24"/>
        </w:rPr>
        <w:t xml:space="preserve">, </w:t>
      </w:r>
      <w:r w:rsidR="005C1CB7">
        <w:rPr>
          <w:szCs w:val="24"/>
        </w:rPr>
        <w:t>porque, o</w:t>
      </w:r>
      <w:r>
        <w:rPr>
          <w:szCs w:val="24"/>
        </w:rPr>
        <w:t xml:space="preserve">s </w:t>
      </w:r>
      <w:r w:rsidRPr="00BC3285">
        <w:rPr>
          <w:szCs w:val="24"/>
        </w:rPr>
        <w:t>dados</w:t>
      </w:r>
      <w:r w:rsidR="00C52698" w:rsidRPr="00BC3285">
        <w:rPr>
          <w:szCs w:val="24"/>
        </w:rPr>
        <w:t xml:space="preserve"> </w:t>
      </w:r>
      <w:r>
        <w:rPr>
          <w:szCs w:val="24"/>
        </w:rPr>
        <w:t>são idênticos e, no caso, Kohama (2015), fez a opção</w:t>
      </w:r>
      <w:r w:rsidR="00C52698" w:rsidRPr="00BC3285">
        <w:rPr>
          <w:szCs w:val="24"/>
        </w:rPr>
        <w:t xml:space="preserve"> pela utilização da designação legal. </w:t>
      </w:r>
    </w:p>
    <w:p w14:paraId="72660CFB" w14:textId="5186EF55" w:rsidR="00117841" w:rsidRDefault="00117841" w:rsidP="00E262AD">
      <w:pPr>
        <w:ind w:firstLine="0"/>
        <w:rPr>
          <w:rFonts w:eastAsia="Calibri"/>
          <w:b/>
          <w:bCs/>
        </w:rPr>
      </w:pPr>
    </w:p>
    <w:p w14:paraId="48AFCE86" w14:textId="6FAADC37" w:rsidR="00117841" w:rsidRDefault="00117841" w:rsidP="00117841">
      <w:pPr>
        <w:ind w:firstLine="0"/>
        <w:rPr>
          <w:rFonts w:eastAsia="Calibri"/>
          <w:sz w:val="20"/>
        </w:rPr>
      </w:pPr>
      <w:r w:rsidRPr="00EC5542">
        <w:rPr>
          <w:rFonts w:eastAsia="Calibri"/>
          <w:sz w:val="20"/>
        </w:rPr>
        <w:t xml:space="preserve">Tabela </w:t>
      </w:r>
      <w:r>
        <w:rPr>
          <w:rFonts w:eastAsia="Calibri"/>
          <w:sz w:val="20"/>
        </w:rPr>
        <w:t>3</w:t>
      </w:r>
      <w:r w:rsidRPr="00EC5542">
        <w:rPr>
          <w:rFonts w:eastAsia="Calibri"/>
          <w:sz w:val="20"/>
        </w:rPr>
        <w:t xml:space="preserve"> - </w:t>
      </w:r>
      <w:r w:rsidRPr="00117841">
        <w:rPr>
          <w:rFonts w:eastAsia="Calibri"/>
          <w:sz w:val="20"/>
        </w:rPr>
        <w:t xml:space="preserve">Quociente </w:t>
      </w:r>
      <w:r>
        <w:rPr>
          <w:rFonts w:eastAsia="Calibri"/>
          <w:sz w:val="20"/>
        </w:rPr>
        <w:t>d</w:t>
      </w:r>
      <w:r w:rsidRPr="00117841">
        <w:rPr>
          <w:rFonts w:eastAsia="Calibri"/>
          <w:sz w:val="20"/>
        </w:rPr>
        <w:t>a Execução Extraorçamentária</w:t>
      </w:r>
      <w:r>
        <w:rPr>
          <w:rFonts w:eastAsia="Calibri"/>
          <w:sz w:val="20"/>
        </w:rPr>
        <w:t>.</w:t>
      </w:r>
    </w:p>
    <w:tbl>
      <w:tblPr>
        <w:tblW w:w="9488" w:type="dxa"/>
        <w:tblInd w:w="80"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124"/>
        <w:gridCol w:w="8364"/>
      </w:tblGrid>
      <w:tr w:rsidR="00117841" w:rsidRPr="00117841" w14:paraId="17F948E3" w14:textId="77777777" w:rsidTr="00117841">
        <w:trPr>
          <w:trHeight w:val="20"/>
        </w:trPr>
        <w:tc>
          <w:tcPr>
            <w:tcW w:w="1124" w:type="dxa"/>
            <w:shd w:val="clear" w:color="auto" w:fill="auto"/>
            <w:vAlign w:val="center"/>
            <w:hideMark/>
          </w:tcPr>
          <w:p w14:paraId="7E8D120D" w14:textId="77777777" w:rsidR="00117841" w:rsidRPr="00117841" w:rsidRDefault="00117841" w:rsidP="00117841">
            <w:pPr>
              <w:widowControl/>
              <w:suppressLineNumbers w:val="0"/>
              <w:suppressAutoHyphens w:val="0"/>
              <w:ind w:firstLine="0"/>
              <w:jc w:val="center"/>
              <w:rPr>
                <w:color w:val="000000"/>
                <w:sz w:val="20"/>
              </w:rPr>
            </w:pPr>
            <w:r w:rsidRPr="00117841">
              <w:rPr>
                <w:color w:val="000000"/>
                <w:sz w:val="20"/>
              </w:rPr>
              <w:t>1 =</w:t>
            </w:r>
          </w:p>
        </w:tc>
        <w:tc>
          <w:tcPr>
            <w:tcW w:w="8364" w:type="dxa"/>
            <w:shd w:val="clear" w:color="auto" w:fill="auto"/>
            <w:vAlign w:val="center"/>
            <w:hideMark/>
          </w:tcPr>
          <w:p w14:paraId="04FA78CF" w14:textId="77777777" w:rsidR="00117841" w:rsidRPr="00117841" w:rsidRDefault="00117841" w:rsidP="00117841">
            <w:pPr>
              <w:widowControl/>
              <w:suppressLineNumbers w:val="0"/>
              <w:suppressAutoHyphens w:val="0"/>
              <w:ind w:firstLine="0"/>
              <w:rPr>
                <w:color w:val="000000"/>
                <w:sz w:val="20"/>
              </w:rPr>
            </w:pPr>
            <w:r w:rsidRPr="00117841">
              <w:rPr>
                <w:color w:val="000000"/>
                <w:sz w:val="20"/>
              </w:rPr>
              <w:t>Receita Extraorçamentária igual a Despesa Extraorçamentária. Essa hipótese demonstrará haver equilíbrio entre a Receita Extraorçamentária e a Despesa Extraorçamentária.</w:t>
            </w:r>
          </w:p>
        </w:tc>
      </w:tr>
      <w:tr w:rsidR="00117841" w:rsidRPr="00117841" w14:paraId="58A961E4" w14:textId="77777777" w:rsidTr="00117841">
        <w:trPr>
          <w:trHeight w:val="20"/>
        </w:trPr>
        <w:tc>
          <w:tcPr>
            <w:tcW w:w="1124" w:type="dxa"/>
            <w:shd w:val="clear" w:color="auto" w:fill="auto"/>
            <w:vAlign w:val="center"/>
            <w:hideMark/>
          </w:tcPr>
          <w:p w14:paraId="516DDBF8" w14:textId="77777777" w:rsidR="00117841" w:rsidRPr="00117841" w:rsidRDefault="00117841" w:rsidP="00117841">
            <w:pPr>
              <w:widowControl/>
              <w:suppressLineNumbers w:val="0"/>
              <w:suppressAutoHyphens w:val="0"/>
              <w:ind w:firstLine="0"/>
              <w:jc w:val="center"/>
              <w:rPr>
                <w:color w:val="000000"/>
                <w:sz w:val="20"/>
              </w:rPr>
            </w:pPr>
            <w:r w:rsidRPr="00117841">
              <w:rPr>
                <w:color w:val="000000"/>
                <w:sz w:val="20"/>
              </w:rPr>
              <w:t>Maior que 1</w:t>
            </w:r>
          </w:p>
        </w:tc>
        <w:tc>
          <w:tcPr>
            <w:tcW w:w="8364" w:type="dxa"/>
            <w:shd w:val="clear" w:color="auto" w:fill="auto"/>
            <w:vAlign w:val="center"/>
            <w:hideMark/>
          </w:tcPr>
          <w:p w14:paraId="7E9C9913" w14:textId="77777777" w:rsidR="00117841" w:rsidRPr="00117841" w:rsidRDefault="00117841" w:rsidP="00117841">
            <w:pPr>
              <w:widowControl/>
              <w:suppressLineNumbers w:val="0"/>
              <w:suppressAutoHyphens w:val="0"/>
              <w:ind w:firstLine="0"/>
              <w:rPr>
                <w:color w:val="000000"/>
                <w:sz w:val="20"/>
              </w:rPr>
            </w:pPr>
            <w:r w:rsidRPr="00117841">
              <w:rPr>
                <w:color w:val="000000"/>
                <w:sz w:val="20"/>
              </w:rPr>
              <w:t>Receita Extraorçamentária maior que a Despesa Extraorçamentária. Essa hipótese reflete que a receita extraorçamentária é superior a despesa extraorçamentária.</w:t>
            </w:r>
          </w:p>
        </w:tc>
      </w:tr>
      <w:tr w:rsidR="00117841" w:rsidRPr="00117841" w14:paraId="5A2B693A" w14:textId="77777777" w:rsidTr="00117841">
        <w:trPr>
          <w:trHeight w:val="20"/>
        </w:trPr>
        <w:tc>
          <w:tcPr>
            <w:tcW w:w="1124" w:type="dxa"/>
            <w:shd w:val="clear" w:color="auto" w:fill="auto"/>
            <w:vAlign w:val="center"/>
            <w:hideMark/>
          </w:tcPr>
          <w:p w14:paraId="751D488F" w14:textId="77777777" w:rsidR="00117841" w:rsidRPr="00117841" w:rsidRDefault="00117841" w:rsidP="00117841">
            <w:pPr>
              <w:widowControl/>
              <w:suppressLineNumbers w:val="0"/>
              <w:suppressAutoHyphens w:val="0"/>
              <w:ind w:firstLine="0"/>
              <w:jc w:val="center"/>
              <w:rPr>
                <w:color w:val="000000"/>
                <w:sz w:val="20"/>
              </w:rPr>
            </w:pPr>
            <w:r w:rsidRPr="00117841">
              <w:rPr>
                <w:color w:val="000000"/>
                <w:sz w:val="20"/>
              </w:rPr>
              <w:t>Menor que 1</w:t>
            </w:r>
          </w:p>
        </w:tc>
        <w:tc>
          <w:tcPr>
            <w:tcW w:w="8364" w:type="dxa"/>
            <w:shd w:val="clear" w:color="auto" w:fill="auto"/>
            <w:vAlign w:val="center"/>
            <w:hideMark/>
          </w:tcPr>
          <w:p w14:paraId="7F7582E4" w14:textId="77777777" w:rsidR="00117841" w:rsidRPr="00117841" w:rsidRDefault="00117841" w:rsidP="00117841">
            <w:pPr>
              <w:widowControl/>
              <w:suppressLineNumbers w:val="0"/>
              <w:suppressAutoHyphens w:val="0"/>
              <w:ind w:firstLine="0"/>
              <w:rPr>
                <w:color w:val="000000"/>
                <w:sz w:val="20"/>
              </w:rPr>
            </w:pPr>
            <w:r w:rsidRPr="00117841">
              <w:rPr>
                <w:color w:val="000000"/>
                <w:sz w:val="20"/>
              </w:rPr>
              <w:t>Receita Extraorçamentária menor que a Despesa Extraorçamentária. Essa hipótese demonstra que a receita extraorçamentária é inferior à despesa extraorçamentária.</w:t>
            </w:r>
          </w:p>
        </w:tc>
      </w:tr>
    </w:tbl>
    <w:p w14:paraId="35C208E9" w14:textId="77777777" w:rsidR="00117841" w:rsidRDefault="00117841" w:rsidP="00117841">
      <w:pPr>
        <w:ind w:firstLine="0"/>
        <w:contextualSpacing/>
        <w:rPr>
          <w:rFonts w:eastAsia="Calibri"/>
          <w:sz w:val="20"/>
        </w:rPr>
      </w:pPr>
      <w:r w:rsidRPr="00EC5542">
        <w:rPr>
          <w:rFonts w:eastAsia="Calibri"/>
          <w:sz w:val="20"/>
        </w:rPr>
        <w:t>Fonte: Kohama (2015).</w:t>
      </w:r>
    </w:p>
    <w:p w14:paraId="4CBBDACA" w14:textId="4BD4982D" w:rsidR="002D10C8" w:rsidRDefault="002D10C8" w:rsidP="00E262AD">
      <w:pPr>
        <w:ind w:firstLine="0"/>
        <w:rPr>
          <w:rFonts w:eastAsia="Calibri"/>
          <w:b/>
          <w:bCs/>
        </w:rPr>
      </w:pPr>
    </w:p>
    <w:p w14:paraId="55620E2D" w14:textId="77777777" w:rsidR="00FD7832" w:rsidRDefault="00A40EAA" w:rsidP="0083015B">
      <w:pPr>
        <w:rPr>
          <w:szCs w:val="24"/>
        </w:rPr>
      </w:pPr>
      <w:r>
        <w:rPr>
          <w:szCs w:val="24"/>
        </w:rPr>
        <w:t>Kohama (2015) esclarece que qual</w:t>
      </w:r>
      <w:r w:rsidR="00D36538" w:rsidRPr="00BC3285">
        <w:rPr>
          <w:szCs w:val="24"/>
        </w:rPr>
        <w:t xml:space="preserve">quer </w:t>
      </w:r>
      <w:r>
        <w:rPr>
          <w:szCs w:val="24"/>
        </w:rPr>
        <w:t xml:space="preserve">resultado, prescrito nas hipóteses, </w:t>
      </w:r>
      <w:r w:rsidR="00D36538" w:rsidRPr="00BC3285">
        <w:rPr>
          <w:szCs w:val="24"/>
        </w:rPr>
        <w:t>tenderá a ser considerado normal, se as disponibilidades (saldo de caixa/banco) refletirem a movimentação financeira de origem extraorçamentária ocorrida no exercício</w:t>
      </w:r>
      <w:r w:rsidR="00CB74E5">
        <w:rPr>
          <w:szCs w:val="24"/>
        </w:rPr>
        <w:t>, conquanto, o</w:t>
      </w:r>
      <w:r w:rsidR="00D36538" w:rsidRPr="00BC3285">
        <w:rPr>
          <w:szCs w:val="24"/>
        </w:rPr>
        <w:t xml:space="preserve"> aumento ou diminuição dos saldos das disponibilidades compatível com essa movimentação.</w:t>
      </w:r>
      <w:r w:rsidR="0083015B">
        <w:rPr>
          <w:szCs w:val="24"/>
        </w:rPr>
        <w:t xml:space="preserve"> </w:t>
      </w:r>
      <w:r w:rsidR="007A18FD">
        <w:rPr>
          <w:szCs w:val="24"/>
        </w:rPr>
        <w:t>O resultado</w:t>
      </w:r>
      <w:r w:rsidR="00A21CAC">
        <w:rPr>
          <w:szCs w:val="24"/>
        </w:rPr>
        <w:t xml:space="preserve"> da aplicação do quociente </w:t>
      </w:r>
      <w:r w:rsidR="00312EA2">
        <w:rPr>
          <w:szCs w:val="24"/>
        </w:rPr>
        <w:t>de execução extraorçamentária q</w:t>
      </w:r>
      <w:r w:rsidR="00FD7832">
        <w:rPr>
          <w:szCs w:val="24"/>
        </w:rPr>
        <w:t>uanto mais próximo de 1</w:t>
      </w:r>
      <w:r w:rsidR="00D36538" w:rsidRPr="00BC3285">
        <w:rPr>
          <w:szCs w:val="24"/>
        </w:rPr>
        <w:t xml:space="preserve"> estiver, mais será desejável. Se for maio do que 1, representará aumento da dívida flutuante, o que provocará, em consequência, aumento do passivo circulante, do balanço patrimonial. </w:t>
      </w:r>
      <w:r w:rsidR="00FD7832">
        <w:rPr>
          <w:szCs w:val="24"/>
        </w:rPr>
        <w:t>S</w:t>
      </w:r>
    </w:p>
    <w:p w14:paraId="046ADBF9" w14:textId="77777777" w:rsidR="00FD7832" w:rsidRDefault="00FD7832" w:rsidP="0083015B">
      <w:pPr>
        <w:rPr>
          <w:szCs w:val="24"/>
        </w:rPr>
      </w:pPr>
      <w:r>
        <w:rPr>
          <w:szCs w:val="24"/>
        </w:rPr>
        <w:t>Nos casos de</w:t>
      </w:r>
      <w:r w:rsidR="00D36538" w:rsidRPr="00BC3285">
        <w:rPr>
          <w:szCs w:val="24"/>
        </w:rPr>
        <w:t xml:space="preserve"> correspondente aumento dos recursos financeiros nas disponibilidades (caixa/banco), a situação será consi</w:t>
      </w:r>
      <w:r>
        <w:rPr>
          <w:szCs w:val="24"/>
        </w:rPr>
        <w:t>derada normal, mas, a ocorrência de</w:t>
      </w:r>
      <w:r w:rsidR="00D36538" w:rsidRPr="00BC3285">
        <w:rPr>
          <w:szCs w:val="24"/>
        </w:rPr>
        <w:t xml:space="preserve"> diminuição dos recursos financeiros nas disponibilidades em caixa/bancos, indicará que a diferença financiou o pagamento de despesas orçamentarias e a situação deverá ser considerada preocupante. Quando for menor do que 1, por um lado, refletirá uma diminuição da </w:t>
      </w:r>
      <w:r w:rsidR="007A18FD" w:rsidRPr="00BC3285">
        <w:rPr>
          <w:szCs w:val="24"/>
        </w:rPr>
        <w:t>dívida</w:t>
      </w:r>
      <w:r w:rsidR="00D36538" w:rsidRPr="00BC3285">
        <w:rPr>
          <w:szCs w:val="24"/>
        </w:rPr>
        <w:t xml:space="preserve"> flutuante e, por consequência, diminuição do passivo circulante, no balanço patrimonial, mas, por outro, refletirá </w:t>
      </w:r>
      <w:r w:rsidR="00D36538" w:rsidRPr="00BC3285">
        <w:rPr>
          <w:szCs w:val="24"/>
        </w:rPr>
        <w:lastRenderedPageBreak/>
        <w:t>a utilização de recursos financeiros, reduzindo as disponibili</w:t>
      </w:r>
      <w:r w:rsidR="007A18FD">
        <w:rPr>
          <w:szCs w:val="24"/>
        </w:rPr>
        <w:t>dades (caixa/bancos) exis</w:t>
      </w:r>
      <w:r w:rsidR="0083015B">
        <w:rPr>
          <w:szCs w:val="24"/>
        </w:rPr>
        <w:t>tentes (KOHAMA, 2015)</w:t>
      </w:r>
      <w:r>
        <w:rPr>
          <w:szCs w:val="24"/>
        </w:rPr>
        <w:t>.</w:t>
      </w:r>
      <w:r w:rsidR="0083015B">
        <w:rPr>
          <w:szCs w:val="24"/>
        </w:rPr>
        <w:t xml:space="preserve"> </w:t>
      </w:r>
    </w:p>
    <w:p w14:paraId="619AA4C9" w14:textId="65312B86" w:rsidR="000C0990" w:rsidRDefault="007A18FD" w:rsidP="0083015B">
      <w:pPr>
        <w:rPr>
          <w:szCs w:val="24"/>
        </w:rPr>
      </w:pPr>
      <w:r>
        <w:rPr>
          <w:szCs w:val="24"/>
        </w:rPr>
        <w:t>O</w:t>
      </w:r>
      <w:r w:rsidR="00FD7832" w:rsidRPr="00FD7832">
        <w:rPr>
          <w:szCs w:val="24"/>
        </w:rPr>
        <w:t xml:space="preserve"> significado deste quocie</w:t>
      </w:r>
      <w:r w:rsidR="00FD7832">
        <w:rPr>
          <w:szCs w:val="24"/>
        </w:rPr>
        <w:t xml:space="preserve">nte segue descrito na tabela 4, ressaltando </w:t>
      </w:r>
      <w:r>
        <w:rPr>
          <w:szCs w:val="24"/>
        </w:rPr>
        <w:t xml:space="preserve">o total das receitas (orçamentaria somada com as extraorçamentárias) em confronto com as despesas totais (orçamentárias somadas as extraorçamentárias). </w:t>
      </w:r>
      <w:r w:rsidR="00D76FB8" w:rsidRPr="00D76FB8">
        <w:rPr>
          <w:szCs w:val="24"/>
        </w:rPr>
        <w:t>Vale destacar que, através desse quociente, se verifica o resultado do exercício financeiro que está sendo demonstrado pelo balanço financeiro</w:t>
      </w:r>
      <w:r w:rsidR="00E95907">
        <w:rPr>
          <w:szCs w:val="24"/>
        </w:rPr>
        <w:t>.</w:t>
      </w:r>
    </w:p>
    <w:p w14:paraId="0EB304CA" w14:textId="77777777" w:rsidR="007C01E9" w:rsidRDefault="007C01E9" w:rsidP="00E262AD">
      <w:pPr>
        <w:ind w:firstLine="0"/>
        <w:rPr>
          <w:rFonts w:eastAsia="Calibri"/>
          <w:b/>
          <w:bCs/>
        </w:rPr>
      </w:pPr>
    </w:p>
    <w:p w14:paraId="0DAB681C" w14:textId="00A1B1DB" w:rsidR="007C01E9" w:rsidRDefault="007C01E9" w:rsidP="007C01E9">
      <w:pPr>
        <w:ind w:firstLine="0"/>
        <w:rPr>
          <w:rFonts w:eastAsia="Calibri"/>
          <w:sz w:val="20"/>
        </w:rPr>
      </w:pPr>
      <w:r w:rsidRPr="00EC5542">
        <w:rPr>
          <w:rFonts w:eastAsia="Calibri"/>
          <w:sz w:val="20"/>
        </w:rPr>
        <w:t xml:space="preserve">Tabela </w:t>
      </w:r>
      <w:r>
        <w:rPr>
          <w:rFonts w:eastAsia="Calibri"/>
          <w:sz w:val="20"/>
        </w:rPr>
        <w:t>4</w:t>
      </w:r>
      <w:r w:rsidRPr="00EC5542">
        <w:rPr>
          <w:rFonts w:eastAsia="Calibri"/>
          <w:sz w:val="20"/>
        </w:rPr>
        <w:t xml:space="preserve"> - </w:t>
      </w:r>
      <w:r w:rsidRPr="007C01E9">
        <w:rPr>
          <w:rFonts w:eastAsia="Calibri"/>
          <w:sz w:val="20"/>
        </w:rPr>
        <w:t xml:space="preserve">Quociente </w:t>
      </w:r>
      <w:r>
        <w:rPr>
          <w:rFonts w:eastAsia="Calibri"/>
          <w:sz w:val="20"/>
        </w:rPr>
        <w:t>d</w:t>
      </w:r>
      <w:r w:rsidRPr="007C01E9">
        <w:rPr>
          <w:rFonts w:eastAsia="Calibri"/>
          <w:sz w:val="20"/>
        </w:rPr>
        <w:t xml:space="preserve">o Resultado </w:t>
      </w:r>
      <w:r>
        <w:rPr>
          <w:rFonts w:eastAsia="Calibri"/>
          <w:sz w:val="20"/>
        </w:rPr>
        <w:t>d</w:t>
      </w:r>
      <w:r w:rsidRPr="007C01E9">
        <w:rPr>
          <w:rFonts w:eastAsia="Calibri"/>
          <w:sz w:val="20"/>
        </w:rPr>
        <w:t>a Execução Financeira</w:t>
      </w:r>
    </w:p>
    <w:tbl>
      <w:tblPr>
        <w:tblW w:w="9488" w:type="dxa"/>
        <w:tblInd w:w="80"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266"/>
        <w:gridCol w:w="8222"/>
      </w:tblGrid>
      <w:tr w:rsidR="00AC64CA" w:rsidRPr="00AC64CA" w14:paraId="69D8AE52" w14:textId="77777777" w:rsidTr="00AC64CA">
        <w:trPr>
          <w:trHeight w:val="20"/>
        </w:trPr>
        <w:tc>
          <w:tcPr>
            <w:tcW w:w="1266" w:type="dxa"/>
            <w:shd w:val="clear" w:color="auto" w:fill="auto"/>
            <w:vAlign w:val="center"/>
            <w:hideMark/>
          </w:tcPr>
          <w:p w14:paraId="59A21BEF" w14:textId="77777777" w:rsidR="00AC64CA" w:rsidRPr="00AC64CA" w:rsidRDefault="00AC64CA" w:rsidP="00AC64CA">
            <w:pPr>
              <w:widowControl/>
              <w:suppressLineNumbers w:val="0"/>
              <w:suppressAutoHyphens w:val="0"/>
              <w:ind w:firstLine="0"/>
              <w:jc w:val="center"/>
              <w:rPr>
                <w:color w:val="000000"/>
                <w:sz w:val="20"/>
              </w:rPr>
            </w:pPr>
            <w:r w:rsidRPr="00AC64CA">
              <w:rPr>
                <w:color w:val="000000"/>
                <w:sz w:val="20"/>
              </w:rPr>
              <w:t>1 =</w:t>
            </w:r>
          </w:p>
        </w:tc>
        <w:tc>
          <w:tcPr>
            <w:tcW w:w="8222" w:type="dxa"/>
            <w:shd w:val="clear" w:color="auto" w:fill="auto"/>
            <w:vAlign w:val="center"/>
            <w:hideMark/>
          </w:tcPr>
          <w:p w14:paraId="3B168427" w14:textId="77777777" w:rsidR="00AC64CA" w:rsidRPr="00AC64CA" w:rsidRDefault="00AC64CA" w:rsidP="00AC64CA">
            <w:pPr>
              <w:widowControl/>
              <w:suppressLineNumbers w:val="0"/>
              <w:suppressAutoHyphens w:val="0"/>
              <w:ind w:firstLine="0"/>
              <w:rPr>
                <w:color w:val="000000"/>
                <w:sz w:val="20"/>
              </w:rPr>
            </w:pPr>
            <w:r w:rsidRPr="00AC64CA">
              <w:rPr>
                <w:color w:val="000000"/>
                <w:sz w:val="20"/>
              </w:rPr>
              <w:t>A soma da Receita (Orçamentária + Extraorçamentária) é igual a soma da Despesa (Orçamentária + Extraorçamentária), o que demonstrará equilíbrio.</w:t>
            </w:r>
          </w:p>
        </w:tc>
      </w:tr>
      <w:tr w:rsidR="00AC64CA" w:rsidRPr="00AC64CA" w14:paraId="02D6D026" w14:textId="77777777" w:rsidTr="00AC64CA">
        <w:trPr>
          <w:trHeight w:val="20"/>
        </w:trPr>
        <w:tc>
          <w:tcPr>
            <w:tcW w:w="1266" w:type="dxa"/>
            <w:shd w:val="clear" w:color="auto" w:fill="auto"/>
            <w:vAlign w:val="center"/>
            <w:hideMark/>
          </w:tcPr>
          <w:p w14:paraId="38A47E0B" w14:textId="77777777" w:rsidR="00AC64CA" w:rsidRPr="00AC64CA" w:rsidRDefault="00AC64CA" w:rsidP="00AC64CA">
            <w:pPr>
              <w:widowControl/>
              <w:suppressLineNumbers w:val="0"/>
              <w:suppressAutoHyphens w:val="0"/>
              <w:ind w:firstLine="0"/>
              <w:jc w:val="center"/>
              <w:rPr>
                <w:color w:val="000000"/>
                <w:sz w:val="20"/>
              </w:rPr>
            </w:pPr>
            <w:r w:rsidRPr="00AC64CA">
              <w:rPr>
                <w:color w:val="000000"/>
                <w:sz w:val="20"/>
              </w:rPr>
              <w:t>Maior que 1</w:t>
            </w:r>
          </w:p>
        </w:tc>
        <w:tc>
          <w:tcPr>
            <w:tcW w:w="8222" w:type="dxa"/>
            <w:shd w:val="clear" w:color="auto" w:fill="auto"/>
            <w:vAlign w:val="center"/>
            <w:hideMark/>
          </w:tcPr>
          <w:p w14:paraId="1984484F" w14:textId="77777777" w:rsidR="00AC64CA" w:rsidRPr="00AC64CA" w:rsidRDefault="00AC64CA" w:rsidP="00AC64CA">
            <w:pPr>
              <w:widowControl/>
              <w:suppressLineNumbers w:val="0"/>
              <w:suppressAutoHyphens w:val="0"/>
              <w:ind w:firstLine="0"/>
              <w:rPr>
                <w:color w:val="000000"/>
                <w:sz w:val="20"/>
              </w:rPr>
            </w:pPr>
            <w:r w:rsidRPr="00AC64CA">
              <w:rPr>
                <w:color w:val="000000"/>
                <w:sz w:val="20"/>
              </w:rPr>
              <w:t>A soma da Receita (Orçamentária + Extraorçamentária) é maior que a soma da Despesa (Orçamentária + Extraorçamentária). Essa hipótese demonstrará que a soma total dos recebimentos do exercício é maior do que a soma total dos pagamentos do exercício, portanto houve um superávit financeiro.</w:t>
            </w:r>
          </w:p>
        </w:tc>
      </w:tr>
      <w:tr w:rsidR="00AC64CA" w:rsidRPr="00AC64CA" w14:paraId="3DE64694" w14:textId="77777777" w:rsidTr="00AC64CA">
        <w:trPr>
          <w:trHeight w:val="20"/>
        </w:trPr>
        <w:tc>
          <w:tcPr>
            <w:tcW w:w="1266" w:type="dxa"/>
            <w:shd w:val="clear" w:color="auto" w:fill="auto"/>
            <w:vAlign w:val="center"/>
            <w:hideMark/>
          </w:tcPr>
          <w:p w14:paraId="05FC064B" w14:textId="77777777" w:rsidR="00AC64CA" w:rsidRPr="00AC64CA" w:rsidRDefault="00AC64CA" w:rsidP="00AC64CA">
            <w:pPr>
              <w:widowControl/>
              <w:suppressLineNumbers w:val="0"/>
              <w:suppressAutoHyphens w:val="0"/>
              <w:ind w:firstLine="0"/>
              <w:jc w:val="center"/>
              <w:rPr>
                <w:color w:val="000000"/>
                <w:sz w:val="20"/>
              </w:rPr>
            </w:pPr>
            <w:r w:rsidRPr="00AC64CA">
              <w:rPr>
                <w:color w:val="000000"/>
                <w:sz w:val="20"/>
              </w:rPr>
              <w:t>Menor que 1</w:t>
            </w:r>
          </w:p>
        </w:tc>
        <w:tc>
          <w:tcPr>
            <w:tcW w:w="8222" w:type="dxa"/>
            <w:shd w:val="clear" w:color="auto" w:fill="auto"/>
            <w:vAlign w:val="center"/>
            <w:hideMark/>
          </w:tcPr>
          <w:p w14:paraId="308A1F7A" w14:textId="77777777" w:rsidR="00AC64CA" w:rsidRPr="00AC64CA" w:rsidRDefault="00AC64CA" w:rsidP="00AC64CA">
            <w:pPr>
              <w:widowControl/>
              <w:suppressLineNumbers w:val="0"/>
              <w:suppressAutoHyphens w:val="0"/>
              <w:ind w:firstLine="0"/>
              <w:rPr>
                <w:color w:val="000000"/>
                <w:sz w:val="20"/>
              </w:rPr>
            </w:pPr>
            <w:r w:rsidRPr="00AC64CA">
              <w:rPr>
                <w:color w:val="000000"/>
                <w:sz w:val="20"/>
              </w:rPr>
              <w:t>A soma da Receita (Orçamentária + Extraorçamentária) é menor que a soma da Despesa (Orçamentária + Extraorçamentária). Essa hipótese demonstrará que a soma total dos recebimentos do exercício é menor do que a soma total dos pagamentos do exercício, portanto, houve um déficit financeiro.</w:t>
            </w:r>
          </w:p>
        </w:tc>
      </w:tr>
    </w:tbl>
    <w:p w14:paraId="615510C8" w14:textId="77777777" w:rsidR="00D76FB8" w:rsidRDefault="007C01E9" w:rsidP="00066FBC">
      <w:pPr>
        <w:ind w:firstLine="0"/>
        <w:contextualSpacing/>
        <w:rPr>
          <w:rFonts w:eastAsia="Calibri"/>
          <w:sz w:val="20"/>
        </w:rPr>
      </w:pPr>
      <w:r w:rsidRPr="00EC5542">
        <w:rPr>
          <w:rFonts w:eastAsia="Calibri"/>
          <w:sz w:val="20"/>
        </w:rPr>
        <w:t>Fonte: Kohama (2015).</w:t>
      </w:r>
    </w:p>
    <w:p w14:paraId="458593E8" w14:textId="77777777" w:rsidR="00D76FB8" w:rsidRDefault="00D76FB8" w:rsidP="00D76FB8">
      <w:pPr>
        <w:ind w:firstLine="708"/>
        <w:contextualSpacing/>
        <w:rPr>
          <w:rFonts w:eastAsia="Calibri"/>
          <w:sz w:val="20"/>
        </w:rPr>
      </w:pPr>
    </w:p>
    <w:p w14:paraId="7CC42842" w14:textId="63A4226C" w:rsidR="00066FBC" w:rsidRPr="00D76FB8" w:rsidRDefault="00D76FB8" w:rsidP="00586B91">
      <w:pPr>
        <w:rPr>
          <w:rFonts w:eastAsia="Calibri"/>
          <w:szCs w:val="24"/>
        </w:rPr>
      </w:pPr>
      <w:r w:rsidRPr="00D76FB8">
        <w:rPr>
          <w:rFonts w:eastAsia="Calibri"/>
          <w:szCs w:val="24"/>
        </w:rPr>
        <w:t>O</w:t>
      </w:r>
      <w:r>
        <w:rPr>
          <w:rFonts w:eastAsia="Calibri"/>
          <w:szCs w:val="24"/>
        </w:rPr>
        <w:t xml:space="preserve"> próximo quociente utilizado </w:t>
      </w:r>
      <w:r w:rsidRPr="00D76FB8">
        <w:rPr>
          <w:rFonts w:eastAsia="Calibri"/>
          <w:szCs w:val="24"/>
        </w:rPr>
        <w:t xml:space="preserve">é </w:t>
      </w:r>
      <w:r w:rsidRPr="00D76FB8">
        <w:rPr>
          <w:szCs w:val="24"/>
        </w:rPr>
        <w:t>quociente do r</w:t>
      </w:r>
      <w:r>
        <w:rPr>
          <w:szCs w:val="24"/>
        </w:rPr>
        <w:t>esultado dos saldos financeiros, exibe o saldo que passa para o exercício seguinte em comparação com o saldo do exercício anterior.</w:t>
      </w:r>
      <w:r>
        <w:rPr>
          <w:rFonts w:eastAsia="Calibri"/>
          <w:szCs w:val="24"/>
        </w:rPr>
        <w:t xml:space="preserve"> O </w:t>
      </w:r>
      <w:r>
        <w:rPr>
          <w:szCs w:val="24"/>
        </w:rPr>
        <w:t>Significado do quociente segue representado na tabela 5.</w:t>
      </w:r>
    </w:p>
    <w:p w14:paraId="3454D4BC" w14:textId="77777777" w:rsidR="00876CA2" w:rsidRDefault="00876CA2" w:rsidP="00586B91">
      <w:pPr>
        <w:rPr>
          <w:rFonts w:eastAsia="Calibri"/>
          <w:b/>
          <w:bCs/>
        </w:rPr>
      </w:pPr>
    </w:p>
    <w:p w14:paraId="4A675504" w14:textId="5E59F9AE" w:rsidR="00AC64CA" w:rsidRDefault="00AC64CA" w:rsidP="00AC64CA">
      <w:pPr>
        <w:ind w:firstLine="0"/>
        <w:rPr>
          <w:rFonts w:eastAsia="Calibri"/>
          <w:sz w:val="20"/>
        </w:rPr>
      </w:pPr>
      <w:r w:rsidRPr="00EC5542">
        <w:rPr>
          <w:rFonts w:eastAsia="Calibri"/>
          <w:sz w:val="20"/>
        </w:rPr>
        <w:t xml:space="preserve">Tabela </w:t>
      </w:r>
      <w:r>
        <w:rPr>
          <w:rFonts w:eastAsia="Calibri"/>
          <w:sz w:val="20"/>
        </w:rPr>
        <w:t>5</w:t>
      </w:r>
      <w:r w:rsidRPr="00EC5542">
        <w:rPr>
          <w:rFonts w:eastAsia="Calibri"/>
          <w:sz w:val="20"/>
        </w:rPr>
        <w:t xml:space="preserve"> - </w:t>
      </w:r>
      <w:r w:rsidRPr="00AC64CA">
        <w:rPr>
          <w:rFonts w:eastAsia="Calibri"/>
          <w:sz w:val="20"/>
        </w:rPr>
        <w:t xml:space="preserve">Quociente </w:t>
      </w:r>
      <w:r>
        <w:rPr>
          <w:rFonts w:eastAsia="Calibri"/>
          <w:sz w:val="20"/>
        </w:rPr>
        <w:t>d</w:t>
      </w:r>
      <w:r w:rsidRPr="00AC64CA">
        <w:rPr>
          <w:rFonts w:eastAsia="Calibri"/>
          <w:sz w:val="20"/>
        </w:rPr>
        <w:t xml:space="preserve">o Resultado </w:t>
      </w:r>
      <w:r>
        <w:rPr>
          <w:rFonts w:eastAsia="Calibri"/>
          <w:sz w:val="20"/>
        </w:rPr>
        <w:t>d</w:t>
      </w:r>
      <w:r w:rsidRPr="00AC64CA">
        <w:rPr>
          <w:rFonts w:eastAsia="Calibri"/>
          <w:sz w:val="20"/>
        </w:rPr>
        <w:t>os Saldos Financeiros</w:t>
      </w:r>
    </w:p>
    <w:tbl>
      <w:tblPr>
        <w:tblW w:w="9346" w:type="dxa"/>
        <w:tblInd w:w="80"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124"/>
        <w:gridCol w:w="8222"/>
      </w:tblGrid>
      <w:tr w:rsidR="00DD4A49" w:rsidRPr="00DD4A49" w14:paraId="07B35F79" w14:textId="77777777" w:rsidTr="008D652B">
        <w:trPr>
          <w:trHeight w:val="20"/>
        </w:trPr>
        <w:tc>
          <w:tcPr>
            <w:tcW w:w="1124" w:type="dxa"/>
            <w:shd w:val="clear" w:color="auto" w:fill="auto"/>
            <w:vAlign w:val="center"/>
            <w:hideMark/>
          </w:tcPr>
          <w:p w14:paraId="020207DB" w14:textId="77777777" w:rsidR="00DD4A49" w:rsidRPr="00DD4A49" w:rsidRDefault="00DD4A49" w:rsidP="00DD4A49">
            <w:pPr>
              <w:widowControl/>
              <w:suppressLineNumbers w:val="0"/>
              <w:suppressAutoHyphens w:val="0"/>
              <w:ind w:firstLine="0"/>
              <w:jc w:val="center"/>
              <w:rPr>
                <w:color w:val="000000"/>
                <w:sz w:val="20"/>
              </w:rPr>
            </w:pPr>
            <w:r w:rsidRPr="00DD4A49">
              <w:rPr>
                <w:color w:val="000000"/>
                <w:sz w:val="20"/>
              </w:rPr>
              <w:t>1 =</w:t>
            </w:r>
          </w:p>
        </w:tc>
        <w:tc>
          <w:tcPr>
            <w:tcW w:w="8222" w:type="dxa"/>
            <w:shd w:val="clear" w:color="auto" w:fill="auto"/>
            <w:vAlign w:val="center"/>
            <w:hideMark/>
          </w:tcPr>
          <w:p w14:paraId="22F40D6A" w14:textId="77777777" w:rsidR="00DD4A49" w:rsidRPr="00DD4A49" w:rsidRDefault="00DD4A49" w:rsidP="00DD4A49">
            <w:pPr>
              <w:widowControl/>
              <w:suppressLineNumbers w:val="0"/>
              <w:suppressAutoHyphens w:val="0"/>
              <w:ind w:firstLine="0"/>
              <w:rPr>
                <w:color w:val="000000"/>
                <w:sz w:val="20"/>
              </w:rPr>
            </w:pPr>
            <w:r w:rsidRPr="00DD4A49">
              <w:rPr>
                <w:color w:val="000000"/>
                <w:sz w:val="20"/>
              </w:rPr>
              <w:t>Saldo que passa para o exercício seguinte igual ao saldo do exercício anterior, demonstrando equilíbrio entre os recebimentos e os pagamentos ocorridos no exercício.</w:t>
            </w:r>
          </w:p>
        </w:tc>
      </w:tr>
      <w:tr w:rsidR="00DD4A49" w:rsidRPr="00DD4A49" w14:paraId="101C8F91" w14:textId="77777777" w:rsidTr="008D652B">
        <w:trPr>
          <w:trHeight w:val="20"/>
        </w:trPr>
        <w:tc>
          <w:tcPr>
            <w:tcW w:w="1124" w:type="dxa"/>
            <w:shd w:val="clear" w:color="auto" w:fill="auto"/>
            <w:vAlign w:val="center"/>
            <w:hideMark/>
          </w:tcPr>
          <w:p w14:paraId="076265C6" w14:textId="77777777" w:rsidR="00DD4A49" w:rsidRPr="00DD4A49" w:rsidRDefault="00DD4A49" w:rsidP="00DD4A49">
            <w:pPr>
              <w:widowControl/>
              <w:suppressLineNumbers w:val="0"/>
              <w:suppressAutoHyphens w:val="0"/>
              <w:ind w:firstLine="0"/>
              <w:jc w:val="center"/>
              <w:rPr>
                <w:color w:val="000000"/>
                <w:sz w:val="20"/>
              </w:rPr>
            </w:pPr>
            <w:r w:rsidRPr="00DD4A49">
              <w:rPr>
                <w:color w:val="000000"/>
                <w:sz w:val="20"/>
              </w:rPr>
              <w:t>Maior que 1</w:t>
            </w:r>
          </w:p>
        </w:tc>
        <w:tc>
          <w:tcPr>
            <w:tcW w:w="8222" w:type="dxa"/>
            <w:shd w:val="clear" w:color="auto" w:fill="auto"/>
            <w:vAlign w:val="center"/>
            <w:hideMark/>
          </w:tcPr>
          <w:p w14:paraId="64E714F9" w14:textId="77777777" w:rsidR="00DD4A49" w:rsidRPr="00DD4A49" w:rsidRDefault="00DD4A49" w:rsidP="00DD4A49">
            <w:pPr>
              <w:widowControl/>
              <w:suppressLineNumbers w:val="0"/>
              <w:suppressAutoHyphens w:val="0"/>
              <w:ind w:firstLine="0"/>
              <w:rPr>
                <w:color w:val="000000"/>
                <w:sz w:val="20"/>
              </w:rPr>
            </w:pPr>
            <w:r w:rsidRPr="00DD4A49">
              <w:rPr>
                <w:color w:val="000000"/>
                <w:sz w:val="20"/>
              </w:rPr>
              <w:t>Saldo que passa para o exercício seguinte maior do que saldo do exercício anterior. Esta hipótese demonstrará que o saldo que passa para o exercício seguinte sendo maior do que o saldo do exercício anterior, constitui-se num “superávit” financeiro, ou seja, os recebimentos do exercício foram maiores que os pagamentos do exercício.</w:t>
            </w:r>
          </w:p>
        </w:tc>
      </w:tr>
      <w:tr w:rsidR="00DD4A49" w:rsidRPr="00DD4A49" w14:paraId="0DE5DD1E" w14:textId="77777777" w:rsidTr="008D652B">
        <w:trPr>
          <w:trHeight w:val="20"/>
        </w:trPr>
        <w:tc>
          <w:tcPr>
            <w:tcW w:w="1124" w:type="dxa"/>
            <w:shd w:val="clear" w:color="auto" w:fill="auto"/>
            <w:vAlign w:val="center"/>
            <w:hideMark/>
          </w:tcPr>
          <w:p w14:paraId="32BC71DD" w14:textId="77777777" w:rsidR="00DD4A49" w:rsidRPr="00DD4A49" w:rsidRDefault="00DD4A49" w:rsidP="00DD4A49">
            <w:pPr>
              <w:widowControl/>
              <w:suppressLineNumbers w:val="0"/>
              <w:suppressAutoHyphens w:val="0"/>
              <w:ind w:firstLine="0"/>
              <w:jc w:val="center"/>
              <w:rPr>
                <w:color w:val="000000"/>
                <w:sz w:val="20"/>
              </w:rPr>
            </w:pPr>
            <w:r w:rsidRPr="00DD4A49">
              <w:rPr>
                <w:color w:val="000000"/>
                <w:sz w:val="20"/>
              </w:rPr>
              <w:t>Menor que 1</w:t>
            </w:r>
          </w:p>
        </w:tc>
        <w:tc>
          <w:tcPr>
            <w:tcW w:w="8222" w:type="dxa"/>
            <w:shd w:val="clear" w:color="auto" w:fill="auto"/>
            <w:vAlign w:val="center"/>
            <w:hideMark/>
          </w:tcPr>
          <w:p w14:paraId="0268EA01" w14:textId="77777777" w:rsidR="00DD4A49" w:rsidRPr="00DD4A49" w:rsidRDefault="00DD4A49" w:rsidP="00DD4A49">
            <w:pPr>
              <w:widowControl/>
              <w:suppressLineNumbers w:val="0"/>
              <w:suppressAutoHyphens w:val="0"/>
              <w:ind w:firstLine="0"/>
              <w:rPr>
                <w:color w:val="000000"/>
                <w:sz w:val="20"/>
              </w:rPr>
            </w:pPr>
            <w:r w:rsidRPr="00DD4A49">
              <w:rPr>
                <w:color w:val="000000"/>
                <w:sz w:val="20"/>
              </w:rPr>
              <w:t>Saldo que passa para o exercício seguinte menor do que o saldo do exercício anterior. Essa hipótese demonstrará que o saldo que passa para o exercício seguinte, sendo menor que o saldo do exercício anterior, identificará que houve um déficit financeiro, isto é, os recebimentos do exercício foram menores do que os pagamentos do exercício.</w:t>
            </w:r>
          </w:p>
        </w:tc>
      </w:tr>
    </w:tbl>
    <w:p w14:paraId="0C68A482" w14:textId="77777777" w:rsidR="00AC64CA" w:rsidRDefault="00AC64CA" w:rsidP="00AC64CA">
      <w:pPr>
        <w:ind w:firstLine="0"/>
        <w:contextualSpacing/>
        <w:rPr>
          <w:rFonts w:eastAsia="Calibri"/>
          <w:sz w:val="20"/>
        </w:rPr>
      </w:pPr>
      <w:r w:rsidRPr="00EC5542">
        <w:rPr>
          <w:rFonts w:eastAsia="Calibri"/>
          <w:sz w:val="20"/>
        </w:rPr>
        <w:t>Fonte: Kohama (2015).</w:t>
      </w:r>
    </w:p>
    <w:p w14:paraId="120E51DD" w14:textId="5624C633" w:rsidR="00AC64CA" w:rsidRDefault="00AC64CA" w:rsidP="00E262AD">
      <w:pPr>
        <w:ind w:firstLine="0"/>
        <w:rPr>
          <w:rFonts w:eastAsia="Calibri"/>
          <w:b/>
          <w:bCs/>
        </w:rPr>
      </w:pPr>
    </w:p>
    <w:p w14:paraId="4A24B1E6" w14:textId="601143A0" w:rsidR="00875A37" w:rsidRPr="00BC3285" w:rsidRDefault="00875A37" w:rsidP="007B08CA">
      <w:pPr>
        <w:rPr>
          <w:szCs w:val="24"/>
        </w:rPr>
      </w:pPr>
      <w:r w:rsidRPr="00BC3285">
        <w:rPr>
          <w:szCs w:val="24"/>
        </w:rPr>
        <w:t>Est</w:t>
      </w:r>
      <w:r w:rsidR="00D76FB8">
        <w:rPr>
          <w:szCs w:val="24"/>
        </w:rPr>
        <w:t xml:space="preserve">e quociente permite </w:t>
      </w:r>
      <w:r w:rsidR="007B08CA">
        <w:rPr>
          <w:szCs w:val="24"/>
        </w:rPr>
        <w:t xml:space="preserve">outra modelagem </w:t>
      </w:r>
      <w:r w:rsidR="00D76FB8">
        <w:rPr>
          <w:szCs w:val="24"/>
        </w:rPr>
        <w:t>para obtenção d</w:t>
      </w:r>
      <w:r w:rsidRPr="00BC3285">
        <w:rPr>
          <w:szCs w:val="24"/>
        </w:rPr>
        <w:t>o res</w:t>
      </w:r>
      <w:r w:rsidR="00D76FB8">
        <w:rPr>
          <w:szCs w:val="24"/>
        </w:rPr>
        <w:t>ultado do exercício financeiro, demonstra</w:t>
      </w:r>
      <w:r w:rsidRPr="00BC3285">
        <w:rPr>
          <w:szCs w:val="24"/>
        </w:rPr>
        <w:t xml:space="preserve"> o saldo que passa para o exercício seguinte em confronto com o saldo do exercício anterior. </w:t>
      </w:r>
      <w:r w:rsidR="00D76FB8">
        <w:rPr>
          <w:szCs w:val="24"/>
        </w:rPr>
        <w:t>Por</w:t>
      </w:r>
      <w:r w:rsidRPr="00BC3285">
        <w:rPr>
          <w:szCs w:val="24"/>
        </w:rPr>
        <w:t xml:space="preserve"> meio dessa relação, apresentará o resultado do bala</w:t>
      </w:r>
      <w:r w:rsidR="00D76FB8">
        <w:rPr>
          <w:szCs w:val="24"/>
        </w:rPr>
        <w:t>nço financeiro, de</w:t>
      </w:r>
      <w:r w:rsidR="007B08CA">
        <w:rPr>
          <w:szCs w:val="24"/>
        </w:rPr>
        <w:t xml:space="preserve"> uma outra perspectiva</w:t>
      </w:r>
      <w:r w:rsidR="00D76FB8">
        <w:rPr>
          <w:szCs w:val="24"/>
        </w:rPr>
        <w:t>, daquela exposta na tabela 4, todavia</w:t>
      </w:r>
      <w:r w:rsidR="007B08CA">
        <w:rPr>
          <w:szCs w:val="24"/>
        </w:rPr>
        <w:t xml:space="preserve">, com o mesmo significado. </w:t>
      </w:r>
      <w:r w:rsidRPr="00BC3285">
        <w:rPr>
          <w:szCs w:val="24"/>
        </w:rPr>
        <w:t xml:space="preserve">Tenderá a ser considerado normal o resultado de 1, ou pouco maior que 1. Caso seja menor do que 1, deve-se verificar se as disponibilidades (saldo de caixa/bancos) refletem a movimentação financeira de origem extraorçamentária, para se ter melhor </w:t>
      </w:r>
      <w:r w:rsidR="00D76FB8">
        <w:rPr>
          <w:szCs w:val="24"/>
        </w:rPr>
        <w:t>base de análise e interpretação</w:t>
      </w:r>
      <w:r w:rsidRPr="00DF62D3">
        <w:rPr>
          <w:szCs w:val="24"/>
        </w:rPr>
        <w:t xml:space="preserve"> </w:t>
      </w:r>
      <w:r w:rsidRPr="00BC3285">
        <w:rPr>
          <w:szCs w:val="24"/>
        </w:rPr>
        <w:t>(</w:t>
      </w:r>
      <w:r w:rsidR="00D76FB8">
        <w:rPr>
          <w:szCs w:val="24"/>
        </w:rPr>
        <w:t>KOHAMA, 2015).</w:t>
      </w:r>
    </w:p>
    <w:p w14:paraId="66EEFCFF" w14:textId="5461549C" w:rsidR="00911745" w:rsidRDefault="00911745" w:rsidP="00E262AD">
      <w:pPr>
        <w:ind w:firstLine="0"/>
        <w:rPr>
          <w:rFonts w:eastAsia="Calibri"/>
          <w:b/>
          <w:bCs/>
        </w:rPr>
      </w:pPr>
    </w:p>
    <w:p w14:paraId="7DE02672" w14:textId="77777777" w:rsidR="00057C64" w:rsidRPr="00057C64" w:rsidRDefault="00057C64" w:rsidP="00057C64">
      <w:pPr>
        <w:widowControl/>
        <w:suppressLineNumbers w:val="0"/>
        <w:suppressAutoHyphens w:val="0"/>
        <w:ind w:firstLine="0"/>
        <w:contextualSpacing/>
        <w:rPr>
          <w:rFonts w:eastAsia="Calibri"/>
          <w:b/>
          <w:szCs w:val="24"/>
          <w:lang w:eastAsia="en-US"/>
        </w:rPr>
      </w:pPr>
      <w:r w:rsidRPr="00057C64">
        <w:rPr>
          <w:rFonts w:eastAsia="Calibri"/>
          <w:b/>
          <w:szCs w:val="24"/>
          <w:lang w:eastAsia="en-US"/>
        </w:rPr>
        <w:lastRenderedPageBreak/>
        <w:t>2.3 Pesquisas anteriores</w:t>
      </w:r>
    </w:p>
    <w:p w14:paraId="36201680" w14:textId="198380E9" w:rsidR="00057C64" w:rsidRDefault="00057C64" w:rsidP="00E262AD">
      <w:pPr>
        <w:ind w:firstLine="0"/>
        <w:rPr>
          <w:rFonts w:eastAsia="Calibri"/>
          <w:b/>
          <w:bCs/>
        </w:rPr>
      </w:pPr>
    </w:p>
    <w:p w14:paraId="44689F12" w14:textId="77777777" w:rsidR="00057C64" w:rsidRPr="00334A56" w:rsidRDefault="00057C64" w:rsidP="00057C64">
      <w:pPr>
        <w:rPr>
          <w:rFonts w:eastAsia="Calibri"/>
          <w:szCs w:val="24"/>
        </w:rPr>
      </w:pPr>
      <w:r w:rsidRPr="00334A56">
        <w:rPr>
          <w:rFonts w:eastAsia="Calibri"/>
          <w:szCs w:val="24"/>
        </w:rPr>
        <w:t>A sequência, aqui apresentada, refere-se as pesquisas que, de uma forma direta ou</w:t>
      </w:r>
      <w:r w:rsidRPr="00334A56">
        <w:rPr>
          <w:rFonts w:eastAsia="Calibri"/>
          <w:b/>
          <w:szCs w:val="24"/>
        </w:rPr>
        <w:t xml:space="preserve"> </w:t>
      </w:r>
      <w:r w:rsidRPr="00334A56">
        <w:rPr>
          <w:rFonts w:eastAsia="Calibri"/>
          <w:szCs w:val="24"/>
        </w:rPr>
        <w:t>indireta, avaliam os resultados governamentais a partir de aplicação de quocientes Manso e Simões (2007) criaram o Indicador de Qualidade de Vida (IQV) para mensurar, em uma medida única, o bem-estar e a qualidade de vida dos portugueses. A técnica utilizada foi a estatística multivariada (análise fatorial e a</w:t>
      </w:r>
      <w:r w:rsidRPr="00334A56">
        <w:rPr>
          <w:rFonts w:eastAsia="Calibri"/>
          <w:b/>
          <w:szCs w:val="24"/>
        </w:rPr>
        <w:t xml:space="preserve"> </w:t>
      </w:r>
      <w:r w:rsidRPr="00334A56">
        <w:rPr>
          <w:rFonts w:eastAsia="Calibri"/>
          <w:szCs w:val="24"/>
        </w:rPr>
        <w:t xml:space="preserve">análise de componentes principais). Foram analisados 278 municípios portugueses, e os resultados encontrados, em alguns municípios, foram àqueles esperados e óbvios sobre distorções de eficiência. Os melhores posicionamentos no </w:t>
      </w:r>
      <w:r w:rsidRPr="00334A56">
        <w:rPr>
          <w:rFonts w:eastAsia="Calibri"/>
          <w:i/>
          <w:szCs w:val="24"/>
        </w:rPr>
        <w:t>ranking</w:t>
      </w:r>
      <w:r w:rsidRPr="00334A56">
        <w:rPr>
          <w:rFonts w:eastAsia="Calibri"/>
          <w:szCs w:val="24"/>
        </w:rPr>
        <w:t xml:space="preserve"> dos municípios foram para: Lisboa e Porto. </w:t>
      </w:r>
    </w:p>
    <w:p w14:paraId="7CAB46E8" w14:textId="77777777" w:rsidR="00057C64" w:rsidRPr="00334A56" w:rsidRDefault="00057C64" w:rsidP="00057C64">
      <w:pPr>
        <w:rPr>
          <w:rFonts w:eastAsia="Calibri"/>
        </w:rPr>
      </w:pPr>
      <w:r w:rsidRPr="00334A56">
        <w:rPr>
          <w:rFonts w:eastAsia="Calibri"/>
          <w:szCs w:val="24"/>
        </w:rPr>
        <w:t>Silveira e Silveira, (2008) avaliaram a qualidade da saúde, nos estados brasileiros, com a elaboração do Índice Relativo de Qualidade da Saúde (IRQS), utilizando a análise de componentes principais. Foram selecionados 17 (dezessete) variáveis para compor o referido índice: médicos por 1.000 habitantes; leitos por 1.000 habitantes; número de enfermeiros por 100 leitos; esperança de vida ao nascer; taxa de mortalidade neonatal precoce; número de consultas médicas, dentre outras. Os resultados apontaram que o Brasil possui uma heterogeneidade em relação à qualidade da</w:t>
      </w:r>
      <w:r w:rsidRPr="00334A56">
        <w:rPr>
          <w:rFonts w:eastAsia="Calibri"/>
        </w:rPr>
        <w:t xml:space="preserve"> </w:t>
      </w:r>
      <w:r w:rsidRPr="00334A56">
        <w:rPr>
          <w:rFonts w:eastAsia="Calibri"/>
          <w:szCs w:val="24"/>
        </w:rPr>
        <w:t>saúde sob a perspectiva da análise.</w:t>
      </w:r>
      <w:r w:rsidRPr="00334A56">
        <w:rPr>
          <w:rFonts w:eastAsia="Calibri"/>
        </w:rPr>
        <w:t xml:space="preserve"> </w:t>
      </w:r>
    </w:p>
    <w:p w14:paraId="51CC3C86" w14:textId="77777777" w:rsidR="00057C64" w:rsidRPr="00334A56" w:rsidRDefault="00057C64" w:rsidP="00057C64">
      <w:pPr>
        <w:rPr>
          <w:rFonts w:eastAsia="Calibri"/>
          <w:szCs w:val="24"/>
        </w:rPr>
      </w:pPr>
      <w:r w:rsidRPr="00334A56">
        <w:rPr>
          <w:rFonts w:eastAsia="Calibri"/>
          <w:szCs w:val="24"/>
        </w:rPr>
        <w:t>Marques, (2010) avaliou o desempenho e a infraestrutura das escolas públicas estaduais do Ensino Fundamental e Médio coordenadas pelo Núcleo Regional de Educação de Paranavaí (NREP) aplicando estatística multivariada. Os resultados revelaram que 11 das 66 escolas avaliadas</w:t>
      </w:r>
      <w:r w:rsidRPr="00334A56">
        <w:rPr>
          <w:rFonts w:eastAsia="Calibri"/>
        </w:rPr>
        <w:t xml:space="preserve"> </w:t>
      </w:r>
      <w:r w:rsidRPr="00334A56">
        <w:rPr>
          <w:rFonts w:eastAsia="Calibri"/>
          <w:szCs w:val="24"/>
        </w:rPr>
        <w:t xml:space="preserve">tiveram aproveitamento final em relação ao desempenho e à infraestrutura, com percentual acima de 50%. </w:t>
      </w:r>
    </w:p>
    <w:p w14:paraId="233ABF77" w14:textId="77777777" w:rsidR="00057C64" w:rsidRPr="00334A56" w:rsidRDefault="00057C64" w:rsidP="00057C64">
      <w:pPr>
        <w:rPr>
          <w:rFonts w:eastAsia="Calibri"/>
          <w:szCs w:val="24"/>
        </w:rPr>
      </w:pPr>
      <w:r w:rsidRPr="00334A56">
        <w:rPr>
          <w:rFonts w:eastAsia="Calibri"/>
          <w:szCs w:val="24"/>
        </w:rPr>
        <w:t xml:space="preserve">Maurélio Soares et al, (2011) pesquisaram 293 municípios do estado de Santa Catarina, tendo como base de dados os demonstrativos relativos ao exercício financeiro de 2007. Foi usado um conjunto de índices, da iniciativa privada, mas, passível de obtenção e análise de dados, afins, dos balanços públicos, tais como: o índice de liquidez corrente (LC), o índice de liquidez imediata (LI), o índice de situação líquida financeira (SL), dentre outros. Foi estabelecido um </w:t>
      </w:r>
      <w:r w:rsidRPr="00334A56">
        <w:rPr>
          <w:rFonts w:eastAsia="Calibri"/>
          <w:i/>
          <w:szCs w:val="24"/>
        </w:rPr>
        <w:t>ranking</w:t>
      </w:r>
      <w:r w:rsidRPr="00334A56">
        <w:rPr>
          <w:rFonts w:eastAsia="Calibri"/>
          <w:szCs w:val="24"/>
        </w:rPr>
        <w:t xml:space="preserve"> de gestão fiscal a partir da análise da matriz de variância-covariância das variáveis. Os resultados apontaram, nas 10 primeiras colocações, os municípios com pouca expressão no cenário econômico estadual e pequenos em número de habitantes. </w:t>
      </w:r>
    </w:p>
    <w:p w14:paraId="64F53CD7" w14:textId="44E99EA2" w:rsidR="00057C64" w:rsidRDefault="00057C64" w:rsidP="00057C64">
      <w:pPr>
        <w:rPr>
          <w:rFonts w:eastAsia="Calibri"/>
          <w:szCs w:val="24"/>
        </w:rPr>
      </w:pPr>
      <w:r w:rsidRPr="00334A56">
        <w:rPr>
          <w:rFonts w:eastAsia="Calibri"/>
          <w:szCs w:val="24"/>
        </w:rPr>
        <w:t>Govender (2014) investigou a qualidade do serviço de transporte público na cidade de Johannesburg na África do Sul, numa amostra de 690 motoristas, que deveriam descrever sua percepção sobre a utilização de serviços de transporte de ônibus e micro-ônibus. Os resultados revelaram que a qualidade percebida dos serviços de transporte de ônibus público superou o de micro-ônibus. Silva1et al, 2014,</w:t>
      </w:r>
      <w:r w:rsidRPr="00334A56">
        <w:rPr>
          <w:rFonts w:eastAsia="Calibri"/>
        </w:rPr>
        <w:t xml:space="preserve"> analisaram o resultado orçamentário do governo federal do período de 2000 a 2009, aplicando quocientes de análises no balanço orçamentário: quociente da execução da receita (QER), quociente do equilíbrio orçamentário (QEO) e quociente da execução da despesa (QED) e quociente do resultado orçamentário (QRO), dentre outros, a partir de Kohama, 1999. Os achados de pesquisa apontaram, nos dez anos analisados que o governo federal apresentou no quociente do resultado da execução orçamentária, um </w:t>
      </w:r>
      <w:r w:rsidRPr="00334A56">
        <w:rPr>
          <w:rFonts w:eastAsia="Calibri"/>
          <w:i/>
        </w:rPr>
        <w:t>superávit</w:t>
      </w:r>
      <w:r w:rsidRPr="00334A56">
        <w:rPr>
          <w:rFonts w:eastAsia="Calibri"/>
        </w:rPr>
        <w:t xml:space="preserve"> orçamentário total (receitas executadas superiores as despesas executadas). Nesse sentido, a</w:t>
      </w:r>
      <w:r w:rsidRPr="00334A56">
        <w:rPr>
          <w:rFonts w:eastAsia="Calibri"/>
          <w:szCs w:val="24"/>
        </w:rPr>
        <w:t>s pesquisas de avaliação de</w:t>
      </w:r>
      <w:r w:rsidRPr="00334A56">
        <w:rPr>
          <w:rFonts w:eastAsia="Calibri"/>
        </w:rPr>
        <w:t xml:space="preserve"> </w:t>
      </w:r>
      <w:r w:rsidRPr="00334A56">
        <w:rPr>
          <w:rFonts w:eastAsia="Calibri"/>
          <w:szCs w:val="24"/>
        </w:rPr>
        <w:t xml:space="preserve">resultado de ações governamentais possibilitam controle do ambiente </w:t>
      </w:r>
      <w:r w:rsidRPr="00334A56">
        <w:rPr>
          <w:rFonts w:eastAsia="Calibri"/>
          <w:szCs w:val="24"/>
        </w:rPr>
        <w:lastRenderedPageBreak/>
        <w:t>contábil financeiro</w:t>
      </w:r>
      <w:r>
        <w:rPr>
          <w:rFonts w:eastAsia="Calibri"/>
          <w:szCs w:val="24"/>
        </w:rPr>
        <w:t>.</w:t>
      </w:r>
    </w:p>
    <w:p w14:paraId="51778DF5" w14:textId="728DD96D" w:rsidR="00057C64" w:rsidRDefault="00057C64" w:rsidP="00057C64">
      <w:pPr>
        <w:rPr>
          <w:rFonts w:eastAsia="Calibri"/>
          <w:szCs w:val="24"/>
        </w:rPr>
      </w:pPr>
    </w:p>
    <w:p w14:paraId="61E509E1" w14:textId="77777777" w:rsidR="00057C64" w:rsidRPr="00057C64" w:rsidRDefault="00057C64" w:rsidP="00057C64">
      <w:pPr>
        <w:widowControl/>
        <w:suppressLineNumbers w:val="0"/>
        <w:suppressAutoHyphens w:val="0"/>
        <w:ind w:firstLine="0"/>
        <w:contextualSpacing/>
        <w:rPr>
          <w:rFonts w:eastAsia="Calibri"/>
          <w:b/>
          <w:szCs w:val="24"/>
          <w:lang w:eastAsia="en-US"/>
        </w:rPr>
      </w:pPr>
      <w:r w:rsidRPr="00057C64">
        <w:rPr>
          <w:rFonts w:eastAsia="Calibri"/>
          <w:b/>
          <w:szCs w:val="24"/>
          <w:lang w:eastAsia="en-US"/>
        </w:rPr>
        <w:t>2.4 Controle social sobre o gasto público</w:t>
      </w:r>
    </w:p>
    <w:p w14:paraId="63F9BF31" w14:textId="77777777" w:rsidR="00B91BCC" w:rsidRDefault="00B91BCC" w:rsidP="00B91BCC">
      <w:pPr>
        <w:autoSpaceDE w:val="0"/>
        <w:autoSpaceDN w:val="0"/>
        <w:adjustRightInd w:val="0"/>
        <w:rPr>
          <w:rFonts w:eastAsia="Calibri"/>
          <w:szCs w:val="24"/>
        </w:rPr>
      </w:pPr>
    </w:p>
    <w:p w14:paraId="5716528C" w14:textId="18648973" w:rsidR="00B91BCC" w:rsidRPr="00334A56" w:rsidRDefault="00B91BCC" w:rsidP="00B91BCC">
      <w:pPr>
        <w:autoSpaceDE w:val="0"/>
        <w:autoSpaceDN w:val="0"/>
        <w:adjustRightInd w:val="0"/>
        <w:rPr>
          <w:rFonts w:eastAsia="Calibri"/>
          <w:szCs w:val="24"/>
        </w:rPr>
      </w:pPr>
      <w:r w:rsidRPr="00334A56">
        <w:rPr>
          <w:rFonts w:eastAsia="Calibri"/>
          <w:szCs w:val="24"/>
        </w:rPr>
        <w:t>Para Alcântara, (2000) o controle social é poder legítimo que a população exercita para fiscalizar a ação dos governantes que proporciona a indicação de soluções, de planos e de políticas em todas as áreas de interesse. Para Cunha (2003) controle social é a capacidade de a sociedade organizada intervir nas políticas públicas, interagir com o Estado para definir prioridades, e, elaborar planos de ação. A Cartilha “Controle Social” da Controladoria Geral da União (CGU) ensina que o controle social é a participação do cidadão na gestão, na fiscalização, no monitoramento e no controle das ações como mecanismo de prevenção da corrupção e de fortalecimento da cidadania (Brasil, 2012).</w:t>
      </w:r>
      <w:r w:rsidRPr="00334A56">
        <w:rPr>
          <w:rFonts w:eastAsia="Calibri"/>
        </w:rPr>
        <w:t xml:space="preserve"> </w:t>
      </w:r>
    </w:p>
    <w:p w14:paraId="0E699D5A" w14:textId="7F28A066" w:rsidR="00B91BCC" w:rsidRDefault="00B91BCC" w:rsidP="00B91BCC">
      <w:pPr>
        <w:autoSpaceDE w:val="0"/>
        <w:autoSpaceDN w:val="0"/>
        <w:adjustRightInd w:val="0"/>
        <w:rPr>
          <w:rFonts w:eastAsia="Calibri"/>
          <w:szCs w:val="24"/>
        </w:rPr>
      </w:pPr>
      <w:r w:rsidRPr="00334A56">
        <w:rPr>
          <w:rFonts w:eastAsia="Calibri"/>
          <w:szCs w:val="24"/>
        </w:rPr>
        <w:t xml:space="preserve">Quanto maior a interação da sociedade com o Estado, quanto maior sua participação ativa para definição, elaboração e acompanhamento das prioridades e políticas administrativas, maior o lucro social, mas, para que os cidadãos possam exercer de forma eficaz o controle social, é importante não somente mobilização, é necessário conhecimento da performance pública.  Alguns mecanismos de controle, no Brasil, auxiliam no efetivo controle social, caso da Lei de Responsabilidade Fiscal (LRF) que estabeleceu regras voltadas para a responsabilidade na gestão fiscal. A Lei de Acesso à Informação (LAI) foi outro instrumento que, ao regulamentar o direito constitucional de acesso às informações públicas e os portais de transparência que permitem a participação ativa do cidadão. </w:t>
      </w:r>
    </w:p>
    <w:p w14:paraId="7FB3A7D8" w14:textId="77777777" w:rsidR="000A54E5" w:rsidRDefault="000A54E5" w:rsidP="00B91BCC">
      <w:pPr>
        <w:autoSpaceDE w:val="0"/>
        <w:autoSpaceDN w:val="0"/>
        <w:adjustRightInd w:val="0"/>
        <w:ind w:firstLine="0"/>
        <w:rPr>
          <w:rFonts w:eastAsia="Calibri"/>
          <w:b/>
          <w:bCs/>
          <w:szCs w:val="24"/>
        </w:rPr>
      </w:pPr>
    </w:p>
    <w:p w14:paraId="3F145282" w14:textId="02011C9F" w:rsidR="00B91BCC" w:rsidRDefault="00B91BCC" w:rsidP="00B91BCC">
      <w:pPr>
        <w:autoSpaceDE w:val="0"/>
        <w:autoSpaceDN w:val="0"/>
        <w:adjustRightInd w:val="0"/>
        <w:ind w:firstLine="0"/>
        <w:rPr>
          <w:rFonts w:eastAsia="Calibri"/>
          <w:b/>
          <w:bCs/>
          <w:szCs w:val="24"/>
        </w:rPr>
      </w:pPr>
      <w:r w:rsidRPr="00B91BCC">
        <w:rPr>
          <w:rFonts w:eastAsia="Calibri"/>
          <w:b/>
          <w:bCs/>
          <w:szCs w:val="24"/>
        </w:rPr>
        <w:t>3 Procedimentos Metodológicos</w:t>
      </w:r>
    </w:p>
    <w:p w14:paraId="1C236AE8" w14:textId="77777777" w:rsidR="00753545" w:rsidRDefault="00753545" w:rsidP="00B91BCC">
      <w:pPr>
        <w:autoSpaceDE w:val="0"/>
        <w:autoSpaceDN w:val="0"/>
        <w:adjustRightInd w:val="0"/>
        <w:ind w:firstLine="0"/>
        <w:rPr>
          <w:rFonts w:eastAsia="Calibri"/>
          <w:b/>
          <w:bCs/>
          <w:szCs w:val="24"/>
        </w:rPr>
      </w:pPr>
    </w:p>
    <w:p w14:paraId="50445AE0" w14:textId="06E9F3CF" w:rsidR="00B91BCC" w:rsidRPr="00B91BCC" w:rsidRDefault="00B91BCC" w:rsidP="00B91BCC">
      <w:pPr>
        <w:autoSpaceDE w:val="0"/>
        <w:autoSpaceDN w:val="0"/>
        <w:adjustRightInd w:val="0"/>
        <w:ind w:firstLine="0"/>
        <w:rPr>
          <w:rFonts w:eastAsia="Calibri"/>
          <w:b/>
          <w:bCs/>
          <w:szCs w:val="24"/>
        </w:rPr>
      </w:pPr>
      <w:r>
        <w:rPr>
          <w:rFonts w:eastAsia="Calibri"/>
          <w:b/>
          <w:bCs/>
          <w:szCs w:val="24"/>
        </w:rPr>
        <w:t>3.1 Caracterização da pesquisa, do método e da base de dados</w:t>
      </w:r>
    </w:p>
    <w:p w14:paraId="6847F8D2" w14:textId="77777777" w:rsidR="00753545" w:rsidRDefault="00753545" w:rsidP="00753545">
      <w:pPr>
        <w:rPr>
          <w:rFonts w:eastAsia="Calibri"/>
          <w:szCs w:val="24"/>
        </w:rPr>
      </w:pPr>
    </w:p>
    <w:p w14:paraId="6F069B0E" w14:textId="6B20E6ED" w:rsidR="00753545" w:rsidRPr="00334A56" w:rsidRDefault="00753545" w:rsidP="00753545">
      <w:pPr>
        <w:rPr>
          <w:rFonts w:eastAsia="Calibri"/>
          <w:szCs w:val="24"/>
        </w:rPr>
      </w:pPr>
      <w:r w:rsidRPr="00334A56">
        <w:rPr>
          <w:rFonts w:eastAsia="Calibri"/>
          <w:szCs w:val="24"/>
        </w:rPr>
        <w:t>Para investigar o problema de pesquisa foi utilizada a estratégia de avaliação de resultados, a partir da catalogação dos municípios paraenses que possuíam balanços gerais consolidados, disponíveis na plataforma de sistema de processos eletrônicos (SPE), localizado no site do tribunal de contas dos municípios do estado do Pará (TCM/PA).</w:t>
      </w:r>
    </w:p>
    <w:p w14:paraId="6B776A4F" w14:textId="77777777" w:rsidR="00753545" w:rsidRPr="00334A56" w:rsidRDefault="00753545" w:rsidP="00753545">
      <w:pPr>
        <w:rPr>
          <w:rFonts w:eastAsia="Calibri"/>
          <w:szCs w:val="24"/>
        </w:rPr>
      </w:pPr>
      <w:r w:rsidRPr="00334A56">
        <w:rPr>
          <w:rFonts w:eastAsia="Calibri"/>
          <w:szCs w:val="24"/>
        </w:rPr>
        <w:t>O est</w:t>
      </w:r>
      <w:r>
        <w:rPr>
          <w:rFonts w:eastAsia="Calibri"/>
          <w:szCs w:val="24"/>
        </w:rPr>
        <w:t xml:space="preserve">ado do Pará tem 144 municípios cujos balanços gerais, de três anos, possibilitaram a coleta de </w:t>
      </w:r>
      <w:r w:rsidRPr="00334A56">
        <w:rPr>
          <w:rFonts w:eastAsia="Calibri"/>
          <w:szCs w:val="24"/>
        </w:rPr>
        <w:t xml:space="preserve">informações, íntegras, </w:t>
      </w:r>
      <w:r>
        <w:rPr>
          <w:rFonts w:eastAsia="Calibri"/>
          <w:szCs w:val="24"/>
        </w:rPr>
        <w:t>nesta pesquisa</w:t>
      </w:r>
      <w:r w:rsidRPr="00334A56">
        <w:rPr>
          <w:rFonts w:eastAsia="Calibri"/>
          <w:szCs w:val="24"/>
        </w:rPr>
        <w:t xml:space="preserve">. Para organizar, a amostra, os municipios foram separados por porte, considerando suas populações da plataforma do IBGE/2019, que em conjunto com as pesquisa de Calvo, 2016  define  ‘porte populacional’ como fator específico na identificação dos grupos homogêneos, foi possível estratificar três grupos: municípios com menos que 25 mil habitantes, considerados de pequeno porte, municípios com 25 a 100 mil habitantes  de médio porte e, finalmente, os  municípios com mais de 100 mil habitantes de grande porte. </w:t>
      </w:r>
    </w:p>
    <w:p w14:paraId="5F364D36" w14:textId="4AF9FA37" w:rsidR="00753545" w:rsidRDefault="00753545" w:rsidP="00753545">
      <w:pPr>
        <w:rPr>
          <w:rFonts w:eastAsia="Calibri"/>
          <w:szCs w:val="24"/>
        </w:rPr>
      </w:pPr>
      <w:r w:rsidRPr="00334A56">
        <w:rPr>
          <w:rFonts w:eastAsia="Calibri"/>
          <w:szCs w:val="24"/>
        </w:rPr>
        <w:t>Foi utilizado o método o empírico-analítico, formando um arquivo/empirista (banco de dados), a partir da utilização da quantificação, coleta, tratamento, aplicação dos quocientes nos balanços. A pop</w:t>
      </w:r>
      <w:r>
        <w:rPr>
          <w:rFonts w:eastAsia="Calibri"/>
          <w:szCs w:val="24"/>
        </w:rPr>
        <w:t>ulação de pesquisa, totaliza 432 (quatrocentos e trinta e dois</w:t>
      </w:r>
      <w:r w:rsidRPr="00334A56">
        <w:rPr>
          <w:rFonts w:eastAsia="Calibri"/>
          <w:szCs w:val="24"/>
        </w:rPr>
        <w:t xml:space="preserve"> balanços</w:t>
      </w:r>
      <w:r w:rsidR="00692BFD">
        <w:rPr>
          <w:rFonts w:eastAsia="Calibri"/>
          <w:szCs w:val="24"/>
        </w:rPr>
        <w:t xml:space="preserve"> financeiros</w:t>
      </w:r>
      <w:r w:rsidRPr="00334A56">
        <w:rPr>
          <w:rFonts w:eastAsia="Calibri"/>
          <w:szCs w:val="24"/>
        </w:rPr>
        <w:t xml:space="preserve">) municipais </w:t>
      </w:r>
      <w:r>
        <w:rPr>
          <w:rFonts w:eastAsia="Calibri"/>
          <w:szCs w:val="24"/>
        </w:rPr>
        <w:t xml:space="preserve">referente aos anos de 2015, </w:t>
      </w:r>
      <w:r w:rsidRPr="00334A56">
        <w:rPr>
          <w:rFonts w:eastAsia="Calibri"/>
          <w:szCs w:val="24"/>
        </w:rPr>
        <w:t>2016</w:t>
      </w:r>
      <w:r>
        <w:rPr>
          <w:rFonts w:eastAsia="Calibri"/>
          <w:szCs w:val="24"/>
        </w:rPr>
        <w:t xml:space="preserve"> e 2017</w:t>
      </w:r>
      <w:r w:rsidR="00692BFD">
        <w:rPr>
          <w:rFonts w:eastAsia="Calibri"/>
          <w:szCs w:val="24"/>
        </w:rPr>
        <w:t>. Os balanços financeiros</w:t>
      </w:r>
      <w:r>
        <w:rPr>
          <w:rFonts w:eastAsia="Calibri"/>
          <w:szCs w:val="24"/>
        </w:rPr>
        <w:t xml:space="preserve"> </w:t>
      </w:r>
      <w:r w:rsidRPr="00334A56">
        <w:rPr>
          <w:rFonts w:eastAsia="Calibri"/>
          <w:szCs w:val="24"/>
        </w:rPr>
        <w:t xml:space="preserve">foram </w:t>
      </w:r>
      <w:r w:rsidRPr="00334A56">
        <w:rPr>
          <w:rFonts w:eastAsia="Calibri"/>
          <w:szCs w:val="24"/>
        </w:rPr>
        <w:lastRenderedPageBreak/>
        <w:t xml:space="preserve">separados </w:t>
      </w:r>
      <w:r>
        <w:rPr>
          <w:rFonts w:eastAsia="Calibri"/>
          <w:szCs w:val="24"/>
        </w:rPr>
        <w:t xml:space="preserve">por ano e em seus </w:t>
      </w:r>
      <w:r w:rsidR="00692BFD">
        <w:rPr>
          <w:rFonts w:eastAsia="Calibri"/>
          <w:szCs w:val="24"/>
        </w:rPr>
        <w:t xml:space="preserve">resultados forma aplicados cinco </w:t>
      </w:r>
      <w:r>
        <w:rPr>
          <w:rFonts w:eastAsia="Calibri"/>
          <w:szCs w:val="24"/>
        </w:rPr>
        <w:t xml:space="preserve">indicadores, quais sejam: </w:t>
      </w:r>
      <w:r w:rsidR="00692BFD">
        <w:rPr>
          <w:rFonts w:eastAsia="Calibri"/>
          <w:szCs w:val="24"/>
        </w:rPr>
        <w:t>quociente da execução orçamentária</w:t>
      </w:r>
      <w:r>
        <w:rPr>
          <w:rFonts w:eastAsia="Calibri"/>
          <w:szCs w:val="24"/>
        </w:rPr>
        <w:t>,</w:t>
      </w:r>
      <w:r w:rsidRPr="00532331">
        <w:rPr>
          <w:rFonts w:eastAsia="Calibri"/>
          <w:szCs w:val="24"/>
        </w:rPr>
        <w:t xml:space="preserve"> quoc</w:t>
      </w:r>
      <w:r w:rsidR="00692BFD">
        <w:rPr>
          <w:rFonts w:eastAsia="Calibri"/>
          <w:szCs w:val="24"/>
        </w:rPr>
        <w:t>iente financeiros real da execução orçamentária</w:t>
      </w:r>
      <w:r>
        <w:rPr>
          <w:rFonts w:eastAsia="Calibri"/>
          <w:szCs w:val="24"/>
        </w:rPr>
        <w:t>,</w:t>
      </w:r>
      <w:r w:rsidRPr="00532331">
        <w:rPr>
          <w:rFonts w:eastAsia="Calibri"/>
          <w:szCs w:val="24"/>
        </w:rPr>
        <w:t xml:space="preserve"> q</w:t>
      </w:r>
      <w:r>
        <w:rPr>
          <w:rFonts w:eastAsia="Calibri"/>
          <w:szCs w:val="24"/>
        </w:rPr>
        <w:t xml:space="preserve">uociente da execução </w:t>
      </w:r>
      <w:r w:rsidR="00692BFD">
        <w:rPr>
          <w:rFonts w:eastAsia="Calibri"/>
          <w:szCs w:val="24"/>
        </w:rPr>
        <w:t>orçamentária</w:t>
      </w:r>
      <w:r>
        <w:rPr>
          <w:rFonts w:eastAsia="Calibri"/>
          <w:szCs w:val="24"/>
        </w:rPr>
        <w:t xml:space="preserve">, </w:t>
      </w:r>
      <w:r w:rsidRPr="00532331">
        <w:rPr>
          <w:rFonts w:eastAsia="Calibri"/>
          <w:szCs w:val="24"/>
        </w:rPr>
        <w:t xml:space="preserve">quociente </w:t>
      </w:r>
      <w:r w:rsidR="00692BFD">
        <w:rPr>
          <w:rFonts w:eastAsia="Calibri"/>
          <w:szCs w:val="24"/>
        </w:rPr>
        <w:t xml:space="preserve">do resultado </w:t>
      </w:r>
      <w:r w:rsidRPr="00532331">
        <w:rPr>
          <w:rFonts w:eastAsia="Calibri"/>
          <w:szCs w:val="24"/>
        </w:rPr>
        <w:t>da</w:t>
      </w:r>
      <w:r w:rsidR="00692BFD">
        <w:rPr>
          <w:rFonts w:eastAsia="Calibri"/>
          <w:szCs w:val="24"/>
        </w:rPr>
        <w:t xml:space="preserve"> execução orçamentaria</w:t>
      </w:r>
      <w:r>
        <w:rPr>
          <w:rFonts w:eastAsia="Calibri"/>
          <w:szCs w:val="24"/>
        </w:rPr>
        <w:t xml:space="preserve">, e, </w:t>
      </w:r>
      <w:r w:rsidRPr="00532331">
        <w:rPr>
          <w:rFonts w:eastAsia="Calibri"/>
          <w:szCs w:val="24"/>
        </w:rPr>
        <w:t>quoci</w:t>
      </w:r>
      <w:r w:rsidR="00692BFD">
        <w:rPr>
          <w:rFonts w:eastAsia="Calibri"/>
          <w:szCs w:val="24"/>
        </w:rPr>
        <w:t>ente do resultado dos saldos financeiros.</w:t>
      </w:r>
    </w:p>
    <w:p w14:paraId="413CFBD7" w14:textId="792A9ABF" w:rsidR="00753545" w:rsidRDefault="00753545" w:rsidP="00753545">
      <w:pPr>
        <w:rPr>
          <w:rFonts w:eastAsia="Calibri"/>
          <w:szCs w:val="24"/>
        </w:rPr>
      </w:pPr>
      <w:r w:rsidRPr="00334A56">
        <w:rPr>
          <w:rFonts w:eastAsia="Calibri"/>
          <w:szCs w:val="24"/>
        </w:rPr>
        <w:t>A tabulação e análise dos dados foi realizada com base nos resultados auferidos da aplicação dos indicadores de desempenho nos balanços, possibilitando conhecer quais e quantos municípios, divididos por porte, tiveram melhores performances. A coleta de dado</w:t>
      </w:r>
      <w:r>
        <w:rPr>
          <w:rFonts w:eastAsia="Calibri"/>
          <w:szCs w:val="24"/>
        </w:rPr>
        <w:t>s foi realizad</w:t>
      </w:r>
      <w:r w:rsidR="00692BFD">
        <w:rPr>
          <w:rFonts w:eastAsia="Calibri"/>
          <w:szCs w:val="24"/>
        </w:rPr>
        <w:t>a no período de 01 a 30 de junho</w:t>
      </w:r>
      <w:r>
        <w:rPr>
          <w:rFonts w:eastAsia="Calibri"/>
          <w:szCs w:val="24"/>
        </w:rPr>
        <w:t xml:space="preserve"> de 2019</w:t>
      </w:r>
      <w:r w:rsidRPr="00334A56">
        <w:rPr>
          <w:rFonts w:eastAsia="Calibri"/>
          <w:szCs w:val="24"/>
        </w:rPr>
        <w:t>.</w:t>
      </w:r>
    </w:p>
    <w:p w14:paraId="1EDF0161" w14:textId="6C44A40D" w:rsidR="00753545" w:rsidRDefault="00753545" w:rsidP="00753545">
      <w:pPr>
        <w:rPr>
          <w:rFonts w:eastAsia="Calibri"/>
          <w:szCs w:val="24"/>
        </w:rPr>
      </w:pPr>
    </w:p>
    <w:p w14:paraId="2056814F" w14:textId="00A00FF0" w:rsidR="00753545" w:rsidRDefault="00753545" w:rsidP="00753545">
      <w:pPr>
        <w:ind w:firstLine="0"/>
        <w:rPr>
          <w:rFonts w:eastAsia="Calibri"/>
          <w:b/>
          <w:szCs w:val="24"/>
        </w:rPr>
      </w:pPr>
      <w:r w:rsidRPr="00753545">
        <w:rPr>
          <w:rFonts w:eastAsia="Calibri"/>
          <w:b/>
          <w:bCs/>
          <w:szCs w:val="24"/>
        </w:rPr>
        <w:t>3</w:t>
      </w:r>
      <w:r>
        <w:rPr>
          <w:rFonts w:eastAsia="Calibri"/>
          <w:b/>
          <w:szCs w:val="24"/>
        </w:rPr>
        <w:t>.2Técnica</w:t>
      </w:r>
      <w:r w:rsidRPr="00334A56">
        <w:rPr>
          <w:rFonts w:eastAsia="Calibri"/>
          <w:b/>
          <w:szCs w:val="24"/>
        </w:rPr>
        <w:t xml:space="preserve"> de análise e interpretação dos dados</w:t>
      </w:r>
    </w:p>
    <w:p w14:paraId="17900C48" w14:textId="0C33F270" w:rsidR="00CF7331" w:rsidRDefault="00CF7331" w:rsidP="00753545">
      <w:pPr>
        <w:ind w:firstLine="0"/>
        <w:rPr>
          <w:rFonts w:eastAsia="Calibri"/>
          <w:b/>
          <w:szCs w:val="24"/>
        </w:rPr>
      </w:pPr>
    </w:p>
    <w:p w14:paraId="576B7B57" w14:textId="77777777" w:rsidR="00CF7331" w:rsidRPr="00334A56" w:rsidRDefault="00CF7331" w:rsidP="00CF7331">
      <w:pPr>
        <w:rPr>
          <w:rFonts w:eastAsia="Calibri"/>
          <w:szCs w:val="24"/>
        </w:rPr>
      </w:pPr>
      <w:r w:rsidRPr="00334A56">
        <w:rPr>
          <w:rFonts w:eastAsia="Calibri"/>
          <w:szCs w:val="24"/>
        </w:rPr>
        <w:t xml:space="preserve">Quanto a classificação a pesquisa foi exploratória, bibliográfica e descritiva, de abordagem quantitativa. Uma investigação exploratória suportou o assunto investigado, proporcionando melhor conhecimento, interação e contato com o objeto. Quanto ao procedimento a pesquisa foi documental, passando pela análise de leis, aplicação de quocientes e análises de balanços originais baixados do website do TCM/PA. </w:t>
      </w:r>
    </w:p>
    <w:p w14:paraId="51679BE2" w14:textId="06E088BC" w:rsidR="00CF7331" w:rsidRPr="00334A56" w:rsidRDefault="00CF7331" w:rsidP="00CF7331">
      <w:pPr>
        <w:rPr>
          <w:rFonts w:eastAsia="Calibri"/>
          <w:szCs w:val="24"/>
        </w:rPr>
      </w:pPr>
      <w:r w:rsidRPr="00334A56">
        <w:rPr>
          <w:rFonts w:eastAsia="Calibri"/>
          <w:szCs w:val="24"/>
        </w:rPr>
        <w:t>Quanto aos objetivos a investigação foi descritiva, cujo propósito foi des</w:t>
      </w:r>
      <w:r w:rsidR="00E4770B">
        <w:rPr>
          <w:rFonts w:eastAsia="Calibri"/>
          <w:szCs w:val="24"/>
        </w:rPr>
        <w:t>crever a situação financeira dos</w:t>
      </w:r>
      <w:r>
        <w:rPr>
          <w:rFonts w:eastAsia="Calibri"/>
          <w:szCs w:val="24"/>
        </w:rPr>
        <w:t xml:space="preserve"> 144 municipios paraenses no período de 2015 a 2017</w:t>
      </w:r>
      <w:r w:rsidRPr="00334A56">
        <w:rPr>
          <w:rFonts w:eastAsia="Calibri"/>
          <w:szCs w:val="24"/>
        </w:rPr>
        <w:t>. A técnica utilizada para a coleta de dados foi a pesquisa documental visto que foram utiliz</w:t>
      </w:r>
      <w:r>
        <w:rPr>
          <w:rFonts w:eastAsia="Calibri"/>
          <w:szCs w:val="24"/>
        </w:rPr>
        <w:t xml:space="preserve">ados os Balanços </w:t>
      </w:r>
      <w:r w:rsidR="00E4770B">
        <w:rPr>
          <w:rFonts w:eastAsia="Calibri"/>
          <w:szCs w:val="24"/>
        </w:rPr>
        <w:t>Financeiros</w:t>
      </w:r>
      <w:r>
        <w:rPr>
          <w:rFonts w:eastAsia="Calibri"/>
          <w:szCs w:val="24"/>
        </w:rPr>
        <w:t xml:space="preserve"> </w:t>
      </w:r>
      <w:r w:rsidRPr="00334A56">
        <w:rPr>
          <w:rFonts w:eastAsia="Calibri"/>
          <w:szCs w:val="24"/>
        </w:rPr>
        <w:t>apresentados nos Balanços Gerais</w:t>
      </w:r>
      <w:r>
        <w:rPr>
          <w:rFonts w:eastAsia="Calibri"/>
          <w:szCs w:val="24"/>
        </w:rPr>
        <w:t xml:space="preserve"> C</w:t>
      </w:r>
      <w:r w:rsidRPr="00334A56">
        <w:rPr>
          <w:rFonts w:eastAsia="Calibri"/>
          <w:szCs w:val="24"/>
        </w:rPr>
        <w:t>onsolidados</w:t>
      </w:r>
      <w:r>
        <w:rPr>
          <w:rFonts w:eastAsia="Calibri"/>
          <w:szCs w:val="24"/>
        </w:rPr>
        <w:t xml:space="preserve"> dos Municipios do Estado do Pará</w:t>
      </w:r>
      <w:r w:rsidRPr="00334A56">
        <w:rPr>
          <w:rFonts w:eastAsia="Calibri"/>
        </w:rPr>
        <w:t xml:space="preserve">, </w:t>
      </w:r>
      <w:r w:rsidRPr="00334A56">
        <w:rPr>
          <w:rFonts w:eastAsia="Calibri"/>
          <w:szCs w:val="24"/>
        </w:rPr>
        <w:t xml:space="preserve">tratados como fonte de dados e de informações e, a partir deles, foi respondida à questão de pesquisa. Por se tratarem de documentos originais tratou-se de fonte primária. Para análise e interpretação dos balanços públicos </w:t>
      </w:r>
      <w:r>
        <w:rPr>
          <w:rFonts w:eastAsia="Calibri"/>
          <w:szCs w:val="24"/>
        </w:rPr>
        <w:t xml:space="preserve">foram </w:t>
      </w:r>
      <w:r w:rsidRPr="00334A56">
        <w:rPr>
          <w:rFonts w:eastAsia="Calibri"/>
          <w:szCs w:val="24"/>
        </w:rPr>
        <w:t>utilizados</w:t>
      </w:r>
      <w:r>
        <w:rPr>
          <w:rFonts w:eastAsia="Calibri"/>
          <w:szCs w:val="24"/>
        </w:rPr>
        <w:t xml:space="preserve"> </w:t>
      </w:r>
      <w:r w:rsidR="00E4770B">
        <w:rPr>
          <w:rFonts w:eastAsia="Calibri"/>
          <w:szCs w:val="24"/>
        </w:rPr>
        <w:t>cinco</w:t>
      </w:r>
      <w:r>
        <w:rPr>
          <w:rFonts w:eastAsia="Calibri"/>
          <w:szCs w:val="24"/>
        </w:rPr>
        <w:t xml:space="preserve"> quocientes propostos por </w:t>
      </w:r>
      <w:r w:rsidRPr="00334A56">
        <w:rPr>
          <w:rFonts w:eastAsia="Calibri"/>
          <w:szCs w:val="24"/>
        </w:rPr>
        <w:t>Kohama, 201</w:t>
      </w:r>
      <w:r>
        <w:rPr>
          <w:rFonts w:eastAsia="Calibri"/>
          <w:szCs w:val="24"/>
        </w:rPr>
        <w:t>5</w:t>
      </w:r>
      <w:r w:rsidR="00E4770B">
        <w:rPr>
          <w:rFonts w:eastAsia="Calibri"/>
          <w:szCs w:val="24"/>
        </w:rPr>
        <w:t xml:space="preserve"> constantes das tabelas 1,2,3,4 e 5</w:t>
      </w:r>
      <w:r w:rsidRPr="00334A56">
        <w:rPr>
          <w:rFonts w:eastAsia="Calibri"/>
          <w:szCs w:val="24"/>
        </w:rPr>
        <w:t xml:space="preserve"> cuja escolha se deve ao fato de serem os mais adequados aos achados de pesquisa </w:t>
      </w:r>
      <w:r w:rsidR="00E4770B">
        <w:rPr>
          <w:rFonts w:eastAsia="Calibri"/>
          <w:szCs w:val="24"/>
        </w:rPr>
        <w:t>e, por apontarem os resultados financeiros</w:t>
      </w:r>
      <w:r w:rsidRPr="00334A56">
        <w:rPr>
          <w:rFonts w:eastAsia="Calibri"/>
          <w:szCs w:val="24"/>
        </w:rPr>
        <w:t xml:space="preserve"> dos municipios do estado do Pará. Conforme Kohama, (2015) tais indicadores facilitam a compreensão dos resultados, discussão e tomada de decisão.</w:t>
      </w:r>
    </w:p>
    <w:p w14:paraId="3FE86E38" w14:textId="0321A161" w:rsidR="00CF7331" w:rsidRDefault="00CF7331" w:rsidP="00CF7331">
      <w:pPr>
        <w:rPr>
          <w:rFonts w:eastAsia="Calibri"/>
          <w:szCs w:val="24"/>
        </w:rPr>
      </w:pPr>
    </w:p>
    <w:p w14:paraId="3C38BC69" w14:textId="038184C8" w:rsidR="00CF7331" w:rsidRPr="00CF7331" w:rsidRDefault="00CF7331" w:rsidP="00CF7331">
      <w:pPr>
        <w:ind w:firstLine="0"/>
        <w:rPr>
          <w:rFonts w:eastAsia="Calibri"/>
          <w:b/>
          <w:bCs/>
          <w:szCs w:val="24"/>
        </w:rPr>
      </w:pPr>
      <w:r w:rsidRPr="00CF7331">
        <w:rPr>
          <w:rFonts w:eastAsia="Calibri"/>
          <w:b/>
          <w:bCs/>
          <w:szCs w:val="24"/>
        </w:rPr>
        <w:t>3.3 Organização dos Resultados de Pesquisa</w:t>
      </w:r>
    </w:p>
    <w:p w14:paraId="46DB1A3E" w14:textId="5DC4B206" w:rsidR="00057C64" w:rsidRDefault="00057C64" w:rsidP="00057C64">
      <w:pPr>
        <w:rPr>
          <w:rFonts w:eastAsia="Calibri"/>
          <w:b/>
          <w:bCs/>
        </w:rPr>
      </w:pPr>
    </w:p>
    <w:p w14:paraId="78153845" w14:textId="417EAB2A" w:rsidR="001B4800" w:rsidRPr="00334A56" w:rsidRDefault="001B4800" w:rsidP="001B4800">
      <w:pPr>
        <w:rPr>
          <w:rFonts w:eastAsia="Calibri"/>
        </w:rPr>
      </w:pPr>
      <w:r>
        <w:rPr>
          <w:rFonts w:eastAsia="Calibri"/>
        </w:rPr>
        <w:t>Para possibilitar o con</w:t>
      </w:r>
      <w:r w:rsidR="00E4770B">
        <w:rPr>
          <w:rFonts w:eastAsia="Calibri"/>
        </w:rPr>
        <w:t xml:space="preserve">densamento das informações, </w:t>
      </w:r>
      <w:r w:rsidRPr="00334A56">
        <w:rPr>
          <w:rFonts w:eastAsia="Calibri"/>
        </w:rPr>
        <w:t xml:space="preserve">análise </w:t>
      </w:r>
      <w:r>
        <w:rPr>
          <w:rFonts w:eastAsia="Calibri"/>
        </w:rPr>
        <w:t xml:space="preserve">e interpretação os </w:t>
      </w:r>
      <w:r w:rsidRPr="00334A56">
        <w:rPr>
          <w:rFonts w:eastAsia="Calibri"/>
        </w:rPr>
        <w:t>quocientes</w:t>
      </w:r>
      <w:r>
        <w:rPr>
          <w:rFonts w:eastAsia="Calibri"/>
        </w:rPr>
        <w:t xml:space="preserve"> foram elaborados tabelas de quantidades e percentuais dos resultados do período (2015 a 2017) para cada um</w:t>
      </w:r>
      <w:r w:rsidR="00BB4CFF">
        <w:rPr>
          <w:rFonts w:eastAsia="Calibri"/>
        </w:rPr>
        <w:t>,</w:t>
      </w:r>
      <w:r>
        <w:rPr>
          <w:rFonts w:eastAsia="Calibri"/>
        </w:rPr>
        <w:t xml:space="preserve"> </w:t>
      </w:r>
      <w:r w:rsidR="007627DC">
        <w:rPr>
          <w:rFonts w:eastAsia="Calibri"/>
        </w:rPr>
        <w:t>dos cinco</w:t>
      </w:r>
      <w:r>
        <w:rPr>
          <w:rFonts w:eastAsia="Calibri"/>
        </w:rPr>
        <w:t xml:space="preserve"> quocientes</w:t>
      </w:r>
      <w:r w:rsidRPr="00334A56">
        <w:rPr>
          <w:rFonts w:eastAsia="Calibri"/>
        </w:rPr>
        <w:t>, de modo a criar uma or</w:t>
      </w:r>
      <w:r w:rsidR="007627DC">
        <w:rPr>
          <w:rFonts w:eastAsia="Calibri"/>
        </w:rPr>
        <w:t>dem do resultado</w:t>
      </w:r>
      <w:r>
        <w:rPr>
          <w:rFonts w:eastAsia="Calibri"/>
        </w:rPr>
        <w:t xml:space="preserve"> </w:t>
      </w:r>
      <w:r w:rsidR="007627DC">
        <w:rPr>
          <w:rFonts w:eastAsia="Calibri"/>
        </w:rPr>
        <w:t>da aplicação dos quocientes de desempenho financeiro</w:t>
      </w:r>
      <w:r>
        <w:rPr>
          <w:rFonts w:eastAsia="Calibri"/>
        </w:rPr>
        <w:t xml:space="preserve">. </w:t>
      </w:r>
      <w:r w:rsidRPr="00334A56">
        <w:rPr>
          <w:rFonts w:eastAsia="Calibri"/>
        </w:rPr>
        <w:t>Ne</w:t>
      </w:r>
      <w:r w:rsidR="007627DC">
        <w:rPr>
          <w:rFonts w:eastAsia="Calibri"/>
        </w:rPr>
        <w:t>ste sentido, a partir dos dados</w:t>
      </w:r>
      <w:r w:rsidR="0083733A">
        <w:rPr>
          <w:rFonts w:eastAsia="Calibri"/>
        </w:rPr>
        <w:t xml:space="preserve"> compilados por modelagem de</w:t>
      </w:r>
      <w:r>
        <w:rPr>
          <w:rFonts w:eastAsia="Calibri"/>
        </w:rPr>
        <w:t xml:space="preserve"> quociente </w:t>
      </w:r>
      <w:r w:rsidR="0083733A">
        <w:rPr>
          <w:rFonts w:eastAsia="Calibri"/>
        </w:rPr>
        <w:t>aplicados aos municipios, divididos em</w:t>
      </w:r>
      <w:r w:rsidRPr="00334A56">
        <w:rPr>
          <w:rFonts w:eastAsia="Calibri"/>
        </w:rPr>
        <w:t xml:space="preserve"> porte, foram criadas </w:t>
      </w:r>
      <w:r>
        <w:rPr>
          <w:rFonts w:eastAsia="Calibri"/>
        </w:rPr>
        <w:t xml:space="preserve">tabelas que evidenciam </w:t>
      </w:r>
      <w:r w:rsidRPr="00334A56">
        <w:rPr>
          <w:rFonts w:eastAsia="Calibri"/>
        </w:rPr>
        <w:t>quantitativos de municípios</w:t>
      </w:r>
      <w:r>
        <w:rPr>
          <w:rFonts w:eastAsia="Calibri"/>
        </w:rPr>
        <w:t xml:space="preserve"> </w:t>
      </w:r>
      <w:r w:rsidRPr="00334A56">
        <w:rPr>
          <w:rFonts w:eastAsia="Calibri"/>
        </w:rPr>
        <w:t>de pequeno, médio e grande porte, que após classificados, foram distribuídos,</w:t>
      </w:r>
      <w:r w:rsidR="0083733A">
        <w:rPr>
          <w:rFonts w:eastAsia="Calibri"/>
        </w:rPr>
        <w:t xml:space="preserve"> de acordo as categorias de </w:t>
      </w:r>
      <w:r>
        <w:rPr>
          <w:rFonts w:eastAsia="Calibri"/>
        </w:rPr>
        <w:t xml:space="preserve">quocientes, </w:t>
      </w:r>
      <w:r w:rsidR="0083733A">
        <w:rPr>
          <w:rFonts w:eastAsia="Calibri"/>
        </w:rPr>
        <w:t>criando um cenário do resultado financeiro municipal n</w:t>
      </w:r>
      <w:r w:rsidRPr="00334A56">
        <w:rPr>
          <w:rFonts w:eastAsia="Calibri"/>
        </w:rPr>
        <w:t>o estado d</w:t>
      </w:r>
      <w:r>
        <w:rPr>
          <w:rFonts w:eastAsia="Calibri"/>
        </w:rPr>
        <w:t>o Pará.</w:t>
      </w:r>
      <w:r w:rsidRPr="00334A56">
        <w:rPr>
          <w:rFonts w:eastAsia="Calibri"/>
          <w:i/>
        </w:rPr>
        <w:t xml:space="preserve"> </w:t>
      </w:r>
      <w:r>
        <w:rPr>
          <w:rFonts w:eastAsia="Calibri"/>
        </w:rPr>
        <w:t xml:space="preserve">Esse critério, de condensamento das informações, </w:t>
      </w:r>
      <w:r w:rsidRPr="00334A56">
        <w:rPr>
          <w:rFonts w:eastAsia="Calibri"/>
        </w:rPr>
        <w:t xml:space="preserve">foi uma escolha </w:t>
      </w:r>
      <w:r w:rsidR="0083733A">
        <w:rPr>
          <w:rFonts w:eastAsia="Calibri"/>
        </w:rPr>
        <w:t xml:space="preserve">dos pesquisadores que consideraram o tamanho dos municipios um importante variável de análise. Os achados de pesquisa estão organizados no próximo item </w:t>
      </w:r>
      <w:r>
        <w:rPr>
          <w:rFonts w:eastAsia="Calibri"/>
        </w:rPr>
        <w:t>quando se apresen</w:t>
      </w:r>
      <w:r w:rsidR="0083733A">
        <w:rPr>
          <w:rFonts w:eastAsia="Calibri"/>
        </w:rPr>
        <w:t xml:space="preserve">tam, também, </w:t>
      </w:r>
      <w:r>
        <w:rPr>
          <w:rFonts w:eastAsia="Calibri"/>
        </w:rPr>
        <w:t>as análises dos achados</w:t>
      </w:r>
      <w:r w:rsidRPr="00334A56">
        <w:rPr>
          <w:rFonts w:eastAsia="Calibri"/>
        </w:rPr>
        <w:t>.</w:t>
      </w:r>
    </w:p>
    <w:p w14:paraId="5DEE74A8" w14:textId="6614A416" w:rsidR="001B4800" w:rsidRDefault="001B4800" w:rsidP="00057C64">
      <w:pPr>
        <w:rPr>
          <w:rFonts w:eastAsia="Calibri"/>
          <w:b/>
          <w:bCs/>
        </w:rPr>
      </w:pPr>
    </w:p>
    <w:p w14:paraId="40E7DC73" w14:textId="78570C95" w:rsidR="001B4800" w:rsidRPr="001B4800" w:rsidRDefault="001B4800" w:rsidP="001B4800">
      <w:pPr>
        <w:ind w:firstLine="0"/>
        <w:rPr>
          <w:rFonts w:eastAsia="Calibri"/>
          <w:b/>
          <w:bCs/>
        </w:rPr>
      </w:pPr>
      <w:r>
        <w:rPr>
          <w:rFonts w:eastAsia="Calibri"/>
          <w:b/>
          <w:bCs/>
        </w:rPr>
        <w:lastRenderedPageBreak/>
        <w:t>4 Resultados e Análises</w:t>
      </w:r>
    </w:p>
    <w:p w14:paraId="7CD5AA51" w14:textId="3E8A9FFF" w:rsidR="00117841" w:rsidRDefault="00117841" w:rsidP="00E262AD">
      <w:pPr>
        <w:ind w:firstLine="0"/>
        <w:rPr>
          <w:rFonts w:eastAsia="Calibri"/>
          <w:b/>
          <w:bCs/>
        </w:rPr>
      </w:pPr>
    </w:p>
    <w:p w14:paraId="6C8C5EE0" w14:textId="70DFF46F" w:rsidR="001B4800" w:rsidRPr="005E7890" w:rsidRDefault="001B4800" w:rsidP="001B4800">
      <w:pPr>
        <w:rPr>
          <w:szCs w:val="24"/>
        </w:rPr>
      </w:pPr>
      <w:r w:rsidRPr="005E7890">
        <w:rPr>
          <w:rFonts w:eastAsia="Calibri"/>
          <w:szCs w:val="24"/>
        </w:rPr>
        <w:t>Os resultados da pesquisa foram tabulados e classificados conforme o sistema contábil a partir da aplicação de quo</w:t>
      </w:r>
      <w:r w:rsidR="0083733A">
        <w:rPr>
          <w:rFonts w:eastAsia="Calibri"/>
          <w:szCs w:val="24"/>
        </w:rPr>
        <w:t>cientes ao balanço financeiros</w:t>
      </w:r>
      <w:r w:rsidRPr="005E7890">
        <w:rPr>
          <w:rFonts w:eastAsia="Calibri"/>
          <w:szCs w:val="24"/>
        </w:rPr>
        <w:t xml:space="preserve"> de todos os 144 municipios do estado do Pará.</w:t>
      </w:r>
      <w:r w:rsidRPr="005E7890">
        <w:rPr>
          <w:szCs w:val="24"/>
        </w:rPr>
        <w:t xml:space="preserve"> Em todas as tabelas </w:t>
      </w:r>
      <w:r w:rsidR="0083733A">
        <w:rPr>
          <w:szCs w:val="24"/>
        </w:rPr>
        <w:t xml:space="preserve">‘QM’ </w:t>
      </w:r>
      <w:r w:rsidRPr="005E7890">
        <w:rPr>
          <w:szCs w:val="24"/>
        </w:rPr>
        <w:t>significa quantidade de municípios</w:t>
      </w:r>
      <w:r>
        <w:rPr>
          <w:szCs w:val="24"/>
        </w:rPr>
        <w:t>.</w:t>
      </w:r>
    </w:p>
    <w:p w14:paraId="0E76988F" w14:textId="77777777" w:rsidR="00105FE8" w:rsidRDefault="00105FE8" w:rsidP="001B4800">
      <w:pPr>
        <w:ind w:firstLine="0"/>
        <w:contextualSpacing/>
        <w:rPr>
          <w:rFonts w:eastAsia="Calibri"/>
          <w:b/>
        </w:rPr>
      </w:pPr>
    </w:p>
    <w:p w14:paraId="6577EADC" w14:textId="7819BD0D" w:rsidR="001B4800" w:rsidRDefault="001B4800" w:rsidP="001B4800">
      <w:pPr>
        <w:ind w:firstLine="0"/>
        <w:contextualSpacing/>
        <w:rPr>
          <w:rFonts w:eastAsia="Calibri"/>
          <w:b/>
        </w:rPr>
      </w:pPr>
      <w:r w:rsidRPr="00334A56">
        <w:rPr>
          <w:rFonts w:eastAsia="Calibri"/>
          <w:b/>
        </w:rPr>
        <w:t>4. 1</w:t>
      </w:r>
      <w:r w:rsidR="008514F5">
        <w:rPr>
          <w:rFonts w:eastAsia="Calibri"/>
          <w:b/>
        </w:rPr>
        <w:t xml:space="preserve"> Resultado da Execução Orçamentária e Extraorçamentária</w:t>
      </w:r>
    </w:p>
    <w:p w14:paraId="63F73E54" w14:textId="77777777" w:rsidR="001B4800" w:rsidRDefault="001B4800" w:rsidP="001B4800">
      <w:pPr>
        <w:rPr>
          <w:rFonts w:eastAsia="Calibri"/>
        </w:rPr>
      </w:pPr>
    </w:p>
    <w:p w14:paraId="59FE32F2" w14:textId="31675CF2" w:rsidR="001B4800" w:rsidRDefault="00105FE8" w:rsidP="00AD6E81">
      <w:pPr>
        <w:rPr>
          <w:rFonts w:eastAsia="Calibri"/>
        </w:rPr>
      </w:pPr>
      <w:r>
        <w:rPr>
          <w:rFonts w:eastAsia="Calibri"/>
        </w:rPr>
        <w:t>Na tabela 6</w:t>
      </w:r>
      <w:r w:rsidR="00AD6E81">
        <w:rPr>
          <w:rFonts w:eastAsia="Calibri"/>
        </w:rPr>
        <w:t xml:space="preserve"> estão apresentados os</w:t>
      </w:r>
      <w:r w:rsidR="00AD6E81" w:rsidRPr="00105FE8">
        <w:rPr>
          <w:rFonts w:eastAsia="Calibri"/>
        </w:rPr>
        <w:t xml:space="preserve"> </w:t>
      </w:r>
      <w:r w:rsidR="00AD6E81">
        <w:rPr>
          <w:rFonts w:eastAsia="Calibri"/>
        </w:rPr>
        <w:t>resultados da aplicação do quociente de execução orçamentária</w:t>
      </w:r>
      <w:r w:rsidR="00255FA6">
        <w:rPr>
          <w:rFonts w:eastAsia="Calibri"/>
        </w:rPr>
        <w:t>, onde a</w:t>
      </w:r>
      <w:r w:rsidR="00AD6E81">
        <w:rPr>
          <w:rFonts w:eastAsia="Calibri"/>
        </w:rPr>
        <w:t xml:space="preserve"> </w:t>
      </w:r>
      <w:r w:rsidRPr="00105FE8">
        <w:rPr>
          <w:rFonts w:eastAsia="Calibri"/>
        </w:rPr>
        <w:t>receita orçamentaria não foi igual a despesa orçamentaria</w:t>
      </w:r>
      <w:r w:rsidR="00AD6E81">
        <w:rPr>
          <w:rFonts w:eastAsia="Calibri"/>
        </w:rPr>
        <w:t xml:space="preserve"> em nenhum grupo de municipios, divididos por porte.</w:t>
      </w:r>
    </w:p>
    <w:p w14:paraId="7D9B2361" w14:textId="77777777" w:rsidR="00AD6E81" w:rsidRPr="00AD6E81" w:rsidRDefault="00AD6E81" w:rsidP="00AD6E81">
      <w:pPr>
        <w:rPr>
          <w:rFonts w:eastAsia="Calibri"/>
        </w:rPr>
      </w:pPr>
    </w:p>
    <w:p w14:paraId="2407F748" w14:textId="61F25AAF" w:rsidR="006E6CAF" w:rsidRPr="006E6CAF" w:rsidRDefault="001B4800" w:rsidP="006E6CAF">
      <w:pPr>
        <w:widowControl/>
        <w:suppressLineNumbers w:val="0"/>
        <w:suppressAutoHyphens w:val="0"/>
        <w:spacing w:line="259" w:lineRule="auto"/>
        <w:ind w:firstLine="0"/>
        <w:jc w:val="left"/>
        <w:rPr>
          <w:rFonts w:eastAsia="Calibri"/>
          <w:sz w:val="20"/>
          <w:lang w:eastAsia="en-US"/>
        </w:rPr>
      </w:pPr>
      <w:r>
        <w:rPr>
          <w:rFonts w:eastAsia="Calibri"/>
          <w:sz w:val="20"/>
          <w:lang w:eastAsia="en-US"/>
        </w:rPr>
        <w:t>Tabela 6 – Resultado dos Quocientes da Execução Orçamentária</w:t>
      </w:r>
    </w:p>
    <w:tbl>
      <w:tblPr>
        <w:tblW w:w="9490" w:type="dxa"/>
        <w:tblCellMar>
          <w:left w:w="70" w:type="dxa"/>
          <w:right w:w="70" w:type="dxa"/>
        </w:tblCellMar>
        <w:tblLook w:val="04A0" w:firstRow="1" w:lastRow="0" w:firstColumn="1" w:lastColumn="0" w:noHBand="0" w:noVBand="1"/>
      </w:tblPr>
      <w:tblGrid>
        <w:gridCol w:w="1913"/>
        <w:gridCol w:w="2905"/>
        <w:gridCol w:w="672"/>
        <w:gridCol w:w="884"/>
        <w:gridCol w:w="672"/>
        <w:gridCol w:w="884"/>
        <w:gridCol w:w="672"/>
        <w:gridCol w:w="888"/>
      </w:tblGrid>
      <w:tr w:rsidR="006E6CAF" w:rsidRPr="006E6CAF" w14:paraId="21E31464" w14:textId="77777777" w:rsidTr="00DB73A1">
        <w:trPr>
          <w:cantSplit/>
          <w:trHeight w:val="20"/>
        </w:trPr>
        <w:tc>
          <w:tcPr>
            <w:tcW w:w="1913" w:type="dxa"/>
            <w:tcBorders>
              <w:top w:val="single" w:sz="4" w:space="0" w:color="auto"/>
            </w:tcBorders>
            <w:shd w:val="clear" w:color="auto" w:fill="auto"/>
            <w:noWrap/>
            <w:vAlign w:val="bottom"/>
            <w:hideMark/>
          </w:tcPr>
          <w:p w14:paraId="474506CA" w14:textId="77777777" w:rsidR="006E6CAF" w:rsidRPr="006E6CAF" w:rsidRDefault="006E6CAF" w:rsidP="006E6CAF">
            <w:pPr>
              <w:widowControl/>
              <w:suppressLineNumbers w:val="0"/>
              <w:suppressAutoHyphens w:val="0"/>
              <w:ind w:firstLine="0"/>
              <w:jc w:val="center"/>
              <w:rPr>
                <w:color w:val="000000"/>
                <w:sz w:val="20"/>
              </w:rPr>
            </w:pPr>
          </w:p>
        </w:tc>
        <w:tc>
          <w:tcPr>
            <w:tcW w:w="2905" w:type="dxa"/>
            <w:tcBorders>
              <w:top w:val="single" w:sz="4" w:space="0" w:color="auto"/>
            </w:tcBorders>
            <w:shd w:val="clear" w:color="auto" w:fill="auto"/>
            <w:noWrap/>
            <w:vAlign w:val="center"/>
            <w:hideMark/>
          </w:tcPr>
          <w:p w14:paraId="3E224CD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 </w:t>
            </w:r>
          </w:p>
        </w:tc>
        <w:tc>
          <w:tcPr>
            <w:tcW w:w="1556" w:type="dxa"/>
            <w:gridSpan w:val="2"/>
            <w:tcBorders>
              <w:top w:val="single" w:sz="4" w:space="0" w:color="auto"/>
              <w:bottom w:val="single" w:sz="4" w:space="0" w:color="auto"/>
            </w:tcBorders>
            <w:shd w:val="clear" w:color="auto" w:fill="auto"/>
            <w:noWrap/>
            <w:vAlign w:val="center"/>
            <w:hideMark/>
          </w:tcPr>
          <w:p w14:paraId="44EAF607"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2015</w:t>
            </w:r>
          </w:p>
        </w:tc>
        <w:tc>
          <w:tcPr>
            <w:tcW w:w="1556" w:type="dxa"/>
            <w:gridSpan w:val="2"/>
            <w:tcBorders>
              <w:top w:val="single" w:sz="4" w:space="0" w:color="auto"/>
              <w:bottom w:val="single" w:sz="4" w:space="0" w:color="auto"/>
            </w:tcBorders>
            <w:shd w:val="clear" w:color="auto" w:fill="auto"/>
            <w:noWrap/>
            <w:vAlign w:val="center"/>
            <w:hideMark/>
          </w:tcPr>
          <w:p w14:paraId="04ED322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2016</w:t>
            </w:r>
          </w:p>
        </w:tc>
        <w:tc>
          <w:tcPr>
            <w:tcW w:w="1560" w:type="dxa"/>
            <w:gridSpan w:val="2"/>
            <w:tcBorders>
              <w:top w:val="single" w:sz="4" w:space="0" w:color="auto"/>
              <w:bottom w:val="single" w:sz="4" w:space="0" w:color="auto"/>
            </w:tcBorders>
            <w:shd w:val="clear" w:color="auto" w:fill="auto"/>
            <w:noWrap/>
            <w:vAlign w:val="center"/>
            <w:hideMark/>
          </w:tcPr>
          <w:p w14:paraId="1AAAB4B4"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2017</w:t>
            </w:r>
          </w:p>
        </w:tc>
      </w:tr>
      <w:tr w:rsidR="006E6CAF" w:rsidRPr="006E6CAF" w14:paraId="6F65EB91" w14:textId="77777777" w:rsidTr="00DB73A1">
        <w:trPr>
          <w:cantSplit/>
          <w:trHeight w:val="20"/>
        </w:trPr>
        <w:tc>
          <w:tcPr>
            <w:tcW w:w="1913" w:type="dxa"/>
            <w:vMerge w:val="restart"/>
            <w:tcBorders>
              <w:bottom w:val="single" w:sz="4" w:space="0" w:color="auto"/>
            </w:tcBorders>
            <w:shd w:val="clear" w:color="auto" w:fill="auto"/>
            <w:vAlign w:val="center"/>
            <w:hideMark/>
          </w:tcPr>
          <w:p w14:paraId="1F92003F"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Municípios de Grande Porte</w:t>
            </w:r>
          </w:p>
        </w:tc>
        <w:tc>
          <w:tcPr>
            <w:tcW w:w="2905" w:type="dxa"/>
            <w:shd w:val="clear" w:color="auto" w:fill="auto"/>
            <w:noWrap/>
            <w:vAlign w:val="bottom"/>
            <w:hideMark/>
          </w:tcPr>
          <w:p w14:paraId="3F20220A" w14:textId="77777777" w:rsidR="006E6CAF" w:rsidRPr="006E6CAF" w:rsidRDefault="006E6CAF" w:rsidP="006E6CAF">
            <w:pPr>
              <w:widowControl/>
              <w:suppressLineNumbers w:val="0"/>
              <w:suppressAutoHyphens w:val="0"/>
              <w:ind w:firstLine="0"/>
              <w:jc w:val="center"/>
              <w:rPr>
                <w:color w:val="000000"/>
                <w:sz w:val="20"/>
              </w:rPr>
            </w:pPr>
          </w:p>
        </w:tc>
        <w:tc>
          <w:tcPr>
            <w:tcW w:w="672" w:type="dxa"/>
            <w:tcBorders>
              <w:top w:val="single" w:sz="4" w:space="0" w:color="auto"/>
            </w:tcBorders>
            <w:shd w:val="clear" w:color="auto" w:fill="auto"/>
            <w:noWrap/>
            <w:vAlign w:val="center"/>
            <w:hideMark/>
          </w:tcPr>
          <w:p w14:paraId="4EC6B977"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QM.</w:t>
            </w:r>
          </w:p>
        </w:tc>
        <w:tc>
          <w:tcPr>
            <w:tcW w:w="884" w:type="dxa"/>
            <w:tcBorders>
              <w:top w:val="single" w:sz="4" w:space="0" w:color="auto"/>
            </w:tcBorders>
            <w:shd w:val="clear" w:color="auto" w:fill="auto"/>
            <w:noWrap/>
            <w:vAlign w:val="center"/>
            <w:hideMark/>
          </w:tcPr>
          <w:p w14:paraId="38C5F04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w:t>
            </w:r>
          </w:p>
        </w:tc>
        <w:tc>
          <w:tcPr>
            <w:tcW w:w="672" w:type="dxa"/>
            <w:tcBorders>
              <w:top w:val="single" w:sz="4" w:space="0" w:color="auto"/>
            </w:tcBorders>
            <w:shd w:val="clear" w:color="auto" w:fill="auto"/>
            <w:noWrap/>
            <w:vAlign w:val="center"/>
            <w:hideMark/>
          </w:tcPr>
          <w:p w14:paraId="1C9FE32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QM.</w:t>
            </w:r>
          </w:p>
        </w:tc>
        <w:tc>
          <w:tcPr>
            <w:tcW w:w="884" w:type="dxa"/>
            <w:tcBorders>
              <w:top w:val="single" w:sz="4" w:space="0" w:color="auto"/>
            </w:tcBorders>
            <w:shd w:val="clear" w:color="auto" w:fill="auto"/>
            <w:noWrap/>
            <w:vAlign w:val="center"/>
            <w:hideMark/>
          </w:tcPr>
          <w:p w14:paraId="3CD9552F"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w:t>
            </w:r>
          </w:p>
        </w:tc>
        <w:tc>
          <w:tcPr>
            <w:tcW w:w="672" w:type="dxa"/>
            <w:tcBorders>
              <w:top w:val="single" w:sz="4" w:space="0" w:color="auto"/>
            </w:tcBorders>
            <w:shd w:val="clear" w:color="auto" w:fill="auto"/>
            <w:noWrap/>
            <w:vAlign w:val="center"/>
            <w:hideMark/>
          </w:tcPr>
          <w:p w14:paraId="78A5D100"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QM.</w:t>
            </w:r>
          </w:p>
        </w:tc>
        <w:tc>
          <w:tcPr>
            <w:tcW w:w="888" w:type="dxa"/>
            <w:tcBorders>
              <w:top w:val="single" w:sz="4" w:space="0" w:color="auto"/>
            </w:tcBorders>
            <w:shd w:val="clear" w:color="auto" w:fill="auto"/>
            <w:noWrap/>
            <w:vAlign w:val="center"/>
            <w:hideMark/>
          </w:tcPr>
          <w:p w14:paraId="0C4FE08B"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w:t>
            </w:r>
          </w:p>
        </w:tc>
      </w:tr>
      <w:tr w:rsidR="006E6CAF" w:rsidRPr="006E6CAF" w14:paraId="2F7A6B59" w14:textId="77777777" w:rsidTr="00DB73A1">
        <w:trPr>
          <w:cantSplit/>
          <w:trHeight w:val="20"/>
        </w:trPr>
        <w:tc>
          <w:tcPr>
            <w:tcW w:w="1913" w:type="dxa"/>
            <w:vMerge/>
            <w:tcBorders>
              <w:bottom w:val="single" w:sz="4" w:space="0" w:color="auto"/>
            </w:tcBorders>
            <w:vAlign w:val="center"/>
            <w:hideMark/>
          </w:tcPr>
          <w:p w14:paraId="340B06EC"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26155F48"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 1</w:t>
            </w:r>
          </w:p>
        </w:tc>
        <w:tc>
          <w:tcPr>
            <w:tcW w:w="672" w:type="dxa"/>
            <w:shd w:val="clear" w:color="auto" w:fill="auto"/>
            <w:noWrap/>
            <w:vAlign w:val="center"/>
            <w:hideMark/>
          </w:tcPr>
          <w:p w14:paraId="1CF514F1"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shd w:val="clear" w:color="auto" w:fill="auto"/>
            <w:noWrap/>
            <w:vAlign w:val="center"/>
            <w:hideMark/>
          </w:tcPr>
          <w:p w14:paraId="0131157B"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shd w:val="clear" w:color="auto" w:fill="auto"/>
            <w:noWrap/>
            <w:vAlign w:val="center"/>
            <w:hideMark/>
          </w:tcPr>
          <w:p w14:paraId="5311BE70"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shd w:val="clear" w:color="auto" w:fill="auto"/>
            <w:noWrap/>
            <w:vAlign w:val="center"/>
            <w:hideMark/>
          </w:tcPr>
          <w:p w14:paraId="6AC3B5B6"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shd w:val="clear" w:color="auto" w:fill="auto"/>
            <w:noWrap/>
            <w:vAlign w:val="center"/>
            <w:hideMark/>
          </w:tcPr>
          <w:p w14:paraId="711F096A"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8" w:type="dxa"/>
            <w:shd w:val="clear" w:color="auto" w:fill="auto"/>
            <w:noWrap/>
            <w:vAlign w:val="center"/>
            <w:hideMark/>
          </w:tcPr>
          <w:p w14:paraId="4EB922D7"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r>
      <w:tr w:rsidR="006E6CAF" w:rsidRPr="006E6CAF" w14:paraId="69045609" w14:textId="77777777" w:rsidTr="00DB73A1">
        <w:trPr>
          <w:cantSplit/>
          <w:trHeight w:val="20"/>
        </w:trPr>
        <w:tc>
          <w:tcPr>
            <w:tcW w:w="1913" w:type="dxa"/>
            <w:vMerge/>
            <w:tcBorders>
              <w:bottom w:val="single" w:sz="4" w:space="0" w:color="auto"/>
            </w:tcBorders>
            <w:vAlign w:val="center"/>
            <w:hideMark/>
          </w:tcPr>
          <w:p w14:paraId="0674F5A0"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4FFFA8C1"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&gt; 1</w:t>
            </w:r>
          </w:p>
        </w:tc>
        <w:tc>
          <w:tcPr>
            <w:tcW w:w="672" w:type="dxa"/>
            <w:shd w:val="clear" w:color="auto" w:fill="auto"/>
            <w:noWrap/>
            <w:vAlign w:val="center"/>
            <w:hideMark/>
          </w:tcPr>
          <w:p w14:paraId="1DF9E5B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12</w:t>
            </w:r>
          </w:p>
        </w:tc>
        <w:tc>
          <w:tcPr>
            <w:tcW w:w="884" w:type="dxa"/>
            <w:shd w:val="clear" w:color="auto" w:fill="auto"/>
            <w:noWrap/>
            <w:vAlign w:val="center"/>
            <w:hideMark/>
          </w:tcPr>
          <w:p w14:paraId="16EE125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67%</w:t>
            </w:r>
          </w:p>
        </w:tc>
        <w:tc>
          <w:tcPr>
            <w:tcW w:w="672" w:type="dxa"/>
            <w:shd w:val="clear" w:color="auto" w:fill="auto"/>
            <w:noWrap/>
            <w:vAlign w:val="center"/>
            <w:hideMark/>
          </w:tcPr>
          <w:p w14:paraId="464184CB"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w:t>
            </w:r>
          </w:p>
        </w:tc>
        <w:tc>
          <w:tcPr>
            <w:tcW w:w="884" w:type="dxa"/>
            <w:shd w:val="clear" w:color="auto" w:fill="auto"/>
            <w:noWrap/>
            <w:vAlign w:val="center"/>
            <w:hideMark/>
          </w:tcPr>
          <w:p w14:paraId="5A9031A4"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56%</w:t>
            </w:r>
          </w:p>
        </w:tc>
        <w:tc>
          <w:tcPr>
            <w:tcW w:w="672" w:type="dxa"/>
            <w:shd w:val="clear" w:color="auto" w:fill="auto"/>
            <w:noWrap/>
            <w:vAlign w:val="center"/>
            <w:hideMark/>
          </w:tcPr>
          <w:p w14:paraId="68CD4EDF"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w:t>
            </w:r>
          </w:p>
        </w:tc>
        <w:tc>
          <w:tcPr>
            <w:tcW w:w="888" w:type="dxa"/>
            <w:shd w:val="clear" w:color="auto" w:fill="auto"/>
            <w:noWrap/>
            <w:vAlign w:val="center"/>
            <w:hideMark/>
          </w:tcPr>
          <w:p w14:paraId="2757A93D"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56%</w:t>
            </w:r>
          </w:p>
        </w:tc>
      </w:tr>
      <w:tr w:rsidR="006E6CAF" w:rsidRPr="006E6CAF" w14:paraId="55817D6E" w14:textId="77777777" w:rsidTr="00DB73A1">
        <w:trPr>
          <w:cantSplit/>
          <w:trHeight w:val="20"/>
        </w:trPr>
        <w:tc>
          <w:tcPr>
            <w:tcW w:w="1913" w:type="dxa"/>
            <w:vMerge/>
            <w:tcBorders>
              <w:bottom w:val="single" w:sz="4" w:space="0" w:color="auto"/>
            </w:tcBorders>
            <w:vAlign w:val="center"/>
            <w:hideMark/>
          </w:tcPr>
          <w:p w14:paraId="66657F0B"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5EC7B8CA"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&lt; 1</w:t>
            </w:r>
          </w:p>
        </w:tc>
        <w:tc>
          <w:tcPr>
            <w:tcW w:w="672" w:type="dxa"/>
            <w:shd w:val="clear" w:color="auto" w:fill="auto"/>
            <w:noWrap/>
            <w:vAlign w:val="center"/>
            <w:hideMark/>
          </w:tcPr>
          <w:p w14:paraId="2F08F786"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4</w:t>
            </w:r>
          </w:p>
        </w:tc>
        <w:tc>
          <w:tcPr>
            <w:tcW w:w="884" w:type="dxa"/>
            <w:shd w:val="clear" w:color="auto" w:fill="auto"/>
            <w:noWrap/>
            <w:vAlign w:val="center"/>
            <w:hideMark/>
          </w:tcPr>
          <w:p w14:paraId="060C96D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22%</w:t>
            </w:r>
          </w:p>
        </w:tc>
        <w:tc>
          <w:tcPr>
            <w:tcW w:w="672" w:type="dxa"/>
            <w:shd w:val="clear" w:color="auto" w:fill="auto"/>
            <w:noWrap/>
            <w:vAlign w:val="center"/>
            <w:hideMark/>
          </w:tcPr>
          <w:p w14:paraId="2C046531"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8</w:t>
            </w:r>
          </w:p>
        </w:tc>
        <w:tc>
          <w:tcPr>
            <w:tcW w:w="884" w:type="dxa"/>
            <w:shd w:val="clear" w:color="auto" w:fill="auto"/>
            <w:noWrap/>
            <w:vAlign w:val="center"/>
            <w:hideMark/>
          </w:tcPr>
          <w:p w14:paraId="3FAAD886"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44%</w:t>
            </w:r>
          </w:p>
        </w:tc>
        <w:tc>
          <w:tcPr>
            <w:tcW w:w="672" w:type="dxa"/>
            <w:shd w:val="clear" w:color="auto" w:fill="auto"/>
            <w:noWrap/>
            <w:vAlign w:val="center"/>
            <w:hideMark/>
          </w:tcPr>
          <w:p w14:paraId="184170B6"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6</w:t>
            </w:r>
          </w:p>
        </w:tc>
        <w:tc>
          <w:tcPr>
            <w:tcW w:w="888" w:type="dxa"/>
            <w:shd w:val="clear" w:color="auto" w:fill="auto"/>
            <w:noWrap/>
            <w:vAlign w:val="center"/>
            <w:hideMark/>
          </w:tcPr>
          <w:p w14:paraId="218DBC67"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33%</w:t>
            </w:r>
          </w:p>
        </w:tc>
      </w:tr>
      <w:tr w:rsidR="006E6CAF" w:rsidRPr="006E6CAF" w14:paraId="4F97D09D" w14:textId="77777777" w:rsidTr="00DB73A1">
        <w:trPr>
          <w:cantSplit/>
          <w:trHeight w:val="20"/>
        </w:trPr>
        <w:tc>
          <w:tcPr>
            <w:tcW w:w="1913" w:type="dxa"/>
            <w:vMerge/>
            <w:tcBorders>
              <w:bottom w:val="single" w:sz="4" w:space="0" w:color="auto"/>
            </w:tcBorders>
            <w:vAlign w:val="center"/>
            <w:hideMark/>
          </w:tcPr>
          <w:p w14:paraId="63B5BFC6" w14:textId="77777777" w:rsidR="006E6CAF" w:rsidRPr="006E6CAF" w:rsidRDefault="006E6CAF" w:rsidP="006E6CAF">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4E8AEE76"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Não Apresentou</w:t>
            </w:r>
          </w:p>
        </w:tc>
        <w:tc>
          <w:tcPr>
            <w:tcW w:w="672" w:type="dxa"/>
            <w:tcBorders>
              <w:bottom w:val="single" w:sz="4" w:space="0" w:color="auto"/>
            </w:tcBorders>
            <w:shd w:val="clear" w:color="auto" w:fill="auto"/>
            <w:noWrap/>
            <w:vAlign w:val="center"/>
            <w:hideMark/>
          </w:tcPr>
          <w:p w14:paraId="42EB156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w:t>
            </w:r>
          </w:p>
        </w:tc>
        <w:tc>
          <w:tcPr>
            <w:tcW w:w="884" w:type="dxa"/>
            <w:tcBorders>
              <w:bottom w:val="single" w:sz="4" w:space="0" w:color="auto"/>
            </w:tcBorders>
            <w:shd w:val="clear" w:color="auto" w:fill="auto"/>
            <w:noWrap/>
            <w:vAlign w:val="center"/>
            <w:hideMark/>
          </w:tcPr>
          <w:p w14:paraId="4FA1303D"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11%</w:t>
            </w:r>
          </w:p>
        </w:tc>
        <w:tc>
          <w:tcPr>
            <w:tcW w:w="672" w:type="dxa"/>
            <w:tcBorders>
              <w:bottom w:val="single" w:sz="4" w:space="0" w:color="auto"/>
            </w:tcBorders>
            <w:shd w:val="clear" w:color="auto" w:fill="auto"/>
            <w:noWrap/>
            <w:vAlign w:val="center"/>
            <w:hideMark/>
          </w:tcPr>
          <w:p w14:paraId="75C47EDB"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tcBorders>
              <w:bottom w:val="single" w:sz="4" w:space="0" w:color="auto"/>
            </w:tcBorders>
            <w:shd w:val="clear" w:color="auto" w:fill="auto"/>
            <w:noWrap/>
            <w:vAlign w:val="center"/>
            <w:hideMark/>
          </w:tcPr>
          <w:p w14:paraId="0E438A94"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tcBorders>
              <w:bottom w:val="single" w:sz="4" w:space="0" w:color="auto"/>
            </w:tcBorders>
            <w:shd w:val="clear" w:color="auto" w:fill="auto"/>
            <w:noWrap/>
            <w:vAlign w:val="center"/>
            <w:hideMark/>
          </w:tcPr>
          <w:p w14:paraId="5027FC5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w:t>
            </w:r>
          </w:p>
        </w:tc>
        <w:tc>
          <w:tcPr>
            <w:tcW w:w="888" w:type="dxa"/>
            <w:tcBorders>
              <w:bottom w:val="single" w:sz="4" w:space="0" w:color="auto"/>
            </w:tcBorders>
            <w:shd w:val="clear" w:color="auto" w:fill="auto"/>
            <w:noWrap/>
            <w:vAlign w:val="center"/>
            <w:hideMark/>
          </w:tcPr>
          <w:p w14:paraId="2908BF18"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11%</w:t>
            </w:r>
          </w:p>
        </w:tc>
      </w:tr>
      <w:tr w:rsidR="006E6CAF" w:rsidRPr="006E6CAF" w14:paraId="22CE8BDE" w14:textId="77777777" w:rsidTr="00DB73A1">
        <w:trPr>
          <w:cantSplit/>
          <w:trHeight w:val="20"/>
        </w:trPr>
        <w:tc>
          <w:tcPr>
            <w:tcW w:w="1913" w:type="dxa"/>
            <w:vMerge/>
            <w:tcBorders>
              <w:bottom w:val="single" w:sz="4" w:space="0" w:color="auto"/>
            </w:tcBorders>
            <w:vAlign w:val="center"/>
            <w:hideMark/>
          </w:tcPr>
          <w:p w14:paraId="0E2AE929" w14:textId="77777777" w:rsidR="006E6CAF" w:rsidRPr="006E6CAF" w:rsidRDefault="006E6CAF" w:rsidP="006E6CAF">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1F3F805F" w14:textId="77777777" w:rsidR="006E6CAF" w:rsidRPr="006E6CAF" w:rsidRDefault="006E6CAF" w:rsidP="006E6CAF">
            <w:pPr>
              <w:widowControl/>
              <w:suppressLineNumbers w:val="0"/>
              <w:suppressAutoHyphens w:val="0"/>
              <w:ind w:firstLine="0"/>
              <w:jc w:val="left"/>
              <w:rPr>
                <w:b/>
                <w:bCs/>
                <w:color w:val="000000"/>
                <w:sz w:val="20"/>
              </w:rPr>
            </w:pPr>
            <w:r w:rsidRPr="006E6CAF">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622C720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18</w:t>
            </w:r>
          </w:p>
        </w:tc>
        <w:tc>
          <w:tcPr>
            <w:tcW w:w="884" w:type="dxa"/>
            <w:tcBorders>
              <w:top w:val="single" w:sz="4" w:space="0" w:color="auto"/>
              <w:bottom w:val="single" w:sz="4" w:space="0" w:color="auto"/>
            </w:tcBorders>
            <w:shd w:val="clear" w:color="auto" w:fill="auto"/>
            <w:noWrap/>
            <w:vAlign w:val="center"/>
            <w:hideMark/>
          </w:tcPr>
          <w:p w14:paraId="5E1EAB17"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59966E91"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18</w:t>
            </w:r>
          </w:p>
        </w:tc>
        <w:tc>
          <w:tcPr>
            <w:tcW w:w="884" w:type="dxa"/>
            <w:tcBorders>
              <w:top w:val="single" w:sz="4" w:space="0" w:color="auto"/>
              <w:bottom w:val="single" w:sz="4" w:space="0" w:color="auto"/>
            </w:tcBorders>
            <w:shd w:val="clear" w:color="auto" w:fill="auto"/>
            <w:noWrap/>
            <w:vAlign w:val="center"/>
            <w:hideMark/>
          </w:tcPr>
          <w:p w14:paraId="7B1C8903"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10C13E37"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18</w:t>
            </w:r>
          </w:p>
        </w:tc>
        <w:tc>
          <w:tcPr>
            <w:tcW w:w="888" w:type="dxa"/>
            <w:tcBorders>
              <w:top w:val="single" w:sz="4" w:space="0" w:color="auto"/>
              <w:bottom w:val="single" w:sz="4" w:space="0" w:color="auto"/>
            </w:tcBorders>
            <w:shd w:val="clear" w:color="auto" w:fill="auto"/>
            <w:noWrap/>
            <w:vAlign w:val="center"/>
            <w:hideMark/>
          </w:tcPr>
          <w:p w14:paraId="607C7CD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100%</w:t>
            </w:r>
          </w:p>
        </w:tc>
      </w:tr>
      <w:tr w:rsidR="006E6CAF" w:rsidRPr="006E6CAF" w14:paraId="393F1001" w14:textId="77777777" w:rsidTr="00DB73A1">
        <w:trPr>
          <w:cantSplit/>
          <w:trHeight w:val="20"/>
        </w:trPr>
        <w:tc>
          <w:tcPr>
            <w:tcW w:w="1913" w:type="dxa"/>
            <w:vMerge w:val="restart"/>
            <w:tcBorders>
              <w:top w:val="single" w:sz="4" w:space="0" w:color="auto"/>
            </w:tcBorders>
            <w:shd w:val="clear" w:color="auto" w:fill="auto"/>
            <w:vAlign w:val="center"/>
            <w:hideMark/>
          </w:tcPr>
          <w:p w14:paraId="68D880DD"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Municípios de Médio Porte</w:t>
            </w:r>
          </w:p>
        </w:tc>
        <w:tc>
          <w:tcPr>
            <w:tcW w:w="2905" w:type="dxa"/>
            <w:tcBorders>
              <w:top w:val="single" w:sz="4" w:space="0" w:color="auto"/>
            </w:tcBorders>
            <w:shd w:val="clear" w:color="auto" w:fill="auto"/>
            <w:noWrap/>
            <w:vAlign w:val="center"/>
            <w:hideMark/>
          </w:tcPr>
          <w:p w14:paraId="54D4877C"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 1</w:t>
            </w:r>
          </w:p>
        </w:tc>
        <w:tc>
          <w:tcPr>
            <w:tcW w:w="672" w:type="dxa"/>
            <w:tcBorders>
              <w:top w:val="single" w:sz="4" w:space="0" w:color="auto"/>
            </w:tcBorders>
            <w:shd w:val="clear" w:color="auto" w:fill="auto"/>
            <w:noWrap/>
            <w:vAlign w:val="center"/>
            <w:hideMark/>
          </w:tcPr>
          <w:p w14:paraId="785E7AC8"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tcBorders>
              <w:top w:val="single" w:sz="4" w:space="0" w:color="auto"/>
            </w:tcBorders>
            <w:shd w:val="clear" w:color="auto" w:fill="auto"/>
            <w:noWrap/>
            <w:vAlign w:val="center"/>
            <w:hideMark/>
          </w:tcPr>
          <w:p w14:paraId="5B99499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tcBorders>
              <w:top w:val="single" w:sz="4" w:space="0" w:color="auto"/>
            </w:tcBorders>
            <w:shd w:val="clear" w:color="auto" w:fill="auto"/>
            <w:noWrap/>
            <w:vAlign w:val="center"/>
            <w:hideMark/>
          </w:tcPr>
          <w:p w14:paraId="22A8CDF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tcBorders>
              <w:top w:val="single" w:sz="4" w:space="0" w:color="auto"/>
            </w:tcBorders>
            <w:shd w:val="clear" w:color="auto" w:fill="auto"/>
            <w:noWrap/>
            <w:vAlign w:val="center"/>
            <w:hideMark/>
          </w:tcPr>
          <w:p w14:paraId="40F1773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tcBorders>
              <w:top w:val="single" w:sz="4" w:space="0" w:color="auto"/>
            </w:tcBorders>
            <w:shd w:val="clear" w:color="auto" w:fill="auto"/>
            <w:noWrap/>
            <w:vAlign w:val="center"/>
            <w:hideMark/>
          </w:tcPr>
          <w:p w14:paraId="0A77123C"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8" w:type="dxa"/>
            <w:tcBorders>
              <w:top w:val="single" w:sz="4" w:space="0" w:color="auto"/>
            </w:tcBorders>
            <w:shd w:val="clear" w:color="auto" w:fill="auto"/>
            <w:noWrap/>
            <w:vAlign w:val="center"/>
            <w:hideMark/>
          </w:tcPr>
          <w:p w14:paraId="15034371"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r>
      <w:tr w:rsidR="006E6CAF" w:rsidRPr="006E6CAF" w14:paraId="6D2B2077" w14:textId="77777777" w:rsidTr="00DB73A1">
        <w:trPr>
          <w:cantSplit/>
          <w:trHeight w:val="20"/>
        </w:trPr>
        <w:tc>
          <w:tcPr>
            <w:tcW w:w="1913" w:type="dxa"/>
            <w:vMerge/>
            <w:vAlign w:val="center"/>
            <w:hideMark/>
          </w:tcPr>
          <w:p w14:paraId="4355DAEB"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4FBC3A11"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&gt; 1</w:t>
            </w:r>
          </w:p>
        </w:tc>
        <w:tc>
          <w:tcPr>
            <w:tcW w:w="672" w:type="dxa"/>
            <w:shd w:val="clear" w:color="auto" w:fill="auto"/>
            <w:noWrap/>
            <w:vAlign w:val="center"/>
            <w:hideMark/>
          </w:tcPr>
          <w:p w14:paraId="030C901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37</w:t>
            </w:r>
          </w:p>
        </w:tc>
        <w:tc>
          <w:tcPr>
            <w:tcW w:w="884" w:type="dxa"/>
            <w:shd w:val="clear" w:color="auto" w:fill="auto"/>
            <w:noWrap/>
            <w:vAlign w:val="center"/>
            <w:hideMark/>
          </w:tcPr>
          <w:p w14:paraId="13FFB99D"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49%</w:t>
            </w:r>
          </w:p>
        </w:tc>
        <w:tc>
          <w:tcPr>
            <w:tcW w:w="672" w:type="dxa"/>
            <w:shd w:val="clear" w:color="auto" w:fill="auto"/>
            <w:noWrap/>
            <w:vAlign w:val="center"/>
            <w:hideMark/>
          </w:tcPr>
          <w:p w14:paraId="548082EB"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21</w:t>
            </w:r>
          </w:p>
        </w:tc>
        <w:tc>
          <w:tcPr>
            <w:tcW w:w="884" w:type="dxa"/>
            <w:shd w:val="clear" w:color="auto" w:fill="auto"/>
            <w:noWrap/>
            <w:vAlign w:val="center"/>
            <w:hideMark/>
          </w:tcPr>
          <w:p w14:paraId="612B5BC4"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28%</w:t>
            </w:r>
          </w:p>
        </w:tc>
        <w:tc>
          <w:tcPr>
            <w:tcW w:w="672" w:type="dxa"/>
            <w:shd w:val="clear" w:color="auto" w:fill="auto"/>
            <w:noWrap/>
            <w:vAlign w:val="center"/>
            <w:hideMark/>
          </w:tcPr>
          <w:p w14:paraId="576C6BB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54</w:t>
            </w:r>
          </w:p>
        </w:tc>
        <w:tc>
          <w:tcPr>
            <w:tcW w:w="888" w:type="dxa"/>
            <w:shd w:val="clear" w:color="auto" w:fill="auto"/>
            <w:noWrap/>
            <w:vAlign w:val="center"/>
            <w:hideMark/>
          </w:tcPr>
          <w:p w14:paraId="756CE21B"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71%</w:t>
            </w:r>
          </w:p>
        </w:tc>
      </w:tr>
      <w:tr w:rsidR="006E6CAF" w:rsidRPr="006E6CAF" w14:paraId="700623AE" w14:textId="77777777" w:rsidTr="00DB73A1">
        <w:trPr>
          <w:cantSplit/>
          <w:trHeight w:val="20"/>
        </w:trPr>
        <w:tc>
          <w:tcPr>
            <w:tcW w:w="1913" w:type="dxa"/>
            <w:vMerge/>
            <w:vAlign w:val="center"/>
            <w:hideMark/>
          </w:tcPr>
          <w:p w14:paraId="2A895C69"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72AAE043"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&lt; 1</w:t>
            </w:r>
          </w:p>
        </w:tc>
        <w:tc>
          <w:tcPr>
            <w:tcW w:w="672" w:type="dxa"/>
            <w:shd w:val="clear" w:color="auto" w:fill="auto"/>
            <w:noWrap/>
            <w:vAlign w:val="center"/>
            <w:hideMark/>
          </w:tcPr>
          <w:p w14:paraId="206A6C6B"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27</w:t>
            </w:r>
          </w:p>
        </w:tc>
        <w:tc>
          <w:tcPr>
            <w:tcW w:w="884" w:type="dxa"/>
            <w:shd w:val="clear" w:color="auto" w:fill="auto"/>
            <w:noWrap/>
            <w:vAlign w:val="center"/>
            <w:hideMark/>
          </w:tcPr>
          <w:p w14:paraId="2DCE04F0"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36%</w:t>
            </w:r>
          </w:p>
        </w:tc>
        <w:tc>
          <w:tcPr>
            <w:tcW w:w="672" w:type="dxa"/>
            <w:shd w:val="clear" w:color="auto" w:fill="auto"/>
            <w:noWrap/>
            <w:vAlign w:val="center"/>
            <w:hideMark/>
          </w:tcPr>
          <w:p w14:paraId="53A02A47"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42</w:t>
            </w:r>
          </w:p>
        </w:tc>
        <w:tc>
          <w:tcPr>
            <w:tcW w:w="884" w:type="dxa"/>
            <w:shd w:val="clear" w:color="auto" w:fill="auto"/>
            <w:noWrap/>
            <w:vAlign w:val="center"/>
            <w:hideMark/>
          </w:tcPr>
          <w:p w14:paraId="4282BD6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55%</w:t>
            </w:r>
          </w:p>
        </w:tc>
        <w:tc>
          <w:tcPr>
            <w:tcW w:w="672" w:type="dxa"/>
            <w:shd w:val="clear" w:color="auto" w:fill="auto"/>
            <w:noWrap/>
            <w:vAlign w:val="center"/>
            <w:hideMark/>
          </w:tcPr>
          <w:p w14:paraId="2CA83F68"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17</w:t>
            </w:r>
          </w:p>
        </w:tc>
        <w:tc>
          <w:tcPr>
            <w:tcW w:w="888" w:type="dxa"/>
            <w:shd w:val="clear" w:color="auto" w:fill="auto"/>
            <w:noWrap/>
            <w:vAlign w:val="center"/>
            <w:hideMark/>
          </w:tcPr>
          <w:p w14:paraId="4D95345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22%</w:t>
            </w:r>
          </w:p>
        </w:tc>
      </w:tr>
      <w:tr w:rsidR="006E6CAF" w:rsidRPr="006E6CAF" w14:paraId="0004BB63" w14:textId="77777777" w:rsidTr="00DB73A1">
        <w:trPr>
          <w:cantSplit/>
          <w:trHeight w:val="263"/>
        </w:trPr>
        <w:tc>
          <w:tcPr>
            <w:tcW w:w="1913" w:type="dxa"/>
            <w:vMerge/>
            <w:vAlign w:val="center"/>
            <w:hideMark/>
          </w:tcPr>
          <w:p w14:paraId="3693B2E3" w14:textId="77777777" w:rsidR="006E6CAF" w:rsidRPr="006E6CAF" w:rsidRDefault="006E6CAF" w:rsidP="006E6CAF">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5B427EDD"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Não Apresentou</w:t>
            </w:r>
          </w:p>
        </w:tc>
        <w:tc>
          <w:tcPr>
            <w:tcW w:w="672" w:type="dxa"/>
            <w:tcBorders>
              <w:bottom w:val="single" w:sz="4" w:space="0" w:color="auto"/>
            </w:tcBorders>
            <w:shd w:val="clear" w:color="auto" w:fill="auto"/>
            <w:noWrap/>
            <w:vAlign w:val="center"/>
            <w:hideMark/>
          </w:tcPr>
          <w:p w14:paraId="2109BA4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12</w:t>
            </w:r>
          </w:p>
        </w:tc>
        <w:tc>
          <w:tcPr>
            <w:tcW w:w="884" w:type="dxa"/>
            <w:tcBorders>
              <w:bottom w:val="single" w:sz="4" w:space="0" w:color="auto"/>
            </w:tcBorders>
            <w:shd w:val="clear" w:color="auto" w:fill="auto"/>
            <w:noWrap/>
            <w:vAlign w:val="center"/>
            <w:hideMark/>
          </w:tcPr>
          <w:p w14:paraId="0D3D09E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16%</w:t>
            </w:r>
          </w:p>
        </w:tc>
        <w:tc>
          <w:tcPr>
            <w:tcW w:w="672" w:type="dxa"/>
            <w:tcBorders>
              <w:bottom w:val="single" w:sz="4" w:space="0" w:color="auto"/>
            </w:tcBorders>
            <w:shd w:val="clear" w:color="auto" w:fill="auto"/>
            <w:noWrap/>
            <w:vAlign w:val="center"/>
            <w:hideMark/>
          </w:tcPr>
          <w:p w14:paraId="79B15B9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13</w:t>
            </w:r>
          </w:p>
        </w:tc>
        <w:tc>
          <w:tcPr>
            <w:tcW w:w="884" w:type="dxa"/>
            <w:tcBorders>
              <w:bottom w:val="single" w:sz="4" w:space="0" w:color="auto"/>
            </w:tcBorders>
            <w:shd w:val="clear" w:color="auto" w:fill="auto"/>
            <w:noWrap/>
            <w:vAlign w:val="center"/>
            <w:hideMark/>
          </w:tcPr>
          <w:p w14:paraId="2412F7E3"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17%</w:t>
            </w:r>
          </w:p>
        </w:tc>
        <w:tc>
          <w:tcPr>
            <w:tcW w:w="672" w:type="dxa"/>
            <w:tcBorders>
              <w:bottom w:val="single" w:sz="4" w:space="0" w:color="auto"/>
            </w:tcBorders>
            <w:shd w:val="clear" w:color="auto" w:fill="auto"/>
            <w:noWrap/>
            <w:vAlign w:val="center"/>
            <w:hideMark/>
          </w:tcPr>
          <w:p w14:paraId="06BC7F1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5</w:t>
            </w:r>
          </w:p>
        </w:tc>
        <w:tc>
          <w:tcPr>
            <w:tcW w:w="888" w:type="dxa"/>
            <w:tcBorders>
              <w:bottom w:val="single" w:sz="4" w:space="0" w:color="auto"/>
            </w:tcBorders>
            <w:shd w:val="clear" w:color="auto" w:fill="auto"/>
            <w:noWrap/>
            <w:vAlign w:val="center"/>
            <w:hideMark/>
          </w:tcPr>
          <w:p w14:paraId="08640447"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7%</w:t>
            </w:r>
          </w:p>
        </w:tc>
      </w:tr>
      <w:tr w:rsidR="006E6CAF" w:rsidRPr="006E6CAF" w14:paraId="55D71527" w14:textId="77777777" w:rsidTr="00DB73A1">
        <w:trPr>
          <w:cantSplit/>
          <w:trHeight w:val="70"/>
        </w:trPr>
        <w:tc>
          <w:tcPr>
            <w:tcW w:w="1913" w:type="dxa"/>
            <w:vMerge/>
            <w:tcBorders>
              <w:bottom w:val="single" w:sz="4" w:space="0" w:color="auto"/>
            </w:tcBorders>
            <w:vAlign w:val="center"/>
            <w:hideMark/>
          </w:tcPr>
          <w:p w14:paraId="50958328" w14:textId="77777777" w:rsidR="006E6CAF" w:rsidRPr="006E6CAF" w:rsidRDefault="006E6CAF" w:rsidP="006E6CAF">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12D5663C" w14:textId="77777777" w:rsidR="006E6CAF" w:rsidRPr="006E6CAF" w:rsidRDefault="006E6CAF" w:rsidP="006E6CAF">
            <w:pPr>
              <w:widowControl/>
              <w:suppressLineNumbers w:val="0"/>
              <w:suppressAutoHyphens w:val="0"/>
              <w:ind w:firstLine="0"/>
              <w:jc w:val="left"/>
              <w:rPr>
                <w:b/>
                <w:bCs/>
                <w:color w:val="000000"/>
                <w:sz w:val="20"/>
              </w:rPr>
            </w:pPr>
            <w:r w:rsidRPr="006E6CAF">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1FBFBED3"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76</w:t>
            </w:r>
          </w:p>
        </w:tc>
        <w:tc>
          <w:tcPr>
            <w:tcW w:w="884" w:type="dxa"/>
            <w:tcBorders>
              <w:top w:val="single" w:sz="4" w:space="0" w:color="auto"/>
              <w:bottom w:val="single" w:sz="4" w:space="0" w:color="auto"/>
            </w:tcBorders>
            <w:shd w:val="clear" w:color="auto" w:fill="auto"/>
            <w:noWrap/>
            <w:vAlign w:val="center"/>
            <w:hideMark/>
          </w:tcPr>
          <w:p w14:paraId="1A0872E1"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512BED7D"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76</w:t>
            </w:r>
          </w:p>
        </w:tc>
        <w:tc>
          <w:tcPr>
            <w:tcW w:w="884" w:type="dxa"/>
            <w:tcBorders>
              <w:top w:val="single" w:sz="4" w:space="0" w:color="auto"/>
              <w:bottom w:val="single" w:sz="4" w:space="0" w:color="auto"/>
            </w:tcBorders>
            <w:shd w:val="clear" w:color="auto" w:fill="auto"/>
            <w:noWrap/>
            <w:vAlign w:val="center"/>
            <w:hideMark/>
          </w:tcPr>
          <w:p w14:paraId="1D42C6C1"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25CF94A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76</w:t>
            </w:r>
          </w:p>
        </w:tc>
        <w:tc>
          <w:tcPr>
            <w:tcW w:w="888" w:type="dxa"/>
            <w:tcBorders>
              <w:top w:val="single" w:sz="4" w:space="0" w:color="auto"/>
              <w:bottom w:val="single" w:sz="4" w:space="0" w:color="auto"/>
            </w:tcBorders>
            <w:shd w:val="clear" w:color="auto" w:fill="auto"/>
            <w:noWrap/>
            <w:vAlign w:val="center"/>
            <w:hideMark/>
          </w:tcPr>
          <w:p w14:paraId="2785DF5F"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100%</w:t>
            </w:r>
          </w:p>
        </w:tc>
      </w:tr>
      <w:tr w:rsidR="006E6CAF" w:rsidRPr="006E6CAF" w14:paraId="221D425F" w14:textId="77777777" w:rsidTr="00DB73A1">
        <w:trPr>
          <w:cantSplit/>
          <w:trHeight w:val="20"/>
        </w:trPr>
        <w:tc>
          <w:tcPr>
            <w:tcW w:w="1913" w:type="dxa"/>
            <w:vMerge w:val="restart"/>
            <w:tcBorders>
              <w:top w:val="single" w:sz="4" w:space="0" w:color="auto"/>
            </w:tcBorders>
            <w:shd w:val="clear" w:color="auto" w:fill="auto"/>
            <w:vAlign w:val="center"/>
            <w:hideMark/>
          </w:tcPr>
          <w:p w14:paraId="37536A9C"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Municípios de Pequeno Porte</w:t>
            </w:r>
          </w:p>
        </w:tc>
        <w:tc>
          <w:tcPr>
            <w:tcW w:w="2905" w:type="dxa"/>
            <w:tcBorders>
              <w:top w:val="single" w:sz="4" w:space="0" w:color="auto"/>
            </w:tcBorders>
            <w:shd w:val="clear" w:color="auto" w:fill="auto"/>
            <w:noWrap/>
            <w:vAlign w:val="center"/>
            <w:hideMark/>
          </w:tcPr>
          <w:p w14:paraId="162DBCAA"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 1</w:t>
            </w:r>
          </w:p>
        </w:tc>
        <w:tc>
          <w:tcPr>
            <w:tcW w:w="672" w:type="dxa"/>
            <w:tcBorders>
              <w:top w:val="single" w:sz="4" w:space="0" w:color="auto"/>
            </w:tcBorders>
            <w:shd w:val="clear" w:color="auto" w:fill="auto"/>
            <w:noWrap/>
            <w:vAlign w:val="center"/>
            <w:hideMark/>
          </w:tcPr>
          <w:p w14:paraId="73AB7F00"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tcBorders>
              <w:top w:val="single" w:sz="4" w:space="0" w:color="auto"/>
            </w:tcBorders>
            <w:shd w:val="clear" w:color="auto" w:fill="auto"/>
            <w:noWrap/>
            <w:vAlign w:val="center"/>
            <w:hideMark/>
          </w:tcPr>
          <w:p w14:paraId="15341A83"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tcBorders>
              <w:top w:val="single" w:sz="4" w:space="0" w:color="auto"/>
            </w:tcBorders>
            <w:shd w:val="clear" w:color="auto" w:fill="auto"/>
            <w:noWrap/>
            <w:vAlign w:val="center"/>
            <w:hideMark/>
          </w:tcPr>
          <w:p w14:paraId="0AE9E2A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tcBorders>
              <w:top w:val="single" w:sz="4" w:space="0" w:color="auto"/>
            </w:tcBorders>
            <w:shd w:val="clear" w:color="auto" w:fill="auto"/>
            <w:noWrap/>
            <w:vAlign w:val="center"/>
            <w:hideMark/>
          </w:tcPr>
          <w:p w14:paraId="49A87941"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tcBorders>
              <w:top w:val="single" w:sz="4" w:space="0" w:color="auto"/>
            </w:tcBorders>
            <w:shd w:val="clear" w:color="auto" w:fill="auto"/>
            <w:noWrap/>
            <w:vAlign w:val="center"/>
            <w:hideMark/>
          </w:tcPr>
          <w:p w14:paraId="5F409DFC"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8" w:type="dxa"/>
            <w:tcBorders>
              <w:top w:val="single" w:sz="4" w:space="0" w:color="auto"/>
            </w:tcBorders>
            <w:shd w:val="clear" w:color="auto" w:fill="auto"/>
            <w:noWrap/>
            <w:vAlign w:val="center"/>
            <w:hideMark/>
          </w:tcPr>
          <w:p w14:paraId="4CF9B18D"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r>
      <w:tr w:rsidR="006E6CAF" w:rsidRPr="006E6CAF" w14:paraId="36EC9A32" w14:textId="77777777" w:rsidTr="00DB73A1">
        <w:trPr>
          <w:cantSplit/>
          <w:trHeight w:val="20"/>
        </w:trPr>
        <w:tc>
          <w:tcPr>
            <w:tcW w:w="1913" w:type="dxa"/>
            <w:vMerge/>
            <w:vAlign w:val="center"/>
            <w:hideMark/>
          </w:tcPr>
          <w:p w14:paraId="5787E950"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140E81C0"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&gt; 1</w:t>
            </w:r>
          </w:p>
        </w:tc>
        <w:tc>
          <w:tcPr>
            <w:tcW w:w="672" w:type="dxa"/>
            <w:shd w:val="clear" w:color="auto" w:fill="auto"/>
            <w:noWrap/>
            <w:vAlign w:val="center"/>
            <w:hideMark/>
          </w:tcPr>
          <w:p w14:paraId="0B94548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25</w:t>
            </w:r>
          </w:p>
        </w:tc>
        <w:tc>
          <w:tcPr>
            <w:tcW w:w="884" w:type="dxa"/>
            <w:shd w:val="clear" w:color="auto" w:fill="auto"/>
            <w:noWrap/>
            <w:vAlign w:val="center"/>
            <w:hideMark/>
          </w:tcPr>
          <w:p w14:paraId="547AA3B7"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50%</w:t>
            </w:r>
          </w:p>
        </w:tc>
        <w:tc>
          <w:tcPr>
            <w:tcW w:w="672" w:type="dxa"/>
            <w:shd w:val="clear" w:color="auto" w:fill="auto"/>
            <w:noWrap/>
            <w:vAlign w:val="center"/>
            <w:hideMark/>
          </w:tcPr>
          <w:p w14:paraId="7FE78EED"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22</w:t>
            </w:r>
          </w:p>
        </w:tc>
        <w:tc>
          <w:tcPr>
            <w:tcW w:w="884" w:type="dxa"/>
            <w:shd w:val="clear" w:color="auto" w:fill="auto"/>
            <w:noWrap/>
            <w:vAlign w:val="center"/>
            <w:hideMark/>
          </w:tcPr>
          <w:p w14:paraId="71630611"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44%</w:t>
            </w:r>
          </w:p>
        </w:tc>
        <w:tc>
          <w:tcPr>
            <w:tcW w:w="672" w:type="dxa"/>
            <w:shd w:val="clear" w:color="auto" w:fill="auto"/>
            <w:noWrap/>
            <w:vAlign w:val="center"/>
            <w:hideMark/>
          </w:tcPr>
          <w:p w14:paraId="7EECB0A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36</w:t>
            </w:r>
          </w:p>
        </w:tc>
        <w:tc>
          <w:tcPr>
            <w:tcW w:w="888" w:type="dxa"/>
            <w:shd w:val="clear" w:color="auto" w:fill="auto"/>
            <w:noWrap/>
            <w:vAlign w:val="center"/>
            <w:hideMark/>
          </w:tcPr>
          <w:p w14:paraId="59413DCC"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72%</w:t>
            </w:r>
          </w:p>
        </w:tc>
      </w:tr>
      <w:tr w:rsidR="006E6CAF" w:rsidRPr="006E6CAF" w14:paraId="7DE40058" w14:textId="77777777" w:rsidTr="00DB73A1">
        <w:trPr>
          <w:cantSplit/>
          <w:trHeight w:val="20"/>
        </w:trPr>
        <w:tc>
          <w:tcPr>
            <w:tcW w:w="1913" w:type="dxa"/>
            <w:vMerge/>
            <w:vAlign w:val="center"/>
            <w:hideMark/>
          </w:tcPr>
          <w:p w14:paraId="2DE436E6"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271ADB04"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&lt; 1</w:t>
            </w:r>
          </w:p>
        </w:tc>
        <w:tc>
          <w:tcPr>
            <w:tcW w:w="672" w:type="dxa"/>
            <w:shd w:val="clear" w:color="auto" w:fill="auto"/>
            <w:noWrap/>
            <w:vAlign w:val="center"/>
            <w:hideMark/>
          </w:tcPr>
          <w:p w14:paraId="4C50EA8A"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15</w:t>
            </w:r>
          </w:p>
        </w:tc>
        <w:tc>
          <w:tcPr>
            <w:tcW w:w="884" w:type="dxa"/>
            <w:shd w:val="clear" w:color="auto" w:fill="auto"/>
            <w:noWrap/>
            <w:vAlign w:val="center"/>
            <w:hideMark/>
          </w:tcPr>
          <w:p w14:paraId="574291EA"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30%</w:t>
            </w:r>
          </w:p>
        </w:tc>
        <w:tc>
          <w:tcPr>
            <w:tcW w:w="672" w:type="dxa"/>
            <w:shd w:val="clear" w:color="auto" w:fill="auto"/>
            <w:noWrap/>
            <w:vAlign w:val="center"/>
            <w:hideMark/>
          </w:tcPr>
          <w:p w14:paraId="2FE4996C"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18</w:t>
            </w:r>
          </w:p>
        </w:tc>
        <w:tc>
          <w:tcPr>
            <w:tcW w:w="884" w:type="dxa"/>
            <w:shd w:val="clear" w:color="auto" w:fill="auto"/>
            <w:noWrap/>
            <w:vAlign w:val="center"/>
            <w:hideMark/>
          </w:tcPr>
          <w:p w14:paraId="6FDE8EC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36%</w:t>
            </w:r>
          </w:p>
        </w:tc>
        <w:tc>
          <w:tcPr>
            <w:tcW w:w="672" w:type="dxa"/>
            <w:shd w:val="clear" w:color="auto" w:fill="auto"/>
            <w:noWrap/>
            <w:vAlign w:val="center"/>
            <w:hideMark/>
          </w:tcPr>
          <w:p w14:paraId="4818AAF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11</w:t>
            </w:r>
          </w:p>
        </w:tc>
        <w:tc>
          <w:tcPr>
            <w:tcW w:w="888" w:type="dxa"/>
            <w:shd w:val="clear" w:color="auto" w:fill="auto"/>
            <w:noWrap/>
            <w:vAlign w:val="center"/>
            <w:hideMark/>
          </w:tcPr>
          <w:p w14:paraId="75634F3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22%</w:t>
            </w:r>
          </w:p>
        </w:tc>
      </w:tr>
      <w:tr w:rsidR="006E6CAF" w:rsidRPr="006E6CAF" w14:paraId="72B27F8B" w14:textId="77777777" w:rsidTr="00DB73A1">
        <w:trPr>
          <w:cantSplit/>
          <w:trHeight w:val="337"/>
        </w:trPr>
        <w:tc>
          <w:tcPr>
            <w:tcW w:w="1913" w:type="dxa"/>
            <w:vMerge/>
            <w:vAlign w:val="center"/>
            <w:hideMark/>
          </w:tcPr>
          <w:p w14:paraId="2EEE35DE" w14:textId="77777777" w:rsidR="006E6CAF" w:rsidRPr="006E6CAF" w:rsidRDefault="006E6CAF" w:rsidP="006E6CAF">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03954FE8"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Não Apresentou</w:t>
            </w:r>
          </w:p>
        </w:tc>
        <w:tc>
          <w:tcPr>
            <w:tcW w:w="672" w:type="dxa"/>
            <w:tcBorders>
              <w:bottom w:val="single" w:sz="4" w:space="0" w:color="auto"/>
            </w:tcBorders>
            <w:shd w:val="clear" w:color="auto" w:fill="auto"/>
            <w:noWrap/>
            <w:vAlign w:val="center"/>
            <w:hideMark/>
          </w:tcPr>
          <w:p w14:paraId="12272AFC"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w:t>
            </w:r>
          </w:p>
        </w:tc>
        <w:tc>
          <w:tcPr>
            <w:tcW w:w="884" w:type="dxa"/>
            <w:tcBorders>
              <w:bottom w:val="single" w:sz="4" w:space="0" w:color="auto"/>
            </w:tcBorders>
            <w:shd w:val="clear" w:color="auto" w:fill="auto"/>
            <w:noWrap/>
            <w:vAlign w:val="center"/>
            <w:hideMark/>
          </w:tcPr>
          <w:p w14:paraId="03A8C5C4"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20%</w:t>
            </w:r>
          </w:p>
        </w:tc>
        <w:tc>
          <w:tcPr>
            <w:tcW w:w="672" w:type="dxa"/>
            <w:tcBorders>
              <w:bottom w:val="single" w:sz="4" w:space="0" w:color="auto"/>
            </w:tcBorders>
            <w:shd w:val="clear" w:color="auto" w:fill="auto"/>
            <w:noWrap/>
            <w:vAlign w:val="center"/>
            <w:hideMark/>
          </w:tcPr>
          <w:p w14:paraId="7CB796DD"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w:t>
            </w:r>
          </w:p>
        </w:tc>
        <w:tc>
          <w:tcPr>
            <w:tcW w:w="884" w:type="dxa"/>
            <w:tcBorders>
              <w:bottom w:val="single" w:sz="4" w:space="0" w:color="auto"/>
            </w:tcBorders>
            <w:shd w:val="clear" w:color="auto" w:fill="auto"/>
            <w:noWrap/>
            <w:vAlign w:val="center"/>
            <w:hideMark/>
          </w:tcPr>
          <w:p w14:paraId="2A239200"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20%</w:t>
            </w:r>
          </w:p>
        </w:tc>
        <w:tc>
          <w:tcPr>
            <w:tcW w:w="672" w:type="dxa"/>
            <w:tcBorders>
              <w:bottom w:val="single" w:sz="4" w:space="0" w:color="auto"/>
            </w:tcBorders>
            <w:shd w:val="clear" w:color="auto" w:fill="auto"/>
            <w:noWrap/>
            <w:vAlign w:val="center"/>
            <w:hideMark/>
          </w:tcPr>
          <w:p w14:paraId="31A4CB44"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3</w:t>
            </w:r>
          </w:p>
        </w:tc>
        <w:tc>
          <w:tcPr>
            <w:tcW w:w="888" w:type="dxa"/>
            <w:tcBorders>
              <w:bottom w:val="single" w:sz="4" w:space="0" w:color="auto"/>
            </w:tcBorders>
            <w:shd w:val="clear" w:color="auto" w:fill="auto"/>
            <w:noWrap/>
            <w:vAlign w:val="center"/>
            <w:hideMark/>
          </w:tcPr>
          <w:p w14:paraId="1A16AB33"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6%</w:t>
            </w:r>
          </w:p>
        </w:tc>
      </w:tr>
      <w:tr w:rsidR="006E6CAF" w:rsidRPr="006E6CAF" w14:paraId="22DD8067" w14:textId="77777777" w:rsidTr="00DB73A1">
        <w:trPr>
          <w:cantSplit/>
          <w:trHeight w:val="20"/>
        </w:trPr>
        <w:tc>
          <w:tcPr>
            <w:tcW w:w="1913" w:type="dxa"/>
            <w:vMerge/>
            <w:tcBorders>
              <w:bottom w:val="single" w:sz="4" w:space="0" w:color="auto"/>
            </w:tcBorders>
            <w:vAlign w:val="center"/>
            <w:hideMark/>
          </w:tcPr>
          <w:p w14:paraId="44D3E44B" w14:textId="77777777" w:rsidR="006E6CAF" w:rsidRPr="006E6CAF" w:rsidRDefault="006E6CAF" w:rsidP="006E6CAF">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0FE9E133" w14:textId="77777777" w:rsidR="006E6CAF" w:rsidRPr="006E6CAF" w:rsidRDefault="006E6CAF" w:rsidP="006E6CAF">
            <w:pPr>
              <w:widowControl/>
              <w:suppressLineNumbers w:val="0"/>
              <w:suppressAutoHyphens w:val="0"/>
              <w:ind w:firstLine="0"/>
              <w:jc w:val="left"/>
              <w:rPr>
                <w:b/>
                <w:bCs/>
                <w:color w:val="000000"/>
                <w:sz w:val="20"/>
              </w:rPr>
            </w:pPr>
            <w:r w:rsidRPr="006E6CAF">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1A710DBD" w14:textId="77777777" w:rsidR="006E6CAF" w:rsidRPr="006E6CAF" w:rsidRDefault="006E6CAF" w:rsidP="006E6CAF">
            <w:pPr>
              <w:widowControl/>
              <w:suppressLineNumbers w:val="0"/>
              <w:suppressAutoHyphens w:val="0"/>
              <w:ind w:firstLine="0"/>
              <w:jc w:val="center"/>
              <w:rPr>
                <w:b/>
                <w:bCs/>
                <w:color w:val="000000"/>
                <w:sz w:val="20"/>
              </w:rPr>
            </w:pPr>
            <w:r w:rsidRPr="006E6CAF">
              <w:rPr>
                <w:b/>
                <w:bCs/>
                <w:color w:val="000000"/>
                <w:sz w:val="20"/>
              </w:rPr>
              <w:t>50</w:t>
            </w:r>
          </w:p>
        </w:tc>
        <w:tc>
          <w:tcPr>
            <w:tcW w:w="884" w:type="dxa"/>
            <w:tcBorders>
              <w:top w:val="single" w:sz="4" w:space="0" w:color="auto"/>
              <w:bottom w:val="single" w:sz="4" w:space="0" w:color="auto"/>
            </w:tcBorders>
            <w:shd w:val="clear" w:color="auto" w:fill="auto"/>
            <w:noWrap/>
            <w:vAlign w:val="center"/>
            <w:hideMark/>
          </w:tcPr>
          <w:p w14:paraId="7E28C594" w14:textId="77777777" w:rsidR="006E6CAF" w:rsidRPr="006E6CAF" w:rsidRDefault="006E6CAF" w:rsidP="006E6CAF">
            <w:pPr>
              <w:widowControl/>
              <w:suppressLineNumbers w:val="0"/>
              <w:suppressAutoHyphens w:val="0"/>
              <w:ind w:firstLine="0"/>
              <w:jc w:val="center"/>
              <w:rPr>
                <w:b/>
                <w:bCs/>
                <w:color w:val="000000"/>
                <w:sz w:val="20"/>
              </w:rPr>
            </w:pPr>
            <w:r w:rsidRPr="006E6CAF">
              <w:rPr>
                <w:b/>
                <w:bCs/>
                <w:color w:val="000000"/>
                <w:sz w:val="20"/>
              </w:rPr>
              <w:t>100%</w:t>
            </w:r>
          </w:p>
        </w:tc>
        <w:tc>
          <w:tcPr>
            <w:tcW w:w="672" w:type="dxa"/>
            <w:tcBorders>
              <w:top w:val="single" w:sz="4" w:space="0" w:color="auto"/>
              <w:bottom w:val="single" w:sz="4" w:space="0" w:color="auto"/>
            </w:tcBorders>
            <w:shd w:val="clear" w:color="auto" w:fill="auto"/>
            <w:noWrap/>
            <w:vAlign w:val="center"/>
            <w:hideMark/>
          </w:tcPr>
          <w:p w14:paraId="7D30A843" w14:textId="77777777" w:rsidR="006E6CAF" w:rsidRPr="006E6CAF" w:rsidRDefault="006E6CAF" w:rsidP="006E6CAF">
            <w:pPr>
              <w:widowControl/>
              <w:suppressLineNumbers w:val="0"/>
              <w:suppressAutoHyphens w:val="0"/>
              <w:ind w:firstLine="0"/>
              <w:jc w:val="center"/>
              <w:rPr>
                <w:b/>
                <w:bCs/>
                <w:color w:val="000000"/>
                <w:sz w:val="20"/>
              </w:rPr>
            </w:pPr>
            <w:r w:rsidRPr="006E6CAF">
              <w:rPr>
                <w:b/>
                <w:bCs/>
                <w:color w:val="000000"/>
                <w:sz w:val="20"/>
              </w:rPr>
              <w:t>50</w:t>
            </w:r>
          </w:p>
        </w:tc>
        <w:tc>
          <w:tcPr>
            <w:tcW w:w="884" w:type="dxa"/>
            <w:tcBorders>
              <w:top w:val="single" w:sz="4" w:space="0" w:color="auto"/>
              <w:bottom w:val="single" w:sz="4" w:space="0" w:color="auto"/>
            </w:tcBorders>
            <w:shd w:val="clear" w:color="auto" w:fill="auto"/>
            <w:noWrap/>
            <w:vAlign w:val="center"/>
            <w:hideMark/>
          </w:tcPr>
          <w:p w14:paraId="4EB408F3" w14:textId="77777777" w:rsidR="006E6CAF" w:rsidRPr="006E6CAF" w:rsidRDefault="006E6CAF" w:rsidP="006E6CAF">
            <w:pPr>
              <w:widowControl/>
              <w:suppressLineNumbers w:val="0"/>
              <w:suppressAutoHyphens w:val="0"/>
              <w:ind w:firstLine="0"/>
              <w:jc w:val="center"/>
              <w:rPr>
                <w:b/>
                <w:bCs/>
                <w:color w:val="000000"/>
                <w:sz w:val="20"/>
              </w:rPr>
            </w:pPr>
            <w:r w:rsidRPr="006E6CAF">
              <w:rPr>
                <w:b/>
                <w:bCs/>
                <w:color w:val="000000"/>
                <w:sz w:val="20"/>
              </w:rPr>
              <w:t>100%</w:t>
            </w:r>
          </w:p>
        </w:tc>
        <w:tc>
          <w:tcPr>
            <w:tcW w:w="672" w:type="dxa"/>
            <w:tcBorders>
              <w:top w:val="single" w:sz="4" w:space="0" w:color="auto"/>
              <w:bottom w:val="single" w:sz="4" w:space="0" w:color="auto"/>
            </w:tcBorders>
            <w:shd w:val="clear" w:color="auto" w:fill="auto"/>
            <w:noWrap/>
            <w:vAlign w:val="center"/>
            <w:hideMark/>
          </w:tcPr>
          <w:p w14:paraId="6BC840CB" w14:textId="77777777" w:rsidR="006E6CAF" w:rsidRPr="006E6CAF" w:rsidRDefault="006E6CAF" w:rsidP="006E6CAF">
            <w:pPr>
              <w:widowControl/>
              <w:suppressLineNumbers w:val="0"/>
              <w:suppressAutoHyphens w:val="0"/>
              <w:ind w:firstLine="0"/>
              <w:jc w:val="center"/>
              <w:rPr>
                <w:b/>
                <w:bCs/>
                <w:color w:val="000000"/>
                <w:sz w:val="20"/>
              </w:rPr>
            </w:pPr>
            <w:r w:rsidRPr="006E6CAF">
              <w:rPr>
                <w:b/>
                <w:bCs/>
                <w:color w:val="000000"/>
                <w:sz w:val="20"/>
              </w:rPr>
              <w:t>50</w:t>
            </w:r>
          </w:p>
        </w:tc>
        <w:tc>
          <w:tcPr>
            <w:tcW w:w="888" w:type="dxa"/>
            <w:tcBorders>
              <w:top w:val="single" w:sz="4" w:space="0" w:color="auto"/>
              <w:bottom w:val="single" w:sz="4" w:space="0" w:color="auto"/>
            </w:tcBorders>
            <w:shd w:val="clear" w:color="auto" w:fill="auto"/>
            <w:noWrap/>
            <w:vAlign w:val="center"/>
            <w:hideMark/>
          </w:tcPr>
          <w:p w14:paraId="7C6AA8DF" w14:textId="77777777" w:rsidR="006E6CAF" w:rsidRPr="006E6CAF" w:rsidRDefault="006E6CAF" w:rsidP="006E6CAF">
            <w:pPr>
              <w:widowControl/>
              <w:suppressLineNumbers w:val="0"/>
              <w:suppressAutoHyphens w:val="0"/>
              <w:ind w:firstLine="0"/>
              <w:jc w:val="center"/>
              <w:rPr>
                <w:b/>
                <w:bCs/>
                <w:color w:val="000000"/>
                <w:sz w:val="20"/>
              </w:rPr>
            </w:pPr>
            <w:r w:rsidRPr="006E6CAF">
              <w:rPr>
                <w:b/>
                <w:bCs/>
                <w:color w:val="000000"/>
                <w:sz w:val="20"/>
              </w:rPr>
              <w:t>100%</w:t>
            </w:r>
          </w:p>
        </w:tc>
      </w:tr>
    </w:tbl>
    <w:p w14:paraId="2693BFF8" w14:textId="6292A7E0" w:rsidR="006E6CAF" w:rsidRPr="006E6CAF" w:rsidRDefault="002E10A3" w:rsidP="006E6CAF">
      <w:pPr>
        <w:widowControl/>
        <w:suppressLineNumbers w:val="0"/>
        <w:suppressAutoHyphens w:val="0"/>
        <w:spacing w:line="259" w:lineRule="auto"/>
        <w:ind w:firstLine="0"/>
        <w:jc w:val="left"/>
        <w:rPr>
          <w:rFonts w:eastAsia="Calibri"/>
          <w:sz w:val="20"/>
          <w:lang w:eastAsia="en-US"/>
        </w:rPr>
      </w:pPr>
      <w:r>
        <w:rPr>
          <w:rFonts w:eastAsia="Calibri"/>
          <w:sz w:val="20"/>
          <w:lang w:eastAsia="en-US"/>
        </w:rPr>
        <w:t>Fonte: Dados da Pesquisa.</w:t>
      </w:r>
    </w:p>
    <w:p w14:paraId="13FE98EB" w14:textId="77777777" w:rsidR="006E6CAF" w:rsidRDefault="006E6CAF" w:rsidP="00DD401D">
      <w:pPr>
        <w:contextualSpacing/>
        <w:rPr>
          <w:rFonts w:eastAsia="Calibri"/>
          <w:szCs w:val="24"/>
        </w:rPr>
      </w:pPr>
    </w:p>
    <w:p w14:paraId="0D79A24C" w14:textId="1162D30B" w:rsidR="003B3CBD" w:rsidRDefault="00255FA6" w:rsidP="00E35362">
      <w:pPr>
        <w:rPr>
          <w:color w:val="000000"/>
          <w:szCs w:val="24"/>
        </w:rPr>
      </w:pPr>
      <w:r w:rsidRPr="00255FA6">
        <w:rPr>
          <w:color w:val="000000"/>
          <w:szCs w:val="24"/>
        </w:rPr>
        <w:t>Os achados ratificam</w:t>
      </w:r>
      <w:r>
        <w:rPr>
          <w:color w:val="000000"/>
          <w:szCs w:val="24"/>
        </w:rPr>
        <w:t xml:space="preserve"> as previsões de Kohama, (2015)</w:t>
      </w:r>
      <w:r w:rsidRPr="00255FA6">
        <w:rPr>
          <w:color w:val="000000"/>
          <w:szCs w:val="24"/>
        </w:rPr>
        <w:t xml:space="preserve"> que afirma que a igualdade de resultados é uma possi</w:t>
      </w:r>
      <w:r>
        <w:rPr>
          <w:color w:val="000000"/>
          <w:szCs w:val="24"/>
        </w:rPr>
        <w:t>blidade de difícil ocorrência. A</w:t>
      </w:r>
      <w:r w:rsidRPr="00255FA6">
        <w:rPr>
          <w:color w:val="000000"/>
          <w:szCs w:val="24"/>
        </w:rPr>
        <w:t>ssim, não houve resultado igual a 1 em nenhum município do estado do Pará</w:t>
      </w:r>
      <w:r>
        <w:rPr>
          <w:color w:val="000000"/>
          <w:szCs w:val="24"/>
        </w:rPr>
        <w:t xml:space="preserve">. </w:t>
      </w:r>
      <w:r w:rsidR="003B3CBD" w:rsidRPr="00D115C7">
        <w:rPr>
          <w:color w:val="000000"/>
          <w:szCs w:val="24"/>
        </w:rPr>
        <w:t xml:space="preserve">Quanto a resultado maior que 1, significando receita </w:t>
      </w:r>
      <w:r w:rsidR="003B3CBD">
        <w:rPr>
          <w:color w:val="000000"/>
          <w:szCs w:val="24"/>
        </w:rPr>
        <w:t>orçamentaria</w:t>
      </w:r>
      <w:r w:rsidR="003B3CBD" w:rsidRPr="00D115C7">
        <w:rPr>
          <w:color w:val="000000"/>
          <w:szCs w:val="24"/>
        </w:rPr>
        <w:t xml:space="preserve"> maior que a </w:t>
      </w:r>
      <w:r w:rsidR="003B3CBD">
        <w:rPr>
          <w:color w:val="000000"/>
          <w:szCs w:val="24"/>
        </w:rPr>
        <w:t>despesa orçamentaria</w:t>
      </w:r>
      <w:r w:rsidR="003B3CBD" w:rsidRPr="00D115C7">
        <w:rPr>
          <w:color w:val="000000"/>
          <w:szCs w:val="24"/>
        </w:rPr>
        <w:t>, foi condição variada e</w:t>
      </w:r>
      <w:r w:rsidR="000C76F0">
        <w:rPr>
          <w:color w:val="000000"/>
          <w:szCs w:val="24"/>
        </w:rPr>
        <w:t xml:space="preserve">, </w:t>
      </w:r>
      <w:r w:rsidR="003B3CBD">
        <w:rPr>
          <w:color w:val="000000"/>
          <w:szCs w:val="24"/>
        </w:rPr>
        <w:t>em quase todos os anos</w:t>
      </w:r>
      <w:r w:rsidR="000C76F0">
        <w:rPr>
          <w:color w:val="000000"/>
          <w:szCs w:val="24"/>
        </w:rPr>
        <w:t>,</w:t>
      </w:r>
      <w:r w:rsidR="003B3CBD">
        <w:rPr>
          <w:color w:val="000000"/>
          <w:szCs w:val="24"/>
        </w:rPr>
        <w:t xml:space="preserve"> os percentuais forma maiores que os demais índices, apenas no ano de 2016, os municípios de médio porte apresentaram percentuais nesse índice</w:t>
      </w:r>
      <w:r w:rsidR="000C76F0">
        <w:rPr>
          <w:color w:val="000000"/>
          <w:szCs w:val="24"/>
        </w:rPr>
        <w:t xml:space="preserve">. </w:t>
      </w:r>
      <w:r w:rsidR="00A511FD">
        <w:rPr>
          <w:color w:val="000000"/>
          <w:szCs w:val="24"/>
        </w:rPr>
        <w:t>A</w:t>
      </w:r>
      <w:r w:rsidR="003B3CBD" w:rsidRPr="00D115C7">
        <w:rPr>
          <w:color w:val="000000"/>
          <w:szCs w:val="24"/>
        </w:rPr>
        <w:t xml:space="preserve"> </w:t>
      </w:r>
      <w:r w:rsidR="003B3CBD">
        <w:rPr>
          <w:color w:val="000000"/>
          <w:szCs w:val="24"/>
        </w:rPr>
        <w:t xml:space="preserve">maior parte dos municípios obteve </w:t>
      </w:r>
      <w:r w:rsidR="003B3CBD" w:rsidRPr="000C76F0">
        <w:rPr>
          <w:i/>
          <w:color w:val="000000"/>
          <w:szCs w:val="24"/>
        </w:rPr>
        <w:t>superávit</w:t>
      </w:r>
      <w:r w:rsidR="003B3CBD">
        <w:rPr>
          <w:color w:val="000000"/>
          <w:szCs w:val="24"/>
        </w:rPr>
        <w:t xml:space="preserve"> orçamentário na execu</w:t>
      </w:r>
      <w:r w:rsidR="000C76F0">
        <w:rPr>
          <w:color w:val="000000"/>
          <w:szCs w:val="24"/>
        </w:rPr>
        <w:t xml:space="preserve">ção e movimentação financeira, consoante </w:t>
      </w:r>
      <w:r w:rsidR="003B3CBD">
        <w:rPr>
          <w:color w:val="000000"/>
          <w:szCs w:val="24"/>
        </w:rPr>
        <w:t>com</w:t>
      </w:r>
      <w:r w:rsidR="000C76F0">
        <w:rPr>
          <w:color w:val="000000"/>
          <w:szCs w:val="24"/>
        </w:rPr>
        <w:t xml:space="preserve"> os ensinamentos </w:t>
      </w:r>
      <w:r w:rsidR="003B3CBD" w:rsidRPr="00D115C7">
        <w:rPr>
          <w:color w:val="000000"/>
          <w:szCs w:val="24"/>
        </w:rPr>
        <w:t>de Kohama, (2015) que afirma que essa hipótese é a que possui maior</w:t>
      </w:r>
      <w:r w:rsidR="003B3CBD">
        <w:rPr>
          <w:color w:val="000000"/>
          <w:szCs w:val="24"/>
        </w:rPr>
        <w:t xml:space="preserve"> </w:t>
      </w:r>
      <w:r w:rsidR="003B3CBD" w:rsidRPr="00D115C7">
        <w:rPr>
          <w:color w:val="000000"/>
          <w:szCs w:val="24"/>
        </w:rPr>
        <w:t>chance de ocorrer.</w:t>
      </w:r>
      <w:r w:rsidR="000C76F0">
        <w:rPr>
          <w:color w:val="000000"/>
          <w:szCs w:val="24"/>
        </w:rPr>
        <w:t xml:space="preserve"> </w:t>
      </w:r>
      <w:r w:rsidR="003B3CBD" w:rsidRPr="005D3E34">
        <w:rPr>
          <w:color w:val="000000"/>
          <w:szCs w:val="24"/>
        </w:rPr>
        <w:t xml:space="preserve">Quanto ao resultado menor que 1, que mostra uma receita </w:t>
      </w:r>
      <w:r w:rsidR="003B3CBD">
        <w:rPr>
          <w:color w:val="000000"/>
          <w:szCs w:val="24"/>
        </w:rPr>
        <w:t>orçamentaria</w:t>
      </w:r>
      <w:r w:rsidR="003B3CBD" w:rsidRPr="005D3E34">
        <w:rPr>
          <w:color w:val="000000"/>
          <w:szCs w:val="24"/>
        </w:rPr>
        <w:t xml:space="preserve"> menor que a </w:t>
      </w:r>
      <w:r w:rsidR="003B3CBD">
        <w:rPr>
          <w:color w:val="000000"/>
          <w:szCs w:val="24"/>
        </w:rPr>
        <w:t xml:space="preserve">despesa orçamentaria, </w:t>
      </w:r>
      <w:r w:rsidR="00A511FD">
        <w:rPr>
          <w:color w:val="000000"/>
          <w:szCs w:val="24"/>
        </w:rPr>
        <w:t>em quase todos os anos os</w:t>
      </w:r>
      <w:r w:rsidR="003B3CBD">
        <w:rPr>
          <w:color w:val="000000"/>
          <w:szCs w:val="24"/>
        </w:rPr>
        <w:t xml:space="preserve"> percentuais </w:t>
      </w:r>
      <w:r w:rsidR="00A511FD">
        <w:rPr>
          <w:color w:val="000000"/>
          <w:szCs w:val="24"/>
        </w:rPr>
        <w:t xml:space="preserve">foram </w:t>
      </w:r>
      <w:r w:rsidR="003B3CBD">
        <w:rPr>
          <w:color w:val="000000"/>
          <w:szCs w:val="24"/>
        </w:rPr>
        <w:t>menores</w:t>
      </w:r>
      <w:r w:rsidR="00A511FD">
        <w:rPr>
          <w:color w:val="000000"/>
          <w:szCs w:val="24"/>
        </w:rPr>
        <w:t xml:space="preserve">, exceto no ano de 2016 quando </w:t>
      </w:r>
      <w:r w:rsidR="003B3CBD">
        <w:rPr>
          <w:color w:val="000000"/>
          <w:szCs w:val="24"/>
        </w:rPr>
        <w:t>os municípios de médio porte apresentaram percentuais maiores</w:t>
      </w:r>
      <w:r w:rsidR="00A511FD">
        <w:rPr>
          <w:color w:val="000000"/>
          <w:szCs w:val="24"/>
        </w:rPr>
        <w:t>, mostrando</w:t>
      </w:r>
      <w:r w:rsidR="003B3CBD">
        <w:rPr>
          <w:color w:val="000000"/>
          <w:szCs w:val="24"/>
        </w:rPr>
        <w:t xml:space="preserve"> </w:t>
      </w:r>
      <w:r w:rsidR="003B3CBD" w:rsidRPr="005D3E34">
        <w:rPr>
          <w:color w:val="000000"/>
          <w:szCs w:val="24"/>
        </w:rPr>
        <w:t xml:space="preserve">que a receita </w:t>
      </w:r>
      <w:r w:rsidR="003B3CBD">
        <w:rPr>
          <w:color w:val="000000"/>
          <w:szCs w:val="24"/>
        </w:rPr>
        <w:t>orçamentária</w:t>
      </w:r>
      <w:r w:rsidR="003B3CBD" w:rsidRPr="005D3E34">
        <w:rPr>
          <w:color w:val="000000"/>
          <w:szCs w:val="24"/>
        </w:rPr>
        <w:t xml:space="preserve"> não </w:t>
      </w:r>
      <w:r w:rsidR="003B3CBD">
        <w:rPr>
          <w:color w:val="000000"/>
          <w:szCs w:val="24"/>
        </w:rPr>
        <w:t>foi suficiente para cobrir as despesas orçamentarias</w:t>
      </w:r>
      <w:r w:rsidR="003B3CBD" w:rsidRPr="005D3E34">
        <w:rPr>
          <w:color w:val="000000"/>
          <w:szCs w:val="24"/>
        </w:rPr>
        <w:t xml:space="preserve">, portanto, que a </w:t>
      </w:r>
      <w:r w:rsidR="003B3CBD" w:rsidRPr="005D3E34">
        <w:rPr>
          <w:color w:val="000000"/>
          <w:szCs w:val="24"/>
        </w:rPr>
        <w:lastRenderedPageBreak/>
        <w:t>arrecadação foi</w:t>
      </w:r>
      <w:r w:rsidR="003B3CBD">
        <w:rPr>
          <w:color w:val="000000"/>
          <w:szCs w:val="24"/>
        </w:rPr>
        <w:t xml:space="preserve"> </w:t>
      </w:r>
      <w:r w:rsidR="00A511FD">
        <w:rPr>
          <w:color w:val="000000"/>
          <w:szCs w:val="24"/>
        </w:rPr>
        <w:t xml:space="preserve">menor e precisam de </w:t>
      </w:r>
      <w:r w:rsidR="00D445A3">
        <w:rPr>
          <w:color w:val="000000"/>
          <w:szCs w:val="24"/>
        </w:rPr>
        <w:t>maiores investigações</w:t>
      </w:r>
      <w:r w:rsidR="000C76F0">
        <w:rPr>
          <w:color w:val="000000"/>
          <w:szCs w:val="24"/>
        </w:rPr>
        <w:t xml:space="preserve"> para encontrar possíveis causas.</w:t>
      </w:r>
    </w:p>
    <w:p w14:paraId="03DF455C" w14:textId="345B6396" w:rsidR="00DD401D" w:rsidRDefault="00105FE8" w:rsidP="00E35362">
      <w:pPr>
        <w:rPr>
          <w:rFonts w:eastAsia="Calibri"/>
          <w:szCs w:val="24"/>
        </w:rPr>
      </w:pPr>
      <w:r w:rsidRPr="00255FA6">
        <w:rPr>
          <w:rFonts w:eastAsia="Calibri"/>
          <w:szCs w:val="24"/>
        </w:rPr>
        <w:t xml:space="preserve">Na tabela 7 </w:t>
      </w:r>
      <w:r w:rsidR="00255FA6" w:rsidRPr="00255FA6">
        <w:rPr>
          <w:rFonts w:eastAsia="Calibri"/>
          <w:szCs w:val="24"/>
        </w:rPr>
        <w:t>está</w:t>
      </w:r>
      <w:r w:rsidR="00255FA6">
        <w:rPr>
          <w:rFonts w:eastAsia="Calibri"/>
          <w:szCs w:val="24"/>
        </w:rPr>
        <w:t xml:space="preserve"> demonstrado o resultado </w:t>
      </w:r>
      <w:r w:rsidR="00255FA6" w:rsidRPr="00255FA6">
        <w:rPr>
          <w:rFonts w:eastAsia="Calibri"/>
          <w:szCs w:val="24"/>
        </w:rPr>
        <w:t>dos quocientes da execução orçamentária</w:t>
      </w:r>
      <w:r w:rsidR="00255FA6">
        <w:rPr>
          <w:rFonts w:eastAsia="Calibri"/>
          <w:szCs w:val="24"/>
        </w:rPr>
        <w:t xml:space="preserve"> onde não</w:t>
      </w:r>
      <w:r w:rsidR="00255FA6" w:rsidRPr="00255FA6">
        <w:rPr>
          <w:rFonts w:eastAsia="Calibri"/>
          <w:szCs w:val="24"/>
        </w:rPr>
        <w:t xml:space="preserve"> foram encontrados valores iguais a 1 no período, mostrando que a Receita orçamentária realizada não foi igual à Despesa Orçamentária, menos os restos a pagar inscritos no exercício</w:t>
      </w:r>
      <w:r w:rsidR="00D445A3">
        <w:rPr>
          <w:rFonts w:eastAsia="Calibri"/>
          <w:szCs w:val="24"/>
        </w:rPr>
        <w:t>.</w:t>
      </w:r>
    </w:p>
    <w:p w14:paraId="415FFDBF" w14:textId="77777777" w:rsidR="00255FA6" w:rsidRPr="00255FA6" w:rsidRDefault="00255FA6" w:rsidP="00DD401D">
      <w:pPr>
        <w:contextualSpacing/>
        <w:rPr>
          <w:rFonts w:eastAsia="Calibri"/>
          <w:szCs w:val="24"/>
        </w:rPr>
      </w:pPr>
    </w:p>
    <w:p w14:paraId="58CBF43D" w14:textId="1009E8E3" w:rsidR="003F7552" w:rsidRPr="006E6CAF" w:rsidRDefault="003F7552" w:rsidP="003F7552">
      <w:pPr>
        <w:widowControl/>
        <w:suppressLineNumbers w:val="0"/>
        <w:suppressAutoHyphens w:val="0"/>
        <w:spacing w:line="259" w:lineRule="auto"/>
        <w:ind w:firstLine="0"/>
        <w:jc w:val="left"/>
        <w:rPr>
          <w:rFonts w:eastAsia="Calibri"/>
          <w:sz w:val="20"/>
          <w:lang w:eastAsia="en-US"/>
        </w:rPr>
      </w:pPr>
      <w:r>
        <w:rPr>
          <w:rFonts w:eastAsia="Calibri"/>
          <w:sz w:val="20"/>
          <w:lang w:eastAsia="en-US"/>
        </w:rPr>
        <w:t>Tabela 7 – Resultado dos Quocientes da Execução Orçamentária</w:t>
      </w:r>
    </w:p>
    <w:tbl>
      <w:tblPr>
        <w:tblW w:w="9490" w:type="dxa"/>
        <w:tblCellMar>
          <w:left w:w="70" w:type="dxa"/>
          <w:right w:w="70" w:type="dxa"/>
        </w:tblCellMar>
        <w:tblLook w:val="04A0" w:firstRow="1" w:lastRow="0" w:firstColumn="1" w:lastColumn="0" w:noHBand="0" w:noVBand="1"/>
      </w:tblPr>
      <w:tblGrid>
        <w:gridCol w:w="1913"/>
        <w:gridCol w:w="2905"/>
        <w:gridCol w:w="672"/>
        <w:gridCol w:w="884"/>
        <w:gridCol w:w="672"/>
        <w:gridCol w:w="884"/>
        <w:gridCol w:w="672"/>
        <w:gridCol w:w="888"/>
      </w:tblGrid>
      <w:tr w:rsidR="006E6CAF" w:rsidRPr="006E6CAF" w14:paraId="714A54D1" w14:textId="77777777" w:rsidTr="00DB73A1">
        <w:trPr>
          <w:cantSplit/>
          <w:trHeight w:val="20"/>
        </w:trPr>
        <w:tc>
          <w:tcPr>
            <w:tcW w:w="1913" w:type="dxa"/>
            <w:tcBorders>
              <w:top w:val="single" w:sz="4" w:space="0" w:color="auto"/>
            </w:tcBorders>
            <w:shd w:val="clear" w:color="auto" w:fill="auto"/>
            <w:noWrap/>
            <w:vAlign w:val="bottom"/>
            <w:hideMark/>
          </w:tcPr>
          <w:p w14:paraId="0B899F4C" w14:textId="77777777" w:rsidR="006E6CAF" w:rsidRPr="006E6CAF" w:rsidRDefault="006E6CAF" w:rsidP="006E6CAF">
            <w:pPr>
              <w:widowControl/>
              <w:suppressLineNumbers w:val="0"/>
              <w:suppressAutoHyphens w:val="0"/>
              <w:ind w:firstLine="0"/>
              <w:jc w:val="center"/>
              <w:rPr>
                <w:color w:val="000000"/>
                <w:sz w:val="20"/>
              </w:rPr>
            </w:pPr>
          </w:p>
        </w:tc>
        <w:tc>
          <w:tcPr>
            <w:tcW w:w="2905" w:type="dxa"/>
            <w:tcBorders>
              <w:top w:val="single" w:sz="4" w:space="0" w:color="auto"/>
            </w:tcBorders>
            <w:shd w:val="clear" w:color="auto" w:fill="auto"/>
            <w:noWrap/>
            <w:vAlign w:val="center"/>
            <w:hideMark/>
          </w:tcPr>
          <w:p w14:paraId="39B0D36B"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 </w:t>
            </w:r>
          </w:p>
        </w:tc>
        <w:tc>
          <w:tcPr>
            <w:tcW w:w="1556" w:type="dxa"/>
            <w:gridSpan w:val="2"/>
            <w:tcBorders>
              <w:top w:val="single" w:sz="4" w:space="0" w:color="auto"/>
              <w:bottom w:val="single" w:sz="4" w:space="0" w:color="auto"/>
            </w:tcBorders>
            <w:shd w:val="clear" w:color="auto" w:fill="auto"/>
            <w:noWrap/>
            <w:vAlign w:val="center"/>
            <w:hideMark/>
          </w:tcPr>
          <w:p w14:paraId="4FAB7B2C"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2015</w:t>
            </w:r>
          </w:p>
        </w:tc>
        <w:tc>
          <w:tcPr>
            <w:tcW w:w="1556" w:type="dxa"/>
            <w:gridSpan w:val="2"/>
            <w:tcBorders>
              <w:top w:val="single" w:sz="4" w:space="0" w:color="auto"/>
              <w:bottom w:val="single" w:sz="4" w:space="0" w:color="auto"/>
            </w:tcBorders>
            <w:shd w:val="clear" w:color="auto" w:fill="auto"/>
            <w:noWrap/>
            <w:vAlign w:val="center"/>
            <w:hideMark/>
          </w:tcPr>
          <w:p w14:paraId="00A135E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2016</w:t>
            </w:r>
          </w:p>
        </w:tc>
        <w:tc>
          <w:tcPr>
            <w:tcW w:w="1560" w:type="dxa"/>
            <w:gridSpan w:val="2"/>
            <w:tcBorders>
              <w:top w:val="single" w:sz="4" w:space="0" w:color="auto"/>
              <w:bottom w:val="single" w:sz="4" w:space="0" w:color="auto"/>
            </w:tcBorders>
            <w:shd w:val="clear" w:color="auto" w:fill="auto"/>
            <w:noWrap/>
            <w:vAlign w:val="center"/>
            <w:hideMark/>
          </w:tcPr>
          <w:p w14:paraId="439CCBFC"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2017</w:t>
            </w:r>
          </w:p>
        </w:tc>
      </w:tr>
      <w:tr w:rsidR="006E6CAF" w:rsidRPr="006E6CAF" w14:paraId="73B63DE9" w14:textId="77777777" w:rsidTr="00DB73A1">
        <w:trPr>
          <w:cantSplit/>
          <w:trHeight w:val="20"/>
        </w:trPr>
        <w:tc>
          <w:tcPr>
            <w:tcW w:w="1913" w:type="dxa"/>
            <w:vMerge w:val="restart"/>
            <w:shd w:val="clear" w:color="auto" w:fill="auto"/>
            <w:vAlign w:val="center"/>
            <w:hideMark/>
          </w:tcPr>
          <w:p w14:paraId="4BA4CC2A"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Municípios de Grande Porte</w:t>
            </w:r>
          </w:p>
        </w:tc>
        <w:tc>
          <w:tcPr>
            <w:tcW w:w="2905" w:type="dxa"/>
            <w:shd w:val="clear" w:color="auto" w:fill="auto"/>
            <w:noWrap/>
            <w:vAlign w:val="bottom"/>
            <w:hideMark/>
          </w:tcPr>
          <w:p w14:paraId="0C393304" w14:textId="77777777" w:rsidR="006E6CAF" w:rsidRPr="006E6CAF" w:rsidRDefault="006E6CAF" w:rsidP="006E6CAF">
            <w:pPr>
              <w:widowControl/>
              <w:suppressLineNumbers w:val="0"/>
              <w:suppressAutoHyphens w:val="0"/>
              <w:ind w:firstLine="0"/>
              <w:jc w:val="center"/>
              <w:rPr>
                <w:color w:val="000000"/>
                <w:sz w:val="20"/>
              </w:rPr>
            </w:pPr>
          </w:p>
        </w:tc>
        <w:tc>
          <w:tcPr>
            <w:tcW w:w="672" w:type="dxa"/>
            <w:tcBorders>
              <w:top w:val="single" w:sz="4" w:space="0" w:color="auto"/>
            </w:tcBorders>
            <w:shd w:val="clear" w:color="auto" w:fill="auto"/>
            <w:noWrap/>
            <w:vAlign w:val="center"/>
            <w:hideMark/>
          </w:tcPr>
          <w:p w14:paraId="0966C61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QM.</w:t>
            </w:r>
          </w:p>
        </w:tc>
        <w:tc>
          <w:tcPr>
            <w:tcW w:w="884" w:type="dxa"/>
            <w:tcBorders>
              <w:top w:val="single" w:sz="4" w:space="0" w:color="auto"/>
            </w:tcBorders>
            <w:shd w:val="clear" w:color="auto" w:fill="auto"/>
            <w:noWrap/>
            <w:vAlign w:val="center"/>
            <w:hideMark/>
          </w:tcPr>
          <w:p w14:paraId="46C95B0F"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w:t>
            </w:r>
          </w:p>
        </w:tc>
        <w:tc>
          <w:tcPr>
            <w:tcW w:w="672" w:type="dxa"/>
            <w:tcBorders>
              <w:top w:val="single" w:sz="4" w:space="0" w:color="auto"/>
            </w:tcBorders>
            <w:shd w:val="clear" w:color="auto" w:fill="auto"/>
            <w:noWrap/>
            <w:vAlign w:val="center"/>
            <w:hideMark/>
          </w:tcPr>
          <w:p w14:paraId="35B722F8"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QM.</w:t>
            </w:r>
          </w:p>
        </w:tc>
        <w:tc>
          <w:tcPr>
            <w:tcW w:w="884" w:type="dxa"/>
            <w:tcBorders>
              <w:top w:val="single" w:sz="4" w:space="0" w:color="auto"/>
            </w:tcBorders>
            <w:shd w:val="clear" w:color="auto" w:fill="auto"/>
            <w:noWrap/>
            <w:vAlign w:val="center"/>
            <w:hideMark/>
          </w:tcPr>
          <w:p w14:paraId="4DC559BC"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w:t>
            </w:r>
          </w:p>
        </w:tc>
        <w:tc>
          <w:tcPr>
            <w:tcW w:w="672" w:type="dxa"/>
            <w:tcBorders>
              <w:top w:val="single" w:sz="4" w:space="0" w:color="auto"/>
            </w:tcBorders>
            <w:shd w:val="clear" w:color="auto" w:fill="auto"/>
            <w:noWrap/>
            <w:vAlign w:val="center"/>
            <w:hideMark/>
          </w:tcPr>
          <w:p w14:paraId="271072BD"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QM.</w:t>
            </w:r>
          </w:p>
        </w:tc>
        <w:tc>
          <w:tcPr>
            <w:tcW w:w="888" w:type="dxa"/>
            <w:tcBorders>
              <w:top w:val="single" w:sz="4" w:space="0" w:color="auto"/>
            </w:tcBorders>
            <w:shd w:val="clear" w:color="auto" w:fill="auto"/>
            <w:noWrap/>
            <w:vAlign w:val="center"/>
            <w:hideMark/>
          </w:tcPr>
          <w:p w14:paraId="3D0E96A6"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w:t>
            </w:r>
          </w:p>
        </w:tc>
      </w:tr>
      <w:tr w:rsidR="006E6CAF" w:rsidRPr="006E6CAF" w14:paraId="4D5E4174" w14:textId="77777777" w:rsidTr="00DB73A1">
        <w:trPr>
          <w:cantSplit/>
          <w:trHeight w:val="20"/>
        </w:trPr>
        <w:tc>
          <w:tcPr>
            <w:tcW w:w="1913" w:type="dxa"/>
            <w:vMerge/>
            <w:vAlign w:val="center"/>
            <w:hideMark/>
          </w:tcPr>
          <w:p w14:paraId="31720B28"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7F22CC94"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 1</w:t>
            </w:r>
          </w:p>
        </w:tc>
        <w:tc>
          <w:tcPr>
            <w:tcW w:w="672" w:type="dxa"/>
            <w:shd w:val="clear" w:color="auto" w:fill="auto"/>
            <w:noWrap/>
            <w:vAlign w:val="center"/>
            <w:hideMark/>
          </w:tcPr>
          <w:p w14:paraId="750F3BC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shd w:val="clear" w:color="auto" w:fill="auto"/>
            <w:noWrap/>
            <w:vAlign w:val="center"/>
            <w:hideMark/>
          </w:tcPr>
          <w:p w14:paraId="6476395B"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shd w:val="clear" w:color="auto" w:fill="auto"/>
            <w:noWrap/>
            <w:vAlign w:val="center"/>
            <w:hideMark/>
          </w:tcPr>
          <w:p w14:paraId="26834B13"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shd w:val="clear" w:color="auto" w:fill="auto"/>
            <w:noWrap/>
            <w:vAlign w:val="center"/>
            <w:hideMark/>
          </w:tcPr>
          <w:p w14:paraId="15E3EAC7"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shd w:val="clear" w:color="auto" w:fill="auto"/>
            <w:noWrap/>
            <w:vAlign w:val="center"/>
            <w:hideMark/>
          </w:tcPr>
          <w:p w14:paraId="63B283B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8" w:type="dxa"/>
            <w:shd w:val="clear" w:color="auto" w:fill="auto"/>
            <w:noWrap/>
            <w:vAlign w:val="center"/>
            <w:hideMark/>
          </w:tcPr>
          <w:p w14:paraId="5274293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r>
      <w:tr w:rsidR="006E6CAF" w:rsidRPr="006E6CAF" w14:paraId="4E1D1AB1" w14:textId="77777777" w:rsidTr="00DB73A1">
        <w:trPr>
          <w:cantSplit/>
          <w:trHeight w:val="20"/>
        </w:trPr>
        <w:tc>
          <w:tcPr>
            <w:tcW w:w="1913" w:type="dxa"/>
            <w:vMerge/>
            <w:vAlign w:val="center"/>
            <w:hideMark/>
          </w:tcPr>
          <w:p w14:paraId="3401DF80"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46E7FB9B"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&gt; 1</w:t>
            </w:r>
          </w:p>
        </w:tc>
        <w:tc>
          <w:tcPr>
            <w:tcW w:w="672" w:type="dxa"/>
            <w:shd w:val="clear" w:color="auto" w:fill="auto"/>
            <w:noWrap/>
            <w:vAlign w:val="center"/>
            <w:hideMark/>
          </w:tcPr>
          <w:p w14:paraId="4CAC356F"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w:t>
            </w:r>
          </w:p>
        </w:tc>
        <w:tc>
          <w:tcPr>
            <w:tcW w:w="884" w:type="dxa"/>
            <w:shd w:val="clear" w:color="auto" w:fill="auto"/>
            <w:noWrap/>
            <w:vAlign w:val="center"/>
            <w:hideMark/>
          </w:tcPr>
          <w:p w14:paraId="058AD226"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6%</w:t>
            </w:r>
          </w:p>
        </w:tc>
        <w:tc>
          <w:tcPr>
            <w:tcW w:w="672" w:type="dxa"/>
            <w:shd w:val="clear" w:color="auto" w:fill="auto"/>
            <w:noWrap/>
            <w:vAlign w:val="center"/>
            <w:hideMark/>
          </w:tcPr>
          <w:p w14:paraId="39ACA1B8"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w:t>
            </w:r>
          </w:p>
        </w:tc>
        <w:tc>
          <w:tcPr>
            <w:tcW w:w="884" w:type="dxa"/>
            <w:shd w:val="clear" w:color="auto" w:fill="auto"/>
            <w:noWrap/>
            <w:vAlign w:val="center"/>
            <w:hideMark/>
          </w:tcPr>
          <w:p w14:paraId="2EC4E63D"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11%</w:t>
            </w:r>
          </w:p>
        </w:tc>
        <w:tc>
          <w:tcPr>
            <w:tcW w:w="672" w:type="dxa"/>
            <w:shd w:val="clear" w:color="auto" w:fill="auto"/>
            <w:noWrap/>
            <w:vAlign w:val="center"/>
            <w:hideMark/>
          </w:tcPr>
          <w:p w14:paraId="52C1763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w:t>
            </w:r>
          </w:p>
        </w:tc>
        <w:tc>
          <w:tcPr>
            <w:tcW w:w="888" w:type="dxa"/>
            <w:shd w:val="clear" w:color="auto" w:fill="auto"/>
            <w:noWrap/>
            <w:vAlign w:val="center"/>
            <w:hideMark/>
          </w:tcPr>
          <w:p w14:paraId="62E0334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11%</w:t>
            </w:r>
          </w:p>
        </w:tc>
      </w:tr>
      <w:tr w:rsidR="006E6CAF" w:rsidRPr="006E6CAF" w14:paraId="0F7D8EC4" w14:textId="77777777" w:rsidTr="00DB73A1">
        <w:trPr>
          <w:cantSplit/>
          <w:trHeight w:val="20"/>
        </w:trPr>
        <w:tc>
          <w:tcPr>
            <w:tcW w:w="1913" w:type="dxa"/>
            <w:vMerge/>
            <w:vAlign w:val="center"/>
            <w:hideMark/>
          </w:tcPr>
          <w:p w14:paraId="4D95CC98"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06D6CA53"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&lt; 1</w:t>
            </w:r>
          </w:p>
        </w:tc>
        <w:tc>
          <w:tcPr>
            <w:tcW w:w="672" w:type="dxa"/>
            <w:shd w:val="clear" w:color="auto" w:fill="auto"/>
            <w:noWrap/>
            <w:vAlign w:val="center"/>
            <w:hideMark/>
          </w:tcPr>
          <w:p w14:paraId="791C833A"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15</w:t>
            </w:r>
          </w:p>
        </w:tc>
        <w:tc>
          <w:tcPr>
            <w:tcW w:w="884" w:type="dxa"/>
            <w:shd w:val="clear" w:color="auto" w:fill="auto"/>
            <w:noWrap/>
            <w:vAlign w:val="center"/>
            <w:hideMark/>
          </w:tcPr>
          <w:p w14:paraId="55E3474C"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83%</w:t>
            </w:r>
          </w:p>
        </w:tc>
        <w:tc>
          <w:tcPr>
            <w:tcW w:w="672" w:type="dxa"/>
            <w:shd w:val="clear" w:color="auto" w:fill="auto"/>
            <w:noWrap/>
            <w:vAlign w:val="center"/>
            <w:hideMark/>
          </w:tcPr>
          <w:p w14:paraId="0B3318F0"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16</w:t>
            </w:r>
          </w:p>
        </w:tc>
        <w:tc>
          <w:tcPr>
            <w:tcW w:w="884" w:type="dxa"/>
            <w:shd w:val="clear" w:color="auto" w:fill="auto"/>
            <w:noWrap/>
            <w:vAlign w:val="center"/>
            <w:hideMark/>
          </w:tcPr>
          <w:p w14:paraId="425058FF"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89%</w:t>
            </w:r>
          </w:p>
        </w:tc>
        <w:tc>
          <w:tcPr>
            <w:tcW w:w="672" w:type="dxa"/>
            <w:shd w:val="clear" w:color="auto" w:fill="auto"/>
            <w:noWrap/>
            <w:vAlign w:val="center"/>
            <w:hideMark/>
          </w:tcPr>
          <w:p w14:paraId="1F73161D"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15</w:t>
            </w:r>
          </w:p>
        </w:tc>
        <w:tc>
          <w:tcPr>
            <w:tcW w:w="888" w:type="dxa"/>
            <w:shd w:val="clear" w:color="auto" w:fill="auto"/>
            <w:noWrap/>
            <w:vAlign w:val="center"/>
            <w:hideMark/>
          </w:tcPr>
          <w:p w14:paraId="1D242A7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83%</w:t>
            </w:r>
          </w:p>
        </w:tc>
      </w:tr>
      <w:tr w:rsidR="006E6CAF" w:rsidRPr="006E6CAF" w14:paraId="6A8DCAB9" w14:textId="77777777" w:rsidTr="00DB73A1">
        <w:trPr>
          <w:cantSplit/>
          <w:trHeight w:val="20"/>
        </w:trPr>
        <w:tc>
          <w:tcPr>
            <w:tcW w:w="1913" w:type="dxa"/>
            <w:vMerge/>
            <w:vAlign w:val="center"/>
            <w:hideMark/>
          </w:tcPr>
          <w:p w14:paraId="5EDABAE3" w14:textId="77777777" w:rsidR="006E6CAF" w:rsidRPr="006E6CAF" w:rsidRDefault="006E6CAF" w:rsidP="006E6CAF">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08406D76"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Não Apresentou</w:t>
            </w:r>
          </w:p>
        </w:tc>
        <w:tc>
          <w:tcPr>
            <w:tcW w:w="672" w:type="dxa"/>
            <w:tcBorders>
              <w:bottom w:val="single" w:sz="4" w:space="0" w:color="auto"/>
            </w:tcBorders>
            <w:shd w:val="clear" w:color="auto" w:fill="auto"/>
            <w:noWrap/>
            <w:vAlign w:val="center"/>
            <w:hideMark/>
          </w:tcPr>
          <w:p w14:paraId="2AB3F6EC"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w:t>
            </w:r>
          </w:p>
        </w:tc>
        <w:tc>
          <w:tcPr>
            <w:tcW w:w="884" w:type="dxa"/>
            <w:tcBorders>
              <w:bottom w:val="single" w:sz="4" w:space="0" w:color="auto"/>
            </w:tcBorders>
            <w:shd w:val="clear" w:color="auto" w:fill="auto"/>
            <w:noWrap/>
            <w:vAlign w:val="center"/>
            <w:hideMark/>
          </w:tcPr>
          <w:p w14:paraId="5514984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11%</w:t>
            </w:r>
          </w:p>
        </w:tc>
        <w:tc>
          <w:tcPr>
            <w:tcW w:w="672" w:type="dxa"/>
            <w:tcBorders>
              <w:bottom w:val="single" w:sz="4" w:space="0" w:color="auto"/>
            </w:tcBorders>
            <w:shd w:val="clear" w:color="auto" w:fill="auto"/>
            <w:noWrap/>
            <w:vAlign w:val="center"/>
            <w:hideMark/>
          </w:tcPr>
          <w:p w14:paraId="1222756C"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tcBorders>
              <w:bottom w:val="single" w:sz="4" w:space="0" w:color="auto"/>
            </w:tcBorders>
            <w:shd w:val="clear" w:color="auto" w:fill="auto"/>
            <w:noWrap/>
            <w:vAlign w:val="center"/>
            <w:hideMark/>
          </w:tcPr>
          <w:p w14:paraId="4EFF685B"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tcBorders>
              <w:bottom w:val="single" w:sz="4" w:space="0" w:color="auto"/>
            </w:tcBorders>
            <w:shd w:val="clear" w:color="auto" w:fill="auto"/>
            <w:noWrap/>
            <w:vAlign w:val="center"/>
            <w:hideMark/>
          </w:tcPr>
          <w:p w14:paraId="375346C6"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w:t>
            </w:r>
          </w:p>
        </w:tc>
        <w:tc>
          <w:tcPr>
            <w:tcW w:w="888" w:type="dxa"/>
            <w:tcBorders>
              <w:bottom w:val="single" w:sz="4" w:space="0" w:color="auto"/>
            </w:tcBorders>
            <w:shd w:val="clear" w:color="auto" w:fill="auto"/>
            <w:noWrap/>
            <w:vAlign w:val="center"/>
            <w:hideMark/>
          </w:tcPr>
          <w:p w14:paraId="10CED9FF"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6%</w:t>
            </w:r>
          </w:p>
        </w:tc>
      </w:tr>
      <w:tr w:rsidR="006E6CAF" w:rsidRPr="006E6CAF" w14:paraId="15E1ABAD" w14:textId="77777777" w:rsidTr="00DB73A1">
        <w:trPr>
          <w:cantSplit/>
          <w:trHeight w:val="20"/>
        </w:trPr>
        <w:tc>
          <w:tcPr>
            <w:tcW w:w="1913" w:type="dxa"/>
            <w:vMerge/>
            <w:tcBorders>
              <w:bottom w:val="single" w:sz="4" w:space="0" w:color="auto"/>
            </w:tcBorders>
            <w:vAlign w:val="center"/>
            <w:hideMark/>
          </w:tcPr>
          <w:p w14:paraId="5CA71929" w14:textId="77777777" w:rsidR="006E6CAF" w:rsidRPr="006E6CAF" w:rsidRDefault="006E6CAF" w:rsidP="006E6CAF">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117D20B3" w14:textId="77777777" w:rsidR="006E6CAF" w:rsidRPr="006E6CAF" w:rsidRDefault="006E6CAF" w:rsidP="006E6CAF">
            <w:pPr>
              <w:widowControl/>
              <w:suppressLineNumbers w:val="0"/>
              <w:suppressAutoHyphens w:val="0"/>
              <w:ind w:firstLine="0"/>
              <w:jc w:val="left"/>
              <w:rPr>
                <w:b/>
                <w:bCs/>
                <w:color w:val="000000"/>
                <w:sz w:val="20"/>
              </w:rPr>
            </w:pPr>
            <w:r w:rsidRPr="006E6CAF">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085C2E9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18</w:t>
            </w:r>
          </w:p>
        </w:tc>
        <w:tc>
          <w:tcPr>
            <w:tcW w:w="884" w:type="dxa"/>
            <w:tcBorders>
              <w:top w:val="single" w:sz="4" w:space="0" w:color="auto"/>
              <w:bottom w:val="single" w:sz="4" w:space="0" w:color="auto"/>
            </w:tcBorders>
            <w:shd w:val="clear" w:color="auto" w:fill="auto"/>
            <w:noWrap/>
            <w:vAlign w:val="center"/>
            <w:hideMark/>
          </w:tcPr>
          <w:p w14:paraId="53746691"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338FB15A"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18</w:t>
            </w:r>
          </w:p>
        </w:tc>
        <w:tc>
          <w:tcPr>
            <w:tcW w:w="884" w:type="dxa"/>
            <w:tcBorders>
              <w:top w:val="single" w:sz="4" w:space="0" w:color="auto"/>
              <w:bottom w:val="single" w:sz="4" w:space="0" w:color="auto"/>
            </w:tcBorders>
            <w:shd w:val="clear" w:color="auto" w:fill="auto"/>
            <w:noWrap/>
            <w:vAlign w:val="center"/>
            <w:hideMark/>
          </w:tcPr>
          <w:p w14:paraId="2A939A0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7B8880DD"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18</w:t>
            </w:r>
          </w:p>
        </w:tc>
        <w:tc>
          <w:tcPr>
            <w:tcW w:w="888" w:type="dxa"/>
            <w:tcBorders>
              <w:top w:val="single" w:sz="4" w:space="0" w:color="auto"/>
              <w:bottom w:val="single" w:sz="4" w:space="0" w:color="auto"/>
            </w:tcBorders>
            <w:shd w:val="clear" w:color="auto" w:fill="auto"/>
            <w:noWrap/>
            <w:vAlign w:val="center"/>
            <w:hideMark/>
          </w:tcPr>
          <w:p w14:paraId="3EC49054"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100%</w:t>
            </w:r>
          </w:p>
        </w:tc>
      </w:tr>
      <w:tr w:rsidR="006E6CAF" w:rsidRPr="006E6CAF" w14:paraId="105E360C" w14:textId="77777777" w:rsidTr="00DB73A1">
        <w:trPr>
          <w:cantSplit/>
          <w:trHeight w:val="20"/>
        </w:trPr>
        <w:tc>
          <w:tcPr>
            <w:tcW w:w="1913" w:type="dxa"/>
            <w:vMerge w:val="restart"/>
            <w:tcBorders>
              <w:top w:val="single" w:sz="4" w:space="0" w:color="auto"/>
            </w:tcBorders>
            <w:shd w:val="clear" w:color="auto" w:fill="auto"/>
            <w:vAlign w:val="center"/>
            <w:hideMark/>
          </w:tcPr>
          <w:p w14:paraId="0D83D86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Municípios de Médio Porte</w:t>
            </w:r>
          </w:p>
        </w:tc>
        <w:tc>
          <w:tcPr>
            <w:tcW w:w="2905" w:type="dxa"/>
            <w:tcBorders>
              <w:top w:val="single" w:sz="4" w:space="0" w:color="auto"/>
            </w:tcBorders>
            <w:shd w:val="clear" w:color="auto" w:fill="auto"/>
            <w:noWrap/>
            <w:vAlign w:val="center"/>
            <w:hideMark/>
          </w:tcPr>
          <w:p w14:paraId="16129981"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 1</w:t>
            </w:r>
          </w:p>
        </w:tc>
        <w:tc>
          <w:tcPr>
            <w:tcW w:w="672" w:type="dxa"/>
            <w:tcBorders>
              <w:top w:val="single" w:sz="4" w:space="0" w:color="auto"/>
            </w:tcBorders>
            <w:shd w:val="clear" w:color="auto" w:fill="auto"/>
            <w:noWrap/>
            <w:vAlign w:val="center"/>
            <w:hideMark/>
          </w:tcPr>
          <w:p w14:paraId="62979D6A"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tcBorders>
              <w:top w:val="single" w:sz="4" w:space="0" w:color="auto"/>
            </w:tcBorders>
            <w:shd w:val="clear" w:color="auto" w:fill="auto"/>
            <w:noWrap/>
            <w:vAlign w:val="center"/>
            <w:hideMark/>
          </w:tcPr>
          <w:p w14:paraId="6D7EC42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tcBorders>
              <w:top w:val="single" w:sz="4" w:space="0" w:color="auto"/>
            </w:tcBorders>
            <w:shd w:val="clear" w:color="auto" w:fill="auto"/>
            <w:noWrap/>
            <w:vAlign w:val="center"/>
            <w:hideMark/>
          </w:tcPr>
          <w:p w14:paraId="3337BB13"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tcBorders>
              <w:top w:val="single" w:sz="4" w:space="0" w:color="auto"/>
            </w:tcBorders>
            <w:shd w:val="clear" w:color="auto" w:fill="auto"/>
            <w:noWrap/>
            <w:vAlign w:val="center"/>
            <w:hideMark/>
          </w:tcPr>
          <w:p w14:paraId="7C1096A6"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tcBorders>
              <w:top w:val="single" w:sz="4" w:space="0" w:color="auto"/>
            </w:tcBorders>
            <w:shd w:val="clear" w:color="auto" w:fill="auto"/>
            <w:noWrap/>
            <w:vAlign w:val="center"/>
            <w:hideMark/>
          </w:tcPr>
          <w:p w14:paraId="23705AD6"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8" w:type="dxa"/>
            <w:tcBorders>
              <w:top w:val="single" w:sz="4" w:space="0" w:color="auto"/>
            </w:tcBorders>
            <w:shd w:val="clear" w:color="auto" w:fill="auto"/>
            <w:noWrap/>
            <w:vAlign w:val="center"/>
            <w:hideMark/>
          </w:tcPr>
          <w:p w14:paraId="28599963"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r>
      <w:tr w:rsidR="006E6CAF" w:rsidRPr="006E6CAF" w14:paraId="7A35E3C1" w14:textId="77777777" w:rsidTr="00DB73A1">
        <w:trPr>
          <w:cantSplit/>
          <w:trHeight w:val="20"/>
        </w:trPr>
        <w:tc>
          <w:tcPr>
            <w:tcW w:w="1913" w:type="dxa"/>
            <w:vMerge/>
            <w:vAlign w:val="center"/>
            <w:hideMark/>
          </w:tcPr>
          <w:p w14:paraId="094C1DFD"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48272C28"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&gt; 1</w:t>
            </w:r>
          </w:p>
        </w:tc>
        <w:tc>
          <w:tcPr>
            <w:tcW w:w="672" w:type="dxa"/>
            <w:shd w:val="clear" w:color="auto" w:fill="auto"/>
            <w:noWrap/>
            <w:vAlign w:val="center"/>
            <w:hideMark/>
          </w:tcPr>
          <w:p w14:paraId="21D5CBA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9</w:t>
            </w:r>
          </w:p>
        </w:tc>
        <w:tc>
          <w:tcPr>
            <w:tcW w:w="884" w:type="dxa"/>
            <w:shd w:val="clear" w:color="auto" w:fill="auto"/>
            <w:noWrap/>
            <w:vAlign w:val="center"/>
            <w:hideMark/>
          </w:tcPr>
          <w:p w14:paraId="21F3A130"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12%</w:t>
            </w:r>
          </w:p>
        </w:tc>
        <w:tc>
          <w:tcPr>
            <w:tcW w:w="672" w:type="dxa"/>
            <w:shd w:val="clear" w:color="auto" w:fill="auto"/>
            <w:noWrap/>
            <w:vAlign w:val="center"/>
            <w:hideMark/>
          </w:tcPr>
          <w:p w14:paraId="1A7B7326"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8</w:t>
            </w:r>
          </w:p>
        </w:tc>
        <w:tc>
          <w:tcPr>
            <w:tcW w:w="884" w:type="dxa"/>
            <w:shd w:val="clear" w:color="auto" w:fill="auto"/>
            <w:noWrap/>
            <w:vAlign w:val="center"/>
            <w:hideMark/>
          </w:tcPr>
          <w:p w14:paraId="0CFD41F0"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11%</w:t>
            </w:r>
          </w:p>
        </w:tc>
        <w:tc>
          <w:tcPr>
            <w:tcW w:w="672" w:type="dxa"/>
            <w:shd w:val="clear" w:color="auto" w:fill="auto"/>
            <w:noWrap/>
            <w:vAlign w:val="center"/>
            <w:hideMark/>
          </w:tcPr>
          <w:p w14:paraId="6AD75273"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22</w:t>
            </w:r>
          </w:p>
        </w:tc>
        <w:tc>
          <w:tcPr>
            <w:tcW w:w="888" w:type="dxa"/>
            <w:shd w:val="clear" w:color="auto" w:fill="auto"/>
            <w:noWrap/>
            <w:vAlign w:val="center"/>
            <w:hideMark/>
          </w:tcPr>
          <w:p w14:paraId="618303C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29%</w:t>
            </w:r>
          </w:p>
        </w:tc>
      </w:tr>
      <w:tr w:rsidR="006E6CAF" w:rsidRPr="006E6CAF" w14:paraId="50085C9C" w14:textId="77777777" w:rsidTr="00DB73A1">
        <w:trPr>
          <w:cantSplit/>
          <w:trHeight w:val="20"/>
        </w:trPr>
        <w:tc>
          <w:tcPr>
            <w:tcW w:w="1913" w:type="dxa"/>
            <w:vMerge/>
            <w:vAlign w:val="center"/>
            <w:hideMark/>
          </w:tcPr>
          <w:p w14:paraId="006F4EDD"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49312F8E"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&lt; 1</w:t>
            </w:r>
          </w:p>
        </w:tc>
        <w:tc>
          <w:tcPr>
            <w:tcW w:w="672" w:type="dxa"/>
            <w:shd w:val="clear" w:color="auto" w:fill="auto"/>
            <w:noWrap/>
            <w:vAlign w:val="center"/>
            <w:hideMark/>
          </w:tcPr>
          <w:p w14:paraId="7EFA280F"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55</w:t>
            </w:r>
          </w:p>
        </w:tc>
        <w:tc>
          <w:tcPr>
            <w:tcW w:w="884" w:type="dxa"/>
            <w:shd w:val="clear" w:color="auto" w:fill="auto"/>
            <w:noWrap/>
            <w:vAlign w:val="center"/>
            <w:hideMark/>
          </w:tcPr>
          <w:p w14:paraId="5DDFCC1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72%</w:t>
            </w:r>
          </w:p>
        </w:tc>
        <w:tc>
          <w:tcPr>
            <w:tcW w:w="672" w:type="dxa"/>
            <w:shd w:val="clear" w:color="auto" w:fill="auto"/>
            <w:noWrap/>
            <w:vAlign w:val="center"/>
            <w:hideMark/>
          </w:tcPr>
          <w:p w14:paraId="6DA4BBDB"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55</w:t>
            </w:r>
          </w:p>
        </w:tc>
        <w:tc>
          <w:tcPr>
            <w:tcW w:w="884" w:type="dxa"/>
            <w:shd w:val="clear" w:color="auto" w:fill="auto"/>
            <w:noWrap/>
            <w:vAlign w:val="center"/>
            <w:hideMark/>
          </w:tcPr>
          <w:p w14:paraId="63C7C14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72%</w:t>
            </w:r>
          </w:p>
        </w:tc>
        <w:tc>
          <w:tcPr>
            <w:tcW w:w="672" w:type="dxa"/>
            <w:shd w:val="clear" w:color="auto" w:fill="auto"/>
            <w:noWrap/>
            <w:vAlign w:val="center"/>
            <w:hideMark/>
          </w:tcPr>
          <w:p w14:paraId="014EE9C3"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49</w:t>
            </w:r>
          </w:p>
        </w:tc>
        <w:tc>
          <w:tcPr>
            <w:tcW w:w="888" w:type="dxa"/>
            <w:shd w:val="clear" w:color="auto" w:fill="auto"/>
            <w:noWrap/>
            <w:vAlign w:val="center"/>
            <w:hideMark/>
          </w:tcPr>
          <w:p w14:paraId="4B6A81F4"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64%</w:t>
            </w:r>
          </w:p>
        </w:tc>
      </w:tr>
      <w:tr w:rsidR="006E6CAF" w:rsidRPr="006E6CAF" w14:paraId="25943DED" w14:textId="77777777" w:rsidTr="00DB73A1">
        <w:trPr>
          <w:cantSplit/>
          <w:trHeight w:val="169"/>
        </w:trPr>
        <w:tc>
          <w:tcPr>
            <w:tcW w:w="1913" w:type="dxa"/>
            <w:vMerge/>
            <w:vAlign w:val="center"/>
            <w:hideMark/>
          </w:tcPr>
          <w:p w14:paraId="6BD5B259" w14:textId="77777777" w:rsidR="006E6CAF" w:rsidRPr="006E6CAF" w:rsidRDefault="006E6CAF" w:rsidP="006E6CAF">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0027ECD5"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Não Apresentou</w:t>
            </w:r>
          </w:p>
        </w:tc>
        <w:tc>
          <w:tcPr>
            <w:tcW w:w="672" w:type="dxa"/>
            <w:tcBorders>
              <w:bottom w:val="single" w:sz="4" w:space="0" w:color="auto"/>
            </w:tcBorders>
            <w:shd w:val="clear" w:color="auto" w:fill="auto"/>
            <w:noWrap/>
            <w:vAlign w:val="center"/>
            <w:hideMark/>
          </w:tcPr>
          <w:p w14:paraId="16B55B7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12</w:t>
            </w:r>
          </w:p>
        </w:tc>
        <w:tc>
          <w:tcPr>
            <w:tcW w:w="884" w:type="dxa"/>
            <w:tcBorders>
              <w:bottom w:val="single" w:sz="4" w:space="0" w:color="auto"/>
            </w:tcBorders>
            <w:shd w:val="clear" w:color="auto" w:fill="auto"/>
            <w:noWrap/>
            <w:vAlign w:val="center"/>
            <w:hideMark/>
          </w:tcPr>
          <w:p w14:paraId="4682543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16%</w:t>
            </w:r>
          </w:p>
        </w:tc>
        <w:tc>
          <w:tcPr>
            <w:tcW w:w="672" w:type="dxa"/>
            <w:tcBorders>
              <w:bottom w:val="single" w:sz="4" w:space="0" w:color="auto"/>
            </w:tcBorders>
            <w:shd w:val="clear" w:color="auto" w:fill="auto"/>
            <w:noWrap/>
            <w:vAlign w:val="center"/>
            <w:hideMark/>
          </w:tcPr>
          <w:p w14:paraId="10E4EF5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13</w:t>
            </w:r>
          </w:p>
        </w:tc>
        <w:tc>
          <w:tcPr>
            <w:tcW w:w="884" w:type="dxa"/>
            <w:tcBorders>
              <w:bottom w:val="single" w:sz="4" w:space="0" w:color="auto"/>
            </w:tcBorders>
            <w:shd w:val="clear" w:color="auto" w:fill="auto"/>
            <w:noWrap/>
            <w:vAlign w:val="center"/>
            <w:hideMark/>
          </w:tcPr>
          <w:p w14:paraId="39BDCAB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17%</w:t>
            </w:r>
          </w:p>
        </w:tc>
        <w:tc>
          <w:tcPr>
            <w:tcW w:w="672" w:type="dxa"/>
            <w:tcBorders>
              <w:bottom w:val="single" w:sz="4" w:space="0" w:color="auto"/>
            </w:tcBorders>
            <w:shd w:val="clear" w:color="auto" w:fill="auto"/>
            <w:noWrap/>
            <w:vAlign w:val="center"/>
            <w:hideMark/>
          </w:tcPr>
          <w:p w14:paraId="4116DBF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5</w:t>
            </w:r>
          </w:p>
        </w:tc>
        <w:tc>
          <w:tcPr>
            <w:tcW w:w="888" w:type="dxa"/>
            <w:tcBorders>
              <w:bottom w:val="single" w:sz="4" w:space="0" w:color="auto"/>
            </w:tcBorders>
            <w:shd w:val="clear" w:color="auto" w:fill="auto"/>
            <w:noWrap/>
            <w:vAlign w:val="center"/>
            <w:hideMark/>
          </w:tcPr>
          <w:p w14:paraId="2500AA5B"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7%</w:t>
            </w:r>
          </w:p>
        </w:tc>
      </w:tr>
      <w:tr w:rsidR="006E6CAF" w:rsidRPr="006E6CAF" w14:paraId="42A7D2C4" w14:textId="77777777" w:rsidTr="00DB73A1">
        <w:trPr>
          <w:cantSplit/>
          <w:trHeight w:val="20"/>
        </w:trPr>
        <w:tc>
          <w:tcPr>
            <w:tcW w:w="1913" w:type="dxa"/>
            <w:vMerge/>
            <w:tcBorders>
              <w:bottom w:val="single" w:sz="4" w:space="0" w:color="auto"/>
            </w:tcBorders>
            <w:vAlign w:val="center"/>
            <w:hideMark/>
          </w:tcPr>
          <w:p w14:paraId="431870E8" w14:textId="77777777" w:rsidR="006E6CAF" w:rsidRPr="006E6CAF" w:rsidRDefault="006E6CAF" w:rsidP="006E6CAF">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1BB05CE2" w14:textId="77777777" w:rsidR="006E6CAF" w:rsidRPr="006E6CAF" w:rsidRDefault="006E6CAF" w:rsidP="006E6CAF">
            <w:pPr>
              <w:widowControl/>
              <w:suppressLineNumbers w:val="0"/>
              <w:suppressAutoHyphens w:val="0"/>
              <w:ind w:firstLine="0"/>
              <w:jc w:val="left"/>
              <w:rPr>
                <w:b/>
                <w:bCs/>
                <w:color w:val="000000"/>
                <w:sz w:val="20"/>
              </w:rPr>
            </w:pPr>
            <w:r w:rsidRPr="006E6CAF">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57E8137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76</w:t>
            </w:r>
          </w:p>
        </w:tc>
        <w:tc>
          <w:tcPr>
            <w:tcW w:w="884" w:type="dxa"/>
            <w:tcBorders>
              <w:top w:val="single" w:sz="4" w:space="0" w:color="auto"/>
              <w:bottom w:val="single" w:sz="4" w:space="0" w:color="auto"/>
            </w:tcBorders>
            <w:shd w:val="clear" w:color="auto" w:fill="auto"/>
            <w:noWrap/>
            <w:vAlign w:val="center"/>
            <w:hideMark/>
          </w:tcPr>
          <w:p w14:paraId="7D3F42AC"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7EEDB226"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76</w:t>
            </w:r>
          </w:p>
        </w:tc>
        <w:tc>
          <w:tcPr>
            <w:tcW w:w="884" w:type="dxa"/>
            <w:tcBorders>
              <w:top w:val="single" w:sz="4" w:space="0" w:color="auto"/>
              <w:bottom w:val="single" w:sz="4" w:space="0" w:color="auto"/>
            </w:tcBorders>
            <w:shd w:val="clear" w:color="auto" w:fill="auto"/>
            <w:noWrap/>
            <w:vAlign w:val="center"/>
            <w:hideMark/>
          </w:tcPr>
          <w:p w14:paraId="7FD84AC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27B96838"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76</w:t>
            </w:r>
          </w:p>
        </w:tc>
        <w:tc>
          <w:tcPr>
            <w:tcW w:w="888" w:type="dxa"/>
            <w:tcBorders>
              <w:top w:val="single" w:sz="4" w:space="0" w:color="auto"/>
              <w:bottom w:val="single" w:sz="4" w:space="0" w:color="auto"/>
            </w:tcBorders>
            <w:shd w:val="clear" w:color="auto" w:fill="auto"/>
            <w:noWrap/>
            <w:vAlign w:val="center"/>
            <w:hideMark/>
          </w:tcPr>
          <w:p w14:paraId="0EE0018A"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100%</w:t>
            </w:r>
          </w:p>
        </w:tc>
      </w:tr>
      <w:tr w:rsidR="006E6CAF" w:rsidRPr="006E6CAF" w14:paraId="6504C9E7" w14:textId="77777777" w:rsidTr="00DB73A1">
        <w:trPr>
          <w:cantSplit/>
          <w:trHeight w:val="20"/>
        </w:trPr>
        <w:tc>
          <w:tcPr>
            <w:tcW w:w="1913" w:type="dxa"/>
            <w:vMerge w:val="restart"/>
            <w:tcBorders>
              <w:top w:val="single" w:sz="4" w:space="0" w:color="auto"/>
            </w:tcBorders>
            <w:shd w:val="clear" w:color="auto" w:fill="auto"/>
            <w:vAlign w:val="center"/>
            <w:hideMark/>
          </w:tcPr>
          <w:p w14:paraId="3B4D758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Municípios de Pequeno Porte</w:t>
            </w:r>
          </w:p>
        </w:tc>
        <w:tc>
          <w:tcPr>
            <w:tcW w:w="2905" w:type="dxa"/>
            <w:tcBorders>
              <w:top w:val="single" w:sz="4" w:space="0" w:color="auto"/>
            </w:tcBorders>
            <w:shd w:val="clear" w:color="auto" w:fill="auto"/>
            <w:noWrap/>
            <w:vAlign w:val="center"/>
            <w:hideMark/>
          </w:tcPr>
          <w:p w14:paraId="25A3A5F3"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 1</w:t>
            </w:r>
          </w:p>
        </w:tc>
        <w:tc>
          <w:tcPr>
            <w:tcW w:w="672" w:type="dxa"/>
            <w:tcBorders>
              <w:top w:val="single" w:sz="4" w:space="0" w:color="auto"/>
            </w:tcBorders>
            <w:shd w:val="clear" w:color="auto" w:fill="auto"/>
            <w:noWrap/>
            <w:vAlign w:val="center"/>
            <w:hideMark/>
          </w:tcPr>
          <w:p w14:paraId="12221B3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tcBorders>
              <w:top w:val="single" w:sz="4" w:space="0" w:color="auto"/>
            </w:tcBorders>
            <w:shd w:val="clear" w:color="auto" w:fill="auto"/>
            <w:noWrap/>
            <w:vAlign w:val="center"/>
            <w:hideMark/>
          </w:tcPr>
          <w:p w14:paraId="4179FE51"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tcBorders>
              <w:top w:val="single" w:sz="4" w:space="0" w:color="auto"/>
            </w:tcBorders>
            <w:shd w:val="clear" w:color="auto" w:fill="auto"/>
            <w:noWrap/>
            <w:vAlign w:val="center"/>
            <w:hideMark/>
          </w:tcPr>
          <w:p w14:paraId="001E4943"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4" w:type="dxa"/>
            <w:tcBorders>
              <w:top w:val="single" w:sz="4" w:space="0" w:color="auto"/>
            </w:tcBorders>
            <w:shd w:val="clear" w:color="auto" w:fill="auto"/>
            <w:noWrap/>
            <w:vAlign w:val="center"/>
            <w:hideMark/>
          </w:tcPr>
          <w:p w14:paraId="24ED4F08"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672" w:type="dxa"/>
            <w:tcBorders>
              <w:top w:val="single" w:sz="4" w:space="0" w:color="auto"/>
            </w:tcBorders>
            <w:shd w:val="clear" w:color="auto" w:fill="auto"/>
            <w:noWrap/>
            <w:vAlign w:val="center"/>
            <w:hideMark/>
          </w:tcPr>
          <w:p w14:paraId="3EFDA88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c>
          <w:tcPr>
            <w:tcW w:w="888" w:type="dxa"/>
            <w:tcBorders>
              <w:top w:val="single" w:sz="4" w:space="0" w:color="auto"/>
            </w:tcBorders>
            <w:shd w:val="clear" w:color="auto" w:fill="auto"/>
            <w:noWrap/>
            <w:vAlign w:val="center"/>
            <w:hideMark/>
          </w:tcPr>
          <w:p w14:paraId="2436CA8A"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0%</w:t>
            </w:r>
          </w:p>
        </w:tc>
      </w:tr>
      <w:tr w:rsidR="006E6CAF" w:rsidRPr="006E6CAF" w14:paraId="72698FC8" w14:textId="77777777" w:rsidTr="00DB73A1">
        <w:trPr>
          <w:cantSplit/>
          <w:trHeight w:val="20"/>
        </w:trPr>
        <w:tc>
          <w:tcPr>
            <w:tcW w:w="1913" w:type="dxa"/>
            <w:vMerge/>
            <w:tcBorders>
              <w:top w:val="single" w:sz="4" w:space="0" w:color="auto"/>
            </w:tcBorders>
            <w:vAlign w:val="center"/>
            <w:hideMark/>
          </w:tcPr>
          <w:p w14:paraId="03C27E7C"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577B0D2C"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&gt; 1</w:t>
            </w:r>
          </w:p>
        </w:tc>
        <w:tc>
          <w:tcPr>
            <w:tcW w:w="672" w:type="dxa"/>
            <w:shd w:val="clear" w:color="auto" w:fill="auto"/>
            <w:noWrap/>
            <w:vAlign w:val="center"/>
            <w:hideMark/>
          </w:tcPr>
          <w:p w14:paraId="26B53EA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4</w:t>
            </w:r>
          </w:p>
        </w:tc>
        <w:tc>
          <w:tcPr>
            <w:tcW w:w="884" w:type="dxa"/>
            <w:shd w:val="clear" w:color="auto" w:fill="auto"/>
            <w:noWrap/>
            <w:vAlign w:val="center"/>
            <w:hideMark/>
          </w:tcPr>
          <w:p w14:paraId="1232700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8%</w:t>
            </w:r>
          </w:p>
        </w:tc>
        <w:tc>
          <w:tcPr>
            <w:tcW w:w="672" w:type="dxa"/>
            <w:shd w:val="clear" w:color="auto" w:fill="auto"/>
            <w:noWrap/>
            <w:vAlign w:val="center"/>
            <w:hideMark/>
          </w:tcPr>
          <w:p w14:paraId="34019092"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8</w:t>
            </w:r>
          </w:p>
        </w:tc>
        <w:tc>
          <w:tcPr>
            <w:tcW w:w="884" w:type="dxa"/>
            <w:shd w:val="clear" w:color="auto" w:fill="auto"/>
            <w:noWrap/>
            <w:vAlign w:val="center"/>
            <w:hideMark/>
          </w:tcPr>
          <w:p w14:paraId="3B13EF74"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16%</w:t>
            </w:r>
          </w:p>
        </w:tc>
        <w:tc>
          <w:tcPr>
            <w:tcW w:w="672" w:type="dxa"/>
            <w:shd w:val="clear" w:color="auto" w:fill="auto"/>
            <w:noWrap/>
            <w:vAlign w:val="center"/>
            <w:hideMark/>
          </w:tcPr>
          <w:p w14:paraId="06D61ABF"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13</w:t>
            </w:r>
          </w:p>
        </w:tc>
        <w:tc>
          <w:tcPr>
            <w:tcW w:w="888" w:type="dxa"/>
            <w:shd w:val="clear" w:color="auto" w:fill="auto"/>
            <w:noWrap/>
            <w:vAlign w:val="center"/>
            <w:hideMark/>
          </w:tcPr>
          <w:p w14:paraId="5ECCD08D"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26%</w:t>
            </w:r>
          </w:p>
        </w:tc>
      </w:tr>
      <w:tr w:rsidR="006E6CAF" w:rsidRPr="006E6CAF" w14:paraId="30A85AC5" w14:textId="77777777" w:rsidTr="00DB73A1">
        <w:trPr>
          <w:cantSplit/>
          <w:trHeight w:val="20"/>
        </w:trPr>
        <w:tc>
          <w:tcPr>
            <w:tcW w:w="1913" w:type="dxa"/>
            <w:vMerge/>
            <w:tcBorders>
              <w:top w:val="single" w:sz="4" w:space="0" w:color="auto"/>
            </w:tcBorders>
            <w:vAlign w:val="center"/>
            <w:hideMark/>
          </w:tcPr>
          <w:p w14:paraId="56BDCE56" w14:textId="77777777" w:rsidR="006E6CAF" w:rsidRPr="006E6CAF" w:rsidRDefault="006E6CAF" w:rsidP="006E6CAF">
            <w:pPr>
              <w:widowControl/>
              <w:suppressLineNumbers w:val="0"/>
              <w:suppressAutoHyphens w:val="0"/>
              <w:ind w:firstLine="0"/>
              <w:jc w:val="left"/>
              <w:rPr>
                <w:color w:val="000000"/>
                <w:sz w:val="20"/>
              </w:rPr>
            </w:pPr>
          </w:p>
        </w:tc>
        <w:tc>
          <w:tcPr>
            <w:tcW w:w="2905" w:type="dxa"/>
            <w:shd w:val="clear" w:color="auto" w:fill="auto"/>
            <w:noWrap/>
            <w:vAlign w:val="center"/>
            <w:hideMark/>
          </w:tcPr>
          <w:p w14:paraId="4AA19B9F"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&lt; 1</w:t>
            </w:r>
          </w:p>
        </w:tc>
        <w:tc>
          <w:tcPr>
            <w:tcW w:w="672" w:type="dxa"/>
            <w:shd w:val="clear" w:color="auto" w:fill="auto"/>
            <w:noWrap/>
            <w:vAlign w:val="center"/>
            <w:hideMark/>
          </w:tcPr>
          <w:p w14:paraId="34DC0F8F"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36</w:t>
            </w:r>
          </w:p>
        </w:tc>
        <w:tc>
          <w:tcPr>
            <w:tcW w:w="884" w:type="dxa"/>
            <w:shd w:val="clear" w:color="auto" w:fill="auto"/>
            <w:noWrap/>
            <w:vAlign w:val="center"/>
            <w:hideMark/>
          </w:tcPr>
          <w:p w14:paraId="794DB0E5"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72%</w:t>
            </w:r>
          </w:p>
        </w:tc>
        <w:tc>
          <w:tcPr>
            <w:tcW w:w="672" w:type="dxa"/>
            <w:shd w:val="clear" w:color="auto" w:fill="auto"/>
            <w:noWrap/>
            <w:vAlign w:val="center"/>
            <w:hideMark/>
          </w:tcPr>
          <w:p w14:paraId="34883A20"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32</w:t>
            </w:r>
          </w:p>
        </w:tc>
        <w:tc>
          <w:tcPr>
            <w:tcW w:w="884" w:type="dxa"/>
            <w:shd w:val="clear" w:color="auto" w:fill="auto"/>
            <w:noWrap/>
            <w:vAlign w:val="center"/>
            <w:hideMark/>
          </w:tcPr>
          <w:p w14:paraId="692ABE0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64%</w:t>
            </w:r>
          </w:p>
        </w:tc>
        <w:tc>
          <w:tcPr>
            <w:tcW w:w="672" w:type="dxa"/>
            <w:shd w:val="clear" w:color="auto" w:fill="auto"/>
            <w:noWrap/>
            <w:vAlign w:val="center"/>
            <w:hideMark/>
          </w:tcPr>
          <w:p w14:paraId="27CA1686"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34</w:t>
            </w:r>
          </w:p>
        </w:tc>
        <w:tc>
          <w:tcPr>
            <w:tcW w:w="888" w:type="dxa"/>
            <w:shd w:val="clear" w:color="auto" w:fill="auto"/>
            <w:noWrap/>
            <w:vAlign w:val="center"/>
            <w:hideMark/>
          </w:tcPr>
          <w:p w14:paraId="0ECEDAB0"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68%</w:t>
            </w:r>
          </w:p>
        </w:tc>
      </w:tr>
      <w:tr w:rsidR="006E6CAF" w:rsidRPr="006E6CAF" w14:paraId="6A3FCCEC" w14:textId="77777777" w:rsidTr="00DB73A1">
        <w:trPr>
          <w:cantSplit/>
          <w:trHeight w:val="105"/>
        </w:trPr>
        <w:tc>
          <w:tcPr>
            <w:tcW w:w="1913" w:type="dxa"/>
            <w:vMerge/>
            <w:tcBorders>
              <w:top w:val="single" w:sz="4" w:space="0" w:color="auto"/>
            </w:tcBorders>
            <w:vAlign w:val="center"/>
            <w:hideMark/>
          </w:tcPr>
          <w:p w14:paraId="45AF0052" w14:textId="77777777" w:rsidR="006E6CAF" w:rsidRPr="006E6CAF" w:rsidRDefault="006E6CAF" w:rsidP="006E6CAF">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65AC31F0" w14:textId="77777777" w:rsidR="006E6CAF" w:rsidRPr="006E6CAF" w:rsidRDefault="006E6CAF" w:rsidP="006E6CAF">
            <w:pPr>
              <w:widowControl/>
              <w:suppressLineNumbers w:val="0"/>
              <w:suppressAutoHyphens w:val="0"/>
              <w:ind w:firstLine="0"/>
              <w:jc w:val="left"/>
              <w:rPr>
                <w:color w:val="000000"/>
                <w:sz w:val="20"/>
              </w:rPr>
            </w:pPr>
            <w:r w:rsidRPr="006E6CAF">
              <w:rPr>
                <w:color w:val="000000"/>
                <w:sz w:val="20"/>
              </w:rPr>
              <w:t>Não Apresentou</w:t>
            </w:r>
          </w:p>
        </w:tc>
        <w:tc>
          <w:tcPr>
            <w:tcW w:w="672" w:type="dxa"/>
            <w:tcBorders>
              <w:bottom w:val="single" w:sz="4" w:space="0" w:color="auto"/>
            </w:tcBorders>
            <w:shd w:val="clear" w:color="auto" w:fill="auto"/>
            <w:noWrap/>
            <w:vAlign w:val="center"/>
            <w:hideMark/>
          </w:tcPr>
          <w:p w14:paraId="1A04B076"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w:t>
            </w:r>
          </w:p>
        </w:tc>
        <w:tc>
          <w:tcPr>
            <w:tcW w:w="884" w:type="dxa"/>
            <w:tcBorders>
              <w:bottom w:val="single" w:sz="4" w:space="0" w:color="auto"/>
            </w:tcBorders>
            <w:shd w:val="clear" w:color="auto" w:fill="auto"/>
            <w:noWrap/>
            <w:vAlign w:val="center"/>
            <w:hideMark/>
          </w:tcPr>
          <w:p w14:paraId="40F26467"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20%</w:t>
            </w:r>
          </w:p>
        </w:tc>
        <w:tc>
          <w:tcPr>
            <w:tcW w:w="672" w:type="dxa"/>
            <w:tcBorders>
              <w:bottom w:val="single" w:sz="4" w:space="0" w:color="auto"/>
            </w:tcBorders>
            <w:shd w:val="clear" w:color="auto" w:fill="auto"/>
            <w:noWrap/>
            <w:vAlign w:val="center"/>
            <w:hideMark/>
          </w:tcPr>
          <w:p w14:paraId="2E028C7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10</w:t>
            </w:r>
          </w:p>
        </w:tc>
        <w:tc>
          <w:tcPr>
            <w:tcW w:w="884" w:type="dxa"/>
            <w:tcBorders>
              <w:bottom w:val="single" w:sz="4" w:space="0" w:color="auto"/>
            </w:tcBorders>
            <w:shd w:val="clear" w:color="auto" w:fill="auto"/>
            <w:noWrap/>
            <w:vAlign w:val="center"/>
            <w:hideMark/>
          </w:tcPr>
          <w:p w14:paraId="32D3DB9E"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20%</w:t>
            </w:r>
          </w:p>
        </w:tc>
        <w:tc>
          <w:tcPr>
            <w:tcW w:w="672" w:type="dxa"/>
            <w:tcBorders>
              <w:bottom w:val="single" w:sz="4" w:space="0" w:color="auto"/>
            </w:tcBorders>
            <w:shd w:val="clear" w:color="auto" w:fill="auto"/>
            <w:noWrap/>
            <w:vAlign w:val="center"/>
            <w:hideMark/>
          </w:tcPr>
          <w:p w14:paraId="049D1831"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3</w:t>
            </w:r>
          </w:p>
        </w:tc>
        <w:tc>
          <w:tcPr>
            <w:tcW w:w="888" w:type="dxa"/>
            <w:tcBorders>
              <w:bottom w:val="single" w:sz="4" w:space="0" w:color="auto"/>
            </w:tcBorders>
            <w:shd w:val="clear" w:color="auto" w:fill="auto"/>
            <w:noWrap/>
            <w:vAlign w:val="center"/>
            <w:hideMark/>
          </w:tcPr>
          <w:p w14:paraId="19B5B079" w14:textId="77777777" w:rsidR="006E6CAF" w:rsidRPr="006E6CAF" w:rsidRDefault="006E6CAF" w:rsidP="006E6CAF">
            <w:pPr>
              <w:widowControl/>
              <w:suppressLineNumbers w:val="0"/>
              <w:suppressAutoHyphens w:val="0"/>
              <w:ind w:firstLine="0"/>
              <w:jc w:val="center"/>
              <w:rPr>
                <w:color w:val="000000"/>
                <w:sz w:val="20"/>
              </w:rPr>
            </w:pPr>
            <w:r w:rsidRPr="006E6CAF">
              <w:rPr>
                <w:color w:val="000000"/>
                <w:sz w:val="20"/>
              </w:rPr>
              <w:t>6%</w:t>
            </w:r>
          </w:p>
        </w:tc>
      </w:tr>
      <w:tr w:rsidR="006E6CAF" w:rsidRPr="006E6CAF" w14:paraId="3E4F6ACE" w14:textId="77777777" w:rsidTr="00DB73A1">
        <w:trPr>
          <w:cantSplit/>
          <w:trHeight w:val="20"/>
        </w:trPr>
        <w:tc>
          <w:tcPr>
            <w:tcW w:w="1913" w:type="dxa"/>
            <w:vMerge/>
            <w:tcBorders>
              <w:top w:val="single" w:sz="4" w:space="0" w:color="auto"/>
              <w:bottom w:val="single" w:sz="4" w:space="0" w:color="auto"/>
            </w:tcBorders>
            <w:vAlign w:val="center"/>
            <w:hideMark/>
          </w:tcPr>
          <w:p w14:paraId="2CA57811" w14:textId="77777777" w:rsidR="006E6CAF" w:rsidRPr="006E6CAF" w:rsidRDefault="006E6CAF" w:rsidP="006E6CAF">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62FBE117" w14:textId="77777777" w:rsidR="006E6CAF" w:rsidRPr="006E6CAF" w:rsidRDefault="006E6CAF" w:rsidP="006E6CAF">
            <w:pPr>
              <w:widowControl/>
              <w:suppressLineNumbers w:val="0"/>
              <w:suppressAutoHyphens w:val="0"/>
              <w:ind w:firstLine="0"/>
              <w:jc w:val="left"/>
              <w:rPr>
                <w:b/>
                <w:bCs/>
                <w:color w:val="000000"/>
                <w:sz w:val="20"/>
              </w:rPr>
            </w:pPr>
            <w:r w:rsidRPr="006E6CAF">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73F7230B" w14:textId="77777777" w:rsidR="006E6CAF" w:rsidRPr="006E6CAF" w:rsidRDefault="006E6CAF" w:rsidP="006E6CAF">
            <w:pPr>
              <w:widowControl/>
              <w:suppressLineNumbers w:val="0"/>
              <w:suppressAutoHyphens w:val="0"/>
              <w:ind w:firstLine="0"/>
              <w:jc w:val="center"/>
              <w:rPr>
                <w:b/>
                <w:bCs/>
                <w:color w:val="000000"/>
                <w:sz w:val="20"/>
              </w:rPr>
            </w:pPr>
            <w:r w:rsidRPr="006E6CAF">
              <w:rPr>
                <w:b/>
                <w:bCs/>
                <w:color w:val="000000"/>
                <w:sz w:val="20"/>
              </w:rPr>
              <w:t>50</w:t>
            </w:r>
          </w:p>
        </w:tc>
        <w:tc>
          <w:tcPr>
            <w:tcW w:w="884" w:type="dxa"/>
            <w:tcBorders>
              <w:top w:val="single" w:sz="4" w:space="0" w:color="auto"/>
              <w:bottom w:val="single" w:sz="4" w:space="0" w:color="auto"/>
            </w:tcBorders>
            <w:shd w:val="clear" w:color="auto" w:fill="auto"/>
            <w:noWrap/>
            <w:vAlign w:val="center"/>
            <w:hideMark/>
          </w:tcPr>
          <w:p w14:paraId="6B084837" w14:textId="77777777" w:rsidR="006E6CAF" w:rsidRPr="006E6CAF" w:rsidRDefault="006E6CAF" w:rsidP="006E6CAF">
            <w:pPr>
              <w:widowControl/>
              <w:suppressLineNumbers w:val="0"/>
              <w:suppressAutoHyphens w:val="0"/>
              <w:ind w:firstLine="0"/>
              <w:jc w:val="center"/>
              <w:rPr>
                <w:b/>
                <w:bCs/>
                <w:color w:val="000000"/>
                <w:sz w:val="20"/>
              </w:rPr>
            </w:pPr>
            <w:r w:rsidRPr="006E6CAF">
              <w:rPr>
                <w:b/>
                <w:bCs/>
                <w:color w:val="000000"/>
                <w:sz w:val="20"/>
              </w:rPr>
              <w:t>100%</w:t>
            </w:r>
          </w:p>
        </w:tc>
        <w:tc>
          <w:tcPr>
            <w:tcW w:w="672" w:type="dxa"/>
            <w:tcBorders>
              <w:top w:val="single" w:sz="4" w:space="0" w:color="auto"/>
              <w:bottom w:val="single" w:sz="4" w:space="0" w:color="auto"/>
            </w:tcBorders>
            <w:shd w:val="clear" w:color="auto" w:fill="auto"/>
            <w:noWrap/>
            <w:vAlign w:val="center"/>
            <w:hideMark/>
          </w:tcPr>
          <w:p w14:paraId="37C7637C" w14:textId="77777777" w:rsidR="006E6CAF" w:rsidRPr="006E6CAF" w:rsidRDefault="006E6CAF" w:rsidP="006E6CAF">
            <w:pPr>
              <w:widowControl/>
              <w:suppressLineNumbers w:val="0"/>
              <w:suppressAutoHyphens w:val="0"/>
              <w:ind w:firstLine="0"/>
              <w:jc w:val="center"/>
              <w:rPr>
                <w:b/>
                <w:bCs/>
                <w:color w:val="000000"/>
                <w:sz w:val="20"/>
              </w:rPr>
            </w:pPr>
            <w:r w:rsidRPr="006E6CAF">
              <w:rPr>
                <w:b/>
                <w:bCs/>
                <w:color w:val="000000"/>
                <w:sz w:val="20"/>
              </w:rPr>
              <w:t>50</w:t>
            </w:r>
          </w:p>
        </w:tc>
        <w:tc>
          <w:tcPr>
            <w:tcW w:w="884" w:type="dxa"/>
            <w:tcBorders>
              <w:top w:val="single" w:sz="4" w:space="0" w:color="auto"/>
              <w:bottom w:val="single" w:sz="4" w:space="0" w:color="auto"/>
            </w:tcBorders>
            <w:shd w:val="clear" w:color="auto" w:fill="auto"/>
            <w:noWrap/>
            <w:vAlign w:val="center"/>
            <w:hideMark/>
          </w:tcPr>
          <w:p w14:paraId="77406F79" w14:textId="77777777" w:rsidR="006E6CAF" w:rsidRPr="006E6CAF" w:rsidRDefault="006E6CAF" w:rsidP="006E6CAF">
            <w:pPr>
              <w:widowControl/>
              <w:suppressLineNumbers w:val="0"/>
              <w:suppressAutoHyphens w:val="0"/>
              <w:ind w:firstLine="0"/>
              <w:jc w:val="center"/>
              <w:rPr>
                <w:b/>
                <w:bCs/>
                <w:color w:val="000000"/>
                <w:sz w:val="20"/>
              </w:rPr>
            </w:pPr>
            <w:r w:rsidRPr="006E6CAF">
              <w:rPr>
                <w:b/>
                <w:bCs/>
                <w:color w:val="000000"/>
                <w:sz w:val="20"/>
              </w:rPr>
              <w:t>100%</w:t>
            </w:r>
          </w:p>
        </w:tc>
        <w:tc>
          <w:tcPr>
            <w:tcW w:w="672" w:type="dxa"/>
            <w:tcBorders>
              <w:top w:val="single" w:sz="4" w:space="0" w:color="auto"/>
              <w:bottom w:val="single" w:sz="4" w:space="0" w:color="auto"/>
            </w:tcBorders>
            <w:shd w:val="clear" w:color="auto" w:fill="auto"/>
            <w:noWrap/>
            <w:vAlign w:val="center"/>
            <w:hideMark/>
          </w:tcPr>
          <w:p w14:paraId="7E017694" w14:textId="77777777" w:rsidR="006E6CAF" w:rsidRPr="006E6CAF" w:rsidRDefault="006E6CAF" w:rsidP="006E6CAF">
            <w:pPr>
              <w:widowControl/>
              <w:suppressLineNumbers w:val="0"/>
              <w:suppressAutoHyphens w:val="0"/>
              <w:ind w:firstLine="0"/>
              <w:jc w:val="center"/>
              <w:rPr>
                <w:b/>
                <w:bCs/>
                <w:color w:val="000000"/>
                <w:sz w:val="20"/>
              </w:rPr>
            </w:pPr>
            <w:r w:rsidRPr="006E6CAF">
              <w:rPr>
                <w:b/>
                <w:bCs/>
                <w:color w:val="000000"/>
                <w:sz w:val="20"/>
              </w:rPr>
              <w:t>50</w:t>
            </w:r>
          </w:p>
        </w:tc>
        <w:tc>
          <w:tcPr>
            <w:tcW w:w="888" w:type="dxa"/>
            <w:tcBorders>
              <w:top w:val="single" w:sz="4" w:space="0" w:color="auto"/>
              <w:bottom w:val="single" w:sz="4" w:space="0" w:color="auto"/>
            </w:tcBorders>
            <w:shd w:val="clear" w:color="auto" w:fill="auto"/>
            <w:noWrap/>
            <w:vAlign w:val="center"/>
            <w:hideMark/>
          </w:tcPr>
          <w:p w14:paraId="192F1543" w14:textId="77777777" w:rsidR="006E6CAF" w:rsidRPr="006E6CAF" w:rsidRDefault="006E6CAF" w:rsidP="006E6CAF">
            <w:pPr>
              <w:widowControl/>
              <w:suppressLineNumbers w:val="0"/>
              <w:suppressAutoHyphens w:val="0"/>
              <w:ind w:firstLine="0"/>
              <w:jc w:val="center"/>
              <w:rPr>
                <w:b/>
                <w:bCs/>
                <w:color w:val="000000"/>
                <w:sz w:val="20"/>
              </w:rPr>
            </w:pPr>
            <w:r w:rsidRPr="006E6CAF">
              <w:rPr>
                <w:b/>
                <w:bCs/>
                <w:color w:val="000000"/>
                <w:sz w:val="20"/>
              </w:rPr>
              <w:t>100%</w:t>
            </w:r>
          </w:p>
        </w:tc>
      </w:tr>
    </w:tbl>
    <w:p w14:paraId="07C134E9" w14:textId="3921B427" w:rsidR="006E6CAF" w:rsidRPr="006E6CAF" w:rsidRDefault="006E6CAF" w:rsidP="006E6CAF">
      <w:pPr>
        <w:widowControl/>
        <w:suppressLineNumbers w:val="0"/>
        <w:suppressAutoHyphens w:val="0"/>
        <w:spacing w:line="259" w:lineRule="auto"/>
        <w:ind w:firstLine="0"/>
        <w:jc w:val="left"/>
        <w:rPr>
          <w:rFonts w:eastAsia="Calibri"/>
          <w:sz w:val="20"/>
          <w:lang w:eastAsia="en-US"/>
        </w:rPr>
      </w:pPr>
      <w:r w:rsidRPr="006E6CAF">
        <w:rPr>
          <w:rFonts w:eastAsia="Calibri"/>
          <w:sz w:val="20"/>
          <w:lang w:eastAsia="en-US"/>
        </w:rPr>
        <w:t xml:space="preserve">Fonte: </w:t>
      </w:r>
      <w:r w:rsidR="00521DCA">
        <w:rPr>
          <w:rFonts w:eastAsia="Calibri"/>
          <w:sz w:val="20"/>
          <w:szCs w:val="24"/>
        </w:rPr>
        <w:t>Dados da Pesquisa</w:t>
      </w:r>
    </w:p>
    <w:p w14:paraId="396410FE" w14:textId="77777777" w:rsidR="006E6CAF" w:rsidRDefault="006E6CAF" w:rsidP="00DD401D">
      <w:pPr>
        <w:contextualSpacing/>
        <w:rPr>
          <w:rFonts w:eastAsia="Calibri"/>
          <w:szCs w:val="24"/>
        </w:rPr>
      </w:pPr>
    </w:p>
    <w:p w14:paraId="74502279" w14:textId="11D3F019" w:rsidR="003B3CBD" w:rsidRDefault="003B3CBD" w:rsidP="00E35362">
      <w:pPr>
        <w:rPr>
          <w:color w:val="000000"/>
          <w:szCs w:val="24"/>
        </w:rPr>
      </w:pPr>
      <w:r w:rsidRPr="00D577AD">
        <w:rPr>
          <w:color w:val="000000"/>
          <w:szCs w:val="24"/>
        </w:rPr>
        <w:t xml:space="preserve">Para Kohama, (2015) esse quociente igual a 1, </w:t>
      </w:r>
      <w:r w:rsidR="00D445A3">
        <w:rPr>
          <w:color w:val="000000"/>
          <w:szCs w:val="24"/>
        </w:rPr>
        <w:t>é</w:t>
      </w:r>
      <w:r>
        <w:rPr>
          <w:color w:val="000000"/>
          <w:szCs w:val="24"/>
        </w:rPr>
        <w:t xml:space="preserve"> considerado normal, pois </w:t>
      </w:r>
      <w:r w:rsidRPr="00D577AD">
        <w:rPr>
          <w:color w:val="000000"/>
          <w:szCs w:val="24"/>
        </w:rPr>
        <w:t>demonst</w:t>
      </w:r>
      <w:r w:rsidR="00D445A3">
        <w:rPr>
          <w:color w:val="000000"/>
          <w:szCs w:val="24"/>
        </w:rPr>
        <w:t>rará haver equilíbrio. Para</w:t>
      </w:r>
      <w:r>
        <w:rPr>
          <w:color w:val="000000"/>
          <w:szCs w:val="24"/>
        </w:rPr>
        <w:t xml:space="preserve"> </w:t>
      </w:r>
      <w:r w:rsidRPr="00D577AD">
        <w:rPr>
          <w:color w:val="000000"/>
          <w:szCs w:val="24"/>
        </w:rPr>
        <w:t xml:space="preserve">cada 1,00 de receita </w:t>
      </w:r>
      <w:r>
        <w:rPr>
          <w:color w:val="000000"/>
          <w:szCs w:val="24"/>
        </w:rPr>
        <w:t>orçamentaria, foi pago 1</w:t>
      </w:r>
      <w:r w:rsidRPr="00D577AD">
        <w:rPr>
          <w:color w:val="000000"/>
          <w:szCs w:val="24"/>
        </w:rPr>
        <w:t>,00 de despesa</w:t>
      </w:r>
      <w:r>
        <w:rPr>
          <w:color w:val="000000"/>
          <w:szCs w:val="24"/>
        </w:rPr>
        <w:t xml:space="preserve"> orçamentaria</w:t>
      </w:r>
      <w:r w:rsidR="00D445A3">
        <w:rPr>
          <w:color w:val="000000"/>
          <w:szCs w:val="24"/>
        </w:rPr>
        <w:t xml:space="preserve">. </w:t>
      </w:r>
      <w:r w:rsidRPr="00643114">
        <w:rPr>
          <w:color w:val="000000"/>
          <w:szCs w:val="24"/>
        </w:rPr>
        <w:t xml:space="preserve">Quanto ao resultado maior que 1, </w:t>
      </w:r>
      <w:r>
        <w:rPr>
          <w:color w:val="000000"/>
          <w:szCs w:val="24"/>
        </w:rPr>
        <w:t>todos os municípios apresentaram valores bem abaixo</w:t>
      </w:r>
      <w:r w:rsidR="00D445A3">
        <w:rPr>
          <w:color w:val="000000"/>
          <w:szCs w:val="24"/>
        </w:rPr>
        <w:t>,</w:t>
      </w:r>
      <w:r>
        <w:rPr>
          <w:color w:val="000000"/>
          <w:szCs w:val="24"/>
        </w:rPr>
        <w:t xml:space="preserve"> o maior percentual a ser destacados foi no ano de 2017, para os municípios de porte médio com percentual de 29%</w:t>
      </w:r>
      <w:r w:rsidR="00D445A3">
        <w:rPr>
          <w:color w:val="000000"/>
          <w:szCs w:val="24"/>
        </w:rPr>
        <w:t>,</w:t>
      </w:r>
      <w:r>
        <w:rPr>
          <w:color w:val="000000"/>
          <w:szCs w:val="24"/>
        </w:rPr>
        <w:t xml:space="preserve"> onde 22 municípios apre</w:t>
      </w:r>
      <w:r w:rsidR="00D445A3">
        <w:rPr>
          <w:color w:val="000000"/>
          <w:szCs w:val="24"/>
        </w:rPr>
        <w:t>sentaram resultado maior que 1. Neste caso</w:t>
      </w:r>
      <w:r>
        <w:rPr>
          <w:color w:val="000000"/>
          <w:szCs w:val="24"/>
        </w:rPr>
        <w:t xml:space="preserve"> a r</w:t>
      </w:r>
      <w:r w:rsidRPr="00BC3285">
        <w:rPr>
          <w:szCs w:val="24"/>
        </w:rPr>
        <w:t xml:space="preserve">eceita orçamentária realizada </w:t>
      </w:r>
      <w:r w:rsidR="00D445A3">
        <w:rPr>
          <w:szCs w:val="24"/>
        </w:rPr>
        <w:t>foi</w:t>
      </w:r>
      <w:r>
        <w:rPr>
          <w:szCs w:val="24"/>
        </w:rPr>
        <w:t xml:space="preserve"> </w:t>
      </w:r>
      <w:r w:rsidRPr="00BC3285">
        <w:rPr>
          <w:szCs w:val="24"/>
        </w:rPr>
        <w:t>maior que a Despesa orçamentária realizada.</w:t>
      </w:r>
      <w:r>
        <w:rPr>
          <w:szCs w:val="24"/>
        </w:rPr>
        <w:t xml:space="preserve"> </w:t>
      </w:r>
      <w:r w:rsidRPr="00643114">
        <w:rPr>
          <w:color w:val="000000"/>
          <w:szCs w:val="24"/>
        </w:rPr>
        <w:t xml:space="preserve">Para Kohama, (2015) essa hipótese é </w:t>
      </w:r>
      <w:r>
        <w:rPr>
          <w:color w:val="000000"/>
          <w:szCs w:val="24"/>
        </w:rPr>
        <w:t>a desejável</w:t>
      </w:r>
      <w:r w:rsidRPr="00643114">
        <w:rPr>
          <w:color w:val="000000"/>
          <w:szCs w:val="24"/>
        </w:rPr>
        <w:t>, porquanto</w:t>
      </w:r>
      <w:r>
        <w:rPr>
          <w:color w:val="000000"/>
          <w:szCs w:val="24"/>
        </w:rPr>
        <w:t xml:space="preserve"> </w:t>
      </w:r>
      <w:r w:rsidRPr="00643114">
        <w:rPr>
          <w:color w:val="000000"/>
          <w:szCs w:val="24"/>
        </w:rPr>
        <w:t xml:space="preserve">demonstrará </w:t>
      </w:r>
      <w:r w:rsidRPr="00BC3285">
        <w:rPr>
          <w:szCs w:val="24"/>
        </w:rPr>
        <w:t>a existência de um superávit orçamentária na execução e movimentação financeira.</w:t>
      </w:r>
      <w:r>
        <w:rPr>
          <w:szCs w:val="24"/>
        </w:rPr>
        <w:t xml:space="preserve"> </w:t>
      </w:r>
    </w:p>
    <w:p w14:paraId="41477677" w14:textId="3F23C5A1" w:rsidR="003B3CBD" w:rsidRDefault="003B3CBD" w:rsidP="00E35362">
      <w:pPr>
        <w:rPr>
          <w:szCs w:val="24"/>
        </w:rPr>
      </w:pPr>
      <w:r w:rsidRPr="00434948">
        <w:rPr>
          <w:color w:val="000000"/>
          <w:szCs w:val="24"/>
        </w:rPr>
        <w:t xml:space="preserve">O resultado menor que 1 foi a maioria </w:t>
      </w:r>
      <w:r>
        <w:rPr>
          <w:color w:val="000000"/>
          <w:szCs w:val="24"/>
        </w:rPr>
        <w:t>dos municípios pesquisados, com índices acima de 50% independente do porte, chegando a mais de 80% para os de porte pequeno</w:t>
      </w:r>
      <w:r w:rsidR="005219A3">
        <w:rPr>
          <w:color w:val="000000"/>
          <w:szCs w:val="24"/>
        </w:rPr>
        <w:t>,</w:t>
      </w:r>
      <w:r>
        <w:rPr>
          <w:color w:val="000000"/>
          <w:szCs w:val="24"/>
        </w:rPr>
        <w:t xml:space="preserve"> </w:t>
      </w:r>
      <w:r w:rsidRPr="00434948">
        <w:rPr>
          <w:color w:val="000000"/>
          <w:szCs w:val="24"/>
        </w:rPr>
        <w:t>mostrando que a</w:t>
      </w:r>
      <w:r>
        <w:rPr>
          <w:color w:val="000000"/>
          <w:szCs w:val="24"/>
        </w:rPr>
        <w:t xml:space="preserve"> </w:t>
      </w:r>
      <w:r w:rsidRPr="00BC3285">
        <w:rPr>
          <w:szCs w:val="24"/>
        </w:rPr>
        <w:t xml:space="preserve">Receita orçamentária realizada </w:t>
      </w:r>
      <w:r>
        <w:rPr>
          <w:szCs w:val="24"/>
        </w:rPr>
        <w:t xml:space="preserve">foi </w:t>
      </w:r>
      <w:r w:rsidRPr="00BC3285">
        <w:rPr>
          <w:szCs w:val="24"/>
        </w:rPr>
        <w:t>menor que a Despesa orçamentária realizada</w:t>
      </w:r>
      <w:r w:rsidRPr="00434948">
        <w:rPr>
          <w:color w:val="000000"/>
          <w:szCs w:val="24"/>
        </w:rPr>
        <w:t xml:space="preserve">. Para Kohama, (2015) essa hipótese é de ocorrência </w:t>
      </w:r>
      <w:r w:rsidRPr="00BC3285">
        <w:rPr>
          <w:szCs w:val="24"/>
        </w:rPr>
        <w:t>deve ser considerado preocupante, pois a rece</w:t>
      </w:r>
      <w:r w:rsidR="00D445A3">
        <w:rPr>
          <w:szCs w:val="24"/>
        </w:rPr>
        <w:t>ita orçamentaria arrecadada foi</w:t>
      </w:r>
      <w:r w:rsidRPr="00BC3285">
        <w:rPr>
          <w:szCs w:val="24"/>
        </w:rPr>
        <w:t xml:space="preserve"> menor que a despesa orçamentaria paga, pressupondo-se a utilização de recursos financeiros provenientes da receita extraorçamentária para a sua cobertura.</w:t>
      </w:r>
    </w:p>
    <w:p w14:paraId="345CC894" w14:textId="5CB7DA17" w:rsidR="00DD401D" w:rsidRDefault="00255FA6" w:rsidP="00E35362">
      <w:pPr>
        <w:rPr>
          <w:rFonts w:eastAsia="Calibri"/>
          <w:szCs w:val="24"/>
        </w:rPr>
      </w:pPr>
      <w:r>
        <w:rPr>
          <w:szCs w:val="24"/>
        </w:rPr>
        <w:t xml:space="preserve">Na tabela 8 estão dispostos os </w:t>
      </w:r>
      <w:r w:rsidRPr="00255FA6">
        <w:rPr>
          <w:szCs w:val="24"/>
        </w:rPr>
        <w:t>resultados do quociente da execução extraorçamentária</w:t>
      </w:r>
      <w:r>
        <w:rPr>
          <w:szCs w:val="24"/>
        </w:rPr>
        <w:t xml:space="preserve">. </w:t>
      </w:r>
      <w:r w:rsidRPr="00255FA6">
        <w:rPr>
          <w:szCs w:val="24"/>
        </w:rPr>
        <w:t>Os</w:t>
      </w:r>
      <w:r>
        <w:rPr>
          <w:szCs w:val="24"/>
        </w:rPr>
        <w:t xml:space="preserve"> destaques são para resultado igual a 1, onde </w:t>
      </w:r>
      <w:r w:rsidRPr="00255FA6">
        <w:rPr>
          <w:szCs w:val="24"/>
        </w:rPr>
        <w:t>3 municípios</w:t>
      </w:r>
      <w:r>
        <w:rPr>
          <w:szCs w:val="24"/>
        </w:rPr>
        <w:t xml:space="preserve"> </w:t>
      </w:r>
      <w:r w:rsidRPr="00255FA6">
        <w:rPr>
          <w:szCs w:val="24"/>
        </w:rPr>
        <w:t>apresentaram performances igual a 1, sendo esses de porte grande e médio, nem um município de porte pequeno</w:t>
      </w:r>
      <w:r>
        <w:rPr>
          <w:szCs w:val="24"/>
        </w:rPr>
        <w:t xml:space="preserve"> apresentou resultado igual a 1.</w:t>
      </w:r>
    </w:p>
    <w:p w14:paraId="18A59B73" w14:textId="77777777" w:rsidR="00255FA6" w:rsidRPr="00962C82" w:rsidRDefault="00255FA6" w:rsidP="00255FA6">
      <w:pPr>
        <w:ind w:firstLine="0"/>
        <w:rPr>
          <w:rFonts w:eastAsia="Calibri"/>
          <w:szCs w:val="24"/>
        </w:rPr>
      </w:pPr>
    </w:p>
    <w:p w14:paraId="6AE9AC24" w14:textId="00BD8EE5" w:rsidR="003F7552" w:rsidRPr="006E6CAF" w:rsidRDefault="003F7552" w:rsidP="003F7552">
      <w:pPr>
        <w:widowControl/>
        <w:suppressLineNumbers w:val="0"/>
        <w:suppressAutoHyphens w:val="0"/>
        <w:spacing w:line="259" w:lineRule="auto"/>
        <w:ind w:firstLine="0"/>
        <w:jc w:val="left"/>
        <w:rPr>
          <w:rFonts w:eastAsia="Calibri"/>
          <w:sz w:val="20"/>
          <w:lang w:eastAsia="en-US"/>
        </w:rPr>
      </w:pPr>
      <w:r>
        <w:rPr>
          <w:rFonts w:eastAsia="Calibri"/>
          <w:sz w:val="20"/>
          <w:lang w:eastAsia="en-US"/>
        </w:rPr>
        <w:lastRenderedPageBreak/>
        <w:t xml:space="preserve">Tabela 8 – Resultado do </w:t>
      </w:r>
      <w:r w:rsidR="007C227A" w:rsidRPr="007C227A">
        <w:rPr>
          <w:rFonts w:eastAsia="Calibri"/>
          <w:sz w:val="20"/>
          <w:lang w:eastAsia="en-US"/>
        </w:rPr>
        <w:t xml:space="preserve">Quociente </w:t>
      </w:r>
      <w:r w:rsidR="007C227A">
        <w:rPr>
          <w:rFonts w:eastAsia="Calibri"/>
          <w:sz w:val="20"/>
          <w:lang w:eastAsia="en-US"/>
        </w:rPr>
        <w:t>d</w:t>
      </w:r>
      <w:r w:rsidR="007C227A" w:rsidRPr="007C227A">
        <w:rPr>
          <w:rFonts w:eastAsia="Calibri"/>
          <w:sz w:val="20"/>
          <w:lang w:eastAsia="en-US"/>
        </w:rPr>
        <w:t>a Execução Extraorçamentária</w:t>
      </w:r>
    </w:p>
    <w:tbl>
      <w:tblPr>
        <w:tblW w:w="9490" w:type="dxa"/>
        <w:tblCellMar>
          <w:left w:w="70" w:type="dxa"/>
          <w:right w:w="70" w:type="dxa"/>
        </w:tblCellMar>
        <w:tblLook w:val="04A0" w:firstRow="1" w:lastRow="0" w:firstColumn="1" w:lastColumn="0" w:noHBand="0" w:noVBand="1"/>
      </w:tblPr>
      <w:tblGrid>
        <w:gridCol w:w="1913"/>
        <w:gridCol w:w="2905"/>
        <w:gridCol w:w="672"/>
        <w:gridCol w:w="884"/>
        <w:gridCol w:w="672"/>
        <w:gridCol w:w="884"/>
        <w:gridCol w:w="672"/>
        <w:gridCol w:w="888"/>
      </w:tblGrid>
      <w:tr w:rsidR="00704640" w:rsidRPr="00704640" w14:paraId="6A47FAE8" w14:textId="77777777" w:rsidTr="00DB73A1">
        <w:trPr>
          <w:cantSplit/>
          <w:trHeight w:val="20"/>
        </w:trPr>
        <w:tc>
          <w:tcPr>
            <w:tcW w:w="1913" w:type="dxa"/>
            <w:tcBorders>
              <w:top w:val="single" w:sz="4" w:space="0" w:color="auto"/>
            </w:tcBorders>
            <w:shd w:val="clear" w:color="auto" w:fill="auto"/>
            <w:noWrap/>
            <w:vAlign w:val="bottom"/>
            <w:hideMark/>
          </w:tcPr>
          <w:p w14:paraId="43E04B98" w14:textId="77777777" w:rsidR="00704640" w:rsidRPr="00704640" w:rsidRDefault="00704640" w:rsidP="00704640">
            <w:pPr>
              <w:widowControl/>
              <w:suppressLineNumbers w:val="0"/>
              <w:suppressAutoHyphens w:val="0"/>
              <w:ind w:firstLine="0"/>
              <w:jc w:val="center"/>
              <w:rPr>
                <w:color w:val="000000"/>
                <w:sz w:val="20"/>
              </w:rPr>
            </w:pPr>
          </w:p>
        </w:tc>
        <w:tc>
          <w:tcPr>
            <w:tcW w:w="2905" w:type="dxa"/>
            <w:tcBorders>
              <w:top w:val="single" w:sz="4" w:space="0" w:color="auto"/>
            </w:tcBorders>
            <w:shd w:val="clear" w:color="auto" w:fill="auto"/>
            <w:noWrap/>
            <w:vAlign w:val="center"/>
            <w:hideMark/>
          </w:tcPr>
          <w:p w14:paraId="0EC0E216"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 </w:t>
            </w:r>
          </w:p>
        </w:tc>
        <w:tc>
          <w:tcPr>
            <w:tcW w:w="1556" w:type="dxa"/>
            <w:gridSpan w:val="2"/>
            <w:tcBorders>
              <w:top w:val="single" w:sz="4" w:space="0" w:color="auto"/>
              <w:bottom w:val="single" w:sz="4" w:space="0" w:color="auto"/>
            </w:tcBorders>
            <w:shd w:val="clear" w:color="auto" w:fill="auto"/>
            <w:noWrap/>
            <w:vAlign w:val="center"/>
            <w:hideMark/>
          </w:tcPr>
          <w:p w14:paraId="18AE0DA2"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2015</w:t>
            </w:r>
          </w:p>
        </w:tc>
        <w:tc>
          <w:tcPr>
            <w:tcW w:w="1556" w:type="dxa"/>
            <w:gridSpan w:val="2"/>
            <w:tcBorders>
              <w:top w:val="single" w:sz="4" w:space="0" w:color="auto"/>
              <w:bottom w:val="single" w:sz="4" w:space="0" w:color="auto"/>
            </w:tcBorders>
            <w:shd w:val="clear" w:color="auto" w:fill="auto"/>
            <w:noWrap/>
            <w:vAlign w:val="center"/>
            <w:hideMark/>
          </w:tcPr>
          <w:p w14:paraId="684DB6B2"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2016</w:t>
            </w:r>
          </w:p>
        </w:tc>
        <w:tc>
          <w:tcPr>
            <w:tcW w:w="1560" w:type="dxa"/>
            <w:gridSpan w:val="2"/>
            <w:tcBorders>
              <w:top w:val="single" w:sz="4" w:space="0" w:color="auto"/>
              <w:bottom w:val="single" w:sz="4" w:space="0" w:color="auto"/>
            </w:tcBorders>
            <w:shd w:val="clear" w:color="auto" w:fill="auto"/>
            <w:noWrap/>
            <w:vAlign w:val="center"/>
            <w:hideMark/>
          </w:tcPr>
          <w:p w14:paraId="0866C95F"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2017</w:t>
            </w:r>
          </w:p>
        </w:tc>
      </w:tr>
      <w:tr w:rsidR="00704640" w:rsidRPr="00704640" w14:paraId="046BF483" w14:textId="77777777" w:rsidTr="00DB73A1">
        <w:trPr>
          <w:cantSplit/>
          <w:trHeight w:val="20"/>
        </w:trPr>
        <w:tc>
          <w:tcPr>
            <w:tcW w:w="1913" w:type="dxa"/>
            <w:vMerge w:val="restart"/>
            <w:shd w:val="clear" w:color="auto" w:fill="auto"/>
            <w:vAlign w:val="center"/>
            <w:hideMark/>
          </w:tcPr>
          <w:p w14:paraId="6671755D"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Municípios de Grande Porte</w:t>
            </w:r>
          </w:p>
        </w:tc>
        <w:tc>
          <w:tcPr>
            <w:tcW w:w="2905" w:type="dxa"/>
            <w:shd w:val="clear" w:color="auto" w:fill="auto"/>
            <w:noWrap/>
            <w:vAlign w:val="bottom"/>
            <w:hideMark/>
          </w:tcPr>
          <w:p w14:paraId="29B05DE2" w14:textId="77777777" w:rsidR="00704640" w:rsidRPr="00704640" w:rsidRDefault="00704640" w:rsidP="00704640">
            <w:pPr>
              <w:widowControl/>
              <w:suppressLineNumbers w:val="0"/>
              <w:suppressAutoHyphens w:val="0"/>
              <w:ind w:firstLine="0"/>
              <w:jc w:val="center"/>
              <w:rPr>
                <w:color w:val="000000"/>
                <w:sz w:val="20"/>
              </w:rPr>
            </w:pPr>
          </w:p>
        </w:tc>
        <w:tc>
          <w:tcPr>
            <w:tcW w:w="672" w:type="dxa"/>
            <w:tcBorders>
              <w:top w:val="single" w:sz="4" w:space="0" w:color="auto"/>
            </w:tcBorders>
            <w:shd w:val="clear" w:color="auto" w:fill="auto"/>
            <w:noWrap/>
            <w:vAlign w:val="center"/>
            <w:hideMark/>
          </w:tcPr>
          <w:p w14:paraId="6E0E6C8F"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QM.</w:t>
            </w:r>
          </w:p>
        </w:tc>
        <w:tc>
          <w:tcPr>
            <w:tcW w:w="884" w:type="dxa"/>
            <w:tcBorders>
              <w:top w:val="single" w:sz="4" w:space="0" w:color="auto"/>
            </w:tcBorders>
            <w:shd w:val="clear" w:color="auto" w:fill="auto"/>
            <w:noWrap/>
            <w:vAlign w:val="center"/>
            <w:hideMark/>
          </w:tcPr>
          <w:p w14:paraId="3A679266"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w:t>
            </w:r>
          </w:p>
        </w:tc>
        <w:tc>
          <w:tcPr>
            <w:tcW w:w="672" w:type="dxa"/>
            <w:tcBorders>
              <w:top w:val="single" w:sz="4" w:space="0" w:color="auto"/>
            </w:tcBorders>
            <w:shd w:val="clear" w:color="auto" w:fill="auto"/>
            <w:noWrap/>
            <w:vAlign w:val="center"/>
            <w:hideMark/>
          </w:tcPr>
          <w:p w14:paraId="326834FD"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QM.</w:t>
            </w:r>
          </w:p>
        </w:tc>
        <w:tc>
          <w:tcPr>
            <w:tcW w:w="884" w:type="dxa"/>
            <w:tcBorders>
              <w:top w:val="single" w:sz="4" w:space="0" w:color="auto"/>
            </w:tcBorders>
            <w:shd w:val="clear" w:color="auto" w:fill="auto"/>
            <w:noWrap/>
            <w:vAlign w:val="center"/>
            <w:hideMark/>
          </w:tcPr>
          <w:p w14:paraId="62C590E5"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w:t>
            </w:r>
          </w:p>
        </w:tc>
        <w:tc>
          <w:tcPr>
            <w:tcW w:w="672" w:type="dxa"/>
            <w:tcBorders>
              <w:top w:val="single" w:sz="4" w:space="0" w:color="auto"/>
            </w:tcBorders>
            <w:shd w:val="clear" w:color="auto" w:fill="auto"/>
            <w:noWrap/>
            <w:vAlign w:val="center"/>
            <w:hideMark/>
          </w:tcPr>
          <w:p w14:paraId="505489DE"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QM.</w:t>
            </w:r>
          </w:p>
        </w:tc>
        <w:tc>
          <w:tcPr>
            <w:tcW w:w="888" w:type="dxa"/>
            <w:tcBorders>
              <w:top w:val="single" w:sz="4" w:space="0" w:color="auto"/>
            </w:tcBorders>
            <w:shd w:val="clear" w:color="auto" w:fill="auto"/>
            <w:noWrap/>
            <w:vAlign w:val="center"/>
            <w:hideMark/>
          </w:tcPr>
          <w:p w14:paraId="5639D9F8"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w:t>
            </w:r>
          </w:p>
        </w:tc>
      </w:tr>
      <w:tr w:rsidR="00704640" w:rsidRPr="00704640" w14:paraId="2EB0EFB2" w14:textId="77777777" w:rsidTr="00DB73A1">
        <w:trPr>
          <w:cantSplit/>
          <w:trHeight w:val="20"/>
        </w:trPr>
        <w:tc>
          <w:tcPr>
            <w:tcW w:w="1913" w:type="dxa"/>
            <w:vMerge/>
            <w:shd w:val="clear" w:color="auto" w:fill="auto"/>
            <w:vAlign w:val="center"/>
            <w:hideMark/>
          </w:tcPr>
          <w:p w14:paraId="3C8FEAE8" w14:textId="77777777" w:rsidR="00704640" w:rsidRPr="00704640" w:rsidRDefault="00704640" w:rsidP="00704640">
            <w:pPr>
              <w:widowControl/>
              <w:suppressLineNumbers w:val="0"/>
              <w:suppressAutoHyphens w:val="0"/>
              <w:ind w:firstLine="0"/>
              <w:jc w:val="left"/>
              <w:rPr>
                <w:color w:val="000000"/>
                <w:sz w:val="20"/>
              </w:rPr>
            </w:pPr>
          </w:p>
        </w:tc>
        <w:tc>
          <w:tcPr>
            <w:tcW w:w="2905" w:type="dxa"/>
            <w:shd w:val="clear" w:color="auto" w:fill="auto"/>
            <w:noWrap/>
            <w:vAlign w:val="center"/>
            <w:hideMark/>
          </w:tcPr>
          <w:p w14:paraId="78338B49" w14:textId="77777777" w:rsidR="00704640" w:rsidRPr="00704640" w:rsidRDefault="00704640" w:rsidP="00704640">
            <w:pPr>
              <w:widowControl/>
              <w:suppressLineNumbers w:val="0"/>
              <w:suppressAutoHyphens w:val="0"/>
              <w:ind w:firstLine="0"/>
              <w:jc w:val="left"/>
              <w:rPr>
                <w:color w:val="000000"/>
                <w:sz w:val="20"/>
              </w:rPr>
            </w:pPr>
            <w:r w:rsidRPr="00704640">
              <w:rPr>
                <w:color w:val="000000"/>
                <w:sz w:val="20"/>
              </w:rPr>
              <w:t>= 1</w:t>
            </w:r>
          </w:p>
        </w:tc>
        <w:tc>
          <w:tcPr>
            <w:tcW w:w="672" w:type="dxa"/>
            <w:shd w:val="clear" w:color="auto" w:fill="auto"/>
            <w:noWrap/>
            <w:vAlign w:val="center"/>
            <w:hideMark/>
          </w:tcPr>
          <w:p w14:paraId="6C737AE2"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w:t>
            </w:r>
          </w:p>
        </w:tc>
        <w:tc>
          <w:tcPr>
            <w:tcW w:w="884" w:type="dxa"/>
            <w:shd w:val="clear" w:color="auto" w:fill="auto"/>
            <w:noWrap/>
            <w:vAlign w:val="center"/>
            <w:hideMark/>
          </w:tcPr>
          <w:p w14:paraId="253E2A9C"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6%</w:t>
            </w:r>
          </w:p>
        </w:tc>
        <w:tc>
          <w:tcPr>
            <w:tcW w:w="672" w:type="dxa"/>
            <w:shd w:val="clear" w:color="auto" w:fill="auto"/>
            <w:noWrap/>
            <w:vAlign w:val="center"/>
            <w:hideMark/>
          </w:tcPr>
          <w:p w14:paraId="5CF57BE9"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c>
          <w:tcPr>
            <w:tcW w:w="884" w:type="dxa"/>
            <w:shd w:val="clear" w:color="auto" w:fill="auto"/>
            <w:noWrap/>
            <w:vAlign w:val="center"/>
            <w:hideMark/>
          </w:tcPr>
          <w:p w14:paraId="509F804C"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c>
          <w:tcPr>
            <w:tcW w:w="672" w:type="dxa"/>
            <w:shd w:val="clear" w:color="auto" w:fill="auto"/>
            <w:noWrap/>
            <w:vAlign w:val="center"/>
            <w:hideMark/>
          </w:tcPr>
          <w:p w14:paraId="1209B79B"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c>
          <w:tcPr>
            <w:tcW w:w="888" w:type="dxa"/>
            <w:shd w:val="clear" w:color="auto" w:fill="auto"/>
            <w:noWrap/>
            <w:vAlign w:val="center"/>
            <w:hideMark/>
          </w:tcPr>
          <w:p w14:paraId="19D5808A"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r>
      <w:tr w:rsidR="00704640" w:rsidRPr="00704640" w14:paraId="788F4739" w14:textId="77777777" w:rsidTr="00DB73A1">
        <w:trPr>
          <w:cantSplit/>
          <w:trHeight w:val="20"/>
        </w:trPr>
        <w:tc>
          <w:tcPr>
            <w:tcW w:w="1913" w:type="dxa"/>
            <w:vMerge/>
            <w:shd w:val="clear" w:color="auto" w:fill="auto"/>
            <w:vAlign w:val="center"/>
            <w:hideMark/>
          </w:tcPr>
          <w:p w14:paraId="54E85708" w14:textId="77777777" w:rsidR="00704640" w:rsidRPr="00704640" w:rsidRDefault="00704640" w:rsidP="00704640">
            <w:pPr>
              <w:widowControl/>
              <w:suppressLineNumbers w:val="0"/>
              <w:suppressAutoHyphens w:val="0"/>
              <w:ind w:firstLine="0"/>
              <w:jc w:val="left"/>
              <w:rPr>
                <w:color w:val="000000"/>
                <w:sz w:val="20"/>
              </w:rPr>
            </w:pPr>
          </w:p>
        </w:tc>
        <w:tc>
          <w:tcPr>
            <w:tcW w:w="2905" w:type="dxa"/>
            <w:shd w:val="clear" w:color="auto" w:fill="auto"/>
            <w:noWrap/>
            <w:vAlign w:val="center"/>
            <w:hideMark/>
          </w:tcPr>
          <w:p w14:paraId="705F9FCD" w14:textId="77777777" w:rsidR="00704640" w:rsidRPr="00704640" w:rsidRDefault="00704640" w:rsidP="00704640">
            <w:pPr>
              <w:widowControl/>
              <w:suppressLineNumbers w:val="0"/>
              <w:suppressAutoHyphens w:val="0"/>
              <w:ind w:firstLine="0"/>
              <w:jc w:val="left"/>
              <w:rPr>
                <w:color w:val="000000"/>
                <w:sz w:val="20"/>
              </w:rPr>
            </w:pPr>
            <w:r w:rsidRPr="00704640">
              <w:rPr>
                <w:color w:val="000000"/>
                <w:sz w:val="20"/>
              </w:rPr>
              <w:t>&gt; 1</w:t>
            </w:r>
          </w:p>
        </w:tc>
        <w:tc>
          <w:tcPr>
            <w:tcW w:w="672" w:type="dxa"/>
            <w:shd w:val="clear" w:color="auto" w:fill="auto"/>
            <w:noWrap/>
            <w:vAlign w:val="center"/>
            <w:hideMark/>
          </w:tcPr>
          <w:p w14:paraId="1F8269C5"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c>
          <w:tcPr>
            <w:tcW w:w="884" w:type="dxa"/>
            <w:shd w:val="clear" w:color="auto" w:fill="auto"/>
            <w:noWrap/>
            <w:vAlign w:val="center"/>
            <w:hideMark/>
          </w:tcPr>
          <w:p w14:paraId="69206C6D"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c>
          <w:tcPr>
            <w:tcW w:w="672" w:type="dxa"/>
            <w:shd w:val="clear" w:color="auto" w:fill="auto"/>
            <w:noWrap/>
            <w:vAlign w:val="center"/>
            <w:hideMark/>
          </w:tcPr>
          <w:p w14:paraId="1BEC84D7"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6</w:t>
            </w:r>
          </w:p>
        </w:tc>
        <w:tc>
          <w:tcPr>
            <w:tcW w:w="884" w:type="dxa"/>
            <w:shd w:val="clear" w:color="auto" w:fill="auto"/>
            <w:noWrap/>
            <w:vAlign w:val="center"/>
            <w:hideMark/>
          </w:tcPr>
          <w:p w14:paraId="5BB0ED84"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33%</w:t>
            </w:r>
          </w:p>
        </w:tc>
        <w:tc>
          <w:tcPr>
            <w:tcW w:w="672" w:type="dxa"/>
            <w:shd w:val="clear" w:color="auto" w:fill="auto"/>
            <w:noWrap/>
            <w:vAlign w:val="center"/>
            <w:hideMark/>
          </w:tcPr>
          <w:p w14:paraId="2D94D0BF"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2</w:t>
            </w:r>
          </w:p>
        </w:tc>
        <w:tc>
          <w:tcPr>
            <w:tcW w:w="888" w:type="dxa"/>
            <w:shd w:val="clear" w:color="auto" w:fill="auto"/>
            <w:noWrap/>
            <w:vAlign w:val="center"/>
            <w:hideMark/>
          </w:tcPr>
          <w:p w14:paraId="41190987"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11%</w:t>
            </w:r>
          </w:p>
        </w:tc>
      </w:tr>
      <w:tr w:rsidR="00704640" w:rsidRPr="00704640" w14:paraId="2BF73293" w14:textId="77777777" w:rsidTr="00DB73A1">
        <w:trPr>
          <w:cantSplit/>
          <w:trHeight w:val="20"/>
        </w:trPr>
        <w:tc>
          <w:tcPr>
            <w:tcW w:w="1913" w:type="dxa"/>
            <w:vMerge/>
            <w:shd w:val="clear" w:color="auto" w:fill="auto"/>
            <w:vAlign w:val="center"/>
            <w:hideMark/>
          </w:tcPr>
          <w:p w14:paraId="2BAC44FA" w14:textId="77777777" w:rsidR="00704640" w:rsidRPr="00704640" w:rsidRDefault="00704640" w:rsidP="00704640">
            <w:pPr>
              <w:widowControl/>
              <w:suppressLineNumbers w:val="0"/>
              <w:suppressAutoHyphens w:val="0"/>
              <w:ind w:firstLine="0"/>
              <w:jc w:val="left"/>
              <w:rPr>
                <w:color w:val="000000"/>
                <w:sz w:val="20"/>
              </w:rPr>
            </w:pPr>
          </w:p>
        </w:tc>
        <w:tc>
          <w:tcPr>
            <w:tcW w:w="2905" w:type="dxa"/>
            <w:shd w:val="clear" w:color="auto" w:fill="auto"/>
            <w:noWrap/>
            <w:vAlign w:val="center"/>
            <w:hideMark/>
          </w:tcPr>
          <w:p w14:paraId="0ADEFA9F" w14:textId="77777777" w:rsidR="00704640" w:rsidRPr="00704640" w:rsidRDefault="00704640" w:rsidP="00704640">
            <w:pPr>
              <w:widowControl/>
              <w:suppressLineNumbers w:val="0"/>
              <w:suppressAutoHyphens w:val="0"/>
              <w:ind w:firstLine="0"/>
              <w:jc w:val="left"/>
              <w:rPr>
                <w:color w:val="000000"/>
                <w:sz w:val="20"/>
              </w:rPr>
            </w:pPr>
            <w:r w:rsidRPr="00704640">
              <w:rPr>
                <w:color w:val="000000"/>
                <w:sz w:val="20"/>
              </w:rPr>
              <w:t>&lt; 1</w:t>
            </w:r>
          </w:p>
        </w:tc>
        <w:tc>
          <w:tcPr>
            <w:tcW w:w="672" w:type="dxa"/>
            <w:shd w:val="clear" w:color="auto" w:fill="auto"/>
            <w:noWrap/>
            <w:vAlign w:val="center"/>
            <w:hideMark/>
          </w:tcPr>
          <w:p w14:paraId="27416A66"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15</w:t>
            </w:r>
          </w:p>
        </w:tc>
        <w:tc>
          <w:tcPr>
            <w:tcW w:w="884" w:type="dxa"/>
            <w:shd w:val="clear" w:color="auto" w:fill="auto"/>
            <w:noWrap/>
            <w:vAlign w:val="center"/>
            <w:hideMark/>
          </w:tcPr>
          <w:p w14:paraId="139B8D38"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83%</w:t>
            </w:r>
          </w:p>
        </w:tc>
        <w:tc>
          <w:tcPr>
            <w:tcW w:w="672" w:type="dxa"/>
            <w:shd w:val="clear" w:color="auto" w:fill="auto"/>
            <w:noWrap/>
            <w:vAlign w:val="center"/>
            <w:hideMark/>
          </w:tcPr>
          <w:p w14:paraId="51855FBB"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12</w:t>
            </w:r>
          </w:p>
        </w:tc>
        <w:tc>
          <w:tcPr>
            <w:tcW w:w="884" w:type="dxa"/>
            <w:shd w:val="clear" w:color="auto" w:fill="auto"/>
            <w:noWrap/>
            <w:vAlign w:val="center"/>
            <w:hideMark/>
          </w:tcPr>
          <w:p w14:paraId="04B6603B"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67%</w:t>
            </w:r>
          </w:p>
        </w:tc>
        <w:tc>
          <w:tcPr>
            <w:tcW w:w="672" w:type="dxa"/>
            <w:shd w:val="clear" w:color="auto" w:fill="auto"/>
            <w:noWrap/>
            <w:vAlign w:val="center"/>
            <w:hideMark/>
          </w:tcPr>
          <w:p w14:paraId="63965BFF"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15</w:t>
            </w:r>
          </w:p>
        </w:tc>
        <w:tc>
          <w:tcPr>
            <w:tcW w:w="888" w:type="dxa"/>
            <w:shd w:val="clear" w:color="auto" w:fill="auto"/>
            <w:noWrap/>
            <w:vAlign w:val="center"/>
            <w:hideMark/>
          </w:tcPr>
          <w:p w14:paraId="1A54380E"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83%</w:t>
            </w:r>
          </w:p>
        </w:tc>
      </w:tr>
      <w:tr w:rsidR="00704640" w:rsidRPr="00704640" w14:paraId="6BA54ECB" w14:textId="77777777" w:rsidTr="00DB73A1">
        <w:trPr>
          <w:cantSplit/>
          <w:trHeight w:val="20"/>
        </w:trPr>
        <w:tc>
          <w:tcPr>
            <w:tcW w:w="1913" w:type="dxa"/>
            <w:vMerge/>
            <w:shd w:val="clear" w:color="auto" w:fill="auto"/>
            <w:vAlign w:val="center"/>
            <w:hideMark/>
          </w:tcPr>
          <w:p w14:paraId="455C01CD" w14:textId="77777777" w:rsidR="00704640" w:rsidRPr="00704640" w:rsidRDefault="00704640" w:rsidP="00704640">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75BDEB7D" w14:textId="77777777" w:rsidR="00704640" w:rsidRPr="00704640" w:rsidRDefault="00704640" w:rsidP="00704640">
            <w:pPr>
              <w:widowControl/>
              <w:suppressLineNumbers w:val="0"/>
              <w:suppressAutoHyphens w:val="0"/>
              <w:ind w:firstLine="0"/>
              <w:jc w:val="left"/>
              <w:rPr>
                <w:color w:val="000000"/>
                <w:sz w:val="20"/>
              </w:rPr>
            </w:pPr>
            <w:r w:rsidRPr="00704640">
              <w:rPr>
                <w:color w:val="000000"/>
                <w:sz w:val="20"/>
              </w:rPr>
              <w:t>Não Apresentou</w:t>
            </w:r>
          </w:p>
        </w:tc>
        <w:tc>
          <w:tcPr>
            <w:tcW w:w="672" w:type="dxa"/>
            <w:tcBorders>
              <w:bottom w:val="single" w:sz="4" w:space="0" w:color="auto"/>
            </w:tcBorders>
            <w:shd w:val="clear" w:color="auto" w:fill="auto"/>
            <w:noWrap/>
            <w:vAlign w:val="center"/>
            <w:hideMark/>
          </w:tcPr>
          <w:p w14:paraId="12000855"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2</w:t>
            </w:r>
          </w:p>
        </w:tc>
        <w:tc>
          <w:tcPr>
            <w:tcW w:w="884" w:type="dxa"/>
            <w:tcBorders>
              <w:bottom w:val="single" w:sz="4" w:space="0" w:color="auto"/>
            </w:tcBorders>
            <w:shd w:val="clear" w:color="auto" w:fill="auto"/>
            <w:noWrap/>
            <w:vAlign w:val="center"/>
            <w:hideMark/>
          </w:tcPr>
          <w:p w14:paraId="264C6A57"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11%</w:t>
            </w:r>
          </w:p>
        </w:tc>
        <w:tc>
          <w:tcPr>
            <w:tcW w:w="672" w:type="dxa"/>
            <w:tcBorders>
              <w:bottom w:val="single" w:sz="4" w:space="0" w:color="auto"/>
            </w:tcBorders>
            <w:shd w:val="clear" w:color="auto" w:fill="auto"/>
            <w:noWrap/>
            <w:vAlign w:val="center"/>
            <w:hideMark/>
          </w:tcPr>
          <w:p w14:paraId="5C984DB1"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c>
          <w:tcPr>
            <w:tcW w:w="884" w:type="dxa"/>
            <w:tcBorders>
              <w:bottom w:val="single" w:sz="4" w:space="0" w:color="auto"/>
            </w:tcBorders>
            <w:shd w:val="clear" w:color="auto" w:fill="auto"/>
            <w:noWrap/>
            <w:vAlign w:val="center"/>
            <w:hideMark/>
          </w:tcPr>
          <w:p w14:paraId="59E96115"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c>
          <w:tcPr>
            <w:tcW w:w="672" w:type="dxa"/>
            <w:tcBorders>
              <w:bottom w:val="single" w:sz="4" w:space="0" w:color="auto"/>
            </w:tcBorders>
            <w:shd w:val="clear" w:color="auto" w:fill="auto"/>
            <w:noWrap/>
            <w:vAlign w:val="center"/>
            <w:hideMark/>
          </w:tcPr>
          <w:p w14:paraId="693E3E0A"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w:t>
            </w:r>
          </w:p>
        </w:tc>
        <w:tc>
          <w:tcPr>
            <w:tcW w:w="888" w:type="dxa"/>
            <w:tcBorders>
              <w:bottom w:val="single" w:sz="4" w:space="0" w:color="auto"/>
            </w:tcBorders>
            <w:shd w:val="clear" w:color="auto" w:fill="auto"/>
            <w:noWrap/>
            <w:vAlign w:val="center"/>
            <w:hideMark/>
          </w:tcPr>
          <w:p w14:paraId="13DEF68E"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6%</w:t>
            </w:r>
          </w:p>
        </w:tc>
      </w:tr>
      <w:tr w:rsidR="00704640" w:rsidRPr="00704640" w14:paraId="295FBFAE" w14:textId="77777777" w:rsidTr="00DB73A1">
        <w:trPr>
          <w:cantSplit/>
          <w:trHeight w:val="20"/>
        </w:trPr>
        <w:tc>
          <w:tcPr>
            <w:tcW w:w="1913" w:type="dxa"/>
            <w:vMerge/>
            <w:tcBorders>
              <w:bottom w:val="single" w:sz="4" w:space="0" w:color="auto"/>
            </w:tcBorders>
            <w:shd w:val="clear" w:color="auto" w:fill="auto"/>
            <w:vAlign w:val="center"/>
            <w:hideMark/>
          </w:tcPr>
          <w:p w14:paraId="3FCCBE34" w14:textId="77777777" w:rsidR="00704640" w:rsidRPr="00704640" w:rsidRDefault="00704640" w:rsidP="00704640">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2CA99F7E" w14:textId="77777777" w:rsidR="00704640" w:rsidRPr="00704640" w:rsidRDefault="00704640" w:rsidP="00704640">
            <w:pPr>
              <w:widowControl/>
              <w:suppressLineNumbers w:val="0"/>
              <w:suppressAutoHyphens w:val="0"/>
              <w:ind w:firstLine="0"/>
              <w:jc w:val="left"/>
              <w:rPr>
                <w:b/>
                <w:bCs/>
                <w:color w:val="000000"/>
                <w:sz w:val="20"/>
              </w:rPr>
            </w:pPr>
            <w:r w:rsidRPr="00704640">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02586D02"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18</w:t>
            </w:r>
          </w:p>
        </w:tc>
        <w:tc>
          <w:tcPr>
            <w:tcW w:w="884" w:type="dxa"/>
            <w:tcBorders>
              <w:top w:val="single" w:sz="4" w:space="0" w:color="auto"/>
              <w:bottom w:val="single" w:sz="4" w:space="0" w:color="auto"/>
            </w:tcBorders>
            <w:shd w:val="clear" w:color="auto" w:fill="auto"/>
            <w:noWrap/>
            <w:vAlign w:val="center"/>
            <w:hideMark/>
          </w:tcPr>
          <w:p w14:paraId="155A9D1A"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5049AAD7"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18</w:t>
            </w:r>
          </w:p>
        </w:tc>
        <w:tc>
          <w:tcPr>
            <w:tcW w:w="884" w:type="dxa"/>
            <w:tcBorders>
              <w:top w:val="single" w:sz="4" w:space="0" w:color="auto"/>
              <w:bottom w:val="single" w:sz="4" w:space="0" w:color="auto"/>
            </w:tcBorders>
            <w:shd w:val="clear" w:color="auto" w:fill="auto"/>
            <w:noWrap/>
            <w:vAlign w:val="center"/>
            <w:hideMark/>
          </w:tcPr>
          <w:p w14:paraId="352BD405"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6D719C74"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18</w:t>
            </w:r>
          </w:p>
        </w:tc>
        <w:tc>
          <w:tcPr>
            <w:tcW w:w="888" w:type="dxa"/>
            <w:tcBorders>
              <w:top w:val="single" w:sz="4" w:space="0" w:color="auto"/>
              <w:bottom w:val="single" w:sz="4" w:space="0" w:color="auto"/>
            </w:tcBorders>
            <w:shd w:val="clear" w:color="auto" w:fill="auto"/>
            <w:noWrap/>
            <w:vAlign w:val="center"/>
            <w:hideMark/>
          </w:tcPr>
          <w:p w14:paraId="3A8C09C6"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100%</w:t>
            </w:r>
          </w:p>
        </w:tc>
      </w:tr>
      <w:tr w:rsidR="00704640" w:rsidRPr="00704640" w14:paraId="119BC3A9" w14:textId="77777777" w:rsidTr="00DB73A1">
        <w:trPr>
          <w:cantSplit/>
          <w:trHeight w:val="20"/>
        </w:trPr>
        <w:tc>
          <w:tcPr>
            <w:tcW w:w="1913" w:type="dxa"/>
            <w:vMerge w:val="restart"/>
            <w:tcBorders>
              <w:top w:val="single" w:sz="4" w:space="0" w:color="auto"/>
            </w:tcBorders>
            <w:shd w:val="clear" w:color="auto" w:fill="auto"/>
            <w:vAlign w:val="center"/>
            <w:hideMark/>
          </w:tcPr>
          <w:p w14:paraId="59494C61"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Municípios de Médio Porte</w:t>
            </w:r>
          </w:p>
        </w:tc>
        <w:tc>
          <w:tcPr>
            <w:tcW w:w="2905" w:type="dxa"/>
            <w:tcBorders>
              <w:top w:val="single" w:sz="4" w:space="0" w:color="auto"/>
            </w:tcBorders>
            <w:shd w:val="clear" w:color="auto" w:fill="auto"/>
            <w:noWrap/>
            <w:vAlign w:val="center"/>
            <w:hideMark/>
          </w:tcPr>
          <w:p w14:paraId="6C03FABB" w14:textId="77777777" w:rsidR="00704640" w:rsidRPr="00704640" w:rsidRDefault="00704640" w:rsidP="00704640">
            <w:pPr>
              <w:widowControl/>
              <w:suppressLineNumbers w:val="0"/>
              <w:suppressAutoHyphens w:val="0"/>
              <w:ind w:firstLine="0"/>
              <w:jc w:val="left"/>
              <w:rPr>
                <w:color w:val="000000"/>
                <w:sz w:val="20"/>
              </w:rPr>
            </w:pPr>
            <w:r w:rsidRPr="00704640">
              <w:rPr>
                <w:color w:val="000000"/>
                <w:sz w:val="20"/>
              </w:rPr>
              <w:t>= 1</w:t>
            </w:r>
          </w:p>
        </w:tc>
        <w:tc>
          <w:tcPr>
            <w:tcW w:w="672" w:type="dxa"/>
            <w:tcBorders>
              <w:top w:val="single" w:sz="4" w:space="0" w:color="auto"/>
            </w:tcBorders>
            <w:shd w:val="clear" w:color="auto" w:fill="auto"/>
            <w:noWrap/>
            <w:vAlign w:val="center"/>
            <w:hideMark/>
          </w:tcPr>
          <w:p w14:paraId="6FB6BB70"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w:t>
            </w:r>
          </w:p>
        </w:tc>
        <w:tc>
          <w:tcPr>
            <w:tcW w:w="884" w:type="dxa"/>
            <w:tcBorders>
              <w:top w:val="single" w:sz="4" w:space="0" w:color="auto"/>
            </w:tcBorders>
            <w:shd w:val="clear" w:color="auto" w:fill="auto"/>
            <w:noWrap/>
            <w:vAlign w:val="center"/>
            <w:hideMark/>
          </w:tcPr>
          <w:p w14:paraId="504199EB"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w:t>
            </w:r>
          </w:p>
        </w:tc>
        <w:tc>
          <w:tcPr>
            <w:tcW w:w="672" w:type="dxa"/>
            <w:tcBorders>
              <w:top w:val="single" w:sz="4" w:space="0" w:color="auto"/>
            </w:tcBorders>
            <w:shd w:val="clear" w:color="auto" w:fill="auto"/>
            <w:noWrap/>
            <w:vAlign w:val="center"/>
            <w:hideMark/>
          </w:tcPr>
          <w:p w14:paraId="7FBAAB4D"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w:t>
            </w:r>
          </w:p>
        </w:tc>
        <w:tc>
          <w:tcPr>
            <w:tcW w:w="884" w:type="dxa"/>
            <w:tcBorders>
              <w:top w:val="single" w:sz="4" w:space="0" w:color="auto"/>
            </w:tcBorders>
            <w:shd w:val="clear" w:color="auto" w:fill="auto"/>
            <w:noWrap/>
            <w:vAlign w:val="center"/>
            <w:hideMark/>
          </w:tcPr>
          <w:p w14:paraId="374AAE7F"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w:t>
            </w:r>
          </w:p>
        </w:tc>
        <w:tc>
          <w:tcPr>
            <w:tcW w:w="672" w:type="dxa"/>
            <w:tcBorders>
              <w:top w:val="single" w:sz="4" w:space="0" w:color="auto"/>
            </w:tcBorders>
            <w:shd w:val="clear" w:color="auto" w:fill="auto"/>
            <w:noWrap/>
            <w:vAlign w:val="center"/>
            <w:hideMark/>
          </w:tcPr>
          <w:p w14:paraId="47150BFD"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c>
          <w:tcPr>
            <w:tcW w:w="888" w:type="dxa"/>
            <w:tcBorders>
              <w:top w:val="single" w:sz="4" w:space="0" w:color="auto"/>
            </w:tcBorders>
            <w:shd w:val="clear" w:color="auto" w:fill="auto"/>
            <w:noWrap/>
            <w:vAlign w:val="center"/>
            <w:hideMark/>
          </w:tcPr>
          <w:p w14:paraId="0D79B830"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r>
      <w:tr w:rsidR="00704640" w:rsidRPr="00704640" w14:paraId="07C4568B" w14:textId="77777777" w:rsidTr="00DB73A1">
        <w:trPr>
          <w:cantSplit/>
          <w:trHeight w:val="20"/>
        </w:trPr>
        <w:tc>
          <w:tcPr>
            <w:tcW w:w="1913" w:type="dxa"/>
            <w:vMerge/>
            <w:shd w:val="clear" w:color="auto" w:fill="auto"/>
            <w:vAlign w:val="center"/>
            <w:hideMark/>
          </w:tcPr>
          <w:p w14:paraId="1FADE30B" w14:textId="77777777" w:rsidR="00704640" w:rsidRPr="00704640" w:rsidRDefault="00704640" w:rsidP="00704640">
            <w:pPr>
              <w:widowControl/>
              <w:suppressLineNumbers w:val="0"/>
              <w:suppressAutoHyphens w:val="0"/>
              <w:ind w:firstLine="0"/>
              <w:jc w:val="left"/>
              <w:rPr>
                <w:color w:val="000000"/>
                <w:sz w:val="20"/>
              </w:rPr>
            </w:pPr>
          </w:p>
        </w:tc>
        <w:tc>
          <w:tcPr>
            <w:tcW w:w="2905" w:type="dxa"/>
            <w:shd w:val="clear" w:color="auto" w:fill="auto"/>
            <w:noWrap/>
            <w:vAlign w:val="center"/>
            <w:hideMark/>
          </w:tcPr>
          <w:p w14:paraId="6CEBDCC2" w14:textId="77777777" w:rsidR="00704640" w:rsidRPr="00704640" w:rsidRDefault="00704640" w:rsidP="00704640">
            <w:pPr>
              <w:widowControl/>
              <w:suppressLineNumbers w:val="0"/>
              <w:suppressAutoHyphens w:val="0"/>
              <w:ind w:firstLine="0"/>
              <w:jc w:val="left"/>
              <w:rPr>
                <w:color w:val="000000"/>
                <w:sz w:val="20"/>
              </w:rPr>
            </w:pPr>
            <w:r w:rsidRPr="00704640">
              <w:rPr>
                <w:color w:val="000000"/>
                <w:sz w:val="20"/>
              </w:rPr>
              <w:t>&gt; 1</w:t>
            </w:r>
          </w:p>
        </w:tc>
        <w:tc>
          <w:tcPr>
            <w:tcW w:w="672" w:type="dxa"/>
            <w:shd w:val="clear" w:color="auto" w:fill="auto"/>
            <w:noWrap/>
            <w:vAlign w:val="center"/>
            <w:hideMark/>
          </w:tcPr>
          <w:p w14:paraId="2F80EE6C"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17</w:t>
            </w:r>
          </w:p>
        </w:tc>
        <w:tc>
          <w:tcPr>
            <w:tcW w:w="884" w:type="dxa"/>
            <w:shd w:val="clear" w:color="auto" w:fill="auto"/>
            <w:noWrap/>
            <w:vAlign w:val="center"/>
            <w:hideMark/>
          </w:tcPr>
          <w:p w14:paraId="0047671A"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22%</w:t>
            </w:r>
          </w:p>
        </w:tc>
        <w:tc>
          <w:tcPr>
            <w:tcW w:w="672" w:type="dxa"/>
            <w:shd w:val="clear" w:color="auto" w:fill="auto"/>
            <w:noWrap/>
            <w:vAlign w:val="center"/>
            <w:hideMark/>
          </w:tcPr>
          <w:p w14:paraId="4E4AF6F5"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31</w:t>
            </w:r>
          </w:p>
        </w:tc>
        <w:tc>
          <w:tcPr>
            <w:tcW w:w="884" w:type="dxa"/>
            <w:shd w:val="clear" w:color="auto" w:fill="auto"/>
            <w:noWrap/>
            <w:vAlign w:val="center"/>
            <w:hideMark/>
          </w:tcPr>
          <w:p w14:paraId="2CF0FCC8"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41%</w:t>
            </w:r>
          </w:p>
        </w:tc>
        <w:tc>
          <w:tcPr>
            <w:tcW w:w="672" w:type="dxa"/>
            <w:shd w:val="clear" w:color="auto" w:fill="auto"/>
            <w:noWrap/>
            <w:vAlign w:val="center"/>
            <w:hideMark/>
          </w:tcPr>
          <w:p w14:paraId="341E5C79"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7</w:t>
            </w:r>
          </w:p>
        </w:tc>
        <w:tc>
          <w:tcPr>
            <w:tcW w:w="888" w:type="dxa"/>
            <w:shd w:val="clear" w:color="auto" w:fill="auto"/>
            <w:noWrap/>
            <w:vAlign w:val="center"/>
            <w:hideMark/>
          </w:tcPr>
          <w:p w14:paraId="0BCE634E"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9%</w:t>
            </w:r>
          </w:p>
        </w:tc>
      </w:tr>
      <w:tr w:rsidR="00704640" w:rsidRPr="00704640" w14:paraId="65EC8502" w14:textId="77777777" w:rsidTr="00DB73A1">
        <w:trPr>
          <w:cantSplit/>
          <w:trHeight w:val="20"/>
        </w:trPr>
        <w:tc>
          <w:tcPr>
            <w:tcW w:w="1913" w:type="dxa"/>
            <w:vMerge/>
            <w:shd w:val="clear" w:color="auto" w:fill="auto"/>
            <w:vAlign w:val="center"/>
            <w:hideMark/>
          </w:tcPr>
          <w:p w14:paraId="1238D69C" w14:textId="77777777" w:rsidR="00704640" w:rsidRPr="00704640" w:rsidRDefault="00704640" w:rsidP="00704640">
            <w:pPr>
              <w:widowControl/>
              <w:suppressLineNumbers w:val="0"/>
              <w:suppressAutoHyphens w:val="0"/>
              <w:ind w:firstLine="0"/>
              <w:jc w:val="left"/>
              <w:rPr>
                <w:color w:val="000000"/>
                <w:sz w:val="20"/>
              </w:rPr>
            </w:pPr>
          </w:p>
        </w:tc>
        <w:tc>
          <w:tcPr>
            <w:tcW w:w="2905" w:type="dxa"/>
            <w:shd w:val="clear" w:color="auto" w:fill="auto"/>
            <w:noWrap/>
            <w:vAlign w:val="center"/>
            <w:hideMark/>
          </w:tcPr>
          <w:p w14:paraId="298DD66C" w14:textId="77777777" w:rsidR="00704640" w:rsidRPr="00704640" w:rsidRDefault="00704640" w:rsidP="00704640">
            <w:pPr>
              <w:widowControl/>
              <w:suppressLineNumbers w:val="0"/>
              <w:suppressAutoHyphens w:val="0"/>
              <w:ind w:firstLine="0"/>
              <w:jc w:val="left"/>
              <w:rPr>
                <w:color w:val="000000"/>
                <w:sz w:val="20"/>
              </w:rPr>
            </w:pPr>
            <w:r w:rsidRPr="00704640">
              <w:rPr>
                <w:color w:val="000000"/>
                <w:sz w:val="20"/>
              </w:rPr>
              <w:t>&lt; 1</w:t>
            </w:r>
          </w:p>
        </w:tc>
        <w:tc>
          <w:tcPr>
            <w:tcW w:w="672" w:type="dxa"/>
            <w:shd w:val="clear" w:color="auto" w:fill="auto"/>
            <w:noWrap/>
            <w:vAlign w:val="center"/>
            <w:hideMark/>
          </w:tcPr>
          <w:p w14:paraId="4167A61B"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46</w:t>
            </w:r>
          </w:p>
        </w:tc>
        <w:tc>
          <w:tcPr>
            <w:tcW w:w="884" w:type="dxa"/>
            <w:shd w:val="clear" w:color="auto" w:fill="auto"/>
            <w:noWrap/>
            <w:vAlign w:val="center"/>
            <w:hideMark/>
          </w:tcPr>
          <w:p w14:paraId="405C2E7A"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61%</w:t>
            </w:r>
          </w:p>
        </w:tc>
        <w:tc>
          <w:tcPr>
            <w:tcW w:w="672" w:type="dxa"/>
            <w:shd w:val="clear" w:color="auto" w:fill="auto"/>
            <w:noWrap/>
            <w:vAlign w:val="center"/>
            <w:hideMark/>
          </w:tcPr>
          <w:p w14:paraId="2B6FE1E7"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31</w:t>
            </w:r>
          </w:p>
        </w:tc>
        <w:tc>
          <w:tcPr>
            <w:tcW w:w="884" w:type="dxa"/>
            <w:shd w:val="clear" w:color="auto" w:fill="auto"/>
            <w:noWrap/>
            <w:vAlign w:val="center"/>
            <w:hideMark/>
          </w:tcPr>
          <w:p w14:paraId="7E3A1DC0"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41%</w:t>
            </w:r>
          </w:p>
        </w:tc>
        <w:tc>
          <w:tcPr>
            <w:tcW w:w="672" w:type="dxa"/>
            <w:shd w:val="clear" w:color="auto" w:fill="auto"/>
            <w:noWrap/>
            <w:vAlign w:val="center"/>
            <w:hideMark/>
          </w:tcPr>
          <w:p w14:paraId="16944FDB"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64</w:t>
            </w:r>
          </w:p>
        </w:tc>
        <w:tc>
          <w:tcPr>
            <w:tcW w:w="888" w:type="dxa"/>
            <w:shd w:val="clear" w:color="auto" w:fill="auto"/>
            <w:noWrap/>
            <w:vAlign w:val="center"/>
            <w:hideMark/>
          </w:tcPr>
          <w:p w14:paraId="52C836D6"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84%</w:t>
            </w:r>
          </w:p>
        </w:tc>
      </w:tr>
      <w:tr w:rsidR="00704640" w:rsidRPr="00704640" w14:paraId="1F154195" w14:textId="77777777" w:rsidTr="00DB73A1">
        <w:trPr>
          <w:cantSplit/>
          <w:trHeight w:val="285"/>
        </w:trPr>
        <w:tc>
          <w:tcPr>
            <w:tcW w:w="1913" w:type="dxa"/>
            <w:vMerge/>
            <w:shd w:val="clear" w:color="auto" w:fill="auto"/>
            <w:vAlign w:val="center"/>
            <w:hideMark/>
          </w:tcPr>
          <w:p w14:paraId="3DB792B1" w14:textId="77777777" w:rsidR="00704640" w:rsidRPr="00704640" w:rsidRDefault="00704640" w:rsidP="00704640">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46835888" w14:textId="77777777" w:rsidR="00704640" w:rsidRPr="00704640" w:rsidRDefault="00704640" w:rsidP="00704640">
            <w:pPr>
              <w:widowControl/>
              <w:suppressLineNumbers w:val="0"/>
              <w:suppressAutoHyphens w:val="0"/>
              <w:ind w:firstLine="0"/>
              <w:jc w:val="left"/>
              <w:rPr>
                <w:color w:val="000000"/>
                <w:sz w:val="20"/>
              </w:rPr>
            </w:pPr>
            <w:r w:rsidRPr="00704640">
              <w:rPr>
                <w:color w:val="000000"/>
                <w:sz w:val="20"/>
              </w:rPr>
              <w:t>Não Apresentou</w:t>
            </w:r>
          </w:p>
        </w:tc>
        <w:tc>
          <w:tcPr>
            <w:tcW w:w="672" w:type="dxa"/>
            <w:tcBorders>
              <w:bottom w:val="single" w:sz="4" w:space="0" w:color="auto"/>
            </w:tcBorders>
            <w:shd w:val="clear" w:color="auto" w:fill="auto"/>
            <w:noWrap/>
            <w:vAlign w:val="center"/>
            <w:hideMark/>
          </w:tcPr>
          <w:p w14:paraId="37E83724"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12</w:t>
            </w:r>
          </w:p>
        </w:tc>
        <w:tc>
          <w:tcPr>
            <w:tcW w:w="884" w:type="dxa"/>
            <w:tcBorders>
              <w:bottom w:val="single" w:sz="4" w:space="0" w:color="auto"/>
            </w:tcBorders>
            <w:shd w:val="clear" w:color="auto" w:fill="auto"/>
            <w:noWrap/>
            <w:vAlign w:val="center"/>
            <w:hideMark/>
          </w:tcPr>
          <w:p w14:paraId="629842D5"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16%</w:t>
            </w:r>
          </w:p>
        </w:tc>
        <w:tc>
          <w:tcPr>
            <w:tcW w:w="672" w:type="dxa"/>
            <w:tcBorders>
              <w:bottom w:val="single" w:sz="4" w:space="0" w:color="auto"/>
            </w:tcBorders>
            <w:shd w:val="clear" w:color="auto" w:fill="auto"/>
            <w:noWrap/>
            <w:vAlign w:val="center"/>
            <w:hideMark/>
          </w:tcPr>
          <w:p w14:paraId="0648CEA8"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13</w:t>
            </w:r>
          </w:p>
        </w:tc>
        <w:tc>
          <w:tcPr>
            <w:tcW w:w="884" w:type="dxa"/>
            <w:tcBorders>
              <w:bottom w:val="single" w:sz="4" w:space="0" w:color="auto"/>
            </w:tcBorders>
            <w:shd w:val="clear" w:color="auto" w:fill="auto"/>
            <w:noWrap/>
            <w:vAlign w:val="center"/>
            <w:hideMark/>
          </w:tcPr>
          <w:p w14:paraId="322CBE60"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17%</w:t>
            </w:r>
          </w:p>
        </w:tc>
        <w:tc>
          <w:tcPr>
            <w:tcW w:w="672" w:type="dxa"/>
            <w:tcBorders>
              <w:bottom w:val="single" w:sz="4" w:space="0" w:color="auto"/>
            </w:tcBorders>
            <w:shd w:val="clear" w:color="auto" w:fill="auto"/>
            <w:noWrap/>
            <w:vAlign w:val="center"/>
            <w:hideMark/>
          </w:tcPr>
          <w:p w14:paraId="79903D51"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5</w:t>
            </w:r>
          </w:p>
        </w:tc>
        <w:tc>
          <w:tcPr>
            <w:tcW w:w="888" w:type="dxa"/>
            <w:tcBorders>
              <w:bottom w:val="single" w:sz="4" w:space="0" w:color="auto"/>
            </w:tcBorders>
            <w:shd w:val="clear" w:color="auto" w:fill="auto"/>
            <w:noWrap/>
            <w:vAlign w:val="center"/>
            <w:hideMark/>
          </w:tcPr>
          <w:p w14:paraId="2D8D4177"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7%</w:t>
            </w:r>
          </w:p>
        </w:tc>
      </w:tr>
      <w:tr w:rsidR="00704640" w:rsidRPr="00704640" w14:paraId="2707C0CD" w14:textId="77777777" w:rsidTr="00DB73A1">
        <w:trPr>
          <w:cantSplit/>
          <w:trHeight w:val="20"/>
        </w:trPr>
        <w:tc>
          <w:tcPr>
            <w:tcW w:w="1913" w:type="dxa"/>
            <w:vMerge/>
            <w:tcBorders>
              <w:bottom w:val="single" w:sz="4" w:space="0" w:color="auto"/>
            </w:tcBorders>
            <w:shd w:val="clear" w:color="auto" w:fill="auto"/>
            <w:vAlign w:val="center"/>
            <w:hideMark/>
          </w:tcPr>
          <w:p w14:paraId="0D81B252" w14:textId="77777777" w:rsidR="00704640" w:rsidRPr="00704640" w:rsidRDefault="00704640" w:rsidP="00704640">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43A2A850" w14:textId="77777777" w:rsidR="00704640" w:rsidRPr="00704640" w:rsidRDefault="00704640" w:rsidP="00704640">
            <w:pPr>
              <w:widowControl/>
              <w:suppressLineNumbers w:val="0"/>
              <w:suppressAutoHyphens w:val="0"/>
              <w:ind w:firstLine="0"/>
              <w:jc w:val="left"/>
              <w:rPr>
                <w:b/>
                <w:bCs/>
                <w:color w:val="000000"/>
                <w:sz w:val="20"/>
              </w:rPr>
            </w:pPr>
            <w:r w:rsidRPr="00704640">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521FEB90"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76</w:t>
            </w:r>
          </w:p>
        </w:tc>
        <w:tc>
          <w:tcPr>
            <w:tcW w:w="884" w:type="dxa"/>
            <w:tcBorders>
              <w:top w:val="single" w:sz="4" w:space="0" w:color="auto"/>
              <w:bottom w:val="single" w:sz="4" w:space="0" w:color="auto"/>
            </w:tcBorders>
            <w:shd w:val="clear" w:color="auto" w:fill="auto"/>
            <w:noWrap/>
            <w:vAlign w:val="center"/>
            <w:hideMark/>
          </w:tcPr>
          <w:p w14:paraId="2D9CDFBC"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764002C4"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76</w:t>
            </w:r>
          </w:p>
        </w:tc>
        <w:tc>
          <w:tcPr>
            <w:tcW w:w="884" w:type="dxa"/>
            <w:tcBorders>
              <w:top w:val="single" w:sz="4" w:space="0" w:color="auto"/>
              <w:bottom w:val="single" w:sz="4" w:space="0" w:color="auto"/>
            </w:tcBorders>
            <w:shd w:val="clear" w:color="auto" w:fill="auto"/>
            <w:noWrap/>
            <w:vAlign w:val="center"/>
            <w:hideMark/>
          </w:tcPr>
          <w:p w14:paraId="10B70062"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579667B9"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76</w:t>
            </w:r>
          </w:p>
        </w:tc>
        <w:tc>
          <w:tcPr>
            <w:tcW w:w="888" w:type="dxa"/>
            <w:tcBorders>
              <w:top w:val="single" w:sz="4" w:space="0" w:color="auto"/>
              <w:bottom w:val="single" w:sz="4" w:space="0" w:color="auto"/>
            </w:tcBorders>
            <w:shd w:val="clear" w:color="auto" w:fill="auto"/>
            <w:noWrap/>
            <w:vAlign w:val="center"/>
            <w:hideMark/>
          </w:tcPr>
          <w:p w14:paraId="4015FFEB"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100%</w:t>
            </w:r>
          </w:p>
        </w:tc>
      </w:tr>
      <w:tr w:rsidR="00704640" w:rsidRPr="00704640" w14:paraId="40065311" w14:textId="77777777" w:rsidTr="00DB73A1">
        <w:trPr>
          <w:cantSplit/>
          <w:trHeight w:val="20"/>
        </w:trPr>
        <w:tc>
          <w:tcPr>
            <w:tcW w:w="1913" w:type="dxa"/>
            <w:vMerge w:val="restart"/>
            <w:tcBorders>
              <w:top w:val="single" w:sz="4" w:space="0" w:color="auto"/>
            </w:tcBorders>
            <w:shd w:val="clear" w:color="auto" w:fill="auto"/>
            <w:vAlign w:val="center"/>
            <w:hideMark/>
          </w:tcPr>
          <w:p w14:paraId="6F7C378F"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Municípios de Pequeno Porte</w:t>
            </w:r>
          </w:p>
        </w:tc>
        <w:tc>
          <w:tcPr>
            <w:tcW w:w="2905" w:type="dxa"/>
            <w:tcBorders>
              <w:top w:val="single" w:sz="4" w:space="0" w:color="auto"/>
            </w:tcBorders>
            <w:shd w:val="clear" w:color="auto" w:fill="auto"/>
            <w:noWrap/>
            <w:vAlign w:val="center"/>
            <w:hideMark/>
          </w:tcPr>
          <w:p w14:paraId="0B6C66E8" w14:textId="77777777" w:rsidR="00704640" w:rsidRPr="00704640" w:rsidRDefault="00704640" w:rsidP="00704640">
            <w:pPr>
              <w:widowControl/>
              <w:suppressLineNumbers w:val="0"/>
              <w:suppressAutoHyphens w:val="0"/>
              <w:ind w:firstLine="0"/>
              <w:jc w:val="left"/>
              <w:rPr>
                <w:color w:val="000000"/>
                <w:sz w:val="20"/>
              </w:rPr>
            </w:pPr>
            <w:r w:rsidRPr="00704640">
              <w:rPr>
                <w:color w:val="000000"/>
                <w:sz w:val="20"/>
              </w:rPr>
              <w:t>= 1</w:t>
            </w:r>
          </w:p>
        </w:tc>
        <w:tc>
          <w:tcPr>
            <w:tcW w:w="672" w:type="dxa"/>
            <w:tcBorders>
              <w:top w:val="single" w:sz="4" w:space="0" w:color="auto"/>
            </w:tcBorders>
            <w:shd w:val="clear" w:color="auto" w:fill="auto"/>
            <w:noWrap/>
            <w:vAlign w:val="center"/>
            <w:hideMark/>
          </w:tcPr>
          <w:p w14:paraId="58B492CB"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c>
          <w:tcPr>
            <w:tcW w:w="884" w:type="dxa"/>
            <w:tcBorders>
              <w:top w:val="single" w:sz="4" w:space="0" w:color="auto"/>
            </w:tcBorders>
            <w:shd w:val="clear" w:color="auto" w:fill="auto"/>
            <w:noWrap/>
            <w:vAlign w:val="center"/>
            <w:hideMark/>
          </w:tcPr>
          <w:p w14:paraId="22705EA6"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c>
          <w:tcPr>
            <w:tcW w:w="672" w:type="dxa"/>
            <w:tcBorders>
              <w:top w:val="single" w:sz="4" w:space="0" w:color="auto"/>
            </w:tcBorders>
            <w:shd w:val="clear" w:color="auto" w:fill="auto"/>
            <w:noWrap/>
            <w:vAlign w:val="center"/>
            <w:hideMark/>
          </w:tcPr>
          <w:p w14:paraId="4BEBC52B"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c>
          <w:tcPr>
            <w:tcW w:w="884" w:type="dxa"/>
            <w:tcBorders>
              <w:top w:val="single" w:sz="4" w:space="0" w:color="auto"/>
            </w:tcBorders>
            <w:shd w:val="clear" w:color="auto" w:fill="auto"/>
            <w:noWrap/>
            <w:vAlign w:val="center"/>
            <w:hideMark/>
          </w:tcPr>
          <w:p w14:paraId="2EF7EBAC"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c>
          <w:tcPr>
            <w:tcW w:w="672" w:type="dxa"/>
            <w:tcBorders>
              <w:top w:val="single" w:sz="4" w:space="0" w:color="auto"/>
            </w:tcBorders>
            <w:shd w:val="clear" w:color="auto" w:fill="auto"/>
            <w:noWrap/>
            <w:vAlign w:val="center"/>
            <w:hideMark/>
          </w:tcPr>
          <w:p w14:paraId="7818F248"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c>
          <w:tcPr>
            <w:tcW w:w="888" w:type="dxa"/>
            <w:tcBorders>
              <w:top w:val="single" w:sz="4" w:space="0" w:color="auto"/>
            </w:tcBorders>
            <w:shd w:val="clear" w:color="auto" w:fill="auto"/>
            <w:noWrap/>
            <w:vAlign w:val="center"/>
            <w:hideMark/>
          </w:tcPr>
          <w:p w14:paraId="7013BB53"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0%</w:t>
            </w:r>
          </w:p>
        </w:tc>
      </w:tr>
      <w:tr w:rsidR="00704640" w:rsidRPr="00704640" w14:paraId="398FD3F1" w14:textId="77777777" w:rsidTr="00DB73A1">
        <w:trPr>
          <w:cantSplit/>
          <w:trHeight w:val="20"/>
        </w:trPr>
        <w:tc>
          <w:tcPr>
            <w:tcW w:w="1913" w:type="dxa"/>
            <w:vMerge/>
            <w:shd w:val="clear" w:color="auto" w:fill="auto"/>
            <w:vAlign w:val="center"/>
            <w:hideMark/>
          </w:tcPr>
          <w:p w14:paraId="4DAD8D04" w14:textId="77777777" w:rsidR="00704640" w:rsidRPr="00704640" w:rsidRDefault="00704640" w:rsidP="00704640">
            <w:pPr>
              <w:widowControl/>
              <w:suppressLineNumbers w:val="0"/>
              <w:suppressAutoHyphens w:val="0"/>
              <w:ind w:firstLine="0"/>
              <w:jc w:val="left"/>
              <w:rPr>
                <w:color w:val="000000"/>
                <w:sz w:val="20"/>
              </w:rPr>
            </w:pPr>
          </w:p>
        </w:tc>
        <w:tc>
          <w:tcPr>
            <w:tcW w:w="2905" w:type="dxa"/>
            <w:shd w:val="clear" w:color="auto" w:fill="auto"/>
            <w:noWrap/>
            <w:vAlign w:val="center"/>
            <w:hideMark/>
          </w:tcPr>
          <w:p w14:paraId="1607A421" w14:textId="77777777" w:rsidR="00704640" w:rsidRPr="00704640" w:rsidRDefault="00704640" w:rsidP="00704640">
            <w:pPr>
              <w:widowControl/>
              <w:suppressLineNumbers w:val="0"/>
              <w:suppressAutoHyphens w:val="0"/>
              <w:ind w:firstLine="0"/>
              <w:jc w:val="left"/>
              <w:rPr>
                <w:color w:val="000000"/>
                <w:sz w:val="20"/>
              </w:rPr>
            </w:pPr>
            <w:r w:rsidRPr="00704640">
              <w:rPr>
                <w:color w:val="000000"/>
                <w:sz w:val="20"/>
              </w:rPr>
              <w:t>&gt; 1</w:t>
            </w:r>
          </w:p>
        </w:tc>
        <w:tc>
          <w:tcPr>
            <w:tcW w:w="672" w:type="dxa"/>
            <w:shd w:val="clear" w:color="auto" w:fill="auto"/>
            <w:noWrap/>
            <w:vAlign w:val="center"/>
            <w:hideMark/>
          </w:tcPr>
          <w:p w14:paraId="3E303904"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9</w:t>
            </w:r>
          </w:p>
        </w:tc>
        <w:tc>
          <w:tcPr>
            <w:tcW w:w="884" w:type="dxa"/>
            <w:shd w:val="clear" w:color="auto" w:fill="auto"/>
            <w:noWrap/>
            <w:vAlign w:val="center"/>
            <w:hideMark/>
          </w:tcPr>
          <w:p w14:paraId="5B081CAD"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18%</w:t>
            </w:r>
          </w:p>
        </w:tc>
        <w:tc>
          <w:tcPr>
            <w:tcW w:w="672" w:type="dxa"/>
            <w:shd w:val="clear" w:color="auto" w:fill="auto"/>
            <w:noWrap/>
            <w:vAlign w:val="center"/>
            <w:hideMark/>
          </w:tcPr>
          <w:p w14:paraId="61410AF6"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16</w:t>
            </w:r>
          </w:p>
        </w:tc>
        <w:tc>
          <w:tcPr>
            <w:tcW w:w="884" w:type="dxa"/>
            <w:shd w:val="clear" w:color="auto" w:fill="auto"/>
            <w:noWrap/>
            <w:vAlign w:val="center"/>
            <w:hideMark/>
          </w:tcPr>
          <w:p w14:paraId="174E71B6"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32%</w:t>
            </w:r>
          </w:p>
        </w:tc>
        <w:tc>
          <w:tcPr>
            <w:tcW w:w="672" w:type="dxa"/>
            <w:shd w:val="clear" w:color="auto" w:fill="auto"/>
            <w:noWrap/>
            <w:vAlign w:val="center"/>
            <w:hideMark/>
          </w:tcPr>
          <w:p w14:paraId="376D0DA3"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6</w:t>
            </w:r>
          </w:p>
        </w:tc>
        <w:tc>
          <w:tcPr>
            <w:tcW w:w="888" w:type="dxa"/>
            <w:shd w:val="clear" w:color="auto" w:fill="auto"/>
            <w:noWrap/>
            <w:vAlign w:val="center"/>
            <w:hideMark/>
          </w:tcPr>
          <w:p w14:paraId="6DB0FABB"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12%</w:t>
            </w:r>
          </w:p>
        </w:tc>
      </w:tr>
      <w:tr w:rsidR="00704640" w:rsidRPr="00704640" w14:paraId="24052125" w14:textId="77777777" w:rsidTr="00DB73A1">
        <w:trPr>
          <w:cantSplit/>
          <w:trHeight w:val="20"/>
        </w:trPr>
        <w:tc>
          <w:tcPr>
            <w:tcW w:w="1913" w:type="dxa"/>
            <w:vMerge/>
            <w:shd w:val="clear" w:color="auto" w:fill="auto"/>
            <w:vAlign w:val="center"/>
            <w:hideMark/>
          </w:tcPr>
          <w:p w14:paraId="5DC28FB4" w14:textId="77777777" w:rsidR="00704640" w:rsidRPr="00704640" w:rsidRDefault="00704640" w:rsidP="00704640">
            <w:pPr>
              <w:widowControl/>
              <w:suppressLineNumbers w:val="0"/>
              <w:suppressAutoHyphens w:val="0"/>
              <w:ind w:firstLine="0"/>
              <w:jc w:val="left"/>
              <w:rPr>
                <w:color w:val="000000"/>
                <w:sz w:val="20"/>
              </w:rPr>
            </w:pPr>
          </w:p>
        </w:tc>
        <w:tc>
          <w:tcPr>
            <w:tcW w:w="2905" w:type="dxa"/>
            <w:shd w:val="clear" w:color="auto" w:fill="auto"/>
            <w:noWrap/>
            <w:vAlign w:val="center"/>
            <w:hideMark/>
          </w:tcPr>
          <w:p w14:paraId="0C0FCD5A" w14:textId="77777777" w:rsidR="00704640" w:rsidRPr="00704640" w:rsidRDefault="00704640" w:rsidP="00704640">
            <w:pPr>
              <w:widowControl/>
              <w:suppressLineNumbers w:val="0"/>
              <w:suppressAutoHyphens w:val="0"/>
              <w:ind w:firstLine="0"/>
              <w:jc w:val="left"/>
              <w:rPr>
                <w:color w:val="000000"/>
                <w:sz w:val="20"/>
              </w:rPr>
            </w:pPr>
            <w:r w:rsidRPr="00704640">
              <w:rPr>
                <w:color w:val="000000"/>
                <w:sz w:val="20"/>
              </w:rPr>
              <w:t>&lt; 1</w:t>
            </w:r>
          </w:p>
        </w:tc>
        <w:tc>
          <w:tcPr>
            <w:tcW w:w="672" w:type="dxa"/>
            <w:shd w:val="clear" w:color="auto" w:fill="auto"/>
            <w:noWrap/>
            <w:vAlign w:val="center"/>
            <w:hideMark/>
          </w:tcPr>
          <w:p w14:paraId="5545AAD2"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31</w:t>
            </w:r>
          </w:p>
        </w:tc>
        <w:tc>
          <w:tcPr>
            <w:tcW w:w="884" w:type="dxa"/>
            <w:shd w:val="clear" w:color="auto" w:fill="auto"/>
            <w:noWrap/>
            <w:vAlign w:val="center"/>
            <w:hideMark/>
          </w:tcPr>
          <w:p w14:paraId="6CB70BCF"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62%</w:t>
            </w:r>
          </w:p>
        </w:tc>
        <w:tc>
          <w:tcPr>
            <w:tcW w:w="672" w:type="dxa"/>
            <w:shd w:val="clear" w:color="auto" w:fill="auto"/>
            <w:noWrap/>
            <w:vAlign w:val="center"/>
            <w:hideMark/>
          </w:tcPr>
          <w:p w14:paraId="454CF604"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24</w:t>
            </w:r>
          </w:p>
        </w:tc>
        <w:tc>
          <w:tcPr>
            <w:tcW w:w="884" w:type="dxa"/>
            <w:shd w:val="clear" w:color="auto" w:fill="auto"/>
            <w:noWrap/>
            <w:vAlign w:val="center"/>
            <w:hideMark/>
          </w:tcPr>
          <w:p w14:paraId="3486CDFF"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48%</w:t>
            </w:r>
          </w:p>
        </w:tc>
        <w:tc>
          <w:tcPr>
            <w:tcW w:w="672" w:type="dxa"/>
            <w:shd w:val="clear" w:color="auto" w:fill="auto"/>
            <w:noWrap/>
            <w:vAlign w:val="center"/>
            <w:hideMark/>
          </w:tcPr>
          <w:p w14:paraId="3299819C"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41</w:t>
            </w:r>
          </w:p>
        </w:tc>
        <w:tc>
          <w:tcPr>
            <w:tcW w:w="888" w:type="dxa"/>
            <w:shd w:val="clear" w:color="auto" w:fill="auto"/>
            <w:noWrap/>
            <w:vAlign w:val="center"/>
            <w:hideMark/>
          </w:tcPr>
          <w:p w14:paraId="460E0C92"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82%</w:t>
            </w:r>
          </w:p>
        </w:tc>
      </w:tr>
      <w:tr w:rsidR="00704640" w:rsidRPr="00704640" w14:paraId="2E6505FB" w14:textId="77777777" w:rsidTr="00DB73A1">
        <w:trPr>
          <w:cantSplit/>
          <w:trHeight w:val="332"/>
        </w:trPr>
        <w:tc>
          <w:tcPr>
            <w:tcW w:w="1913" w:type="dxa"/>
            <w:vMerge/>
            <w:shd w:val="clear" w:color="auto" w:fill="auto"/>
            <w:vAlign w:val="center"/>
            <w:hideMark/>
          </w:tcPr>
          <w:p w14:paraId="73D555B1" w14:textId="77777777" w:rsidR="00704640" w:rsidRPr="00704640" w:rsidRDefault="00704640" w:rsidP="00704640">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5A454B8E" w14:textId="77777777" w:rsidR="00704640" w:rsidRPr="00704640" w:rsidRDefault="00704640" w:rsidP="00704640">
            <w:pPr>
              <w:widowControl/>
              <w:suppressLineNumbers w:val="0"/>
              <w:suppressAutoHyphens w:val="0"/>
              <w:ind w:firstLine="0"/>
              <w:jc w:val="left"/>
              <w:rPr>
                <w:color w:val="000000"/>
                <w:sz w:val="20"/>
              </w:rPr>
            </w:pPr>
            <w:r w:rsidRPr="00704640">
              <w:rPr>
                <w:color w:val="000000"/>
                <w:sz w:val="20"/>
              </w:rPr>
              <w:t>Não Apresentou</w:t>
            </w:r>
          </w:p>
        </w:tc>
        <w:tc>
          <w:tcPr>
            <w:tcW w:w="672" w:type="dxa"/>
            <w:tcBorders>
              <w:bottom w:val="single" w:sz="4" w:space="0" w:color="auto"/>
            </w:tcBorders>
            <w:shd w:val="clear" w:color="auto" w:fill="auto"/>
            <w:noWrap/>
            <w:vAlign w:val="center"/>
            <w:hideMark/>
          </w:tcPr>
          <w:p w14:paraId="2F7061ED"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10</w:t>
            </w:r>
          </w:p>
        </w:tc>
        <w:tc>
          <w:tcPr>
            <w:tcW w:w="884" w:type="dxa"/>
            <w:tcBorders>
              <w:bottom w:val="single" w:sz="4" w:space="0" w:color="auto"/>
            </w:tcBorders>
            <w:shd w:val="clear" w:color="auto" w:fill="auto"/>
            <w:noWrap/>
            <w:vAlign w:val="center"/>
            <w:hideMark/>
          </w:tcPr>
          <w:p w14:paraId="056984B0"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20%</w:t>
            </w:r>
          </w:p>
        </w:tc>
        <w:tc>
          <w:tcPr>
            <w:tcW w:w="672" w:type="dxa"/>
            <w:tcBorders>
              <w:bottom w:val="single" w:sz="4" w:space="0" w:color="auto"/>
            </w:tcBorders>
            <w:shd w:val="clear" w:color="auto" w:fill="auto"/>
            <w:noWrap/>
            <w:vAlign w:val="center"/>
            <w:hideMark/>
          </w:tcPr>
          <w:p w14:paraId="3C140145"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10</w:t>
            </w:r>
          </w:p>
        </w:tc>
        <w:tc>
          <w:tcPr>
            <w:tcW w:w="884" w:type="dxa"/>
            <w:tcBorders>
              <w:bottom w:val="single" w:sz="4" w:space="0" w:color="auto"/>
            </w:tcBorders>
            <w:shd w:val="clear" w:color="auto" w:fill="auto"/>
            <w:noWrap/>
            <w:vAlign w:val="center"/>
            <w:hideMark/>
          </w:tcPr>
          <w:p w14:paraId="668189C8"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20%</w:t>
            </w:r>
          </w:p>
        </w:tc>
        <w:tc>
          <w:tcPr>
            <w:tcW w:w="672" w:type="dxa"/>
            <w:tcBorders>
              <w:bottom w:val="single" w:sz="4" w:space="0" w:color="auto"/>
            </w:tcBorders>
            <w:shd w:val="clear" w:color="auto" w:fill="auto"/>
            <w:noWrap/>
            <w:vAlign w:val="center"/>
            <w:hideMark/>
          </w:tcPr>
          <w:p w14:paraId="128FB612"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3</w:t>
            </w:r>
          </w:p>
        </w:tc>
        <w:tc>
          <w:tcPr>
            <w:tcW w:w="888" w:type="dxa"/>
            <w:tcBorders>
              <w:bottom w:val="single" w:sz="4" w:space="0" w:color="auto"/>
            </w:tcBorders>
            <w:shd w:val="clear" w:color="auto" w:fill="auto"/>
            <w:noWrap/>
            <w:vAlign w:val="center"/>
            <w:hideMark/>
          </w:tcPr>
          <w:p w14:paraId="2E48800C" w14:textId="77777777" w:rsidR="00704640" w:rsidRPr="00704640" w:rsidRDefault="00704640" w:rsidP="00704640">
            <w:pPr>
              <w:widowControl/>
              <w:suppressLineNumbers w:val="0"/>
              <w:suppressAutoHyphens w:val="0"/>
              <w:ind w:firstLine="0"/>
              <w:jc w:val="center"/>
              <w:rPr>
                <w:color w:val="000000"/>
                <w:sz w:val="20"/>
              </w:rPr>
            </w:pPr>
            <w:r w:rsidRPr="00704640">
              <w:rPr>
                <w:color w:val="000000"/>
                <w:sz w:val="20"/>
              </w:rPr>
              <w:t>6%</w:t>
            </w:r>
          </w:p>
        </w:tc>
      </w:tr>
      <w:tr w:rsidR="00704640" w:rsidRPr="00704640" w14:paraId="49848F4E" w14:textId="77777777" w:rsidTr="00DB73A1">
        <w:trPr>
          <w:cantSplit/>
          <w:trHeight w:val="20"/>
        </w:trPr>
        <w:tc>
          <w:tcPr>
            <w:tcW w:w="1913" w:type="dxa"/>
            <w:vMerge/>
            <w:tcBorders>
              <w:bottom w:val="single" w:sz="4" w:space="0" w:color="auto"/>
            </w:tcBorders>
            <w:shd w:val="clear" w:color="auto" w:fill="auto"/>
            <w:vAlign w:val="center"/>
            <w:hideMark/>
          </w:tcPr>
          <w:p w14:paraId="74A33BCE" w14:textId="77777777" w:rsidR="00704640" w:rsidRPr="00704640" w:rsidRDefault="00704640" w:rsidP="00704640">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353A54EF" w14:textId="77777777" w:rsidR="00704640" w:rsidRPr="00704640" w:rsidRDefault="00704640" w:rsidP="00704640">
            <w:pPr>
              <w:widowControl/>
              <w:suppressLineNumbers w:val="0"/>
              <w:suppressAutoHyphens w:val="0"/>
              <w:ind w:firstLine="0"/>
              <w:jc w:val="left"/>
              <w:rPr>
                <w:b/>
                <w:bCs/>
                <w:color w:val="000000"/>
                <w:sz w:val="20"/>
              </w:rPr>
            </w:pPr>
            <w:r w:rsidRPr="00704640">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19D91B7C" w14:textId="77777777" w:rsidR="00704640" w:rsidRPr="00704640" w:rsidRDefault="00704640" w:rsidP="00704640">
            <w:pPr>
              <w:widowControl/>
              <w:suppressLineNumbers w:val="0"/>
              <w:suppressAutoHyphens w:val="0"/>
              <w:ind w:firstLine="0"/>
              <w:jc w:val="center"/>
              <w:rPr>
                <w:b/>
                <w:bCs/>
                <w:color w:val="000000"/>
                <w:sz w:val="20"/>
              </w:rPr>
            </w:pPr>
            <w:r w:rsidRPr="00704640">
              <w:rPr>
                <w:b/>
                <w:bCs/>
                <w:color w:val="000000"/>
                <w:sz w:val="20"/>
              </w:rPr>
              <w:t>50</w:t>
            </w:r>
          </w:p>
        </w:tc>
        <w:tc>
          <w:tcPr>
            <w:tcW w:w="884" w:type="dxa"/>
            <w:tcBorders>
              <w:top w:val="single" w:sz="4" w:space="0" w:color="auto"/>
              <w:bottom w:val="single" w:sz="4" w:space="0" w:color="auto"/>
            </w:tcBorders>
            <w:shd w:val="clear" w:color="auto" w:fill="auto"/>
            <w:noWrap/>
            <w:vAlign w:val="center"/>
            <w:hideMark/>
          </w:tcPr>
          <w:p w14:paraId="3900228A" w14:textId="77777777" w:rsidR="00704640" w:rsidRPr="00704640" w:rsidRDefault="00704640" w:rsidP="00704640">
            <w:pPr>
              <w:widowControl/>
              <w:suppressLineNumbers w:val="0"/>
              <w:suppressAutoHyphens w:val="0"/>
              <w:ind w:firstLine="0"/>
              <w:jc w:val="center"/>
              <w:rPr>
                <w:b/>
                <w:bCs/>
                <w:color w:val="000000"/>
                <w:sz w:val="20"/>
              </w:rPr>
            </w:pPr>
            <w:r w:rsidRPr="00704640">
              <w:rPr>
                <w:b/>
                <w:bCs/>
                <w:color w:val="000000"/>
                <w:sz w:val="20"/>
              </w:rPr>
              <w:t>100%</w:t>
            </w:r>
          </w:p>
        </w:tc>
        <w:tc>
          <w:tcPr>
            <w:tcW w:w="672" w:type="dxa"/>
            <w:tcBorders>
              <w:top w:val="single" w:sz="4" w:space="0" w:color="auto"/>
              <w:bottom w:val="single" w:sz="4" w:space="0" w:color="auto"/>
            </w:tcBorders>
            <w:shd w:val="clear" w:color="auto" w:fill="auto"/>
            <w:noWrap/>
            <w:vAlign w:val="center"/>
            <w:hideMark/>
          </w:tcPr>
          <w:p w14:paraId="5539CE57" w14:textId="77777777" w:rsidR="00704640" w:rsidRPr="00704640" w:rsidRDefault="00704640" w:rsidP="00704640">
            <w:pPr>
              <w:widowControl/>
              <w:suppressLineNumbers w:val="0"/>
              <w:suppressAutoHyphens w:val="0"/>
              <w:ind w:firstLine="0"/>
              <w:jc w:val="center"/>
              <w:rPr>
                <w:b/>
                <w:bCs/>
                <w:color w:val="000000"/>
                <w:sz w:val="20"/>
              </w:rPr>
            </w:pPr>
            <w:r w:rsidRPr="00704640">
              <w:rPr>
                <w:b/>
                <w:bCs/>
                <w:color w:val="000000"/>
                <w:sz w:val="20"/>
              </w:rPr>
              <w:t>50</w:t>
            </w:r>
          </w:p>
        </w:tc>
        <w:tc>
          <w:tcPr>
            <w:tcW w:w="884" w:type="dxa"/>
            <w:tcBorders>
              <w:top w:val="single" w:sz="4" w:space="0" w:color="auto"/>
              <w:bottom w:val="single" w:sz="4" w:space="0" w:color="auto"/>
            </w:tcBorders>
            <w:shd w:val="clear" w:color="auto" w:fill="auto"/>
            <w:noWrap/>
            <w:vAlign w:val="center"/>
            <w:hideMark/>
          </w:tcPr>
          <w:p w14:paraId="25ADC104" w14:textId="77777777" w:rsidR="00704640" w:rsidRPr="00704640" w:rsidRDefault="00704640" w:rsidP="00704640">
            <w:pPr>
              <w:widowControl/>
              <w:suppressLineNumbers w:val="0"/>
              <w:suppressAutoHyphens w:val="0"/>
              <w:ind w:firstLine="0"/>
              <w:jc w:val="center"/>
              <w:rPr>
                <w:b/>
                <w:bCs/>
                <w:color w:val="000000"/>
                <w:sz w:val="20"/>
              </w:rPr>
            </w:pPr>
            <w:r w:rsidRPr="00704640">
              <w:rPr>
                <w:b/>
                <w:bCs/>
                <w:color w:val="000000"/>
                <w:sz w:val="20"/>
              </w:rPr>
              <w:t>100%</w:t>
            </w:r>
          </w:p>
        </w:tc>
        <w:tc>
          <w:tcPr>
            <w:tcW w:w="672" w:type="dxa"/>
            <w:tcBorders>
              <w:top w:val="single" w:sz="4" w:space="0" w:color="auto"/>
              <w:bottom w:val="single" w:sz="4" w:space="0" w:color="auto"/>
            </w:tcBorders>
            <w:shd w:val="clear" w:color="auto" w:fill="auto"/>
            <w:noWrap/>
            <w:vAlign w:val="center"/>
            <w:hideMark/>
          </w:tcPr>
          <w:p w14:paraId="15D26F07" w14:textId="77777777" w:rsidR="00704640" w:rsidRPr="00704640" w:rsidRDefault="00704640" w:rsidP="00704640">
            <w:pPr>
              <w:widowControl/>
              <w:suppressLineNumbers w:val="0"/>
              <w:suppressAutoHyphens w:val="0"/>
              <w:ind w:firstLine="0"/>
              <w:jc w:val="center"/>
              <w:rPr>
                <w:b/>
                <w:bCs/>
                <w:color w:val="000000"/>
                <w:sz w:val="20"/>
              </w:rPr>
            </w:pPr>
            <w:r w:rsidRPr="00704640">
              <w:rPr>
                <w:b/>
                <w:bCs/>
                <w:color w:val="000000"/>
                <w:sz w:val="20"/>
              </w:rPr>
              <w:t>50</w:t>
            </w:r>
          </w:p>
        </w:tc>
        <w:tc>
          <w:tcPr>
            <w:tcW w:w="888" w:type="dxa"/>
            <w:tcBorders>
              <w:top w:val="single" w:sz="4" w:space="0" w:color="auto"/>
              <w:bottom w:val="single" w:sz="4" w:space="0" w:color="auto"/>
            </w:tcBorders>
            <w:shd w:val="clear" w:color="auto" w:fill="auto"/>
            <w:noWrap/>
            <w:vAlign w:val="center"/>
            <w:hideMark/>
          </w:tcPr>
          <w:p w14:paraId="44FA1857" w14:textId="77777777" w:rsidR="00704640" w:rsidRPr="00704640" w:rsidRDefault="00704640" w:rsidP="00704640">
            <w:pPr>
              <w:widowControl/>
              <w:suppressLineNumbers w:val="0"/>
              <w:suppressAutoHyphens w:val="0"/>
              <w:ind w:firstLine="0"/>
              <w:jc w:val="center"/>
              <w:rPr>
                <w:b/>
                <w:bCs/>
                <w:color w:val="000000"/>
                <w:sz w:val="20"/>
              </w:rPr>
            </w:pPr>
            <w:r w:rsidRPr="00704640">
              <w:rPr>
                <w:b/>
                <w:bCs/>
                <w:color w:val="000000"/>
                <w:sz w:val="20"/>
              </w:rPr>
              <w:t>100%</w:t>
            </w:r>
          </w:p>
        </w:tc>
      </w:tr>
    </w:tbl>
    <w:p w14:paraId="7D7A8B09" w14:textId="3B076628" w:rsidR="00704640" w:rsidRPr="00704640" w:rsidRDefault="00704640" w:rsidP="00704640">
      <w:pPr>
        <w:widowControl/>
        <w:suppressLineNumbers w:val="0"/>
        <w:suppressAutoHyphens w:val="0"/>
        <w:spacing w:line="259" w:lineRule="auto"/>
        <w:ind w:firstLine="0"/>
        <w:jc w:val="left"/>
        <w:rPr>
          <w:rFonts w:eastAsia="Calibri"/>
          <w:sz w:val="20"/>
          <w:lang w:eastAsia="en-US"/>
        </w:rPr>
      </w:pPr>
      <w:r w:rsidRPr="00704640">
        <w:rPr>
          <w:rFonts w:eastAsia="Calibri"/>
          <w:sz w:val="20"/>
          <w:lang w:eastAsia="en-US"/>
        </w:rPr>
        <w:t xml:space="preserve">Fonte: </w:t>
      </w:r>
      <w:r w:rsidR="00521DCA">
        <w:rPr>
          <w:rFonts w:eastAsia="Calibri"/>
          <w:sz w:val="20"/>
          <w:szCs w:val="24"/>
        </w:rPr>
        <w:t>Dados da Pesquisa</w:t>
      </w:r>
    </w:p>
    <w:p w14:paraId="53DE2E4C" w14:textId="77777777" w:rsidR="00DD401D" w:rsidRDefault="00DD401D" w:rsidP="00DD401D">
      <w:pPr>
        <w:ind w:firstLine="708"/>
        <w:rPr>
          <w:rFonts w:eastAsia="Calibri"/>
          <w:szCs w:val="24"/>
        </w:rPr>
      </w:pPr>
    </w:p>
    <w:p w14:paraId="1FC4E848" w14:textId="7DCEA91C" w:rsidR="00D15244" w:rsidRDefault="008F1D4E" w:rsidP="00D445A3">
      <w:pPr>
        <w:rPr>
          <w:szCs w:val="24"/>
        </w:rPr>
      </w:pPr>
      <w:r>
        <w:rPr>
          <w:color w:val="000000"/>
          <w:szCs w:val="24"/>
        </w:rPr>
        <w:t>Para Kohama</w:t>
      </w:r>
      <w:r w:rsidR="00D15244">
        <w:rPr>
          <w:color w:val="000000"/>
          <w:szCs w:val="24"/>
        </w:rPr>
        <w:t xml:space="preserve"> </w:t>
      </w:r>
      <w:r>
        <w:rPr>
          <w:color w:val="000000"/>
          <w:szCs w:val="24"/>
        </w:rPr>
        <w:t>(2015) quanto</w:t>
      </w:r>
      <w:r w:rsidR="00D15244" w:rsidRPr="00BC3285">
        <w:rPr>
          <w:szCs w:val="24"/>
        </w:rPr>
        <w:t xml:space="preserve"> mais próximo de 1 esse quociente estiver,</w:t>
      </w:r>
      <w:r>
        <w:rPr>
          <w:szCs w:val="24"/>
        </w:rPr>
        <w:t xml:space="preserve"> nos resultados financeiros,</w:t>
      </w:r>
      <w:r w:rsidR="00D15244" w:rsidRPr="00BC3285">
        <w:rPr>
          <w:szCs w:val="24"/>
        </w:rPr>
        <w:t xml:space="preserve"> mais será desejável.</w:t>
      </w:r>
      <w:r w:rsidR="00D15244">
        <w:rPr>
          <w:szCs w:val="24"/>
        </w:rPr>
        <w:t xml:space="preserve"> </w:t>
      </w:r>
      <w:r>
        <w:rPr>
          <w:szCs w:val="24"/>
        </w:rPr>
        <w:t>Isto porque e</w:t>
      </w:r>
      <w:r w:rsidR="00D15244" w:rsidRPr="00BC3285">
        <w:rPr>
          <w:szCs w:val="24"/>
        </w:rPr>
        <w:t>sse quociente deve demonstrar quanto da receita extraorçamentária foi realizada, em confronto com o quanto da Despesa Extraorçamentária foi executada.</w:t>
      </w:r>
      <w:r w:rsidR="00D445A3">
        <w:rPr>
          <w:szCs w:val="24"/>
        </w:rPr>
        <w:t xml:space="preserve"> </w:t>
      </w:r>
      <w:r w:rsidR="00D15244" w:rsidRPr="007E7491">
        <w:rPr>
          <w:color w:val="000000"/>
          <w:szCs w:val="24"/>
        </w:rPr>
        <w:t xml:space="preserve">O montante maior que 1 </w:t>
      </w:r>
      <w:r w:rsidR="00D15244">
        <w:rPr>
          <w:color w:val="000000"/>
          <w:szCs w:val="24"/>
        </w:rPr>
        <w:t xml:space="preserve">foi baixo em relação ao menor que 1, o maior percentual foi no ano de 2016 entre os municípios de porte médio com 41% </w:t>
      </w:r>
      <w:r w:rsidR="00D15244" w:rsidRPr="007E7491">
        <w:rPr>
          <w:color w:val="000000"/>
          <w:szCs w:val="24"/>
        </w:rPr>
        <w:t xml:space="preserve">significando que a </w:t>
      </w:r>
      <w:r w:rsidR="00D15244" w:rsidRPr="00BC3285">
        <w:rPr>
          <w:szCs w:val="24"/>
        </w:rPr>
        <w:t xml:space="preserve">Receita Extraorçamentária </w:t>
      </w:r>
      <w:r w:rsidR="00D15244">
        <w:rPr>
          <w:szCs w:val="24"/>
        </w:rPr>
        <w:t xml:space="preserve">foi </w:t>
      </w:r>
      <w:r w:rsidR="00D15244" w:rsidRPr="00BC3285">
        <w:rPr>
          <w:szCs w:val="24"/>
        </w:rPr>
        <w:t>maior que a Despesa Extraorçamentária.</w:t>
      </w:r>
      <w:r w:rsidR="00D15244">
        <w:rPr>
          <w:szCs w:val="24"/>
        </w:rPr>
        <w:t xml:space="preserve"> </w:t>
      </w:r>
      <w:r w:rsidR="00D15244" w:rsidRPr="007E7491">
        <w:rPr>
          <w:color w:val="000000"/>
          <w:szCs w:val="24"/>
        </w:rPr>
        <w:t xml:space="preserve">Segundo Kohama, (2015) essa hipótese </w:t>
      </w:r>
      <w:r w:rsidR="00D15244" w:rsidRPr="00BC3285">
        <w:rPr>
          <w:szCs w:val="24"/>
        </w:rPr>
        <w:t>representará aumento da dívida flutuante, o que provocará, em consequência, aumento do passivo circulante, do balanço patrimonial.</w:t>
      </w:r>
    </w:p>
    <w:p w14:paraId="600FDF8E" w14:textId="6725FE89" w:rsidR="00D15244" w:rsidRDefault="00D15244" w:rsidP="00D15244">
      <w:pPr>
        <w:rPr>
          <w:szCs w:val="24"/>
        </w:rPr>
      </w:pPr>
      <w:r w:rsidRPr="00477960">
        <w:rPr>
          <w:color w:val="000000"/>
          <w:szCs w:val="24"/>
        </w:rPr>
        <w:t xml:space="preserve">Os casos de valores menores que 1 aconteceram </w:t>
      </w:r>
      <w:r>
        <w:rPr>
          <w:color w:val="000000"/>
          <w:szCs w:val="24"/>
        </w:rPr>
        <w:t>na grande maioria dos municípios</w:t>
      </w:r>
      <w:r w:rsidR="00D445A3">
        <w:rPr>
          <w:color w:val="000000"/>
          <w:szCs w:val="24"/>
        </w:rPr>
        <w:t xml:space="preserve">, destacando-se </w:t>
      </w:r>
      <w:r>
        <w:rPr>
          <w:color w:val="000000"/>
          <w:szCs w:val="24"/>
        </w:rPr>
        <w:t>os de p</w:t>
      </w:r>
      <w:r w:rsidR="008514F5">
        <w:rPr>
          <w:color w:val="000000"/>
          <w:szCs w:val="24"/>
        </w:rPr>
        <w:t>orte grande</w:t>
      </w:r>
      <w:r w:rsidR="00D445A3">
        <w:rPr>
          <w:color w:val="000000"/>
          <w:szCs w:val="24"/>
        </w:rPr>
        <w:t>, onde</w:t>
      </w:r>
      <w:r w:rsidR="008514F5">
        <w:rPr>
          <w:color w:val="000000"/>
          <w:szCs w:val="24"/>
        </w:rPr>
        <w:t xml:space="preserve"> os percentuais foram</w:t>
      </w:r>
      <w:r>
        <w:rPr>
          <w:color w:val="000000"/>
          <w:szCs w:val="24"/>
        </w:rPr>
        <w:t xml:space="preserve"> expressivos</w:t>
      </w:r>
      <w:r w:rsidRPr="00477960">
        <w:rPr>
          <w:color w:val="000000"/>
          <w:szCs w:val="24"/>
        </w:rPr>
        <w:t xml:space="preserve">, significando que a </w:t>
      </w:r>
      <w:r w:rsidRPr="00BC3285">
        <w:rPr>
          <w:szCs w:val="24"/>
        </w:rPr>
        <w:t xml:space="preserve">receita extraorçamentária </w:t>
      </w:r>
      <w:r>
        <w:rPr>
          <w:szCs w:val="24"/>
        </w:rPr>
        <w:t xml:space="preserve">foi </w:t>
      </w:r>
      <w:r w:rsidRPr="00BC3285">
        <w:rPr>
          <w:szCs w:val="24"/>
        </w:rPr>
        <w:t>menor que a despesa extraorçamentária</w:t>
      </w:r>
      <w:r>
        <w:rPr>
          <w:szCs w:val="24"/>
        </w:rPr>
        <w:t xml:space="preserve">. </w:t>
      </w:r>
      <w:r w:rsidRPr="00477960">
        <w:rPr>
          <w:color w:val="000000"/>
          <w:szCs w:val="24"/>
        </w:rPr>
        <w:t>Segundo Kohama, (2015</w:t>
      </w:r>
      <w:r w:rsidR="00D445A3">
        <w:rPr>
          <w:color w:val="000000"/>
          <w:szCs w:val="24"/>
        </w:rPr>
        <w:t>) q</w:t>
      </w:r>
      <w:r w:rsidR="008F7936" w:rsidRPr="00477960">
        <w:rPr>
          <w:color w:val="000000"/>
          <w:szCs w:val="24"/>
        </w:rPr>
        <w:t>uando</w:t>
      </w:r>
      <w:r w:rsidRPr="00BC3285">
        <w:rPr>
          <w:szCs w:val="24"/>
        </w:rPr>
        <w:t xml:space="preserve"> for menor do que 1, por um lado, refletirá uma diminuição da dívida flutuante e, por consequência, diminuição do passivo circulante, no balanço patrimonial, mas, por outro, refletirá a utilização de recursos financeiros, reduzindo as disponibilidades (caixa/bancos) existentes</w:t>
      </w:r>
      <w:r>
        <w:rPr>
          <w:szCs w:val="24"/>
        </w:rPr>
        <w:t>.</w:t>
      </w:r>
    </w:p>
    <w:p w14:paraId="2AEAFDF0" w14:textId="1FCC4603" w:rsidR="008F1D4E" w:rsidRDefault="008F1D4E" w:rsidP="00D15244">
      <w:pPr>
        <w:rPr>
          <w:rFonts w:eastAsia="Calibri"/>
          <w:sz w:val="20"/>
        </w:rPr>
      </w:pPr>
      <w:r>
        <w:rPr>
          <w:szCs w:val="24"/>
        </w:rPr>
        <w:t xml:space="preserve">O próximo item vai destacar a execução financeira dos municipios paraenses com </w:t>
      </w:r>
      <w:r w:rsidR="007D08EA">
        <w:rPr>
          <w:szCs w:val="24"/>
        </w:rPr>
        <w:t>a utilização de dois quocientes: Q</w:t>
      </w:r>
      <w:r w:rsidR="007D08EA" w:rsidRPr="007D08EA">
        <w:rPr>
          <w:szCs w:val="24"/>
        </w:rPr>
        <w:t>uocientes Financeiro Real da Execução Financeira</w:t>
      </w:r>
      <w:r w:rsidR="007D08EA" w:rsidRPr="007D08EA">
        <w:t xml:space="preserve"> </w:t>
      </w:r>
      <w:r w:rsidR="007D08EA">
        <w:t xml:space="preserve">e </w:t>
      </w:r>
      <w:r w:rsidR="007D08EA" w:rsidRPr="007D08EA">
        <w:rPr>
          <w:szCs w:val="24"/>
        </w:rPr>
        <w:t>Quociente do Resultado dos Saldos Financeiros</w:t>
      </w:r>
      <w:r w:rsidR="007D08EA">
        <w:rPr>
          <w:szCs w:val="24"/>
        </w:rPr>
        <w:t>.</w:t>
      </w:r>
    </w:p>
    <w:p w14:paraId="060DD4D5" w14:textId="77777777" w:rsidR="008514F5" w:rsidRDefault="008514F5" w:rsidP="008514F5">
      <w:pPr>
        <w:ind w:firstLine="0"/>
        <w:rPr>
          <w:rFonts w:eastAsia="Calibri"/>
          <w:szCs w:val="24"/>
        </w:rPr>
      </w:pPr>
    </w:p>
    <w:p w14:paraId="5F602B02" w14:textId="5C22833C" w:rsidR="008514F5" w:rsidRPr="008514F5" w:rsidRDefault="008514F5" w:rsidP="008514F5">
      <w:pPr>
        <w:ind w:firstLine="0"/>
        <w:rPr>
          <w:rFonts w:eastAsia="Calibri"/>
          <w:b/>
          <w:szCs w:val="24"/>
        </w:rPr>
      </w:pPr>
      <w:r w:rsidRPr="008514F5">
        <w:rPr>
          <w:rFonts w:eastAsia="Calibri"/>
          <w:b/>
          <w:szCs w:val="24"/>
        </w:rPr>
        <w:t xml:space="preserve">4.2 </w:t>
      </w:r>
      <w:r>
        <w:rPr>
          <w:rFonts w:eastAsia="Calibri"/>
          <w:b/>
          <w:szCs w:val="24"/>
        </w:rPr>
        <w:t xml:space="preserve">Resultado da </w:t>
      </w:r>
      <w:r w:rsidRPr="008514F5">
        <w:rPr>
          <w:rFonts w:eastAsia="Calibri"/>
          <w:b/>
          <w:szCs w:val="24"/>
        </w:rPr>
        <w:t>Execução Financeira</w:t>
      </w:r>
    </w:p>
    <w:p w14:paraId="10C536DC" w14:textId="656746CD" w:rsidR="00DD401D" w:rsidRDefault="008F7936" w:rsidP="00E35362">
      <w:pPr>
        <w:rPr>
          <w:rFonts w:eastAsia="Calibri"/>
          <w:szCs w:val="24"/>
        </w:rPr>
      </w:pPr>
      <w:r>
        <w:rPr>
          <w:rFonts w:eastAsia="Calibri"/>
          <w:szCs w:val="24"/>
        </w:rPr>
        <w:t>Os achados ilustrados na tabela 9 mostram que</w:t>
      </w:r>
      <w:r w:rsidRPr="008F7936">
        <w:t xml:space="preserve"> </w:t>
      </w:r>
      <w:r>
        <w:rPr>
          <w:rFonts w:eastAsia="Calibri"/>
          <w:szCs w:val="24"/>
        </w:rPr>
        <w:t>n</w:t>
      </w:r>
      <w:r w:rsidRPr="008F7936">
        <w:rPr>
          <w:rFonts w:eastAsia="Calibri"/>
          <w:szCs w:val="24"/>
        </w:rPr>
        <w:t xml:space="preserve">ão foram encontrados valores iguais a 1 no período, mostrando que a soma Receita (Orçamentária + Extraorçamentária) não foi igual a soma da Despesa (Orçamentária + Extraorçamentária). Para Kohama, (2015) esse quociente igual a 1, deverá ser considerado normal, pois demonstrará haver equilíbrio, pois demonstrará haver equilíbrio na soma Receita (Orçamentária + Extraorçamentária) com a soma da Despesa </w:t>
      </w:r>
      <w:r w:rsidRPr="008F7936">
        <w:rPr>
          <w:rFonts w:eastAsia="Calibri"/>
          <w:szCs w:val="24"/>
        </w:rPr>
        <w:lastRenderedPageBreak/>
        <w:t>(Orçamentária + Extraorçamentária).</w:t>
      </w:r>
    </w:p>
    <w:p w14:paraId="23CD29C6" w14:textId="77777777" w:rsidR="008514F5" w:rsidRDefault="008514F5" w:rsidP="00E35362">
      <w:pPr>
        <w:rPr>
          <w:rFonts w:eastAsia="Calibri"/>
          <w:szCs w:val="24"/>
        </w:rPr>
      </w:pPr>
    </w:p>
    <w:p w14:paraId="7DBD2BDE" w14:textId="58BCA33B" w:rsidR="003F7552" w:rsidRPr="006E6CAF" w:rsidRDefault="003F7552" w:rsidP="003F7552">
      <w:pPr>
        <w:widowControl/>
        <w:suppressLineNumbers w:val="0"/>
        <w:suppressAutoHyphens w:val="0"/>
        <w:spacing w:line="259" w:lineRule="auto"/>
        <w:ind w:firstLine="0"/>
        <w:jc w:val="left"/>
        <w:rPr>
          <w:rFonts w:eastAsia="Calibri"/>
          <w:sz w:val="20"/>
          <w:lang w:eastAsia="en-US"/>
        </w:rPr>
      </w:pPr>
      <w:r>
        <w:rPr>
          <w:rFonts w:eastAsia="Calibri"/>
          <w:sz w:val="20"/>
          <w:lang w:eastAsia="en-US"/>
        </w:rPr>
        <w:t xml:space="preserve">Tabela 9 – Resultado dos Quocientes </w:t>
      </w:r>
      <w:r w:rsidR="0032494D">
        <w:rPr>
          <w:rFonts w:eastAsia="Calibri"/>
          <w:sz w:val="20"/>
          <w:lang w:eastAsia="en-US"/>
        </w:rPr>
        <w:t>Financeiro Real</w:t>
      </w:r>
      <w:r w:rsidR="00E70312" w:rsidRPr="003D17F9">
        <w:rPr>
          <w:color w:val="000000"/>
          <w:sz w:val="20"/>
        </w:rPr>
        <w:t xml:space="preserve"> </w:t>
      </w:r>
      <w:r w:rsidR="00E70312">
        <w:rPr>
          <w:color w:val="000000"/>
          <w:sz w:val="20"/>
        </w:rPr>
        <w:t>d</w:t>
      </w:r>
      <w:r w:rsidR="00E70312" w:rsidRPr="003D17F9">
        <w:rPr>
          <w:color w:val="000000"/>
          <w:sz w:val="20"/>
        </w:rPr>
        <w:t>a Execução Financeira</w:t>
      </w:r>
    </w:p>
    <w:tbl>
      <w:tblPr>
        <w:tblW w:w="9490" w:type="dxa"/>
        <w:tblCellMar>
          <w:left w:w="70" w:type="dxa"/>
          <w:right w:w="70" w:type="dxa"/>
        </w:tblCellMar>
        <w:tblLook w:val="04A0" w:firstRow="1" w:lastRow="0" w:firstColumn="1" w:lastColumn="0" w:noHBand="0" w:noVBand="1"/>
      </w:tblPr>
      <w:tblGrid>
        <w:gridCol w:w="1913"/>
        <w:gridCol w:w="2905"/>
        <w:gridCol w:w="672"/>
        <w:gridCol w:w="884"/>
        <w:gridCol w:w="672"/>
        <w:gridCol w:w="884"/>
        <w:gridCol w:w="672"/>
        <w:gridCol w:w="888"/>
      </w:tblGrid>
      <w:tr w:rsidR="003D17F9" w:rsidRPr="003D17F9" w14:paraId="53348A45" w14:textId="77777777" w:rsidTr="00DB73A1">
        <w:trPr>
          <w:cantSplit/>
          <w:trHeight w:val="20"/>
        </w:trPr>
        <w:tc>
          <w:tcPr>
            <w:tcW w:w="1913" w:type="dxa"/>
            <w:tcBorders>
              <w:top w:val="single" w:sz="4" w:space="0" w:color="auto"/>
            </w:tcBorders>
            <w:shd w:val="clear" w:color="auto" w:fill="auto"/>
            <w:noWrap/>
            <w:vAlign w:val="bottom"/>
            <w:hideMark/>
          </w:tcPr>
          <w:p w14:paraId="28A3466C" w14:textId="77777777" w:rsidR="003D17F9" w:rsidRPr="003D17F9" w:rsidRDefault="003D17F9" w:rsidP="003D17F9">
            <w:pPr>
              <w:widowControl/>
              <w:suppressLineNumbers w:val="0"/>
              <w:suppressAutoHyphens w:val="0"/>
              <w:ind w:firstLine="0"/>
              <w:jc w:val="center"/>
              <w:rPr>
                <w:color w:val="000000"/>
                <w:sz w:val="20"/>
              </w:rPr>
            </w:pPr>
          </w:p>
        </w:tc>
        <w:tc>
          <w:tcPr>
            <w:tcW w:w="2905" w:type="dxa"/>
            <w:tcBorders>
              <w:top w:val="single" w:sz="4" w:space="0" w:color="auto"/>
            </w:tcBorders>
            <w:shd w:val="clear" w:color="auto" w:fill="auto"/>
            <w:noWrap/>
            <w:vAlign w:val="center"/>
            <w:hideMark/>
          </w:tcPr>
          <w:p w14:paraId="1AD159A1"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 </w:t>
            </w:r>
          </w:p>
        </w:tc>
        <w:tc>
          <w:tcPr>
            <w:tcW w:w="1556" w:type="dxa"/>
            <w:gridSpan w:val="2"/>
            <w:tcBorders>
              <w:top w:val="single" w:sz="4" w:space="0" w:color="auto"/>
              <w:bottom w:val="single" w:sz="4" w:space="0" w:color="auto"/>
            </w:tcBorders>
            <w:shd w:val="clear" w:color="auto" w:fill="auto"/>
            <w:noWrap/>
            <w:vAlign w:val="center"/>
            <w:hideMark/>
          </w:tcPr>
          <w:p w14:paraId="6C683866"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2015</w:t>
            </w:r>
          </w:p>
        </w:tc>
        <w:tc>
          <w:tcPr>
            <w:tcW w:w="1556" w:type="dxa"/>
            <w:gridSpan w:val="2"/>
            <w:tcBorders>
              <w:top w:val="single" w:sz="4" w:space="0" w:color="auto"/>
              <w:bottom w:val="single" w:sz="4" w:space="0" w:color="auto"/>
            </w:tcBorders>
            <w:shd w:val="clear" w:color="auto" w:fill="auto"/>
            <w:noWrap/>
            <w:vAlign w:val="center"/>
            <w:hideMark/>
          </w:tcPr>
          <w:p w14:paraId="754882C2"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2016</w:t>
            </w:r>
          </w:p>
        </w:tc>
        <w:tc>
          <w:tcPr>
            <w:tcW w:w="1560" w:type="dxa"/>
            <w:gridSpan w:val="2"/>
            <w:tcBorders>
              <w:top w:val="single" w:sz="4" w:space="0" w:color="auto"/>
            </w:tcBorders>
            <w:shd w:val="clear" w:color="auto" w:fill="auto"/>
            <w:noWrap/>
            <w:vAlign w:val="center"/>
            <w:hideMark/>
          </w:tcPr>
          <w:p w14:paraId="79CD4748"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2017</w:t>
            </w:r>
          </w:p>
        </w:tc>
      </w:tr>
      <w:tr w:rsidR="003D17F9" w:rsidRPr="003D17F9" w14:paraId="1FC28C2F" w14:textId="77777777" w:rsidTr="00DB73A1">
        <w:trPr>
          <w:cantSplit/>
          <w:trHeight w:val="20"/>
        </w:trPr>
        <w:tc>
          <w:tcPr>
            <w:tcW w:w="1913" w:type="dxa"/>
            <w:vMerge w:val="restart"/>
            <w:shd w:val="clear" w:color="auto" w:fill="auto"/>
            <w:vAlign w:val="center"/>
            <w:hideMark/>
          </w:tcPr>
          <w:p w14:paraId="21A94F50"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Municípios de Grande Porte</w:t>
            </w:r>
          </w:p>
        </w:tc>
        <w:tc>
          <w:tcPr>
            <w:tcW w:w="2905" w:type="dxa"/>
            <w:shd w:val="clear" w:color="auto" w:fill="auto"/>
            <w:noWrap/>
            <w:vAlign w:val="bottom"/>
            <w:hideMark/>
          </w:tcPr>
          <w:p w14:paraId="77546628" w14:textId="77777777" w:rsidR="003D17F9" w:rsidRPr="003D17F9" w:rsidRDefault="003D17F9" w:rsidP="003D17F9">
            <w:pPr>
              <w:widowControl/>
              <w:suppressLineNumbers w:val="0"/>
              <w:suppressAutoHyphens w:val="0"/>
              <w:ind w:firstLine="0"/>
              <w:jc w:val="center"/>
              <w:rPr>
                <w:color w:val="000000"/>
                <w:sz w:val="20"/>
              </w:rPr>
            </w:pPr>
          </w:p>
        </w:tc>
        <w:tc>
          <w:tcPr>
            <w:tcW w:w="672" w:type="dxa"/>
            <w:tcBorders>
              <w:top w:val="single" w:sz="4" w:space="0" w:color="auto"/>
            </w:tcBorders>
            <w:shd w:val="clear" w:color="auto" w:fill="auto"/>
            <w:noWrap/>
            <w:vAlign w:val="center"/>
            <w:hideMark/>
          </w:tcPr>
          <w:p w14:paraId="7BE01246"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QM.</w:t>
            </w:r>
          </w:p>
        </w:tc>
        <w:tc>
          <w:tcPr>
            <w:tcW w:w="884" w:type="dxa"/>
            <w:tcBorders>
              <w:top w:val="single" w:sz="4" w:space="0" w:color="auto"/>
            </w:tcBorders>
            <w:shd w:val="clear" w:color="auto" w:fill="auto"/>
            <w:noWrap/>
            <w:vAlign w:val="center"/>
            <w:hideMark/>
          </w:tcPr>
          <w:p w14:paraId="5E2A1079"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w:t>
            </w:r>
          </w:p>
        </w:tc>
        <w:tc>
          <w:tcPr>
            <w:tcW w:w="672" w:type="dxa"/>
            <w:tcBorders>
              <w:top w:val="single" w:sz="4" w:space="0" w:color="auto"/>
            </w:tcBorders>
            <w:shd w:val="clear" w:color="auto" w:fill="auto"/>
            <w:noWrap/>
            <w:vAlign w:val="center"/>
            <w:hideMark/>
          </w:tcPr>
          <w:p w14:paraId="0EC6D457"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QM.</w:t>
            </w:r>
          </w:p>
        </w:tc>
        <w:tc>
          <w:tcPr>
            <w:tcW w:w="884" w:type="dxa"/>
            <w:tcBorders>
              <w:top w:val="single" w:sz="4" w:space="0" w:color="auto"/>
            </w:tcBorders>
            <w:shd w:val="clear" w:color="auto" w:fill="auto"/>
            <w:noWrap/>
            <w:vAlign w:val="center"/>
            <w:hideMark/>
          </w:tcPr>
          <w:p w14:paraId="7CCCD409"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w:t>
            </w:r>
          </w:p>
        </w:tc>
        <w:tc>
          <w:tcPr>
            <w:tcW w:w="672" w:type="dxa"/>
            <w:tcBorders>
              <w:top w:val="single" w:sz="4" w:space="0" w:color="auto"/>
            </w:tcBorders>
            <w:shd w:val="clear" w:color="auto" w:fill="auto"/>
            <w:noWrap/>
            <w:vAlign w:val="center"/>
            <w:hideMark/>
          </w:tcPr>
          <w:p w14:paraId="58EF5395"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QM.</w:t>
            </w:r>
          </w:p>
        </w:tc>
        <w:tc>
          <w:tcPr>
            <w:tcW w:w="888" w:type="dxa"/>
            <w:tcBorders>
              <w:top w:val="single" w:sz="4" w:space="0" w:color="auto"/>
            </w:tcBorders>
            <w:shd w:val="clear" w:color="auto" w:fill="auto"/>
            <w:noWrap/>
            <w:vAlign w:val="center"/>
            <w:hideMark/>
          </w:tcPr>
          <w:p w14:paraId="70664DC6"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w:t>
            </w:r>
          </w:p>
        </w:tc>
      </w:tr>
      <w:tr w:rsidR="003D17F9" w:rsidRPr="003D17F9" w14:paraId="2E88CB58" w14:textId="77777777" w:rsidTr="00DB73A1">
        <w:trPr>
          <w:cantSplit/>
          <w:trHeight w:val="20"/>
        </w:trPr>
        <w:tc>
          <w:tcPr>
            <w:tcW w:w="1913" w:type="dxa"/>
            <w:vMerge/>
            <w:shd w:val="clear" w:color="auto" w:fill="auto"/>
            <w:vAlign w:val="center"/>
            <w:hideMark/>
          </w:tcPr>
          <w:p w14:paraId="0588A63E" w14:textId="77777777" w:rsidR="003D17F9" w:rsidRPr="003D17F9" w:rsidRDefault="003D17F9" w:rsidP="003D17F9">
            <w:pPr>
              <w:widowControl/>
              <w:suppressLineNumbers w:val="0"/>
              <w:suppressAutoHyphens w:val="0"/>
              <w:ind w:firstLine="0"/>
              <w:jc w:val="left"/>
              <w:rPr>
                <w:color w:val="000000"/>
                <w:sz w:val="20"/>
              </w:rPr>
            </w:pPr>
          </w:p>
        </w:tc>
        <w:tc>
          <w:tcPr>
            <w:tcW w:w="2905" w:type="dxa"/>
            <w:shd w:val="clear" w:color="auto" w:fill="auto"/>
            <w:noWrap/>
            <w:vAlign w:val="center"/>
            <w:hideMark/>
          </w:tcPr>
          <w:p w14:paraId="665E50B8" w14:textId="77777777" w:rsidR="003D17F9" w:rsidRPr="003D17F9" w:rsidRDefault="003D17F9" w:rsidP="003D17F9">
            <w:pPr>
              <w:widowControl/>
              <w:suppressLineNumbers w:val="0"/>
              <w:suppressAutoHyphens w:val="0"/>
              <w:ind w:firstLine="0"/>
              <w:jc w:val="left"/>
              <w:rPr>
                <w:color w:val="000000"/>
                <w:sz w:val="20"/>
              </w:rPr>
            </w:pPr>
            <w:r w:rsidRPr="003D17F9">
              <w:rPr>
                <w:color w:val="000000"/>
                <w:sz w:val="20"/>
              </w:rPr>
              <w:t>= 1</w:t>
            </w:r>
          </w:p>
        </w:tc>
        <w:tc>
          <w:tcPr>
            <w:tcW w:w="672" w:type="dxa"/>
            <w:shd w:val="clear" w:color="auto" w:fill="auto"/>
            <w:noWrap/>
            <w:vAlign w:val="center"/>
            <w:hideMark/>
          </w:tcPr>
          <w:p w14:paraId="4B4B8586"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884" w:type="dxa"/>
            <w:shd w:val="clear" w:color="auto" w:fill="auto"/>
            <w:noWrap/>
            <w:vAlign w:val="center"/>
            <w:hideMark/>
          </w:tcPr>
          <w:p w14:paraId="2B4E47FD"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672" w:type="dxa"/>
            <w:shd w:val="clear" w:color="auto" w:fill="auto"/>
            <w:noWrap/>
            <w:vAlign w:val="center"/>
            <w:hideMark/>
          </w:tcPr>
          <w:p w14:paraId="752C745F"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884" w:type="dxa"/>
            <w:shd w:val="clear" w:color="auto" w:fill="auto"/>
            <w:noWrap/>
            <w:vAlign w:val="center"/>
            <w:hideMark/>
          </w:tcPr>
          <w:p w14:paraId="45795AF2"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672" w:type="dxa"/>
            <w:shd w:val="clear" w:color="auto" w:fill="auto"/>
            <w:noWrap/>
            <w:vAlign w:val="center"/>
            <w:hideMark/>
          </w:tcPr>
          <w:p w14:paraId="5BA2C842"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888" w:type="dxa"/>
            <w:shd w:val="clear" w:color="auto" w:fill="auto"/>
            <w:noWrap/>
            <w:vAlign w:val="center"/>
            <w:hideMark/>
          </w:tcPr>
          <w:p w14:paraId="0EE97DB9"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r>
      <w:tr w:rsidR="003D17F9" w:rsidRPr="003D17F9" w14:paraId="3A175985" w14:textId="77777777" w:rsidTr="00DB73A1">
        <w:trPr>
          <w:cantSplit/>
          <w:trHeight w:val="20"/>
        </w:trPr>
        <w:tc>
          <w:tcPr>
            <w:tcW w:w="1913" w:type="dxa"/>
            <w:vMerge/>
            <w:shd w:val="clear" w:color="auto" w:fill="auto"/>
            <w:vAlign w:val="center"/>
            <w:hideMark/>
          </w:tcPr>
          <w:p w14:paraId="50EDBE18" w14:textId="77777777" w:rsidR="003D17F9" w:rsidRPr="003D17F9" w:rsidRDefault="003D17F9" w:rsidP="003D17F9">
            <w:pPr>
              <w:widowControl/>
              <w:suppressLineNumbers w:val="0"/>
              <w:suppressAutoHyphens w:val="0"/>
              <w:ind w:firstLine="0"/>
              <w:jc w:val="left"/>
              <w:rPr>
                <w:color w:val="000000"/>
                <w:sz w:val="20"/>
              </w:rPr>
            </w:pPr>
          </w:p>
        </w:tc>
        <w:tc>
          <w:tcPr>
            <w:tcW w:w="2905" w:type="dxa"/>
            <w:shd w:val="clear" w:color="auto" w:fill="auto"/>
            <w:noWrap/>
            <w:vAlign w:val="center"/>
            <w:hideMark/>
          </w:tcPr>
          <w:p w14:paraId="4BA2715D" w14:textId="77777777" w:rsidR="003D17F9" w:rsidRPr="003D17F9" w:rsidRDefault="003D17F9" w:rsidP="003D17F9">
            <w:pPr>
              <w:widowControl/>
              <w:suppressLineNumbers w:val="0"/>
              <w:suppressAutoHyphens w:val="0"/>
              <w:ind w:firstLine="0"/>
              <w:jc w:val="left"/>
              <w:rPr>
                <w:color w:val="000000"/>
                <w:sz w:val="20"/>
              </w:rPr>
            </w:pPr>
            <w:r w:rsidRPr="003D17F9">
              <w:rPr>
                <w:color w:val="000000"/>
                <w:sz w:val="20"/>
              </w:rPr>
              <w:t>&gt; 1</w:t>
            </w:r>
          </w:p>
        </w:tc>
        <w:tc>
          <w:tcPr>
            <w:tcW w:w="672" w:type="dxa"/>
            <w:shd w:val="clear" w:color="auto" w:fill="auto"/>
            <w:noWrap/>
            <w:vAlign w:val="center"/>
            <w:hideMark/>
          </w:tcPr>
          <w:p w14:paraId="31E3E40A"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3</w:t>
            </w:r>
          </w:p>
        </w:tc>
        <w:tc>
          <w:tcPr>
            <w:tcW w:w="884" w:type="dxa"/>
            <w:shd w:val="clear" w:color="auto" w:fill="auto"/>
            <w:noWrap/>
            <w:vAlign w:val="center"/>
            <w:hideMark/>
          </w:tcPr>
          <w:p w14:paraId="0EB012A7"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17%</w:t>
            </w:r>
          </w:p>
        </w:tc>
        <w:tc>
          <w:tcPr>
            <w:tcW w:w="672" w:type="dxa"/>
            <w:shd w:val="clear" w:color="auto" w:fill="auto"/>
            <w:noWrap/>
            <w:vAlign w:val="center"/>
            <w:hideMark/>
          </w:tcPr>
          <w:p w14:paraId="13C83AEE"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4</w:t>
            </w:r>
          </w:p>
        </w:tc>
        <w:tc>
          <w:tcPr>
            <w:tcW w:w="884" w:type="dxa"/>
            <w:shd w:val="clear" w:color="auto" w:fill="auto"/>
            <w:noWrap/>
            <w:vAlign w:val="center"/>
            <w:hideMark/>
          </w:tcPr>
          <w:p w14:paraId="03898106"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22%</w:t>
            </w:r>
          </w:p>
        </w:tc>
        <w:tc>
          <w:tcPr>
            <w:tcW w:w="672" w:type="dxa"/>
            <w:shd w:val="clear" w:color="auto" w:fill="auto"/>
            <w:noWrap/>
            <w:vAlign w:val="center"/>
            <w:hideMark/>
          </w:tcPr>
          <w:p w14:paraId="4D277E5F"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5</w:t>
            </w:r>
          </w:p>
        </w:tc>
        <w:tc>
          <w:tcPr>
            <w:tcW w:w="888" w:type="dxa"/>
            <w:shd w:val="clear" w:color="auto" w:fill="auto"/>
            <w:noWrap/>
            <w:vAlign w:val="center"/>
            <w:hideMark/>
          </w:tcPr>
          <w:p w14:paraId="7F27EF61"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28%</w:t>
            </w:r>
          </w:p>
        </w:tc>
      </w:tr>
      <w:tr w:rsidR="003D17F9" w:rsidRPr="003D17F9" w14:paraId="6A88694F" w14:textId="77777777" w:rsidTr="00DB73A1">
        <w:trPr>
          <w:cantSplit/>
          <w:trHeight w:val="20"/>
        </w:trPr>
        <w:tc>
          <w:tcPr>
            <w:tcW w:w="1913" w:type="dxa"/>
            <w:vMerge/>
            <w:shd w:val="clear" w:color="auto" w:fill="auto"/>
            <w:vAlign w:val="center"/>
            <w:hideMark/>
          </w:tcPr>
          <w:p w14:paraId="2CD211C5" w14:textId="77777777" w:rsidR="003D17F9" w:rsidRPr="003D17F9" w:rsidRDefault="003D17F9" w:rsidP="003D17F9">
            <w:pPr>
              <w:widowControl/>
              <w:suppressLineNumbers w:val="0"/>
              <w:suppressAutoHyphens w:val="0"/>
              <w:ind w:firstLine="0"/>
              <w:jc w:val="left"/>
              <w:rPr>
                <w:color w:val="000000"/>
                <w:sz w:val="20"/>
              </w:rPr>
            </w:pPr>
          </w:p>
        </w:tc>
        <w:tc>
          <w:tcPr>
            <w:tcW w:w="2905" w:type="dxa"/>
            <w:shd w:val="clear" w:color="auto" w:fill="auto"/>
            <w:noWrap/>
            <w:vAlign w:val="center"/>
            <w:hideMark/>
          </w:tcPr>
          <w:p w14:paraId="12006CDD" w14:textId="77777777" w:rsidR="003D17F9" w:rsidRPr="003D17F9" w:rsidRDefault="003D17F9" w:rsidP="003D17F9">
            <w:pPr>
              <w:widowControl/>
              <w:suppressLineNumbers w:val="0"/>
              <w:suppressAutoHyphens w:val="0"/>
              <w:ind w:firstLine="0"/>
              <w:jc w:val="left"/>
              <w:rPr>
                <w:color w:val="000000"/>
                <w:sz w:val="20"/>
              </w:rPr>
            </w:pPr>
            <w:r w:rsidRPr="003D17F9">
              <w:rPr>
                <w:color w:val="000000"/>
                <w:sz w:val="20"/>
              </w:rPr>
              <w:t>&lt; 1</w:t>
            </w:r>
          </w:p>
        </w:tc>
        <w:tc>
          <w:tcPr>
            <w:tcW w:w="672" w:type="dxa"/>
            <w:shd w:val="clear" w:color="auto" w:fill="auto"/>
            <w:noWrap/>
            <w:vAlign w:val="center"/>
            <w:hideMark/>
          </w:tcPr>
          <w:p w14:paraId="355D19E6"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13</w:t>
            </w:r>
          </w:p>
        </w:tc>
        <w:tc>
          <w:tcPr>
            <w:tcW w:w="884" w:type="dxa"/>
            <w:shd w:val="clear" w:color="auto" w:fill="auto"/>
            <w:noWrap/>
            <w:vAlign w:val="center"/>
            <w:hideMark/>
          </w:tcPr>
          <w:p w14:paraId="4FB76E8F"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72%</w:t>
            </w:r>
          </w:p>
        </w:tc>
        <w:tc>
          <w:tcPr>
            <w:tcW w:w="672" w:type="dxa"/>
            <w:shd w:val="clear" w:color="auto" w:fill="auto"/>
            <w:noWrap/>
            <w:vAlign w:val="center"/>
            <w:hideMark/>
          </w:tcPr>
          <w:p w14:paraId="4B195444"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14</w:t>
            </w:r>
          </w:p>
        </w:tc>
        <w:tc>
          <w:tcPr>
            <w:tcW w:w="884" w:type="dxa"/>
            <w:shd w:val="clear" w:color="auto" w:fill="auto"/>
            <w:noWrap/>
            <w:vAlign w:val="center"/>
            <w:hideMark/>
          </w:tcPr>
          <w:p w14:paraId="25C29942"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78%</w:t>
            </w:r>
          </w:p>
        </w:tc>
        <w:tc>
          <w:tcPr>
            <w:tcW w:w="672" w:type="dxa"/>
            <w:shd w:val="clear" w:color="auto" w:fill="auto"/>
            <w:noWrap/>
            <w:vAlign w:val="center"/>
            <w:hideMark/>
          </w:tcPr>
          <w:p w14:paraId="357E49AD"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11</w:t>
            </w:r>
          </w:p>
        </w:tc>
        <w:tc>
          <w:tcPr>
            <w:tcW w:w="888" w:type="dxa"/>
            <w:shd w:val="clear" w:color="auto" w:fill="auto"/>
            <w:noWrap/>
            <w:vAlign w:val="center"/>
            <w:hideMark/>
          </w:tcPr>
          <w:p w14:paraId="48DD3D60"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61%</w:t>
            </w:r>
          </w:p>
        </w:tc>
      </w:tr>
      <w:tr w:rsidR="003D17F9" w:rsidRPr="003D17F9" w14:paraId="47407C61" w14:textId="77777777" w:rsidTr="00DB73A1">
        <w:trPr>
          <w:cantSplit/>
          <w:trHeight w:val="20"/>
        </w:trPr>
        <w:tc>
          <w:tcPr>
            <w:tcW w:w="1913" w:type="dxa"/>
            <w:vMerge/>
            <w:shd w:val="clear" w:color="auto" w:fill="auto"/>
            <w:vAlign w:val="center"/>
            <w:hideMark/>
          </w:tcPr>
          <w:p w14:paraId="0E3CE8F3" w14:textId="77777777" w:rsidR="003D17F9" w:rsidRPr="003D17F9" w:rsidRDefault="003D17F9" w:rsidP="003D17F9">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51C15F4F" w14:textId="77777777" w:rsidR="003D17F9" w:rsidRPr="003D17F9" w:rsidRDefault="003D17F9" w:rsidP="003D17F9">
            <w:pPr>
              <w:widowControl/>
              <w:suppressLineNumbers w:val="0"/>
              <w:suppressAutoHyphens w:val="0"/>
              <w:ind w:firstLine="0"/>
              <w:jc w:val="left"/>
              <w:rPr>
                <w:color w:val="000000"/>
                <w:sz w:val="20"/>
              </w:rPr>
            </w:pPr>
            <w:r w:rsidRPr="003D17F9">
              <w:rPr>
                <w:color w:val="000000"/>
                <w:sz w:val="20"/>
              </w:rPr>
              <w:t>Não Apresentou</w:t>
            </w:r>
          </w:p>
        </w:tc>
        <w:tc>
          <w:tcPr>
            <w:tcW w:w="672" w:type="dxa"/>
            <w:tcBorders>
              <w:bottom w:val="single" w:sz="4" w:space="0" w:color="auto"/>
            </w:tcBorders>
            <w:shd w:val="clear" w:color="auto" w:fill="auto"/>
            <w:noWrap/>
            <w:vAlign w:val="center"/>
            <w:hideMark/>
          </w:tcPr>
          <w:p w14:paraId="027239E9"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w:t>
            </w:r>
          </w:p>
        </w:tc>
        <w:tc>
          <w:tcPr>
            <w:tcW w:w="884" w:type="dxa"/>
            <w:tcBorders>
              <w:bottom w:val="single" w:sz="4" w:space="0" w:color="auto"/>
            </w:tcBorders>
            <w:shd w:val="clear" w:color="auto" w:fill="auto"/>
            <w:noWrap/>
            <w:vAlign w:val="center"/>
            <w:hideMark/>
          </w:tcPr>
          <w:p w14:paraId="73245BCF"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11%</w:t>
            </w:r>
          </w:p>
        </w:tc>
        <w:tc>
          <w:tcPr>
            <w:tcW w:w="672" w:type="dxa"/>
            <w:tcBorders>
              <w:bottom w:val="single" w:sz="4" w:space="0" w:color="auto"/>
            </w:tcBorders>
            <w:shd w:val="clear" w:color="auto" w:fill="auto"/>
            <w:noWrap/>
            <w:vAlign w:val="center"/>
            <w:hideMark/>
          </w:tcPr>
          <w:p w14:paraId="54E30EEF"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884" w:type="dxa"/>
            <w:tcBorders>
              <w:bottom w:val="single" w:sz="4" w:space="0" w:color="auto"/>
            </w:tcBorders>
            <w:shd w:val="clear" w:color="auto" w:fill="auto"/>
            <w:noWrap/>
            <w:vAlign w:val="center"/>
            <w:hideMark/>
          </w:tcPr>
          <w:p w14:paraId="25C0C59C"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672" w:type="dxa"/>
            <w:tcBorders>
              <w:bottom w:val="single" w:sz="4" w:space="0" w:color="auto"/>
            </w:tcBorders>
            <w:shd w:val="clear" w:color="auto" w:fill="auto"/>
            <w:noWrap/>
            <w:vAlign w:val="center"/>
            <w:hideMark/>
          </w:tcPr>
          <w:p w14:paraId="6F69C2E4"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w:t>
            </w:r>
          </w:p>
        </w:tc>
        <w:tc>
          <w:tcPr>
            <w:tcW w:w="888" w:type="dxa"/>
            <w:tcBorders>
              <w:bottom w:val="single" w:sz="4" w:space="0" w:color="auto"/>
            </w:tcBorders>
            <w:shd w:val="clear" w:color="auto" w:fill="auto"/>
            <w:noWrap/>
            <w:vAlign w:val="center"/>
            <w:hideMark/>
          </w:tcPr>
          <w:p w14:paraId="4766A122"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11%</w:t>
            </w:r>
          </w:p>
        </w:tc>
      </w:tr>
      <w:tr w:rsidR="003D17F9" w:rsidRPr="003D17F9" w14:paraId="64D7B52A" w14:textId="77777777" w:rsidTr="00DB73A1">
        <w:trPr>
          <w:cantSplit/>
          <w:trHeight w:val="20"/>
        </w:trPr>
        <w:tc>
          <w:tcPr>
            <w:tcW w:w="1913" w:type="dxa"/>
            <w:vMerge/>
            <w:tcBorders>
              <w:bottom w:val="single" w:sz="4" w:space="0" w:color="auto"/>
            </w:tcBorders>
            <w:shd w:val="clear" w:color="auto" w:fill="auto"/>
            <w:vAlign w:val="center"/>
            <w:hideMark/>
          </w:tcPr>
          <w:p w14:paraId="0FF065B7" w14:textId="77777777" w:rsidR="003D17F9" w:rsidRPr="003D17F9" w:rsidRDefault="003D17F9" w:rsidP="003D17F9">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147AD41B" w14:textId="77777777" w:rsidR="003D17F9" w:rsidRPr="003D17F9" w:rsidRDefault="003D17F9" w:rsidP="003D17F9">
            <w:pPr>
              <w:widowControl/>
              <w:suppressLineNumbers w:val="0"/>
              <w:suppressAutoHyphens w:val="0"/>
              <w:ind w:firstLine="0"/>
              <w:jc w:val="left"/>
              <w:rPr>
                <w:b/>
                <w:bCs/>
                <w:color w:val="000000"/>
                <w:sz w:val="20"/>
              </w:rPr>
            </w:pPr>
            <w:r w:rsidRPr="003D17F9">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4727D33E"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18</w:t>
            </w:r>
          </w:p>
        </w:tc>
        <w:tc>
          <w:tcPr>
            <w:tcW w:w="884" w:type="dxa"/>
            <w:tcBorders>
              <w:top w:val="single" w:sz="4" w:space="0" w:color="auto"/>
              <w:bottom w:val="single" w:sz="4" w:space="0" w:color="auto"/>
            </w:tcBorders>
            <w:shd w:val="clear" w:color="auto" w:fill="auto"/>
            <w:noWrap/>
            <w:vAlign w:val="center"/>
            <w:hideMark/>
          </w:tcPr>
          <w:p w14:paraId="5DDFDDA5"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7046E0E6"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18</w:t>
            </w:r>
          </w:p>
        </w:tc>
        <w:tc>
          <w:tcPr>
            <w:tcW w:w="884" w:type="dxa"/>
            <w:tcBorders>
              <w:top w:val="single" w:sz="4" w:space="0" w:color="auto"/>
              <w:bottom w:val="single" w:sz="4" w:space="0" w:color="auto"/>
            </w:tcBorders>
            <w:shd w:val="clear" w:color="auto" w:fill="auto"/>
            <w:noWrap/>
            <w:vAlign w:val="center"/>
            <w:hideMark/>
          </w:tcPr>
          <w:p w14:paraId="6A2ECF37"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20D04DF8"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18</w:t>
            </w:r>
          </w:p>
        </w:tc>
        <w:tc>
          <w:tcPr>
            <w:tcW w:w="888" w:type="dxa"/>
            <w:tcBorders>
              <w:top w:val="single" w:sz="4" w:space="0" w:color="auto"/>
              <w:bottom w:val="single" w:sz="4" w:space="0" w:color="auto"/>
            </w:tcBorders>
            <w:shd w:val="clear" w:color="auto" w:fill="auto"/>
            <w:noWrap/>
            <w:vAlign w:val="center"/>
            <w:hideMark/>
          </w:tcPr>
          <w:p w14:paraId="724BE687"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100%</w:t>
            </w:r>
          </w:p>
        </w:tc>
      </w:tr>
      <w:tr w:rsidR="003D17F9" w:rsidRPr="003D17F9" w14:paraId="3530D6D4" w14:textId="77777777" w:rsidTr="00DB73A1">
        <w:trPr>
          <w:cantSplit/>
          <w:trHeight w:val="20"/>
        </w:trPr>
        <w:tc>
          <w:tcPr>
            <w:tcW w:w="1913" w:type="dxa"/>
            <w:vMerge w:val="restart"/>
            <w:tcBorders>
              <w:top w:val="single" w:sz="4" w:space="0" w:color="auto"/>
            </w:tcBorders>
            <w:shd w:val="clear" w:color="auto" w:fill="auto"/>
            <w:vAlign w:val="center"/>
            <w:hideMark/>
          </w:tcPr>
          <w:p w14:paraId="424DEA4B"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Municípios de Médio Porte</w:t>
            </w:r>
          </w:p>
        </w:tc>
        <w:tc>
          <w:tcPr>
            <w:tcW w:w="2905" w:type="dxa"/>
            <w:tcBorders>
              <w:top w:val="single" w:sz="4" w:space="0" w:color="auto"/>
            </w:tcBorders>
            <w:shd w:val="clear" w:color="auto" w:fill="auto"/>
            <w:noWrap/>
            <w:vAlign w:val="center"/>
            <w:hideMark/>
          </w:tcPr>
          <w:p w14:paraId="42221783" w14:textId="77777777" w:rsidR="003D17F9" w:rsidRPr="003D17F9" w:rsidRDefault="003D17F9" w:rsidP="003D17F9">
            <w:pPr>
              <w:widowControl/>
              <w:suppressLineNumbers w:val="0"/>
              <w:suppressAutoHyphens w:val="0"/>
              <w:ind w:firstLine="0"/>
              <w:jc w:val="left"/>
              <w:rPr>
                <w:color w:val="000000"/>
                <w:sz w:val="20"/>
              </w:rPr>
            </w:pPr>
            <w:r w:rsidRPr="003D17F9">
              <w:rPr>
                <w:color w:val="000000"/>
                <w:sz w:val="20"/>
              </w:rPr>
              <w:t>= 1</w:t>
            </w:r>
          </w:p>
        </w:tc>
        <w:tc>
          <w:tcPr>
            <w:tcW w:w="672" w:type="dxa"/>
            <w:tcBorders>
              <w:top w:val="single" w:sz="4" w:space="0" w:color="auto"/>
            </w:tcBorders>
            <w:shd w:val="clear" w:color="auto" w:fill="auto"/>
            <w:noWrap/>
            <w:vAlign w:val="center"/>
            <w:hideMark/>
          </w:tcPr>
          <w:p w14:paraId="30ECD562"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884" w:type="dxa"/>
            <w:tcBorders>
              <w:top w:val="single" w:sz="4" w:space="0" w:color="auto"/>
            </w:tcBorders>
            <w:shd w:val="clear" w:color="auto" w:fill="auto"/>
            <w:noWrap/>
            <w:vAlign w:val="center"/>
            <w:hideMark/>
          </w:tcPr>
          <w:p w14:paraId="08C2CD72"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672" w:type="dxa"/>
            <w:tcBorders>
              <w:top w:val="single" w:sz="4" w:space="0" w:color="auto"/>
            </w:tcBorders>
            <w:shd w:val="clear" w:color="auto" w:fill="auto"/>
            <w:noWrap/>
            <w:vAlign w:val="center"/>
            <w:hideMark/>
          </w:tcPr>
          <w:p w14:paraId="345054C6"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884" w:type="dxa"/>
            <w:tcBorders>
              <w:top w:val="single" w:sz="4" w:space="0" w:color="auto"/>
            </w:tcBorders>
            <w:shd w:val="clear" w:color="auto" w:fill="auto"/>
            <w:noWrap/>
            <w:vAlign w:val="center"/>
            <w:hideMark/>
          </w:tcPr>
          <w:p w14:paraId="08D0F8EA"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672" w:type="dxa"/>
            <w:tcBorders>
              <w:top w:val="single" w:sz="4" w:space="0" w:color="auto"/>
            </w:tcBorders>
            <w:shd w:val="clear" w:color="auto" w:fill="auto"/>
            <w:noWrap/>
            <w:vAlign w:val="center"/>
            <w:hideMark/>
          </w:tcPr>
          <w:p w14:paraId="53E9D956"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888" w:type="dxa"/>
            <w:tcBorders>
              <w:top w:val="single" w:sz="4" w:space="0" w:color="auto"/>
            </w:tcBorders>
            <w:shd w:val="clear" w:color="auto" w:fill="auto"/>
            <w:noWrap/>
            <w:vAlign w:val="center"/>
            <w:hideMark/>
          </w:tcPr>
          <w:p w14:paraId="4D439826"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r>
      <w:tr w:rsidR="003D17F9" w:rsidRPr="003D17F9" w14:paraId="57BB4DF2" w14:textId="77777777" w:rsidTr="00DB73A1">
        <w:trPr>
          <w:cantSplit/>
          <w:trHeight w:val="20"/>
        </w:trPr>
        <w:tc>
          <w:tcPr>
            <w:tcW w:w="1913" w:type="dxa"/>
            <w:vMerge/>
            <w:shd w:val="clear" w:color="auto" w:fill="auto"/>
            <w:vAlign w:val="center"/>
            <w:hideMark/>
          </w:tcPr>
          <w:p w14:paraId="2DAE4182" w14:textId="77777777" w:rsidR="003D17F9" w:rsidRPr="003D17F9" w:rsidRDefault="003D17F9" w:rsidP="003D17F9">
            <w:pPr>
              <w:widowControl/>
              <w:suppressLineNumbers w:val="0"/>
              <w:suppressAutoHyphens w:val="0"/>
              <w:ind w:firstLine="0"/>
              <w:jc w:val="left"/>
              <w:rPr>
                <w:color w:val="000000"/>
                <w:sz w:val="20"/>
              </w:rPr>
            </w:pPr>
          </w:p>
        </w:tc>
        <w:tc>
          <w:tcPr>
            <w:tcW w:w="2905" w:type="dxa"/>
            <w:shd w:val="clear" w:color="auto" w:fill="auto"/>
            <w:noWrap/>
            <w:vAlign w:val="center"/>
            <w:hideMark/>
          </w:tcPr>
          <w:p w14:paraId="1113DE70" w14:textId="77777777" w:rsidR="003D17F9" w:rsidRPr="003D17F9" w:rsidRDefault="003D17F9" w:rsidP="003D17F9">
            <w:pPr>
              <w:widowControl/>
              <w:suppressLineNumbers w:val="0"/>
              <w:suppressAutoHyphens w:val="0"/>
              <w:ind w:firstLine="0"/>
              <w:jc w:val="left"/>
              <w:rPr>
                <w:color w:val="000000"/>
                <w:sz w:val="20"/>
              </w:rPr>
            </w:pPr>
            <w:r w:rsidRPr="003D17F9">
              <w:rPr>
                <w:color w:val="000000"/>
                <w:sz w:val="20"/>
              </w:rPr>
              <w:t>&gt; 1</w:t>
            </w:r>
          </w:p>
        </w:tc>
        <w:tc>
          <w:tcPr>
            <w:tcW w:w="672" w:type="dxa"/>
            <w:shd w:val="clear" w:color="auto" w:fill="auto"/>
            <w:noWrap/>
            <w:vAlign w:val="center"/>
            <w:hideMark/>
          </w:tcPr>
          <w:p w14:paraId="424929BB"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15</w:t>
            </w:r>
          </w:p>
        </w:tc>
        <w:tc>
          <w:tcPr>
            <w:tcW w:w="884" w:type="dxa"/>
            <w:shd w:val="clear" w:color="auto" w:fill="auto"/>
            <w:noWrap/>
            <w:vAlign w:val="center"/>
            <w:hideMark/>
          </w:tcPr>
          <w:p w14:paraId="0BD2C9DF"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20%</w:t>
            </w:r>
          </w:p>
        </w:tc>
        <w:tc>
          <w:tcPr>
            <w:tcW w:w="672" w:type="dxa"/>
            <w:shd w:val="clear" w:color="auto" w:fill="auto"/>
            <w:noWrap/>
            <w:vAlign w:val="center"/>
            <w:hideMark/>
          </w:tcPr>
          <w:p w14:paraId="309728CF"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16</w:t>
            </w:r>
          </w:p>
        </w:tc>
        <w:tc>
          <w:tcPr>
            <w:tcW w:w="884" w:type="dxa"/>
            <w:shd w:val="clear" w:color="auto" w:fill="auto"/>
            <w:noWrap/>
            <w:vAlign w:val="center"/>
            <w:hideMark/>
          </w:tcPr>
          <w:p w14:paraId="32055AE7"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21%</w:t>
            </w:r>
          </w:p>
        </w:tc>
        <w:tc>
          <w:tcPr>
            <w:tcW w:w="672" w:type="dxa"/>
            <w:shd w:val="clear" w:color="auto" w:fill="auto"/>
            <w:noWrap/>
            <w:vAlign w:val="center"/>
            <w:hideMark/>
          </w:tcPr>
          <w:p w14:paraId="127D1142"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15</w:t>
            </w:r>
          </w:p>
        </w:tc>
        <w:tc>
          <w:tcPr>
            <w:tcW w:w="888" w:type="dxa"/>
            <w:shd w:val="clear" w:color="auto" w:fill="auto"/>
            <w:noWrap/>
            <w:vAlign w:val="center"/>
            <w:hideMark/>
          </w:tcPr>
          <w:p w14:paraId="630BD370"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20%</w:t>
            </w:r>
          </w:p>
        </w:tc>
      </w:tr>
      <w:tr w:rsidR="003D17F9" w:rsidRPr="003D17F9" w14:paraId="58EE83A4" w14:textId="77777777" w:rsidTr="00DB73A1">
        <w:trPr>
          <w:cantSplit/>
          <w:trHeight w:val="20"/>
        </w:trPr>
        <w:tc>
          <w:tcPr>
            <w:tcW w:w="1913" w:type="dxa"/>
            <w:vMerge/>
            <w:shd w:val="clear" w:color="auto" w:fill="auto"/>
            <w:vAlign w:val="center"/>
            <w:hideMark/>
          </w:tcPr>
          <w:p w14:paraId="47AA2A16" w14:textId="77777777" w:rsidR="003D17F9" w:rsidRPr="003D17F9" w:rsidRDefault="003D17F9" w:rsidP="003D17F9">
            <w:pPr>
              <w:widowControl/>
              <w:suppressLineNumbers w:val="0"/>
              <w:suppressAutoHyphens w:val="0"/>
              <w:ind w:firstLine="0"/>
              <w:jc w:val="left"/>
              <w:rPr>
                <w:color w:val="000000"/>
                <w:sz w:val="20"/>
              </w:rPr>
            </w:pPr>
          </w:p>
        </w:tc>
        <w:tc>
          <w:tcPr>
            <w:tcW w:w="2905" w:type="dxa"/>
            <w:shd w:val="clear" w:color="auto" w:fill="auto"/>
            <w:noWrap/>
            <w:vAlign w:val="center"/>
            <w:hideMark/>
          </w:tcPr>
          <w:p w14:paraId="661D5A6B" w14:textId="77777777" w:rsidR="003D17F9" w:rsidRPr="003D17F9" w:rsidRDefault="003D17F9" w:rsidP="003D17F9">
            <w:pPr>
              <w:widowControl/>
              <w:suppressLineNumbers w:val="0"/>
              <w:suppressAutoHyphens w:val="0"/>
              <w:ind w:firstLine="0"/>
              <w:jc w:val="left"/>
              <w:rPr>
                <w:color w:val="000000"/>
                <w:sz w:val="20"/>
              </w:rPr>
            </w:pPr>
            <w:r w:rsidRPr="003D17F9">
              <w:rPr>
                <w:color w:val="000000"/>
                <w:sz w:val="20"/>
              </w:rPr>
              <w:t>&lt; 1</w:t>
            </w:r>
          </w:p>
        </w:tc>
        <w:tc>
          <w:tcPr>
            <w:tcW w:w="672" w:type="dxa"/>
            <w:shd w:val="clear" w:color="auto" w:fill="auto"/>
            <w:noWrap/>
            <w:vAlign w:val="center"/>
            <w:hideMark/>
          </w:tcPr>
          <w:p w14:paraId="0F229F34"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49</w:t>
            </w:r>
          </w:p>
        </w:tc>
        <w:tc>
          <w:tcPr>
            <w:tcW w:w="884" w:type="dxa"/>
            <w:shd w:val="clear" w:color="auto" w:fill="auto"/>
            <w:noWrap/>
            <w:vAlign w:val="center"/>
            <w:hideMark/>
          </w:tcPr>
          <w:p w14:paraId="3E4249AF"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64%</w:t>
            </w:r>
          </w:p>
        </w:tc>
        <w:tc>
          <w:tcPr>
            <w:tcW w:w="672" w:type="dxa"/>
            <w:shd w:val="clear" w:color="auto" w:fill="auto"/>
            <w:noWrap/>
            <w:vAlign w:val="center"/>
            <w:hideMark/>
          </w:tcPr>
          <w:p w14:paraId="10119678"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47</w:t>
            </w:r>
          </w:p>
        </w:tc>
        <w:tc>
          <w:tcPr>
            <w:tcW w:w="884" w:type="dxa"/>
            <w:shd w:val="clear" w:color="auto" w:fill="auto"/>
            <w:noWrap/>
            <w:vAlign w:val="center"/>
            <w:hideMark/>
          </w:tcPr>
          <w:p w14:paraId="0DC62F8C"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62%</w:t>
            </w:r>
          </w:p>
        </w:tc>
        <w:tc>
          <w:tcPr>
            <w:tcW w:w="672" w:type="dxa"/>
            <w:shd w:val="clear" w:color="auto" w:fill="auto"/>
            <w:noWrap/>
            <w:vAlign w:val="center"/>
            <w:hideMark/>
          </w:tcPr>
          <w:p w14:paraId="071AB8F2"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56</w:t>
            </w:r>
          </w:p>
        </w:tc>
        <w:tc>
          <w:tcPr>
            <w:tcW w:w="888" w:type="dxa"/>
            <w:shd w:val="clear" w:color="auto" w:fill="auto"/>
            <w:noWrap/>
            <w:vAlign w:val="center"/>
            <w:hideMark/>
          </w:tcPr>
          <w:p w14:paraId="2735E066"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74%</w:t>
            </w:r>
          </w:p>
        </w:tc>
      </w:tr>
      <w:tr w:rsidR="003D17F9" w:rsidRPr="003D17F9" w14:paraId="677EF2FC" w14:textId="77777777" w:rsidTr="00DB73A1">
        <w:trPr>
          <w:cantSplit/>
          <w:trHeight w:val="20"/>
        </w:trPr>
        <w:tc>
          <w:tcPr>
            <w:tcW w:w="1913" w:type="dxa"/>
            <w:vMerge/>
            <w:shd w:val="clear" w:color="auto" w:fill="auto"/>
            <w:vAlign w:val="center"/>
            <w:hideMark/>
          </w:tcPr>
          <w:p w14:paraId="513D1B92" w14:textId="77777777" w:rsidR="003D17F9" w:rsidRPr="003D17F9" w:rsidRDefault="003D17F9" w:rsidP="003D17F9">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30578695" w14:textId="77777777" w:rsidR="003D17F9" w:rsidRPr="003D17F9" w:rsidRDefault="003D17F9" w:rsidP="003D17F9">
            <w:pPr>
              <w:widowControl/>
              <w:suppressLineNumbers w:val="0"/>
              <w:suppressAutoHyphens w:val="0"/>
              <w:ind w:firstLine="0"/>
              <w:jc w:val="left"/>
              <w:rPr>
                <w:color w:val="000000"/>
                <w:sz w:val="20"/>
              </w:rPr>
            </w:pPr>
            <w:r w:rsidRPr="003D17F9">
              <w:rPr>
                <w:color w:val="000000"/>
                <w:sz w:val="20"/>
              </w:rPr>
              <w:t>Não Apresentou</w:t>
            </w:r>
          </w:p>
        </w:tc>
        <w:tc>
          <w:tcPr>
            <w:tcW w:w="672" w:type="dxa"/>
            <w:tcBorders>
              <w:bottom w:val="single" w:sz="4" w:space="0" w:color="auto"/>
            </w:tcBorders>
            <w:shd w:val="clear" w:color="auto" w:fill="auto"/>
            <w:noWrap/>
            <w:vAlign w:val="center"/>
            <w:hideMark/>
          </w:tcPr>
          <w:p w14:paraId="28D2D41A"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12</w:t>
            </w:r>
          </w:p>
        </w:tc>
        <w:tc>
          <w:tcPr>
            <w:tcW w:w="884" w:type="dxa"/>
            <w:tcBorders>
              <w:bottom w:val="single" w:sz="4" w:space="0" w:color="auto"/>
            </w:tcBorders>
            <w:shd w:val="clear" w:color="auto" w:fill="auto"/>
            <w:noWrap/>
            <w:vAlign w:val="center"/>
            <w:hideMark/>
          </w:tcPr>
          <w:p w14:paraId="3B1FB858"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16%</w:t>
            </w:r>
          </w:p>
        </w:tc>
        <w:tc>
          <w:tcPr>
            <w:tcW w:w="672" w:type="dxa"/>
            <w:tcBorders>
              <w:bottom w:val="single" w:sz="4" w:space="0" w:color="auto"/>
            </w:tcBorders>
            <w:shd w:val="clear" w:color="auto" w:fill="auto"/>
            <w:noWrap/>
            <w:vAlign w:val="center"/>
            <w:hideMark/>
          </w:tcPr>
          <w:p w14:paraId="4AEFEC13"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13</w:t>
            </w:r>
          </w:p>
        </w:tc>
        <w:tc>
          <w:tcPr>
            <w:tcW w:w="884" w:type="dxa"/>
            <w:tcBorders>
              <w:bottom w:val="single" w:sz="4" w:space="0" w:color="auto"/>
            </w:tcBorders>
            <w:shd w:val="clear" w:color="auto" w:fill="auto"/>
            <w:noWrap/>
            <w:vAlign w:val="center"/>
            <w:hideMark/>
          </w:tcPr>
          <w:p w14:paraId="71406227"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17%</w:t>
            </w:r>
          </w:p>
        </w:tc>
        <w:tc>
          <w:tcPr>
            <w:tcW w:w="672" w:type="dxa"/>
            <w:tcBorders>
              <w:bottom w:val="single" w:sz="4" w:space="0" w:color="auto"/>
            </w:tcBorders>
            <w:shd w:val="clear" w:color="auto" w:fill="auto"/>
            <w:noWrap/>
            <w:vAlign w:val="center"/>
            <w:hideMark/>
          </w:tcPr>
          <w:p w14:paraId="4E02566C"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5</w:t>
            </w:r>
          </w:p>
        </w:tc>
        <w:tc>
          <w:tcPr>
            <w:tcW w:w="888" w:type="dxa"/>
            <w:tcBorders>
              <w:bottom w:val="single" w:sz="4" w:space="0" w:color="auto"/>
            </w:tcBorders>
            <w:shd w:val="clear" w:color="auto" w:fill="auto"/>
            <w:noWrap/>
            <w:vAlign w:val="center"/>
            <w:hideMark/>
          </w:tcPr>
          <w:p w14:paraId="4ABA4892"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7%</w:t>
            </w:r>
          </w:p>
        </w:tc>
      </w:tr>
      <w:tr w:rsidR="003D17F9" w:rsidRPr="003D17F9" w14:paraId="2EF455ED" w14:textId="77777777" w:rsidTr="00DB73A1">
        <w:trPr>
          <w:cantSplit/>
          <w:trHeight w:val="20"/>
        </w:trPr>
        <w:tc>
          <w:tcPr>
            <w:tcW w:w="1913" w:type="dxa"/>
            <w:vMerge/>
            <w:tcBorders>
              <w:bottom w:val="single" w:sz="4" w:space="0" w:color="auto"/>
            </w:tcBorders>
            <w:shd w:val="clear" w:color="auto" w:fill="auto"/>
            <w:vAlign w:val="center"/>
            <w:hideMark/>
          </w:tcPr>
          <w:p w14:paraId="0C3CA79C" w14:textId="77777777" w:rsidR="003D17F9" w:rsidRPr="003D17F9" w:rsidRDefault="003D17F9" w:rsidP="003D17F9">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0DF6BB08" w14:textId="77777777" w:rsidR="003D17F9" w:rsidRPr="003D17F9" w:rsidRDefault="003D17F9" w:rsidP="003D17F9">
            <w:pPr>
              <w:widowControl/>
              <w:suppressLineNumbers w:val="0"/>
              <w:suppressAutoHyphens w:val="0"/>
              <w:ind w:firstLine="0"/>
              <w:jc w:val="left"/>
              <w:rPr>
                <w:b/>
                <w:bCs/>
                <w:color w:val="000000"/>
                <w:sz w:val="20"/>
              </w:rPr>
            </w:pPr>
            <w:r w:rsidRPr="003D17F9">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4D71CD97"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76</w:t>
            </w:r>
          </w:p>
        </w:tc>
        <w:tc>
          <w:tcPr>
            <w:tcW w:w="884" w:type="dxa"/>
            <w:tcBorders>
              <w:top w:val="single" w:sz="4" w:space="0" w:color="auto"/>
              <w:bottom w:val="single" w:sz="4" w:space="0" w:color="auto"/>
            </w:tcBorders>
            <w:shd w:val="clear" w:color="auto" w:fill="auto"/>
            <w:noWrap/>
            <w:vAlign w:val="center"/>
            <w:hideMark/>
          </w:tcPr>
          <w:p w14:paraId="21E8EFBA"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00416C32"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76</w:t>
            </w:r>
          </w:p>
        </w:tc>
        <w:tc>
          <w:tcPr>
            <w:tcW w:w="884" w:type="dxa"/>
            <w:tcBorders>
              <w:top w:val="single" w:sz="4" w:space="0" w:color="auto"/>
              <w:bottom w:val="single" w:sz="4" w:space="0" w:color="auto"/>
            </w:tcBorders>
            <w:shd w:val="clear" w:color="auto" w:fill="auto"/>
            <w:noWrap/>
            <w:vAlign w:val="center"/>
            <w:hideMark/>
          </w:tcPr>
          <w:p w14:paraId="68E0616D"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03067356"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76</w:t>
            </w:r>
          </w:p>
        </w:tc>
        <w:tc>
          <w:tcPr>
            <w:tcW w:w="888" w:type="dxa"/>
            <w:tcBorders>
              <w:top w:val="single" w:sz="4" w:space="0" w:color="auto"/>
              <w:bottom w:val="single" w:sz="4" w:space="0" w:color="auto"/>
            </w:tcBorders>
            <w:shd w:val="clear" w:color="auto" w:fill="auto"/>
            <w:noWrap/>
            <w:vAlign w:val="center"/>
            <w:hideMark/>
          </w:tcPr>
          <w:p w14:paraId="298358D9"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100%</w:t>
            </w:r>
          </w:p>
        </w:tc>
      </w:tr>
      <w:tr w:rsidR="003D17F9" w:rsidRPr="003D17F9" w14:paraId="7C41DE25" w14:textId="77777777" w:rsidTr="00DB73A1">
        <w:trPr>
          <w:cantSplit/>
          <w:trHeight w:val="20"/>
        </w:trPr>
        <w:tc>
          <w:tcPr>
            <w:tcW w:w="1913" w:type="dxa"/>
            <w:vMerge w:val="restart"/>
            <w:tcBorders>
              <w:top w:val="single" w:sz="4" w:space="0" w:color="auto"/>
            </w:tcBorders>
            <w:shd w:val="clear" w:color="auto" w:fill="auto"/>
            <w:vAlign w:val="center"/>
            <w:hideMark/>
          </w:tcPr>
          <w:p w14:paraId="6E912E73"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Municípios de Pequeno Porte</w:t>
            </w:r>
          </w:p>
        </w:tc>
        <w:tc>
          <w:tcPr>
            <w:tcW w:w="2905" w:type="dxa"/>
            <w:tcBorders>
              <w:top w:val="single" w:sz="4" w:space="0" w:color="auto"/>
            </w:tcBorders>
            <w:shd w:val="clear" w:color="auto" w:fill="auto"/>
            <w:noWrap/>
            <w:vAlign w:val="center"/>
            <w:hideMark/>
          </w:tcPr>
          <w:p w14:paraId="52AFEB4F" w14:textId="77777777" w:rsidR="003D17F9" w:rsidRPr="003D17F9" w:rsidRDefault="003D17F9" w:rsidP="003D17F9">
            <w:pPr>
              <w:widowControl/>
              <w:suppressLineNumbers w:val="0"/>
              <w:suppressAutoHyphens w:val="0"/>
              <w:ind w:firstLine="0"/>
              <w:jc w:val="left"/>
              <w:rPr>
                <w:color w:val="000000"/>
                <w:sz w:val="20"/>
              </w:rPr>
            </w:pPr>
            <w:r w:rsidRPr="003D17F9">
              <w:rPr>
                <w:color w:val="000000"/>
                <w:sz w:val="20"/>
              </w:rPr>
              <w:t>= 1</w:t>
            </w:r>
          </w:p>
        </w:tc>
        <w:tc>
          <w:tcPr>
            <w:tcW w:w="672" w:type="dxa"/>
            <w:tcBorders>
              <w:top w:val="single" w:sz="4" w:space="0" w:color="auto"/>
            </w:tcBorders>
            <w:shd w:val="clear" w:color="auto" w:fill="auto"/>
            <w:noWrap/>
            <w:vAlign w:val="center"/>
            <w:hideMark/>
          </w:tcPr>
          <w:p w14:paraId="41E32784"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884" w:type="dxa"/>
            <w:tcBorders>
              <w:top w:val="single" w:sz="4" w:space="0" w:color="auto"/>
            </w:tcBorders>
            <w:shd w:val="clear" w:color="auto" w:fill="auto"/>
            <w:noWrap/>
            <w:vAlign w:val="center"/>
            <w:hideMark/>
          </w:tcPr>
          <w:p w14:paraId="426FC96C"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672" w:type="dxa"/>
            <w:tcBorders>
              <w:top w:val="single" w:sz="4" w:space="0" w:color="auto"/>
            </w:tcBorders>
            <w:shd w:val="clear" w:color="auto" w:fill="auto"/>
            <w:noWrap/>
            <w:vAlign w:val="center"/>
            <w:hideMark/>
          </w:tcPr>
          <w:p w14:paraId="558EFF3D"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884" w:type="dxa"/>
            <w:tcBorders>
              <w:top w:val="single" w:sz="4" w:space="0" w:color="auto"/>
            </w:tcBorders>
            <w:shd w:val="clear" w:color="auto" w:fill="auto"/>
            <w:noWrap/>
            <w:vAlign w:val="center"/>
            <w:hideMark/>
          </w:tcPr>
          <w:p w14:paraId="69E29A2E"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672" w:type="dxa"/>
            <w:tcBorders>
              <w:top w:val="single" w:sz="4" w:space="0" w:color="auto"/>
            </w:tcBorders>
            <w:shd w:val="clear" w:color="auto" w:fill="auto"/>
            <w:noWrap/>
            <w:vAlign w:val="center"/>
            <w:hideMark/>
          </w:tcPr>
          <w:p w14:paraId="3541BA71"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c>
          <w:tcPr>
            <w:tcW w:w="888" w:type="dxa"/>
            <w:tcBorders>
              <w:top w:val="single" w:sz="4" w:space="0" w:color="auto"/>
            </w:tcBorders>
            <w:shd w:val="clear" w:color="auto" w:fill="auto"/>
            <w:noWrap/>
            <w:vAlign w:val="center"/>
            <w:hideMark/>
          </w:tcPr>
          <w:p w14:paraId="359A51D3"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0%</w:t>
            </w:r>
          </w:p>
        </w:tc>
      </w:tr>
      <w:tr w:rsidR="003D17F9" w:rsidRPr="003D17F9" w14:paraId="4953EC9C" w14:textId="77777777" w:rsidTr="00DB73A1">
        <w:trPr>
          <w:cantSplit/>
          <w:trHeight w:val="20"/>
        </w:trPr>
        <w:tc>
          <w:tcPr>
            <w:tcW w:w="1913" w:type="dxa"/>
            <w:vMerge/>
            <w:shd w:val="clear" w:color="auto" w:fill="auto"/>
            <w:vAlign w:val="center"/>
            <w:hideMark/>
          </w:tcPr>
          <w:p w14:paraId="05F43120" w14:textId="77777777" w:rsidR="003D17F9" w:rsidRPr="003D17F9" w:rsidRDefault="003D17F9" w:rsidP="003D17F9">
            <w:pPr>
              <w:widowControl/>
              <w:suppressLineNumbers w:val="0"/>
              <w:suppressAutoHyphens w:val="0"/>
              <w:ind w:firstLine="0"/>
              <w:jc w:val="left"/>
              <w:rPr>
                <w:color w:val="000000"/>
                <w:sz w:val="20"/>
              </w:rPr>
            </w:pPr>
          </w:p>
        </w:tc>
        <w:tc>
          <w:tcPr>
            <w:tcW w:w="2905" w:type="dxa"/>
            <w:shd w:val="clear" w:color="auto" w:fill="auto"/>
            <w:noWrap/>
            <w:vAlign w:val="center"/>
            <w:hideMark/>
          </w:tcPr>
          <w:p w14:paraId="040D3986" w14:textId="77777777" w:rsidR="003D17F9" w:rsidRPr="003D17F9" w:rsidRDefault="003D17F9" w:rsidP="003D17F9">
            <w:pPr>
              <w:widowControl/>
              <w:suppressLineNumbers w:val="0"/>
              <w:suppressAutoHyphens w:val="0"/>
              <w:ind w:firstLine="0"/>
              <w:jc w:val="left"/>
              <w:rPr>
                <w:color w:val="000000"/>
                <w:sz w:val="20"/>
              </w:rPr>
            </w:pPr>
            <w:r w:rsidRPr="003D17F9">
              <w:rPr>
                <w:color w:val="000000"/>
                <w:sz w:val="20"/>
              </w:rPr>
              <w:t>&gt; 1</w:t>
            </w:r>
          </w:p>
        </w:tc>
        <w:tc>
          <w:tcPr>
            <w:tcW w:w="672" w:type="dxa"/>
            <w:shd w:val="clear" w:color="auto" w:fill="auto"/>
            <w:noWrap/>
            <w:vAlign w:val="center"/>
            <w:hideMark/>
          </w:tcPr>
          <w:p w14:paraId="0A647332"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5</w:t>
            </w:r>
          </w:p>
        </w:tc>
        <w:tc>
          <w:tcPr>
            <w:tcW w:w="884" w:type="dxa"/>
            <w:shd w:val="clear" w:color="auto" w:fill="auto"/>
            <w:noWrap/>
            <w:vAlign w:val="center"/>
            <w:hideMark/>
          </w:tcPr>
          <w:p w14:paraId="4AA3EA67"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10%</w:t>
            </w:r>
          </w:p>
        </w:tc>
        <w:tc>
          <w:tcPr>
            <w:tcW w:w="672" w:type="dxa"/>
            <w:shd w:val="clear" w:color="auto" w:fill="auto"/>
            <w:noWrap/>
            <w:vAlign w:val="center"/>
            <w:hideMark/>
          </w:tcPr>
          <w:p w14:paraId="0D6455D3"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16</w:t>
            </w:r>
          </w:p>
        </w:tc>
        <w:tc>
          <w:tcPr>
            <w:tcW w:w="884" w:type="dxa"/>
            <w:shd w:val="clear" w:color="auto" w:fill="auto"/>
            <w:noWrap/>
            <w:vAlign w:val="center"/>
            <w:hideMark/>
          </w:tcPr>
          <w:p w14:paraId="5D3D4269"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32%</w:t>
            </w:r>
          </w:p>
        </w:tc>
        <w:tc>
          <w:tcPr>
            <w:tcW w:w="672" w:type="dxa"/>
            <w:shd w:val="clear" w:color="auto" w:fill="auto"/>
            <w:noWrap/>
            <w:vAlign w:val="center"/>
            <w:hideMark/>
          </w:tcPr>
          <w:p w14:paraId="1229B048"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18</w:t>
            </w:r>
          </w:p>
        </w:tc>
        <w:tc>
          <w:tcPr>
            <w:tcW w:w="888" w:type="dxa"/>
            <w:shd w:val="clear" w:color="auto" w:fill="auto"/>
            <w:noWrap/>
            <w:vAlign w:val="center"/>
            <w:hideMark/>
          </w:tcPr>
          <w:p w14:paraId="645C707A"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36%</w:t>
            </w:r>
          </w:p>
        </w:tc>
      </w:tr>
      <w:tr w:rsidR="003D17F9" w:rsidRPr="003D17F9" w14:paraId="497638A9" w14:textId="77777777" w:rsidTr="00DB73A1">
        <w:trPr>
          <w:cantSplit/>
          <w:trHeight w:val="20"/>
        </w:trPr>
        <w:tc>
          <w:tcPr>
            <w:tcW w:w="1913" w:type="dxa"/>
            <w:vMerge/>
            <w:shd w:val="clear" w:color="auto" w:fill="auto"/>
            <w:vAlign w:val="center"/>
            <w:hideMark/>
          </w:tcPr>
          <w:p w14:paraId="33A8F2EA" w14:textId="77777777" w:rsidR="003D17F9" w:rsidRPr="003D17F9" w:rsidRDefault="003D17F9" w:rsidP="003D17F9">
            <w:pPr>
              <w:widowControl/>
              <w:suppressLineNumbers w:val="0"/>
              <w:suppressAutoHyphens w:val="0"/>
              <w:ind w:firstLine="0"/>
              <w:jc w:val="left"/>
              <w:rPr>
                <w:color w:val="000000"/>
                <w:sz w:val="20"/>
              </w:rPr>
            </w:pPr>
          </w:p>
        </w:tc>
        <w:tc>
          <w:tcPr>
            <w:tcW w:w="2905" w:type="dxa"/>
            <w:shd w:val="clear" w:color="auto" w:fill="auto"/>
            <w:noWrap/>
            <w:vAlign w:val="center"/>
            <w:hideMark/>
          </w:tcPr>
          <w:p w14:paraId="737BD777" w14:textId="77777777" w:rsidR="003D17F9" w:rsidRPr="003D17F9" w:rsidRDefault="003D17F9" w:rsidP="003D17F9">
            <w:pPr>
              <w:widowControl/>
              <w:suppressLineNumbers w:val="0"/>
              <w:suppressAutoHyphens w:val="0"/>
              <w:ind w:firstLine="0"/>
              <w:jc w:val="left"/>
              <w:rPr>
                <w:color w:val="000000"/>
                <w:sz w:val="20"/>
              </w:rPr>
            </w:pPr>
            <w:r w:rsidRPr="003D17F9">
              <w:rPr>
                <w:color w:val="000000"/>
                <w:sz w:val="20"/>
              </w:rPr>
              <w:t>&lt; 1</w:t>
            </w:r>
          </w:p>
        </w:tc>
        <w:tc>
          <w:tcPr>
            <w:tcW w:w="672" w:type="dxa"/>
            <w:shd w:val="clear" w:color="auto" w:fill="auto"/>
            <w:noWrap/>
            <w:vAlign w:val="center"/>
            <w:hideMark/>
          </w:tcPr>
          <w:p w14:paraId="7105F5FA"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35</w:t>
            </w:r>
          </w:p>
        </w:tc>
        <w:tc>
          <w:tcPr>
            <w:tcW w:w="884" w:type="dxa"/>
            <w:shd w:val="clear" w:color="auto" w:fill="auto"/>
            <w:noWrap/>
            <w:vAlign w:val="center"/>
            <w:hideMark/>
          </w:tcPr>
          <w:p w14:paraId="0CBA5A81"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70%</w:t>
            </w:r>
          </w:p>
        </w:tc>
        <w:tc>
          <w:tcPr>
            <w:tcW w:w="672" w:type="dxa"/>
            <w:shd w:val="clear" w:color="auto" w:fill="auto"/>
            <w:noWrap/>
            <w:vAlign w:val="center"/>
            <w:hideMark/>
          </w:tcPr>
          <w:p w14:paraId="642EC2E1"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24</w:t>
            </w:r>
          </w:p>
        </w:tc>
        <w:tc>
          <w:tcPr>
            <w:tcW w:w="884" w:type="dxa"/>
            <w:shd w:val="clear" w:color="auto" w:fill="auto"/>
            <w:noWrap/>
            <w:vAlign w:val="center"/>
            <w:hideMark/>
          </w:tcPr>
          <w:p w14:paraId="70F71E88"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48%</w:t>
            </w:r>
          </w:p>
        </w:tc>
        <w:tc>
          <w:tcPr>
            <w:tcW w:w="672" w:type="dxa"/>
            <w:shd w:val="clear" w:color="auto" w:fill="auto"/>
            <w:noWrap/>
            <w:vAlign w:val="center"/>
            <w:hideMark/>
          </w:tcPr>
          <w:p w14:paraId="535B3DB8"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29</w:t>
            </w:r>
          </w:p>
        </w:tc>
        <w:tc>
          <w:tcPr>
            <w:tcW w:w="888" w:type="dxa"/>
            <w:shd w:val="clear" w:color="auto" w:fill="auto"/>
            <w:noWrap/>
            <w:vAlign w:val="center"/>
            <w:hideMark/>
          </w:tcPr>
          <w:p w14:paraId="6E5B8E7D"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58%</w:t>
            </w:r>
          </w:p>
        </w:tc>
      </w:tr>
      <w:tr w:rsidR="003D17F9" w:rsidRPr="003D17F9" w14:paraId="6238EB45" w14:textId="77777777" w:rsidTr="00DB73A1">
        <w:trPr>
          <w:cantSplit/>
          <w:trHeight w:val="365"/>
        </w:trPr>
        <w:tc>
          <w:tcPr>
            <w:tcW w:w="1913" w:type="dxa"/>
            <w:vMerge/>
            <w:shd w:val="clear" w:color="auto" w:fill="auto"/>
            <w:vAlign w:val="center"/>
            <w:hideMark/>
          </w:tcPr>
          <w:p w14:paraId="576890EC" w14:textId="77777777" w:rsidR="003D17F9" w:rsidRPr="003D17F9" w:rsidRDefault="003D17F9" w:rsidP="003D17F9">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618C8C4B" w14:textId="77777777" w:rsidR="003D17F9" w:rsidRPr="003D17F9" w:rsidRDefault="003D17F9" w:rsidP="003D17F9">
            <w:pPr>
              <w:widowControl/>
              <w:suppressLineNumbers w:val="0"/>
              <w:suppressAutoHyphens w:val="0"/>
              <w:ind w:firstLine="0"/>
              <w:jc w:val="left"/>
              <w:rPr>
                <w:color w:val="000000"/>
                <w:sz w:val="20"/>
              </w:rPr>
            </w:pPr>
            <w:r w:rsidRPr="003D17F9">
              <w:rPr>
                <w:color w:val="000000"/>
                <w:sz w:val="20"/>
              </w:rPr>
              <w:t>Não Apresentou</w:t>
            </w:r>
          </w:p>
        </w:tc>
        <w:tc>
          <w:tcPr>
            <w:tcW w:w="672" w:type="dxa"/>
            <w:tcBorders>
              <w:bottom w:val="single" w:sz="4" w:space="0" w:color="auto"/>
            </w:tcBorders>
            <w:shd w:val="clear" w:color="auto" w:fill="auto"/>
            <w:noWrap/>
            <w:vAlign w:val="center"/>
            <w:hideMark/>
          </w:tcPr>
          <w:p w14:paraId="67EEFBED"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10</w:t>
            </w:r>
          </w:p>
        </w:tc>
        <w:tc>
          <w:tcPr>
            <w:tcW w:w="884" w:type="dxa"/>
            <w:tcBorders>
              <w:bottom w:val="single" w:sz="4" w:space="0" w:color="auto"/>
            </w:tcBorders>
            <w:shd w:val="clear" w:color="auto" w:fill="auto"/>
            <w:noWrap/>
            <w:vAlign w:val="center"/>
            <w:hideMark/>
          </w:tcPr>
          <w:p w14:paraId="56439567"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20%</w:t>
            </w:r>
          </w:p>
        </w:tc>
        <w:tc>
          <w:tcPr>
            <w:tcW w:w="672" w:type="dxa"/>
            <w:tcBorders>
              <w:bottom w:val="single" w:sz="4" w:space="0" w:color="auto"/>
            </w:tcBorders>
            <w:shd w:val="clear" w:color="auto" w:fill="auto"/>
            <w:noWrap/>
            <w:vAlign w:val="center"/>
            <w:hideMark/>
          </w:tcPr>
          <w:p w14:paraId="79C7763E"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10</w:t>
            </w:r>
          </w:p>
        </w:tc>
        <w:tc>
          <w:tcPr>
            <w:tcW w:w="884" w:type="dxa"/>
            <w:tcBorders>
              <w:bottom w:val="single" w:sz="4" w:space="0" w:color="auto"/>
            </w:tcBorders>
            <w:shd w:val="clear" w:color="auto" w:fill="auto"/>
            <w:noWrap/>
            <w:vAlign w:val="center"/>
            <w:hideMark/>
          </w:tcPr>
          <w:p w14:paraId="741022F4"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20%</w:t>
            </w:r>
          </w:p>
        </w:tc>
        <w:tc>
          <w:tcPr>
            <w:tcW w:w="672" w:type="dxa"/>
            <w:tcBorders>
              <w:bottom w:val="single" w:sz="4" w:space="0" w:color="auto"/>
            </w:tcBorders>
            <w:shd w:val="clear" w:color="auto" w:fill="auto"/>
            <w:noWrap/>
            <w:vAlign w:val="center"/>
            <w:hideMark/>
          </w:tcPr>
          <w:p w14:paraId="2A19E35A"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3</w:t>
            </w:r>
          </w:p>
        </w:tc>
        <w:tc>
          <w:tcPr>
            <w:tcW w:w="888" w:type="dxa"/>
            <w:tcBorders>
              <w:bottom w:val="single" w:sz="4" w:space="0" w:color="auto"/>
            </w:tcBorders>
            <w:shd w:val="clear" w:color="auto" w:fill="auto"/>
            <w:noWrap/>
            <w:vAlign w:val="center"/>
            <w:hideMark/>
          </w:tcPr>
          <w:p w14:paraId="3E33BF26" w14:textId="77777777" w:rsidR="003D17F9" w:rsidRPr="003D17F9" w:rsidRDefault="003D17F9" w:rsidP="003D17F9">
            <w:pPr>
              <w:widowControl/>
              <w:suppressLineNumbers w:val="0"/>
              <w:suppressAutoHyphens w:val="0"/>
              <w:ind w:firstLine="0"/>
              <w:jc w:val="center"/>
              <w:rPr>
                <w:color w:val="000000"/>
                <w:sz w:val="20"/>
              </w:rPr>
            </w:pPr>
            <w:r w:rsidRPr="003D17F9">
              <w:rPr>
                <w:color w:val="000000"/>
                <w:sz w:val="20"/>
              </w:rPr>
              <w:t>6%</w:t>
            </w:r>
          </w:p>
        </w:tc>
      </w:tr>
      <w:tr w:rsidR="003D17F9" w:rsidRPr="003D17F9" w14:paraId="1DD0E1DA" w14:textId="77777777" w:rsidTr="00DB73A1">
        <w:trPr>
          <w:cantSplit/>
          <w:trHeight w:val="20"/>
        </w:trPr>
        <w:tc>
          <w:tcPr>
            <w:tcW w:w="1913" w:type="dxa"/>
            <w:vMerge/>
            <w:tcBorders>
              <w:bottom w:val="single" w:sz="4" w:space="0" w:color="auto"/>
            </w:tcBorders>
            <w:shd w:val="clear" w:color="auto" w:fill="auto"/>
            <w:vAlign w:val="center"/>
            <w:hideMark/>
          </w:tcPr>
          <w:p w14:paraId="3CA6A76F" w14:textId="77777777" w:rsidR="003D17F9" w:rsidRPr="003D17F9" w:rsidRDefault="003D17F9" w:rsidP="003D17F9">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60722058" w14:textId="77777777" w:rsidR="003D17F9" w:rsidRPr="003D17F9" w:rsidRDefault="003D17F9" w:rsidP="003D17F9">
            <w:pPr>
              <w:widowControl/>
              <w:suppressLineNumbers w:val="0"/>
              <w:suppressAutoHyphens w:val="0"/>
              <w:ind w:firstLine="0"/>
              <w:jc w:val="left"/>
              <w:rPr>
                <w:b/>
                <w:bCs/>
                <w:color w:val="000000"/>
                <w:sz w:val="20"/>
              </w:rPr>
            </w:pPr>
            <w:r w:rsidRPr="003D17F9">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154FB3B4" w14:textId="77777777" w:rsidR="003D17F9" w:rsidRPr="003D17F9" w:rsidRDefault="003D17F9" w:rsidP="003D17F9">
            <w:pPr>
              <w:widowControl/>
              <w:suppressLineNumbers w:val="0"/>
              <w:suppressAutoHyphens w:val="0"/>
              <w:ind w:firstLine="0"/>
              <w:jc w:val="center"/>
              <w:rPr>
                <w:b/>
                <w:bCs/>
                <w:color w:val="000000"/>
                <w:sz w:val="20"/>
              </w:rPr>
            </w:pPr>
            <w:r w:rsidRPr="003D17F9">
              <w:rPr>
                <w:b/>
                <w:bCs/>
                <w:color w:val="000000"/>
                <w:sz w:val="20"/>
              </w:rPr>
              <w:t>50</w:t>
            </w:r>
          </w:p>
        </w:tc>
        <w:tc>
          <w:tcPr>
            <w:tcW w:w="884" w:type="dxa"/>
            <w:tcBorders>
              <w:top w:val="single" w:sz="4" w:space="0" w:color="auto"/>
              <w:bottom w:val="single" w:sz="4" w:space="0" w:color="auto"/>
            </w:tcBorders>
            <w:shd w:val="clear" w:color="auto" w:fill="auto"/>
            <w:noWrap/>
            <w:vAlign w:val="center"/>
            <w:hideMark/>
          </w:tcPr>
          <w:p w14:paraId="2DADAACD" w14:textId="77777777" w:rsidR="003D17F9" w:rsidRPr="003D17F9" w:rsidRDefault="003D17F9" w:rsidP="003D17F9">
            <w:pPr>
              <w:widowControl/>
              <w:suppressLineNumbers w:val="0"/>
              <w:suppressAutoHyphens w:val="0"/>
              <w:ind w:firstLine="0"/>
              <w:jc w:val="center"/>
              <w:rPr>
                <w:b/>
                <w:bCs/>
                <w:color w:val="000000"/>
                <w:sz w:val="20"/>
              </w:rPr>
            </w:pPr>
            <w:r w:rsidRPr="003D17F9">
              <w:rPr>
                <w:b/>
                <w:bCs/>
                <w:color w:val="000000"/>
                <w:sz w:val="20"/>
              </w:rPr>
              <w:t>100%</w:t>
            </w:r>
          </w:p>
        </w:tc>
        <w:tc>
          <w:tcPr>
            <w:tcW w:w="672" w:type="dxa"/>
            <w:tcBorders>
              <w:top w:val="single" w:sz="4" w:space="0" w:color="auto"/>
              <w:bottom w:val="single" w:sz="4" w:space="0" w:color="auto"/>
            </w:tcBorders>
            <w:shd w:val="clear" w:color="auto" w:fill="auto"/>
            <w:noWrap/>
            <w:vAlign w:val="center"/>
            <w:hideMark/>
          </w:tcPr>
          <w:p w14:paraId="7A7E4CF7" w14:textId="77777777" w:rsidR="003D17F9" w:rsidRPr="003D17F9" w:rsidRDefault="003D17F9" w:rsidP="003D17F9">
            <w:pPr>
              <w:widowControl/>
              <w:suppressLineNumbers w:val="0"/>
              <w:suppressAutoHyphens w:val="0"/>
              <w:ind w:firstLine="0"/>
              <w:jc w:val="center"/>
              <w:rPr>
                <w:b/>
                <w:bCs/>
                <w:color w:val="000000"/>
                <w:sz w:val="20"/>
              </w:rPr>
            </w:pPr>
            <w:r w:rsidRPr="003D17F9">
              <w:rPr>
                <w:b/>
                <w:bCs/>
                <w:color w:val="000000"/>
                <w:sz w:val="20"/>
              </w:rPr>
              <w:t>50</w:t>
            </w:r>
          </w:p>
        </w:tc>
        <w:tc>
          <w:tcPr>
            <w:tcW w:w="884" w:type="dxa"/>
            <w:tcBorders>
              <w:top w:val="single" w:sz="4" w:space="0" w:color="auto"/>
              <w:bottom w:val="single" w:sz="4" w:space="0" w:color="auto"/>
            </w:tcBorders>
            <w:shd w:val="clear" w:color="auto" w:fill="auto"/>
            <w:noWrap/>
            <w:vAlign w:val="center"/>
            <w:hideMark/>
          </w:tcPr>
          <w:p w14:paraId="5A5B9F68" w14:textId="77777777" w:rsidR="003D17F9" w:rsidRPr="003D17F9" w:rsidRDefault="003D17F9" w:rsidP="003D17F9">
            <w:pPr>
              <w:widowControl/>
              <w:suppressLineNumbers w:val="0"/>
              <w:suppressAutoHyphens w:val="0"/>
              <w:ind w:firstLine="0"/>
              <w:jc w:val="center"/>
              <w:rPr>
                <w:b/>
                <w:bCs/>
                <w:color w:val="000000"/>
                <w:sz w:val="20"/>
              </w:rPr>
            </w:pPr>
            <w:r w:rsidRPr="003D17F9">
              <w:rPr>
                <w:b/>
                <w:bCs/>
                <w:color w:val="000000"/>
                <w:sz w:val="20"/>
              </w:rPr>
              <w:t>100%</w:t>
            </w:r>
          </w:p>
        </w:tc>
        <w:tc>
          <w:tcPr>
            <w:tcW w:w="672" w:type="dxa"/>
            <w:tcBorders>
              <w:top w:val="single" w:sz="4" w:space="0" w:color="auto"/>
              <w:bottom w:val="single" w:sz="4" w:space="0" w:color="auto"/>
            </w:tcBorders>
            <w:shd w:val="clear" w:color="auto" w:fill="auto"/>
            <w:noWrap/>
            <w:vAlign w:val="center"/>
            <w:hideMark/>
          </w:tcPr>
          <w:p w14:paraId="07FF4668" w14:textId="77777777" w:rsidR="003D17F9" w:rsidRPr="003D17F9" w:rsidRDefault="003D17F9" w:rsidP="003D17F9">
            <w:pPr>
              <w:widowControl/>
              <w:suppressLineNumbers w:val="0"/>
              <w:suppressAutoHyphens w:val="0"/>
              <w:ind w:firstLine="0"/>
              <w:jc w:val="center"/>
              <w:rPr>
                <w:b/>
                <w:bCs/>
                <w:color w:val="000000"/>
                <w:sz w:val="20"/>
              </w:rPr>
            </w:pPr>
            <w:r w:rsidRPr="003D17F9">
              <w:rPr>
                <w:b/>
                <w:bCs/>
                <w:color w:val="000000"/>
                <w:sz w:val="20"/>
              </w:rPr>
              <w:t>50</w:t>
            </w:r>
          </w:p>
        </w:tc>
        <w:tc>
          <w:tcPr>
            <w:tcW w:w="888" w:type="dxa"/>
            <w:tcBorders>
              <w:top w:val="single" w:sz="4" w:space="0" w:color="auto"/>
              <w:bottom w:val="single" w:sz="4" w:space="0" w:color="auto"/>
            </w:tcBorders>
            <w:shd w:val="clear" w:color="auto" w:fill="auto"/>
            <w:noWrap/>
            <w:vAlign w:val="center"/>
            <w:hideMark/>
          </w:tcPr>
          <w:p w14:paraId="673CAD4A" w14:textId="77777777" w:rsidR="003D17F9" w:rsidRPr="003D17F9" w:rsidRDefault="003D17F9" w:rsidP="003D17F9">
            <w:pPr>
              <w:widowControl/>
              <w:suppressLineNumbers w:val="0"/>
              <w:suppressAutoHyphens w:val="0"/>
              <w:ind w:firstLine="0"/>
              <w:jc w:val="center"/>
              <w:rPr>
                <w:b/>
                <w:bCs/>
                <w:color w:val="000000"/>
                <w:sz w:val="20"/>
              </w:rPr>
            </w:pPr>
            <w:r w:rsidRPr="003D17F9">
              <w:rPr>
                <w:b/>
                <w:bCs/>
                <w:color w:val="000000"/>
                <w:sz w:val="20"/>
              </w:rPr>
              <w:t>100%</w:t>
            </w:r>
          </w:p>
        </w:tc>
      </w:tr>
    </w:tbl>
    <w:p w14:paraId="7175263C" w14:textId="4CC26407" w:rsidR="003D17F9" w:rsidRPr="003D17F9" w:rsidRDefault="003D17F9" w:rsidP="003D17F9">
      <w:pPr>
        <w:widowControl/>
        <w:suppressLineNumbers w:val="0"/>
        <w:suppressAutoHyphens w:val="0"/>
        <w:spacing w:line="259" w:lineRule="auto"/>
        <w:ind w:firstLine="0"/>
        <w:jc w:val="left"/>
        <w:rPr>
          <w:rFonts w:eastAsia="Calibri"/>
          <w:sz w:val="20"/>
          <w:lang w:eastAsia="en-US"/>
        </w:rPr>
      </w:pPr>
      <w:r w:rsidRPr="003D17F9">
        <w:rPr>
          <w:rFonts w:eastAsia="Calibri"/>
          <w:sz w:val="20"/>
          <w:lang w:eastAsia="en-US"/>
        </w:rPr>
        <w:t xml:space="preserve">Fonte: </w:t>
      </w:r>
      <w:r w:rsidR="00521DCA">
        <w:rPr>
          <w:rFonts w:eastAsia="Calibri"/>
          <w:sz w:val="20"/>
          <w:szCs w:val="24"/>
        </w:rPr>
        <w:t>Dados da Pesquisa</w:t>
      </w:r>
    </w:p>
    <w:p w14:paraId="727A982E" w14:textId="77777777" w:rsidR="00DD401D" w:rsidRDefault="00DD401D" w:rsidP="00DD401D">
      <w:pPr>
        <w:rPr>
          <w:rFonts w:eastAsia="Calibri"/>
          <w:sz w:val="20"/>
          <w:szCs w:val="24"/>
        </w:rPr>
      </w:pPr>
    </w:p>
    <w:p w14:paraId="54F1C917" w14:textId="71C72AF4" w:rsidR="00D15244" w:rsidRDefault="00D15244" w:rsidP="00E35362">
      <w:pPr>
        <w:rPr>
          <w:color w:val="000000"/>
          <w:szCs w:val="24"/>
        </w:rPr>
      </w:pPr>
      <w:r w:rsidRPr="00643114">
        <w:rPr>
          <w:color w:val="000000"/>
          <w:szCs w:val="24"/>
        </w:rPr>
        <w:t xml:space="preserve">Quanto ao resultado maior que 1, </w:t>
      </w:r>
      <w:r>
        <w:rPr>
          <w:color w:val="000000"/>
          <w:szCs w:val="24"/>
        </w:rPr>
        <w:t>todos os municípios apresentaram valores bem abaixo e</w:t>
      </w:r>
      <w:r w:rsidR="00F95830">
        <w:rPr>
          <w:color w:val="000000"/>
          <w:szCs w:val="24"/>
        </w:rPr>
        <w:t xml:space="preserve">m relação aos de menor que 1. O </w:t>
      </w:r>
      <w:r>
        <w:rPr>
          <w:color w:val="000000"/>
          <w:szCs w:val="24"/>
        </w:rPr>
        <w:t xml:space="preserve">maior percentual </w:t>
      </w:r>
      <w:r w:rsidR="00F95830">
        <w:rPr>
          <w:color w:val="000000"/>
          <w:szCs w:val="24"/>
        </w:rPr>
        <w:t>aconteceu no</w:t>
      </w:r>
      <w:r>
        <w:rPr>
          <w:color w:val="000000"/>
          <w:szCs w:val="24"/>
        </w:rPr>
        <w:t xml:space="preserve"> ano de 2017, para os municípios de porte pequeno</w:t>
      </w:r>
      <w:r w:rsidR="00F95830">
        <w:rPr>
          <w:color w:val="000000"/>
          <w:szCs w:val="24"/>
        </w:rPr>
        <w:t>,</w:t>
      </w:r>
      <w:r>
        <w:rPr>
          <w:color w:val="000000"/>
          <w:szCs w:val="24"/>
        </w:rPr>
        <w:t xml:space="preserve"> com percentual de 36%</w:t>
      </w:r>
      <w:r w:rsidR="00F95830">
        <w:rPr>
          <w:color w:val="000000"/>
          <w:szCs w:val="24"/>
        </w:rPr>
        <w:t>, onde 18 municípios tiveram</w:t>
      </w:r>
      <w:r>
        <w:rPr>
          <w:color w:val="000000"/>
          <w:szCs w:val="24"/>
        </w:rPr>
        <w:t xml:space="preserve"> resultado maior que 1.</w:t>
      </w:r>
      <w:r w:rsidR="00F95830">
        <w:rPr>
          <w:color w:val="000000"/>
          <w:szCs w:val="24"/>
        </w:rPr>
        <w:t xml:space="preserve"> Assim, a</w:t>
      </w:r>
      <w:r w:rsidRPr="00BC3285">
        <w:rPr>
          <w:szCs w:val="24"/>
        </w:rPr>
        <w:t xml:space="preserve"> soma da Receita (Orçamentária + Extraorçamentária) é maior que a soma da Despesa (Orçamentária + Extraorçamentária).</w:t>
      </w:r>
      <w:r>
        <w:rPr>
          <w:szCs w:val="24"/>
        </w:rPr>
        <w:t xml:space="preserve"> </w:t>
      </w:r>
      <w:r w:rsidRPr="00643114">
        <w:rPr>
          <w:color w:val="000000"/>
          <w:szCs w:val="24"/>
        </w:rPr>
        <w:t xml:space="preserve">Para Kohama, (2015) essa hipótese é </w:t>
      </w:r>
      <w:r>
        <w:rPr>
          <w:color w:val="000000"/>
          <w:szCs w:val="24"/>
        </w:rPr>
        <w:t>a desejável</w:t>
      </w:r>
      <w:r w:rsidRPr="00643114">
        <w:rPr>
          <w:color w:val="000000"/>
          <w:szCs w:val="24"/>
        </w:rPr>
        <w:t xml:space="preserve">, </w:t>
      </w:r>
      <w:r w:rsidR="00F95830">
        <w:rPr>
          <w:szCs w:val="24"/>
        </w:rPr>
        <w:t xml:space="preserve">pois, destaca </w:t>
      </w:r>
      <w:r w:rsidRPr="00BC3285">
        <w:rPr>
          <w:szCs w:val="24"/>
        </w:rPr>
        <w:t xml:space="preserve">que a soma total dos recebimentos do exercício é maior do que a soma total dos pagamentos do exercício, portanto houve um </w:t>
      </w:r>
      <w:r w:rsidRPr="00F95830">
        <w:rPr>
          <w:i/>
          <w:szCs w:val="24"/>
        </w:rPr>
        <w:t xml:space="preserve">superávit </w:t>
      </w:r>
      <w:r w:rsidRPr="00BC3285">
        <w:rPr>
          <w:szCs w:val="24"/>
        </w:rPr>
        <w:t>financeiro.</w:t>
      </w:r>
    </w:p>
    <w:p w14:paraId="5ABC6666" w14:textId="40AD9D9A" w:rsidR="00D15244" w:rsidRDefault="00D15244" w:rsidP="00E35362">
      <w:pPr>
        <w:rPr>
          <w:color w:val="000000"/>
          <w:szCs w:val="24"/>
        </w:rPr>
      </w:pPr>
      <w:r w:rsidRPr="00434948">
        <w:rPr>
          <w:color w:val="000000"/>
          <w:szCs w:val="24"/>
        </w:rPr>
        <w:t xml:space="preserve">O resultado menor que 1 foi a maioria </w:t>
      </w:r>
      <w:r>
        <w:rPr>
          <w:color w:val="000000"/>
          <w:szCs w:val="24"/>
        </w:rPr>
        <w:t>dos municípios pesquisados, o maior percentual foi dos municípios de grande porte</w:t>
      </w:r>
      <w:r w:rsidR="00F95830">
        <w:rPr>
          <w:color w:val="000000"/>
          <w:szCs w:val="24"/>
        </w:rPr>
        <w:t>,</w:t>
      </w:r>
      <w:r>
        <w:rPr>
          <w:color w:val="000000"/>
          <w:szCs w:val="24"/>
        </w:rPr>
        <w:t xml:space="preserve"> no ano de 2016</w:t>
      </w:r>
      <w:r w:rsidR="00F95830">
        <w:rPr>
          <w:color w:val="000000"/>
          <w:szCs w:val="24"/>
        </w:rPr>
        <w:t>, com 78%. Os achados apresentam</w:t>
      </w:r>
      <w:r w:rsidRPr="00434948">
        <w:rPr>
          <w:color w:val="000000"/>
          <w:szCs w:val="24"/>
        </w:rPr>
        <w:t xml:space="preserve"> a</w:t>
      </w:r>
      <w:r>
        <w:rPr>
          <w:color w:val="000000"/>
          <w:szCs w:val="24"/>
        </w:rPr>
        <w:t xml:space="preserve"> </w:t>
      </w:r>
      <w:r w:rsidRPr="00BC3285">
        <w:rPr>
          <w:szCs w:val="24"/>
        </w:rPr>
        <w:t>soma da Receita (Orç</w:t>
      </w:r>
      <w:r w:rsidR="00F95830">
        <w:rPr>
          <w:szCs w:val="24"/>
        </w:rPr>
        <w:t xml:space="preserve">amentária + Extraorçamentária) </w:t>
      </w:r>
      <w:r w:rsidR="00F95830" w:rsidRPr="00BC3285">
        <w:rPr>
          <w:szCs w:val="24"/>
        </w:rPr>
        <w:t>menor</w:t>
      </w:r>
      <w:r w:rsidRPr="00BC3285">
        <w:rPr>
          <w:szCs w:val="24"/>
        </w:rPr>
        <w:t xml:space="preserve"> que a soma da Despesa (Orçamentária + Extraorçamentária).</w:t>
      </w:r>
      <w:r w:rsidR="00F95830">
        <w:rPr>
          <w:color w:val="000000"/>
          <w:szCs w:val="24"/>
        </w:rPr>
        <w:t xml:space="preserve"> Para Kohama </w:t>
      </w:r>
      <w:r w:rsidRPr="00434948">
        <w:rPr>
          <w:color w:val="000000"/>
          <w:szCs w:val="24"/>
        </w:rPr>
        <w:t>(2015) essa hipótese</w:t>
      </w:r>
      <w:r w:rsidR="00F95830">
        <w:rPr>
          <w:color w:val="000000"/>
          <w:szCs w:val="24"/>
        </w:rPr>
        <w:t>,</w:t>
      </w:r>
      <w:r w:rsidRPr="00434948">
        <w:rPr>
          <w:color w:val="000000"/>
          <w:szCs w:val="24"/>
        </w:rPr>
        <w:t xml:space="preserve"> </w:t>
      </w:r>
      <w:r>
        <w:rPr>
          <w:color w:val="000000"/>
          <w:szCs w:val="24"/>
        </w:rPr>
        <w:t>caso ocorra</w:t>
      </w:r>
      <w:r w:rsidRPr="00BC3285">
        <w:rPr>
          <w:szCs w:val="24"/>
        </w:rPr>
        <w:t>, deve-se verificar se as disponibilidades (saldo de caixa/bancos) refletem a movimentação financeira de origem extraorçamentária</w:t>
      </w:r>
      <w:r>
        <w:rPr>
          <w:szCs w:val="24"/>
        </w:rPr>
        <w:t xml:space="preserve">. </w:t>
      </w:r>
      <w:r w:rsidRPr="00330333">
        <w:rPr>
          <w:color w:val="000000"/>
          <w:szCs w:val="24"/>
        </w:rPr>
        <w:t xml:space="preserve">As causas ou possíveis justificativas convincentes, </w:t>
      </w:r>
      <w:r w:rsidR="00F95830">
        <w:rPr>
          <w:color w:val="000000"/>
          <w:szCs w:val="24"/>
        </w:rPr>
        <w:t xml:space="preserve">precisam ser melhor verificadas, fato que não </w:t>
      </w:r>
      <w:r w:rsidRPr="00330333">
        <w:rPr>
          <w:color w:val="000000"/>
          <w:szCs w:val="24"/>
        </w:rPr>
        <w:t>foi possível nesse estági</w:t>
      </w:r>
      <w:r w:rsidR="00F95830">
        <w:rPr>
          <w:color w:val="000000"/>
          <w:szCs w:val="24"/>
        </w:rPr>
        <w:t>o da pesquisa.</w:t>
      </w:r>
    </w:p>
    <w:p w14:paraId="45CD4783" w14:textId="4DEA500C" w:rsidR="00DD401D" w:rsidRDefault="00B91B7B" w:rsidP="00E35362">
      <w:pPr>
        <w:rPr>
          <w:color w:val="000000"/>
          <w:szCs w:val="24"/>
        </w:rPr>
      </w:pPr>
      <w:r>
        <w:rPr>
          <w:color w:val="000000"/>
          <w:szCs w:val="24"/>
        </w:rPr>
        <w:t>Na tabela 10 estão destacados os resultados dos saldos financeiros e os achados</w:t>
      </w:r>
      <w:r w:rsidR="00F95830">
        <w:rPr>
          <w:color w:val="000000"/>
          <w:szCs w:val="24"/>
        </w:rPr>
        <w:t xml:space="preserve"> evidenciam a</w:t>
      </w:r>
      <w:r>
        <w:rPr>
          <w:color w:val="000000"/>
          <w:szCs w:val="24"/>
        </w:rPr>
        <w:t xml:space="preserve"> inexistência de </w:t>
      </w:r>
      <w:r w:rsidRPr="00B91B7B">
        <w:rPr>
          <w:color w:val="000000"/>
          <w:szCs w:val="24"/>
        </w:rPr>
        <w:t>valores ig</w:t>
      </w:r>
      <w:r w:rsidR="00F95830">
        <w:rPr>
          <w:color w:val="000000"/>
          <w:szCs w:val="24"/>
        </w:rPr>
        <w:t xml:space="preserve">uais a 1 no período com </w:t>
      </w:r>
      <w:r>
        <w:rPr>
          <w:color w:val="000000"/>
          <w:szCs w:val="24"/>
        </w:rPr>
        <w:t>saldos transferidos</w:t>
      </w:r>
      <w:r w:rsidRPr="00B91B7B">
        <w:rPr>
          <w:color w:val="000000"/>
          <w:szCs w:val="24"/>
        </w:rPr>
        <w:t xml:space="preserve"> para o exercício seguinte</w:t>
      </w:r>
      <w:r>
        <w:rPr>
          <w:color w:val="000000"/>
          <w:szCs w:val="24"/>
        </w:rPr>
        <w:t xml:space="preserve"> que</w:t>
      </w:r>
      <w:r w:rsidRPr="00B91B7B">
        <w:rPr>
          <w:color w:val="000000"/>
          <w:szCs w:val="24"/>
        </w:rPr>
        <w:t xml:space="preserve"> não são iguais ao saldo do exercíci</w:t>
      </w:r>
      <w:r>
        <w:rPr>
          <w:color w:val="000000"/>
          <w:szCs w:val="24"/>
        </w:rPr>
        <w:t xml:space="preserve">o anterior. </w:t>
      </w:r>
    </w:p>
    <w:p w14:paraId="4E31D61B" w14:textId="77777777" w:rsidR="00B91B7B" w:rsidRDefault="00B91B7B" w:rsidP="00B91B7B">
      <w:pPr>
        <w:ind w:firstLine="708"/>
        <w:rPr>
          <w:rFonts w:eastAsia="Calibri"/>
          <w:szCs w:val="24"/>
        </w:rPr>
      </w:pPr>
    </w:p>
    <w:p w14:paraId="70B17236" w14:textId="0B9D5B8E" w:rsidR="003F7552" w:rsidRPr="006E6CAF" w:rsidRDefault="003F7552" w:rsidP="003F7552">
      <w:pPr>
        <w:widowControl/>
        <w:suppressLineNumbers w:val="0"/>
        <w:suppressAutoHyphens w:val="0"/>
        <w:spacing w:line="259" w:lineRule="auto"/>
        <w:ind w:firstLine="0"/>
        <w:jc w:val="left"/>
        <w:rPr>
          <w:rFonts w:eastAsia="Calibri"/>
          <w:sz w:val="20"/>
          <w:lang w:eastAsia="en-US"/>
        </w:rPr>
      </w:pPr>
      <w:r>
        <w:rPr>
          <w:rFonts w:eastAsia="Calibri"/>
          <w:sz w:val="20"/>
          <w:lang w:eastAsia="en-US"/>
        </w:rPr>
        <w:t>Tabela 10 – Resultado dos Quocientes</w:t>
      </w:r>
      <w:r w:rsidR="00E70312">
        <w:rPr>
          <w:rFonts w:eastAsia="Calibri"/>
          <w:sz w:val="20"/>
          <w:lang w:eastAsia="en-US"/>
        </w:rPr>
        <w:t xml:space="preserve"> d</w:t>
      </w:r>
      <w:r w:rsidR="00E70312" w:rsidRPr="0025238C">
        <w:rPr>
          <w:color w:val="000000"/>
          <w:sz w:val="20"/>
        </w:rPr>
        <w:t xml:space="preserve">o Resultado </w:t>
      </w:r>
      <w:r w:rsidR="00E70312">
        <w:rPr>
          <w:color w:val="000000"/>
          <w:sz w:val="20"/>
        </w:rPr>
        <w:t>d</w:t>
      </w:r>
      <w:r w:rsidR="00E70312" w:rsidRPr="0025238C">
        <w:rPr>
          <w:color w:val="000000"/>
          <w:sz w:val="20"/>
        </w:rPr>
        <w:t>os Saldos Financeiros</w:t>
      </w:r>
    </w:p>
    <w:tbl>
      <w:tblPr>
        <w:tblW w:w="9490" w:type="dxa"/>
        <w:tblCellMar>
          <w:left w:w="70" w:type="dxa"/>
          <w:right w:w="70" w:type="dxa"/>
        </w:tblCellMar>
        <w:tblLook w:val="04A0" w:firstRow="1" w:lastRow="0" w:firstColumn="1" w:lastColumn="0" w:noHBand="0" w:noVBand="1"/>
      </w:tblPr>
      <w:tblGrid>
        <w:gridCol w:w="1913"/>
        <w:gridCol w:w="2905"/>
        <w:gridCol w:w="672"/>
        <w:gridCol w:w="884"/>
        <w:gridCol w:w="672"/>
        <w:gridCol w:w="884"/>
        <w:gridCol w:w="672"/>
        <w:gridCol w:w="888"/>
      </w:tblGrid>
      <w:tr w:rsidR="0025238C" w:rsidRPr="0025238C" w14:paraId="694B288C" w14:textId="77777777" w:rsidTr="0025238C">
        <w:trPr>
          <w:cantSplit/>
          <w:trHeight w:val="20"/>
        </w:trPr>
        <w:tc>
          <w:tcPr>
            <w:tcW w:w="1913" w:type="dxa"/>
            <w:tcBorders>
              <w:top w:val="single" w:sz="4" w:space="0" w:color="auto"/>
            </w:tcBorders>
            <w:shd w:val="clear" w:color="auto" w:fill="auto"/>
            <w:noWrap/>
            <w:vAlign w:val="bottom"/>
            <w:hideMark/>
          </w:tcPr>
          <w:p w14:paraId="236BEE8F" w14:textId="77777777" w:rsidR="0025238C" w:rsidRPr="0025238C" w:rsidRDefault="0025238C" w:rsidP="0025238C">
            <w:pPr>
              <w:widowControl/>
              <w:suppressLineNumbers w:val="0"/>
              <w:suppressAutoHyphens w:val="0"/>
              <w:ind w:firstLine="0"/>
              <w:jc w:val="center"/>
              <w:rPr>
                <w:color w:val="000000"/>
                <w:sz w:val="20"/>
              </w:rPr>
            </w:pPr>
          </w:p>
        </w:tc>
        <w:tc>
          <w:tcPr>
            <w:tcW w:w="2905" w:type="dxa"/>
            <w:tcBorders>
              <w:top w:val="single" w:sz="4" w:space="0" w:color="auto"/>
            </w:tcBorders>
            <w:shd w:val="clear" w:color="auto" w:fill="auto"/>
            <w:noWrap/>
            <w:vAlign w:val="center"/>
            <w:hideMark/>
          </w:tcPr>
          <w:p w14:paraId="7EABA91B"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 </w:t>
            </w:r>
          </w:p>
        </w:tc>
        <w:tc>
          <w:tcPr>
            <w:tcW w:w="1556" w:type="dxa"/>
            <w:gridSpan w:val="2"/>
            <w:tcBorders>
              <w:top w:val="single" w:sz="4" w:space="0" w:color="auto"/>
              <w:bottom w:val="single" w:sz="4" w:space="0" w:color="auto"/>
            </w:tcBorders>
            <w:shd w:val="clear" w:color="auto" w:fill="auto"/>
            <w:noWrap/>
            <w:vAlign w:val="center"/>
            <w:hideMark/>
          </w:tcPr>
          <w:p w14:paraId="1A8363C0"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2015</w:t>
            </w:r>
          </w:p>
        </w:tc>
        <w:tc>
          <w:tcPr>
            <w:tcW w:w="1556" w:type="dxa"/>
            <w:gridSpan w:val="2"/>
            <w:tcBorders>
              <w:top w:val="single" w:sz="4" w:space="0" w:color="auto"/>
              <w:bottom w:val="single" w:sz="4" w:space="0" w:color="auto"/>
            </w:tcBorders>
            <w:shd w:val="clear" w:color="auto" w:fill="auto"/>
            <w:noWrap/>
            <w:vAlign w:val="center"/>
            <w:hideMark/>
          </w:tcPr>
          <w:p w14:paraId="3D9688CD"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2016</w:t>
            </w:r>
          </w:p>
        </w:tc>
        <w:tc>
          <w:tcPr>
            <w:tcW w:w="1560" w:type="dxa"/>
            <w:gridSpan w:val="2"/>
            <w:tcBorders>
              <w:top w:val="single" w:sz="4" w:space="0" w:color="auto"/>
              <w:bottom w:val="single" w:sz="4" w:space="0" w:color="auto"/>
            </w:tcBorders>
            <w:shd w:val="clear" w:color="auto" w:fill="auto"/>
            <w:noWrap/>
            <w:vAlign w:val="center"/>
            <w:hideMark/>
          </w:tcPr>
          <w:p w14:paraId="530B0853"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2017</w:t>
            </w:r>
          </w:p>
        </w:tc>
      </w:tr>
      <w:tr w:rsidR="0025238C" w:rsidRPr="0025238C" w14:paraId="7A5441E1" w14:textId="77777777" w:rsidTr="0025238C">
        <w:trPr>
          <w:cantSplit/>
          <w:trHeight w:val="20"/>
        </w:trPr>
        <w:tc>
          <w:tcPr>
            <w:tcW w:w="1913" w:type="dxa"/>
            <w:vMerge w:val="restart"/>
            <w:shd w:val="clear" w:color="auto" w:fill="auto"/>
            <w:vAlign w:val="center"/>
            <w:hideMark/>
          </w:tcPr>
          <w:p w14:paraId="035F7F3F"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Municípios de Grande Porte</w:t>
            </w:r>
          </w:p>
        </w:tc>
        <w:tc>
          <w:tcPr>
            <w:tcW w:w="2905" w:type="dxa"/>
            <w:shd w:val="clear" w:color="auto" w:fill="auto"/>
            <w:noWrap/>
            <w:vAlign w:val="bottom"/>
            <w:hideMark/>
          </w:tcPr>
          <w:p w14:paraId="01A13516" w14:textId="77777777" w:rsidR="0025238C" w:rsidRPr="0025238C" w:rsidRDefault="0025238C" w:rsidP="0025238C">
            <w:pPr>
              <w:widowControl/>
              <w:suppressLineNumbers w:val="0"/>
              <w:suppressAutoHyphens w:val="0"/>
              <w:ind w:firstLine="0"/>
              <w:jc w:val="center"/>
              <w:rPr>
                <w:color w:val="000000"/>
                <w:sz w:val="20"/>
              </w:rPr>
            </w:pPr>
          </w:p>
        </w:tc>
        <w:tc>
          <w:tcPr>
            <w:tcW w:w="672" w:type="dxa"/>
            <w:tcBorders>
              <w:top w:val="single" w:sz="4" w:space="0" w:color="auto"/>
            </w:tcBorders>
            <w:shd w:val="clear" w:color="auto" w:fill="auto"/>
            <w:noWrap/>
            <w:vAlign w:val="center"/>
            <w:hideMark/>
          </w:tcPr>
          <w:p w14:paraId="207E2C04"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QM.</w:t>
            </w:r>
          </w:p>
        </w:tc>
        <w:tc>
          <w:tcPr>
            <w:tcW w:w="884" w:type="dxa"/>
            <w:tcBorders>
              <w:top w:val="single" w:sz="4" w:space="0" w:color="auto"/>
            </w:tcBorders>
            <w:shd w:val="clear" w:color="auto" w:fill="auto"/>
            <w:noWrap/>
            <w:vAlign w:val="center"/>
            <w:hideMark/>
          </w:tcPr>
          <w:p w14:paraId="236B5093"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w:t>
            </w:r>
          </w:p>
        </w:tc>
        <w:tc>
          <w:tcPr>
            <w:tcW w:w="672" w:type="dxa"/>
            <w:tcBorders>
              <w:top w:val="single" w:sz="4" w:space="0" w:color="auto"/>
            </w:tcBorders>
            <w:shd w:val="clear" w:color="auto" w:fill="auto"/>
            <w:noWrap/>
            <w:vAlign w:val="center"/>
            <w:hideMark/>
          </w:tcPr>
          <w:p w14:paraId="66FEE271"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QM.</w:t>
            </w:r>
          </w:p>
        </w:tc>
        <w:tc>
          <w:tcPr>
            <w:tcW w:w="884" w:type="dxa"/>
            <w:tcBorders>
              <w:top w:val="single" w:sz="4" w:space="0" w:color="auto"/>
            </w:tcBorders>
            <w:shd w:val="clear" w:color="auto" w:fill="auto"/>
            <w:noWrap/>
            <w:vAlign w:val="center"/>
            <w:hideMark/>
          </w:tcPr>
          <w:p w14:paraId="5B41F2BC"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w:t>
            </w:r>
          </w:p>
        </w:tc>
        <w:tc>
          <w:tcPr>
            <w:tcW w:w="672" w:type="dxa"/>
            <w:tcBorders>
              <w:top w:val="single" w:sz="4" w:space="0" w:color="auto"/>
            </w:tcBorders>
            <w:shd w:val="clear" w:color="auto" w:fill="auto"/>
            <w:noWrap/>
            <w:vAlign w:val="center"/>
            <w:hideMark/>
          </w:tcPr>
          <w:p w14:paraId="0C0A0B30"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QM.</w:t>
            </w:r>
          </w:p>
        </w:tc>
        <w:tc>
          <w:tcPr>
            <w:tcW w:w="888" w:type="dxa"/>
            <w:tcBorders>
              <w:top w:val="single" w:sz="4" w:space="0" w:color="auto"/>
            </w:tcBorders>
            <w:shd w:val="clear" w:color="auto" w:fill="auto"/>
            <w:noWrap/>
            <w:vAlign w:val="center"/>
            <w:hideMark/>
          </w:tcPr>
          <w:p w14:paraId="785BF1B2"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w:t>
            </w:r>
          </w:p>
        </w:tc>
      </w:tr>
      <w:tr w:rsidR="0025238C" w:rsidRPr="0025238C" w14:paraId="2392BF81" w14:textId="77777777" w:rsidTr="0025238C">
        <w:trPr>
          <w:cantSplit/>
          <w:trHeight w:val="20"/>
        </w:trPr>
        <w:tc>
          <w:tcPr>
            <w:tcW w:w="1913" w:type="dxa"/>
            <w:vMerge/>
            <w:shd w:val="clear" w:color="auto" w:fill="auto"/>
            <w:vAlign w:val="center"/>
            <w:hideMark/>
          </w:tcPr>
          <w:p w14:paraId="0D705DA3" w14:textId="77777777" w:rsidR="0025238C" w:rsidRPr="0025238C" w:rsidRDefault="0025238C" w:rsidP="0025238C">
            <w:pPr>
              <w:widowControl/>
              <w:suppressLineNumbers w:val="0"/>
              <w:suppressAutoHyphens w:val="0"/>
              <w:ind w:firstLine="0"/>
              <w:jc w:val="left"/>
              <w:rPr>
                <w:color w:val="000000"/>
                <w:sz w:val="20"/>
              </w:rPr>
            </w:pPr>
          </w:p>
        </w:tc>
        <w:tc>
          <w:tcPr>
            <w:tcW w:w="2905" w:type="dxa"/>
            <w:shd w:val="clear" w:color="auto" w:fill="auto"/>
            <w:noWrap/>
            <w:vAlign w:val="center"/>
            <w:hideMark/>
          </w:tcPr>
          <w:p w14:paraId="2AC4E44C" w14:textId="77777777" w:rsidR="0025238C" w:rsidRPr="0025238C" w:rsidRDefault="0025238C" w:rsidP="0025238C">
            <w:pPr>
              <w:widowControl/>
              <w:suppressLineNumbers w:val="0"/>
              <w:suppressAutoHyphens w:val="0"/>
              <w:ind w:firstLine="0"/>
              <w:jc w:val="left"/>
              <w:rPr>
                <w:color w:val="000000"/>
                <w:sz w:val="20"/>
              </w:rPr>
            </w:pPr>
            <w:r w:rsidRPr="0025238C">
              <w:rPr>
                <w:color w:val="000000"/>
                <w:sz w:val="20"/>
              </w:rPr>
              <w:t>= 1</w:t>
            </w:r>
          </w:p>
        </w:tc>
        <w:tc>
          <w:tcPr>
            <w:tcW w:w="672" w:type="dxa"/>
            <w:shd w:val="clear" w:color="auto" w:fill="auto"/>
            <w:noWrap/>
            <w:vAlign w:val="center"/>
            <w:hideMark/>
          </w:tcPr>
          <w:p w14:paraId="5E770648"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884" w:type="dxa"/>
            <w:shd w:val="clear" w:color="auto" w:fill="auto"/>
            <w:noWrap/>
            <w:vAlign w:val="center"/>
            <w:hideMark/>
          </w:tcPr>
          <w:p w14:paraId="1738EDB9"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672" w:type="dxa"/>
            <w:shd w:val="clear" w:color="auto" w:fill="auto"/>
            <w:noWrap/>
            <w:vAlign w:val="center"/>
            <w:hideMark/>
          </w:tcPr>
          <w:p w14:paraId="7E048574"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884" w:type="dxa"/>
            <w:shd w:val="clear" w:color="auto" w:fill="auto"/>
            <w:noWrap/>
            <w:vAlign w:val="center"/>
            <w:hideMark/>
          </w:tcPr>
          <w:p w14:paraId="0E80BCA3"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672" w:type="dxa"/>
            <w:shd w:val="clear" w:color="auto" w:fill="auto"/>
            <w:noWrap/>
            <w:vAlign w:val="center"/>
            <w:hideMark/>
          </w:tcPr>
          <w:p w14:paraId="7BD178AD"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888" w:type="dxa"/>
            <w:shd w:val="clear" w:color="auto" w:fill="auto"/>
            <w:noWrap/>
            <w:vAlign w:val="center"/>
            <w:hideMark/>
          </w:tcPr>
          <w:p w14:paraId="2E0F7F48"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r>
      <w:tr w:rsidR="0025238C" w:rsidRPr="0025238C" w14:paraId="3A6D9F0D" w14:textId="77777777" w:rsidTr="0025238C">
        <w:trPr>
          <w:cantSplit/>
          <w:trHeight w:val="20"/>
        </w:trPr>
        <w:tc>
          <w:tcPr>
            <w:tcW w:w="1913" w:type="dxa"/>
            <w:vMerge/>
            <w:shd w:val="clear" w:color="auto" w:fill="auto"/>
            <w:vAlign w:val="center"/>
            <w:hideMark/>
          </w:tcPr>
          <w:p w14:paraId="4FC9833E" w14:textId="77777777" w:rsidR="0025238C" w:rsidRPr="0025238C" w:rsidRDefault="0025238C" w:rsidP="0025238C">
            <w:pPr>
              <w:widowControl/>
              <w:suppressLineNumbers w:val="0"/>
              <w:suppressAutoHyphens w:val="0"/>
              <w:ind w:firstLine="0"/>
              <w:jc w:val="left"/>
              <w:rPr>
                <w:color w:val="000000"/>
                <w:sz w:val="20"/>
              </w:rPr>
            </w:pPr>
          </w:p>
        </w:tc>
        <w:tc>
          <w:tcPr>
            <w:tcW w:w="2905" w:type="dxa"/>
            <w:shd w:val="clear" w:color="auto" w:fill="auto"/>
            <w:noWrap/>
            <w:vAlign w:val="center"/>
            <w:hideMark/>
          </w:tcPr>
          <w:p w14:paraId="00BCB107" w14:textId="77777777" w:rsidR="0025238C" w:rsidRPr="0025238C" w:rsidRDefault="0025238C" w:rsidP="0025238C">
            <w:pPr>
              <w:widowControl/>
              <w:suppressLineNumbers w:val="0"/>
              <w:suppressAutoHyphens w:val="0"/>
              <w:ind w:firstLine="0"/>
              <w:jc w:val="left"/>
              <w:rPr>
                <w:color w:val="000000"/>
                <w:sz w:val="20"/>
              </w:rPr>
            </w:pPr>
            <w:r w:rsidRPr="0025238C">
              <w:rPr>
                <w:color w:val="000000"/>
                <w:sz w:val="20"/>
              </w:rPr>
              <w:t>&gt; 1</w:t>
            </w:r>
          </w:p>
        </w:tc>
        <w:tc>
          <w:tcPr>
            <w:tcW w:w="672" w:type="dxa"/>
            <w:shd w:val="clear" w:color="auto" w:fill="auto"/>
            <w:noWrap/>
            <w:vAlign w:val="center"/>
            <w:hideMark/>
          </w:tcPr>
          <w:p w14:paraId="61E0024D"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8</w:t>
            </w:r>
          </w:p>
        </w:tc>
        <w:tc>
          <w:tcPr>
            <w:tcW w:w="884" w:type="dxa"/>
            <w:shd w:val="clear" w:color="auto" w:fill="auto"/>
            <w:noWrap/>
            <w:vAlign w:val="center"/>
            <w:hideMark/>
          </w:tcPr>
          <w:p w14:paraId="69C53CFB"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44%</w:t>
            </w:r>
          </w:p>
        </w:tc>
        <w:tc>
          <w:tcPr>
            <w:tcW w:w="672" w:type="dxa"/>
            <w:shd w:val="clear" w:color="auto" w:fill="auto"/>
            <w:noWrap/>
            <w:vAlign w:val="center"/>
            <w:hideMark/>
          </w:tcPr>
          <w:p w14:paraId="4EC15BE6"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6</w:t>
            </w:r>
          </w:p>
        </w:tc>
        <w:tc>
          <w:tcPr>
            <w:tcW w:w="884" w:type="dxa"/>
            <w:shd w:val="clear" w:color="auto" w:fill="auto"/>
            <w:noWrap/>
            <w:vAlign w:val="center"/>
            <w:hideMark/>
          </w:tcPr>
          <w:p w14:paraId="6AEF63EA"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33%</w:t>
            </w:r>
          </w:p>
        </w:tc>
        <w:tc>
          <w:tcPr>
            <w:tcW w:w="672" w:type="dxa"/>
            <w:shd w:val="clear" w:color="auto" w:fill="auto"/>
            <w:noWrap/>
            <w:vAlign w:val="center"/>
            <w:hideMark/>
          </w:tcPr>
          <w:p w14:paraId="7CD8EE48"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6</w:t>
            </w:r>
          </w:p>
        </w:tc>
        <w:tc>
          <w:tcPr>
            <w:tcW w:w="888" w:type="dxa"/>
            <w:shd w:val="clear" w:color="auto" w:fill="auto"/>
            <w:noWrap/>
            <w:vAlign w:val="center"/>
            <w:hideMark/>
          </w:tcPr>
          <w:p w14:paraId="293A3E1D"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33%</w:t>
            </w:r>
          </w:p>
        </w:tc>
      </w:tr>
      <w:tr w:rsidR="0025238C" w:rsidRPr="0025238C" w14:paraId="171662F1" w14:textId="77777777" w:rsidTr="0025238C">
        <w:trPr>
          <w:cantSplit/>
          <w:trHeight w:val="20"/>
        </w:trPr>
        <w:tc>
          <w:tcPr>
            <w:tcW w:w="1913" w:type="dxa"/>
            <w:vMerge/>
            <w:shd w:val="clear" w:color="auto" w:fill="auto"/>
            <w:vAlign w:val="center"/>
            <w:hideMark/>
          </w:tcPr>
          <w:p w14:paraId="1A7B7843" w14:textId="77777777" w:rsidR="0025238C" w:rsidRPr="0025238C" w:rsidRDefault="0025238C" w:rsidP="0025238C">
            <w:pPr>
              <w:widowControl/>
              <w:suppressLineNumbers w:val="0"/>
              <w:suppressAutoHyphens w:val="0"/>
              <w:ind w:firstLine="0"/>
              <w:jc w:val="left"/>
              <w:rPr>
                <w:color w:val="000000"/>
                <w:sz w:val="20"/>
              </w:rPr>
            </w:pPr>
          </w:p>
        </w:tc>
        <w:tc>
          <w:tcPr>
            <w:tcW w:w="2905" w:type="dxa"/>
            <w:shd w:val="clear" w:color="auto" w:fill="auto"/>
            <w:noWrap/>
            <w:vAlign w:val="center"/>
            <w:hideMark/>
          </w:tcPr>
          <w:p w14:paraId="0DC16135" w14:textId="77777777" w:rsidR="0025238C" w:rsidRPr="0025238C" w:rsidRDefault="0025238C" w:rsidP="0025238C">
            <w:pPr>
              <w:widowControl/>
              <w:suppressLineNumbers w:val="0"/>
              <w:suppressAutoHyphens w:val="0"/>
              <w:ind w:firstLine="0"/>
              <w:jc w:val="left"/>
              <w:rPr>
                <w:color w:val="000000"/>
                <w:sz w:val="20"/>
              </w:rPr>
            </w:pPr>
            <w:r w:rsidRPr="0025238C">
              <w:rPr>
                <w:color w:val="000000"/>
                <w:sz w:val="20"/>
              </w:rPr>
              <w:t>&lt; 1</w:t>
            </w:r>
          </w:p>
        </w:tc>
        <w:tc>
          <w:tcPr>
            <w:tcW w:w="672" w:type="dxa"/>
            <w:shd w:val="clear" w:color="auto" w:fill="auto"/>
            <w:noWrap/>
            <w:vAlign w:val="center"/>
            <w:hideMark/>
          </w:tcPr>
          <w:p w14:paraId="4EBAF0F1"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8</w:t>
            </w:r>
          </w:p>
        </w:tc>
        <w:tc>
          <w:tcPr>
            <w:tcW w:w="884" w:type="dxa"/>
            <w:shd w:val="clear" w:color="auto" w:fill="auto"/>
            <w:noWrap/>
            <w:vAlign w:val="center"/>
            <w:hideMark/>
          </w:tcPr>
          <w:p w14:paraId="74BA1A59"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44%</w:t>
            </w:r>
          </w:p>
        </w:tc>
        <w:tc>
          <w:tcPr>
            <w:tcW w:w="672" w:type="dxa"/>
            <w:shd w:val="clear" w:color="auto" w:fill="auto"/>
            <w:noWrap/>
            <w:vAlign w:val="center"/>
            <w:hideMark/>
          </w:tcPr>
          <w:p w14:paraId="2291CF81"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11</w:t>
            </w:r>
          </w:p>
        </w:tc>
        <w:tc>
          <w:tcPr>
            <w:tcW w:w="884" w:type="dxa"/>
            <w:shd w:val="clear" w:color="auto" w:fill="auto"/>
            <w:noWrap/>
            <w:vAlign w:val="center"/>
            <w:hideMark/>
          </w:tcPr>
          <w:p w14:paraId="4ED2556A"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61%</w:t>
            </w:r>
          </w:p>
        </w:tc>
        <w:tc>
          <w:tcPr>
            <w:tcW w:w="672" w:type="dxa"/>
            <w:shd w:val="clear" w:color="auto" w:fill="auto"/>
            <w:noWrap/>
            <w:vAlign w:val="center"/>
            <w:hideMark/>
          </w:tcPr>
          <w:p w14:paraId="76239D45"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10</w:t>
            </w:r>
          </w:p>
        </w:tc>
        <w:tc>
          <w:tcPr>
            <w:tcW w:w="888" w:type="dxa"/>
            <w:shd w:val="clear" w:color="auto" w:fill="auto"/>
            <w:noWrap/>
            <w:vAlign w:val="center"/>
            <w:hideMark/>
          </w:tcPr>
          <w:p w14:paraId="4F555122"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56%</w:t>
            </w:r>
          </w:p>
        </w:tc>
      </w:tr>
      <w:tr w:rsidR="0025238C" w:rsidRPr="0025238C" w14:paraId="216BD28B" w14:textId="77777777" w:rsidTr="0025238C">
        <w:trPr>
          <w:cantSplit/>
          <w:trHeight w:val="20"/>
        </w:trPr>
        <w:tc>
          <w:tcPr>
            <w:tcW w:w="1913" w:type="dxa"/>
            <w:vMerge/>
            <w:shd w:val="clear" w:color="auto" w:fill="auto"/>
            <w:vAlign w:val="center"/>
            <w:hideMark/>
          </w:tcPr>
          <w:p w14:paraId="50DE6601" w14:textId="77777777" w:rsidR="0025238C" w:rsidRPr="0025238C" w:rsidRDefault="0025238C" w:rsidP="0025238C">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7EFC25E0" w14:textId="77777777" w:rsidR="0025238C" w:rsidRPr="0025238C" w:rsidRDefault="0025238C" w:rsidP="0025238C">
            <w:pPr>
              <w:widowControl/>
              <w:suppressLineNumbers w:val="0"/>
              <w:suppressAutoHyphens w:val="0"/>
              <w:ind w:firstLine="0"/>
              <w:jc w:val="left"/>
              <w:rPr>
                <w:color w:val="000000"/>
                <w:sz w:val="20"/>
              </w:rPr>
            </w:pPr>
            <w:r w:rsidRPr="0025238C">
              <w:rPr>
                <w:color w:val="000000"/>
                <w:sz w:val="20"/>
              </w:rPr>
              <w:t>Não Apresentou</w:t>
            </w:r>
          </w:p>
        </w:tc>
        <w:tc>
          <w:tcPr>
            <w:tcW w:w="672" w:type="dxa"/>
            <w:tcBorders>
              <w:bottom w:val="single" w:sz="4" w:space="0" w:color="auto"/>
            </w:tcBorders>
            <w:shd w:val="clear" w:color="auto" w:fill="auto"/>
            <w:noWrap/>
            <w:vAlign w:val="center"/>
            <w:hideMark/>
          </w:tcPr>
          <w:p w14:paraId="2A4609B2"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2</w:t>
            </w:r>
          </w:p>
        </w:tc>
        <w:tc>
          <w:tcPr>
            <w:tcW w:w="884" w:type="dxa"/>
            <w:tcBorders>
              <w:bottom w:val="single" w:sz="4" w:space="0" w:color="auto"/>
            </w:tcBorders>
            <w:shd w:val="clear" w:color="auto" w:fill="auto"/>
            <w:noWrap/>
            <w:vAlign w:val="center"/>
            <w:hideMark/>
          </w:tcPr>
          <w:p w14:paraId="5BEECD4D"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11%</w:t>
            </w:r>
          </w:p>
        </w:tc>
        <w:tc>
          <w:tcPr>
            <w:tcW w:w="672" w:type="dxa"/>
            <w:tcBorders>
              <w:bottom w:val="single" w:sz="4" w:space="0" w:color="auto"/>
            </w:tcBorders>
            <w:shd w:val="clear" w:color="auto" w:fill="auto"/>
            <w:noWrap/>
            <w:vAlign w:val="center"/>
            <w:hideMark/>
          </w:tcPr>
          <w:p w14:paraId="7346E26E"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w:t>
            </w:r>
          </w:p>
        </w:tc>
        <w:tc>
          <w:tcPr>
            <w:tcW w:w="884" w:type="dxa"/>
            <w:tcBorders>
              <w:bottom w:val="single" w:sz="4" w:space="0" w:color="auto"/>
            </w:tcBorders>
            <w:shd w:val="clear" w:color="auto" w:fill="auto"/>
            <w:noWrap/>
            <w:vAlign w:val="center"/>
            <w:hideMark/>
          </w:tcPr>
          <w:p w14:paraId="01697F8A"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6%</w:t>
            </w:r>
          </w:p>
        </w:tc>
        <w:tc>
          <w:tcPr>
            <w:tcW w:w="672" w:type="dxa"/>
            <w:tcBorders>
              <w:bottom w:val="single" w:sz="4" w:space="0" w:color="auto"/>
            </w:tcBorders>
            <w:shd w:val="clear" w:color="auto" w:fill="auto"/>
            <w:noWrap/>
            <w:vAlign w:val="center"/>
            <w:hideMark/>
          </w:tcPr>
          <w:p w14:paraId="474E8210"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2</w:t>
            </w:r>
          </w:p>
        </w:tc>
        <w:tc>
          <w:tcPr>
            <w:tcW w:w="888" w:type="dxa"/>
            <w:tcBorders>
              <w:bottom w:val="single" w:sz="4" w:space="0" w:color="auto"/>
            </w:tcBorders>
            <w:shd w:val="clear" w:color="auto" w:fill="auto"/>
            <w:noWrap/>
            <w:vAlign w:val="center"/>
            <w:hideMark/>
          </w:tcPr>
          <w:p w14:paraId="29E06ABE"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11%</w:t>
            </w:r>
          </w:p>
        </w:tc>
      </w:tr>
      <w:tr w:rsidR="0025238C" w:rsidRPr="0025238C" w14:paraId="772FFCC0" w14:textId="77777777" w:rsidTr="0025238C">
        <w:trPr>
          <w:cantSplit/>
          <w:trHeight w:val="20"/>
        </w:trPr>
        <w:tc>
          <w:tcPr>
            <w:tcW w:w="1913" w:type="dxa"/>
            <w:vMerge/>
            <w:tcBorders>
              <w:bottom w:val="single" w:sz="4" w:space="0" w:color="auto"/>
            </w:tcBorders>
            <w:shd w:val="clear" w:color="auto" w:fill="auto"/>
            <w:vAlign w:val="center"/>
            <w:hideMark/>
          </w:tcPr>
          <w:p w14:paraId="4078D7F7" w14:textId="77777777" w:rsidR="0025238C" w:rsidRPr="0025238C" w:rsidRDefault="0025238C" w:rsidP="0025238C">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770204C8" w14:textId="77777777" w:rsidR="0025238C" w:rsidRPr="0025238C" w:rsidRDefault="0025238C" w:rsidP="0025238C">
            <w:pPr>
              <w:widowControl/>
              <w:suppressLineNumbers w:val="0"/>
              <w:suppressAutoHyphens w:val="0"/>
              <w:ind w:firstLine="0"/>
              <w:jc w:val="left"/>
              <w:rPr>
                <w:b/>
                <w:bCs/>
                <w:color w:val="000000"/>
                <w:sz w:val="20"/>
              </w:rPr>
            </w:pPr>
            <w:r w:rsidRPr="0025238C">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237E55A2"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18</w:t>
            </w:r>
          </w:p>
        </w:tc>
        <w:tc>
          <w:tcPr>
            <w:tcW w:w="884" w:type="dxa"/>
            <w:tcBorders>
              <w:top w:val="single" w:sz="4" w:space="0" w:color="auto"/>
              <w:bottom w:val="single" w:sz="4" w:space="0" w:color="auto"/>
            </w:tcBorders>
            <w:shd w:val="clear" w:color="auto" w:fill="auto"/>
            <w:noWrap/>
            <w:vAlign w:val="center"/>
            <w:hideMark/>
          </w:tcPr>
          <w:p w14:paraId="40A7EDC3"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05591761"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18</w:t>
            </w:r>
          </w:p>
        </w:tc>
        <w:tc>
          <w:tcPr>
            <w:tcW w:w="884" w:type="dxa"/>
            <w:tcBorders>
              <w:top w:val="single" w:sz="4" w:space="0" w:color="auto"/>
              <w:bottom w:val="single" w:sz="4" w:space="0" w:color="auto"/>
            </w:tcBorders>
            <w:shd w:val="clear" w:color="auto" w:fill="auto"/>
            <w:noWrap/>
            <w:vAlign w:val="center"/>
            <w:hideMark/>
          </w:tcPr>
          <w:p w14:paraId="45E286EE"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1E5F3620"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18</w:t>
            </w:r>
          </w:p>
        </w:tc>
        <w:tc>
          <w:tcPr>
            <w:tcW w:w="888" w:type="dxa"/>
            <w:tcBorders>
              <w:top w:val="single" w:sz="4" w:space="0" w:color="auto"/>
              <w:bottom w:val="single" w:sz="4" w:space="0" w:color="auto"/>
            </w:tcBorders>
            <w:shd w:val="clear" w:color="auto" w:fill="auto"/>
            <w:noWrap/>
            <w:vAlign w:val="center"/>
            <w:hideMark/>
          </w:tcPr>
          <w:p w14:paraId="45AC1F0D"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100%</w:t>
            </w:r>
          </w:p>
        </w:tc>
      </w:tr>
      <w:tr w:rsidR="0025238C" w:rsidRPr="0025238C" w14:paraId="73919FA8" w14:textId="77777777" w:rsidTr="0025238C">
        <w:trPr>
          <w:cantSplit/>
          <w:trHeight w:val="20"/>
        </w:trPr>
        <w:tc>
          <w:tcPr>
            <w:tcW w:w="1913" w:type="dxa"/>
            <w:vMerge w:val="restart"/>
            <w:tcBorders>
              <w:top w:val="single" w:sz="4" w:space="0" w:color="auto"/>
            </w:tcBorders>
            <w:shd w:val="clear" w:color="auto" w:fill="auto"/>
            <w:vAlign w:val="center"/>
            <w:hideMark/>
          </w:tcPr>
          <w:p w14:paraId="07005973"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Municípios de Médio Porte</w:t>
            </w:r>
          </w:p>
        </w:tc>
        <w:tc>
          <w:tcPr>
            <w:tcW w:w="2905" w:type="dxa"/>
            <w:tcBorders>
              <w:top w:val="single" w:sz="4" w:space="0" w:color="auto"/>
            </w:tcBorders>
            <w:shd w:val="clear" w:color="auto" w:fill="auto"/>
            <w:noWrap/>
            <w:vAlign w:val="center"/>
            <w:hideMark/>
          </w:tcPr>
          <w:p w14:paraId="33744275" w14:textId="77777777" w:rsidR="0025238C" w:rsidRPr="0025238C" w:rsidRDefault="0025238C" w:rsidP="0025238C">
            <w:pPr>
              <w:widowControl/>
              <w:suppressLineNumbers w:val="0"/>
              <w:suppressAutoHyphens w:val="0"/>
              <w:ind w:firstLine="0"/>
              <w:jc w:val="left"/>
              <w:rPr>
                <w:color w:val="000000"/>
                <w:sz w:val="20"/>
              </w:rPr>
            </w:pPr>
            <w:r w:rsidRPr="0025238C">
              <w:rPr>
                <w:color w:val="000000"/>
                <w:sz w:val="20"/>
              </w:rPr>
              <w:t>= 1</w:t>
            </w:r>
          </w:p>
        </w:tc>
        <w:tc>
          <w:tcPr>
            <w:tcW w:w="672" w:type="dxa"/>
            <w:tcBorders>
              <w:top w:val="single" w:sz="4" w:space="0" w:color="auto"/>
            </w:tcBorders>
            <w:shd w:val="clear" w:color="auto" w:fill="auto"/>
            <w:noWrap/>
            <w:vAlign w:val="center"/>
            <w:hideMark/>
          </w:tcPr>
          <w:p w14:paraId="0E264664"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884" w:type="dxa"/>
            <w:tcBorders>
              <w:top w:val="single" w:sz="4" w:space="0" w:color="auto"/>
            </w:tcBorders>
            <w:shd w:val="clear" w:color="auto" w:fill="auto"/>
            <w:noWrap/>
            <w:vAlign w:val="center"/>
            <w:hideMark/>
          </w:tcPr>
          <w:p w14:paraId="6D673388"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672" w:type="dxa"/>
            <w:tcBorders>
              <w:top w:val="single" w:sz="4" w:space="0" w:color="auto"/>
            </w:tcBorders>
            <w:shd w:val="clear" w:color="auto" w:fill="auto"/>
            <w:noWrap/>
            <w:vAlign w:val="center"/>
            <w:hideMark/>
          </w:tcPr>
          <w:p w14:paraId="2B30D401"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884" w:type="dxa"/>
            <w:tcBorders>
              <w:top w:val="single" w:sz="4" w:space="0" w:color="auto"/>
            </w:tcBorders>
            <w:shd w:val="clear" w:color="auto" w:fill="auto"/>
            <w:noWrap/>
            <w:vAlign w:val="center"/>
            <w:hideMark/>
          </w:tcPr>
          <w:p w14:paraId="0B41FDE9"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672" w:type="dxa"/>
            <w:tcBorders>
              <w:top w:val="single" w:sz="4" w:space="0" w:color="auto"/>
            </w:tcBorders>
            <w:shd w:val="clear" w:color="auto" w:fill="auto"/>
            <w:noWrap/>
            <w:vAlign w:val="center"/>
            <w:hideMark/>
          </w:tcPr>
          <w:p w14:paraId="7DB69B6C"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888" w:type="dxa"/>
            <w:tcBorders>
              <w:top w:val="single" w:sz="4" w:space="0" w:color="auto"/>
            </w:tcBorders>
            <w:shd w:val="clear" w:color="auto" w:fill="auto"/>
            <w:noWrap/>
            <w:vAlign w:val="center"/>
            <w:hideMark/>
          </w:tcPr>
          <w:p w14:paraId="61757EE2"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r>
      <w:tr w:rsidR="0025238C" w:rsidRPr="0025238C" w14:paraId="497FBB88" w14:textId="77777777" w:rsidTr="0025238C">
        <w:trPr>
          <w:cantSplit/>
          <w:trHeight w:val="20"/>
        </w:trPr>
        <w:tc>
          <w:tcPr>
            <w:tcW w:w="1913" w:type="dxa"/>
            <w:vMerge/>
            <w:shd w:val="clear" w:color="auto" w:fill="auto"/>
            <w:vAlign w:val="center"/>
            <w:hideMark/>
          </w:tcPr>
          <w:p w14:paraId="34A6DE07" w14:textId="77777777" w:rsidR="0025238C" w:rsidRPr="0025238C" w:rsidRDefault="0025238C" w:rsidP="0025238C">
            <w:pPr>
              <w:widowControl/>
              <w:suppressLineNumbers w:val="0"/>
              <w:suppressAutoHyphens w:val="0"/>
              <w:ind w:firstLine="0"/>
              <w:jc w:val="left"/>
              <w:rPr>
                <w:color w:val="000000"/>
                <w:sz w:val="20"/>
              </w:rPr>
            </w:pPr>
          </w:p>
        </w:tc>
        <w:tc>
          <w:tcPr>
            <w:tcW w:w="2905" w:type="dxa"/>
            <w:shd w:val="clear" w:color="auto" w:fill="auto"/>
            <w:noWrap/>
            <w:vAlign w:val="center"/>
            <w:hideMark/>
          </w:tcPr>
          <w:p w14:paraId="00A07EE6" w14:textId="77777777" w:rsidR="0025238C" w:rsidRPr="0025238C" w:rsidRDefault="0025238C" w:rsidP="0025238C">
            <w:pPr>
              <w:widowControl/>
              <w:suppressLineNumbers w:val="0"/>
              <w:suppressAutoHyphens w:val="0"/>
              <w:ind w:firstLine="0"/>
              <w:jc w:val="left"/>
              <w:rPr>
                <w:color w:val="000000"/>
                <w:sz w:val="20"/>
              </w:rPr>
            </w:pPr>
            <w:r w:rsidRPr="0025238C">
              <w:rPr>
                <w:color w:val="000000"/>
                <w:sz w:val="20"/>
              </w:rPr>
              <w:t>&gt; 1</w:t>
            </w:r>
          </w:p>
        </w:tc>
        <w:tc>
          <w:tcPr>
            <w:tcW w:w="672" w:type="dxa"/>
            <w:shd w:val="clear" w:color="auto" w:fill="auto"/>
            <w:noWrap/>
            <w:vAlign w:val="center"/>
            <w:hideMark/>
          </w:tcPr>
          <w:p w14:paraId="2830F48E"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25</w:t>
            </w:r>
          </w:p>
        </w:tc>
        <w:tc>
          <w:tcPr>
            <w:tcW w:w="884" w:type="dxa"/>
            <w:shd w:val="clear" w:color="auto" w:fill="auto"/>
            <w:noWrap/>
            <w:vAlign w:val="center"/>
            <w:hideMark/>
          </w:tcPr>
          <w:p w14:paraId="7922AB7F"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33%</w:t>
            </w:r>
          </w:p>
        </w:tc>
        <w:tc>
          <w:tcPr>
            <w:tcW w:w="672" w:type="dxa"/>
            <w:shd w:val="clear" w:color="auto" w:fill="auto"/>
            <w:noWrap/>
            <w:vAlign w:val="center"/>
            <w:hideMark/>
          </w:tcPr>
          <w:p w14:paraId="421A3085"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28</w:t>
            </w:r>
          </w:p>
        </w:tc>
        <w:tc>
          <w:tcPr>
            <w:tcW w:w="884" w:type="dxa"/>
            <w:shd w:val="clear" w:color="auto" w:fill="auto"/>
            <w:noWrap/>
            <w:vAlign w:val="center"/>
            <w:hideMark/>
          </w:tcPr>
          <w:p w14:paraId="01C4267A"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37%</w:t>
            </w:r>
          </w:p>
        </w:tc>
        <w:tc>
          <w:tcPr>
            <w:tcW w:w="672" w:type="dxa"/>
            <w:shd w:val="clear" w:color="auto" w:fill="auto"/>
            <w:noWrap/>
            <w:vAlign w:val="center"/>
            <w:hideMark/>
          </w:tcPr>
          <w:p w14:paraId="5D04C6B9"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23</w:t>
            </w:r>
          </w:p>
        </w:tc>
        <w:tc>
          <w:tcPr>
            <w:tcW w:w="888" w:type="dxa"/>
            <w:shd w:val="clear" w:color="auto" w:fill="auto"/>
            <w:noWrap/>
            <w:vAlign w:val="center"/>
            <w:hideMark/>
          </w:tcPr>
          <w:p w14:paraId="1B488E17"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30%</w:t>
            </w:r>
          </w:p>
        </w:tc>
      </w:tr>
      <w:tr w:rsidR="0025238C" w:rsidRPr="0025238C" w14:paraId="387B51C7" w14:textId="77777777" w:rsidTr="0025238C">
        <w:trPr>
          <w:cantSplit/>
          <w:trHeight w:val="20"/>
        </w:trPr>
        <w:tc>
          <w:tcPr>
            <w:tcW w:w="1913" w:type="dxa"/>
            <w:vMerge/>
            <w:shd w:val="clear" w:color="auto" w:fill="auto"/>
            <w:vAlign w:val="center"/>
            <w:hideMark/>
          </w:tcPr>
          <w:p w14:paraId="444A2C91" w14:textId="77777777" w:rsidR="0025238C" w:rsidRPr="0025238C" w:rsidRDefault="0025238C" w:rsidP="0025238C">
            <w:pPr>
              <w:widowControl/>
              <w:suppressLineNumbers w:val="0"/>
              <w:suppressAutoHyphens w:val="0"/>
              <w:ind w:firstLine="0"/>
              <w:jc w:val="left"/>
              <w:rPr>
                <w:color w:val="000000"/>
                <w:sz w:val="20"/>
              </w:rPr>
            </w:pPr>
          </w:p>
        </w:tc>
        <w:tc>
          <w:tcPr>
            <w:tcW w:w="2905" w:type="dxa"/>
            <w:shd w:val="clear" w:color="auto" w:fill="auto"/>
            <w:noWrap/>
            <w:vAlign w:val="center"/>
            <w:hideMark/>
          </w:tcPr>
          <w:p w14:paraId="6C9CA08C" w14:textId="77777777" w:rsidR="0025238C" w:rsidRPr="0025238C" w:rsidRDefault="0025238C" w:rsidP="0025238C">
            <w:pPr>
              <w:widowControl/>
              <w:suppressLineNumbers w:val="0"/>
              <w:suppressAutoHyphens w:val="0"/>
              <w:ind w:firstLine="0"/>
              <w:jc w:val="left"/>
              <w:rPr>
                <w:color w:val="000000"/>
                <w:sz w:val="20"/>
              </w:rPr>
            </w:pPr>
            <w:r w:rsidRPr="0025238C">
              <w:rPr>
                <w:color w:val="000000"/>
                <w:sz w:val="20"/>
              </w:rPr>
              <w:t>&lt; 1</w:t>
            </w:r>
          </w:p>
        </w:tc>
        <w:tc>
          <w:tcPr>
            <w:tcW w:w="672" w:type="dxa"/>
            <w:shd w:val="clear" w:color="auto" w:fill="auto"/>
            <w:noWrap/>
            <w:vAlign w:val="center"/>
            <w:hideMark/>
          </w:tcPr>
          <w:p w14:paraId="4FC80DF3"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39</w:t>
            </w:r>
          </w:p>
        </w:tc>
        <w:tc>
          <w:tcPr>
            <w:tcW w:w="884" w:type="dxa"/>
            <w:shd w:val="clear" w:color="auto" w:fill="auto"/>
            <w:noWrap/>
            <w:vAlign w:val="center"/>
            <w:hideMark/>
          </w:tcPr>
          <w:p w14:paraId="48CBFD1E"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51%</w:t>
            </w:r>
          </w:p>
        </w:tc>
        <w:tc>
          <w:tcPr>
            <w:tcW w:w="672" w:type="dxa"/>
            <w:shd w:val="clear" w:color="auto" w:fill="auto"/>
            <w:noWrap/>
            <w:vAlign w:val="center"/>
            <w:hideMark/>
          </w:tcPr>
          <w:p w14:paraId="54BA3992"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33</w:t>
            </w:r>
          </w:p>
        </w:tc>
        <w:tc>
          <w:tcPr>
            <w:tcW w:w="884" w:type="dxa"/>
            <w:shd w:val="clear" w:color="auto" w:fill="auto"/>
            <w:noWrap/>
            <w:vAlign w:val="center"/>
            <w:hideMark/>
          </w:tcPr>
          <w:p w14:paraId="073F6F6F"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43%</w:t>
            </w:r>
          </w:p>
        </w:tc>
        <w:tc>
          <w:tcPr>
            <w:tcW w:w="672" w:type="dxa"/>
            <w:shd w:val="clear" w:color="auto" w:fill="auto"/>
            <w:noWrap/>
            <w:vAlign w:val="center"/>
            <w:hideMark/>
          </w:tcPr>
          <w:p w14:paraId="27A29D30"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48</w:t>
            </w:r>
          </w:p>
        </w:tc>
        <w:tc>
          <w:tcPr>
            <w:tcW w:w="888" w:type="dxa"/>
            <w:shd w:val="clear" w:color="auto" w:fill="auto"/>
            <w:noWrap/>
            <w:vAlign w:val="center"/>
            <w:hideMark/>
          </w:tcPr>
          <w:p w14:paraId="24750631"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63%</w:t>
            </w:r>
          </w:p>
        </w:tc>
      </w:tr>
      <w:tr w:rsidR="0025238C" w:rsidRPr="0025238C" w14:paraId="019C528C" w14:textId="77777777" w:rsidTr="0025238C">
        <w:trPr>
          <w:cantSplit/>
          <w:trHeight w:val="285"/>
        </w:trPr>
        <w:tc>
          <w:tcPr>
            <w:tcW w:w="1913" w:type="dxa"/>
            <w:vMerge/>
            <w:shd w:val="clear" w:color="auto" w:fill="auto"/>
            <w:vAlign w:val="center"/>
            <w:hideMark/>
          </w:tcPr>
          <w:p w14:paraId="6DFD202C" w14:textId="77777777" w:rsidR="0025238C" w:rsidRPr="0025238C" w:rsidRDefault="0025238C" w:rsidP="0025238C">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22C832DE" w14:textId="77777777" w:rsidR="0025238C" w:rsidRPr="0025238C" w:rsidRDefault="0025238C" w:rsidP="0025238C">
            <w:pPr>
              <w:widowControl/>
              <w:suppressLineNumbers w:val="0"/>
              <w:suppressAutoHyphens w:val="0"/>
              <w:ind w:firstLine="0"/>
              <w:jc w:val="left"/>
              <w:rPr>
                <w:color w:val="000000"/>
                <w:sz w:val="20"/>
              </w:rPr>
            </w:pPr>
            <w:r w:rsidRPr="0025238C">
              <w:rPr>
                <w:color w:val="000000"/>
                <w:sz w:val="20"/>
              </w:rPr>
              <w:t>Não Apresentou</w:t>
            </w:r>
          </w:p>
        </w:tc>
        <w:tc>
          <w:tcPr>
            <w:tcW w:w="672" w:type="dxa"/>
            <w:tcBorders>
              <w:bottom w:val="single" w:sz="4" w:space="0" w:color="auto"/>
            </w:tcBorders>
            <w:shd w:val="clear" w:color="auto" w:fill="auto"/>
            <w:noWrap/>
            <w:vAlign w:val="center"/>
            <w:hideMark/>
          </w:tcPr>
          <w:p w14:paraId="7554444A"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12</w:t>
            </w:r>
          </w:p>
        </w:tc>
        <w:tc>
          <w:tcPr>
            <w:tcW w:w="884" w:type="dxa"/>
            <w:tcBorders>
              <w:bottom w:val="single" w:sz="4" w:space="0" w:color="auto"/>
            </w:tcBorders>
            <w:shd w:val="clear" w:color="auto" w:fill="auto"/>
            <w:noWrap/>
            <w:vAlign w:val="center"/>
            <w:hideMark/>
          </w:tcPr>
          <w:p w14:paraId="3CCCBC53"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16%</w:t>
            </w:r>
          </w:p>
        </w:tc>
        <w:tc>
          <w:tcPr>
            <w:tcW w:w="672" w:type="dxa"/>
            <w:tcBorders>
              <w:bottom w:val="single" w:sz="4" w:space="0" w:color="auto"/>
            </w:tcBorders>
            <w:shd w:val="clear" w:color="auto" w:fill="auto"/>
            <w:noWrap/>
            <w:vAlign w:val="center"/>
            <w:hideMark/>
          </w:tcPr>
          <w:p w14:paraId="1561964B"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15</w:t>
            </w:r>
          </w:p>
        </w:tc>
        <w:tc>
          <w:tcPr>
            <w:tcW w:w="884" w:type="dxa"/>
            <w:tcBorders>
              <w:bottom w:val="single" w:sz="4" w:space="0" w:color="auto"/>
            </w:tcBorders>
            <w:shd w:val="clear" w:color="auto" w:fill="auto"/>
            <w:noWrap/>
            <w:vAlign w:val="center"/>
            <w:hideMark/>
          </w:tcPr>
          <w:p w14:paraId="5BCF826D"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20%</w:t>
            </w:r>
          </w:p>
        </w:tc>
        <w:tc>
          <w:tcPr>
            <w:tcW w:w="672" w:type="dxa"/>
            <w:tcBorders>
              <w:bottom w:val="single" w:sz="4" w:space="0" w:color="auto"/>
            </w:tcBorders>
            <w:shd w:val="clear" w:color="auto" w:fill="auto"/>
            <w:noWrap/>
            <w:vAlign w:val="center"/>
            <w:hideMark/>
          </w:tcPr>
          <w:p w14:paraId="42CB7EDE"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5</w:t>
            </w:r>
          </w:p>
        </w:tc>
        <w:tc>
          <w:tcPr>
            <w:tcW w:w="888" w:type="dxa"/>
            <w:tcBorders>
              <w:bottom w:val="single" w:sz="4" w:space="0" w:color="auto"/>
            </w:tcBorders>
            <w:shd w:val="clear" w:color="auto" w:fill="auto"/>
            <w:noWrap/>
            <w:vAlign w:val="center"/>
            <w:hideMark/>
          </w:tcPr>
          <w:p w14:paraId="13CEDA60"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7%</w:t>
            </w:r>
          </w:p>
        </w:tc>
      </w:tr>
      <w:tr w:rsidR="0025238C" w:rsidRPr="0025238C" w14:paraId="60446E56" w14:textId="77777777" w:rsidTr="0025238C">
        <w:trPr>
          <w:cantSplit/>
          <w:trHeight w:val="20"/>
        </w:trPr>
        <w:tc>
          <w:tcPr>
            <w:tcW w:w="1913" w:type="dxa"/>
            <w:vMerge/>
            <w:tcBorders>
              <w:bottom w:val="single" w:sz="4" w:space="0" w:color="auto"/>
            </w:tcBorders>
            <w:shd w:val="clear" w:color="auto" w:fill="auto"/>
            <w:vAlign w:val="center"/>
            <w:hideMark/>
          </w:tcPr>
          <w:p w14:paraId="651764C7" w14:textId="77777777" w:rsidR="0025238C" w:rsidRPr="0025238C" w:rsidRDefault="0025238C" w:rsidP="0025238C">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4D820EAB" w14:textId="77777777" w:rsidR="0025238C" w:rsidRPr="0025238C" w:rsidRDefault="0025238C" w:rsidP="0025238C">
            <w:pPr>
              <w:widowControl/>
              <w:suppressLineNumbers w:val="0"/>
              <w:suppressAutoHyphens w:val="0"/>
              <w:ind w:firstLine="0"/>
              <w:jc w:val="left"/>
              <w:rPr>
                <w:b/>
                <w:bCs/>
                <w:color w:val="000000"/>
                <w:sz w:val="20"/>
              </w:rPr>
            </w:pPr>
            <w:r w:rsidRPr="0025238C">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11799C67"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76</w:t>
            </w:r>
          </w:p>
        </w:tc>
        <w:tc>
          <w:tcPr>
            <w:tcW w:w="884" w:type="dxa"/>
            <w:tcBorders>
              <w:top w:val="single" w:sz="4" w:space="0" w:color="auto"/>
              <w:bottom w:val="single" w:sz="4" w:space="0" w:color="auto"/>
            </w:tcBorders>
            <w:shd w:val="clear" w:color="auto" w:fill="auto"/>
            <w:noWrap/>
            <w:vAlign w:val="center"/>
            <w:hideMark/>
          </w:tcPr>
          <w:p w14:paraId="0171CC93"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05C1DCE0"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76</w:t>
            </w:r>
          </w:p>
        </w:tc>
        <w:tc>
          <w:tcPr>
            <w:tcW w:w="884" w:type="dxa"/>
            <w:tcBorders>
              <w:top w:val="single" w:sz="4" w:space="0" w:color="auto"/>
              <w:bottom w:val="single" w:sz="4" w:space="0" w:color="auto"/>
            </w:tcBorders>
            <w:shd w:val="clear" w:color="auto" w:fill="auto"/>
            <w:noWrap/>
            <w:vAlign w:val="center"/>
            <w:hideMark/>
          </w:tcPr>
          <w:p w14:paraId="79433D10"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100%</w:t>
            </w:r>
          </w:p>
        </w:tc>
        <w:tc>
          <w:tcPr>
            <w:tcW w:w="672" w:type="dxa"/>
            <w:tcBorders>
              <w:top w:val="single" w:sz="4" w:space="0" w:color="auto"/>
              <w:bottom w:val="single" w:sz="4" w:space="0" w:color="auto"/>
            </w:tcBorders>
            <w:shd w:val="clear" w:color="auto" w:fill="auto"/>
            <w:noWrap/>
            <w:vAlign w:val="center"/>
            <w:hideMark/>
          </w:tcPr>
          <w:p w14:paraId="238A8349"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76</w:t>
            </w:r>
          </w:p>
        </w:tc>
        <w:tc>
          <w:tcPr>
            <w:tcW w:w="888" w:type="dxa"/>
            <w:tcBorders>
              <w:top w:val="single" w:sz="4" w:space="0" w:color="auto"/>
              <w:bottom w:val="single" w:sz="4" w:space="0" w:color="auto"/>
            </w:tcBorders>
            <w:shd w:val="clear" w:color="auto" w:fill="auto"/>
            <w:noWrap/>
            <w:vAlign w:val="center"/>
            <w:hideMark/>
          </w:tcPr>
          <w:p w14:paraId="13DB5479"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100%</w:t>
            </w:r>
          </w:p>
        </w:tc>
      </w:tr>
      <w:tr w:rsidR="0025238C" w:rsidRPr="0025238C" w14:paraId="438F036C" w14:textId="77777777" w:rsidTr="0025238C">
        <w:trPr>
          <w:cantSplit/>
          <w:trHeight w:val="20"/>
        </w:trPr>
        <w:tc>
          <w:tcPr>
            <w:tcW w:w="1913" w:type="dxa"/>
            <w:vMerge w:val="restart"/>
            <w:shd w:val="clear" w:color="auto" w:fill="auto"/>
            <w:vAlign w:val="center"/>
            <w:hideMark/>
          </w:tcPr>
          <w:p w14:paraId="3C49C4EA"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Municípios de Pequeno Porte</w:t>
            </w:r>
          </w:p>
        </w:tc>
        <w:tc>
          <w:tcPr>
            <w:tcW w:w="2905" w:type="dxa"/>
            <w:shd w:val="clear" w:color="auto" w:fill="auto"/>
            <w:noWrap/>
            <w:vAlign w:val="center"/>
            <w:hideMark/>
          </w:tcPr>
          <w:p w14:paraId="75141F85" w14:textId="77777777" w:rsidR="0025238C" w:rsidRPr="0025238C" w:rsidRDefault="0025238C" w:rsidP="0025238C">
            <w:pPr>
              <w:widowControl/>
              <w:suppressLineNumbers w:val="0"/>
              <w:suppressAutoHyphens w:val="0"/>
              <w:ind w:firstLine="0"/>
              <w:jc w:val="left"/>
              <w:rPr>
                <w:color w:val="000000"/>
                <w:sz w:val="20"/>
              </w:rPr>
            </w:pPr>
            <w:r w:rsidRPr="0025238C">
              <w:rPr>
                <w:color w:val="000000"/>
                <w:sz w:val="20"/>
              </w:rPr>
              <w:t>= 1</w:t>
            </w:r>
          </w:p>
        </w:tc>
        <w:tc>
          <w:tcPr>
            <w:tcW w:w="672" w:type="dxa"/>
            <w:shd w:val="clear" w:color="auto" w:fill="auto"/>
            <w:noWrap/>
            <w:vAlign w:val="center"/>
            <w:hideMark/>
          </w:tcPr>
          <w:p w14:paraId="200A1B58"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884" w:type="dxa"/>
            <w:shd w:val="clear" w:color="auto" w:fill="auto"/>
            <w:noWrap/>
            <w:vAlign w:val="center"/>
            <w:hideMark/>
          </w:tcPr>
          <w:p w14:paraId="3EC7B358"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672" w:type="dxa"/>
            <w:shd w:val="clear" w:color="auto" w:fill="auto"/>
            <w:noWrap/>
            <w:vAlign w:val="center"/>
            <w:hideMark/>
          </w:tcPr>
          <w:p w14:paraId="0E380F8A"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884" w:type="dxa"/>
            <w:shd w:val="clear" w:color="auto" w:fill="auto"/>
            <w:noWrap/>
            <w:vAlign w:val="center"/>
            <w:hideMark/>
          </w:tcPr>
          <w:p w14:paraId="17B8C913"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672" w:type="dxa"/>
            <w:shd w:val="clear" w:color="auto" w:fill="auto"/>
            <w:noWrap/>
            <w:vAlign w:val="center"/>
            <w:hideMark/>
          </w:tcPr>
          <w:p w14:paraId="27068A43"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c>
          <w:tcPr>
            <w:tcW w:w="888" w:type="dxa"/>
            <w:shd w:val="clear" w:color="auto" w:fill="auto"/>
            <w:noWrap/>
            <w:vAlign w:val="center"/>
            <w:hideMark/>
          </w:tcPr>
          <w:p w14:paraId="40F2F432"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0%</w:t>
            </w:r>
          </w:p>
        </w:tc>
      </w:tr>
      <w:tr w:rsidR="0025238C" w:rsidRPr="0025238C" w14:paraId="6DEDC652" w14:textId="77777777" w:rsidTr="0025238C">
        <w:trPr>
          <w:cantSplit/>
          <w:trHeight w:val="20"/>
        </w:trPr>
        <w:tc>
          <w:tcPr>
            <w:tcW w:w="1913" w:type="dxa"/>
            <w:vMerge/>
            <w:shd w:val="clear" w:color="auto" w:fill="auto"/>
            <w:vAlign w:val="center"/>
            <w:hideMark/>
          </w:tcPr>
          <w:p w14:paraId="6083173B" w14:textId="77777777" w:rsidR="0025238C" w:rsidRPr="0025238C" w:rsidRDefault="0025238C" w:rsidP="0025238C">
            <w:pPr>
              <w:widowControl/>
              <w:suppressLineNumbers w:val="0"/>
              <w:suppressAutoHyphens w:val="0"/>
              <w:ind w:firstLine="0"/>
              <w:jc w:val="left"/>
              <w:rPr>
                <w:color w:val="000000"/>
                <w:sz w:val="20"/>
              </w:rPr>
            </w:pPr>
          </w:p>
        </w:tc>
        <w:tc>
          <w:tcPr>
            <w:tcW w:w="2905" w:type="dxa"/>
            <w:shd w:val="clear" w:color="auto" w:fill="auto"/>
            <w:noWrap/>
            <w:vAlign w:val="center"/>
            <w:hideMark/>
          </w:tcPr>
          <w:p w14:paraId="201F19D6" w14:textId="77777777" w:rsidR="0025238C" w:rsidRPr="0025238C" w:rsidRDefault="0025238C" w:rsidP="0025238C">
            <w:pPr>
              <w:widowControl/>
              <w:suppressLineNumbers w:val="0"/>
              <w:suppressAutoHyphens w:val="0"/>
              <w:ind w:firstLine="0"/>
              <w:jc w:val="left"/>
              <w:rPr>
                <w:color w:val="000000"/>
                <w:sz w:val="20"/>
              </w:rPr>
            </w:pPr>
            <w:r w:rsidRPr="0025238C">
              <w:rPr>
                <w:color w:val="000000"/>
                <w:sz w:val="20"/>
              </w:rPr>
              <w:t>&gt; 1</w:t>
            </w:r>
          </w:p>
        </w:tc>
        <w:tc>
          <w:tcPr>
            <w:tcW w:w="672" w:type="dxa"/>
            <w:shd w:val="clear" w:color="auto" w:fill="auto"/>
            <w:noWrap/>
            <w:vAlign w:val="center"/>
            <w:hideMark/>
          </w:tcPr>
          <w:p w14:paraId="642EF3B1"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8</w:t>
            </w:r>
          </w:p>
        </w:tc>
        <w:tc>
          <w:tcPr>
            <w:tcW w:w="884" w:type="dxa"/>
            <w:shd w:val="clear" w:color="auto" w:fill="auto"/>
            <w:noWrap/>
            <w:vAlign w:val="center"/>
            <w:hideMark/>
          </w:tcPr>
          <w:p w14:paraId="7847BC0B"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16%</w:t>
            </w:r>
          </w:p>
        </w:tc>
        <w:tc>
          <w:tcPr>
            <w:tcW w:w="672" w:type="dxa"/>
            <w:shd w:val="clear" w:color="auto" w:fill="auto"/>
            <w:noWrap/>
            <w:vAlign w:val="center"/>
            <w:hideMark/>
          </w:tcPr>
          <w:p w14:paraId="7305DDAA"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21</w:t>
            </w:r>
          </w:p>
        </w:tc>
        <w:tc>
          <w:tcPr>
            <w:tcW w:w="884" w:type="dxa"/>
            <w:shd w:val="clear" w:color="auto" w:fill="auto"/>
            <w:noWrap/>
            <w:vAlign w:val="center"/>
            <w:hideMark/>
          </w:tcPr>
          <w:p w14:paraId="4315C3B6"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42%</w:t>
            </w:r>
          </w:p>
        </w:tc>
        <w:tc>
          <w:tcPr>
            <w:tcW w:w="672" w:type="dxa"/>
            <w:shd w:val="clear" w:color="auto" w:fill="auto"/>
            <w:noWrap/>
            <w:vAlign w:val="center"/>
            <w:hideMark/>
          </w:tcPr>
          <w:p w14:paraId="3501E7D2"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19</w:t>
            </w:r>
          </w:p>
        </w:tc>
        <w:tc>
          <w:tcPr>
            <w:tcW w:w="888" w:type="dxa"/>
            <w:shd w:val="clear" w:color="auto" w:fill="auto"/>
            <w:noWrap/>
            <w:vAlign w:val="center"/>
            <w:hideMark/>
          </w:tcPr>
          <w:p w14:paraId="252740CD"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38%</w:t>
            </w:r>
          </w:p>
        </w:tc>
      </w:tr>
      <w:tr w:rsidR="0025238C" w:rsidRPr="0025238C" w14:paraId="524D1385" w14:textId="77777777" w:rsidTr="0025238C">
        <w:trPr>
          <w:cantSplit/>
          <w:trHeight w:val="20"/>
        </w:trPr>
        <w:tc>
          <w:tcPr>
            <w:tcW w:w="1913" w:type="dxa"/>
            <w:vMerge/>
            <w:shd w:val="clear" w:color="auto" w:fill="auto"/>
            <w:vAlign w:val="center"/>
            <w:hideMark/>
          </w:tcPr>
          <w:p w14:paraId="55DE2D6D" w14:textId="77777777" w:rsidR="0025238C" w:rsidRPr="0025238C" w:rsidRDefault="0025238C" w:rsidP="0025238C">
            <w:pPr>
              <w:widowControl/>
              <w:suppressLineNumbers w:val="0"/>
              <w:suppressAutoHyphens w:val="0"/>
              <w:ind w:firstLine="0"/>
              <w:jc w:val="left"/>
              <w:rPr>
                <w:color w:val="000000"/>
                <w:sz w:val="20"/>
              </w:rPr>
            </w:pPr>
          </w:p>
        </w:tc>
        <w:tc>
          <w:tcPr>
            <w:tcW w:w="2905" w:type="dxa"/>
            <w:shd w:val="clear" w:color="auto" w:fill="auto"/>
            <w:noWrap/>
            <w:vAlign w:val="center"/>
            <w:hideMark/>
          </w:tcPr>
          <w:p w14:paraId="47818F54" w14:textId="77777777" w:rsidR="0025238C" w:rsidRPr="0025238C" w:rsidRDefault="0025238C" w:rsidP="0025238C">
            <w:pPr>
              <w:widowControl/>
              <w:suppressLineNumbers w:val="0"/>
              <w:suppressAutoHyphens w:val="0"/>
              <w:ind w:firstLine="0"/>
              <w:jc w:val="left"/>
              <w:rPr>
                <w:color w:val="000000"/>
                <w:sz w:val="20"/>
              </w:rPr>
            </w:pPr>
            <w:r w:rsidRPr="0025238C">
              <w:rPr>
                <w:color w:val="000000"/>
                <w:sz w:val="20"/>
              </w:rPr>
              <w:t>&lt; 1</w:t>
            </w:r>
          </w:p>
        </w:tc>
        <w:tc>
          <w:tcPr>
            <w:tcW w:w="672" w:type="dxa"/>
            <w:shd w:val="clear" w:color="auto" w:fill="auto"/>
            <w:noWrap/>
            <w:vAlign w:val="center"/>
            <w:hideMark/>
          </w:tcPr>
          <w:p w14:paraId="50647676"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32</w:t>
            </w:r>
          </w:p>
        </w:tc>
        <w:tc>
          <w:tcPr>
            <w:tcW w:w="884" w:type="dxa"/>
            <w:shd w:val="clear" w:color="auto" w:fill="auto"/>
            <w:noWrap/>
            <w:vAlign w:val="center"/>
            <w:hideMark/>
          </w:tcPr>
          <w:p w14:paraId="39216AC1"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64%</w:t>
            </w:r>
          </w:p>
        </w:tc>
        <w:tc>
          <w:tcPr>
            <w:tcW w:w="672" w:type="dxa"/>
            <w:shd w:val="clear" w:color="auto" w:fill="auto"/>
            <w:noWrap/>
            <w:vAlign w:val="center"/>
            <w:hideMark/>
          </w:tcPr>
          <w:p w14:paraId="52093871"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16</w:t>
            </w:r>
          </w:p>
        </w:tc>
        <w:tc>
          <w:tcPr>
            <w:tcW w:w="884" w:type="dxa"/>
            <w:shd w:val="clear" w:color="auto" w:fill="auto"/>
            <w:noWrap/>
            <w:vAlign w:val="center"/>
            <w:hideMark/>
          </w:tcPr>
          <w:p w14:paraId="46C72815"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32%</w:t>
            </w:r>
          </w:p>
        </w:tc>
        <w:tc>
          <w:tcPr>
            <w:tcW w:w="672" w:type="dxa"/>
            <w:shd w:val="clear" w:color="auto" w:fill="auto"/>
            <w:noWrap/>
            <w:vAlign w:val="center"/>
            <w:hideMark/>
          </w:tcPr>
          <w:p w14:paraId="61599015"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28</w:t>
            </w:r>
          </w:p>
        </w:tc>
        <w:tc>
          <w:tcPr>
            <w:tcW w:w="888" w:type="dxa"/>
            <w:shd w:val="clear" w:color="auto" w:fill="auto"/>
            <w:noWrap/>
            <w:vAlign w:val="center"/>
            <w:hideMark/>
          </w:tcPr>
          <w:p w14:paraId="43F96965"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56%</w:t>
            </w:r>
          </w:p>
        </w:tc>
      </w:tr>
      <w:tr w:rsidR="0025238C" w:rsidRPr="0025238C" w14:paraId="4D23977D" w14:textId="77777777" w:rsidTr="0025238C">
        <w:trPr>
          <w:cantSplit/>
          <w:trHeight w:val="332"/>
        </w:trPr>
        <w:tc>
          <w:tcPr>
            <w:tcW w:w="1913" w:type="dxa"/>
            <w:vMerge/>
            <w:shd w:val="clear" w:color="auto" w:fill="auto"/>
            <w:vAlign w:val="center"/>
            <w:hideMark/>
          </w:tcPr>
          <w:p w14:paraId="71F2A842" w14:textId="77777777" w:rsidR="0025238C" w:rsidRPr="0025238C" w:rsidRDefault="0025238C" w:rsidP="0025238C">
            <w:pPr>
              <w:widowControl/>
              <w:suppressLineNumbers w:val="0"/>
              <w:suppressAutoHyphens w:val="0"/>
              <w:ind w:firstLine="0"/>
              <w:jc w:val="left"/>
              <w:rPr>
                <w:color w:val="000000"/>
                <w:sz w:val="20"/>
              </w:rPr>
            </w:pPr>
          </w:p>
        </w:tc>
        <w:tc>
          <w:tcPr>
            <w:tcW w:w="2905" w:type="dxa"/>
            <w:tcBorders>
              <w:bottom w:val="single" w:sz="4" w:space="0" w:color="auto"/>
            </w:tcBorders>
            <w:shd w:val="clear" w:color="auto" w:fill="auto"/>
            <w:noWrap/>
            <w:vAlign w:val="center"/>
            <w:hideMark/>
          </w:tcPr>
          <w:p w14:paraId="052DEF1B" w14:textId="77777777" w:rsidR="0025238C" w:rsidRPr="0025238C" w:rsidRDefault="0025238C" w:rsidP="0025238C">
            <w:pPr>
              <w:widowControl/>
              <w:suppressLineNumbers w:val="0"/>
              <w:suppressAutoHyphens w:val="0"/>
              <w:ind w:firstLine="0"/>
              <w:jc w:val="left"/>
              <w:rPr>
                <w:color w:val="000000"/>
                <w:sz w:val="20"/>
              </w:rPr>
            </w:pPr>
            <w:r w:rsidRPr="0025238C">
              <w:rPr>
                <w:color w:val="000000"/>
                <w:sz w:val="20"/>
              </w:rPr>
              <w:t>Não Apresentou</w:t>
            </w:r>
          </w:p>
        </w:tc>
        <w:tc>
          <w:tcPr>
            <w:tcW w:w="672" w:type="dxa"/>
            <w:tcBorders>
              <w:bottom w:val="single" w:sz="4" w:space="0" w:color="auto"/>
            </w:tcBorders>
            <w:shd w:val="clear" w:color="auto" w:fill="auto"/>
            <w:noWrap/>
            <w:vAlign w:val="center"/>
            <w:hideMark/>
          </w:tcPr>
          <w:p w14:paraId="4E3A8D7D"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10</w:t>
            </w:r>
          </w:p>
        </w:tc>
        <w:tc>
          <w:tcPr>
            <w:tcW w:w="884" w:type="dxa"/>
            <w:tcBorders>
              <w:bottom w:val="single" w:sz="4" w:space="0" w:color="auto"/>
            </w:tcBorders>
            <w:shd w:val="clear" w:color="auto" w:fill="auto"/>
            <w:noWrap/>
            <w:vAlign w:val="center"/>
            <w:hideMark/>
          </w:tcPr>
          <w:p w14:paraId="3752D478"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20%</w:t>
            </w:r>
          </w:p>
        </w:tc>
        <w:tc>
          <w:tcPr>
            <w:tcW w:w="672" w:type="dxa"/>
            <w:tcBorders>
              <w:bottom w:val="single" w:sz="4" w:space="0" w:color="auto"/>
            </w:tcBorders>
            <w:shd w:val="clear" w:color="auto" w:fill="auto"/>
            <w:noWrap/>
            <w:vAlign w:val="center"/>
            <w:hideMark/>
          </w:tcPr>
          <w:p w14:paraId="7FADD42F"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13</w:t>
            </w:r>
          </w:p>
        </w:tc>
        <w:tc>
          <w:tcPr>
            <w:tcW w:w="884" w:type="dxa"/>
            <w:tcBorders>
              <w:bottom w:val="single" w:sz="4" w:space="0" w:color="auto"/>
            </w:tcBorders>
            <w:shd w:val="clear" w:color="auto" w:fill="auto"/>
            <w:noWrap/>
            <w:vAlign w:val="center"/>
            <w:hideMark/>
          </w:tcPr>
          <w:p w14:paraId="4AB2120C"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26%</w:t>
            </w:r>
          </w:p>
        </w:tc>
        <w:tc>
          <w:tcPr>
            <w:tcW w:w="672" w:type="dxa"/>
            <w:tcBorders>
              <w:bottom w:val="single" w:sz="4" w:space="0" w:color="auto"/>
            </w:tcBorders>
            <w:shd w:val="clear" w:color="auto" w:fill="auto"/>
            <w:noWrap/>
            <w:vAlign w:val="center"/>
            <w:hideMark/>
          </w:tcPr>
          <w:p w14:paraId="2C6B43AE"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3</w:t>
            </w:r>
          </w:p>
        </w:tc>
        <w:tc>
          <w:tcPr>
            <w:tcW w:w="888" w:type="dxa"/>
            <w:tcBorders>
              <w:bottom w:val="single" w:sz="4" w:space="0" w:color="auto"/>
            </w:tcBorders>
            <w:shd w:val="clear" w:color="auto" w:fill="auto"/>
            <w:noWrap/>
            <w:vAlign w:val="center"/>
            <w:hideMark/>
          </w:tcPr>
          <w:p w14:paraId="2A104493" w14:textId="77777777" w:rsidR="0025238C" w:rsidRPr="0025238C" w:rsidRDefault="0025238C" w:rsidP="0025238C">
            <w:pPr>
              <w:widowControl/>
              <w:suppressLineNumbers w:val="0"/>
              <w:suppressAutoHyphens w:val="0"/>
              <w:ind w:firstLine="0"/>
              <w:jc w:val="center"/>
              <w:rPr>
                <w:color w:val="000000"/>
                <w:sz w:val="20"/>
              </w:rPr>
            </w:pPr>
            <w:r w:rsidRPr="0025238C">
              <w:rPr>
                <w:color w:val="000000"/>
                <w:sz w:val="20"/>
              </w:rPr>
              <w:t>6%</w:t>
            </w:r>
          </w:p>
        </w:tc>
      </w:tr>
      <w:tr w:rsidR="0025238C" w:rsidRPr="0025238C" w14:paraId="59AAB186" w14:textId="77777777" w:rsidTr="0025238C">
        <w:trPr>
          <w:cantSplit/>
          <w:trHeight w:val="20"/>
        </w:trPr>
        <w:tc>
          <w:tcPr>
            <w:tcW w:w="1913" w:type="dxa"/>
            <w:vMerge/>
            <w:tcBorders>
              <w:bottom w:val="single" w:sz="4" w:space="0" w:color="auto"/>
            </w:tcBorders>
            <w:shd w:val="clear" w:color="auto" w:fill="auto"/>
            <w:vAlign w:val="center"/>
            <w:hideMark/>
          </w:tcPr>
          <w:p w14:paraId="69777950" w14:textId="77777777" w:rsidR="0025238C" w:rsidRPr="0025238C" w:rsidRDefault="0025238C" w:rsidP="0025238C">
            <w:pPr>
              <w:widowControl/>
              <w:suppressLineNumbers w:val="0"/>
              <w:suppressAutoHyphens w:val="0"/>
              <w:ind w:firstLine="0"/>
              <w:jc w:val="left"/>
              <w:rPr>
                <w:color w:val="000000"/>
                <w:sz w:val="20"/>
              </w:rPr>
            </w:pPr>
          </w:p>
        </w:tc>
        <w:tc>
          <w:tcPr>
            <w:tcW w:w="2905" w:type="dxa"/>
            <w:tcBorders>
              <w:top w:val="single" w:sz="4" w:space="0" w:color="auto"/>
              <w:bottom w:val="single" w:sz="4" w:space="0" w:color="auto"/>
            </w:tcBorders>
            <w:shd w:val="clear" w:color="auto" w:fill="auto"/>
            <w:noWrap/>
            <w:vAlign w:val="center"/>
            <w:hideMark/>
          </w:tcPr>
          <w:p w14:paraId="2775E946" w14:textId="77777777" w:rsidR="0025238C" w:rsidRPr="0025238C" w:rsidRDefault="0025238C" w:rsidP="0025238C">
            <w:pPr>
              <w:widowControl/>
              <w:suppressLineNumbers w:val="0"/>
              <w:suppressAutoHyphens w:val="0"/>
              <w:ind w:firstLine="0"/>
              <w:jc w:val="left"/>
              <w:rPr>
                <w:b/>
                <w:bCs/>
                <w:color w:val="000000"/>
                <w:sz w:val="20"/>
              </w:rPr>
            </w:pPr>
            <w:r w:rsidRPr="0025238C">
              <w:rPr>
                <w:b/>
                <w:bCs/>
                <w:color w:val="000000"/>
                <w:sz w:val="20"/>
              </w:rPr>
              <w:t>Total de Municípios</w:t>
            </w:r>
          </w:p>
        </w:tc>
        <w:tc>
          <w:tcPr>
            <w:tcW w:w="672" w:type="dxa"/>
            <w:tcBorders>
              <w:top w:val="single" w:sz="4" w:space="0" w:color="auto"/>
              <w:bottom w:val="single" w:sz="4" w:space="0" w:color="auto"/>
            </w:tcBorders>
            <w:shd w:val="clear" w:color="auto" w:fill="auto"/>
            <w:noWrap/>
            <w:vAlign w:val="center"/>
            <w:hideMark/>
          </w:tcPr>
          <w:p w14:paraId="7182FBE4" w14:textId="77777777" w:rsidR="0025238C" w:rsidRPr="0025238C" w:rsidRDefault="0025238C" w:rsidP="0025238C">
            <w:pPr>
              <w:widowControl/>
              <w:suppressLineNumbers w:val="0"/>
              <w:suppressAutoHyphens w:val="0"/>
              <w:ind w:firstLine="0"/>
              <w:jc w:val="center"/>
              <w:rPr>
                <w:b/>
                <w:bCs/>
                <w:color w:val="000000"/>
                <w:sz w:val="20"/>
              </w:rPr>
            </w:pPr>
            <w:r w:rsidRPr="0025238C">
              <w:rPr>
                <w:b/>
                <w:bCs/>
                <w:color w:val="000000"/>
                <w:sz w:val="20"/>
              </w:rPr>
              <w:t>50</w:t>
            </w:r>
          </w:p>
        </w:tc>
        <w:tc>
          <w:tcPr>
            <w:tcW w:w="884" w:type="dxa"/>
            <w:tcBorders>
              <w:top w:val="single" w:sz="4" w:space="0" w:color="auto"/>
              <w:bottom w:val="single" w:sz="4" w:space="0" w:color="auto"/>
            </w:tcBorders>
            <w:shd w:val="clear" w:color="auto" w:fill="auto"/>
            <w:noWrap/>
            <w:vAlign w:val="center"/>
            <w:hideMark/>
          </w:tcPr>
          <w:p w14:paraId="49065562" w14:textId="77777777" w:rsidR="0025238C" w:rsidRPr="0025238C" w:rsidRDefault="0025238C" w:rsidP="0025238C">
            <w:pPr>
              <w:widowControl/>
              <w:suppressLineNumbers w:val="0"/>
              <w:suppressAutoHyphens w:val="0"/>
              <w:ind w:firstLine="0"/>
              <w:jc w:val="center"/>
              <w:rPr>
                <w:b/>
                <w:bCs/>
                <w:color w:val="000000"/>
                <w:sz w:val="20"/>
              </w:rPr>
            </w:pPr>
            <w:r w:rsidRPr="0025238C">
              <w:rPr>
                <w:b/>
                <w:bCs/>
                <w:color w:val="000000"/>
                <w:sz w:val="20"/>
              </w:rPr>
              <w:t>100%</w:t>
            </w:r>
          </w:p>
        </w:tc>
        <w:tc>
          <w:tcPr>
            <w:tcW w:w="672" w:type="dxa"/>
            <w:tcBorders>
              <w:top w:val="single" w:sz="4" w:space="0" w:color="auto"/>
              <w:bottom w:val="single" w:sz="4" w:space="0" w:color="auto"/>
            </w:tcBorders>
            <w:shd w:val="clear" w:color="auto" w:fill="auto"/>
            <w:noWrap/>
            <w:vAlign w:val="center"/>
            <w:hideMark/>
          </w:tcPr>
          <w:p w14:paraId="13067EAD" w14:textId="77777777" w:rsidR="0025238C" w:rsidRPr="0025238C" w:rsidRDefault="0025238C" w:rsidP="0025238C">
            <w:pPr>
              <w:widowControl/>
              <w:suppressLineNumbers w:val="0"/>
              <w:suppressAutoHyphens w:val="0"/>
              <w:ind w:firstLine="0"/>
              <w:jc w:val="center"/>
              <w:rPr>
                <w:b/>
                <w:bCs/>
                <w:color w:val="000000"/>
                <w:sz w:val="20"/>
              </w:rPr>
            </w:pPr>
            <w:r w:rsidRPr="0025238C">
              <w:rPr>
                <w:b/>
                <w:bCs/>
                <w:color w:val="000000"/>
                <w:sz w:val="20"/>
              </w:rPr>
              <w:t>50</w:t>
            </w:r>
          </w:p>
        </w:tc>
        <w:tc>
          <w:tcPr>
            <w:tcW w:w="884" w:type="dxa"/>
            <w:tcBorders>
              <w:top w:val="single" w:sz="4" w:space="0" w:color="auto"/>
              <w:bottom w:val="single" w:sz="4" w:space="0" w:color="auto"/>
            </w:tcBorders>
            <w:shd w:val="clear" w:color="auto" w:fill="auto"/>
            <w:noWrap/>
            <w:vAlign w:val="center"/>
            <w:hideMark/>
          </w:tcPr>
          <w:p w14:paraId="7B365FCD" w14:textId="77777777" w:rsidR="0025238C" w:rsidRPr="0025238C" w:rsidRDefault="0025238C" w:rsidP="0025238C">
            <w:pPr>
              <w:widowControl/>
              <w:suppressLineNumbers w:val="0"/>
              <w:suppressAutoHyphens w:val="0"/>
              <w:ind w:firstLine="0"/>
              <w:jc w:val="center"/>
              <w:rPr>
                <w:b/>
                <w:bCs/>
                <w:color w:val="000000"/>
                <w:sz w:val="20"/>
              </w:rPr>
            </w:pPr>
            <w:r w:rsidRPr="0025238C">
              <w:rPr>
                <w:b/>
                <w:bCs/>
                <w:color w:val="000000"/>
                <w:sz w:val="20"/>
              </w:rPr>
              <w:t>100%</w:t>
            </w:r>
          </w:p>
        </w:tc>
        <w:tc>
          <w:tcPr>
            <w:tcW w:w="672" w:type="dxa"/>
            <w:tcBorders>
              <w:top w:val="single" w:sz="4" w:space="0" w:color="auto"/>
              <w:bottom w:val="single" w:sz="4" w:space="0" w:color="auto"/>
            </w:tcBorders>
            <w:shd w:val="clear" w:color="auto" w:fill="auto"/>
            <w:noWrap/>
            <w:vAlign w:val="center"/>
            <w:hideMark/>
          </w:tcPr>
          <w:p w14:paraId="70063B13" w14:textId="77777777" w:rsidR="0025238C" w:rsidRPr="0025238C" w:rsidRDefault="0025238C" w:rsidP="0025238C">
            <w:pPr>
              <w:widowControl/>
              <w:suppressLineNumbers w:val="0"/>
              <w:suppressAutoHyphens w:val="0"/>
              <w:ind w:firstLine="0"/>
              <w:jc w:val="center"/>
              <w:rPr>
                <w:b/>
                <w:bCs/>
                <w:color w:val="000000"/>
                <w:sz w:val="20"/>
              </w:rPr>
            </w:pPr>
            <w:r w:rsidRPr="0025238C">
              <w:rPr>
                <w:b/>
                <w:bCs/>
                <w:color w:val="000000"/>
                <w:sz w:val="20"/>
              </w:rPr>
              <w:t>50</w:t>
            </w:r>
          </w:p>
        </w:tc>
        <w:tc>
          <w:tcPr>
            <w:tcW w:w="888" w:type="dxa"/>
            <w:tcBorders>
              <w:top w:val="single" w:sz="4" w:space="0" w:color="auto"/>
              <w:bottom w:val="single" w:sz="4" w:space="0" w:color="auto"/>
            </w:tcBorders>
            <w:shd w:val="clear" w:color="auto" w:fill="auto"/>
            <w:noWrap/>
            <w:vAlign w:val="center"/>
            <w:hideMark/>
          </w:tcPr>
          <w:p w14:paraId="3A152EA1" w14:textId="77777777" w:rsidR="0025238C" w:rsidRPr="0025238C" w:rsidRDefault="0025238C" w:rsidP="0025238C">
            <w:pPr>
              <w:widowControl/>
              <w:suppressLineNumbers w:val="0"/>
              <w:suppressAutoHyphens w:val="0"/>
              <w:ind w:firstLine="0"/>
              <w:jc w:val="center"/>
              <w:rPr>
                <w:b/>
                <w:bCs/>
                <w:color w:val="000000"/>
                <w:sz w:val="20"/>
              </w:rPr>
            </w:pPr>
            <w:r w:rsidRPr="0025238C">
              <w:rPr>
                <w:b/>
                <w:bCs/>
                <w:color w:val="000000"/>
                <w:sz w:val="20"/>
              </w:rPr>
              <w:t>100%</w:t>
            </w:r>
          </w:p>
        </w:tc>
      </w:tr>
    </w:tbl>
    <w:p w14:paraId="6D5B1145" w14:textId="3285244C" w:rsidR="0025238C" w:rsidRPr="00105FE8" w:rsidRDefault="0025238C" w:rsidP="00105FE8">
      <w:pPr>
        <w:widowControl/>
        <w:suppressLineNumbers w:val="0"/>
        <w:suppressAutoHyphens w:val="0"/>
        <w:spacing w:line="259" w:lineRule="auto"/>
        <w:ind w:firstLine="0"/>
        <w:jc w:val="left"/>
        <w:rPr>
          <w:rFonts w:eastAsia="Calibri"/>
          <w:sz w:val="20"/>
          <w:lang w:eastAsia="en-US"/>
        </w:rPr>
      </w:pPr>
      <w:r w:rsidRPr="0025238C">
        <w:rPr>
          <w:rFonts w:eastAsia="Calibri"/>
          <w:sz w:val="20"/>
          <w:lang w:eastAsia="en-US"/>
        </w:rPr>
        <w:t xml:space="preserve">Fonte: </w:t>
      </w:r>
      <w:r w:rsidR="00521DCA">
        <w:rPr>
          <w:rFonts w:eastAsia="Calibri"/>
          <w:sz w:val="20"/>
          <w:szCs w:val="24"/>
        </w:rPr>
        <w:t>Dados da Pesquisa</w:t>
      </w:r>
    </w:p>
    <w:p w14:paraId="19DC94D8" w14:textId="0C4F5D41" w:rsidR="007A6C4A" w:rsidRDefault="007A6C4A" w:rsidP="007A6C4A">
      <w:pPr>
        <w:ind w:firstLine="708"/>
        <w:rPr>
          <w:color w:val="000000"/>
          <w:szCs w:val="24"/>
        </w:rPr>
      </w:pPr>
    </w:p>
    <w:p w14:paraId="3E46E5C2" w14:textId="35DBB78A" w:rsidR="007A6C4A" w:rsidRDefault="00B91B7B" w:rsidP="00B132F8">
      <w:pPr>
        <w:rPr>
          <w:color w:val="000000"/>
          <w:szCs w:val="24"/>
        </w:rPr>
      </w:pPr>
      <w:r w:rsidRPr="00B91B7B">
        <w:rPr>
          <w:color w:val="000000"/>
          <w:szCs w:val="24"/>
        </w:rPr>
        <w:t>Para Kohama</w:t>
      </w:r>
      <w:r>
        <w:rPr>
          <w:color w:val="000000"/>
          <w:szCs w:val="24"/>
        </w:rPr>
        <w:t xml:space="preserve"> </w:t>
      </w:r>
      <w:r w:rsidRPr="00B91B7B">
        <w:rPr>
          <w:color w:val="000000"/>
          <w:szCs w:val="24"/>
        </w:rPr>
        <w:t>(2015)</w:t>
      </w:r>
      <w:r>
        <w:rPr>
          <w:color w:val="000000"/>
          <w:szCs w:val="24"/>
        </w:rPr>
        <w:t xml:space="preserve"> esse</w:t>
      </w:r>
      <w:r w:rsidR="00B132F8">
        <w:rPr>
          <w:color w:val="000000"/>
          <w:szCs w:val="24"/>
        </w:rPr>
        <w:t xml:space="preserve"> quociente deve realçar</w:t>
      </w:r>
      <w:r w:rsidRPr="00B91B7B">
        <w:rPr>
          <w:color w:val="000000"/>
          <w:szCs w:val="24"/>
        </w:rPr>
        <w:t xml:space="preserve"> o saldo que passa para o exercício seguinte em confronto com </w:t>
      </w:r>
      <w:r w:rsidR="00B132F8">
        <w:rPr>
          <w:color w:val="000000"/>
          <w:szCs w:val="24"/>
        </w:rPr>
        <w:t>o saldo do exercício anterior. O</w:t>
      </w:r>
      <w:r w:rsidRPr="00B91B7B">
        <w:rPr>
          <w:color w:val="000000"/>
          <w:szCs w:val="24"/>
        </w:rPr>
        <w:t xml:space="preserve"> quociente igual a 1, deverá ser cons</w:t>
      </w:r>
      <w:r w:rsidR="00B132F8">
        <w:rPr>
          <w:color w:val="000000"/>
          <w:szCs w:val="24"/>
        </w:rPr>
        <w:t>iderado normal, pois aponta para um</w:t>
      </w:r>
      <w:r w:rsidRPr="00B91B7B">
        <w:rPr>
          <w:color w:val="000000"/>
          <w:szCs w:val="24"/>
        </w:rPr>
        <w:t xml:space="preserve"> equilíbrio entre os recebimentos e os pa</w:t>
      </w:r>
      <w:r w:rsidR="00B132F8">
        <w:rPr>
          <w:color w:val="000000"/>
          <w:szCs w:val="24"/>
        </w:rPr>
        <w:t xml:space="preserve">gamentos ocorridos no exercício. </w:t>
      </w:r>
      <w:r w:rsidR="007A6C4A" w:rsidRPr="00643114">
        <w:rPr>
          <w:color w:val="000000"/>
          <w:szCs w:val="24"/>
        </w:rPr>
        <w:t xml:space="preserve">Quanto ao resultado maior que 1, </w:t>
      </w:r>
      <w:r w:rsidR="007A6C4A">
        <w:rPr>
          <w:color w:val="000000"/>
          <w:szCs w:val="24"/>
        </w:rPr>
        <w:t xml:space="preserve">os municípios apresentaram valores bem </w:t>
      </w:r>
      <w:r w:rsidR="00A23A52">
        <w:rPr>
          <w:color w:val="000000"/>
          <w:szCs w:val="24"/>
        </w:rPr>
        <w:t>próximos</w:t>
      </w:r>
      <w:r w:rsidR="007A6C4A">
        <w:rPr>
          <w:color w:val="000000"/>
          <w:szCs w:val="24"/>
        </w:rPr>
        <w:t xml:space="preserve"> </w:t>
      </w:r>
      <w:r w:rsidR="00654648">
        <w:rPr>
          <w:color w:val="000000"/>
          <w:szCs w:val="24"/>
        </w:rPr>
        <w:t>em relação aos de menor que 1. O</w:t>
      </w:r>
      <w:r w:rsidR="007A6C4A">
        <w:rPr>
          <w:color w:val="000000"/>
          <w:szCs w:val="24"/>
        </w:rPr>
        <w:t xml:space="preserve"> maior percentua</w:t>
      </w:r>
      <w:r w:rsidR="00654648">
        <w:rPr>
          <w:color w:val="000000"/>
          <w:szCs w:val="24"/>
        </w:rPr>
        <w:t>l a ser enfatizado ocorreu no</w:t>
      </w:r>
      <w:r w:rsidR="007A6C4A">
        <w:rPr>
          <w:color w:val="000000"/>
          <w:szCs w:val="24"/>
        </w:rPr>
        <w:t xml:space="preserve"> ano de 2015, para os municípios de porte grande</w:t>
      </w:r>
      <w:r w:rsidR="00654648">
        <w:rPr>
          <w:color w:val="000000"/>
          <w:szCs w:val="24"/>
        </w:rPr>
        <w:t>,</w:t>
      </w:r>
      <w:r w:rsidR="007A6C4A">
        <w:rPr>
          <w:color w:val="000000"/>
          <w:szCs w:val="24"/>
        </w:rPr>
        <w:t xml:space="preserve"> com percentual de 44%</w:t>
      </w:r>
      <w:r w:rsidR="00654648">
        <w:rPr>
          <w:color w:val="000000"/>
          <w:szCs w:val="24"/>
        </w:rPr>
        <w:t>,</w:t>
      </w:r>
      <w:r w:rsidR="007A6C4A">
        <w:rPr>
          <w:color w:val="000000"/>
          <w:szCs w:val="24"/>
        </w:rPr>
        <w:t xml:space="preserve"> onde 8 municípios </w:t>
      </w:r>
      <w:r w:rsidR="00654648">
        <w:rPr>
          <w:color w:val="000000"/>
          <w:szCs w:val="24"/>
        </w:rPr>
        <w:t>tiveram</w:t>
      </w:r>
      <w:r w:rsidR="007A6C4A">
        <w:rPr>
          <w:color w:val="000000"/>
          <w:szCs w:val="24"/>
        </w:rPr>
        <w:t xml:space="preserve"> resultado maior que 1. Esse resultado </w:t>
      </w:r>
      <w:r w:rsidR="00654648">
        <w:rPr>
          <w:szCs w:val="24"/>
        </w:rPr>
        <w:t>revela um</w:t>
      </w:r>
      <w:r w:rsidR="007A6C4A" w:rsidRPr="00BC3285">
        <w:rPr>
          <w:szCs w:val="24"/>
        </w:rPr>
        <w:t xml:space="preserve"> saldo que passa para o exercício seguinte maior do que o saldo do exercício anterior, constitui-se num </w:t>
      </w:r>
      <w:r w:rsidR="007A6C4A" w:rsidRPr="00654648">
        <w:rPr>
          <w:i/>
          <w:szCs w:val="24"/>
        </w:rPr>
        <w:t>superávit</w:t>
      </w:r>
      <w:r w:rsidR="00654648">
        <w:rPr>
          <w:szCs w:val="24"/>
        </w:rPr>
        <w:t xml:space="preserve"> </w:t>
      </w:r>
      <w:r w:rsidR="007A6C4A" w:rsidRPr="00BC3285">
        <w:rPr>
          <w:szCs w:val="24"/>
        </w:rPr>
        <w:t>financeiro</w:t>
      </w:r>
      <w:r w:rsidR="007A6C4A">
        <w:rPr>
          <w:szCs w:val="24"/>
        </w:rPr>
        <w:t xml:space="preserve">. </w:t>
      </w:r>
      <w:r w:rsidR="007A6C4A" w:rsidRPr="00643114">
        <w:rPr>
          <w:color w:val="000000"/>
          <w:szCs w:val="24"/>
        </w:rPr>
        <w:t xml:space="preserve">Para Kohama, (2015) essa </w:t>
      </w:r>
      <w:r w:rsidR="00654648" w:rsidRPr="00643114">
        <w:rPr>
          <w:color w:val="000000"/>
          <w:szCs w:val="24"/>
        </w:rPr>
        <w:t>hipótese é</w:t>
      </w:r>
      <w:r w:rsidR="00654648">
        <w:rPr>
          <w:color w:val="000000"/>
          <w:szCs w:val="24"/>
        </w:rPr>
        <w:t xml:space="preserve"> considerada</w:t>
      </w:r>
      <w:r w:rsidR="007A6C4A">
        <w:rPr>
          <w:color w:val="000000"/>
          <w:szCs w:val="24"/>
        </w:rPr>
        <w:t xml:space="preserve"> normal</w:t>
      </w:r>
      <w:r w:rsidR="007A6C4A" w:rsidRPr="00643114">
        <w:rPr>
          <w:color w:val="000000"/>
          <w:szCs w:val="24"/>
        </w:rPr>
        <w:t>,</w:t>
      </w:r>
      <w:r w:rsidR="00654648">
        <w:rPr>
          <w:color w:val="000000"/>
          <w:szCs w:val="24"/>
        </w:rPr>
        <w:t xml:space="preserve"> pois, salienta </w:t>
      </w:r>
      <w:r w:rsidR="007A6C4A" w:rsidRPr="00BC3285">
        <w:rPr>
          <w:szCs w:val="24"/>
        </w:rPr>
        <w:t>que os recebimentos do exercício foram maiores que os pagamentos do exercício.</w:t>
      </w:r>
    </w:p>
    <w:p w14:paraId="583B9203" w14:textId="64C28BD8" w:rsidR="00DD401D" w:rsidRDefault="00DD401D" w:rsidP="00E35362">
      <w:pPr>
        <w:ind w:firstLine="708"/>
        <w:rPr>
          <w:b/>
          <w:color w:val="002060"/>
          <w:szCs w:val="24"/>
        </w:rPr>
      </w:pPr>
    </w:p>
    <w:p w14:paraId="199A4617" w14:textId="79190E01" w:rsidR="00DD401D" w:rsidRPr="00E10435" w:rsidRDefault="00BC718C" w:rsidP="00BC718C">
      <w:pPr>
        <w:ind w:firstLine="0"/>
        <w:contextualSpacing/>
        <w:rPr>
          <w:b/>
          <w:szCs w:val="24"/>
        </w:rPr>
      </w:pPr>
      <w:r w:rsidRPr="00E10435">
        <w:rPr>
          <w:b/>
          <w:szCs w:val="24"/>
        </w:rPr>
        <w:t>5 Considerações Finais</w:t>
      </w:r>
    </w:p>
    <w:p w14:paraId="513B397E" w14:textId="77777777" w:rsidR="002E10A3" w:rsidRPr="00E10435" w:rsidRDefault="002E10A3" w:rsidP="00BC718C">
      <w:pPr>
        <w:ind w:firstLine="0"/>
        <w:contextualSpacing/>
        <w:rPr>
          <w:b/>
          <w:szCs w:val="24"/>
        </w:rPr>
      </w:pPr>
    </w:p>
    <w:p w14:paraId="4E7FA0CB" w14:textId="228DFE6B" w:rsidR="00DD401D" w:rsidRPr="00E10435" w:rsidRDefault="00DD401D" w:rsidP="00DD401D">
      <w:pPr>
        <w:rPr>
          <w:rFonts w:eastAsia="Calibri"/>
        </w:rPr>
      </w:pPr>
      <w:r w:rsidRPr="00E10435">
        <w:rPr>
          <w:rFonts w:eastAsia="Calibri"/>
        </w:rPr>
        <w:t xml:space="preserve">A investigação, em atenção ao objetivo formulado, apresentou </w:t>
      </w:r>
      <w:r w:rsidR="00BB4CFF" w:rsidRPr="00E10435">
        <w:rPr>
          <w:rFonts w:eastAsia="Calibri"/>
        </w:rPr>
        <w:t>o resultado financeiro dos municípios do estado do Pará de 2015 a 2017 através da análise e aplicação de quocientes aos balanços financeiros dos entes, divididos por porte.</w:t>
      </w:r>
    </w:p>
    <w:p w14:paraId="3C661FDE" w14:textId="67957C4A" w:rsidR="00D50B4A" w:rsidRPr="00E10435" w:rsidRDefault="00D50B4A" w:rsidP="00C21E55">
      <w:pPr>
        <w:rPr>
          <w:rFonts w:eastAsia="Calibri"/>
        </w:rPr>
      </w:pPr>
      <w:r w:rsidRPr="00E10435">
        <w:rPr>
          <w:rFonts w:eastAsia="Calibri"/>
        </w:rPr>
        <w:t>O maior destaque da pesquisa aconteceu quando foi aplicado o quociente do resultado dos saldos financeiros</w:t>
      </w:r>
      <w:r w:rsidR="00C21E55" w:rsidRPr="00E10435">
        <w:rPr>
          <w:rFonts w:eastAsia="Calibri"/>
        </w:rPr>
        <w:t>, que apesar de não</w:t>
      </w:r>
      <w:r w:rsidRPr="00E10435">
        <w:rPr>
          <w:rFonts w:eastAsia="Calibri"/>
        </w:rPr>
        <w:t xml:space="preserve"> ocorrer de resultados iguais a 1 no período, mostrando</w:t>
      </w:r>
      <w:r w:rsidR="00C21E55" w:rsidRPr="00E10435">
        <w:rPr>
          <w:rFonts w:eastAsia="Calibri"/>
        </w:rPr>
        <w:t xml:space="preserve"> que os</w:t>
      </w:r>
      <w:r w:rsidRPr="00E10435">
        <w:rPr>
          <w:rFonts w:eastAsia="Calibri"/>
        </w:rPr>
        <w:t xml:space="preserve"> saldos transferidos par</w:t>
      </w:r>
      <w:r w:rsidR="00C21E55" w:rsidRPr="00E10435">
        <w:rPr>
          <w:rFonts w:eastAsia="Calibri"/>
        </w:rPr>
        <w:t>a o exercício seguinte que não foram</w:t>
      </w:r>
      <w:r w:rsidRPr="00E10435">
        <w:rPr>
          <w:rFonts w:eastAsia="Calibri"/>
        </w:rPr>
        <w:t xml:space="preserve"> iguais a</w:t>
      </w:r>
      <w:r w:rsidR="00C21E55" w:rsidRPr="00E10435">
        <w:rPr>
          <w:rFonts w:eastAsia="Calibri"/>
        </w:rPr>
        <w:t>o saldo do exercício anterior</w:t>
      </w:r>
      <w:r w:rsidR="00D14782" w:rsidRPr="00E10435">
        <w:rPr>
          <w:rFonts w:eastAsia="Calibri"/>
        </w:rPr>
        <w:t>, também, evidenciam que o  resultado menor que 1 foi uma ocorrência repetida n</w:t>
      </w:r>
      <w:r w:rsidRPr="00E10435">
        <w:rPr>
          <w:rFonts w:eastAsia="Calibri"/>
        </w:rPr>
        <w:t>a maioria dos</w:t>
      </w:r>
      <w:r w:rsidR="00D14782" w:rsidRPr="00E10435">
        <w:rPr>
          <w:rFonts w:eastAsia="Calibri"/>
        </w:rPr>
        <w:t xml:space="preserve"> municípios pesquisados, </w:t>
      </w:r>
      <w:r w:rsidRPr="00E10435">
        <w:rPr>
          <w:rFonts w:eastAsia="Calibri"/>
        </w:rPr>
        <w:t xml:space="preserve"> </w:t>
      </w:r>
      <w:r w:rsidR="00D14782" w:rsidRPr="00E10435">
        <w:rPr>
          <w:rFonts w:eastAsia="Calibri"/>
        </w:rPr>
        <w:t>um resultado proeminente ocorreu no</w:t>
      </w:r>
      <w:r w:rsidRPr="00E10435">
        <w:rPr>
          <w:rFonts w:eastAsia="Calibri"/>
        </w:rPr>
        <w:t>s municípios de pequeno porte no ano de 2016</w:t>
      </w:r>
      <w:r w:rsidR="00D14782" w:rsidRPr="00E10435">
        <w:rPr>
          <w:rFonts w:eastAsia="Calibri"/>
        </w:rPr>
        <w:t>,</w:t>
      </w:r>
      <w:r w:rsidRPr="00E10435">
        <w:rPr>
          <w:rFonts w:eastAsia="Calibri"/>
        </w:rPr>
        <w:t xml:space="preserve"> com 64%, mostrando que o saldo que passa para o exercício seguinte</w:t>
      </w:r>
      <w:r w:rsidR="00D14782" w:rsidRPr="00E10435">
        <w:rPr>
          <w:rFonts w:eastAsia="Calibri"/>
        </w:rPr>
        <w:t xml:space="preserve"> é</w:t>
      </w:r>
      <w:r w:rsidRPr="00E10435">
        <w:rPr>
          <w:rFonts w:eastAsia="Calibri"/>
        </w:rPr>
        <w:t xml:space="preserve"> menor do que o saldo do exercíci</w:t>
      </w:r>
      <w:r w:rsidR="00D14782" w:rsidRPr="00E10435">
        <w:rPr>
          <w:rFonts w:eastAsia="Calibri"/>
        </w:rPr>
        <w:t>o anterior.</w:t>
      </w:r>
    </w:p>
    <w:p w14:paraId="715535EB" w14:textId="48B235B4" w:rsidR="00DD401D" w:rsidRPr="00E10435" w:rsidRDefault="00DD401D" w:rsidP="00466EFC">
      <w:pPr>
        <w:rPr>
          <w:rFonts w:eastAsia="Calibri"/>
        </w:rPr>
      </w:pPr>
      <w:r w:rsidRPr="00E10435">
        <w:rPr>
          <w:rFonts w:eastAsia="Calibri"/>
        </w:rPr>
        <w:t>A pesquisa contribuiu para o aprimoramento do controle social, pois possibilitou comu</w:t>
      </w:r>
      <w:r w:rsidR="00D14782" w:rsidRPr="00E10435">
        <w:rPr>
          <w:rFonts w:eastAsia="Calibri"/>
        </w:rPr>
        <w:t>nicar os resultados financeiros</w:t>
      </w:r>
      <w:r w:rsidRPr="00E10435">
        <w:rPr>
          <w:rFonts w:eastAsia="Calibri"/>
        </w:rPr>
        <w:t xml:space="preserve"> dos municípios do estado do Pará em três anos de análise. O</w:t>
      </w:r>
      <w:r w:rsidR="00D14782" w:rsidRPr="00E10435">
        <w:rPr>
          <w:rFonts w:eastAsia="Calibri"/>
        </w:rPr>
        <w:t xml:space="preserve">s achados </w:t>
      </w:r>
      <w:r w:rsidRPr="00E10435">
        <w:rPr>
          <w:rFonts w:eastAsia="Calibri"/>
        </w:rPr>
        <w:t>oferece</w:t>
      </w:r>
      <w:r w:rsidR="00D14782" w:rsidRPr="00E10435">
        <w:rPr>
          <w:rFonts w:eastAsia="Calibri"/>
        </w:rPr>
        <w:t>m</w:t>
      </w:r>
      <w:r w:rsidRPr="00E10435">
        <w:rPr>
          <w:rFonts w:eastAsia="Calibri"/>
        </w:rPr>
        <w:t xml:space="preserve"> ferramentas aos gestores municipais, que poderão buscar soluções para mitigar riscos e corr</w:t>
      </w:r>
      <w:r w:rsidR="00D14782" w:rsidRPr="00E10435">
        <w:rPr>
          <w:rFonts w:eastAsia="Calibri"/>
        </w:rPr>
        <w:t>igir desvios,</w:t>
      </w:r>
      <w:r w:rsidRPr="00E10435">
        <w:rPr>
          <w:rFonts w:eastAsia="Calibri"/>
        </w:rPr>
        <w:t xml:space="preserve"> podendo direcionar </w:t>
      </w:r>
      <w:r w:rsidR="00D14782" w:rsidRPr="00E10435">
        <w:rPr>
          <w:rFonts w:eastAsia="Calibri"/>
        </w:rPr>
        <w:t>a</w:t>
      </w:r>
      <w:r w:rsidRPr="00E10435">
        <w:rPr>
          <w:rFonts w:eastAsia="Calibri"/>
        </w:rPr>
        <w:t xml:space="preserve"> tomadas de decisões, além, de servir como instrumento de monitoramento e controle social. Os cidadãos poderão, ao contato com esta </w:t>
      </w:r>
      <w:r w:rsidRPr="00E10435">
        <w:rPr>
          <w:rFonts w:eastAsia="Calibri"/>
        </w:rPr>
        <w:lastRenderedPageBreak/>
        <w:t>investigação, conhecer como estão</w:t>
      </w:r>
      <w:r w:rsidR="00D14782" w:rsidRPr="00E10435">
        <w:rPr>
          <w:rFonts w:eastAsia="Calibri"/>
        </w:rPr>
        <w:t xml:space="preserve"> sendo gerenciadas as finanças públicas</w:t>
      </w:r>
      <w:r w:rsidRPr="00E10435">
        <w:rPr>
          <w:rFonts w:eastAsia="Calibri"/>
        </w:rPr>
        <w:t xml:space="preserve"> municipais. </w:t>
      </w:r>
      <w:r w:rsidR="00466EFC" w:rsidRPr="00E10435">
        <w:rPr>
          <w:rFonts w:eastAsia="Calibri"/>
        </w:rPr>
        <w:t>A pesquisa teve limitações para interpretação dos resultados da aplicação do quociente do resultado dos saldos financeiros, posto que, quando da maioria dos resultado foi  menor que 1 foi a nos  municípios pesquisados, independente do porte</w:t>
      </w:r>
      <w:r w:rsidR="00466EFC" w:rsidRPr="00E10435">
        <w:t xml:space="preserve">, não foi possível </w:t>
      </w:r>
      <w:r w:rsidR="00466EFC" w:rsidRPr="00E10435">
        <w:rPr>
          <w:rFonts w:eastAsia="Calibri"/>
        </w:rPr>
        <w:t xml:space="preserve"> verificar se as disponibilidades (saldo de caixa/bancos) refletem a movimentação financeira de origem extraorçamentária, para se ter melhor base de análise e interpretação e nem verificar as causas ou possíveis justificativas convincentes, sendo esta uma limitação desse  estágio da pesquisa serem encontradas.</w:t>
      </w:r>
      <w:r w:rsidRPr="00E10435">
        <w:rPr>
          <w:rFonts w:eastAsia="Calibri"/>
        </w:rPr>
        <w:t xml:space="preserve"> Sugere-se, portanto, que outras pesquisas </w:t>
      </w:r>
      <w:r w:rsidR="00466EFC" w:rsidRPr="00E10435">
        <w:rPr>
          <w:rFonts w:eastAsia="Calibri"/>
        </w:rPr>
        <w:t xml:space="preserve">façam essa análise e ainda, </w:t>
      </w:r>
      <w:r w:rsidRPr="00E10435">
        <w:rPr>
          <w:rFonts w:eastAsia="Calibri"/>
        </w:rPr>
        <w:t xml:space="preserve">ampliem o período, incluindo o ano de 2018, e, </w:t>
      </w:r>
      <w:r w:rsidR="00466EFC" w:rsidRPr="00E10435">
        <w:rPr>
          <w:rFonts w:eastAsia="Calibri"/>
        </w:rPr>
        <w:t xml:space="preserve">que </w:t>
      </w:r>
      <w:r w:rsidR="00E10435" w:rsidRPr="00E10435">
        <w:rPr>
          <w:rFonts w:eastAsia="Calibri"/>
        </w:rPr>
        <w:t>possam relacionar</w:t>
      </w:r>
      <w:r w:rsidRPr="00E10435">
        <w:rPr>
          <w:rFonts w:eastAsia="Calibri"/>
        </w:rPr>
        <w:t xml:space="preserve"> os resultados com outras variáveis, tais como, índice de desenvolvimento humano e produto interno bruto. Além disso, pelo fato da metodologia ser aplicável a qualquer município, sugere-se a aplicação dos testes em outros estados, para possibilitar comparação de performance nos municipios dos demais estados brasileiros, além de proceder a investigação das </w:t>
      </w:r>
      <w:r w:rsidRPr="00E10435">
        <w:rPr>
          <w:rFonts w:eastAsia="Calibri"/>
          <w:szCs w:val="24"/>
        </w:rPr>
        <w:t>causas ou justificativas convincentes para os resultados, conforme aconselha Kohama.</w:t>
      </w:r>
    </w:p>
    <w:p w14:paraId="762AF1A3" w14:textId="77777777" w:rsidR="008F1D4E" w:rsidRPr="00E10435" w:rsidRDefault="008F1D4E" w:rsidP="00DD401D">
      <w:pPr>
        <w:contextualSpacing/>
        <w:rPr>
          <w:rFonts w:eastAsia="Calibri"/>
        </w:rPr>
      </w:pPr>
    </w:p>
    <w:p w14:paraId="1983B628" w14:textId="5CF71226" w:rsidR="007C1EC6" w:rsidRDefault="00DD401D" w:rsidP="00E1256F">
      <w:pPr>
        <w:ind w:firstLine="0"/>
        <w:rPr>
          <w:rFonts w:eastAsia="Calibri"/>
          <w:b/>
          <w:szCs w:val="24"/>
        </w:rPr>
      </w:pPr>
      <w:bookmarkStart w:id="2" w:name="_Toc104219"/>
      <w:r w:rsidRPr="001B3CD7">
        <w:rPr>
          <w:rFonts w:eastAsia="Calibri"/>
          <w:b/>
          <w:szCs w:val="24"/>
        </w:rPr>
        <w:t>Referências</w:t>
      </w:r>
      <w:bookmarkEnd w:id="2"/>
      <w:r w:rsidRPr="001B3CD7">
        <w:rPr>
          <w:rFonts w:eastAsia="Calibri"/>
          <w:b/>
          <w:szCs w:val="24"/>
        </w:rPr>
        <w:t xml:space="preserve"> </w:t>
      </w:r>
    </w:p>
    <w:p w14:paraId="6075CBC0" w14:textId="78E42566" w:rsidR="007C1EC6" w:rsidRPr="007C1EC6" w:rsidRDefault="007C1EC6" w:rsidP="00F46CCA">
      <w:pPr>
        <w:ind w:firstLine="0"/>
        <w:rPr>
          <w:rFonts w:eastAsia="Calibri"/>
          <w:b/>
          <w:color w:val="FF0000"/>
          <w:szCs w:val="24"/>
        </w:rPr>
      </w:pPr>
    </w:p>
    <w:p w14:paraId="2216663C" w14:textId="77777777" w:rsidR="007C1EC6" w:rsidRPr="00F46CCA" w:rsidRDefault="007C1EC6" w:rsidP="007C1EC6">
      <w:pPr>
        <w:rPr>
          <w:rFonts w:eastAsia="Calibri"/>
          <w:szCs w:val="24"/>
        </w:rPr>
      </w:pPr>
      <w:r w:rsidRPr="00F46CCA">
        <w:rPr>
          <w:rFonts w:eastAsia="Calibri"/>
          <w:szCs w:val="24"/>
        </w:rPr>
        <w:t>Ávila, S., &amp;Moura, M.(2003). Índice de qualidade dos municípios: Sustentabilidade Fiscal (Nº 4, Vol. 12, p. 109-117). Bahia: Análise &amp; Dados Salvador. Recuperado de:  http://www.ijsn.es.gov.br/bibliotecaonline/Record/8327. Acesso em: 20 jul. 2018.</w:t>
      </w:r>
    </w:p>
    <w:p w14:paraId="5F1C189C" w14:textId="04250BDC" w:rsidR="007C1EC6" w:rsidRPr="00F46CCA" w:rsidRDefault="007C1EC6" w:rsidP="00F46CCA">
      <w:pPr>
        <w:ind w:firstLine="0"/>
        <w:rPr>
          <w:rFonts w:eastAsia="Calibri"/>
          <w:szCs w:val="24"/>
        </w:rPr>
      </w:pPr>
    </w:p>
    <w:p w14:paraId="53E91341" w14:textId="77777777" w:rsidR="007C1EC6" w:rsidRPr="00F46CCA" w:rsidRDefault="007C1EC6" w:rsidP="007C1EC6">
      <w:pPr>
        <w:rPr>
          <w:rFonts w:eastAsia="Calibri"/>
          <w:szCs w:val="24"/>
        </w:rPr>
      </w:pPr>
      <w:r w:rsidRPr="00F46CCA">
        <w:rPr>
          <w:rFonts w:eastAsia="Calibri"/>
          <w:szCs w:val="24"/>
        </w:rPr>
        <w:t>Lei n.4.320, de 07 de março de1964. Dispõe sobre Normas Gerais de Direito Financeiro Para Elaboração e Controle dos Orçamentos e Balanços da União, dos Estados, dos Municípios e do Distrito Federal. Recuperado de</w:t>
      </w:r>
    </w:p>
    <w:p w14:paraId="2F9484BF" w14:textId="77777777" w:rsidR="007C1EC6" w:rsidRPr="00F46CCA" w:rsidRDefault="007C1EC6" w:rsidP="007C1EC6">
      <w:pPr>
        <w:rPr>
          <w:rFonts w:eastAsia="Calibri"/>
          <w:szCs w:val="24"/>
        </w:rPr>
      </w:pPr>
      <w:r w:rsidRPr="00F46CCA">
        <w:rPr>
          <w:rFonts w:eastAsia="Calibri"/>
          <w:szCs w:val="24"/>
        </w:rPr>
        <w:t>http://www.planalto.gov.br/ccivil_03/leis/l6404compilada.htm</w:t>
      </w:r>
    </w:p>
    <w:p w14:paraId="1E6E38C5" w14:textId="791DEE75" w:rsidR="007C1EC6" w:rsidRPr="00F46CCA" w:rsidRDefault="007C1EC6" w:rsidP="00F46CCA">
      <w:pPr>
        <w:ind w:firstLine="0"/>
        <w:rPr>
          <w:rFonts w:eastAsia="Calibri"/>
          <w:szCs w:val="24"/>
        </w:rPr>
      </w:pPr>
    </w:p>
    <w:p w14:paraId="4CB9C244" w14:textId="559EB50E" w:rsidR="007C1EC6" w:rsidRPr="00F46CCA" w:rsidRDefault="007C1EC6" w:rsidP="00F46CCA">
      <w:pPr>
        <w:rPr>
          <w:rFonts w:eastAsia="Calibri"/>
          <w:szCs w:val="24"/>
        </w:rPr>
      </w:pPr>
      <w:r w:rsidRPr="00F46CCA">
        <w:rPr>
          <w:rFonts w:eastAsia="Calibri"/>
          <w:szCs w:val="24"/>
        </w:rPr>
        <w:t>Tribunal de Contas da União (2011): Técnica de indicadores de desempenho para auditorias. Tribunal de Contas da União. Secretaria de Fiscalização e Avaliação de Programas de Governo (SEPROG).  Recuperado de: https://portal.tcu.gov.br/lumis/portal/file/fileDownload.jsp?fileId=8A8182A158FE98EE0158FED65C6</w:t>
      </w:r>
      <w:r w:rsidR="00F46CCA" w:rsidRPr="00F46CCA">
        <w:rPr>
          <w:rFonts w:eastAsia="Calibri"/>
          <w:szCs w:val="24"/>
        </w:rPr>
        <w:t>D4BFF. Acesso em: 22 ago. 2018.</w:t>
      </w:r>
    </w:p>
    <w:p w14:paraId="0D5E946E" w14:textId="77777777" w:rsidR="007C1EC6" w:rsidRPr="00F46CCA" w:rsidRDefault="007C1EC6" w:rsidP="007C1EC6">
      <w:pPr>
        <w:rPr>
          <w:rFonts w:eastAsia="Calibri"/>
          <w:szCs w:val="24"/>
        </w:rPr>
      </w:pPr>
    </w:p>
    <w:p w14:paraId="0070FEC1" w14:textId="77777777" w:rsidR="007C1EC6" w:rsidRPr="00F46CCA" w:rsidRDefault="007C1EC6" w:rsidP="007C1EC6">
      <w:pPr>
        <w:rPr>
          <w:rFonts w:eastAsia="Calibri"/>
          <w:szCs w:val="24"/>
        </w:rPr>
      </w:pPr>
      <w:r w:rsidRPr="00F46CCA">
        <w:rPr>
          <w:rFonts w:eastAsia="Calibri"/>
          <w:szCs w:val="24"/>
        </w:rPr>
        <w:t>Secretaria do Tesouro Nacional. Manual de Contabilidade Aplicada ao Setor Público (2016). Recuperado de: http://www.tesouro.fazenda.gov.br/documents/10180/456785/MCASP+7ª%20edição+Versão+Final.pdf/6e874adb-44d7-490c-8967-b0acd3923f6d.  Acesso em: 30 mai. 2018.</w:t>
      </w:r>
    </w:p>
    <w:p w14:paraId="7261D8A9" w14:textId="7BF95A0A" w:rsidR="007C1EC6" w:rsidRPr="00F46CCA" w:rsidRDefault="007C1EC6" w:rsidP="00F46CCA">
      <w:pPr>
        <w:ind w:firstLine="0"/>
        <w:rPr>
          <w:rFonts w:eastAsia="Calibri"/>
          <w:szCs w:val="24"/>
        </w:rPr>
      </w:pPr>
    </w:p>
    <w:p w14:paraId="780DE47D" w14:textId="79CA4B4B" w:rsidR="007C1EC6" w:rsidRPr="00F46CCA" w:rsidRDefault="007C1EC6" w:rsidP="00F46CCA">
      <w:pPr>
        <w:rPr>
          <w:rFonts w:eastAsia="Calibri"/>
          <w:szCs w:val="24"/>
        </w:rPr>
      </w:pPr>
      <w:r w:rsidRPr="00F46CCA">
        <w:rPr>
          <w:rFonts w:eastAsia="Calibri"/>
          <w:szCs w:val="24"/>
        </w:rPr>
        <w:t>Campelo, C. A. G. B, &amp;Moura, A. B (2000). Administração Financeira Municipal (</w:t>
      </w:r>
      <w:r w:rsidR="00F46CCA" w:rsidRPr="00F46CCA">
        <w:rPr>
          <w:rFonts w:eastAsia="Calibri"/>
          <w:szCs w:val="24"/>
        </w:rPr>
        <w:t xml:space="preserve">p. 109-117). São Paulo: Atlas. </w:t>
      </w:r>
    </w:p>
    <w:p w14:paraId="48ACAE2F" w14:textId="756902FA" w:rsidR="007C1EC6" w:rsidRPr="00F46CCA" w:rsidRDefault="007C1EC6" w:rsidP="00F46CCA">
      <w:pPr>
        <w:ind w:firstLine="0"/>
        <w:rPr>
          <w:rFonts w:eastAsia="Calibri"/>
          <w:szCs w:val="24"/>
        </w:rPr>
      </w:pPr>
    </w:p>
    <w:p w14:paraId="36433879" w14:textId="7C83F2B5" w:rsidR="007C1EC6" w:rsidRDefault="007C1EC6" w:rsidP="0083015B">
      <w:pPr>
        <w:rPr>
          <w:rFonts w:eastAsia="Calibri"/>
          <w:szCs w:val="24"/>
        </w:rPr>
      </w:pPr>
      <w:r w:rsidRPr="006E4134">
        <w:rPr>
          <w:rFonts w:eastAsia="Calibri"/>
          <w:szCs w:val="24"/>
          <w:lang w:val="en-US"/>
        </w:rPr>
        <w:t xml:space="preserve">Clarkson, Max B. E. (1995). A stakeholder framework for analyzing and evaluating corporate social performance. (Nº 1, Vol. 20, p. 92-177). The Academy of Management Review. </w:t>
      </w:r>
      <w:r w:rsidRPr="006E4134">
        <w:rPr>
          <w:rFonts w:eastAsia="Calibri"/>
          <w:szCs w:val="24"/>
          <w:lang w:val="en-US"/>
        </w:rPr>
        <w:lastRenderedPageBreak/>
        <w:t xml:space="preserve">Doi 10.5465/amr.1995.9503271994. </w:t>
      </w:r>
      <w:r w:rsidRPr="00F46CCA">
        <w:rPr>
          <w:rFonts w:eastAsia="Calibri"/>
          <w:szCs w:val="24"/>
        </w:rPr>
        <w:t>Recuperado de: https://journals.aom</w:t>
      </w:r>
      <w:r w:rsidR="0083015B">
        <w:rPr>
          <w:rFonts w:eastAsia="Calibri"/>
          <w:szCs w:val="24"/>
        </w:rPr>
        <w:t>.org/. Acesso em: 10 dez. 2018.</w:t>
      </w:r>
    </w:p>
    <w:p w14:paraId="30F90A33" w14:textId="77777777" w:rsidR="00E35362" w:rsidRPr="00F46CCA" w:rsidRDefault="00E35362" w:rsidP="0083015B">
      <w:pPr>
        <w:rPr>
          <w:rFonts w:eastAsia="Calibri"/>
          <w:szCs w:val="24"/>
        </w:rPr>
      </w:pPr>
    </w:p>
    <w:p w14:paraId="132CD5C5" w14:textId="44E63F40" w:rsidR="007C1EC6" w:rsidRPr="00F46CCA" w:rsidRDefault="007C1EC6" w:rsidP="00F46CCA">
      <w:pPr>
        <w:rPr>
          <w:rFonts w:eastAsia="Calibri"/>
          <w:szCs w:val="24"/>
        </w:rPr>
      </w:pPr>
      <w:r w:rsidRPr="00F46CCA">
        <w:rPr>
          <w:rFonts w:eastAsia="Calibri"/>
          <w:szCs w:val="24"/>
        </w:rPr>
        <w:t>Coelho, D. M, &amp; Quintana, A. C.(2008). Análise do desempenho econômico e financeiro de entidades da administração pública direta: O caso da prefeitura municipal do Rio Grande (RS).). Revista de contabilidade do mestrado em ciências contábeis da UERJ (Nº 2, Vol. 13, p.1). Recuperado de: https://www.epublicacoes.uerj.br/index.php/rcmccuerj/article/view</w:t>
      </w:r>
      <w:r w:rsidR="00F46CCA" w:rsidRPr="00F46CCA">
        <w:rPr>
          <w:rFonts w:eastAsia="Calibri"/>
          <w:szCs w:val="24"/>
        </w:rPr>
        <w:t>/5552. Acesso em: 22 jul. 2018.</w:t>
      </w:r>
    </w:p>
    <w:p w14:paraId="3A11B1A5" w14:textId="77777777" w:rsidR="007C1EC6" w:rsidRPr="00F46CCA" w:rsidRDefault="007C1EC6" w:rsidP="007C1EC6">
      <w:pPr>
        <w:rPr>
          <w:rFonts w:eastAsia="Calibri"/>
          <w:szCs w:val="24"/>
        </w:rPr>
      </w:pPr>
    </w:p>
    <w:p w14:paraId="53D8E0EE" w14:textId="77777777" w:rsidR="007C1EC6" w:rsidRPr="00F46CCA" w:rsidRDefault="007C1EC6" w:rsidP="007C1EC6">
      <w:pPr>
        <w:rPr>
          <w:rFonts w:eastAsia="Calibri"/>
          <w:szCs w:val="24"/>
        </w:rPr>
      </w:pPr>
      <w:r w:rsidRPr="00F46CCA">
        <w:rPr>
          <w:rFonts w:eastAsia="Calibri"/>
          <w:szCs w:val="24"/>
        </w:rPr>
        <w:t>NBC T 16, de 1999. Contabilidade aplicada ao setor público. Brasília: Conselho Federal de Contabilidade p. 56. Recuperado de:</w:t>
      </w:r>
    </w:p>
    <w:p w14:paraId="4239EA12" w14:textId="77777777" w:rsidR="007C1EC6" w:rsidRPr="00F46CCA" w:rsidRDefault="007C1EC6" w:rsidP="007C1EC6">
      <w:pPr>
        <w:rPr>
          <w:rFonts w:eastAsia="Calibri"/>
          <w:szCs w:val="24"/>
        </w:rPr>
      </w:pPr>
      <w:r w:rsidRPr="00F46CCA">
        <w:rPr>
          <w:rFonts w:eastAsia="Calibri"/>
          <w:szCs w:val="24"/>
        </w:rPr>
        <w:t xml:space="preserve"> http://portalcfc.org.br/wordpress/wp-content/uploads/2013/01/Setor_P%C3%BAblico.pdf. Acesso em: 15 ago. 2018.</w:t>
      </w:r>
    </w:p>
    <w:p w14:paraId="14767FEA" w14:textId="4B9A2FEC" w:rsidR="007C1EC6" w:rsidRPr="00F46CCA" w:rsidRDefault="007C1EC6" w:rsidP="0083015B">
      <w:pPr>
        <w:ind w:firstLine="0"/>
        <w:rPr>
          <w:rFonts w:eastAsia="Calibri"/>
          <w:szCs w:val="24"/>
        </w:rPr>
      </w:pPr>
    </w:p>
    <w:p w14:paraId="2115F8B8" w14:textId="77777777" w:rsidR="007C1EC6" w:rsidRPr="00F46CCA" w:rsidRDefault="007C1EC6" w:rsidP="007C1EC6">
      <w:pPr>
        <w:rPr>
          <w:rFonts w:eastAsia="Calibri"/>
          <w:szCs w:val="24"/>
        </w:rPr>
      </w:pPr>
      <w:r w:rsidRPr="00F46CCA">
        <w:rPr>
          <w:rFonts w:eastAsia="Calibri"/>
          <w:szCs w:val="24"/>
        </w:rPr>
        <w:t xml:space="preserve">González, D., &amp;Hernández, E. R.(2010). La política de evaluación del Gobierno mexicano. Revista de Administración Pública. (Nº 1, Vol. 45, p.131-150). </w:t>
      </w:r>
    </w:p>
    <w:p w14:paraId="2A37AFA9" w14:textId="53242FBA" w:rsidR="007C1EC6" w:rsidRPr="00F46CCA" w:rsidRDefault="007C1EC6" w:rsidP="00F46CCA">
      <w:pPr>
        <w:ind w:firstLine="0"/>
        <w:rPr>
          <w:rFonts w:eastAsia="Calibri"/>
          <w:szCs w:val="24"/>
        </w:rPr>
      </w:pPr>
    </w:p>
    <w:p w14:paraId="355AADCD" w14:textId="77777777" w:rsidR="007C1EC6" w:rsidRPr="00F46CCA" w:rsidRDefault="007C1EC6" w:rsidP="007C1EC6">
      <w:pPr>
        <w:rPr>
          <w:rFonts w:eastAsia="Calibri"/>
          <w:szCs w:val="24"/>
        </w:rPr>
      </w:pPr>
      <w:r w:rsidRPr="00F46CCA">
        <w:rPr>
          <w:rFonts w:eastAsia="Calibri"/>
          <w:szCs w:val="24"/>
        </w:rPr>
        <w:t xml:space="preserve">Grateron, I. R. G.(1999). Auditoria de gestão: utilização de indicadores de gestão no setor público (Nº 21, p. 01-18). São Paulo: Caderno de estudos. Recuperado de: http://www.scielo.br/scielo.php?script=sci_arttext&amp;pid=S1413-92511999000200002&amp;lng=en&amp;nrm=iso. Acesso em:  19 ago.  2018. </w:t>
      </w:r>
    </w:p>
    <w:p w14:paraId="5B1C06E1" w14:textId="23B64111" w:rsidR="007C1EC6" w:rsidRPr="00F46CCA" w:rsidRDefault="007C1EC6" w:rsidP="00F46CCA">
      <w:pPr>
        <w:ind w:firstLine="0"/>
        <w:rPr>
          <w:rFonts w:eastAsia="Calibri"/>
          <w:szCs w:val="24"/>
        </w:rPr>
      </w:pPr>
    </w:p>
    <w:p w14:paraId="0A683851" w14:textId="21595863" w:rsidR="007C1EC6" w:rsidRDefault="007C1EC6" w:rsidP="0083015B">
      <w:pPr>
        <w:rPr>
          <w:rFonts w:eastAsia="Calibri"/>
          <w:szCs w:val="24"/>
        </w:rPr>
      </w:pPr>
      <w:r w:rsidRPr="00F46CCA">
        <w:rPr>
          <w:rFonts w:eastAsia="Calibri"/>
          <w:szCs w:val="24"/>
        </w:rPr>
        <w:t>Guzmán, M. D.(1991). A auditoria compreensiva: um moderno co</w:t>
      </w:r>
      <w:r w:rsidR="0083015B">
        <w:rPr>
          <w:rFonts w:eastAsia="Calibri"/>
          <w:szCs w:val="24"/>
        </w:rPr>
        <w:t>ncepto em la auditoria. México.</w:t>
      </w:r>
    </w:p>
    <w:p w14:paraId="7BA086D5" w14:textId="77777777" w:rsidR="0083015B" w:rsidRPr="00F46CCA" w:rsidRDefault="0083015B" w:rsidP="0083015B">
      <w:pPr>
        <w:rPr>
          <w:rFonts w:eastAsia="Calibri"/>
          <w:szCs w:val="24"/>
        </w:rPr>
      </w:pPr>
    </w:p>
    <w:p w14:paraId="064DBACE" w14:textId="59D948B6" w:rsidR="007C1EC6" w:rsidRPr="00F46CCA" w:rsidRDefault="007C1EC6" w:rsidP="0083015B">
      <w:pPr>
        <w:rPr>
          <w:rFonts w:eastAsia="Calibri"/>
          <w:szCs w:val="24"/>
        </w:rPr>
      </w:pPr>
      <w:r w:rsidRPr="00F46CCA">
        <w:rPr>
          <w:rFonts w:eastAsia="Calibri"/>
          <w:szCs w:val="24"/>
        </w:rPr>
        <w:t>Jubran, A. J. (2006). Modelo de análise de eficiência na administração pública: estudo aplicado às prefeituras brasileiras usando</w:t>
      </w:r>
      <w:r w:rsidR="0083015B">
        <w:rPr>
          <w:rFonts w:eastAsia="Calibri"/>
          <w:szCs w:val="24"/>
        </w:rPr>
        <w:t xml:space="preserve"> a análise envoltória de dados.</w:t>
      </w:r>
      <w:r w:rsidRPr="00F46CCA">
        <w:rPr>
          <w:rFonts w:eastAsia="Calibri"/>
          <w:szCs w:val="24"/>
        </w:rPr>
        <w:t>(Tese de Doutorado). Escola Politécnica, Universidade de São Paulo, São Paulo, SP, Brasil. Doi:10.11606/T.3.2006.tde-13122006-180402. Recuperado de:  http://www.teses.usp.br/teses/disponiveis/3/3142/tde-13122006-180402/pt-br.php. Acesso em: 27 jul. 2018.</w:t>
      </w:r>
    </w:p>
    <w:p w14:paraId="6F04152C" w14:textId="77777777" w:rsidR="007C1EC6" w:rsidRPr="00F46CCA" w:rsidRDefault="007C1EC6" w:rsidP="007C1EC6">
      <w:pPr>
        <w:rPr>
          <w:rFonts w:eastAsia="Calibri"/>
          <w:szCs w:val="24"/>
        </w:rPr>
      </w:pPr>
    </w:p>
    <w:p w14:paraId="0AAD3CDD" w14:textId="77777777" w:rsidR="007C1EC6" w:rsidRPr="00F46CCA" w:rsidRDefault="007C1EC6" w:rsidP="007C1EC6">
      <w:pPr>
        <w:rPr>
          <w:rFonts w:eastAsia="Calibri"/>
          <w:szCs w:val="24"/>
        </w:rPr>
      </w:pPr>
      <w:r w:rsidRPr="00F46CCA">
        <w:rPr>
          <w:rFonts w:eastAsia="Calibri"/>
          <w:szCs w:val="24"/>
        </w:rPr>
        <w:t xml:space="preserve">Kohama, H. (2015). Balanços públicos: teoria e prática. (3. ed.). São Paulo: Atlas </w:t>
      </w:r>
    </w:p>
    <w:p w14:paraId="24CCC448" w14:textId="6B8CD0BC" w:rsidR="007C1EC6" w:rsidRPr="00F46CCA" w:rsidRDefault="007C1EC6" w:rsidP="0083015B">
      <w:pPr>
        <w:ind w:firstLine="0"/>
        <w:rPr>
          <w:rFonts w:eastAsia="Calibri"/>
          <w:szCs w:val="24"/>
        </w:rPr>
      </w:pPr>
    </w:p>
    <w:p w14:paraId="5E92C2B7" w14:textId="77777777" w:rsidR="007C1EC6" w:rsidRPr="00F46CCA" w:rsidRDefault="007C1EC6" w:rsidP="007C1EC6">
      <w:pPr>
        <w:rPr>
          <w:rFonts w:eastAsia="Calibri"/>
          <w:szCs w:val="24"/>
        </w:rPr>
      </w:pPr>
      <w:r w:rsidRPr="00F46CCA">
        <w:rPr>
          <w:rFonts w:eastAsia="Calibri"/>
          <w:szCs w:val="24"/>
        </w:rPr>
        <w:t>Nascimento. F. R. T. (2017). Indicadores Financeiros Aplicados aos Demonstrativos Contábeis Públicos. Revista Científica Multidisciplinar Núcleo do Conhecimento. (3. ed. Vol. 1, p.103-115). Recuperado de:</w:t>
      </w:r>
    </w:p>
    <w:p w14:paraId="3F44C80A" w14:textId="77777777" w:rsidR="007C1EC6" w:rsidRPr="00F46CCA" w:rsidRDefault="007C1EC6" w:rsidP="007C1EC6">
      <w:pPr>
        <w:rPr>
          <w:rFonts w:eastAsia="Calibri"/>
          <w:szCs w:val="24"/>
        </w:rPr>
      </w:pPr>
      <w:r w:rsidRPr="00F46CCA">
        <w:rPr>
          <w:rFonts w:eastAsia="Calibri"/>
          <w:szCs w:val="24"/>
        </w:rPr>
        <w:t>https://www.nucleodoconhecimento.com.br/contabilidade/demonstrativos-contabeis-publicos. Acesso em: 22 jul. 2018.</w:t>
      </w:r>
    </w:p>
    <w:p w14:paraId="3A4EB1FF" w14:textId="732A9218" w:rsidR="007C1EC6" w:rsidRPr="00F46CCA" w:rsidRDefault="007C1EC6" w:rsidP="00F46CCA">
      <w:pPr>
        <w:ind w:firstLine="0"/>
        <w:rPr>
          <w:rFonts w:eastAsia="Calibri"/>
          <w:szCs w:val="24"/>
        </w:rPr>
      </w:pPr>
    </w:p>
    <w:p w14:paraId="7DC57FFA" w14:textId="77777777" w:rsidR="007C1EC6" w:rsidRPr="00F46CCA" w:rsidRDefault="007C1EC6" w:rsidP="007C1EC6">
      <w:pPr>
        <w:rPr>
          <w:rFonts w:eastAsia="Calibri"/>
          <w:szCs w:val="24"/>
        </w:rPr>
      </w:pPr>
      <w:r w:rsidRPr="00F46CCA">
        <w:rPr>
          <w:rFonts w:eastAsia="Calibri"/>
          <w:szCs w:val="24"/>
        </w:rPr>
        <w:t>Santos. T. &amp; Silva. M. C. (2017). O uso de Indicadores como Ferramenta de Análise Orçamentária no Setor Público: O Ranking das Despesas de Investimentos dos Municípios Norte-</w:t>
      </w:r>
      <w:r w:rsidRPr="00F46CCA">
        <w:rPr>
          <w:rFonts w:eastAsia="Calibri"/>
          <w:szCs w:val="24"/>
        </w:rPr>
        <w:lastRenderedPageBreak/>
        <w:t>Rio-Grandenses. Revista de Administração e Contabilidade, Feira de Santana (Nº 3. Vol. 8 p.51-68). Recuperado de:</w:t>
      </w:r>
    </w:p>
    <w:p w14:paraId="22FA7E81" w14:textId="77777777" w:rsidR="0083015B" w:rsidRDefault="007C1EC6" w:rsidP="0083015B">
      <w:pPr>
        <w:rPr>
          <w:rFonts w:eastAsia="Calibri"/>
          <w:szCs w:val="24"/>
        </w:rPr>
      </w:pPr>
      <w:r w:rsidRPr="00F46CCA">
        <w:rPr>
          <w:rFonts w:eastAsia="Calibri"/>
          <w:szCs w:val="24"/>
        </w:rPr>
        <w:t>http://www.reacfat.web7003.uni5.net/index.php/reac/article/view/9</w:t>
      </w:r>
      <w:r w:rsidR="0083015B">
        <w:rPr>
          <w:rFonts w:eastAsia="Calibri"/>
          <w:szCs w:val="24"/>
        </w:rPr>
        <w:t>9/101. Acesso em: 22 mai. 2018.</w:t>
      </w:r>
    </w:p>
    <w:p w14:paraId="254BC23D" w14:textId="77777777" w:rsidR="0083015B" w:rsidRDefault="0083015B" w:rsidP="0083015B">
      <w:pPr>
        <w:rPr>
          <w:rFonts w:eastAsia="Calibri"/>
          <w:szCs w:val="24"/>
        </w:rPr>
      </w:pPr>
    </w:p>
    <w:p w14:paraId="2D34955A" w14:textId="45172DFB" w:rsidR="007C1EC6" w:rsidRPr="00F46CCA" w:rsidRDefault="007C1EC6" w:rsidP="0083015B">
      <w:pPr>
        <w:rPr>
          <w:rFonts w:eastAsia="Calibri"/>
          <w:szCs w:val="24"/>
        </w:rPr>
      </w:pPr>
      <w:r w:rsidRPr="00F46CCA">
        <w:rPr>
          <w:rFonts w:eastAsia="Calibri"/>
          <w:szCs w:val="24"/>
        </w:rPr>
        <w:t>Soares. M, Lyra. R. L. W. C, Hein. N, Kroenke. A. (2010). O emprego da análise de balanços e métodos estatísticos na área pública: o ranking de gestão dos municípios catarinenses. Revista de Administração Pública, Rio de Janeiro. (Nº 45. Vol. 5. p.1425-1443). . Doi: http://dx.doi.org/10.1590/S0034-76122011000500008. Recuperado de:</w:t>
      </w:r>
    </w:p>
    <w:p w14:paraId="3A264C89" w14:textId="3DBF8C99" w:rsidR="007C1EC6" w:rsidRPr="00F46CCA" w:rsidRDefault="007C1EC6" w:rsidP="00F46CCA">
      <w:pPr>
        <w:rPr>
          <w:rFonts w:eastAsia="Calibri"/>
          <w:szCs w:val="24"/>
        </w:rPr>
      </w:pPr>
      <w:r w:rsidRPr="00F46CCA">
        <w:rPr>
          <w:rFonts w:eastAsia="Calibri"/>
          <w:szCs w:val="24"/>
        </w:rPr>
        <w:t>http://www.scielo.br/scielo.php?pid=S0034-76122011000500008&amp;script=sci_abstract&amp;tlng=pt. Acesso</w:t>
      </w:r>
      <w:r w:rsidR="00F46CCA" w:rsidRPr="00F46CCA">
        <w:rPr>
          <w:rFonts w:eastAsia="Calibri"/>
          <w:szCs w:val="24"/>
        </w:rPr>
        <w:t xml:space="preserve"> em: 30 nov. 2018</w:t>
      </w:r>
    </w:p>
    <w:p w14:paraId="6A52FB35" w14:textId="77777777" w:rsidR="007C1EC6" w:rsidRPr="00F46CCA" w:rsidRDefault="007C1EC6" w:rsidP="007C1EC6">
      <w:pPr>
        <w:rPr>
          <w:rFonts w:eastAsia="Calibri"/>
          <w:szCs w:val="24"/>
        </w:rPr>
      </w:pPr>
    </w:p>
    <w:p w14:paraId="0C7C1F7C" w14:textId="77777777" w:rsidR="007C1EC6" w:rsidRPr="00F46CCA" w:rsidRDefault="007C1EC6" w:rsidP="007C1EC6">
      <w:pPr>
        <w:rPr>
          <w:rFonts w:eastAsia="Calibri"/>
          <w:szCs w:val="24"/>
        </w:rPr>
      </w:pPr>
      <w:r w:rsidRPr="00F46CCA">
        <w:rPr>
          <w:rFonts w:eastAsia="Calibri"/>
          <w:szCs w:val="24"/>
        </w:rPr>
        <w:t>Suzart, J. A. S. (2016). Superávit/déficit financeiro: uma proposta de análise deste indicador para as entidades do setor público. Anais do Congresso Brasileiro De Contabilidade, 20. Fortaleza, CE, Brasil, 20. Recuperado de</w:t>
      </w:r>
    </w:p>
    <w:p w14:paraId="10D09BDC" w14:textId="77777777" w:rsidR="007C1EC6" w:rsidRPr="00F46CCA" w:rsidRDefault="007C1EC6" w:rsidP="007C1EC6">
      <w:pPr>
        <w:rPr>
          <w:rFonts w:eastAsia="Calibri"/>
          <w:szCs w:val="24"/>
        </w:rPr>
      </w:pPr>
      <w:r w:rsidRPr="00F46CCA">
        <w:rPr>
          <w:rFonts w:eastAsia="Calibri"/>
          <w:szCs w:val="24"/>
        </w:rPr>
        <w:t>http://cbc.cfc.org.br/images/stories/publicacoes/resumos-trabalhos-20cbc.pdf. Acesso em: 20 mai. 2018.</w:t>
      </w:r>
    </w:p>
    <w:p w14:paraId="2DF80929" w14:textId="77777777" w:rsidR="007C1EC6" w:rsidRPr="00F46CCA" w:rsidRDefault="007C1EC6" w:rsidP="007C1EC6">
      <w:pPr>
        <w:rPr>
          <w:rFonts w:eastAsia="Calibri"/>
          <w:szCs w:val="24"/>
        </w:rPr>
      </w:pPr>
    </w:p>
    <w:p w14:paraId="1F843340" w14:textId="77777777" w:rsidR="007C1EC6" w:rsidRPr="00F46CCA" w:rsidRDefault="007C1EC6" w:rsidP="007C1EC6">
      <w:pPr>
        <w:rPr>
          <w:rFonts w:eastAsia="Calibri"/>
          <w:szCs w:val="24"/>
        </w:rPr>
      </w:pPr>
    </w:p>
    <w:p w14:paraId="2DAEF16C" w14:textId="77777777" w:rsidR="007C1EC6" w:rsidRPr="00F46CCA" w:rsidRDefault="007C1EC6" w:rsidP="007C1EC6">
      <w:pPr>
        <w:rPr>
          <w:rFonts w:eastAsia="Calibri"/>
          <w:szCs w:val="24"/>
        </w:rPr>
      </w:pPr>
    </w:p>
    <w:p w14:paraId="16FEF4B6" w14:textId="77777777" w:rsidR="00DD401D" w:rsidRPr="00F46CCA" w:rsidRDefault="00DD401D" w:rsidP="00DD401D">
      <w:pPr>
        <w:rPr>
          <w:rFonts w:eastAsia="Calibri"/>
          <w:szCs w:val="24"/>
        </w:rPr>
      </w:pPr>
    </w:p>
    <w:sectPr w:rsidR="00DD401D" w:rsidRPr="00F46CCA" w:rsidSect="00C271A6">
      <w:headerReference w:type="default" r:id="rId10"/>
      <w:footerReference w:type="default" r:id="rId11"/>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478E6" w14:textId="77777777" w:rsidR="006668E0" w:rsidRDefault="006668E0" w:rsidP="005840EF">
      <w:r>
        <w:separator/>
      </w:r>
    </w:p>
  </w:endnote>
  <w:endnote w:type="continuationSeparator" w:id="0">
    <w:p w14:paraId="7C28F6A5" w14:textId="77777777" w:rsidR="006668E0" w:rsidRDefault="006668E0"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F2A12" w14:textId="264CEDEB" w:rsidR="00586B91" w:rsidRPr="00F05FBB" w:rsidRDefault="00586B91"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6E36D8">
      <w:rPr>
        <w:noProof/>
        <w:sz w:val="20"/>
      </w:rPr>
      <w:t>1</w:t>
    </w:r>
    <w:r w:rsidRPr="00F05FBB">
      <w:rPr>
        <w:sz w:val="20"/>
      </w:rPr>
      <w:fldChar w:fldCharType="end"/>
    </w:r>
  </w:p>
  <w:p w14:paraId="3C4DB6B4" w14:textId="77777777" w:rsidR="00586B91" w:rsidRPr="00862FD2" w:rsidRDefault="00586B91" w:rsidP="004E0B39">
    <w:pPr>
      <w:pStyle w:val="Rodap"/>
      <w:ind w:firstLine="0"/>
      <w:jc w:val="center"/>
    </w:pPr>
    <w:r>
      <w:rPr>
        <w:noProof/>
        <w:lang w:val="pt-BR" w:eastAsia="pt-BR"/>
      </w:rPr>
      <w:drawing>
        <wp:inline distT="0" distB="0" distL="0" distR="0" wp14:anchorId="5DA6AA5E" wp14:editId="5DE2CEE9">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38C6E" w14:textId="77777777" w:rsidR="006668E0" w:rsidRDefault="006668E0" w:rsidP="005840EF">
      <w:r>
        <w:separator/>
      </w:r>
    </w:p>
  </w:footnote>
  <w:footnote w:type="continuationSeparator" w:id="0">
    <w:p w14:paraId="1FC95820" w14:textId="77777777" w:rsidR="006668E0" w:rsidRDefault="006668E0"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2DFD0" w14:textId="77777777" w:rsidR="00586B91" w:rsidRPr="004E0B39" w:rsidRDefault="00586B91" w:rsidP="004E0B39">
    <w:pPr>
      <w:pStyle w:val="Cabealho"/>
      <w:ind w:firstLine="0"/>
      <w:jc w:val="center"/>
    </w:pPr>
    <w:r>
      <w:rPr>
        <w:noProof/>
      </w:rPr>
      <w:drawing>
        <wp:inline distT="0" distB="0" distL="0" distR="0" wp14:anchorId="60AE0B6B" wp14:editId="0FF8FA4A">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22AC"/>
    <w:multiLevelType w:val="hybridMultilevel"/>
    <w:tmpl w:val="F7A88DB6"/>
    <w:lvl w:ilvl="0" w:tplc="0416000F">
      <w:start w:val="1"/>
      <w:numFmt w:val="decimal"/>
      <w:lvlText w:val="%1."/>
      <w:lvlJc w:val="left"/>
      <w:pPr>
        <w:ind w:left="1211" w:hanging="360"/>
      </w:p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nsid w:val="030F1430"/>
    <w:multiLevelType w:val="hybridMultilevel"/>
    <w:tmpl w:val="5498CF2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0DEA07ED"/>
    <w:multiLevelType w:val="multilevel"/>
    <w:tmpl w:val="623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547196"/>
    <w:multiLevelType w:val="hybridMultilevel"/>
    <w:tmpl w:val="D8F61824"/>
    <w:lvl w:ilvl="0" w:tplc="04160011">
      <w:start w:val="1"/>
      <w:numFmt w:val="decimal"/>
      <w:lvlText w:val="%1)"/>
      <w:lvlJc w:val="left"/>
      <w:pPr>
        <w:ind w:left="6598" w:hanging="360"/>
      </w:pPr>
      <w:rPr>
        <w:rFonts w:hint="default"/>
        <w:b w:val="0"/>
      </w:rPr>
    </w:lvl>
    <w:lvl w:ilvl="1" w:tplc="04160019" w:tentative="1">
      <w:start w:val="1"/>
      <w:numFmt w:val="lowerLetter"/>
      <w:lvlText w:val="%2."/>
      <w:lvlJc w:val="left"/>
      <w:pPr>
        <w:ind w:left="7318" w:hanging="360"/>
      </w:pPr>
    </w:lvl>
    <w:lvl w:ilvl="2" w:tplc="0416001B" w:tentative="1">
      <w:start w:val="1"/>
      <w:numFmt w:val="lowerRoman"/>
      <w:lvlText w:val="%3."/>
      <w:lvlJc w:val="right"/>
      <w:pPr>
        <w:ind w:left="8038" w:hanging="180"/>
      </w:pPr>
    </w:lvl>
    <w:lvl w:ilvl="3" w:tplc="0416000F" w:tentative="1">
      <w:start w:val="1"/>
      <w:numFmt w:val="decimal"/>
      <w:lvlText w:val="%4."/>
      <w:lvlJc w:val="left"/>
      <w:pPr>
        <w:ind w:left="8758" w:hanging="360"/>
      </w:pPr>
    </w:lvl>
    <w:lvl w:ilvl="4" w:tplc="04160019" w:tentative="1">
      <w:start w:val="1"/>
      <w:numFmt w:val="lowerLetter"/>
      <w:lvlText w:val="%5."/>
      <w:lvlJc w:val="left"/>
      <w:pPr>
        <w:ind w:left="9478" w:hanging="360"/>
      </w:pPr>
    </w:lvl>
    <w:lvl w:ilvl="5" w:tplc="0416001B" w:tentative="1">
      <w:start w:val="1"/>
      <w:numFmt w:val="lowerRoman"/>
      <w:lvlText w:val="%6."/>
      <w:lvlJc w:val="right"/>
      <w:pPr>
        <w:ind w:left="10198" w:hanging="180"/>
      </w:pPr>
    </w:lvl>
    <w:lvl w:ilvl="6" w:tplc="0416000F" w:tentative="1">
      <w:start w:val="1"/>
      <w:numFmt w:val="decimal"/>
      <w:lvlText w:val="%7."/>
      <w:lvlJc w:val="left"/>
      <w:pPr>
        <w:ind w:left="10918" w:hanging="360"/>
      </w:pPr>
    </w:lvl>
    <w:lvl w:ilvl="7" w:tplc="04160019" w:tentative="1">
      <w:start w:val="1"/>
      <w:numFmt w:val="lowerLetter"/>
      <w:lvlText w:val="%8."/>
      <w:lvlJc w:val="left"/>
      <w:pPr>
        <w:ind w:left="11638" w:hanging="360"/>
      </w:pPr>
    </w:lvl>
    <w:lvl w:ilvl="8" w:tplc="0416001B" w:tentative="1">
      <w:start w:val="1"/>
      <w:numFmt w:val="lowerRoman"/>
      <w:lvlText w:val="%9."/>
      <w:lvlJc w:val="right"/>
      <w:pPr>
        <w:ind w:left="12358" w:hanging="180"/>
      </w:pPr>
    </w:lvl>
  </w:abstractNum>
  <w:abstractNum w:abstractNumId="8">
    <w:nsid w:val="237C1644"/>
    <w:multiLevelType w:val="hybridMultilevel"/>
    <w:tmpl w:val="9D5A12E8"/>
    <w:lvl w:ilvl="0" w:tplc="04160011">
      <w:start w:val="1"/>
      <w:numFmt w:val="decimal"/>
      <w:lvlText w:val="%1)"/>
      <w:lvlJc w:val="left"/>
      <w:pPr>
        <w:ind w:left="2912" w:hanging="360"/>
      </w:pPr>
      <w:rPr>
        <w:rFonts w:hint="default"/>
      </w:rPr>
    </w:lvl>
    <w:lvl w:ilvl="1" w:tplc="04160019" w:tentative="1">
      <w:start w:val="1"/>
      <w:numFmt w:val="lowerLetter"/>
      <w:lvlText w:val="%2."/>
      <w:lvlJc w:val="left"/>
      <w:pPr>
        <w:ind w:left="3632" w:hanging="360"/>
      </w:pPr>
    </w:lvl>
    <w:lvl w:ilvl="2" w:tplc="0416001B" w:tentative="1">
      <w:start w:val="1"/>
      <w:numFmt w:val="lowerRoman"/>
      <w:lvlText w:val="%3."/>
      <w:lvlJc w:val="right"/>
      <w:pPr>
        <w:ind w:left="4352" w:hanging="180"/>
      </w:pPr>
    </w:lvl>
    <w:lvl w:ilvl="3" w:tplc="0416000F" w:tentative="1">
      <w:start w:val="1"/>
      <w:numFmt w:val="decimal"/>
      <w:lvlText w:val="%4."/>
      <w:lvlJc w:val="left"/>
      <w:pPr>
        <w:ind w:left="5072" w:hanging="360"/>
      </w:pPr>
    </w:lvl>
    <w:lvl w:ilvl="4" w:tplc="04160019" w:tentative="1">
      <w:start w:val="1"/>
      <w:numFmt w:val="lowerLetter"/>
      <w:lvlText w:val="%5."/>
      <w:lvlJc w:val="left"/>
      <w:pPr>
        <w:ind w:left="5792" w:hanging="360"/>
      </w:pPr>
    </w:lvl>
    <w:lvl w:ilvl="5" w:tplc="0416001B" w:tentative="1">
      <w:start w:val="1"/>
      <w:numFmt w:val="lowerRoman"/>
      <w:lvlText w:val="%6."/>
      <w:lvlJc w:val="right"/>
      <w:pPr>
        <w:ind w:left="6512" w:hanging="180"/>
      </w:pPr>
    </w:lvl>
    <w:lvl w:ilvl="6" w:tplc="0416000F" w:tentative="1">
      <w:start w:val="1"/>
      <w:numFmt w:val="decimal"/>
      <w:lvlText w:val="%7."/>
      <w:lvlJc w:val="left"/>
      <w:pPr>
        <w:ind w:left="7232" w:hanging="360"/>
      </w:pPr>
    </w:lvl>
    <w:lvl w:ilvl="7" w:tplc="04160019" w:tentative="1">
      <w:start w:val="1"/>
      <w:numFmt w:val="lowerLetter"/>
      <w:lvlText w:val="%8."/>
      <w:lvlJc w:val="left"/>
      <w:pPr>
        <w:ind w:left="7952" w:hanging="360"/>
      </w:pPr>
    </w:lvl>
    <w:lvl w:ilvl="8" w:tplc="0416001B" w:tentative="1">
      <w:start w:val="1"/>
      <w:numFmt w:val="lowerRoman"/>
      <w:lvlText w:val="%9."/>
      <w:lvlJc w:val="right"/>
      <w:pPr>
        <w:ind w:left="8672" w:hanging="180"/>
      </w:pPr>
    </w:lvl>
  </w:abstractNum>
  <w:abstractNum w:abstractNumId="9">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11">
    <w:nsid w:val="2FEC2ED1"/>
    <w:multiLevelType w:val="hybridMultilevel"/>
    <w:tmpl w:val="A4921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3A57935"/>
    <w:multiLevelType w:val="hybridMultilevel"/>
    <w:tmpl w:val="86CCCF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7A612C2"/>
    <w:multiLevelType w:val="hybridMultilevel"/>
    <w:tmpl w:val="34481A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41B21E31"/>
    <w:multiLevelType w:val="hybridMultilevel"/>
    <w:tmpl w:val="1F124E7A"/>
    <w:lvl w:ilvl="0" w:tplc="60E236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3CB0F64"/>
    <w:multiLevelType w:val="hybridMultilevel"/>
    <w:tmpl w:val="04FC9D34"/>
    <w:lvl w:ilvl="0" w:tplc="22C6879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5947F18"/>
    <w:multiLevelType w:val="hybridMultilevel"/>
    <w:tmpl w:val="9CF03B26"/>
    <w:lvl w:ilvl="0" w:tplc="EC7CF5F6">
      <w:start w:val="1"/>
      <w:numFmt w:val="bullet"/>
      <w:lvlText w:val=""/>
      <w:lvlJc w:val="left"/>
      <w:pPr>
        <w:ind w:left="720" w:hanging="360"/>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4B9162B"/>
    <w:multiLevelType w:val="hybridMultilevel"/>
    <w:tmpl w:val="323C8BE0"/>
    <w:lvl w:ilvl="0" w:tplc="A0A41C3A">
      <w:start w:val="1"/>
      <w:numFmt w:val="decimal"/>
      <w:lvlText w:val="%1."/>
      <w:lvlJc w:val="left"/>
      <w:pPr>
        <w:ind w:left="720" w:hanging="360"/>
      </w:pPr>
      <w:rPr>
        <w:rFonts w:hint="default"/>
        <w:color w:val="2222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0">
    <w:nsid w:val="5C5C70DF"/>
    <w:multiLevelType w:val="multilevel"/>
    <w:tmpl w:val="D6CC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E613FE"/>
    <w:multiLevelType w:val="hybridMultilevel"/>
    <w:tmpl w:val="B45A93A0"/>
    <w:lvl w:ilvl="0" w:tplc="06AA0D12">
      <w:start w:val="1"/>
      <w:numFmt w:val="bullet"/>
      <w:lvlText w:val=""/>
      <w:lvlJc w:val="left"/>
      <w:pPr>
        <w:ind w:left="720" w:hanging="360"/>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14"/>
  </w:num>
  <w:num w:numId="4">
    <w:abstractNumId w:val="24"/>
  </w:num>
  <w:num w:numId="5">
    <w:abstractNumId w:val="9"/>
  </w:num>
  <w:num w:numId="6">
    <w:abstractNumId w:val="4"/>
  </w:num>
  <w:num w:numId="7">
    <w:abstractNumId w:val="3"/>
  </w:num>
  <w:num w:numId="8">
    <w:abstractNumId w:val="5"/>
  </w:num>
  <w:num w:numId="9">
    <w:abstractNumId w:val="5"/>
  </w:num>
  <w:num w:numId="10">
    <w:abstractNumId w:val="21"/>
  </w:num>
  <w:num w:numId="11">
    <w:abstractNumId w:val="23"/>
  </w:num>
  <w:num w:numId="12">
    <w:abstractNumId w:val="6"/>
  </w:num>
  <w:num w:numId="13">
    <w:abstractNumId w:val="18"/>
  </w:num>
  <w:num w:numId="14">
    <w:abstractNumId w:val="20"/>
  </w:num>
  <w:num w:numId="15">
    <w:abstractNumId w:val="2"/>
  </w:num>
  <w:num w:numId="16">
    <w:abstractNumId w:val="13"/>
  </w:num>
  <w:num w:numId="17">
    <w:abstractNumId w:val="7"/>
  </w:num>
  <w:num w:numId="18">
    <w:abstractNumId w:val="0"/>
  </w:num>
  <w:num w:numId="19">
    <w:abstractNumId w:val="1"/>
  </w:num>
  <w:num w:numId="20">
    <w:abstractNumId w:val="8"/>
  </w:num>
  <w:num w:numId="21">
    <w:abstractNumId w:val="22"/>
  </w:num>
  <w:num w:numId="22">
    <w:abstractNumId w:val="17"/>
  </w:num>
  <w:num w:numId="23">
    <w:abstractNumId w:val="16"/>
  </w:num>
  <w:num w:numId="24">
    <w:abstractNumId w:val="15"/>
  </w:num>
  <w:num w:numId="25">
    <w:abstractNumId w:val="1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03D7E"/>
    <w:rsid w:val="000103E0"/>
    <w:rsid w:val="00020671"/>
    <w:rsid w:val="00021054"/>
    <w:rsid w:val="00040ADC"/>
    <w:rsid w:val="00057C64"/>
    <w:rsid w:val="0006261D"/>
    <w:rsid w:val="00066FBC"/>
    <w:rsid w:val="000720BF"/>
    <w:rsid w:val="000A54E5"/>
    <w:rsid w:val="000C0990"/>
    <w:rsid w:val="000C76F0"/>
    <w:rsid w:val="000D33B3"/>
    <w:rsid w:val="000D7722"/>
    <w:rsid w:val="000F0530"/>
    <w:rsid w:val="00105FE8"/>
    <w:rsid w:val="00111FDC"/>
    <w:rsid w:val="001159C9"/>
    <w:rsid w:val="00117572"/>
    <w:rsid w:val="00117841"/>
    <w:rsid w:val="001337C3"/>
    <w:rsid w:val="001457BE"/>
    <w:rsid w:val="00160E08"/>
    <w:rsid w:val="001804D2"/>
    <w:rsid w:val="001B4800"/>
    <w:rsid w:val="001D7599"/>
    <w:rsid w:val="001E2E6C"/>
    <w:rsid w:val="00202F0C"/>
    <w:rsid w:val="0020354A"/>
    <w:rsid w:val="002056D7"/>
    <w:rsid w:val="002136AE"/>
    <w:rsid w:val="00244401"/>
    <w:rsid w:val="00244C0A"/>
    <w:rsid w:val="0025238C"/>
    <w:rsid w:val="00255FA6"/>
    <w:rsid w:val="002566DC"/>
    <w:rsid w:val="00263CEF"/>
    <w:rsid w:val="0026573F"/>
    <w:rsid w:val="002826C0"/>
    <w:rsid w:val="00285BA4"/>
    <w:rsid w:val="002B78FC"/>
    <w:rsid w:val="002C7235"/>
    <w:rsid w:val="002D10C8"/>
    <w:rsid w:val="002D750D"/>
    <w:rsid w:val="002E10A3"/>
    <w:rsid w:val="002F743C"/>
    <w:rsid w:val="00303C6F"/>
    <w:rsid w:val="00312EA2"/>
    <w:rsid w:val="00313EED"/>
    <w:rsid w:val="0032494D"/>
    <w:rsid w:val="003666DE"/>
    <w:rsid w:val="00371DFF"/>
    <w:rsid w:val="003923C3"/>
    <w:rsid w:val="00395244"/>
    <w:rsid w:val="00395C32"/>
    <w:rsid w:val="00396BFA"/>
    <w:rsid w:val="003A352C"/>
    <w:rsid w:val="003A3639"/>
    <w:rsid w:val="003B3CBD"/>
    <w:rsid w:val="003D17F9"/>
    <w:rsid w:val="003F7552"/>
    <w:rsid w:val="00402422"/>
    <w:rsid w:val="0040391C"/>
    <w:rsid w:val="004069B9"/>
    <w:rsid w:val="00406C08"/>
    <w:rsid w:val="00423365"/>
    <w:rsid w:val="004251EF"/>
    <w:rsid w:val="00454D40"/>
    <w:rsid w:val="00466EFC"/>
    <w:rsid w:val="00472EE1"/>
    <w:rsid w:val="0048579A"/>
    <w:rsid w:val="00487B79"/>
    <w:rsid w:val="0049262F"/>
    <w:rsid w:val="0049492D"/>
    <w:rsid w:val="004A77F8"/>
    <w:rsid w:val="004C08D4"/>
    <w:rsid w:val="004D65A5"/>
    <w:rsid w:val="004E0B39"/>
    <w:rsid w:val="005219A3"/>
    <w:rsid w:val="00521DCA"/>
    <w:rsid w:val="00523BAB"/>
    <w:rsid w:val="00531A76"/>
    <w:rsid w:val="005403B7"/>
    <w:rsid w:val="0055088A"/>
    <w:rsid w:val="00555130"/>
    <w:rsid w:val="005630EB"/>
    <w:rsid w:val="00565333"/>
    <w:rsid w:val="00575C6B"/>
    <w:rsid w:val="005840EF"/>
    <w:rsid w:val="00586060"/>
    <w:rsid w:val="00586B91"/>
    <w:rsid w:val="005A6B4D"/>
    <w:rsid w:val="005C1CB7"/>
    <w:rsid w:val="005D0785"/>
    <w:rsid w:val="005D711E"/>
    <w:rsid w:val="005F05E5"/>
    <w:rsid w:val="006046CF"/>
    <w:rsid w:val="00606F36"/>
    <w:rsid w:val="00625B15"/>
    <w:rsid w:val="0063432D"/>
    <w:rsid w:val="00641433"/>
    <w:rsid w:val="00647749"/>
    <w:rsid w:val="00654648"/>
    <w:rsid w:val="006668E0"/>
    <w:rsid w:val="006750E6"/>
    <w:rsid w:val="00683BE5"/>
    <w:rsid w:val="00692BFD"/>
    <w:rsid w:val="006A0CB8"/>
    <w:rsid w:val="006C284A"/>
    <w:rsid w:val="006D02CA"/>
    <w:rsid w:val="006D340F"/>
    <w:rsid w:val="006E36D8"/>
    <w:rsid w:val="006E4134"/>
    <w:rsid w:val="006E6CAF"/>
    <w:rsid w:val="007005E1"/>
    <w:rsid w:val="00700F46"/>
    <w:rsid w:val="00702CBC"/>
    <w:rsid w:val="00704640"/>
    <w:rsid w:val="0071084E"/>
    <w:rsid w:val="00710D8D"/>
    <w:rsid w:val="00714245"/>
    <w:rsid w:val="00722EEC"/>
    <w:rsid w:val="00723FAC"/>
    <w:rsid w:val="00735B23"/>
    <w:rsid w:val="00753545"/>
    <w:rsid w:val="007610C6"/>
    <w:rsid w:val="007627DC"/>
    <w:rsid w:val="007A18FD"/>
    <w:rsid w:val="007A6C4A"/>
    <w:rsid w:val="007B02F0"/>
    <w:rsid w:val="007B08CA"/>
    <w:rsid w:val="007B3C1F"/>
    <w:rsid w:val="007C01E9"/>
    <w:rsid w:val="007C0C2C"/>
    <w:rsid w:val="007C1EC6"/>
    <w:rsid w:val="007C227A"/>
    <w:rsid w:val="007D08EA"/>
    <w:rsid w:val="007F1447"/>
    <w:rsid w:val="0083015B"/>
    <w:rsid w:val="008315B4"/>
    <w:rsid w:val="0083733A"/>
    <w:rsid w:val="008514F5"/>
    <w:rsid w:val="00851F95"/>
    <w:rsid w:val="008570B0"/>
    <w:rsid w:val="00862FD2"/>
    <w:rsid w:val="00865A23"/>
    <w:rsid w:val="00866591"/>
    <w:rsid w:val="00875A37"/>
    <w:rsid w:val="00876CA2"/>
    <w:rsid w:val="008902BE"/>
    <w:rsid w:val="008A1488"/>
    <w:rsid w:val="008A4DE3"/>
    <w:rsid w:val="008B21BE"/>
    <w:rsid w:val="008D1328"/>
    <w:rsid w:val="008D652B"/>
    <w:rsid w:val="008F1B7C"/>
    <w:rsid w:val="008F1D4E"/>
    <w:rsid w:val="008F67F7"/>
    <w:rsid w:val="008F7936"/>
    <w:rsid w:val="009059A8"/>
    <w:rsid w:val="00911745"/>
    <w:rsid w:val="00913A36"/>
    <w:rsid w:val="0092413C"/>
    <w:rsid w:val="009326BD"/>
    <w:rsid w:val="00943459"/>
    <w:rsid w:val="009478A6"/>
    <w:rsid w:val="00952306"/>
    <w:rsid w:val="009724D8"/>
    <w:rsid w:val="009976D2"/>
    <w:rsid w:val="009B11E7"/>
    <w:rsid w:val="009B3488"/>
    <w:rsid w:val="009C7DFA"/>
    <w:rsid w:val="009D2440"/>
    <w:rsid w:val="009D68AF"/>
    <w:rsid w:val="009F495D"/>
    <w:rsid w:val="009F703B"/>
    <w:rsid w:val="00A01395"/>
    <w:rsid w:val="00A1428D"/>
    <w:rsid w:val="00A16D53"/>
    <w:rsid w:val="00A21CAC"/>
    <w:rsid w:val="00A23A52"/>
    <w:rsid w:val="00A32C8C"/>
    <w:rsid w:val="00A34A22"/>
    <w:rsid w:val="00A40EAA"/>
    <w:rsid w:val="00A511FD"/>
    <w:rsid w:val="00A62E99"/>
    <w:rsid w:val="00A7169E"/>
    <w:rsid w:val="00A735CB"/>
    <w:rsid w:val="00A80641"/>
    <w:rsid w:val="00A86728"/>
    <w:rsid w:val="00AB5527"/>
    <w:rsid w:val="00AC61AF"/>
    <w:rsid w:val="00AC64CA"/>
    <w:rsid w:val="00AC7E25"/>
    <w:rsid w:val="00AD6D22"/>
    <w:rsid w:val="00AD6E81"/>
    <w:rsid w:val="00AE00CA"/>
    <w:rsid w:val="00B12485"/>
    <w:rsid w:val="00B132F8"/>
    <w:rsid w:val="00B169EE"/>
    <w:rsid w:val="00B25FFE"/>
    <w:rsid w:val="00B801AB"/>
    <w:rsid w:val="00B91B7B"/>
    <w:rsid w:val="00B91BCC"/>
    <w:rsid w:val="00BB4CFF"/>
    <w:rsid w:val="00BC4277"/>
    <w:rsid w:val="00BC718C"/>
    <w:rsid w:val="00BE4757"/>
    <w:rsid w:val="00BE7BEF"/>
    <w:rsid w:val="00BF382D"/>
    <w:rsid w:val="00C01F1F"/>
    <w:rsid w:val="00C21E55"/>
    <w:rsid w:val="00C22A7A"/>
    <w:rsid w:val="00C271A6"/>
    <w:rsid w:val="00C419E4"/>
    <w:rsid w:val="00C47764"/>
    <w:rsid w:val="00C52698"/>
    <w:rsid w:val="00C671EC"/>
    <w:rsid w:val="00C8104A"/>
    <w:rsid w:val="00C84F71"/>
    <w:rsid w:val="00C90ED1"/>
    <w:rsid w:val="00C939E0"/>
    <w:rsid w:val="00CA4F79"/>
    <w:rsid w:val="00CB74E5"/>
    <w:rsid w:val="00CF0D35"/>
    <w:rsid w:val="00CF2F93"/>
    <w:rsid w:val="00CF7331"/>
    <w:rsid w:val="00D14782"/>
    <w:rsid w:val="00D15244"/>
    <w:rsid w:val="00D2342D"/>
    <w:rsid w:val="00D30A19"/>
    <w:rsid w:val="00D36538"/>
    <w:rsid w:val="00D445A3"/>
    <w:rsid w:val="00D50B4A"/>
    <w:rsid w:val="00D54238"/>
    <w:rsid w:val="00D76FB8"/>
    <w:rsid w:val="00D86B5F"/>
    <w:rsid w:val="00D94E67"/>
    <w:rsid w:val="00DA5E5B"/>
    <w:rsid w:val="00DB48BE"/>
    <w:rsid w:val="00DB73A1"/>
    <w:rsid w:val="00DC25C3"/>
    <w:rsid w:val="00DD401D"/>
    <w:rsid w:val="00DD4A49"/>
    <w:rsid w:val="00DE1E14"/>
    <w:rsid w:val="00DE631D"/>
    <w:rsid w:val="00DE75F7"/>
    <w:rsid w:val="00DF0E7A"/>
    <w:rsid w:val="00DF7957"/>
    <w:rsid w:val="00E10435"/>
    <w:rsid w:val="00E1256F"/>
    <w:rsid w:val="00E1786F"/>
    <w:rsid w:val="00E24E18"/>
    <w:rsid w:val="00E262AD"/>
    <w:rsid w:val="00E35362"/>
    <w:rsid w:val="00E4770B"/>
    <w:rsid w:val="00E5605D"/>
    <w:rsid w:val="00E70312"/>
    <w:rsid w:val="00E878C7"/>
    <w:rsid w:val="00E94A5E"/>
    <w:rsid w:val="00E95907"/>
    <w:rsid w:val="00EC1F5E"/>
    <w:rsid w:val="00EC6EDB"/>
    <w:rsid w:val="00ED6578"/>
    <w:rsid w:val="00EE084E"/>
    <w:rsid w:val="00EF213A"/>
    <w:rsid w:val="00F05FBB"/>
    <w:rsid w:val="00F1039B"/>
    <w:rsid w:val="00F452D7"/>
    <w:rsid w:val="00F46CCA"/>
    <w:rsid w:val="00F50A07"/>
    <w:rsid w:val="00F70D09"/>
    <w:rsid w:val="00F95830"/>
    <w:rsid w:val="00FC0481"/>
    <w:rsid w:val="00FC1C75"/>
    <w:rsid w:val="00FD7832"/>
    <w:rsid w:val="00FF1BF9"/>
    <w:rsid w:val="00FF2C80"/>
    <w:rsid w:val="00FF63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D28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3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DD401D"/>
    <w:pPr>
      <w:widowControl/>
      <w:suppressLineNumbers w:val="0"/>
      <w:suppressAutoHyphens w:val="0"/>
      <w:spacing w:after="160" w:line="259" w:lineRule="auto"/>
      <w:ind w:left="720" w:firstLine="0"/>
      <w:contextualSpacing/>
      <w:jc w:val="left"/>
    </w:pPr>
    <w:rPr>
      <w:rFonts w:asciiTheme="minorHAnsi" w:eastAsiaTheme="minorHAnsi" w:hAnsiTheme="minorHAnsi" w:cstheme="minorBidi"/>
      <w:sz w:val="22"/>
      <w:szCs w:val="22"/>
      <w:lang w:eastAsia="en-US"/>
    </w:rPr>
  </w:style>
  <w:style w:type="paragraph" w:styleId="Corpodetexto">
    <w:name w:val="Body Text"/>
    <w:basedOn w:val="Normal"/>
    <w:link w:val="CorpodetextoChar"/>
    <w:uiPriority w:val="99"/>
    <w:rsid w:val="00DD401D"/>
    <w:pPr>
      <w:suppressLineNumbers w:val="0"/>
      <w:suppressAutoHyphens w:val="0"/>
    </w:pPr>
    <w:rPr>
      <w:szCs w:val="24"/>
    </w:rPr>
  </w:style>
  <w:style w:type="character" w:customStyle="1" w:styleId="CorpodetextoChar">
    <w:name w:val="Corpo de texto Char"/>
    <w:basedOn w:val="Fontepargpadro"/>
    <w:link w:val="Corpodetexto"/>
    <w:uiPriority w:val="99"/>
    <w:rsid w:val="00DD401D"/>
    <w:rPr>
      <w:sz w:val="24"/>
      <w:szCs w:val="24"/>
    </w:rPr>
  </w:style>
  <w:style w:type="character" w:customStyle="1" w:styleId="fontstyle01">
    <w:name w:val="fontstyle01"/>
    <w:basedOn w:val="Fontepargpadro"/>
    <w:rsid w:val="00DD401D"/>
    <w:rPr>
      <w:rFonts w:ascii="Times New Roman" w:hAnsi="Times New Roman" w:cs="Times New Roman" w:hint="default"/>
      <w:b/>
      <w:bCs/>
      <w:i w:val="0"/>
      <w:iCs w:val="0"/>
      <w:color w:val="000000"/>
      <w:sz w:val="28"/>
      <w:szCs w:val="28"/>
    </w:rPr>
  </w:style>
  <w:style w:type="character" w:customStyle="1" w:styleId="fontstyle21">
    <w:name w:val="fontstyle21"/>
    <w:basedOn w:val="Fontepargpadro"/>
    <w:rsid w:val="00DD401D"/>
    <w:rPr>
      <w:rFonts w:ascii="Wingdings" w:hAnsi="Wingdings" w:hint="default"/>
      <w:b w:val="0"/>
      <w:bCs w:val="0"/>
      <w:i w:val="0"/>
      <w:iCs w:val="0"/>
      <w:color w:val="808080"/>
      <w:sz w:val="28"/>
      <w:szCs w:val="28"/>
    </w:rPr>
  </w:style>
  <w:style w:type="character" w:customStyle="1" w:styleId="fontstyle31">
    <w:name w:val="fontstyle31"/>
    <w:basedOn w:val="Fontepargpadro"/>
    <w:rsid w:val="00DD401D"/>
    <w:rPr>
      <w:rFonts w:ascii="Times New Roman" w:hAnsi="Times New Roman" w:cs="Times New Roman" w:hint="default"/>
      <w:b w:val="0"/>
      <w:bCs w:val="0"/>
      <w:i w:val="0"/>
      <w:iCs w:val="0"/>
      <w:color w:val="000000"/>
      <w:sz w:val="28"/>
      <w:szCs w:val="28"/>
    </w:rPr>
  </w:style>
  <w:style w:type="character" w:customStyle="1" w:styleId="fontstyle41">
    <w:name w:val="fontstyle41"/>
    <w:basedOn w:val="Fontepargpadro"/>
    <w:rsid w:val="00DD401D"/>
    <w:rPr>
      <w:rFonts w:ascii="Calibri" w:hAnsi="Calibri" w:cs="Calibri" w:hint="default"/>
      <w:b w:val="0"/>
      <w:bCs w:val="0"/>
      <w:i w:val="0"/>
      <w:iCs w:val="0"/>
      <w:color w:val="000000"/>
      <w:sz w:val="22"/>
      <w:szCs w:val="22"/>
    </w:rPr>
  </w:style>
  <w:style w:type="table" w:customStyle="1" w:styleId="Tabelacomgrade2">
    <w:name w:val="Tabela com grade2"/>
    <w:basedOn w:val="Tabelanormal"/>
    <w:next w:val="Tabelacomgrade"/>
    <w:uiPriority w:val="39"/>
    <w:rsid w:val="00DF0E7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39"/>
    <w:rsid w:val="0091174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3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DD401D"/>
    <w:pPr>
      <w:widowControl/>
      <w:suppressLineNumbers w:val="0"/>
      <w:suppressAutoHyphens w:val="0"/>
      <w:spacing w:after="160" w:line="259" w:lineRule="auto"/>
      <w:ind w:left="720" w:firstLine="0"/>
      <w:contextualSpacing/>
      <w:jc w:val="left"/>
    </w:pPr>
    <w:rPr>
      <w:rFonts w:asciiTheme="minorHAnsi" w:eastAsiaTheme="minorHAnsi" w:hAnsiTheme="minorHAnsi" w:cstheme="minorBidi"/>
      <w:sz w:val="22"/>
      <w:szCs w:val="22"/>
      <w:lang w:eastAsia="en-US"/>
    </w:rPr>
  </w:style>
  <w:style w:type="paragraph" w:styleId="Corpodetexto">
    <w:name w:val="Body Text"/>
    <w:basedOn w:val="Normal"/>
    <w:link w:val="CorpodetextoChar"/>
    <w:uiPriority w:val="99"/>
    <w:rsid w:val="00DD401D"/>
    <w:pPr>
      <w:suppressLineNumbers w:val="0"/>
      <w:suppressAutoHyphens w:val="0"/>
    </w:pPr>
    <w:rPr>
      <w:szCs w:val="24"/>
    </w:rPr>
  </w:style>
  <w:style w:type="character" w:customStyle="1" w:styleId="CorpodetextoChar">
    <w:name w:val="Corpo de texto Char"/>
    <w:basedOn w:val="Fontepargpadro"/>
    <w:link w:val="Corpodetexto"/>
    <w:uiPriority w:val="99"/>
    <w:rsid w:val="00DD401D"/>
    <w:rPr>
      <w:sz w:val="24"/>
      <w:szCs w:val="24"/>
    </w:rPr>
  </w:style>
  <w:style w:type="character" w:customStyle="1" w:styleId="fontstyle01">
    <w:name w:val="fontstyle01"/>
    <w:basedOn w:val="Fontepargpadro"/>
    <w:rsid w:val="00DD401D"/>
    <w:rPr>
      <w:rFonts w:ascii="Times New Roman" w:hAnsi="Times New Roman" w:cs="Times New Roman" w:hint="default"/>
      <w:b/>
      <w:bCs/>
      <w:i w:val="0"/>
      <w:iCs w:val="0"/>
      <w:color w:val="000000"/>
      <w:sz w:val="28"/>
      <w:szCs w:val="28"/>
    </w:rPr>
  </w:style>
  <w:style w:type="character" w:customStyle="1" w:styleId="fontstyle21">
    <w:name w:val="fontstyle21"/>
    <w:basedOn w:val="Fontepargpadro"/>
    <w:rsid w:val="00DD401D"/>
    <w:rPr>
      <w:rFonts w:ascii="Wingdings" w:hAnsi="Wingdings" w:hint="default"/>
      <w:b w:val="0"/>
      <w:bCs w:val="0"/>
      <w:i w:val="0"/>
      <w:iCs w:val="0"/>
      <w:color w:val="808080"/>
      <w:sz w:val="28"/>
      <w:szCs w:val="28"/>
    </w:rPr>
  </w:style>
  <w:style w:type="character" w:customStyle="1" w:styleId="fontstyle31">
    <w:name w:val="fontstyle31"/>
    <w:basedOn w:val="Fontepargpadro"/>
    <w:rsid w:val="00DD401D"/>
    <w:rPr>
      <w:rFonts w:ascii="Times New Roman" w:hAnsi="Times New Roman" w:cs="Times New Roman" w:hint="default"/>
      <w:b w:val="0"/>
      <w:bCs w:val="0"/>
      <w:i w:val="0"/>
      <w:iCs w:val="0"/>
      <w:color w:val="000000"/>
      <w:sz w:val="28"/>
      <w:szCs w:val="28"/>
    </w:rPr>
  </w:style>
  <w:style w:type="character" w:customStyle="1" w:styleId="fontstyle41">
    <w:name w:val="fontstyle41"/>
    <w:basedOn w:val="Fontepargpadro"/>
    <w:rsid w:val="00DD401D"/>
    <w:rPr>
      <w:rFonts w:ascii="Calibri" w:hAnsi="Calibri" w:cs="Calibri" w:hint="default"/>
      <w:b w:val="0"/>
      <w:bCs w:val="0"/>
      <w:i w:val="0"/>
      <w:iCs w:val="0"/>
      <w:color w:val="000000"/>
      <w:sz w:val="22"/>
      <w:szCs w:val="22"/>
    </w:rPr>
  </w:style>
  <w:style w:type="table" w:customStyle="1" w:styleId="Tabelacomgrade2">
    <w:name w:val="Tabela com grade2"/>
    <w:basedOn w:val="Tabelanormal"/>
    <w:next w:val="Tabelacomgrade"/>
    <w:uiPriority w:val="39"/>
    <w:rsid w:val="00DF0E7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39"/>
    <w:rsid w:val="0091174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367995365">
      <w:bodyDiv w:val="1"/>
      <w:marLeft w:val="0"/>
      <w:marRight w:val="0"/>
      <w:marTop w:val="0"/>
      <w:marBottom w:val="0"/>
      <w:divBdr>
        <w:top w:val="none" w:sz="0" w:space="0" w:color="auto"/>
        <w:left w:val="none" w:sz="0" w:space="0" w:color="auto"/>
        <w:bottom w:val="none" w:sz="0" w:space="0" w:color="auto"/>
        <w:right w:val="none" w:sz="0" w:space="0" w:color="auto"/>
      </w:divBdr>
    </w:div>
    <w:div w:id="656614007">
      <w:bodyDiv w:val="1"/>
      <w:marLeft w:val="0"/>
      <w:marRight w:val="0"/>
      <w:marTop w:val="0"/>
      <w:marBottom w:val="0"/>
      <w:divBdr>
        <w:top w:val="none" w:sz="0" w:space="0" w:color="auto"/>
        <w:left w:val="none" w:sz="0" w:space="0" w:color="auto"/>
        <w:bottom w:val="none" w:sz="0" w:space="0" w:color="auto"/>
        <w:right w:val="none" w:sz="0" w:space="0" w:color="auto"/>
      </w:divBdr>
    </w:div>
    <w:div w:id="826437634">
      <w:bodyDiv w:val="1"/>
      <w:marLeft w:val="0"/>
      <w:marRight w:val="0"/>
      <w:marTop w:val="0"/>
      <w:marBottom w:val="0"/>
      <w:divBdr>
        <w:top w:val="none" w:sz="0" w:space="0" w:color="auto"/>
        <w:left w:val="none" w:sz="0" w:space="0" w:color="auto"/>
        <w:bottom w:val="none" w:sz="0" w:space="0" w:color="auto"/>
        <w:right w:val="none" w:sz="0" w:space="0" w:color="auto"/>
      </w:divBdr>
    </w:div>
    <w:div w:id="1183517681">
      <w:bodyDiv w:val="1"/>
      <w:marLeft w:val="0"/>
      <w:marRight w:val="0"/>
      <w:marTop w:val="0"/>
      <w:marBottom w:val="0"/>
      <w:divBdr>
        <w:top w:val="none" w:sz="0" w:space="0" w:color="auto"/>
        <w:left w:val="none" w:sz="0" w:space="0" w:color="auto"/>
        <w:bottom w:val="none" w:sz="0" w:space="0" w:color="auto"/>
        <w:right w:val="none" w:sz="0" w:space="0" w:color="auto"/>
      </w:divBdr>
    </w:div>
    <w:div w:id="1222058260">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 w:id="191033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rofa.tany@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6A552-2913-4014-B544-2B8047B0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7883</Words>
  <Characters>42573</Characters>
  <Application>Microsoft Office Word</Application>
  <DocSecurity>0</DocSecurity>
  <Lines>354</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50356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DSC</cp:lastModifiedBy>
  <cp:revision>9</cp:revision>
  <cp:lastPrinted>2016-08-30T16:57:00Z</cp:lastPrinted>
  <dcterms:created xsi:type="dcterms:W3CDTF">2019-07-10T19:11:00Z</dcterms:created>
  <dcterms:modified xsi:type="dcterms:W3CDTF">2019-07-10T19:22:00Z</dcterms:modified>
</cp:coreProperties>
</file>