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65341" w14:textId="5498C223" w:rsidR="0034308B" w:rsidRDefault="00BE69CC" w:rsidP="00BE69CC">
      <w:pPr>
        <w:ind w:firstLine="0"/>
        <w:jc w:val="center"/>
        <w:rPr>
          <w:b/>
          <w:bCs/>
        </w:rPr>
      </w:pPr>
      <w:r w:rsidRPr="00230018">
        <w:rPr>
          <w:b/>
          <w:bCs/>
        </w:rPr>
        <w:t>Simples nacional: Um estudo sobre os impactos da nova metodologia de apuração determinada pela lei complementar Nº 155/2016.</w:t>
      </w:r>
    </w:p>
    <w:p w14:paraId="035CA3F1" w14:textId="140A12E5" w:rsidR="00230018" w:rsidRDefault="00230018" w:rsidP="00BE69CC">
      <w:pPr>
        <w:ind w:firstLine="0"/>
        <w:jc w:val="center"/>
        <w:rPr>
          <w:b/>
          <w:bCs/>
        </w:rPr>
      </w:pPr>
    </w:p>
    <w:p w14:paraId="1B8CB544" w14:textId="77777777" w:rsidR="00D8569A" w:rsidRPr="00230018" w:rsidRDefault="00D8569A" w:rsidP="0011147D">
      <w:pPr>
        <w:ind w:firstLine="0"/>
        <w:rPr>
          <w:b/>
          <w:bCs/>
        </w:rPr>
      </w:pPr>
    </w:p>
    <w:p w14:paraId="68FA2527" w14:textId="77777777" w:rsidR="00A3126B" w:rsidRPr="00F31C6D" w:rsidRDefault="00A3126B" w:rsidP="00155904"/>
    <w:p w14:paraId="5F704193" w14:textId="19154A59" w:rsidR="00A3126B" w:rsidRDefault="00A3126B" w:rsidP="00A46850">
      <w:pPr>
        <w:ind w:firstLine="0"/>
        <w:rPr>
          <w:b/>
          <w:bCs/>
        </w:rPr>
      </w:pPr>
      <w:r w:rsidRPr="00FA1054">
        <w:rPr>
          <w:b/>
          <w:bCs/>
        </w:rPr>
        <w:t>Resumo</w:t>
      </w:r>
    </w:p>
    <w:p w14:paraId="67EB2237" w14:textId="7E5859AA" w:rsidR="00BE69CC" w:rsidRDefault="00907D0B" w:rsidP="00BE69CC">
      <w:pPr>
        <w:ind w:firstLine="0"/>
      </w:pPr>
      <w:r w:rsidRPr="00623FA4">
        <w:t>A pesquisa teve por objetivo,</w:t>
      </w:r>
      <w:r w:rsidR="003927D1" w:rsidRPr="00623FA4">
        <w:t xml:space="preserve"> analisar se a apuração do Simples Nacional para uma empresa do segmento comercial na nova metodologia de cálculo (LC 155/2016) em relação a metodologia anterior (LC 123/2006) é mais onerosa do que para as empresas do segmento industrial. Para tanto, a pesquisa classificação como descritiva, qualitativa e documental. Operacionalizada por meio de estudo caso. Os resultados </w:t>
      </w:r>
      <w:r w:rsidR="00623FA4">
        <w:t xml:space="preserve">apontam que, para as empresas do ramo comercial, ao comparar as diferentes metodológicas de cálculo, observou-se pouca diferença no valor a recolher dos simples nacional representando 0,33% de diferença positiva entre Lei complementar 123/2006 e Lei complementar 155/2016. No entanto, em relação a empresa do segmento industrial constatou-se que houve uma diferença significativa entre a LC 123/2006 e a LC 155/2016, visto que representou 4,66% de crescimento do tributo a recolher. A partir disto pode-se inferir que para as empresas industriais a nova metodologia impacta negativamente, ou seja não se observa incentivo da federação. </w:t>
      </w:r>
      <w:r w:rsidR="00007E2A">
        <w:t>Também se percebe que o método de cálculo progressivo, no regime atual, torna mais equitativa a contribuição das micro e pequenas empresas.</w:t>
      </w:r>
      <w:bookmarkStart w:id="0" w:name="_GoBack"/>
      <w:bookmarkEnd w:id="0"/>
    </w:p>
    <w:p w14:paraId="0BF6F632" w14:textId="658C08C1" w:rsidR="003927D1" w:rsidRDefault="003927D1" w:rsidP="00BE69CC">
      <w:pPr>
        <w:ind w:firstLine="0"/>
      </w:pPr>
    </w:p>
    <w:p w14:paraId="43C7167C" w14:textId="5E94DFC8" w:rsidR="00215327" w:rsidRDefault="00A3126B" w:rsidP="0025461A">
      <w:pPr>
        <w:ind w:firstLine="0"/>
      </w:pPr>
      <w:r w:rsidRPr="00F31C6D">
        <w:rPr>
          <w:b/>
          <w:bCs/>
        </w:rPr>
        <w:t>Palavras chave:</w:t>
      </w:r>
      <w:r w:rsidRPr="00F31C6D">
        <w:t xml:space="preserve"> </w:t>
      </w:r>
      <w:r w:rsidR="00EF3EC7" w:rsidRPr="00EF3EC7">
        <w:t>Simples Nacional</w:t>
      </w:r>
      <w:r w:rsidR="00EF3EC7">
        <w:t>;</w:t>
      </w:r>
      <w:r w:rsidR="00EF3EC7" w:rsidRPr="00EF3EC7">
        <w:t xml:space="preserve"> Regime Tributário</w:t>
      </w:r>
      <w:r w:rsidR="00EF3EC7">
        <w:t xml:space="preserve">; </w:t>
      </w:r>
      <w:r w:rsidR="00EF3EC7" w:rsidRPr="00EF3EC7">
        <w:t>Lei Complementar nº 155/2016</w:t>
      </w:r>
      <w:r w:rsidR="00EF3EC7">
        <w:t>;</w:t>
      </w:r>
      <w:r w:rsidR="00EF3EC7" w:rsidRPr="00EF3EC7">
        <w:t xml:space="preserve"> Tributos.</w:t>
      </w:r>
    </w:p>
    <w:p w14:paraId="60A34923" w14:textId="77777777" w:rsidR="00230018" w:rsidRPr="00F31C6D" w:rsidRDefault="00230018" w:rsidP="0025461A">
      <w:pPr>
        <w:ind w:firstLine="0"/>
      </w:pPr>
    </w:p>
    <w:p w14:paraId="280C56DF" w14:textId="786A2A23" w:rsidR="007604C9" w:rsidRDefault="007604C9" w:rsidP="00FB1E22">
      <w:pPr>
        <w:ind w:firstLine="0"/>
        <w:rPr>
          <w:b/>
          <w:bCs/>
        </w:rPr>
      </w:pPr>
      <w:r w:rsidRPr="00F31C6D">
        <w:rPr>
          <w:b/>
          <w:bCs/>
        </w:rPr>
        <w:t>1 Introdução</w:t>
      </w:r>
    </w:p>
    <w:p w14:paraId="1BDF6FD6" w14:textId="77777777" w:rsidR="00361ACE" w:rsidRDefault="00361ACE" w:rsidP="00FB1E22">
      <w:pPr>
        <w:ind w:firstLine="0"/>
        <w:rPr>
          <w:b/>
          <w:bCs/>
        </w:rPr>
      </w:pPr>
    </w:p>
    <w:p w14:paraId="21860E76" w14:textId="23D874BE" w:rsidR="00355362" w:rsidRPr="00BE69CC" w:rsidRDefault="00CD2322" w:rsidP="006A6F65">
      <w:pPr>
        <w:ind w:firstLine="694"/>
      </w:pPr>
      <w:r w:rsidRPr="00BE69CC">
        <w:t>O ambiente de negócios se torna cada vez mais competitivo visto que as organizações buscam melhorar seu desempenho e alcançar liderança de mercado (Porter, 1980). Para tanto, torna-se necessário que o ambiente de negócios seja propício para essas organizações.</w:t>
      </w:r>
      <w:r w:rsidR="006A6F65">
        <w:t xml:space="preserve"> </w:t>
      </w:r>
      <w:r w:rsidRPr="00BE69CC">
        <w:t xml:space="preserve">Destarte, </w:t>
      </w:r>
      <w:proofErr w:type="spellStart"/>
      <w:r w:rsidRPr="00BE69CC">
        <w:t>Dillard</w:t>
      </w:r>
      <w:proofErr w:type="spellEnd"/>
      <w:r w:rsidRPr="00BE69CC">
        <w:t xml:space="preserve">, </w:t>
      </w:r>
      <w:proofErr w:type="spellStart"/>
      <w:r w:rsidRPr="00BE69CC">
        <w:t>Rigsby</w:t>
      </w:r>
      <w:proofErr w:type="spellEnd"/>
      <w:r w:rsidRPr="00BE69CC">
        <w:t xml:space="preserve"> e Goodman (2004) apontam que </w:t>
      </w:r>
      <w:r w:rsidR="006A6F65" w:rsidRPr="00BE69CC">
        <w:t>o campo econômico e político exerce</w:t>
      </w:r>
      <w:r w:rsidRPr="00BE69CC">
        <w:t xml:space="preserve"> influência nas organizações</w:t>
      </w:r>
      <w:r w:rsidR="00783B8D">
        <w:t>.</w:t>
      </w:r>
      <w:r w:rsidRPr="00BE69CC">
        <w:t xml:space="preserve"> </w:t>
      </w:r>
      <w:r w:rsidR="00783B8D">
        <w:t>De</w:t>
      </w:r>
      <w:r w:rsidRPr="00BE69CC">
        <w:t xml:space="preserve"> modo geral</w:t>
      </w:r>
      <w:r w:rsidR="00783B8D">
        <w:t>, c</w:t>
      </w:r>
      <w:r w:rsidRPr="00BE69CC">
        <w:t>onsidera-se que as regulações no mercado podem interferir na competitividade da</w:t>
      </w:r>
      <w:r w:rsidR="00355362" w:rsidRPr="00BE69CC">
        <w:t>s</w:t>
      </w:r>
      <w:r w:rsidRPr="00BE69CC">
        <w:t xml:space="preserve"> </w:t>
      </w:r>
      <w:r w:rsidR="00783B8D">
        <w:t>empresas</w:t>
      </w:r>
      <w:r w:rsidR="00355362" w:rsidRPr="00BE69CC">
        <w:t xml:space="preserve">, tanto de forma positiva, quanto negativa. </w:t>
      </w:r>
    </w:p>
    <w:p w14:paraId="447006AC" w14:textId="7266FD07" w:rsidR="00CD2322" w:rsidRPr="00BE69CC" w:rsidRDefault="00355362" w:rsidP="00355362">
      <w:pPr>
        <w:ind w:firstLine="694"/>
      </w:pPr>
      <w:r w:rsidRPr="00BE69CC">
        <w:t xml:space="preserve">Entre os diferentes modelos organizacionais tem-se </w:t>
      </w:r>
      <w:r w:rsidR="00D8569A" w:rsidRPr="00BE69CC">
        <w:t>empreendimentos</w:t>
      </w:r>
      <w:r w:rsidRPr="00BE69CC">
        <w:t xml:space="preserve"> de </w:t>
      </w:r>
      <w:r w:rsidR="007E67A5" w:rsidRPr="00BE69CC">
        <w:t xml:space="preserve">micro e </w:t>
      </w:r>
      <w:r w:rsidRPr="00BE69CC">
        <w:t xml:space="preserve">pequeno porte, de acordo com </w:t>
      </w:r>
      <w:proofErr w:type="spellStart"/>
      <w:r w:rsidR="00783B8D" w:rsidRPr="00783B8D">
        <w:t>Vachani</w:t>
      </w:r>
      <w:proofErr w:type="spellEnd"/>
      <w:r w:rsidR="00783B8D" w:rsidRPr="00783B8D">
        <w:t xml:space="preserve"> </w:t>
      </w:r>
      <w:r w:rsidR="00783B8D">
        <w:t>(</w:t>
      </w:r>
      <w:r w:rsidR="00783B8D" w:rsidRPr="00783B8D">
        <w:t>2005</w:t>
      </w:r>
      <w:r w:rsidR="00783B8D">
        <w:t>)</w:t>
      </w:r>
      <w:r w:rsidRPr="00BE69CC">
        <w:t xml:space="preserve"> </w:t>
      </w:r>
      <w:r w:rsidRPr="00783B8D">
        <w:t xml:space="preserve">este tipo de organização </w:t>
      </w:r>
      <w:r w:rsidR="00783B8D" w:rsidRPr="00783B8D">
        <w:t>exerce</w:t>
      </w:r>
      <w:r w:rsidRPr="00783B8D">
        <w:t xml:space="preserve"> </w:t>
      </w:r>
      <w:r w:rsidR="00783B8D" w:rsidRPr="00783B8D">
        <w:t xml:space="preserve">influência </w:t>
      </w:r>
      <w:r w:rsidRPr="00783B8D">
        <w:t>significativ</w:t>
      </w:r>
      <w:r w:rsidR="00783B8D" w:rsidRPr="00783B8D">
        <w:t>a</w:t>
      </w:r>
      <w:r w:rsidRPr="00783B8D">
        <w:t xml:space="preserve"> na economia</w:t>
      </w:r>
      <w:r w:rsidRPr="00BE69CC">
        <w:t xml:space="preserve"> global. Dada a sua importância,</w:t>
      </w:r>
      <w:r w:rsidR="007E67A5" w:rsidRPr="00BE69CC">
        <w:t xml:space="preserve"> no contexto brasileiro</w:t>
      </w:r>
      <w:r w:rsidRPr="00BE69CC">
        <w:t xml:space="preserve"> estas empresas tem sido incentivadas</w:t>
      </w:r>
      <w:r w:rsidR="007E67A5" w:rsidRPr="00BE69CC">
        <w:t xml:space="preserve"> por meio de um determinado regimento tributário, que as possibilitem concorrer de forma equitativa no mercado. Nesta perspectiva, a fim de propiciar maior incentivo as micro e pequenas empresas, o governo implementou a Lei Complementar 123/2006 denominada Simples Nacional, que recentemente foi atualizada pela Lei Complementar 155/2016. </w:t>
      </w:r>
    </w:p>
    <w:p w14:paraId="003CB488" w14:textId="4F988226" w:rsidR="00AF2DBA" w:rsidRPr="00BE69CC" w:rsidRDefault="007E67A5" w:rsidP="00E9355E">
      <w:pPr>
        <w:ind w:firstLine="694"/>
      </w:pPr>
      <w:r w:rsidRPr="00BE69CC">
        <w:t xml:space="preserve">Neste intento, estudos anteriores buscaram averiguar se as atualizações ocorridas exerceram influência </w:t>
      </w:r>
      <w:r w:rsidR="00E9355E" w:rsidRPr="00BE69CC">
        <w:t xml:space="preserve">benéfica para os contribuintes (Pacheco &amp; Veiga, 2009; Ferrari, 2016; De Souza &amp; Petri, 2016; </w:t>
      </w:r>
      <w:proofErr w:type="spellStart"/>
      <w:r w:rsidR="00E9355E" w:rsidRPr="00BE69CC">
        <w:t>Klueger</w:t>
      </w:r>
      <w:proofErr w:type="spellEnd"/>
      <w:r w:rsidR="00E9355E" w:rsidRPr="00BE69CC">
        <w:t xml:space="preserve"> &amp; Petri, 2017).  Pacheco e Veiga (2009</w:t>
      </w:r>
      <w:r w:rsidR="00783B8D" w:rsidRPr="00BE69CC">
        <w:t>) comparam</w:t>
      </w:r>
      <w:r w:rsidR="00E9355E" w:rsidRPr="00BE69CC">
        <w:t xml:space="preserve"> a apuração dos tributos pelo Simples Nacional e lucro presumido, e percebem que a </w:t>
      </w:r>
      <w:r w:rsidR="00783B8D" w:rsidRPr="00BE69CC">
        <w:t>opção mais vantajosa</w:t>
      </w:r>
      <w:r w:rsidR="00E9355E" w:rsidRPr="00BE69CC">
        <w:t xml:space="preserve"> para o escritório de contabilidade foi o Simples Nacional. Já no estudo </w:t>
      </w:r>
      <w:r w:rsidR="00783B8D" w:rsidRPr="00BE69CC">
        <w:t>de Lima</w:t>
      </w:r>
      <w:r w:rsidR="00E9355E" w:rsidRPr="00BE69CC">
        <w:t>, Santos e Paranaíba (2019)</w:t>
      </w:r>
      <w:r w:rsidR="00AF2DBA" w:rsidRPr="00BE69CC">
        <w:t xml:space="preserve"> foram </w:t>
      </w:r>
      <w:r w:rsidR="00E9355E" w:rsidRPr="00BE69CC">
        <w:lastRenderedPageBreak/>
        <w:t>efetua</w:t>
      </w:r>
      <w:r w:rsidR="00AF2DBA" w:rsidRPr="00BE69CC">
        <w:t>das</w:t>
      </w:r>
      <w:r w:rsidR="00E9355E" w:rsidRPr="00BE69CC">
        <w:t xml:space="preserve"> simulações entre empresas que se enquadram nos anexos I a V do Simples Nacional</w:t>
      </w:r>
      <w:r w:rsidR="00AF2DBA" w:rsidRPr="00BE69CC">
        <w:t xml:space="preserve"> </w:t>
      </w:r>
      <w:r w:rsidR="00E9355E" w:rsidRPr="00BE69CC">
        <w:t>após a divulgação da Lei Complementar 155/2016</w:t>
      </w:r>
      <w:r w:rsidR="00AF2DBA" w:rsidRPr="00BE69CC">
        <w:t xml:space="preserve">, e observaram que dependendo do segmento da </w:t>
      </w:r>
      <w:r w:rsidR="00C9440F" w:rsidRPr="00BE69CC">
        <w:t>empresa e</w:t>
      </w:r>
      <w:r w:rsidR="00AF2DBA" w:rsidRPr="00BE69CC">
        <w:t xml:space="preserve"> do faturamento a nova lei pode ser mais ou menos onerosa.  </w:t>
      </w:r>
      <w:proofErr w:type="spellStart"/>
      <w:r w:rsidR="00AF2DBA" w:rsidRPr="00BE69CC">
        <w:t>Klueger</w:t>
      </w:r>
      <w:proofErr w:type="spellEnd"/>
      <w:r w:rsidR="00AF2DBA" w:rsidRPr="00BE69CC">
        <w:t xml:space="preserve"> e Petri (2017) tangenciam essa abordagem e efetuam comparação entre as formas de apuração do Simples Nacional entre a metodologia de calculo atual e anterior. </w:t>
      </w:r>
    </w:p>
    <w:p w14:paraId="7A6B2CC5" w14:textId="3ED39F27" w:rsidR="00EA0652" w:rsidRPr="00BE69CC" w:rsidRDefault="00AF2DBA" w:rsidP="002D0BCD">
      <w:pPr>
        <w:ind w:firstLine="694"/>
      </w:pPr>
      <w:r w:rsidRPr="00BE69CC">
        <w:t xml:space="preserve"> Diante dessas observações, Lima, Santos e Paranaíba (2019) </w:t>
      </w:r>
      <w:r w:rsidR="00EA0652" w:rsidRPr="00BE69CC">
        <w:t xml:space="preserve">apontam a necessidade de mais pesquisas que verifiquem de maneira aprofundada as possíveis alterações entre as </w:t>
      </w:r>
      <w:r w:rsidR="002D0BCD" w:rsidRPr="00BE69CC">
        <w:t>diferentes metodologias</w:t>
      </w:r>
      <w:r w:rsidR="00EA0652" w:rsidRPr="00BE69CC">
        <w:t xml:space="preserve"> de cálculo do Simples Nacional apresentada até o momento</w:t>
      </w:r>
      <w:r w:rsidR="00EA0652" w:rsidRPr="00407912">
        <w:rPr>
          <w:b/>
          <w:bCs/>
        </w:rPr>
        <w:t xml:space="preserve">. </w:t>
      </w:r>
      <w:r w:rsidR="00EA0652" w:rsidRPr="00E15510">
        <w:t>Nesse sentido tem-se como questão de pesquisa</w:t>
      </w:r>
      <w:r w:rsidR="002D0BCD" w:rsidRPr="00E15510">
        <w:t xml:space="preserve">: </w:t>
      </w:r>
      <w:r w:rsidR="00EA0652" w:rsidRPr="00E15510">
        <w:t>A apuração do Simples Nacional para uma empresa do segmento comercial na nova metodologia de calculo (LC 155/2016) em relação a metodologia anterior (LC 123/2006) é mais onerosa do que para as empresas do segmento industrial?</w:t>
      </w:r>
    </w:p>
    <w:p w14:paraId="48C8BE0A" w14:textId="605D562F" w:rsidR="002D0BCD" w:rsidRPr="00BE69CC" w:rsidRDefault="002D0BCD" w:rsidP="002D0BCD">
      <w:pPr>
        <w:ind w:firstLine="694"/>
      </w:pPr>
      <w:r w:rsidRPr="00BE69CC">
        <w:t xml:space="preserve">Para tanto a pesquisa tem por objetivo, analisar se a apuração do Simples Nacional para uma empresa do segmento comercial na nova metodologia de </w:t>
      </w:r>
      <w:r w:rsidR="00F12F58" w:rsidRPr="00BE69CC">
        <w:t>cálculo</w:t>
      </w:r>
      <w:r w:rsidRPr="00BE69CC">
        <w:t xml:space="preserve"> (LC 155/2016) em relação a metodologia anterior (LC 123/2006) é mais onerosa do que para as empresas do segmento industrial. A presente </w:t>
      </w:r>
      <w:r w:rsidR="00C9440F">
        <w:t xml:space="preserve">pesquisa </w:t>
      </w:r>
      <w:r w:rsidRPr="00BE69CC">
        <w:t xml:space="preserve">se justifica dado que contribui para a literatura que trata sobre aspectos tributários e como interfere nos incentivos as pequenas e médias empresas a fim de que alcancem maior competividade e se tornem estáveis no mercado. Estas ocorrências incentivam o crescimento da economia. </w:t>
      </w:r>
    </w:p>
    <w:p w14:paraId="46979914" w14:textId="3782A18F" w:rsidR="000A5F0A" w:rsidRPr="00BE69CC" w:rsidRDefault="002D0BCD" w:rsidP="002D0BCD">
      <w:pPr>
        <w:ind w:firstLine="694"/>
      </w:pPr>
      <w:r w:rsidRPr="00BE69CC">
        <w:t xml:space="preserve">Do ponto de vista prático, este estudo contribui visto que sugere que as organizações se atentem as diferentes formas de calculo e observem qual o melhor regime tributário, em vista de uma maior economia tributária. Assim, contribui-se também para sociedade, haja vista que </w:t>
      </w:r>
      <w:r w:rsidR="008F0812" w:rsidRPr="00BE69CC">
        <w:t xml:space="preserve">o melhor desempenho </w:t>
      </w:r>
      <w:r w:rsidR="008F0812">
        <w:t xml:space="preserve">das organizações </w:t>
      </w:r>
      <w:r w:rsidR="008F0812" w:rsidRPr="00BE69CC">
        <w:t>reflete</w:t>
      </w:r>
      <w:r w:rsidR="00C9440F">
        <w:t xml:space="preserve"> na economia e </w:t>
      </w:r>
      <w:r w:rsidR="004069A0" w:rsidRPr="00BE69CC">
        <w:t xml:space="preserve">gera benefícios ao meio social. </w:t>
      </w:r>
    </w:p>
    <w:p w14:paraId="5CD445CF" w14:textId="64CBE44A" w:rsidR="004069A0" w:rsidRPr="00BE69CC" w:rsidRDefault="004069A0" w:rsidP="002D0BCD">
      <w:pPr>
        <w:ind w:firstLine="694"/>
      </w:pPr>
      <w:r w:rsidRPr="00BE69CC">
        <w:t>Esta pesquisa está estruturada por esta introdução, seguida do referencial teórico que aborda sobre as diferentes metodologias de cálculo do Simples Nacional, procedimentos metodológicos e considerações finais.</w:t>
      </w:r>
    </w:p>
    <w:p w14:paraId="09616FDB" w14:textId="77777777" w:rsidR="00320710" w:rsidRPr="00BE69CC" w:rsidRDefault="00320710" w:rsidP="002A77E4">
      <w:pPr>
        <w:ind w:firstLine="0"/>
      </w:pPr>
    </w:p>
    <w:p w14:paraId="05979BA1" w14:textId="243A2344" w:rsidR="00361ACE" w:rsidRDefault="007604C9" w:rsidP="00FB1E22">
      <w:pPr>
        <w:ind w:firstLine="0"/>
        <w:rPr>
          <w:b/>
          <w:bCs/>
        </w:rPr>
      </w:pPr>
      <w:r w:rsidRPr="00F31C6D">
        <w:rPr>
          <w:b/>
          <w:bCs/>
        </w:rPr>
        <w:t>2-Referencial Teórico</w:t>
      </w:r>
    </w:p>
    <w:p w14:paraId="3D7A5AF0" w14:textId="65D2269A" w:rsidR="007604C9" w:rsidRDefault="00523481" w:rsidP="001F4D42">
      <w:pPr>
        <w:ind w:right="99" w:firstLine="0"/>
        <w:rPr>
          <w:b/>
          <w:bCs/>
        </w:rPr>
      </w:pPr>
      <w:r w:rsidRPr="00B73747">
        <w:rPr>
          <w:b/>
          <w:bCs/>
        </w:rPr>
        <w:t xml:space="preserve">2.1 </w:t>
      </w:r>
      <w:r>
        <w:rPr>
          <w:b/>
          <w:bCs/>
        </w:rPr>
        <w:t>Microempresas</w:t>
      </w:r>
      <w:r w:rsidR="00447E1A">
        <w:rPr>
          <w:b/>
          <w:bCs/>
        </w:rPr>
        <w:t xml:space="preserve"> e </w:t>
      </w:r>
      <w:r w:rsidRPr="00523481">
        <w:rPr>
          <w:b/>
          <w:bCs/>
        </w:rPr>
        <w:t>Empresas De Pequeno Porte</w:t>
      </w:r>
      <w:r>
        <w:rPr>
          <w:b/>
          <w:bCs/>
        </w:rPr>
        <w:t>.</w:t>
      </w:r>
    </w:p>
    <w:p w14:paraId="4A1FD52F" w14:textId="77777777" w:rsidR="00361ACE" w:rsidRDefault="00361ACE" w:rsidP="001F4D42">
      <w:pPr>
        <w:ind w:right="99" w:firstLine="0"/>
        <w:rPr>
          <w:b/>
          <w:bCs/>
        </w:rPr>
      </w:pPr>
    </w:p>
    <w:p w14:paraId="2567EF2A" w14:textId="5694697B" w:rsidR="00C9440F" w:rsidRDefault="00523481" w:rsidP="003F4D1B">
      <w:pPr>
        <w:ind w:left="-15"/>
      </w:pPr>
      <w:r>
        <w:t xml:space="preserve">As </w:t>
      </w:r>
      <w:proofErr w:type="spellStart"/>
      <w:r>
        <w:t>MPEs</w:t>
      </w:r>
      <w:proofErr w:type="spellEnd"/>
      <w:r>
        <w:t xml:space="preserve"> são as responsáveis por grande parte do desenvolvimento da economia brasileira, pois são agentes econômicos flexíveis, que provocam a movimentação do mercado e oferecem significativas vantagens socioeconômicas. Além disso, são fontes para geração de novos empregos, facilitando o ingresso da população no mercado de trabalho </w:t>
      </w:r>
      <w:r w:rsidR="00C9440F">
        <w:t xml:space="preserve">(Ribeiro, 2018).  </w:t>
      </w:r>
    </w:p>
    <w:p w14:paraId="78D424F8" w14:textId="59081058" w:rsidR="00320710" w:rsidRDefault="00523481" w:rsidP="003F4D1B">
      <w:pPr>
        <w:ind w:left="-15"/>
      </w:pPr>
      <w:r>
        <w:t>A classificação para enquadramento de porte de Micro</w:t>
      </w:r>
      <w:r w:rsidR="00447E1A">
        <w:t>,</w:t>
      </w:r>
      <w:r>
        <w:t xml:space="preserve"> </w:t>
      </w:r>
      <w:r w:rsidR="00447E1A">
        <w:t>pequena</w:t>
      </w:r>
      <w:r>
        <w:t xml:space="preserve"> empresa</w:t>
      </w:r>
      <w:r w:rsidR="00447E1A">
        <w:t xml:space="preserve"> ou empresa de pequeno porte</w:t>
      </w:r>
      <w:r>
        <w:t xml:space="preserve">, se dá de duas maneiras: </w:t>
      </w:r>
      <w:r w:rsidR="00320710">
        <w:t xml:space="preserve">pela receita auferida ou </w:t>
      </w:r>
      <w:r>
        <w:t xml:space="preserve">pelo número de colaboradores. </w:t>
      </w:r>
    </w:p>
    <w:p w14:paraId="5C29F61D" w14:textId="33BF59DA" w:rsidR="00447E1A" w:rsidRDefault="00320710" w:rsidP="003F4D1B">
      <w:pPr>
        <w:ind w:left="-15"/>
      </w:pPr>
      <w:r>
        <w:t xml:space="preserve">Pelo critério da </w:t>
      </w:r>
      <w:r w:rsidRPr="00320710">
        <w:t xml:space="preserve">receita </w:t>
      </w:r>
      <w:r>
        <w:t xml:space="preserve">auferida, </w:t>
      </w:r>
      <w:r w:rsidR="00447E1A">
        <w:t xml:space="preserve">para se enquadrar como Micro ou pequena empresa, </w:t>
      </w:r>
      <w:r>
        <w:t xml:space="preserve">a receita </w:t>
      </w:r>
      <w:r w:rsidRPr="00320710">
        <w:t xml:space="preserve">bruta anual </w:t>
      </w:r>
      <w:r>
        <w:t>não poderá ultrapassar</w:t>
      </w:r>
      <w:r w:rsidRPr="00320710">
        <w:t xml:space="preserve"> a R$ 360.000,00 (trezentos e sessenta mil reais) e para ser enquadrada como empresa de pequeno porte, a receita bruta anual deve ser superior a R$ 360.000,00 (trezentos e sessenta mil reais) e igual ou inferior a 4.800.000,00 (quatro milhões e oitocentos mil reais) (</w:t>
      </w:r>
      <w:r w:rsidR="00F93BF5" w:rsidRPr="00320710">
        <w:t>Brasil, 2016)</w:t>
      </w:r>
      <w:r w:rsidR="00F93BF5">
        <w:t xml:space="preserve">. </w:t>
      </w:r>
      <w:r w:rsidR="00447E1A" w:rsidRPr="00447E1A">
        <w:t>Já pelo critério do número de colaboradores</w:t>
      </w:r>
      <w:r w:rsidR="00447E1A">
        <w:t xml:space="preserve">, que foi </w:t>
      </w:r>
      <w:r w:rsidR="00447E1A" w:rsidRPr="00447E1A">
        <w:t>definid</w:t>
      </w:r>
      <w:r w:rsidR="00447E1A">
        <w:t>o</w:t>
      </w:r>
      <w:r w:rsidR="00447E1A" w:rsidRPr="00447E1A">
        <w:t xml:space="preserve"> pelo SEBRAE, apresenta-se o </w:t>
      </w:r>
      <w:r w:rsidR="00017DF5">
        <w:t>Tabela</w:t>
      </w:r>
      <w:r w:rsidR="00447E1A" w:rsidRPr="00447E1A">
        <w:t xml:space="preserve"> 1:</w:t>
      </w:r>
    </w:p>
    <w:p w14:paraId="54D0E43F" w14:textId="77777777" w:rsidR="005D438E" w:rsidRDefault="005D438E" w:rsidP="005D438E">
      <w:pPr>
        <w:spacing w:line="259" w:lineRule="auto"/>
        <w:ind w:right="8" w:firstLine="0"/>
        <w:rPr>
          <w:b/>
        </w:rPr>
      </w:pPr>
    </w:p>
    <w:p w14:paraId="678E196A" w14:textId="77777777" w:rsidR="00D8569A" w:rsidRDefault="00D8569A" w:rsidP="005D438E">
      <w:pPr>
        <w:spacing w:line="259" w:lineRule="auto"/>
        <w:ind w:right="8" w:firstLine="0"/>
        <w:rPr>
          <w:b/>
        </w:rPr>
      </w:pPr>
    </w:p>
    <w:p w14:paraId="1C41F82D" w14:textId="0012AD46" w:rsidR="005D438E" w:rsidRDefault="004803AD" w:rsidP="005D438E">
      <w:pPr>
        <w:spacing w:line="259" w:lineRule="auto"/>
        <w:ind w:right="8" w:firstLine="0"/>
        <w:rPr>
          <w:b/>
        </w:rPr>
      </w:pPr>
      <w:r>
        <w:rPr>
          <w:b/>
        </w:rPr>
        <w:t>Tabela-</w:t>
      </w:r>
      <w:r w:rsidR="005D438E">
        <w:rPr>
          <w:b/>
        </w:rPr>
        <w:t>1 – Critério de Classificação do Porte das Empresas por: Pessoas Ocupadas</w:t>
      </w:r>
      <w:r w:rsidR="00320710">
        <w:rPr>
          <w:b/>
        </w:rPr>
        <w:t xml:space="preserve"> </w:t>
      </w:r>
    </w:p>
    <w:tbl>
      <w:tblPr>
        <w:tblStyle w:val="Tabelacomgrade"/>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6"/>
        <w:gridCol w:w="1136"/>
        <w:gridCol w:w="1696"/>
        <w:gridCol w:w="3917"/>
      </w:tblGrid>
      <w:tr w:rsidR="005D438E" w:rsidRPr="004803AD" w14:paraId="6936700B" w14:textId="77777777" w:rsidTr="00A83237">
        <w:trPr>
          <w:trHeight w:val="284"/>
        </w:trPr>
        <w:tc>
          <w:tcPr>
            <w:tcW w:w="2689" w:type="dxa"/>
            <w:vMerge w:val="restart"/>
            <w:tcBorders>
              <w:top w:val="single" w:sz="4" w:space="0" w:color="auto"/>
              <w:bottom w:val="single" w:sz="4" w:space="0" w:color="auto"/>
              <w:right w:val="single" w:sz="4" w:space="0" w:color="auto"/>
            </w:tcBorders>
            <w:hideMark/>
          </w:tcPr>
          <w:p w14:paraId="07FE7E29" w14:textId="77777777" w:rsidR="005D438E" w:rsidRPr="004803AD" w:rsidRDefault="005D438E" w:rsidP="005D438E">
            <w:pPr>
              <w:spacing w:line="259" w:lineRule="auto"/>
              <w:ind w:right="8" w:firstLine="0"/>
              <w:rPr>
                <w:rFonts w:ascii="Times New Roman" w:hAnsi="Times New Roman"/>
                <w:b/>
                <w:bCs/>
                <w:sz w:val="20"/>
              </w:rPr>
            </w:pPr>
            <w:r w:rsidRPr="004803AD">
              <w:rPr>
                <w:rFonts w:ascii="Times New Roman" w:hAnsi="Times New Roman"/>
                <w:b/>
                <w:bCs/>
                <w:sz w:val="20"/>
              </w:rPr>
              <w:t xml:space="preserve">PORTE </w:t>
            </w:r>
          </w:p>
        </w:tc>
        <w:tc>
          <w:tcPr>
            <w:tcW w:w="6706" w:type="dxa"/>
            <w:gridSpan w:val="3"/>
            <w:tcBorders>
              <w:top w:val="single" w:sz="4" w:space="0" w:color="auto"/>
              <w:left w:val="single" w:sz="4" w:space="0" w:color="auto"/>
              <w:bottom w:val="single" w:sz="4" w:space="0" w:color="auto"/>
            </w:tcBorders>
            <w:hideMark/>
          </w:tcPr>
          <w:p w14:paraId="493AA0C5" w14:textId="5A4A154F" w:rsidR="005D438E" w:rsidRPr="004803AD" w:rsidRDefault="005D438E" w:rsidP="005D438E">
            <w:pPr>
              <w:spacing w:line="259" w:lineRule="auto"/>
              <w:ind w:right="8" w:firstLine="0"/>
              <w:jc w:val="center"/>
              <w:rPr>
                <w:rFonts w:ascii="Times New Roman" w:hAnsi="Times New Roman"/>
                <w:b/>
                <w:bCs/>
                <w:sz w:val="20"/>
              </w:rPr>
            </w:pPr>
            <w:r w:rsidRPr="004803AD">
              <w:rPr>
                <w:rFonts w:ascii="Times New Roman" w:hAnsi="Times New Roman"/>
                <w:b/>
                <w:bCs/>
                <w:sz w:val="20"/>
              </w:rPr>
              <w:t>ATIVIDADE ECONÔMICA</w:t>
            </w:r>
          </w:p>
        </w:tc>
      </w:tr>
      <w:tr w:rsidR="005D438E" w:rsidRPr="004803AD" w14:paraId="512F9456" w14:textId="77777777" w:rsidTr="00A83237">
        <w:trPr>
          <w:trHeight w:val="284"/>
        </w:trPr>
        <w:tc>
          <w:tcPr>
            <w:tcW w:w="2689" w:type="dxa"/>
            <w:vMerge/>
            <w:tcBorders>
              <w:top w:val="single" w:sz="4" w:space="0" w:color="auto"/>
              <w:right w:val="single" w:sz="4" w:space="0" w:color="auto"/>
            </w:tcBorders>
            <w:hideMark/>
          </w:tcPr>
          <w:p w14:paraId="687544F6" w14:textId="77777777" w:rsidR="005D438E" w:rsidRPr="004803AD" w:rsidRDefault="005D438E" w:rsidP="005D438E">
            <w:pPr>
              <w:spacing w:line="259" w:lineRule="auto"/>
              <w:ind w:right="8" w:firstLine="0"/>
              <w:rPr>
                <w:rFonts w:ascii="Times New Roman" w:hAnsi="Times New Roman"/>
                <w:b/>
                <w:bCs/>
                <w:sz w:val="20"/>
              </w:rPr>
            </w:pPr>
          </w:p>
        </w:tc>
        <w:tc>
          <w:tcPr>
            <w:tcW w:w="963" w:type="dxa"/>
            <w:tcBorders>
              <w:top w:val="single" w:sz="4" w:space="0" w:color="auto"/>
              <w:left w:val="single" w:sz="4" w:space="0" w:color="auto"/>
            </w:tcBorders>
            <w:hideMark/>
          </w:tcPr>
          <w:p w14:paraId="75E391F1" w14:textId="77777777" w:rsidR="005D438E" w:rsidRPr="004803AD" w:rsidRDefault="005D438E" w:rsidP="005D438E">
            <w:pPr>
              <w:spacing w:line="259" w:lineRule="auto"/>
              <w:ind w:right="8" w:firstLine="0"/>
              <w:rPr>
                <w:rFonts w:ascii="Times New Roman" w:hAnsi="Times New Roman"/>
                <w:b/>
                <w:bCs/>
                <w:sz w:val="20"/>
              </w:rPr>
            </w:pPr>
            <w:r w:rsidRPr="004803AD">
              <w:rPr>
                <w:rFonts w:ascii="Times New Roman" w:hAnsi="Times New Roman"/>
                <w:b/>
                <w:bCs/>
                <w:sz w:val="20"/>
              </w:rPr>
              <w:t xml:space="preserve">SERVIÇO </w:t>
            </w:r>
          </w:p>
        </w:tc>
        <w:tc>
          <w:tcPr>
            <w:tcW w:w="1711" w:type="dxa"/>
            <w:tcBorders>
              <w:top w:val="single" w:sz="4" w:space="0" w:color="auto"/>
              <w:right w:val="single" w:sz="4" w:space="0" w:color="auto"/>
            </w:tcBorders>
            <w:hideMark/>
          </w:tcPr>
          <w:p w14:paraId="3662BF11" w14:textId="77777777" w:rsidR="005D438E" w:rsidRPr="004803AD" w:rsidRDefault="005D438E" w:rsidP="005D438E">
            <w:pPr>
              <w:spacing w:line="259" w:lineRule="auto"/>
              <w:ind w:right="8" w:firstLine="0"/>
              <w:rPr>
                <w:rFonts w:ascii="Times New Roman" w:hAnsi="Times New Roman"/>
                <w:b/>
                <w:bCs/>
                <w:sz w:val="20"/>
              </w:rPr>
            </w:pPr>
            <w:r w:rsidRPr="004803AD">
              <w:rPr>
                <w:rFonts w:ascii="Times New Roman" w:hAnsi="Times New Roman"/>
                <w:b/>
                <w:bCs/>
                <w:sz w:val="20"/>
              </w:rPr>
              <w:t xml:space="preserve">COMÉRCIO </w:t>
            </w:r>
          </w:p>
        </w:tc>
        <w:tc>
          <w:tcPr>
            <w:tcW w:w="4032" w:type="dxa"/>
            <w:tcBorders>
              <w:top w:val="single" w:sz="4" w:space="0" w:color="auto"/>
              <w:left w:val="single" w:sz="4" w:space="0" w:color="auto"/>
            </w:tcBorders>
            <w:hideMark/>
          </w:tcPr>
          <w:p w14:paraId="0548B40A" w14:textId="2C838388" w:rsidR="005D438E" w:rsidRPr="004803AD" w:rsidRDefault="005D438E" w:rsidP="004803AD">
            <w:pPr>
              <w:spacing w:line="259" w:lineRule="auto"/>
              <w:ind w:right="8" w:firstLine="0"/>
              <w:jc w:val="left"/>
              <w:rPr>
                <w:rFonts w:ascii="Times New Roman" w:hAnsi="Times New Roman"/>
                <w:b/>
                <w:bCs/>
                <w:sz w:val="20"/>
              </w:rPr>
            </w:pPr>
            <w:r w:rsidRPr="004803AD">
              <w:rPr>
                <w:rFonts w:ascii="Times New Roman" w:hAnsi="Times New Roman"/>
                <w:b/>
                <w:bCs/>
                <w:sz w:val="20"/>
              </w:rPr>
              <w:t>INDÚSTRIA</w:t>
            </w:r>
          </w:p>
        </w:tc>
      </w:tr>
      <w:tr w:rsidR="005D438E" w:rsidRPr="004803AD" w14:paraId="2A3BCFE8" w14:textId="77777777" w:rsidTr="004803AD">
        <w:trPr>
          <w:trHeight w:val="284"/>
        </w:trPr>
        <w:tc>
          <w:tcPr>
            <w:tcW w:w="2689" w:type="dxa"/>
            <w:tcBorders>
              <w:top w:val="nil"/>
              <w:right w:val="single" w:sz="4" w:space="0" w:color="auto"/>
            </w:tcBorders>
            <w:hideMark/>
          </w:tcPr>
          <w:p w14:paraId="295A83A1" w14:textId="77777777" w:rsidR="005D438E" w:rsidRPr="004803AD" w:rsidRDefault="005D438E" w:rsidP="005D438E">
            <w:pPr>
              <w:spacing w:line="259" w:lineRule="auto"/>
              <w:ind w:right="8" w:firstLine="0"/>
              <w:rPr>
                <w:rFonts w:ascii="Times New Roman" w:hAnsi="Times New Roman"/>
                <w:b/>
                <w:bCs/>
                <w:sz w:val="20"/>
              </w:rPr>
            </w:pPr>
            <w:r w:rsidRPr="004803AD">
              <w:rPr>
                <w:rFonts w:ascii="Times New Roman" w:hAnsi="Times New Roman"/>
                <w:b/>
                <w:bCs/>
                <w:sz w:val="20"/>
              </w:rPr>
              <w:t xml:space="preserve">MICROEMPRESA </w:t>
            </w:r>
          </w:p>
        </w:tc>
        <w:tc>
          <w:tcPr>
            <w:tcW w:w="2674" w:type="dxa"/>
            <w:gridSpan w:val="2"/>
            <w:tcBorders>
              <w:top w:val="nil"/>
              <w:left w:val="single" w:sz="4" w:space="0" w:color="auto"/>
              <w:right w:val="single" w:sz="4" w:space="0" w:color="auto"/>
            </w:tcBorders>
            <w:hideMark/>
          </w:tcPr>
          <w:p w14:paraId="10788FE8" w14:textId="77777777" w:rsidR="005D438E" w:rsidRPr="004803AD" w:rsidRDefault="005D438E" w:rsidP="005D438E">
            <w:pPr>
              <w:spacing w:line="259" w:lineRule="auto"/>
              <w:ind w:right="8" w:firstLine="0"/>
              <w:rPr>
                <w:rFonts w:ascii="Times New Roman" w:hAnsi="Times New Roman"/>
                <w:sz w:val="20"/>
              </w:rPr>
            </w:pPr>
            <w:r w:rsidRPr="004803AD">
              <w:rPr>
                <w:rFonts w:ascii="Times New Roman" w:hAnsi="Times New Roman"/>
                <w:sz w:val="20"/>
              </w:rPr>
              <w:t>Até 09 pessoas ocupadas</w:t>
            </w:r>
          </w:p>
        </w:tc>
        <w:tc>
          <w:tcPr>
            <w:tcW w:w="4032" w:type="dxa"/>
            <w:tcBorders>
              <w:top w:val="nil"/>
              <w:left w:val="single" w:sz="4" w:space="0" w:color="auto"/>
            </w:tcBorders>
            <w:hideMark/>
          </w:tcPr>
          <w:p w14:paraId="7C3577A4" w14:textId="77777777" w:rsidR="005D438E" w:rsidRPr="004803AD" w:rsidRDefault="005D438E" w:rsidP="005D438E">
            <w:pPr>
              <w:spacing w:line="259" w:lineRule="auto"/>
              <w:ind w:right="8" w:firstLine="0"/>
              <w:jc w:val="left"/>
              <w:rPr>
                <w:rFonts w:ascii="Times New Roman" w:hAnsi="Times New Roman"/>
                <w:sz w:val="20"/>
              </w:rPr>
            </w:pPr>
            <w:r w:rsidRPr="004803AD">
              <w:rPr>
                <w:rFonts w:ascii="Times New Roman" w:hAnsi="Times New Roman"/>
                <w:sz w:val="20"/>
              </w:rPr>
              <w:t>Até 19 pessoas ocupadas</w:t>
            </w:r>
          </w:p>
        </w:tc>
      </w:tr>
      <w:tr w:rsidR="005D438E" w:rsidRPr="004803AD" w14:paraId="125FD6EC" w14:textId="77777777" w:rsidTr="004803AD">
        <w:trPr>
          <w:trHeight w:val="284"/>
        </w:trPr>
        <w:tc>
          <w:tcPr>
            <w:tcW w:w="2689" w:type="dxa"/>
            <w:tcBorders>
              <w:top w:val="nil"/>
              <w:right w:val="single" w:sz="4" w:space="0" w:color="auto"/>
            </w:tcBorders>
            <w:hideMark/>
          </w:tcPr>
          <w:p w14:paraId="53A3BE8A" w14:textId="77777777" w:rsidR="005D438E" w:rsidRPr="004803AD" w:rsidRDefault="005D438E" w:rsidP="005D438E">
            <w:pPr>
              <w:spacing w:line="259" w:lineRule="auto"/>
              <w:ind w:right="8" w:firstLine="0"/>
              <w:rPr>
                <w:rFonts w:ascii="Times New Roman" w:hAnsi="Times New Roman"/>
                <w:b/>
                <w:bCs/>
                <w:sz w:val="20"/>
              </w:rPr>
            </w:pPr>
            <w:r w:rsidRPr="004803AD">
              <w:rPr>
                <w:rFonts w:ascii="Times New Roman" w:hAnsi="Times New Roman"/>
                <w:b/>
                <w:bCs/>
                <w:sz w:val="20"/>
              </w:rPr>
              <w:t xml:space="preserve">PEQUENA EMPRESA </w:t>
            </w:r>
          </w:p>
        </w:tc>
        <w:tc>
          <w:tcPr>
            <w:tcW w:w="2674" w:type="dxa"/>
            <w:gridSpan w:val="2"/>
            <w:tcBorders>
              <w:top w:val="nil"/>
              <w:left w:val="single" w:sz="4" w:space="0" w:color="auto"/>
              <w:right w:val="single" w:sz="4" w:space="0" w:color="auto"/>
            </w:tcBorders>
            <w:hideMark/>
          </w:tcPr>
          <w:p w14:paraId="4BD18402" w14:textId="77777777" w:rsidR="005D438E" w:rsidRPr="004803AD" w:rsidRDefault="005D438E" w:rsidP="005D438E">
            <w:pPr>
              <w:spacing w:line="259" w:lineRule="auto"/>
              <w:ind w:right="8" w:firstLine="0"/>
              <w:rPr>
                <w:rFonts w:ascii="Times New Roman" w:hAnsi="Times New Roman"/>
                <w:sz w:val="20"/>
              </w:rPr>
            </w:pPr>
            <w:r w:rsidRPr="004803AD">
              <w:rPr>
                <w:rFonts w:ascii="Times New Roman" w:hAnsi="Times New Roman"/>
                <w:sz w:val="20"/>
              </w:rPr>
              <w:t>De 10 a 49 pessoas ocupadas</w:t>
            </w:r>
          </w:p>
        </w:tc>
        <w:tc>
          <w:tcPr>
            <w:tcW w:w="4032" w:type="dxa"/>
            <w:tcBorders>
              <w:top w:val="nil"/>
              <w:left w:val="single" w:sz="4" w:space="0" w:color="auto"/>
            </w:tcBorders>
            <w:hideMark/>
          </w:tcPr>
          <w:p w14:paraId="3FC20C54" w14:textId="77777777" w:rsidR="005D438E" w:rsidRPr="004803AD" w:rsidRDefault="005D438E" w:rsidP="005D438E">
            <w:pPr>
              <w:spacing w:line="259" w:lineRule="auto"/>
              <w:ind w:right="8" w:firstLine="0"/>
              <w:jc w:val="left"/>
              <w:rPr>
                <w:rFonts w:ascii="Times New Roman" w:hAnsi="Times New Roman"/>
                <w:sz w:val="20"/>
              </w:rPr>
            </w:pPr>
            <w:r w:rsidRPr="004803AD">
              <w:rPr>
                <w:rFonts w:ascii="Times New Roman" w:hAnsi="Times New Roman"/>
                <w:sz w:val="20"/>
              </w:rPr>
              <w:t>De 20 a 99 pessoas ocupadas</w:t>
            </w:r>
          </w:p>
        </w:tc>
      </w:tr>
      <w:tr w:rsidR="005D438E" w:rsidRPr="004803AD" w14:paraId="13397806" w14:textId="77777777" w:rsidTr="004803AD">
        <w:trPr>
          <w:trHeight w:val="284"/>
        </w:trPr>
        <w:tc>
          <w:tcPr>
            <w:tcW w:w="2689" w:type="dxa"/>
            <w:tcBorders>
              <w:top w:val="nil"/>
              <w:right w:val="single" w:sz="4" w:space="0" w:color="auto"/>
            </w:tcBorders>
            <w:hideMark/>
          </w:tcPr>
          <w:p w14:paraId="01C4DE80" w14:textId="77777777" w:rsidR="005D438E" w:rsidRPr="004803AD" w:rsidRDefault="005D438E" w:rsidP="005D438E">
            <w:pPr>
              <w:spacing w:line="259" w:lineRule="auto"/>
              <w:ind w:right="8" w:firstLine="0"/>
              <w:rPr>
                <w:rFonts w:ascii="Times New Roman" w:hAnsi="Times New Roman"/>
                <w:b/>
                <w:bCs/>
                <w:sz w:val="20"/>
              </w:rPr>
            </w:pPr>
            <w:r w:rsidRPr="004803AD">
              <w:rPr>
                <w:rFonts w:ascii="Times New Roman" w:hAnsi="Times New Roman"/>
                <w:b/>
                <w:bCs/>
                <w:sz w:val="20"/>
              </w:rPr>
              <w:t xml:space="preserve">MÉDIA EMPRESA </w:t>
            </w:r>
          </w:p>
        </w:tc>
        <w:tc>
          <w:tcPr>
            <w:tcW w:w="2674" w:type="dxa"/>
            <w:gridSpan w:val="2"/>
            <w:tcBorders>
              <w:top w:val="nil"/>
              <w:left w:val="single" w:sz="4" w:space="0" w:color="auto"/>
              <w:right w:val="single" w:sz="4" w:space="0" w:color="auto"/>
            </w:tcBorders>
            <w:hideMark/>
          </w:tcPr>
          <w:p w14:paraId="789881E7" w14:textId="77777777" w:rsidR="005D438E" w:rsidRPr="004803AD" w:rsidRDefault="005D438E" w:rsidP="005D438E">
            <w:pPr>
              <w:spacing w:line="259" w:lineRule="auto"/>
              <w:ind w:right="8" w:firstLine="0"/>
              <w:rPr>
                <w:rFonts w:ascii="Times New Roman" w:hAnsi="Times New Roman"/>
                <w:sz w:val="20"/>
              </w:rPr>
            </w:pPr>
            <w:r w:rsidRPr="004803AD">
              <w:rPr>
                <w:rFonts w:ascii="Times New Roman" w:hAnsi="Times New Roman"/>
                <w:sz w:val="20"/>
              </w:rPr>
              <w:t>De 50 a 99 pessoas ocupadas</w:t>
            </w:r>
          </w:p>
        </w:tc>
        <w:tc>
          <w:tcPr>
            <w:tcW w:w="4032" w:type="dxa"/>
            <w:tcBorders>
              <w:top w:val="nil"/>
              <w:left w:val="single" w:sz="4" w:space="0" w:color="auto"/>
            </w:tcBorders>
            <w:hideMark/>
          </w:tcPr>
          <w:p w14:paraId="0DBC7DF9" w14:textId="77777777" w:rsidR="005D438E" w:rsidRPr="004803AD" w:rsidRDefault="005D438E" w:rsidP="005D438E">
            <w:pPr>
              <w:spacing w:line="259" w:lineRule="auto"/>
              <w:ind w:right="8" w:firstLine="0"/>
              <w:jc w:val="left"/>
              <w:rPr>
                <w:rFonts w:ascii="Times New Roman" w:hAnsi="Times New Roman"/>
                <w:sz w:val="20"/>
              </w:rPr>
            </w:pPr>
            <w:r w:rsidRPr="004803AD">
              <w:rPr>
                <w:rFonts w:ascii="Times New Roman" w:hAnsi="Times New Roman"/>
                <w:sz w:val="20"/>
              </w:rPr>
              <w:t>De 100 a 499 pessoas ocupadas</w:t>
            </w:r>
          </w:p>
        </w:tc>
      </w:tr>
      <w:tr w:rsidR="005D438E" w:rsidRPr="004803AD" w14:paraId="3F66E96E" w14:textId="77777777" w:rsidTr="004803AD">
        <w:trPr>
          <w:trHeight w:val="284"/>
        </w:trPr>
        <w:tc>
          <w:tcPr>
            <w:tcW w:w="2689" w:type="dxa"/>
            <w:tcBorders>
              <w:top w:val="nil"/>
              <w:bottom w:val="single" w:sz="4" w:space="0" w:color="auto"/>
              <w:right w:val="single" w:sz="4" w:space="0" w:color="auto"/>
            </w:tcBorders>
            <w:hideMark/>
          </w:tcPr>
          <w:p w14:paraId="1EBE4B5C" w14:textId="77777777" w:rsidR="005D438E" w:rsidRPr="004803AD" w:rsidRDefault="005D438E" w:rsidP="005D438E">
            <w:pPr>
              <w:spacing w:line="259" w:lineRule="auto"/>
              <w:ind w:right="8" w:firstLine="0"/>
              <w:rPr>
                <w:rFonts w:ascii="Times New Roman" w:hAnsi="Times New Roman"/>
                <w:b/>
                <w:bCs/>
                <w:sz w:val="20"/>
              </w:rPr>
            </w:pPr>
            <w:r w:rsidRPr="004803AD">
              <w:rPr>
                <w:rFonts w:ascii="Times New Roman" w:hAnsi="Times New Roman"/>
                <w:b/>
                <w:bCs/>
                <w:sz w:val="20"/>
              </w:rPr>
              <w:t xml:space="preserve">GRANDE EMPRESA </w:t>
            </w:r>
          </w:p>
        </w:tc>
        <w:tc>
          <w:tcPr>
            <w:tcW w:w="2674" w:type="dxa"/>
            <w:gridSpan w:val="2"/>
            <w:tcBorders>
              <w:top w:val="nil"/>
              <w:left w:val="single" w:sz="4" w:space="0" w:color="auto"/>
              <w:bottom w:val="single" w:sz="4" w:space="0" w:color="auto"/>
              <w:right w:val="single" w:sz="4" w:space="0" w:color="auto"/>
            </w:tcBorders>
            <w:hideMark/>
          </w:tcPr>
          <w:p w14:paraId="055DBF59" w14:textId="77777777" w:rsidR="005D438E" w:rsidRPr="004803AD" w:rsidRDefault="005D438E" w:rsidP="005D438E">
            <w:pPr>
              <w:spacing w:line="259" w:lineRule="auto"/>
              <w:ind w:right="8" w:firstLine="0"/>
              <w:rPr>
                <w:rFonts w:ascii="Times New Roman" w:hAnsi="Times New Roman"/>
                <w:sz w:val="20"/>
              </w:rPr>
            </w:pPr>
            <w:r w:rsidRPr="004803AD">
              <w:rPr>
                <w:rFonts w:ascii="Times New Roman" w:hAnsi="Times New Roman"/>
                <w:sz w:val="20"/>
              </w:rPr>
              <w:t>Acima de 100 pessoas</w:t>
            </w:r>
          </w:p>
        </w:tc>
        <w:tc>
          <w:tcPr>
            <w:tcW w:w="4032" w:type="dxa"/>
            <w:tcBorders>
              <w:top w:val="nil"/>
              <w:left w:val="single" w:sz="4" w:space="0" w:color="auto"/>
              <w:bottom w:val="single" w:sz="4" w:space="0" w:color="auto"/>
            </w:tcBorders>
            <w:hideMark/>
          </w:tcPr>
          <w:p w14:paraId="78827246" w14:textId="77777777" w:rsidR="005D438E" w:rsidRPr="004803AD" w:rsidRDefault="005D438E" w:rsidP="005D438E">
            <w:pPr>
              <w:spacing w:line="259" w:lineRule="auto"/>
              <w:ind w:right="8" w:firstLine="0"/>
              <w:jc w:val="left"/>
              <w:rPr>
                <w:rFonts w:ascii="Times New Roman" w:hAnsi="Times New Roman"/>
                <w:sz w:val="20"/>
              </w:rPr>
            </w:pPr>
            <w:r w:rsidRPr="004803AD">
              <w:rPr>
                <w:rFonts w:ascii="Times New Roman" w:hAnsi="Times New Roman"/>
                <w:sz w:val="20"/>
              </w:rPr>
              <w:t>Acima de 500 pessoas</w:t>
            </w:r>
          </w:p>
        </w:tc>
      </w:tr>
    </w:tbl>
    <w:p w14:paraId="437B8BB3" w14:textId="7026F287" w:rsidR="00320710" w:rsidRDefault="0055645A" w:rsidP="00320710">
      <w:pPr>
        <w:ind w:firstLine="0"/>
      </w:pPr>
      <w:r>
        <w:t xml:space="preserve"> </w:t>
      </w:r>
      <w:r w:rsidR="00320710">
        <w:rPr>
          <w:sz w:val="20"/>
        </w:rPr>
        <w:t xml:space="preserve">Fonte: Adaptado de SEBRAE (2014, p. 23) </w:t>
      </w:r>
    </w:p>
    <w:p w14:paraId="506862E9" w14:textId="77777777" w:rsidR="00523481" w:rsidRDefault="00523481" w:rsidP="006547D0">
      <w:pPr>
        <w:ind w:firstLine="0"/>
        <w:rPr>
          <w:b/>
          <w:bCs/>
        </w:rPr>
      </w:pPr>
    </w:p>
    <w:p w14:paraId="4279399A" w14:textId="77777777" w:rsidR="00447E1A" w:rsidRDefault="00447E1A" w:rsidP="00447E1A">
      <w:pPr>
        <w:ind w:left="-15"/>
      </w:pPr>
      <w:r>
        <w:t xml:space="preserve">Segundo Silva (2009, p. 18) “A microempresa é fruto de uma política de desburocratização, iniciada em 1979, para agilizar o funcionamento dos pequenos organismos empresariais”. Desta forma, contribuem para o crescimento do país e de sua economia. </w:t>
      </w:r>
    </w:p>
    <w:p w14:paraId="7F1A161D" w14:textId="77777777" w:rsidR="00523481" w:rsidRDefault="00523481" w:rsidP="006547D0">
      <w:pPr>
        <w:ind w:firstLine="0"/>
        <w:rPr>
          <w:b/>
          <w:bCs/>
        </w:rPr>
      </w:pPr>
    </w:p>
    <w:p w14:paraId="37DAC1D3" w14:textId="77777777" w:rsidR="00A83237" w:rsidRDefault="007604C9" w:rsidP="00A83237">
      <w:pPr>
        <w:ind w:firstLine="0"/>
      </w:pPr>
      <w:r w:rsidRPr="006547D0">
        <w:rPr>
          <w:b/>
          <w:bCs/>
        </w:rPr>
        <w:t>2.</w:t>
      </w:r>
      <w:r w:rsidR="00204554">
        <w:rPr>
          <w:b/>
          <w:bCs/>
        </w:rPr>
        <w:t>2</w:t>
      </w:r>
      <w:r w:rsidR="00447E1A">
        <w:rPr>
          <w:b/>
          <w:bCs/>
        </w:rPr>
        <w:t xml:space="preserve"> </w:t>
      </w:r>
      <w:r w:rsidR="00447E1A" w:rsidRPr="00447E1A">
        <w:rPr>
          <w:b/>
          <w:bCs/>
        </w:rPr>
        <w:t>Simples Nacional – Lei Complementar Nº 123/2006</w:t>
      </w:r>
      <w:r w:rsidR="00153B9B">
        <w:rPr>
          <w:b/>
          <w:bCs/>
        </w:rPr>
        <w:t xml:space="preserve"> </w:t>
      </w:r>
      <w:r w:rsidR="00A83237">
        <w:rPr>
          <w:b/>
          <w:bCs/>
        </w:rPr>
        <w:t xml:space="preserve">e </w:t>
      </w:r>
      <w:r w:rsidR="00A83237" w:rsidRPr="00D96211">
        <w:rPr>
          <w:b/>
          <w:bCs/>
        </w:rPr>
        <w:t>Lei Complementar Nº 155/2016.</w:t>
      </w:r>
    </w:p>
    <w:p w14:paraId="377DD59E" w14:textId="207700FA" w:rsidR="00044685" w:rsidRDefault="00153B9B" w:rsidP="00044685">
      <w:pPr>
        <w:ind w:left="-15"/>
      </w:pPr>
      <w:r>
        <w:t xml:space="preserve">O Simples Nacional é um regime de teor facultativo, não havendo obrigatoriedade alguma de enquadrar-se nele. Porém, o artigo 16 da Lei Complementar nº 123/2006 ressalta que a opção pelo regime será irretratável para todo o ano-calendário </w:t>
      </w:r>
      <w:r w:rsidR="00D8569A">
        <w:t xml:space="preserve">(Brasil, 2006).  </w:t>
      </w:r>
      <w:r>
        <w:t xml:space="preserve">Podem ingressar no regime, as empresas que se enquadram na definição de microempresa (inclusive o MEI) ou empresa de pequeno porte, estabelecidas pelo artigo 3 da Lei Complementar nº 123/2006, conforme citado anteriormente </w:t>
      </w:r>
      <w:r w:rsidR="00D8569A">
        <w:t xml:space="preserve">(Andrade, 2010). </w:t>
      </w:r>
      <w:r>
        <w:t xml:space="preserve">A opção pelo regime deve ser realizada no mês de janeiro, do primeiro até o último dia útil deste </w:t>
      </w:r>
      <w:r w:rsidR="00D8569A">
        <w:t xml:space="preserve">(Silva, 2009). </w:t>
      </w:r>
      <w:r>
        <w:t xml:space="preserve">Desde que não exerçam atividades que possuem vedação expressa no art. 17 da Lei Complementar nº 123/2006 e também não esteja sujeito a nenhum tipo de vedação previsto nesta Lei </w:t>
      </w:r>
      <w:r w:rsidR="00F93BF5">
        <w:t xml:space="preserve">(Brasil, 2006). </w:t>
      </w:r>
    </w:p>
    <w:p w14:paraId="0DC110E3" w14:textId="3BA9522A" w:rsidR="006D416C" w:rsidRDefault="00153B9B" w:rsidP="006D416C">
      <w:pPr>
        <w:ind w:left="-15"/>
      </w:pPr>
      <w:r>
        <w:t xml:space="preserve">O cálculo do Simples Nacional deve ser realizado em etapas, uma delas é a definição da alíquota. Quando considerada a Lei Complementar nº 123/2006, a alíquota era determinada sob a receita bruta auferida pela empresa, sendo esta, acumulada nos doze meses anteriores ao período de apuração. Com isso, encontrava-se a alíquota correspondente nas tabelas dos anexos I a V da lei </w:t>
      </w:r>
      <w:r w:rsidR="00044685">
        <w:t xml:space="preserve">(Silva, 2009). </w:t>
      </w:r>
    </w:p>
    <w:p w14:paraId="15CC2AB5" w14:textId="47D6F5E3" w:rsidR="00D96211" w:rsidRDefault="00D96211" w:rsidP="00A83237">
      <w:pPr>
        <w:ind w:firstLine="692"/>
      </w:pPr>
      <w:r w:rsidRPr="009E737E">
        <w:t xml:space="preserve">O novo Simples Nacional </w:t>
      </w:r>
      <w:r w:rsidR="00896EE6">
        <w:t xml:space="preserve">instituído pela Lei Complementar nº 155 de 27 de outubro de 2016 altera a Lei Complementar nº 123/2006 no que diz respeito </w:t>
      </w:r>
      <w:r>
        <w:t>regras para entrada</w:t>
      </w:r>
      <w:r w:rsidR="00896EE6">
        <w:t>,</w:t>
      </w:r>
      <w:r>
        <w:t xml:space="preserve"> permanência</w:t>
      </w:r>
      <w:r w:rsidR="00896EE6">
        <w:t>, cálculos, alíquotas, atividades e faturamento</w:t>
      </w:r>
      <w:r>
        <w:t xml:space="preserve">, </w:t>
      </w:r>
      <w:r w:rsidR="00896EE6">
        <w:t>entretanto na</w:t>
      </w:r>
      <w:r>
        <w:t xml:space="preserve"> sua essência segue os princípios de sua criação em 2006.</w:t>
      </w:r>
    </w:p>
    <w:p w14:paraId="23E1437C" w14:textId="3EBDDF64" w:rsidR="00896EE6" w:rsidRDefault="00896EE6" w:rsidP="00A515C4">
      <w:pPr>
        <w:ind w:left="-17"/>
      </w:pPr>
      <w:r>
        <w:t>Anteriormente, eram utilizados 20 (vinte) faixas de alíquotas e 6 (seis) anexos, com as alterações, houve redução para 6 faixas e 5 anexos.</w:t>
      </w:r>
      <w:r w:rsidRPr="00896EE6">
        <w:t xml:space="preserve"> </w:t>
      </w:r>
      <w:r>
        <w:t xml:space="preserve">Ocorreram algumas mudanças na classificação dos anexos após a inclusão das novas atividades, e uma das significativas mudanças foi a reformulação do anexo V, que agora compreende a maioria das atividades que anteriormente estavam classificadas no anexo VI – que deixou de existir –. Via de regra, o anexo VI tornou-se o anexo V, e o anexo V agora é o anexo III, porém, algumas atividades entram em exceção – atividades de arquitetura e urbanismo, medicina, odontologia, psicologia, terapia ocupacional, acupuntura, podologia, fonoaudiologia, clínicas de nutrição e bancos de leite –, tornando-se parte </w:t>
      </w:r>
      <w:r>
        <w:lastRenderedPageBreak/>
        <w:t>do anexo III e não do anexo V (</w:t>
      </w:r>
      <w:r w:rsidR="00077E6C">
        <w:t>Torres, 2017</w:t>
      </w:r>
      <w:r>
        <w:t xml:space="preserve">). </w:t>
      </w:r>
    </w:p>
    <w:p w14:paraId="3E61616C" w14:textId="049C5BD9" w:rsidR="00331189" w:rsidRDefault="00331189" w:rsidP="00A515C4">
      <w:pPr>
        <w:ind w:left="-17"/>
      </w:pPr>
      <w:r>
        <w:t xml:space="preserve">O teto de receita bruta anual para as empresas poderem enquadrar-se como optantes do Simples Nacional, era de R$3.600.000,00 (três milhões e seiscentos mil reais) até 2017 passou a R$4.800.000,00 (quatro milhões e oitocentos mil reais), válido a partir de 01 de janeiro de 2018 </w:t>
      </w:r>
      <w:r w:rsidRPr="00331189">
        <w:t>(</w:t>
      </w:r>
      <w:r w:rsidR="00077E6C" w:rsidRPr="00331189">
        <w:t xml:space="preserve">Brasil, </w:t>
      </w:r>
      <w:r w:rsidRPr="00331189">
        <w:t>2016).</w:t>
      </w:r>
    </w:p>
    <w:p w14:paraId="3F7531A3" w14:textId="4E1222C1" w:rsidR="00E20EC0" w:rsidRDefault="00496076" w:rsidP="00361ACE">
      <w:pPr>
        <w:pStyle w:val="NormalWeb"/>
        <w:spacing w:before="0" w:beforeAutospacing="0" w:after="0" w:afterAutospacing="0"/>
        <w:rPr>
          <w:color w:val="000000"/>
        </w:rPr>
      </w:pPr>
      <w:r w:rsidRPr="00B532B5">
        <w:t>Foi instituída a tributação progressiva, ou seja, a empresa optante pelo regime terá incidência das alíquotas das faixas superiores apenas sobre o valor que ultrapassar o limite das faixas anteriores.</w:t>
      </w:r>
      <w:r w:rsidR="00B532B5" w:rsidRPr="00B532B5">
        <w:t xml:space="preserve"> </w:t>
      </w:r>
      <w:r w:rsidR="00B532B5" w:rsidRPr="00B532B5">
        <w:rPr>
          <w:color w:val="000000"/>
        </w:rPr>
        <w:t xml:space="preserve">A alíquota efetiva é o resultado de: </w:t>
      </w:r>
      <w:r w:rsidR="00E20EC0">
        <w:rPr>
          <w:color w:val="000000"/>
        </w:rPr>
        <w:t xml:space="preserve"> </w:t>
      </w:r>
    </w:p>
    <w:p w14:paraId="67908C0A" w14:textId="2C8A6704" w:rsidR="00E20EC0" w:rsidRPr="006D416C" w:rsidRDefault="00E20EC0" w:rsidP="006D416C">
      <w:pPr>
        <w:pStyle w:val="NormalWeb"/>
        <w:spacing w:before="0" w:beforeAutospacing="0" w:after="0" w:afterAutospacing="0"/>
        <w:jc w:val="center"/>
        <w:rPr>
          <w:b/>
          <w:bCs/>
        </w:rPr>
      </w:pPr>
      <w:r w:rsidRPr="00E20EC0">
        <w:rPr>
          <w:b/>
          <w:bCs/>
        </w:rPr>
        <w:t xml:space="preserve">RBT12 x </w:t>
      </w:r>
      <w:proofErr w:type="spellStart"/>
      <w:r w:rsidRPr="00E20EC0">
        <w:rPr>
          <w:b/>
          <w:bCs/>
        </w:rPr>
        <w:t>Aliq</w:t>
      </w:r>
      <w:proofErr w:type="spellEnd"/>
      <w:r w:rsidRPr="00E20EC0">
        <w:rPr>
          <w:b/>
          <w:bCs/>
        </w:rPr>
        <w:t xml:space="preserve"> – PD / RBT12</w:t>
      </w:r>
    </w:p>
    <w:p w14:paraId="714281CB" w14:textId="7FE4CADC" w:rsidR="00B532B5" w:rsidRPr="00CB7B12" w:rsidRDefault="001F2591" w:rsidP="0049027F">
      <w:pPr>
        <w:pStyle w:val="NormalWeb"/>
        <w:spacing w:before="0" w:beforeAutospacing="0" w:after="0" w:afterAutospacing="0"/>
        <w:ind w:firstLine="0"/>
        <w:jc w:val="left"/>
        <w:rPr>
          <w:u w:val="single"/>
        </w:rPr>
      </w:pPr>
      <w:r w:rsidRPr="00CB7B12">
        <w:rPr>
          <w:u w:val="single"/>
        </w:rPr>
        <w:t>Em que</w:t>
      </w:r>
      <w:r w:rsidR="00B532B5" w:rsidRPr="00CB7B12">
        <w:rPr>
          <w:u w:val="single"/>
        </w:rPr>
        <w:t xml:space="preserve"> para cada sigla leia-se:</w:t>
      </w:r>
    </w:p>
    <w:p w14:paraId="7374A3E0" w14:textId="0F81E365" w:rsidR="00B532B5" w:rsidRPr="00A83237" w:rsidRDefault="00B532B5" w:rsidP="0049027F">
      <w:pPr>
        <w:pStyle w:val="CitaoLonga"/>
        <w:spacing w:before="0" w:after="0"/>
        <w:ind w:left="0"/>
        <w:jc w:val="left"/>
        <w:rPr>
          <w:color w:val="auto"/>
          <w:szCs w:val="20"/>
        </w:rPr>
      </w:pPr>
      <w:r w:rsidRPr="00A83237">
        <w:rPr>
          <w:color w:val="auto"/>
          <w:szCs w:val="20"/>
        </w:rPr>
        <w:t>I - RBT12: receita bruta acumulada nos doze meses anteriores ao período de apuração;</w:t>
      </w:r>
    </w:p>
    <w:p w14:paraId="41094F58" w14:textId="04FD4BE6" w:rsidR="00B532B5" w:rsidRPr="00A83237" w:rsidRDefault="00B532B5" w:rsidP="0049027F">
      <w:pPr>
        <w:pStyle w:val="CitaoLonga"/>
        <w:spacing w:before="0" w:after="0"/>
        <w:ind w:left="0"/>
        <w:jc w:val="left"/>
        <w:rPr>
          <w:color w:val="auto"/>
          <w:szCs w:val="20"/>
        </w:rPr>
      </w:pPr>
      <w:r w:rsidRPr="00A83237">
        <w:rPr>
          <w:color w:val="auto"/>
          <w:szCs w:val="20"/>
        </w:rPr>
        <w:t xml:space="preserve">II - </w:t>
      </w:r>
      <w:proofErr w:type="spellStart"/>
      <w:r w:rsidRPr="00A83237">
        <w:rPr>
          <w:color w:val="auto"/>
          <w:szCs w:val="20"/>
        </w:rPr>
        <w:t>Aliq</w:t>
      </w:r>
      <w:proofErr w:type="spellEnd"/>
      <w:r w:rsidRPr="00A83237">
        <w:rPr>
          <w:color w:val="auto"/>
          <w:szCs w:val="20"/>
        </w:rPr>
        <w:t>: alíquota nominal constante dos Anexos I a V da Lei Complementar;</w:t>
      </w:r>
    </w:p>
    <w:p w14:paraId="14ABD550" w14:textId="5151947E" w:rsidR="00A83237" w:rsidRDefault="00B532B5" w:rsidP="006D416C">
      <w:pPr>
        <w:pStyle w:val="CitaoLonga"/>
        <w:spacing w:before="0" w:after="0"/>
        <w:ind w:left="0"/>
        <w:jc w:val="left"/>
        <w:rPr>
          <w:color w:val="auto"/>
          <w:szCs w:val="20"/>
        </w:rPr>
      </w:pPr>
      <w:r w:rsidRPr="00A83237">
        <w:rPr>
          <w:color w:val="auto"/>
          <w:szCs w:val="20"/>
        </w:rPr>
        <w:t>III - PD: parcela a deduzir constante dos Anexos I a V da Lei Complementar;</w:t>
      </w:r>
    </w:p>
    <w:p w14:paraId="41BA8B9A" w14:textId="77777777" w:rsidR="006D416C" w:rsidRPr="006D416C" w:rsidRDefault="006D416C" w:rsidP="006D416C">
      <w:pPr>
        <w:pStyle w:val="CitaoLonga"/>
        <w:spacing w:before="0" w:after="0"/>
        <w:ind w:left="0"/>
        <w:jc w:val="left"/>
        <w:rPr>
          <w:color w:val="auto"/>
          <w:szCs w:val="20"/>
        </w:rPr>
      </w:pPr>
    </w:p>
    <w:p w14:paraId="6B6C4B94" w14:textId="05E4DAA3" w:rsidR="00C52601" w:rsidRDefault="00C52601" w:rsidP="001A36DA">
      <w:r>
        <w:t xml:space="preserve">O Anexo I – Comércio compreende lojas em geral (lista completa no art. 18 da Lei Complementar nº 123/2006). </w:t>
      </w:r>
    </w:p>
    <w:p w14:paraId="72621AF4" w14:textId="44C117E1" w:rsidR="00C52601" w:rsidRPr="00FC78B1" w:rsidRDefault="004803AD" w:rsidP="00DD01C6">
      <w:pPr>
        <w:ind w:firstLine="0"/>
      </w:pPr>
      <w:r>
        <w:t>Tab</w:t>
      </w:r>
      <w:r w:rsidR="001362E1">
        <w:t>e</w:t>
      </w:r>
      <w:r>
        <w:t>la-</w:t>
      </w:r>
      <w:r w:rsidR="00951817">
        <w:t>2</w:t>
      </w:r>
      <w:r w:rsidR="00DD01C6">
        <w:t xml:space="preserve"> </w:t>
      </w:r>
      <w:r w:rsidR="00DD01C6" w:rsidRPr="00DD01C6">
        <w:t>Alíquotas do Anexo I</w:t>
      </w:r>
      <w:r w:rsidR="00DD01C6">
        <w:t xml:space="preserve"> - Comércio</w:t>
      </w:r>
    </w:p>
    <w:tbl>
      <w:tblPr>
        <w:tblStyle w:val="TableGrid"/>
        <w:tblW w:w="9069" w:type="dxa"/>
        <w:tblInd w:w="2" w:type="dxa"/>
        <w:tblBorders>
          <w:top w:val="single" w:sz="4" w:space="0" w:color="auto"/>
          <w:bottom w:val="single" w:sz="4" w:space="0" w:color="auto"/>
          <w:insideH w:val="single" w:sz="4" w:space="0" w:color="auto"/>
          <w:insideV w:val="single" w:sz="4" w:space="0" w:color="auto"/>
        </w:tblBorders>
        <w:tblCellMar>
          <w:top w:w="59" w:type="dxa"/>
          <w:left w:w="71" w:type="dxa"/>
          <w:right w:w="115" w:type="dxa"/>
        </w:tblCellMar>
        <w:tblLook w:val="04A0" w:firstRow="1" w:lastRow="0" w:firstColumn="1" w:lastColumn="0" w:noHBand="0" w:noVBand="1"/>
      </w:tblPr>
      <w:tblGrid>
        <w:gridCol w:w="1835"/>
        <w:gridCol w:w="3828"/>
        <w:gridCol w:w="1277"/>
        <w:gridCol w:w="2129"/>
      </w:tblGrid>
      <w:tr w:rsidR="00C52601" w:rsidRPr="00A83237" w14:paraId="0AFCE1C1" w14:textId="77777777" w:rsidTr="00A83237">
        <w:trPr>
          <w:trHeight w:val="295"/>
        </w:trPr>
        <w:tc>
          <w:tcPr>
            <w:tcW w:w="1835" w:type="dxa"/>
            <w:shd w:val="clear" w:color="auto" w:fill="auto"/>
          </w:tcPr>
          <w:p w14:paraId="349C4C26" w14:textId="77777777" w:rsidR="00C52601" w:rsidRPr="00A83237" w:rsidRDefault="00C52601" w:rsidP="00EB77A0">
            <w:pPr>
              <w:spacing w:line="259" w:lineRule="auto"/>
              <w:ind w:left="39" w:firstLine="0"/>
              <w:jc w:val="center"/>
              <w:rPr>
                <w:rFonts w:ascii="Times New Roman" w:hAnsi="Times New Roman" w:cs="Times New Roman"/>
                <w:sz w:val="20"/>
                <w:szCs w:val="20"/>
              </w:rPr>
            </w:pPr>
            <w:r w:rsidRPr="00A83237">
              <w:rPr>
                <w:rFonts w:ascii="Times New Roman" w:hAnsi="Times New Roman" w:cs="Times New Roman"/>
                <w:b/>
                <w:sz w:val="20"/>
                <w:szCs w:val="20"/>
              </w:rPr>
              <w:t xml:space="preserve">Faixas </w:t>
            </w:r>
          </w:p>
        </w:tc>
        <w:tc>
          <w:tcPr>
            <w:tcW w:w="3828" w:type="dxa"/>
            <w:shd w:val="clear" w:color="auto" w:fill="auto"/>
          </w:tcPr>
          <w:p w14:paraId="6B22307C" w14:textId="77777777" w:rsidR="00C52601" w:rsidRPr="00A83237" w:rsidRDefault="00C52601" w:rsidP="00EB77A0">
            <w:pPr>
              <w:spacing w:line="259" w:lineRule="auto"/>
              <w:ind w:firstLine="0"/>
              <w:jc w:val="left"/>
              <w:rPr>
                <w:rFonts w:ascii="Times New Roman" w:hAnsi="Times New Roman" w:cs="Times New Roman"/>
                <w:sz w:val="20"/>
                <w:szCs w:val="20"/>
              </w:rPr>
            </w:pPr>
            <w:r w:rsidRPr="00A83237">
              <w:rPr>
                <w:rFonts w:ascii="Times New Roman" w:hAnsi="Times New Roman" w:cs="Times New Roman"/>
                <w:b/>
                <w:sz w:val="20"/>
                <w:szCs w:val="20"/>
              </w:rPr>
              <w:t xml:space="preserve">Receita Bruta Acumulada (12 meses) </w:t>
            </w:r>
          </w:p>
        </w:tc>
        <w:tc>
          <w:tcPr>
            <w:tcW w:w="1277" w:type="dxa"/>
            <w:shd w:val="clear" w:color="auto" w:fill="auto"/>
          </w:tcPr>
          <w:p w14:paraId="19AAE75B" w14:textId="77777777" w:rsidR="00C52601" w:rsidRPr="00A83237" w:rsidRDefault="00C52601" w:rsidP="00EB77A0">
            <w:pPr>
              <w:spacing w:line="259" w:lineRule="auto"/>
              <w:ind w:left="39" w:firstLine="0"/>
              <w:jc w:val="center"/>
              <w:rPr>
                <w:rFonts w:ascii="Times New Roman" w:hAnsi="Times New Roman" w:cs="Times New Roman"/>
                <w:sz w:val="20"/>
                <w:szCs w:val="20"/>
              </w:rPr>
            </w:pPr>
            <w:r w:rsidRPr="00A83237">
              <w:rPr>
                <w:rFonts w:ascii="Times New Roman" w:hAnsi="Times New Roman" w:cs="Times New Roman"/>
                <w:b/>
                <w:sz w:val="20"/>
                <w:szCs w:val="20"/>
              </w:rPr>
              <w:t xml:space="preserve">Alíquota </w:t>
            </w:r>
          </w:p>
        </w:tc>
        <w:tc>
          <w:tcPr>
            <w:tcW w:w="2129" w:type="dxa"/>
            <w:shd w:val="clear" w:color="auto" w:fill="auto"/>
          </w:tcPr>
          <w:p w14:paraId="4C7A4D86" w14:textId="77777777" w:rsidR="00C52601" w:rsidRPr="00A83237" w:rsidRDefault="00C52601" w:rsidP="00EB77A0">
            <w:pPr>
              <w:spacing w:line="259" w:lineRule="auto"/>
              <w:ind w:left="42" w:firstLine="0"/>
              <w:jc w:val="center"/>
              <w:rPr>
                <w:rFonts w:ascii="Times New Roman" w:hAnsi="Times New Roman" w:cs="Times New Roman"/>
                <w:sz w:val="20"/>
                <w:szCs w:val="20"/>
              </w:rPr>
            </w:pPr>
            <w:r w:rsidRPr="00A83237">
              <w:rPr>
                <w:rFonts w:ascii="Times New Roman" w:hAnsi="Times New Roman" w:cs="Times New Roman"/>
                <w:b/>
                <w:sz w:val="20"/>
                <w:szCs w:val="20"/>
              </w:rPr>
              <w:t xml:space="preserve">Valor a Deduzir </w:t>
            </w:r>
          </w:p>
        </w:tc>
      </w:tr>
      <w:tr w:rsidR="00C52601" w:rsidRPr="00A83237" w14:paraId="1E27D757" w14:textId="77777777" w:rsidTr="00A83237">
        <w:trPr>
          <w:trHeight w:val="295"/>
        </w:trPr>
        <w:tc>
          <w:tcPr>
            <w:tcW w:w="1835" w:type="dxa"/>
            <w:shd w:val="clear" w:color="auto" w:fill="auto"/>
          </w:tcPr>
          <w:p w14:paraId="226D54F3" w14:textId="77777777" w:rsidR="00C52601" w:rsidRPr="00A83237" w:rsidRDefault="00C52601" w:rsidP="00EB77A0">
            <w:pPr>
              <w:spacing w:line="259" w:lineRule="auto"/>
              <w:ind w:left="36" w:firstLine="0"/>
              <w:jc w:val="center"/>
              <w:rPr>
                <w:rFonts w:ascii="Times New Roman" w:hAnsi="Times New Roman" w:cs="Times New Roman"/>
                <w:sz w:val="20"/>
                <w:szCs w:val="20"/>
              </w:rPr>
            </w:pPr>
            <w:r w:rsidRPr="00A83237">
              <w:rPr>
                <w:rFonts w:ascii="Times New Roman" w:hAnsi="Times New Roman" w:cs="Times New Roman"/>
                <w:sz w:val="20"/>
                <w:szCs w:val="20"/>
              </w:rPr>
              <w:t xml:space="preserve">1ª Faixa </w:t>
            </w:r>
          </w:p>
        </w:tc>
        <w:tc>
          <w:tcPr>
            <w:tcW w:w="3828" w:type="dxa"/>
            <w:shd w:val="clear" w:color="auto" w:fill="auto"/>
          </w:tcPr>
          <w:p w14:paraId="5760ABB8" w14:textId="77777777" w:rsidR="00C52601" w:rsidRPr="00A83237" w:rsidRDefault="00C52601" w:rsidP="00EB77A0">
            <w:pPr>
              <w:spacing w:line="259" w:lineRule="auto"/>
              <w:ind w:firstLine="0"/>
              <w:jc w:val="left"/>
              <w:rPr>
                <w:rFonts w:ascii="Times New Roman" w:hAnsi="Times New Roman" w:cs="Times New Roman"/>
                <w:sz w:val="20"/>
                <w:szCs w:val="20"/>
              </w:rPr>
            </w:pPr>
            <w:r w:rsidRPr="00A83237">
              <w:rPr>
                <w:rFonts w:ascii="Times New Roman" w:hAnsi="Times New Roman" w:cs="Times New Roman"/>
                <w:sz w:val="20"/>
                <w:szCs w:val="20"/>
              </w:rPr>
              <w:t xml:space="preserve">Até R$180.000,00 </w:t>
            </w:r>
          </w:p>
        </w:tc>
        <w:tc>
          <w:tcPr>
            <w:tcW w:w="1277" w:type="dxa"/>
            <w:shd w:val="clear" w:color="auto" w:fill="auto"/>
          </w:tcPr>
          <w:p w14:paraId="32A88996" w14:textId="77777777" w:rsidR="00C52601" w:rsidRPr="00A83237" w:rsidRDefault="00C52601" w:rsidP="00EB77A0">
            <w:pPr>
              <w:spacing w:line="259" w:lineRule="auto"/>
              <w:ind w:left="36" w:firstLine="0"/>
              <w:jc w:val="center"/>
              <w:rPr>
                <w:rFonts w:ascii="Times New Roman" w:hAnsi="Times New Roman" w:cs="Times New Roman"/>
                <w:sz w:val="20"/>
                <w:szCs w:val="20"/>
              </w:rPr>
            </w:pPr>
            <w:r w:rsidRPr="00A83237">
              <w:rPr>
                <w:rFonts w:ascii="Times New Roman" w:hAnsi="Times New Roman" w:cs="Times New Roman"/>
                <w:sz w:val="20"/>
                <w:szCs w:val="20"/>
              </w:rPr>
              <w:t xml:space="preserve">4,00% </w:t>
            </w:r>
          </w:p>
        </w:tc>
        <w:tc>
          <w:tcPr>
            <w:tcW w:w="2129" w:type="dxa"/>
            <w:shd w:val="clear" w:color="auto" w:fill="auto"/>
          </w:tcPr>
          <w:p w14:paraId="06B30DDF" w14:textId="77777777" w:rsidR="00C52601" w:rsidRPr="00A83237" w:rsidRDefault="00C52601" w:rsidP="00EB77A0">
            <w:pPr>
              <w:spacing w:line="259" w:lineRule="auto"/>
              <w:ind w:left="44" w:firstLine="0"/>
              <w:jc w:val="center"/>
              <w:rPr>
                <w:rFonts w:ascii="Times New Roman" w:hAnsi="Times New Roman" w:cs="Times New Roman"/>
                <w:sz w:val="20"/>
                <w:szCs w:val="20"/>
              </w:rPr>
            </w:pPr>
            <w:r w:rsidRPr="00A83237">
              <w:rPr>
                <w:rFonts w:ascii="Times New Roman" w:hAnsi="Times New Roman" w:cs="Times New Roman"/>
                <w:sz w:val="20"/>
                <w:szCs w:val="20"/>
              </w:rPr>
              <w:t xml:space="preserve"> -  </w:t>
            </w:r>
          </w:p>
        </w:tc>
      </w:tr>
      <w:tr w:rsidR="00C52601" w:rsidRPr="00A83237" w14:paraId="1BEE23F5" w14:textId="77777777" w:rsidTr="00A83237">
        <w:trPr>
          <w:trHeight w:val="295"/>
        </w:trPr>
        <w:tc>
          <w:tcPr>
            <w:tcW w:w="1835" w:type="dxa"/>
            <w:shd w:val="clear" w:color="auto" w:fill="auto"/>
          </w:tcPr>
          <w:p w14:paraId="797CE856" w14:textId="77777777" w:rsidR="00C52601" w:rsidRPr="00A83237" w:rsidRDefault="00C52601" w:rsidP="00EB77A0">
            <w:pPr>
              <w:spacing w:line="259" w:lineRule="auto"/>
              <w:ind w:left="36" w:firstLine="0"/>
              <w:jc w:val="center"/>
              <w:rPr>
                <w:rFonts w:ascii="Times New Roman" w:hAnsi="Times New Roman" w:cs="Times New Roman"/>
                <w:sz w:val="20"/>
                <w:szCs w:val="20"/>
              </w:rPr>
            </w:pPr>
            <w:r w:rsidRPr="00A83237">
              <w:rPr>
                <w:rFonts w:ascii="Times New Roman" w:hAnsi="Times New Roman" w:cs="Times New Roman"/>
                <w:sz w:val="20"/>
                <w:szCs w:val="20"/>
              </w:rPr>
              <w:t xml:space="preserve">2ª Faixa </w:t>
            </w:r>
          </w:p>
        </w:tc>
        <w:tc>
          <w:tcPr>
            <w:tcW w:w="3828" w:type="dxa"/>
            <w:shd w:val="clear" w:color="auto" w:fill="auto"/>
          </w:tcPr>
          <w:p w14:paraId="47EA333D" w14:textId="77777777" w:rsidR="00C52601" w:rsidRPr="00A83237" w:rsidRDefault="00C52601" w:rsidP="00EB77A0">
            <w:pPr>
              <w:spacing w:line="259" w:lineRule="auto"/>
              <w:ind w:firstLine="0"/>
              <w:jc w:val="left"/>
              <w:rPr>
                <w:rFonts w:ascii="Times New Roman" w:hAnsi="Times New Roman" w:cs="Times New Roman"/>
                <w:sz w:val="20"/>
                <w:szCs w:val="20"/>
              </w:rPr>
            </w:pPr>
            <w:r w:rsidRPr="00A83237">
              <w:rPr>
                <w:rFonts w:ascii="Times New Roman" w:hAnsi="Times New Roman" w:cs="Times New Roman"/>
                <w:sz w:val="20"/>
                <w:szCs w:val="20"/>
              </w:rPr>
              <w:t xml:space="preserve">De R$180.000,01 a R$360.000,00 </w:t>
            </w:r>
          </w:p>
        </w:tc>
        <w:tc>
          <w:tcPr>
            <w:tcW w:w="1277" w:type="dxa"/>
            <w:shd w:val="clear" w:color="auto" w:fill="auto"/>
          </w:tcPr>
          <w:p w14:paraId="7EBC78B5" w14:textId="77777777" w:rsidR="00C52601" w:rsidRPr="00A83237" w:rsidRDefault="00C52601" w:rsidP="00EB77A0">
            <w:pPr>
              <w:spacing w:line="259" w:lineRule="auto"/>
              <w:ind w:left="36" w:firstLine="0"/>
              <w:jc w:val="center"/>
              <w:rPr>
                <w:rFonts w:ascii="Times New Roman" w:hAnsi="Times New Roman" w:cs="Times New Roman"/>
                <w:sz w:val="20"/>
                <w:szCs w:val="20"/>
              </w:rPr>
            </w:pPr>
            <w:r w:rsidRPr="00A83237">
              <w:rPr>
                <w:rFonts w:ascii="Times New Roman" w:hAnsi="Times New Roman" w:cs="Times New Roman"/>
                <w:sz w:val="20"/>
                <w:szCs w:val="20"/>
              </w:rPr>
              <w:t xml:space="preserve">7,30% </w:t>
            </w:r>
          </w:p>
        </w:tc>
        <w:tc>
          <w:tcPr>
            <w:tcW w:w="2129" w:type="dxa"/>
            <w:shd w:val="clear" w:color="auto" w:fill="auto"/>
          </w:tcPr>
          <w:p w14:paraId="1F6FB7E2" w14:textId="77777777" w:rsidR="00C52601" w:rsidRPr="00A83237" w:rsidRDefault="00C52601" w:rsidP="00EB77A0">
            <w:pPr>
              <w:spacing w:line="259" w:lineRule="auto"/>
              <w:ind w:left="45" w:firstLine="0"/>
              <w:jc w:val="center"/>
              <w:rPr>
                <w:rFonts w:ascii="Times New Roman" w:hAnsi="Times New Roman" w:cs="Times New Roman"/>
                <w:sz w:val="20"/>
                <w:szCs w:val="20"/>
              </w:rPr>
            </w:pPr>
            <w:r w:rsidRPr="00A83237">
              <w:rPr>
                <w:rFonts w:ascii="Times New Roman" w:hAnsi="Times New Roman" w:cs="Times New Roman"/>
                <w:sz w:val="20"/>
                <w:szCs w:val="20"/>
              </w:rPr>
              <w:t xml:space="preserve"> R$5.940,00  </w:t>
            </w:r>
          </w:p>
        </w:tc>
      </w:tr>
      <w:tr w:rsidR="00C52601" w:rsidRPr="00A83237" w14:paraId="6733D4D4" w14:textId="77777777" w:rsidTr="00A83237">
        <w:trPr>
          <w:trHeight w:val="295"/>
        </w:trPr>
        <w:tc>
          <w:tcPr>
            <w:tcW w:w="1835" w:type="dxa"/>
            <w:shd w:val="clear" w:color="auto" w:fill="auto"/>
          </w:tcPr>
          <w:p w14:paraId="19E63317" w14:textId="77777777" w:rsidR="00C52601" w:rsidRPr="00A83237" w:rsidRDefault="00C52601" w:rsidP="00EB77A0">
            <w:pPr>
              <w:spacing w:line="259" w:lineRule="auto"/>
              <w:ind w:left="36" w:firstLine="0"/>
              <w:jc w:val="center"/>
              <w:rPr>
                <w:rFonts w:ascii="Times New Roman" w:hAnsi="Times New Roman" w:cs="Times New Roman"/>
                <w:sz w:val="20"/>
                <w:szCs w:val="20"/>
              </w:rPr>
            </w:pPr>
            <w:r w:rsidRPr="00A83237">
              <w:rPr>
                <w:rFonts w:ascii="Times New Roman" w:hAnsi="Times New Roman" w:cs="Times New Roman"/>
                <w:sz w:val="20"/>
                <w:szCs w:val="20"/>
              </w:rPr>
              <w:t xml:space="preserve">3ª Faixa </w:t>
            </w:r>
          </w:p>
        </w:tc>
        <w:tc>
          <w:tcPr>
            <w:tcW w:w="3828" w:type="dxa"/>
            <w:shd w:val="clear" w:color="auto" w:fill="auto"/>
          </w:tcPr>
          <w:p w14:paraId="2F42BEF7" w14:textId="77777777" w:rsidR="00C52601" w:rsidRPr="00A83237" w:rsidRDefault="00C52601" w:rsidP="00EB77A0">
            <w:pPr>
              <w:spacing w:line="259" w:lineRule="auto"/>
              <w:ind w:firstLine="0"/>
              <w:jc w:val="left"/>
              <w:rPr>
                <w:rFonts w:ascii="Times New Roman" w:hAnsi="Times New Roman" w:cs="Times New Roman"/>
                <w:sz w:val="20"/>
                <w:szCs w:val="20"/>
              </w:rPr>
            </w:pPr>
            <w:r w:rsidRPr="00A83237">
              <w:rPr>
                <w:rFonts w:ascii="Times New Roman" w:hAnsi="Times New Roman" w:cs="Times New Roman"/>
                <w:sz w:val="20"/>
                <w:szCs w:val="20"/>
              </w:rPr>
              <w:t xml:space="preserve">De R$360.000,01 a R$720.000,00 </w:t>
            </w:r>
          </w:p>
        </w:tc>
        <w:tc>
          <w:tcPr>
            <w:tcW w:w="1277" w:type="dxa"/>
            <w:shd w:val="clear" w:color="auto" w:fill="auto"/>
          </w:tcPr>
          <w:p w14:paraId="2EA4D9C1" w14:textId="77777777" w:rsidR="00C52601" w:rsidRPr="00A83237" w:rsidRDefault="00C52601" w:rsidP="00EB77A0">
            <w:pPr>
              <w:spacing w:line="259" w:lineRule="auto"/>
              <w:ind w:left="36" w:firstLine="0"/>
              <w:jc w:val="center"/>
              <w:rPr>
                <w:rFonts w:ascii="Times New Roman" w:hAnsi="Times New Roman" w:cs="Times New Roman"/>
                <w:sz w:val="20"/>
                <w:szCs w:val="20"/>
              </w:rPr>
            </w:pPr>
            <w:r w:rsidRPr="00A83237">
              <w:rPr>
                <w:rFonts w:ascii="Times New Roman" w:hAnsi="Times New Roman" w:cs="Times New Roman"/>
                <w:sz w:val="20"/>
                <w:szCs w:val="20"/>
              </w:rPr>
              <w:t xml:space="preserve">9,50% </w:t>
            </w:r>
          </w:p>
        </w:tc>
        <w:tc>
          <w:tcPr>
            <w:tcW w:w="2129" w:type="dxa"/>
            <w:shd w:val="clear" w:color="auto" w:fill="auto"/>
          </w:tcPr>
          <w:p w14:paraId="05429AA8" w14:textId="77777777" w:rsidR="00C52601" w:rsidRPr="00A83237" w:rsidRDefault="00C52601" w:rsidP="00EB77A0">
            <w:pPr>
              <w:spacing w:line="259" w:lineRule="auto"/>
              <w:ind w:left="45" w:firstLine="0"/>
              <w:jc w:val="center"/>
              <w:rPr>
                <w:rFonts w:ascii="Times New Roman" w:hAnsi="Times New Roman" w:cs="Times New Roman"/>
                <w:sz w:val="20"/>
                <w:szCs w:val="20"/>
              </w:rPr>
            </w:pPr>
            <w:r w:rsidRPr="00A83237">
              <w:rPr>
                <w:rFonts w:ascii="Times New Roman" w:hAnsi="Times New Roman" w:cs="Times New Roman"/>
                <w:sz w:val="20"/>
                <w:szCs w:val="20"/>
              </w:rPr>
              <w:t xml:space="preserve"> R$13.860,00  </w:t>
            </w:r>
          </w:p>
        </w:tc>
      </w:tr>
      <w:tr w:rsidR="00C52601" w:rsidRPr="00A83237" w14:paraId="51AB6975" w14:textId="77777777" w:rsidTr="00A83237">
        <w:trPr>
          <w:trHeight w:val="295"/>
        </w:trPr>
        <w:tc>
          <w:tcPr>
            <w:tcW w:w="1835" w:type="dxa"/>
            <w:shd w:val="clear" w:color="auto" w:fill="auto"/>
          </w:tcPr>
          <w:p w14:paraId="4A78B2E4" w14:textId="77777777" w:rsidR="00C52601" w:rsidRPr="00A83237" w:rsidRDefault="00C52601" w:rsidP="00EB77A0">
            <w:pPr>
              <w:spacing w:line="259" w:lineRule="auto"/>
              <w:ind w:left="36" w:firstLine="0"/>
              <w:jc w:val="center"/>
              <w:rPr>
                <w:rFonts w:ascii="Times New Roman" w:hAnsi="Times New Roman" w:cs="Times New Roman"/>
                <w:sz w:val="20"/>
                <w:szCs w:val="20"/>
              </w:rPr>
            </w:pPr>
            <w:r w:rsidRPr="00A83237">
              <w:rPr>
                <w:rFonts w:ascii="Times New Roman" w:hAnsi="Times New Roman" w:cs="Times New Roman"/>
                <w:sz w:val="20"/>
                <w:szCs w:val="20"/>
              </w:rPr>
              <w:t xml:space="preserve">4ª Faixa </w:t>
            </w:r>
          </w:p>
        </w:tc>
        <w:tc>
          <w:tcPr>
            <w:tcW w:w="3828" w:type="dxa"/>
            <w:shd w:val="clear" w:color="auto" w:fill="auto"/>
          </w:tcPr>
          <w:p w14:paraId="1373A18F" w14:textId="77777777" w:rsidR="00C52601" w:rsidRPr="00A83237" w:rsidRDefault="00C52601" w:rsidP="00EB77A0">
            <w:pPr>
              <w:spacing w:line="259" w:lineRule="auto"/>
              <w:ind w:firstLine="0"/>
              <w:jc w:val="left"/>
              <w:rPr>
                <w:rFonts w:ascii="Times New Roman" w:hAnsi="Times New Roman" w:cs="Times New Roman"/>
                <w:sz w:val="20"/>
                <w:szCs w:val="20"/>
              </w:rPr>
            </w:pPr>
            <w:r w:rsidRPr="00A83237">
              <w:rPr>
                <w:rFonts w:ascii="Times New Roman" w:hAnsi="Times New Roman" w:cs="Times New Roman"/>
                <w:sz w:val="20"/>
                <w:szCs w:val="20"/>
              </w:rPr>
              <w:t xml:space="preserve">De R$720.000,01 a R$1.800.000,00 </w:t>
            </w:r>
          </w:p>
        </w:tc>
        <w:tc>
          <w:tcPr>
            <w:tcW w:w="1277" w:type="dxa"/>
            <w:shd w:val="clear" w:color="auto" w:fill="auto"/>
          </w:tcPr>
          <w:p w14:paraId="56099E6D" w14:textId="77777777" w:rsidR="00C52601" w:rsidRPr="00A83237" w:rsidRDefault="00C52601" w:rsidP="00EB77A0">
            <w:pPr>
              <w:spacing w:line="259" w:lineRule="auto"/>
              <w:ind w:left="39" w:firstLine="0"/>
              <w:jc w:val="center"/>
              <w:rPr>
                <w:rFonts w:ascii="Times New Roman" w:hAnsi="Times New Roman" w:cs="Times New Roman"/>
                <w:sz w:val="20"/>
                <w:szCs w:val="20"/>
              </w:rPr>
            </w:pPr>
            <w:r w:rsidRPr="00A83237">
              <w:rPr>
                <w:rFonts w:ascii="Times New Roman" w:hAnsi="Times New Roman" w:cs="Times New Roman"/>
                <w:sz w:val="20"/>
                <w:szCs w:val="20"/>
              </w:rPr>
              <w:t xml:space="preserve">10,70% </w:t>
            </w:r>
          </w:p>
        </w:tc>
        <w:tc>
          <w:tcPr>
            <w:tcW w:w="2129" w:type="dxa"/>
            <w:shd w:val="clear" w:color="auto" w:fill="auto"/>
          </w:tcPr>
          <w:p w14:paraId="4A0F8D45" w14:textId="77777777" w:rsidR="00C52601" w:rsidRPr="00A83237" w:rsidRDefault="00C52601" w:rsidP="00EB77A0">
            <w:pPr>
              <w:spacing w:line="259" w:lineRule="auto"/>
              <w:ind w:left="45" w:firstLine="0"/>
              <w:jc w:val="center"/>
              <w:rPr>
                <w:rFonts w:ascii="Times New Roman" w:hAnsi="Times New Roman" w:cs="Times New Roman"/>
                <w:sz w:val="20"/>
                <w:szCs w:val="20"/>
              </w:rPr>
            </w:pPr>
            <w:r w:rsidRPr="00A83237">
              <w:rPr>
                <w:rFonts w:ascii="Times New Roman" w:hAnsi="Times New Roman" w:cs="Times New Roman"/>
                <w:sz w:val="20"/>
                <w:szCs w:val="20"/>
              </w:rPr>
              <w:t xml:space="preserve"> R$22.500,00  </w:t>
            </w:r>
          </w:p>
        </w:tc>
      </w:tr>
      <w:tr w:rsidR="00C52601" w:rsidRPr="00A83237" w14:paraId="0C238F2B" w14:textId="77777777" w:rsidTr="00A83237">
        <w:trPr>
          <w:trHeight w:val="295"/>
        </w:trPr>
        <w:tc>
          <w:tcPr>
            <w:tcW w:w="1835" w:type="dxa"/>
            <w:shd w:val="clear" w:color="auto" w:fill="auto"/>
          </w:tcPr>
          <w:p w14:paraId="37F97BBB" w14:textId="77777777" w:rsidR="00C52601" w:rsidRPr="00A83237" w:rsidRDefault="00C52601" w:rsidP="00EB77A0">
            <w:pPr>
              <w:spacing w:line="259" w:lineRule="auto"/>
              <w:ind w:left="36" w:firstLine="0"/>
              <w:jc w:val="center"/>
              <w:rPr>
                <w:rFonts w:ascii="Times New Roman" w:hAnsi="Times New Roman" w:cs="Times New Roman"/>
                <w:sz w:val="20"/>
                <w:szCs w:val="20"/>
              </w:rPr>
            </w:pPr>
            <w:r w:rsidRPr="00A83237">
              <w:rPr>
                <w:rFonts w:ascii="Times New Roman" w:hAnsi="Times New Roman" w:cs="Times New Roman"/>
                <w:sz w:val="20"/>
                <w:szCs w:val="20"/>
              </w:rPr>
              <w:t xml:space="preserve">5ª Faixa </w:t>
            </w:r>
          </w:p>
        </w:tc>
        <w:tc>
          <w:tcPr>
            <w:tcW w:w="3828" w:type="dxa"/>
            <w:shd w:val="clear" w:color="auto" w:fill="auto"/>
          </w:tcPr>
          <w:p w14:paraId="790C80AF" w14:textId="77777777" w:rsidR="00C52601" w:rsidRPr="00A83237" w:rsidRDefault="00C52601" w:rsidP="00EB77A0">
            <w:pPr>
              <w:spacing w:line="259" w:lineRule="auto"/>
              <w:ind w:firstLine="0"/>
              <w:jc w:val="left"/>
              <w:rPr>
                <w:rFonts w:ascii="Times New Roman" w:hAnsi="Times New Roman" w:cs="Times New Roman"/>
                <w:sz w:val="20"/>
                <w:szCs w:val="20"/>
              </w:rPr>
            </w:pPr>
            <w:r w:rsidRPr="00A83237">
              <w:rPr>
                <w:rFonts w:ascii="Times New Roman" w:hAnsi="Times New Roman" w:cs="Times New Roman"/>
                <w:sz w:val="20"/>
                <w:szCs w:val="20"/>
              </w:rPr>
              <w:t xml:space="preserve">De R$1.800.000,01 a R$3.600.000,00 </w:t>
            </w:r>
          </w:p>
        </w:tc>
        <w:tc>
          <w:tcPr>
            <w:tcW w:w="1277" w:type="dxa"/>
            <w:shd w:val="clear" w:color="auto" w:fill="auto"/>
          </w:tcPr>
          <w:p w14:paraId="6FB1ABEA" w14:textId="77777777" w:rsidR="00C52601" w:rsidRPr="00A83237" w:rsidRDefault="00C52601" w:rsidP="00EB77A0">
            <w:pPr>
              <w:spacing w:line="259" w:lineRule="auto"/>
              <w:ind w:left="39" w:firstLine="0"/>
              <w:jc w:val="center"/>
              <w:rPr>
                <w:rFonts w:ascii="Times New Roman" w:hAnsi="Times New Roman" w:cs="Times New Roman"/>
                <w:sz w:val="20"/>
                <w:szCs w:val="20"/>
              </w:rPr>
            </w:pPr>
            <w:r w:rsidRPr="00A83237">
              <w:rPr>
                <w:rFonts w:ascii="Times New Roman" w:hAnsi="Times New Roman" w:cs="Times New Roman"/>
                <w:sz w:val="20"/>
                <w:szCs w:val="20"/>
              </w:rPr>
              <w:t xml:space="preserve">14,30% </w:t>
            </w:r>
          </w:p>
        </w:tc>
        <w:tc>
          <w:tcPr>
            <w:tcW w:w="2129" w:type="dxa"/>
            <w:shd w:val="clear" w:color="auto" w:fill="auto"/>
          </w:tcPr>
          <w:p w14:paraId="0E1D110B" w14:textId="77777777" w:rsidR="00C52601" w:rsidRPr="00A83237" w:rsidRDefault="00C52601" w:rsidP="00EB77A0">
            <w:pPr>
              <w:spacing w:line="259" w:lineRule="auto"/>
              <w:ind w:left="45" w:firstLine="0"/>
              <w:jc w:val="center"/>
              <w:rPr>
                <w:rFonts w:ascii="Times New Roman" w:hAnsi="Times New Roman" w:cs="Times New Roman"/>
                <w:sz w:val="20"/>
                <w:szCs w:val="20"/>
              </w:rPr>
            </w:pPr>
            <w:r w:rsidRPr="00A83237">
              <w:rPr>
                <w:rFonts w:ascii="Times New Roman" w:hAnsi="Times New Roman" w:cs="Times New Roman"/>
                <w:sz w:val="20"/>
                <w:szCs w:val="20"/>
              </w:rPr>
              <w:t xml:space="preserve"> R$87.300,00  </w:t>
            </w:r>
          </w:p>
        </w:tc>
      </w:tr>
      <w:tr w:rsidR="00C52601" w14:paraId="1E94A02C" w14:textId="77777777" w:rsidTr="00A83237">
        <w:trPr>
          <w:trHeight w:val="295"/>
        </w:trPr>
        <w:tc>
          <w:tcPr>
            <w:tcW w:w="1835" w:type="dxa"/>
            <w:shd w:val="clear" w:color="auto" w:fill="auto"/>
          </w:tcPr>
          <w:p w14:paraId="4B3812A0" w14:textId="77777777" w:rsidR="00C52601" w:rsidRPr="00A83237" w:rsidRDefault="00C52601" w:rsidP="00EB77A0">
            <w:pPr>
              <w:spacing w:line="259" w:lineRule="auto"/>
              <w:ind w:left="36" w:firstLine="0"/>
              <w:jc w:val="center"/>
              <w:rPr>
                <w:rFonts w:ascii="Times New Roman" w:hAnsi="Times New Roman" w:cs="Times New Roman"/>
                <w:sz w:val="20"/>
                <w:szCs w:val="20"/>
              </w:rPr>
            </w:pPr>
            <w:r w:rsidRPr="00A83237">
              <w:rPr>
                <w:rFonts w:ascii="Times New Roman" w:hAnsi="Times New Roman" w:cs="Times New Roman"/>
                <w:sz w:val="20"/>
                <w:szCs w:val="20"/>
              </w:rPr>
              <w:t xml:space="preserve">6ª Faixa </w:t>
            </w:r>
          </w:p>
        </w:tc>
        <w:tc>
          <w:tcPr>
            <w:tcW w:w="3828" w:type="dxa"/>
            <w:shd w:val="clear" w:color="auto" w:fill="auto"/>
          </w:tcPr>
          <w:p w14:paraId="412F7232" w14:textId="77777777" w:rsidR="00C52601" w:rsidRPr="00A83237" w:rsidRDefault="00C52601" w:rsidP="00EB77A0">
            <w:pPr>
              <w:spacing w:line="259" w:lineRule="auto"/>
              <w:ind w:firstLine="0"/>
              <w:jc w:val="left"/>
              <w:rPr>
                <w:rFonts w:ascii="Times New Roman" w:hAnsi="Times New Roman" w:cs="Times New Roman"/>
                <w:sz w:val="20"/>
                <w:szCs w:val="20"/>
              </w:rPr>
            </w:pPr>
            <w:r w:rsidRPr="00A83237">
              <w:rPr>
                <w:rFonts w:ascii="Times New Roman" w:hAnsi="Times New Roman" w:cs="Times New Roman"/>
                <w:sz w:val="20"/>
                <w:szCs w:val="20"/>
              </w:rPr>
              <w:t xml:space="preserve">De R$3.600.000,01 a R$4.800.000,00 </w:t>
            </w:r>
          </w:p>
        </w:tc>
        <w:tc>
          <w:tcPr>
            <w:tcW w:w="1277" w:type="dxa"/>
            <w:shd w:val="clear" w:color="auto" w:fill="auto"/>
          </w:tcPr>
          <w:p w14:paraId="543CBB7C" w14:textId="77777777" w:rsidR="00C52601" w:rsidRPr="00A83237" w:rsidRDefault="00C52601" w:rsidP="00EB77A0">
            <w:pPr>
              <w:spacing w:line="259" w:lineRule="auto"/>
              <w:ind w:left="39" w:firstLine="0"/>
              <w:jc w:val="center"/>
              <w:rPr>
                <w:rFonts w:ascii="Times New Roman" w:hAnsi="Times New Roman" w:cs="Times New Roman"/>
                <w:sz w:val="20"/>
                <w:szCs w:val="20"/>
              </w:rPr>
            </w:pPr>
            <w:r w:rsidRPr="00A83237">
              <w:rPr>
                <w:rFonts w:ascii="Times New Roman" w:hAnsi="Times New Roman" w:cs="Times New Roman"/>
                <w:sz w:val="20"/>
                <w:szCs w:val="20"/>
              </w:rPr>
              <w:t xml:space="preserve">19,00% </w:t>
            </w:r>
          </w:p>
        </w:tc>
        <w:tc>
          <w:tcPr>
            <w:tcW w:w="2129" w:type="dxa"/>
            <w:shd w:val="clear" w:color="auto" w:fill="auto"/>
          </w:tcPr>
          <w:p w14:paraId="38F15D4A" w14:textId="77777777" w:rsidR="00C52601" w:rsidRPr="00C52601" w:rsidRDefault="00C52601" w:rsidP="00EB77A0">
            <w:pPr>
              <w:spacing w:line="259" w:lineRule="auto"/>
              <w:ind w:left="47" w:firstLine="0"/>
              <w:jc w:val="center"/>
              <w:rPr>
                <w:rFonts w:ascii="Times New Roman" w:hAnsi="Times New Roman" w:cs="Times New Roman"/>
                <w:sz w:val="20"/>
                <w:szCs w:val="20"/>
              </w:rPr>
            </w:pPr>
            <w:r w:rsidRPr="00A83237">
              <w:rPr>
                <w:rFonts w:ascii="Times New Roman" w:hAnsi="Times New Roman" w:cs="Times New Roman"/>
                <w:sz w:val="20"/>
                <w:szCs w:val="20"/>
              </w:rPr>
              <w:t xml:space="preserve"> R$378.000,00</w:t>
            </w:r>
            <w:r w:rsidRPr="00C52601">
              <w:rPr>
                <w:rFonts w:ascii="Times New Roman" w:hAnsi="Times New Roman" w:cs="Times New Roman"/>
                <w:sz w:val="20"/>
                <w:szCs w:val="20"/>
              </w:rPr>
              <w:t xml:space="preserve">  </w:t>
            </w:r>
          </w:p>
        </w:tc>
      </w:tr>
    </w:tbl>
    <w:p w14:paraId="38467A03" w14:textId="3A5734C3" w:rsidR="00B55541" w:rsidRDefault="00C52601" w:rsidP="00DD01C6">
      <w:pPr>
        <w:spacing w:after="145" w:line="249" w:lineRule="auto"/>
        <w:ind w:left="10" w:hanging="10"/>
        <w:rPr>
          <w:sz w:val="20"/>
        </w:rPr>
      </w:pPr>
      <w:r>
        <w:rPr>
          <w:sz w:val="20"/>
        </w:rPr>
        <w:t xml:space="preserve">Fonte: Adaptado de </w:t>
      </w:r>
      <w:r w:rsidR="00D8569A">
        <w:rPr>
          <w:sz w:val="20"/>
        </w:rPr>
        <w:t>Brasil (2016).</w:t>
      </w:r>
    </w:p>
    <w:p w14:paraId="297C61B3" w14:textId="2F3EF3D1" w:rsidR="002A77E4" w:rsidRDefault="00DD01C6" w:rsidP="005D438E">
      <w:pPr>
        <w:spacing w:after="145" w:line="249" w:lineRule="auto"/>
        <w:ind w:left="10" w:firstLine="698"/>
      </w:pPr>
      <w:r>
        <w:t>No</w:t>
      </w:r>
      <w:r w:rsidRPr="00DD01C6">
        <w:t xml:space="preserve"> Anexo II – Indústria</w:t>
      </w:r>
      <w:r>
        <w:t xml:space="preserve"> e</w:t>
      </w:r>
      <w:r w:rsidRPr="00DD01C6">
        <w:t>stão inclusas neste anexo fábricas, indústrias e empresas industriais (lista completa no art. 18 da Lei Complementar nº 123/2006).</w:t>
      </w:r>
    </w:p>
    <w:p w14:paraId="67269DFA" w14:textId="6DB362D7" w:rsidR="004803AD" w:rsidRPr="00FC78B1" w:rsidRDefault="004803AD" w:rsidP="004803AD">
      <w:pPr>
        <w:ind w:firstLine="0"/>
      </w:pPr>
      <w:r>
        <w:t>Tabrla-</w:t>
      </w:r>
      <w:r w:rsidR="00951817">
        <w:t>3</w:t>
      </w:r>
      <w:r>
        <w:t xml:space="preserve"> </w:t>
      </w:r>
      <w:r w:rsidRPr="00DD01C6">
        <w:t>Alíquotas do Anexo I</w:t>
      </w:r>
      <w:r>
        <w:t xml:space="preserve">I – Industria </w:t>
      </w:r>
    </w:p>
    <w:tbl>
      <w:tblPr>
        <w:tblStyle w:val="TableGrid"/>
        <w:tblW w:w="9069" w:type="dxa"/>
        <w:tblInd w:w="7" w:type="dxa"/>
        <w:tblBorders>
          <w:top w:val="single" w:sz="4" w:space="0" w:color="auto"/>
          <w:bottom w:val="single" w:sz="4" w:space="0" w:color="auto"/>
          <w:insideH w:val="single" w:sz="4" w:space="0" w:color="auto"/>
          <w:insideV w:val="single" w:sz="4" w:space="0" w:color="auto"/>
        </w:tblBorders>
        <w:tblCellMar>
          <w:top w:w="60" w:type="dxa"/>
          <w:left w:w="71" w:type="dxa"/>
          <w:right w:w="115" w:type="dxa"/>
        </w:tblCellMar>
        <w:tblLook w:val="04A0" w:firstRow="1" w:lastRow="0" w:firstColumn="1" w:lastColumn="0" w:noHBand="0" w:noVBand="1"/>
      </w:tblPr>
      <w:tblGrid>
        <w:gridCol w:w="1698"/>
        <w:gridCol w:w="3971"/>
        <w:gridCol w:w="1418"/>
        <w:gridCol w:w="1982"/>
      </w:tblGrid>
      <w:tr w:rsidR="00DD01C6" w14:paraId="4F53395E" w14:textId="77777777" w:rsidTr="00A83237">
        <w:trPr>
          <w:trHeight w:val="284"/>
        </w:trPr>
        <w:tc>
          <w:tcPr>
            <w:tcW w:w="1698" w:type="dxa"/>
            <w:shd w:val="clear" w:color="auto" w:fill="auto"/>
          </w:tcPr>
          <w:p w14:paraId="2B1A57CB" w14:textId="77777777" w:rsidR="00DD01C6" w:rsidRPr="00DD01C6" w:rsidRDefault="00DD01C6" w:rsidP="00DD01C6">
            <w:pPr>
              <w:spacing w:line="259" w:lineRule="auto"/>
              <w:ind w:left="39" w:firstLine="0"/>
              <w:jc w:val="center"/>
              <w:rPr>
                <w:rFonts w:ascii="Times New Roman" w:hAnsi="Times New Roman" w:cs="Times New Roman"/>
                <w:bCs/>
                <w:sz w:val="20"/>
                <w:szCs w:val="20"/>
              </w:rPr>
            </w:pPr>
            <w:r w:rsidRPr="00DD01C6">
              <w:rPr>
                <w:rFonts w:ascii="Times New Roman" w:hAnsi="Times New Roman" w:cs="Times New Roman"/>
                <w:bCs/>
                <w:sz w:val="20"/>
                <w:szCs w:val="20"/>
              </w:rPr>
              <w:t xml:space="preserve">Faixas </w:t>
            </w:r>
          </w:p>
        </w:tc>
        <w:tc>
          <w:tcPr>
            <w:tcW w:w="3971" w:type="dxa"/>
            <w:shd w:val="clear" w:color="auto" w:fill="auto"/>
          </w:tcPr>
          <w:p w14:paraId="2CA6C11E" w14:textId="77777777" w:rsidR="00DD01C6" w:rsidRPr="00DD01C6" w:rsidRDefault="00DD01C6" w:rsidP="00DD01C6">
            <w:pPr>
              <w:spacing w:line="259" w:lineRule="auto"/>
              <w:ind w:left="39" w:firstLine="0"/>
              <w:jc w:val="left"/>
              <w:rPr>
                <w:rFonts w:ascii="Times New Roman" w:hAnsi="Times New Roman" w:cs="Times New Roman"/>
                <w:bCs/>
                <w:sz w:val="20"/>
                <w:szCs w:val="20"/>
              </w:rPr>
            </w:pPr>
            <w:r w:rsidRPr="00DD01C6">
              <w:rPr>
                <w:rFonts w:ascii="Times New Roman" w:hAnsi="Times New Roman" w:cs="Times New Roman"/>
                <w:bCs/>
                <w:sz w:val="20"/>
                <w:szCs w:val="20"/>
              </w:rPr>
              <w:t xml:space="preserve">Receita Bruta Acumulada (12 meses) </w:t>
            </w:r>
          </w:p>
        </w:tc>
        <w:tc>
          <w:tcPr>
            <w:tcW w:w="1418" w:type="dxa"/>
            <w:shd w:val="clear" w:color="auto" w:fill="auto"/>
          </w:tcPr>
          <w:p w14:paraId="144B627C" w14:textId="77777777" w:rsidR="00DD01C6" w:rsidRPr="00DD01C6" w:rsidRDefault="00DD01C6" w:rsidP="00DD01C6">
            <w:pPr>
              <w:spacing w:line="259" w:lineRule="auto"/>
              <w:ind w:left="39" w:firstLine="0"/>
              <w:jc w:val="center"/>
              <w:rPr>
                <w:rFonts w:ascii="Times New Roman" w:hAnsi="Times New Roman" w:cs="Times New Roman"/>
                <w:bCs/>
                <w:sz w:val="20"/>
                <w:szCs w:val="20"/>
              </w:rPr>
            </w:pPr>
            <w:r w:rsidRPr="00DD01C6">
              <w:rPr>
                <w:rFonts w:ascii="Times New Roman" w:hAnsi="Times New Roman" w:cs="Times New Roman"/>
                <w:bCs/>
                <w:sz w:val="20"/>
                <w:szCs w:val="20"/>
              </w:rPr>
              <w:t xml:space="preserve">Alíquota </w:t>
            </w:r>
          </w:p>
        </w:tc>
        <w:tc>
          <w:tcPr>
            <w:tcW w:w="1982" w:type="dxa"/>
            <w:shd w:val="clear" w:color="auto" w:fill="auto"/>
          </w:tcPr>
          <w:p w14:paraId="2B0DE692" w14:textId="77777777" w:rsidR="00DD01C6" w:rsidRPr="00DD01C6" w:rsidRDefault="00DD01C6" w:rsidP="00DD01C6">
            <w:pPr>
              <w:spacing w:line="259" w:lineRule="auto"/>
              <w:ind w:left="39" w:firstLine="0"/>
              <w:jc w:val="center"/>
              <w:rPr>
                <w:rFonts w:ascii="Times New Roman" w:hAnsi="Times New Roman" w:cs="Times New Roman"/>
                <w:bCs/>
                <w:sz w:val="20"/>
                <w:szCs w:val="20"/>
              </w:rPr>
            </w:pPr>
            <w:r w:rsidRPr="00DD01C6">
              <w:rPr>
                <w:rFonts w:ascii="Times New Roman" w:hAnsi="Times New Roman" w:cs="Times New Roman"/>
                <w:bCs/>
                <w:sz w:val="20"/>
                <w:szCs w:val="20"/>
              </w:rPr>
              <w:t xml:space="preserve">Valor a Deduzir </w:t>
            </w:r>
          </w:p>
        </w:tc>
      </w:tr>
      <w:tr w:rsidR="00DD01C6" w14:paraId="16398FAD" w14:textId="77777777" w:rsidTr="00A83237">
        <w:trPr>
          <w:trHeight w:val="284"/>
        </w:trPr>
        <w:tc>
          <w:tcPr>
            <w:tcW w:w="1698" w:type="dxa"/>
            <w:shd w:val="clear" w:color="auto" w:fill="auto"/>
          </w:tcPr>
          <w:p w14:paraId="46CCAC2E" w14:textId="77777777" w:rsidR="00DD01C6" w:rsidRPr="00DD01C6" w:rsidRDefault="00DD01C6" w:rsidP="00DD01C6">
            <w:pPr>
              <w:spacing w:line="259" w:lineRule="auto"/>
              <w:ind w:left="39" w:firstLine="0"/>
              <w:jc w:val="center"/>
              <w:rPr>
                <w:rFonts w:ascii="Times New Roman" w:hAnsi="Times New Roman" w:cs="Times New Roman"/>
                <w:bCs/>
                <w:sz w:val="20"/>
                <w:szCs w:val="20"/>
              </w:rPr>
            </w:pPr>
            <w:r w:rsidRPr="00DD01C6">
              <w:rPr>
                <w:rFonts w:ascii="Times New Roman" w:hAnsi="Times New Roman" w:cs="Times New Roman"/>
                <w:bCs/>
                <w:sz w:val="20"/>
                <w:szCs w:val="20"/>
              </w:rPr>
              <w:t xml:space="preserve">1ª Faixa </w:t>
            </w:r>
          </w:p>
        </w:tc>
        <w:tc>
          <w:tcPr>
            <w:tcW w:w="3971" w:type="dxa"/>
            <w:shd w:val="clear" w:color="auto" w:fill="auto"/>
          </w:tcPr>
          <w:p w14:paraId="34F6432B" w14:textId="77777777" w:rsidR="00DD01C6" w:rsidRPr="00DD01C6" w:rsidRDefault="00DD01C6" w:rsidP="00DD01C6">
            <w:pPr>
              <w:spacing w:line="259" w:lineRule="auto"/>
              <w:ind w:left="39" w:firstLine="0"/>
              <w:jc w:val="left"/>
              <w:rPr>
                <w:rFonts w:ascii="Times New Roman" w:hAnsi="Times New Roman" w:cs="Times New Roman"/>
                <w:bCs/>
                <w:sz w:val="20"/>
                <w:szCs w:val="20"/>
              </w:rPr>
            </w:pPr>
            <w:r w:rsidRPr="00DD01C6">
              <w:rPr>
                <w:rFonts w:ascii="Times New Roman" w:hAnsi="Times New Roman" w:cs="Times New Roman"/>
                <w:bCs/>
                <w:sz w:val="20"/>
                <w:szCs w:val="20"/>
              </w:rPr>
              <w:t xml:space="preserve">Até R$180.000,00 </w:t>
            </w:r>
          </w:p>
        </w:tc>
        <w:tc>
          <w:tcPr>
            <w:tcW w:w="1418" w:type="dxa"/>
            <w:shd w:val="clear" w:color="auto" w:fill="auto"/>
          </w:tcPr>
          <w:p w14:paraId="667B9605" w14:textId="77777777" w:rsidR="00DD01C6" w:rsidRPr="00DD01C6" w:rsidRDefault="00DD01C6" w:rsidP="00DD01C6">
            <w:pPr>
              <w:spacing w:line="259" w:lineRule="auto"/>
              <w:ind w:left="39" w:firstLine="0"/>
              <w:jc w:val="center"/>
              <w:rPr>
                <w:rFonts w:ascii="Times New Roman" w:hAnsi="Times New Roman" w:cs="Times New Roman"/>
                <w:bCs/>
                <w:sz w:val="20"/>
                <w:szCs w:val="20"/>
              </w:rPr>
            </w:pPr>
            <w:r w:rsidRPr="00DD01C6">
              <w:rPr>
                <w:rFonts w:ascii="Times New Roman" w:hAnsi="Times New Roman" w:cs="Times New Roman"/>
                <w:bCs/>
                <w:sz w:val="20"/>
                <w:szCs w:val="20"/>
              </w:rPr>
              <w:t xml:space="preserve">4,50% </w:t>
            </w:r>
          </w:p>
        </w:tc>
        <w:tc>
          <w:tcPr>
            <w:tcW w:w="1982" w:type="dxa"/>
            <w:shd w:val="clear" w:color="auto" w:fill="auto"/>
          </w:tcPr>
          <w:p w14:paraId="2E373002" w14:textId="77777777" w:rsidR="00DD01C6" w:rsidRPr="00DD01C6" w:rsidRDefault="00DD01C6" w:rsidP="00DD01C6">
            <w:pPr>
              <w:spacing w:line="259" w:lineRule="auto"/>
              <w:ind w:left="39" w:firstLine="0"/>
              <w:jc w:val="center"/>
              <w:rPr>
                <w:rFonts w:ascii="Times New Roman" w:hAnsi="Times New Roman" w:cs="Times New Roman"/>
                <w:bCs/>
                <w:sz w:val="20"/>
                <w:szCs w:val="20"/>
              </w:rPr>
            </w:pPr>
            <w:r w:rsidRPr="00DD01C6">
              <w:rPr>
                <w:rFonts w:ascii="Times New Roman" w:hAnsi="Times New Roman" w:cs="Times New Roman"/>
                <w:bCs/>
                <w:sz w:val="20"/>
                <w:szCs w:val="20"/>
              </w:rPr>
              <w:t xml:space="preserve"> -  </w:t>
            </w:r>
          </w:p>
        </w:tc>
      </w:tr>
      <w:tr w:rsidR="00DD01C6" w14:paraId="5E0CC9EC" w14:textId="77777777" w:rsidTr="00A83237">
        <w:trPr>
          <w:trHeight w:val="284"/>
        </w:trPr>
        <w:tc>
          <w:tcPr>
            <w:tcW w:w="1698" w:type="dxa"/>
            <w:shd w:val="clear" w:color="auto" w:fill="auto"/>
          </w:tcPr>
          <w:p w14:paraId="3949963F" w14:textId="77777777" w:rsidR="00DD01C6" w:rsidRPr="00DD01C6" w:rsidRDefault="00DD01C6" w:rsidP="00DD01C6">
            <w:pPr>
              <w:spacing w:line="259" w:lineRule="auto"/>
              <w:ind w:left="39" w:firstLine="0"/>
              <w:jc w:val="center"/>
              <w:rPr>
                <w:rFonts w:ascii="Times New Roman" w:hAnsi="Times New Roman" w:cs="Times New Roman"/>
                <w:bCs/>
                <w:sz w:val="20"/>
                <w:szCs w:val="20"/>
              </w:rPr>
            </w:pPr>
            <w:r w:rsidRPr="00DD01C6">
              <w:rPr>
                <w:rFonts w:ascii="Times New Roman" w:hAnsi="Times New Roman" w:cs="Times New Roman"/>
                <w:bCs/>
                <w:sz w:val="20"/>
                <w:szCs w:val="20"/>
              </w:rPr>
              <w:t xml:space="preserve">2ª Faixa </w:t>
            </w:r>
          </w:p>
        </w:tc>
        <w:tc>
          <w:tcPr>
            <w:tcW w:w="3971" w:type="dxa"/>
            <w:shd w:val="clear" w:color="auto" w:fill="auto"/>
          </w:tcPr>
          <w:p w14:paraId="5715C3C8" w14:textId="77777777" w:rsidR="00DD01C6" w:rsidRPr="00DD01C6" w:rsidRDefault="00DD01C6" w:rsidP="00DD01C6">
            <w:pPr>
              <w:spacing w:line="259" w:lineRule="auto"/>
              <w:ind w:left="39" w:firstLine="0"/>
              <w:jc w:val="left"/>
              <w:rPr>
                <w:rFonts w:ascii="Times New Roman" w:hAnsi="Times New Roman" w:cs="Times New Roman"/>
                <w:bCs/>
                <w:sz w:val="20"/>
                <w:szCs w:val="20"/>
              </w:rPr>
            </w:pPr>
            <w:r w:rsidRPr="00DD01C6">
              <w:rPr>
                <w:rFonts w:ascii="Times New Roman" w:hAnsi="Times New Roman" w:cs="Times New Roman"/>
                <w:bCs/>
                <w:sz w:val="20"/>
                <w:szCs w:val="20"/>
              </w:rPr>
              <w:t xml:space="preserve">De R$180.000,01 a R$360.000,00 </w:t>
            </w:r>
          </w:p>
        </w:tc>
        <w:tc>
          <w:tcPr>
            <w:tcW w:w="1418" w:type="dxa"/>
            <w:shd w:val="clear" w:color="auto" w:fill="auto"/>
          </w:tcPr>
          <w:p w14:paraId="7904A1C6" w14:textId="77777777" w:rsidR="00DD01C6" w:rsidRPr="00DD01C6" w:rsidRDefault="00DD01C6" w:rsidP="00DD01C6">
            <w:pPr>
              <w:spacing w:line="259" w:lineRule="auto"/>
              <w:ind w:left="39" w:firstLine="0"/>
              <w:jc w:val="center"/>
              <w:rPr>
                <w:rFonts w:ascii="Times New Roman" w:hAnsi="Times New Roman" w:cs="Times New Roman"/>
                <w:bCs/>
                <w:sz w:val="20"/>
                <w:szCs w:val="20"/>
              </w:rPr>
            </w:pPr>
            <w:r w:rsidRPr="00DD01C6">
              <w:rPr>
                <w:rFonts w:ascii="Times New Roman" w:hAnsi="Times New Roman" w:cs="Times New Roman"/>
                <w:bCs/>
                <w:sz w:val="20"/>
                <w:szCs w:val="20"/>
              </w:rPr>
              <w:t xml:space="preserve">7,80% </w:t>
            </w:r>
          </w:p>
        </w:tc>
        <w:tc>
          <w:tcPr>
            <w:tcW w:w="1982" w:type="dxa"/>
            <w:shd w:val="clear" w:color="auto" w:fill="auto"/>
          </w:tcPr>
          <w:p w14:paraId="41BF2C21" w14:textId="77777777" w:rsidR="00DD01C6" w:rsidRPr="00DD01C6" w:rsidRDefault="00DD01C6" w:rsidP="00DD01C6">
            <w:pPr>
              <w:spacing w:line="259" w:lineRule="auto"/>
              <w:ind w:left="39" w:firstLine="0"/>
              <w:jc w:val="center"/>
              <w:rPr>
                <w:rFonts w:ascii="Times New Roman" w:hAnsi="Times New Roman" w:cs="Times New Roman"/>
                <w:bCs/>
                <w:sz w:val="20"/>
                <w:szCs w:val="20"/>
              </w:rPr>
            </w:pPr>
            <w:r w:rsidRPr="00DD01C6">
              <w:rPr>
                <w:rFonts w:ascii="Times New Roman" w:hAnsi="Times New Roman" w:cs="Times New Roman"/>
                <w:bCs/>
                <w:sz w:val="20"/>
                <w:szCs w:val="20"/>
              </w:rPr>
              <w:t xml:space="preserve"> R$5.940,00  </w:t>
            </w:r>
          </w:p>
        </w:tc>
      </w:tr>
      <w:tr w:rsidR="00DD01C6" w14:paraId="6337F5A6" w14:textId="77777777" w:rsidTr="00A83237">
        <w:trPr>
          <w:trHeight w:val="284"/>
        </w:trPr>
        <w:tc>
          <w:tcPr>
            <w:tcW w:w="1698" w:type="dxa"/>
            <w:shd w:val="clear" w:color="auto" w:fill="auto"/>
          </w:tcPr>
          <w:p w14:paraId="2BAB5E11" w14:textId="77777777" w:rsidR="00DD01C6" w:rsidRPr="00DD01C6" w:rsidRDefault="00DD01C6" w:rsidP="00DD01C6">
            <w:pPr>
              <w:spacing w:line="259" w:lineRule="auto"/>
              <w:ind w:left="39" w:firstLine="0"/>
              <w:jc w:val="center"/>
              <w:rPr>
                <w:rFonts w:ascii="Times New Roman" w:hAnsi="Times New Roman" w:cs="Times New Roman"/>
                <w:bCs/>
                <w:sz w:val="20"/>
                <w:szCs w:val="20"/>
              </w:rPr>
            </w:pPr>
            <w:r w:rsidRPr="00DD01C6">
              <w:rPr>
                <w:rFonts w:ascii="Times New Roman" w:hAnsi="Times New Roman" w:cs="Times New Roman"/>
                <w:bCs/>
                <w:sz w:val="20"/>
                <w:szCs w:val="20"/>
              </w:rPr>
              <w:t xml:space="preserve">3ª Faixa </w:t>
            </w:r>
          </w:p>
        </w:tc>
        <w:tc>
          <w:tcPr>
            <w:tcW w:w="3971" w:type="dxa"/>
            <w:shd w:val="clear" w:color="auto" w:fill="auto"/>
          </w:tcPr>
          <w:p w14:paraId="68448B43" w14:textId="77777777" w:rsidR="00DD01C6" w:rsidRPr="00DD01C6" w:rsidRDefault="00DD01C6" w:rsidP="00DD01C6">
            <w:pPr>
              <w:spacing w:line="259" w:lineRule="auto"/>
              <w:ind w:left="39" w:firstLine="0"/>
              <w:jc w:val="left"/>
              <w:rPr>
                <w:rFonts w:ascii="Times New Roman" w:hAnsi="Times New Roman" w:cs="Times New Roman"/>
                <w:bCs/>
                <w:sz w:val="20"/>
                <w:szCs w:val="20"/>
              </w:rPr>
            </w:pPr>
            <w:r w:rsidRPr="00DD01C6">
              <w:rPr>
                <w:rFonts w:ascii="Times New Roman" w:hAnsi="Times New Roman" w:cs="Times New Roman"/>
                <w:bCs/>
                <w:sz w:val="20"/>
                <w:szCs w:val="20"/>
              </w:rPr>
              <w:t xml:space="preserve">De R$360.000,01 a R$720.000,00 </w:t>
            </w:r>
          </w:p>
        </w:tc>
        <w:tc>
          <w:tcPr>
            <w:tcW w:w="1418" w:type="dxa"/>
            <w:shd w:val="clear" w:color="auto" w:fill="auto"/>
          </w:tcPr>
          <w:p w14:paraId="289F886C" w14:textId="77777777" w:rsidR="00DD01C6" w:rsidRPr="00DD01C6" w:rsidRDefault="00DD01C6" w:rsidP="00DD01C6">
            <w:pPr>
              <w:spacing w:line="259" w:lineRule="auto"/>
              <w:ind w:left="39" w:firstLine="0"/>
              <w:jc w:val="center"/>
              <w:rPr>
                <w:rFonts w:ascii="Times New Roman" w:hAnsi="Times New Roman" w:cs="Times New Roman"/>
                <w:bCs/>
                <w:sz w:val="20"/>
                <w:szCs w:val="20"/>
              </w:rPr>
            </w:pPr>
            <w:r w:rsidRPr="00DD01C6">
              <w:rPr>
                <w:rFonts w:ascii="Times New Roman" w:hAnsi="Times New Roman" w:cs="Times New Roman"/>
                <w:bCs/>
                <w:sz w:val="20"/>
                <w:szCs w:val="20"/>
              </w:rPr>
              <w:t xml:space="preserve">10,00% </w:t>
            </w:r>
          </w:p>
        </w:tc>
        <w:tc>
          <w:tcPr>
            <w:tcW w:w="1982" w:type="dxa"/>
            <w:shd w:val="clear" w:color="auto" w:fill="auto"/>
          </w:tcPr>
          <w:p w14:paraId="0B414D1D" w14:textId="77777777" w:rsidR="00DD01C6" w:rsidRPr="00DD01C6" w:rsidRDefault="00DD01C6" w:rsidP="00DD01C6">
            <w:pPr>
              <w:spacing w:line="259" w:lineRule="auto"/>
              <w:ind w:left="39" w:firstLine="0"/>
              <w:jc w:val="center"/>
              <w:rPr>
                <w:rFonts w:ascii="Times New Roman" w:hAnsi="Times New Roman" w:cs="Times New Roman"/>
                <w:bCs/>
                <w:sz w:val="20"/>
                <w:szCs w:val="20"/>
              </w:rPr>
            </w:pPr>
            <w:r w:rsidRPr="00DD01C6">
              <w:rPr>
                <w:rFonts w:ascii="Times New Roman" w:hAnsi="Times New Roman" w:cs="Times New Roman"/>
                <w:bCs/>
                <w:sz w:val="20"/>
                <w:szCs w:val="20"/>
              </w:rPr>
              <w:t xml:space="preserve"> R$13.860,00  </w:t>
            </w:r>
          </w:p>
        </w:tc>
      </w:tr>
      <w:tr w:rsidR="00DD01C6" w14:paraId="0D0D38F7" w14:textId="77777777" w:rsidTr="00A83237">
        <w:trPr>
          <w:trHeight w:val="284"/>
        </w:trPr>
        <w:tc>
          <w:tcPr>
            <w:tcW w:w="1698" w:type="dxa"/>
            <w:shd w:val="clear" w:color="auto" w:fill="auto"/>
          </w:tcPr>
          <w:p w14:paraId="74D7D045" w14:textId="77777777" w:rsidR="00DD01C6" w:rsidRPr="00DD01C6" w:rsidRDefault="00DD01C6" w:rsidP="00DD01C6">
            <w:pPr>
              <w:spacing w:line="259" w:lineRule="auto"/>
              <w:ind w:left="39" w:firstLine="0"/>
              <w:jc w:val="center"/>
              <w:rPr>
                <w:rFonts w:ascii="Times New Roman" w:hAnsi="Times New Roman" w:cs="Times New Roman"/>
                <w:bCs/>
                <w:sz w:val="20"/>
                <w:szCs w:val="20"/>
              </w:rPr>
            </w:pPr>
            <w:r w:rsidRPr="00DD01C6">
              <w:rPr>
                <w:rFonts w:ascii="Times New Roman" w:hAnsi="Times New Roman" w:cs="Times New Roman"/>
                <w:bCs/>
                <w:sz w:val="20"/>
                <w:szCs w:val="20"/>
              </w:rPr>
              <w:t xml:space="preserve">4ª Faixa </w:t>
            </w:r>
          </w:p>
        </w:tc>
        <w:tc>
          <w:tcPr>
            <w:tcW w:w="3971" w:type="dxa"/>
            <w:shd w:val="clear" w:color="auto" w:fill="auto"/>
          </w:tcPr>
          <w:p w14:paraId="165DE7A5" w14:textId="77777777" w:rsidR="00DD01C6" w:rsidRPr="00DD01C6" w:rsidRDefault="00DD01C6" w:rsidP="00DD01C6">
            <w:pPr>
              <w:spacing w:line="259" w:lineRule="auto"/>
              <w:ind w:left="39" w:firstLine="0"/>
              <w:jc w:val="left"/>
              <w:rPr>
                <w:rFonts w:ascii="Times New Roman" w:hAnsi="Times New Roman" w:cs="Times New Roman"/>
                <w:bCs/>
                <w:sz w:val="20"/>
                <w:szCs w:val="20"/>
              </w:rPr>
            </w:pPr>
            <w:r w:rsidRPr="00DD01C6">
              <w:rPr>
                <w:rFonts w:ascii="Times New Roman" w:hAnsi="Times New Roman" w:cs="Times New Roman"/>
                <w:bCs/>
                <w:sz w:val="20"/>
                <w:szCs w:val="20"/>
              </w:rPr>
              <w:t xml:space="preserve">De R$720.000,01 a R$1.800.000,00 </w:t>
            </w:r>
          </w:p>
        </w:tc>
        <w:tc>
          <w:tcPr>
            <w:tcW w:w="1418" w:type="dxa"/>
            <w:shd w:val="clear" w:color="auto" w:fill="auto"/>
          </w:tcPr>
          <w:p w14:paraId="2B8C7318" w14:textId="77777777" w:rsidR="00DD01C6" w:rsidRPr="00DD01C6" w:rsidRDefault="00DD01C6" w:rsidP="00DD01C6">
            <w:pPr>
              <w:spacing w:line="259" w:lineRule="auto"/>
              <w:ind w:left="39" w:firstLine="0"/>
              <w:jc w:val="center"/>
              <w:rPr>
                <w:rFonts w:ascii="Times New Roman" w:hAnsi="Times New Roman" w:cs="Times New Roman"/>
                <w:bCs/>
                <w:sz w:val="20"/>
                <w:szCs w:val="20"/>
              </w:rPr>
            </w:pPr>
            <w:r w:rsidRPr="00DD01C6">
              <w:rPr>
                <w:rFonts w:ascii="Times New Roman" w:hAnsi="Times New Roman" w:cs="Times New Roman"/>
                <w:bCs/>
                <w:sz w:val="20"/>
                <w:szCs w:val="20"/>
              </w:rPr>
              <w:t xml:space="preserve">11,20% </w:t>
            </w:r>
          </w:p>
        </w:tc>
        <w:tc>
          <w:tcPr>
            <w:tcW w:w="1982" w:type="dxa"/>
            <w:shd w:val="clear" w:color="auto" w:fill="auto"/>
          </w:tcPr>
          <w:p w14:paraId="46282481" w14:textId="77777777" w:rsidR="00DD01C6" w:rsidRPr="00DD01C6" w:rsidRDefault="00DD01C6" w:rsidP="00DD01C6">
            <w:pPr>
              <w:spacing w:line="259" w:lineRule="auto"/>
              <w:ind w:left="39" w:firstLine="0"/>
              <w:jc w:val="center"/>
              <w:rPr>
                <w:rFonts w:ascii="Times New Roman" w:hAnsi="Times New Roman" w:cs="Times New Roman"/>
                <w:bCs/>
                <w:sz w:val="20"/>
                <w:szCs w:val="20"/>
              </w:rPr>
            </w:pPr>
            <w:r w:rsidRPr="00DD01C6">
              <w:rPr>
                <w:rFonts w:ascii="Times New Roman" w:hAnsi="Times New Roman" w:cs="Times New Roman"/>
                <w:bCs/>
                <w:sz w:val="20"/>
                <w:szCs w:val="20"/>
              </w:rPr>
              <w:t xml:space="preserve"> R$22.500,00  </w:t>
            </w:r>
          </w:p>
        </w:tc>
      </w:tr>
      <w:tr w:rsidR="00DD01C6" w14:paraId="7608EBCE" w14:textId="77777777" w:rsidTr="00A83237">
        <w:trPr>
          <w:trHeight w:val="284"/>
        </w:trPr>
        <w:tc>
          <w:tcPr>
            <w:tcW w:w="1698" w:type="dxa"/>
            <w:shd w:val="clear" w:color="auto" w:fill="auto"/>
          </w:tcPr>
          <w:p w14:paraId="4F4F15E0" w14:textId="77777777" w:rsidR="00DD01C6" w:rsidRPr="00DD01C6" w:rsidRDefault="00DD01C6" w:rsidP="00DD01C6">
            <w:pPr>
              <w:spacing w:line="259" w:lineRule="auto"/>
              <w:ind w:left="39" w:firstLine="0"/>
              <w:jc w:val="center"/>
              <w:rPr>
                <w:rFonts w:ascii="Times New Roman" w:hAnsi="Times New Roman" w:cs="Times New Roman"/>
                <w:bCs/>
                <w:sz w:val="20"/>
                <w:szCs w:val="20"/>
              </w:rPr>
            </w:pPr>
            <w:r w:rsidRPr="00DD01C6">
              <w:rPr>
                <w:rFonts w:ascii="Times New Roman" w:hAnsi="Times New Roman" w:cs="Times New Roman"/>
                <w:bCs/>
                <w:sz w:val="20"/>
                <w:szCs w:val="20"/>
              </w:rPr>
              <w:t xml:space="preserve">5ª Faixa </w:t>
            </w:r>
          </w:p>
        </w:tc>
        <w:tc>
          <w:tcPr>
            <w:tcW w:w="3971" w:type="dxa"/>
            <w:shd w:val="clear" w:color="auto" w:fill="auto"/>
          </w:tcPr>
          <w:p w14:paraId="28070A6B" w14:textId="77777777" w:rsidR="00DD01C6" w:rsidRPr="00DD01C6" w:rsidRDefault="00DD01C6" w:rsidP="00DD01C6">
            <w:pPr>
              <w:spacing w:line="259" w:lineRule="auto"/>
              <w:ind w:left="39" w:firstLine="0"/>
              <w:jc w:val="left"/>
              <w:rPr>
                <w:rFonts w:ascii="Times New Roman" w:hAnsi="Times New Roman" w:cs="Times New Roman"/>
                <w:bCs/>
                <w:sz w:val="20"/>
                <w:szCs w:val="20"/>
              </w:rPr>
            </w:pPr>
            <w:r w:rsidRPr="00DD01C6">
              <w:rPr>
                <w:rFonts w:ascii="Times New Roman" w:hAnsi="Times New Roman" w:cs="Times New Roman"/>
                <w:bCs/>
                <w:sz w:val="20"/>
                <w:szCs w:val="20"/>
              </w:rPr>
              <w:t xml:space="preserve">De R$1.800.000,01 a R$3.600.000,00 </w:t>
            </w:r>
          </w:p>
        </w:tc>
        <w:tc>
          <w:tcPr>
            <w:tcW w:w="1418" w:type="dxa"/>
            <w:shd w:val="clear" w:color="auto" w:fill="auto"/>
          </w:tcPr>
          <w:p w14:paraId="31276EC2" w14:textId="77777777" w:rsidR="00DD01C6" w:rsidRPr="00DD01C6" w:rsidRDefault="00DD01C6" w:rsidP="00DD01C6">
            <w:pPr>
              <w:spacing w:line="259" w:lineRule="auto"/>
              <w:ind w:left="39" w:firstLine="0"/>
              <w:jc w:val="center"/>
              <w:rPr>
                <w:rFonts w:ascii="Times New Roman" w:hAnsi="Times New Roman" w:cs="Times New Roman"/>
                <w:bCs/>
                <w:sz w:val="20"/>
                <w:szCs w:val="20"/>
              </w:rPr>
            </w:pPr>
            <w:r w:rsidRPr="00DD01C6">
              <w:rPr>
                <w:rFonts w:ascii="Times New Roman" w:hAnsi="Times New Roman" w:cs="Times New Roman"/>
                <w:bCs/>
                <w:sz w:val="20"/>
                <w:szCs w:val="20"/>
              </w:rPr>
              <w:t xml:space="preserve">14,70% </w:t>
            </w:r>
          </w:p>
        </w:tc>
        <w:tc>
          <w:tcPr>
            <w:tcW w:w="1982" w:type="dxa"/>
            <w:shd w:val="clear" w:color="auto" w:fill="auto"/>
          </w:tcPr>
          <w:p w14:paraId="50D0D1AE" w14:textId="77777777" w:rsidR="00DD01C6" w:rsidRPr="00DD01C6" w:rsidRDefault="00DD01C6" w:rsidP="00DD01C6">
            <w:pPr>
              <w:spacing w:line="259" w:lineRule="auto"/>
              <w:ind w:left="39" w:firstLine="0"/>
              <w:jc w:val="center"/>
              <w:rPr>
                <w:rFonts w:ascii="Times New Roman" w:hAnsi="Times New Roman" w:cs="Times New Roman"/>
                <w:bCs/>
                <w:sz w:val="20"/>
                <w:szCs w:val="20"/>
              </w:rPr>
            </w:pPr>
            <w:r w:rsidRPr="00DD01C6">
              <w:rPr>
                <w:rFonts w:ascii="Times New Roman" w:hAnsi="Times New Roman" w:cs="Times New Roman"/>
                <w:bCs/>
                <w:sz w:val="20"/>
                <w:szCs w:val="20"/>
              </w:rPr>
              <w:t xml:space="preserve"> R$85.500,00  </w:t>
            </w:r>
          </w:p>
        </w:tc>
      </w:tr>
      <w:tr w:rsidR="00DD01C6" w14:paraId="2F7DA025" w14:textId="77777777" w:rsidTr="00A83237">
        <w:trPr>
          <w:trHeight w:val="284"/>
        </w:trPr>
        <w:tc>
          <w:tcPr>
            <w:tcW w:w="1698" w:type="dxa"/>
            <w:shd w:val="clear" w:color="auto" w:fill="auto"/>
          </w:tcPr>
          <w:p w14:paraId="4F4B37BE" w14:textId="77777777" w:rsidR="00DD01C6" w:rsidRPr="00DD01C6" w:rsidRDefault="00DD01C6" w:rsidP="00DD01C6">
            <w:pPr>
              <w:spacing w:line="259" w:lineRule="auto"/>
              <w:ind w:left="39" w:firstLine="0"/>
              <w:jc w:val="center"/>
              <w:rPr>
                <w:rFonts w:ascii="Times New Roman" w:hAnsi="Times New Roman" w:cs="Times New Roman"/>
                <w:bCs/>
                <w:sz w:val="20"/>
                <w:szCs w:val="20"/>
              </w:rPr>
            </w:pPr>
            <w:r w:rsidRPr="00DD01C6">
              <w:rPr>
                <w:rFonts w:ascii="Times New Roman" w:hAnsi="Times New Roman" w:cs="Times New Roman"/>
                <w:bCs/>
                <w:sz w:val="20"/>
                <w:szCs w:val="20"/>
              </w:rPr>
              <w:t xml:space="preserve">6ª Faixa </w:t>
            </w:r>
          </w:p>
        </w:tc>
        <w:tc>
          <w:tcPr>
            <w:tcW w:w="3971" w:type="dxa"/>
            <w:shd w:val="clear" w:color="auto" w:fill="auto"/>
          </w:tcPr>
          <w:p w14:paraId="13A6623F" w14:textId="77777777" w:rsidR="00DD01C6" w:rsidRPr="00DD01C6" w:rsidRDefault="00DD01C6" w:rsidP="00DD01C6">
            <w:pPr>
              <w:spacing w:line="259" w:lineRule="auto"/>
              <w:ind w:left="39" w:firstLine="0"/>
              <w:jc w:val="left"/>
              <w:rPr>
                <w:rFonts w:ascii="Times New Roman" w:hAnsi="Times New Roman" w:cs="Times New Roman"/>
                <w:bCs/>
                <w:sz w:val="20"/>
                <w:szCs w:val="20"/>
              </w:rPr>
            </w:pPr>
            <w:r w:rsidRPr="00DD01C6">
              <w:rPr>
                <w:rFonts w:ascii="Times New Roman" w:hAnsi="Times New Roman" w:cs="Times New Roman"/>
                <w:bCs/>
                <w:sz w:val="20"/>
                <w:szCs w:val="20"/>
              </w:rPr>
              <w:t xml:space="preserve">De R$3.600.000,01 a R$4.800.000,00 </w:t>
            </w:r>
          </w:p>
        </w:tc>
        <w:tc>
          <w:tcPr>
            <w:tcW w:w="1418" w:type="dxa"/>
            <w:shd w:val="clear" w:color="auto" w:fill="auto"/>
          </w:tcPr>
          <w:p w14:paraId="7113C5C7" w14:textId="77777777" w:rsidR="00DD01C6" w:rsidRPr="00DD01C6" w:rsidRDefault="00DD01C6" w:rsidP="00DD01C6">
            <w:pPr>
              <w:spacing w:line="259" w:lineRule="auto"/>
              <w:ind w:left="39" w:firstLine="0"/>
              <w:jc w:val="center"/>
              <w:rPr>
                <w:rFonts w:ascii="Times New Roman" w:hAnsi="Times New Roman" w:cs="Times New Roman"/>
                <w:bCs/>
                <w:sz w:val="20"/>
                <w:szCs w:val="20"/>
              </w:rPr>
            </w:pPr>
            <w:r w:rsidRPr="00DD01C6">
              <w:rPr>
                <w:rFonts w:ascii="Times New Roman" w:hAnsi="Times New Roman" w:cs="Times New Roman"/>
                <w:bCs/>
                <w:sz w:val="20"/>
                <w:szCs w:val="20"/>
              </w:rPr>
              <w:t xml:space="preserve">30,00% </w:t>
            </w:r>
          </w:p>
        </w:tc>
        <w:tc>
          <w:tcPr>
            <w:tcW w:w="1982" w:type="dxa"/>
            <w:shd w:val="clear" w:color="auto" w:fill="auto"/>
          </w:tcPr>
          <w:p w14:paraId="1E975AA8" w14:textId="77777777" w:rsidR="00DD01C6" w:rsidRPr="00DD01C6" w:rsidRDefault="00DD01C6" w:rsidP="00DD01C6">
            <w:pPr>
              <w:spacing w:line="259" w:lineRule="auto"/>
              <w:ind w:left="39" w:firstLine="0"/>
              <w:jc w:val="center"/>
              <w:rPr>
                <w:rFonts w:ascii="Times New Roman" w:hAnsi="Times New Roman" w:cs="Times New Roman"/>
                <w:bCs/>
                <w:sz w:val="20"/>
                <w:szCs w:val="20"/>
              </w:rPr>
            </w:pPr>
            <w:r w:rsidRPr="00DD01C6">
              <w:rPr>
                <w:rFonts w:ascii="Times New Roman" w:hAnsi="Times New Roman" w:cs="Times New Roman"/>
                <w:bCs/>
                <w:sz w:val="20"/>
                <w:szCs w:val="20"/>
              </w:rPr>
              <w:t xml:space="preserve"> R$720.000,00  </w:t>
            </w:r>
          </w:p>
        </w:tc>
      </w:tr>
    </w:tbl>
    <w:p w14:paraId="5A7836F2" w14:textId="7FDA78F5" w:rsidR="00DD01C6" w:rsidRDefault="00DD01C6" w:rsidP="00DD01C6">
      <w:pPr>
        <w:spacing w:after="145" w:line="249" w:lineRule="auto"/>
        <w:ind w:left="10" w:hanging="10"/>
        <w:rPr>
          <w:sz w:val="20"/>
        </w:rPr>
      </w:pPr>
      <w:r>
        <w:rPr>
          <w:sz w:val="20"/>
        </w:rPr>
        <w:t xml:space="preserve">Fonte: Adaptado </w:t>
      </w:r>
      <w:r w:rsidR="00D8569A">
        <w:rPr>
          <w:sz w:val="20"/>
        </w:rPr>
        <w:t>de Brasil (2016).</w:t>
      </w:r>
    </w:p>
    <w:p w14:paraId="30179AD7" w14:textId="77777777" w:rsidR="002A77E4" w:rsidRDefault="002A77E4" w:rsidP="00B55541">
      <w:pPr>
        <w:ind w:firstLine="0"/>
        <w:rPr>
          <w:b/>
          <w:bCs/>
        </w:rPr>
      </w:pPr>
    </w:p>
    <w:p w14:paraId="5AEAF993" w14:textId="22CD0112" w:rsidR="00B55541" w:rsidRDefault="00B55541" w:rsidP="00B55541">
      <w:pPr>
        <w:ind w:firstLine="0"/>
        <w:rPr>
          <w:b/>
          <w:bCs/>
        </w:rPr>
      </w:pPr>
      <w:r w:rsidRPr="006547D0">
        <w:rPr>
          <w:b/>
          <w:bCs/>
        </w:rPr>
        <w:lastRenderedPageBreak/>
        <w:t>2.</w:t>
      </w:r>
      <w:r>
        <w:rPr>
          <w:b/>
          <w:bCs/>
        </w:rPr>
        <w:t>3</w:t>
      </w:r>
      <w:r w:rsidRPr="006547D0">
        <w:rPr>
          <w:b/>
          <w:bCs/>
        </w:rPr>
        <w:t xml:space="preserve"> </w:t>
      </w:r>
      <w:r>
        <w:rPr>
          <w:b/>
          <w:bCs/>
        </w:rPr>
        <w:t xml:space="preserve">Pesquisas </w:t>
      </w:r>
      <w:r w:rsidR="00465509">
        <w:rPr>
          <w:b/>
          <w:bCs/>
        </w:rPr>
        <w:t>correlatas</w:t>
      </w:r>
    </w:p>
    <w:p w14:paraId="38FB7BE6" w14:textId="77777777" w:rsidR="00361ACE" w:rsidRDefault="00361ACE" w:rsidP="00B55541">
      <w:pPr>
        <w:ind w:firstLine="0"/>
        <w:rPr>
          <w:b/>
          <w:bCs/>
        </w:rPr>
      </w:pPr>
    </w:p>
    <w:p w14:paraId="3F2E5D35" w14:textId="7D25F871" w:rsidR="00E839D0" w:rsidRDefault="00E827CA" w:rsidP="00EB77A0">
      <w:pPr>
        <w:ind w:firstLine="708"/>
        <w:rPr>
          <w:szCs w:val="24"/>
          <w:lang w:eastAsia="en-US"/>
        </w:rPr>
      </w:pPr>
      <w:r w:rsidRPr="004E2610">
        <w:rPr>
          <w:szCs w:val="24"/>
          <w:lang w:eastAsia="en-US"/>
        </w:rPr>
        <w:t>Pacheco e Veiga (2009) analisaram a utilização da LC nº 123/2006 com as alterações da LC nº 108/2008 em uma empresa prestadora de serviços contábeis, comparando-a com o Lucro Presumido, visando verificar qual sistema de tributação é menos oneroso para a empresa.</w:t>
      </w:r>
      <w:r w:rsidR="00E839D0" w:rsidRPr="004E2610">
        <w:rPr>
          <w:szCs w:val="24"/>
          <w:lang w:eastAsia="en-US"/>
        </w:rPr>
        <w:t xml:space="preserve"> Os autores analisaram </w:t>
      </w:r>
      <w:r w:rsidRPr="004E2610">
        <w:rPr>
          <w:szCs w:val="24"/>
          <w:lang w:eastAsia="en-US"/>
        </w:rPr>
        <w:t xml:space="preserve">as leis e informações sobre as formas de tributação pelo Lucro Presumido e Simples Nacional que se aplicam ao escritório em questão. Após, isso foram coletados informações e relatórios da empresa em estudo, entre os quais o faturamento dos períodos mencionados e valores de folha de pagamento dos funcionários da empresa desses mesmos períodos. </w:t>
      </w:r>
      <w:r w:rsidR="00E839D0" w:rsidRPr="004E2610">
        <w:rPr>
          <w:szCs w:val="24"/>
          <w:lang w:eastAsia="en-US"/>
        </w:rPr>
        <w:t>Os achados evidenciam</w:t>
      </w:r>
      <w:r w:rsidR="004E2610">
        <w:rPr>
          <w:szCs w:val="24"/>
          <w:lang w:eastAsia="en-US"/>
        </w:rPr>
        <w:t>,</w:t>
      </w:r>
      <w:r w:rsidR="00E839D0" w:rsidRPr="004E2610">
        <w:rPr>
          <w:szCs w:val="24"/>
          <w:lang w:eastAsia="en-US"/>
        </w:rPr>
        <w:t xml:space="preserve"> que a</w:t>
      </w:r>
      <w:r w:rsidRPr="004E2610">
        <w:rPr>
          <w:szCs w:val="24"/>
          <w:lang w:eastAsia="en-US"/>
        </w:rPr>
        <w:t xml:space="preserve"> opção mais vantajosa para o escritório de contabilidade foi o Simples Nacional. Os autores </w:t>
      </w:r>
      <w:r w:rsidR="00EB77A0" w:rsidRPr="004E2610">
        <w:rPr>
          <w:szCs w:val="24"/>
          <w:lang w:eastAsia="en-US"/>
        </w:rPr>
        <w:t>recomendaram um</w:t>
      </w:r>
      <w:r w:rsidRPr="004E2610">
        <w:rPr>
          <w:szCs w:val="24"/>
          <w:lang w:eastAsia="en-US"/>
        </w:rPr>
        <w:t xml:space="preserve"> planejamento tributário constante com vistas a antecipar as mudanças de legislação, evitando que a empresa pague mais tributos do que deveria.</w:t>
      </w:r>
      <w:r w:rsidR="00EB77A0">
        <w:rPr>
          <w:szCs w:val="24"/>
          <w:lang w:eastAsia="en-US"/>
        </w:rPr>
        <w:t xml:space="preserve"> </w:t>
      </w:r>
    </w:p>
    <w:p w14:paraId="28AAE0B0" w14:textId="05AB7AA7" w:rsidR="00EB77A0" w:rsidRPr="00E839D0" w:rsidRDefault="00EB77A0" w:rsidP="00EB77A0">
      <w:pPr>
        <w:ind w:firstLine="708"/>
        <w:rPr>
          <w:szCs w:val="24"/>
        </w:rPr>
      </w:pPr>
      <w:r w:rsidRPr="00E839D0">
        <w:rPr>
          <w:szCs w:val="24"/>
          <w:lang w:eastAsia="en-US"/>
        </w:rPr>
        <w:t>Ferrari (2016) Desenvolver</w:t>
      </w:r>
      <w:r w:rsidR="0001732E">
        <w:rPr>
          <w:szCs w:val="24"/>
          <w:lang w:eastAsia="en-US"/>
        </w:rPr>
        <w:t>am</w:t>
      </w:r>
      <w:r w:rsidRPr="00E839D0">
        <w:rPr>
          <w:szCs w:val="24"/>
          <w:lang w:eastAsia="en-US"/>
        </w:rPr>
        <w:t xml:space="preserve"> um estudo a respeito dos regimes tributários existentes, buscando identificar se será vantajoso para uma prestadora de serviços odontológicos migrar para o Anexo VI do Simples Nacional. </w:t>
      </w:r>
      <w:r w:rsidRPr="00E839D0">
        <w:rPr>
          <w:szCs w:val="24"/>
        </w:rPr>
        <w:t xml:space="preserve">Foi realizado um estudo de caso, com o uso das informações documentais fornecidas pela contabilidade referente ao exercício de 2015. </w:t>
      </w:r>
      <w:r w:rsidRPr="00E839D0">
        <w:rPr>
          <w:szCs w:val="24"/>
          <w:shd w:val="clear" w:color="auto" w:fill="FFFFFF"/>
        </w:rPr>
        <w:t xml:space="preserve">Após a coleta de dados, através da análise documental, aplicou-se os cálculos exigidos pela modalidade de tributação </w:t>
      </w:r>
      <w:r w:rsidRPr="00E839D0">
        <w:rPr>
          <w:szCs w:val="24"/>
        </w:rPr>
        <w:t xml:space="preserve">do Lucro Real, Presumido e Simples Nacional, demonstrados nesta pesquisa em forma de </w:t>
      </w:r>
      <w:r w:rsidR="00017DF5">
        <w:rPr>
          <w:szCs w:val="24"/>
        </w:rPr>
        <w:t>tabela</w:t>
      </w:r>
      <w:r w:rsidRPr="00E839D0">
        <w:rPr>
          <w:szCs w:val="24"/>
        </w:rPr>
        <w:t xml:space="preserve"> com a finalidade de se verificar qual sistemática é menos onerosa para a empresa pesquisada. </w:t>
      </w:r>
      <w:r w:rsidR="004E2610">
        <w:rPr>
          <w:szCs w:val="24"/>
        </w:rPr>
        <w:t xml:space="preserve">O resultado mostra que </w:t>
      </w:r>
      <w:r w:rsidRPr="00E839D0">
        <w:rPr>
          <w:szCs w:val="24"/>
        </w:rPr>
        <w:t>o sistema simplificado Anexo VI diminui ou não a carga tributária de uma empresa prestadora de serviços, com a finalidade de definir a sua migração. Buscando analisar, portanto a melhor forma de tributação para uma determinada prestadora de serviços.</w:t>
      </w:r>
    </w:p>
    <w:p w14:paraId="0E60681B" w14:textId="06D7B15C" w:rsidR="00EB77A0" w:rsidRPr="00E839D0" w:rsidRDefault="00EB77A0" w:rsidP="00E839D0">
      <w:pPr>
        <w:ind w:left="57" w:right="57" w:firstLine="651"/>
        <w:rPr>
          <w:szCs w:val="24"/>
        </w:rPr>
      </w:pPr>
      <w:r w:rsidRPr="00E839D0">
        <w:rPr>
          <w:szCs w:val="24"/>
          <w:lang w:eastAsia="en-US"/>
        </w:rPr>
        <w:t xml:space="preserve">De Souza e Petri (2016) </w:t>
      </w:r>
      <w:r w:rsidR="004E2610">
        <w:rPr>
          <w:szCs w:val="24"/>
        </w:rPr>
        <w:t>a</w:t>
      </w:r>
      <w:r w:rsidRPr="00E839D0">
        <w:rPr>
          <w:szCs w:val="24"/>
        </w:rPr>
        <w:t>presenta</w:t>
      </w:r>
      <w:r w:rsidR="004E2610">
        <w:rPr>
          <w:szCs w:val="24"/>
        </w:rPr>
        <w:t>m</w:t>
      </w:r>
      <w:r w:rsidRPr="00E839D0">
        <w:rPr>
          <w:szCs w:val="24"/>
        </w:rPr>
        <w:t xml:space="preserve"> através da comparação, a forma menos onerosa de tributação para uma empresa de representação comercial do município de Florianópolis, tendo como base os tributos e contribuições incidentes, comparando-os na aplicação da legislação do Lucro Presumido e do regime simplificado de tributação – Simples Nacional. Foram analisados documentos contábeis e fiscais dos anos de 2014 e 2015. Em paralelo, as informações de estrutura de pessoal foram buscadas nos resumos das folhas de pagamento dos mesmos períodos. O tratamento dos dados foi com base na segregação das informações já contabilizadas e evidenciadas, bem como dos montantes pagos de tributos pelo regime tributário o qual a empresa vinha sendo aplicada, o Lucro Presumido. Conjuntamente, os dados de faturamentos dos livros fiscais foram destacados para que fossem aplicados ao método do Simples Nacional, para posterior comparativo. </w:t>
      </w:r>
      <w:r w:rsidR="00812525">
        <w:rPr>
          <w:szCs w:val="24"/>
        </w:rPr>
        <w:t>Os achados demonstram que,</w:t>
      </w:r>
      <w:r w:rsidRPr="00E839D0">
        <w:rPr>
          <w:szCs w:val="24"/>
        </w:rPr>
        <w:t xml:space="preserve"> é viável para uma empresa de representação comercial do município de Florianópolis alterar o seu regime tributário do Lucro Presumido para o Simples Nacional, em conformidade com a LC147/2014, pois o benefício em termos monetários é significante e relevante, posto em pauta o desejo de a empresa contratar funcionários para seu quadro de colaboradores. Foi observada uma grande vantagem financeira na alteração do regime de tributação para o regime do Simples Nacional quando dessa opção tomada pela empresa. Em termos percentuais os valores alcançados em economia tributária ultrapassaram a casa de 70%, o que é bastante relevante.</w:t>
      </w:r>
    </w:p>
    <w:p w14:paraId="1A7E8636" w14:textId="77D42402" w:rsidR="00E839D0" w:rsidRPr="00E839D0" w:rsidRDefault="00EB77A0" w:rsidP="00E839D0">
      <w:pPr>
        <w:ind w:left="57" w:right="57" w:firstLine="0"/>
        <w:rPr>
          <w:szCs w:val="24"/>
          <w:lang w:eastAsia="en-US"/>
        </w:rPr>
      </w:pPr>
      <w:r w:rsidRPr="00E839D0">
        <w:rPr>
          <w:szCs w:val="24"/>
        </w:rPr>
        <w:tab/>
      </w:r>
      <w:proofErr w:type="spellStart"/>
      <w:r w:rsidRPr="00E839D0">
        <w:rPr>
          <w:szCs w:val="24"/>
          <w:lang w:eastAsia="en-US"/>
        </w:rPr>
        <w:t>Klueger</w:t>
      </w:r>
      <w:proofErr w:type="spellEnd"/>
      <w:r w:rsidRPr="00E839D0">
        <w:rPr>
          <w:szCs w:val="24"/>
          <w:lang w:eastAsia="en-US"/>
        </w:rPr>
        <w:t xml:space="preserve"> e Petri (2017)</w:t>
      </w:r>
      <w:r w:rsidR="00812525">
        <w:rPr>
          <w:szCs w:val="24"/>
          <w:lang w:eastAsia="en-US"/>
        </w:rPr>
        <w:t xml:space="preserve"> efetuam a </w:t>
      </w:r>
      <w:r w:rsidR="00E839D0" w:rsidRPr="00E839D0">
        <w:rPr>
          <w:szCs w:val="24"/>
        </w:rPr>
        <w:t xml:space="preserve">comparação </w:t>
      </w:r>
      <w:r w:rsidR="00812525">
        <w:rPr>
          <w:szCs w:val="24"/>
        </w:rPr>
        <w:t>entre as</w:t>
      </w:r>
      <w:r w:rsidR="00E839D0" w:rsidRPr="00E839D0">
        <w:rPr>
          <w:szCs w:val="24"/>
        </w:rPr>
        <w:t xml:space="preserve"> formas de apuração do Simples Nacional, a forma menos onerosa, a forma da LC nº 123/2006 ou a nova forma da LC nº 155/2016. </w:t>
      </w:r>
      <w:r w:rsidR="00E839D0" w:rsidRPr="00E839D0">
        <w:rPr>
          <w:szCs w:val="24"/>
        </w:rPr>
        <w:lastRenderedPageBreak/>
        <w:t xml:space="preserve">Tendo como base o faturamento e as despesas com folha de pagamento dos últimos 5 (cinco) anos da empresa de estudo. Nesta pesquisa o objetivo foi evidenciar qual é a legislação do Simples Nacional que será mais benéfica para uma empresa prestadora de serviços a antiga Lei Complementar 123/2006 ou a </w:t>
      </w:r>
      <w:r w:rsidR="00812525" w:rsidRPr="00E839D0">
        <w:rPr>
          <w:szCs w:val="24"/>
        </w:rPr>
        <w:t>recém-publicada</w:t>
      </w:r>
      <w:r w:rsidR="00E839D0" w:rsidRPr="00E839D0">
        <w:rPr>
          <w:szCs w:val="24"/>
        </w:rPr>
        <w:t xml:space="preserve"> Lei Complementar 155/2016 no que se refere a apuração dos tributos, portanto o artigo busca também realizar um estudo comparativo. Com isto, est</w:t>
      </w:r>
      <w:r w:rsidR="006B2292">
        <w:rPr>
          <w:szCs w:val="24"/>
        </w:rPr>
        <w:t xml:space="preserve">a pesquisa </w:t>
      </w:r>
      <w:r w:rsidR="00E839D0" w:rsidRPr="00E839D0">
        <w:rPr>
          <w:szCs w:val="24"/>
        </w:rPr>
        <w:t xml:space="preserve">consiste em uma pesquisa com parte descritiva, de natureza quantitativa, desenvolvido por meio de estudo comparativo. </w:t>
      </w:r>
      <w:r w:rsidR="00E839D0" w:rsidRPr="00E839D0">
        <w:rPr>
          <w:szCs w:val="24"/>
          <w:lang w:eastAsia="en-US"/>
        </w:rPr>
        <w:t xml:space="preserve">Foi possível identificar através das apurações do Simples Nacional que as mudanças trazidas pela Lei Complementar 155/2016 serão benéficas na apuração da empresa prestadora de serviços contábeis, que é objeto de estudo deste artigo. </w:t>
      </w:r>
    </w:p>
    <w:p w14:paraId="45DD659F" w14:textId="620B1526" w:rsidR="00EB77A0" w:rsidRPr="00E839D0" w:rsidRDefault="00E839D0" w:rsidP="00EB77A0">
      <w:pPr>
        <w:ind w:left="57" w:right="57" w:firstLine="0"/>
        <w:rPr>
          <w:szCs w:val="24"/>
        </w:rPr>
      </w:pPr>
      <w:r w:rsidRPr="00E839D0">
        <w:rPr>
          <w:szCs w:val="24"/>
        </w:rPr>
        <w:tab/>
      </w:r>
      <w:r w:rsidRPr="00E839D0">
        <w:rPr>
          <w:szCs w:val="24"/>
          <w:lang w:eastAsia="en-US"/>
        </w:rPr>
        <w:t xml:space="preserve">Lima, Santos e Paranaíba (2019) </w:t>
      </w:r>
      <w:r w:rsidR="00161027">
        <w:rPr>
          <w:szCs w:val="24"/>
        </w:rPr>
        <w:t>efetuam a</w:t>
      </w:r>
      <w:r w:rsidRPr="00E839D0">
        <w:rPr>
          <w:szCs w:val="24"/>
        </w:rPr>
        <w:t xml:space="preserve"> simulação</w:t>
      </w:r>
      <w:r w:rsidR="00161027">
        <w:rPr>
          <w:szCs w:val="24"/>
        </w:rPr>
        <w:t xml:space="preserve"> entre as </w:t>
      </w:r>
      <w:r w:rsidRPr="00E839D0">
        <w:rPr>
          <w:szCs w:val="24"/>
        </w:rPr>
        <w:t xml:space="preserve">empresas enquadradas nos Anexos I a V do Simples Nacional após divulgação da Lei Complementar nº 155 de 2016. A coleta de dados foi realizada mediante artigos científicos, notícias e leis, como as Leis Complementares: nº 155, nº 123, nº 128 e nº 139, além do Decreto 3.000, Comitê Gestor do Simples Nacional, SEBRAE e outros. Dessa forma, realizou-se uma simulação com aplicação de valores fictícios escolhidos de forma a enquadrar a empresa nos Anexos I a V, e nas cinco primeiras faixas da LC nº 155/2016, e primeira, segunda, quarta, quinta e oitava faixa da LC nº 123/2006, com o intuito de descrever os efeitos sobre as empresas sujeitas ao regime de recolhimento diferenciado do Simples Nacional antes e depois do vigor da Lei Complementar nº 155 de 2016. Analisando e comparando os cálculos simulados do antes e depois das alterações do Simples Nacional sofrida pela LC nº 155 verificou-se que dependendo do ramo da empresa e seu faturamento ocorre diferença podendo ser tanto para maior quanto a menor no valor desembolsado com a DAS. </w:t>
      </w:r>
      <w:r w:rsidR="00141F90">
        <w:rPr>
          <w:szCs w:val="24"/>
        </w:rPr>
        <w:t xml:space="preserve">Os autores sugerem que </w:t>
      </w:r>
      <w:r w:rsidRPr="00E839D0">
        <w:rPr>
          <w:szCs w:val="24"/>
        </w:rPr>
        <w:t>o</w:t>
      </w:r>
      <w:r w:rsidR="00141F90">
        <w:rPr>
          <w:szCs w:val="24"/>
        </w:rPr>
        <w:t>s</w:t>
      </w:r>
      <w:r w:rsidRPr="00E839D0">
        <w:rPr>
          <w:szCs w:val="24"/>
        </w:rPr>
        <w:t xml:space="preserve"> empresário</w:t>
      </w:r>
      <w:r w:rsidR="00141F90">
        <w:rPr>
          <w:szCs w:val="24"/>
        </w:rPr>
        <w:t>s</w:t>
      </w:r>
      <w:r w:rsidRPr="00E839D0">
        <w:rPr>
          <w:szCs w:val="24"/>
        </w:rPr>
        <w:t xml:space="preserve"> em conjunto com o profissional contábil realizarem o planejamento tributário para a identificação da forma de tributação menos onerosa para a empresa, levando em consideração os aspectos de cada uma com o objetivo de chegar à melhor tributação entre o Lucro Real, Lucro Presumido e o Simples Nacional, sendo capaz de gerar menor carga tributária.</w:t>
      </w:r>
    </w:p>
    <w:p w14:paraId="4A915687" w14:textId="0FF39323" w:rsidR="00EB77A0" w:rsidRPr="00E827CA" w:rsidRDefault="00EB77A0" w:rsidP="00EB77A0">
      <w:pPr>
        <w:ind w:firstLine="708"/>
        <w:rPr>
          <w:szCs w:val="24"/>
          <w:lang w:eastAsia="en-US"/>
        </w:rPr>
      </w:pPr>
    </w:p>
    <w:p w14:paraId="2F0B875F" w14:textId="412EB694" w:rsidR="00A3126B" w:rsidRDefault="00A3126B" w:rsidP="00155904">
      <w:pPr>
        <w:ind w:firstLine="0"/>
        <w:rPr>
          <w:b/>
          <w:bCs/>
        </w:rPr>
      </w:pPr>
      <w:r w:rsidRPr="00F31C6D">
        <w:rPr>
          <w:b/>
          <w:bCs/>
        </w:rPr>
        <w:t>3 Procedimentos metodológicos</w:t>
      </w:r>
      <w:r w:rsidR="00DB7002" w:rsidRPr="00F31C6D">
        <w:rPr>
          <w:b/>
          <w:bCs/>
        </w:rPr>
        <w:t>.</w:t>
      </w:r>
    </w:p>
    <w:p w14:paraId="381F211C" w14:textId="77777777" w:rsidR="008177C6" w:rsidRDefault="008177C6" w:rsidP="00155904">
      <w:pPr>
        <w:ind w:firstLine="0"/>
        <w:rPr>
          <w:b/>
          <w:bCs/>
        </w:rPr>
      </w:pPr>
    </w:p>
    <w:p w14:paraId="1443A841" w14:textId="12FBDCFF" w:rsidR="00951817" w:rsidRDefault="007E5DC0" w:rsidP="009D3AA5">
      <w:pPr>
        <w:ind w:left="-15"/>
      </w:pPr>
      <w:r>
        <w:tab/>
        <w:t>A presente pesquisa é classificada</w:t>
      </w:r>
      <w:r w:rsidR="00B2523B">
        <w:t xml:space="preserve"> como </w:t>
      </w:r>
      <w:r>
        <w:t xml:space="preserve">descritiva visto </w:t>
      </w:r>
      <w:r w:rsidR="00B2523B">
        <w:t>que busca descrever as formas de cálculo do simples nacional pela metodologia do formato anterior e do atual. Destarte torna</w:t>
      </w:r>
      <w:r w:rsidR="00E20EC0">
        <w:t>-se</w:t>
      </w:r>
      <w:r w:rsidR="00B2523B">
        <w:t xml:space="preserve"> qualitativa visto que busca aprofundar-se nos procedimentos em uma empresa do ramo comercial e outr</w:t>
      </w:r>
      <w:r w:rsidR="00E20EC0">
        <w:t>a</w:t>
      </w:r>
      <w:r w:rsidR="00B2523B">
        <w:t xml:space="preserve"> do industrial.  Em relação ao procedimento</w:t>
      </w:r>
      <w:r w:rsidR="00951817">
        <w:t>,</w:t>
      </w:r>
      <w:r w:rsidR="00B2523B">
        <w:t xml:space="preserve"> a pesquisa é documental, visto que por meio </w:t>
      </w:r>
      <w:r w:rsidR="009D3AA5">
        <w:t>dos relatórios contábeis</w:t>
      </w:r>
      <w:r w:rsidR="00B2523B">
        <w:t xml:space="preserve"> obtém os dados. Denota-se que a pesquisa documental é utilizada frequentemente, pois objetiva a realidade dos fatos, no caso, as informações constadas nos documentos, dentre os mais importantes, aqueles relacionados ao patrimônio, a economia e as finanças</w:t>
      </w:r>
      <w:r w:rsidR="00D8569A">
        <w:t xml:space="preserve"> (</w:t>
      </w:r>
      <w:proofErr w:type="spellStart"/>
      <w:r w:rsidR="00D8569A">
        <w:t>Longaray</w:t>
      </w:r>
      <w:proofErr w:type="spellEnd"/>
      <w:r w:rsidR="00D8569A">
        <w:t xml:space="preserve">, 2003). </w:t>
      </w:r>
    </w:p>
    <w:p w14:paraId="04ECF95B" w14:textId="050B8DA3" w:rsidR="009D3AA5" w:rsidRDefault="009D3AA5" w:rsidP="009D3AA5">
      <w:pPr>
        <w:ind w:left="-15"/>
      </w:pPr>
      <w:r>
        <w:t xml:space="preserve">De maneira específica, nesta pesquisa, foram utilizados documentos como: Balanço Patrimonial, Demonstração de Resultado do Exercício (DRE), Guia de Recolhimento do Simples Nacional, Faturamento Mensal, e outros. </w:t>
      </w:r>
      <w:r w:rsidR="00951817">
        <w:t xml:space="preserve"> O estudo classifica-se como </w:t>
      </w:r>
      <w:proofErr w:type="spellStart"/>
      <w:r w:rsidR="00951817">
        <w:t>multicaso</w:t>
      </w:r>
      <w:proofErr w:type="spellEnd"/>
      <w:r w:rsidR="00951817">
        <w:t xml:space="preserve"> visto que adota duas empresas do ramo de atividades similares para operacionalizar a pesquisa. </w:t>
      </w:r>
    </w:p>
    <w:p w14:paraId="5D85ACA4" w14:textId="72FA4635" w:rsidR="007E5DC0" w:rsidRDefault="009D3AA5" w:rsidP="009D3AA5">
      <w:pPr>
        <w:ind w:firstLine="694"/>
      </w:pPr>
      <w:r>
        <w:t>A pesquisa aplicou a metódica de calculo do simples na modalidade anterior (</w:t>
      </w:r>
      <w:r w:rsidRPr="003D2EC9">
        <w:rPr>
          <w:color w:val="000000"/>
          <w:sz w:val="21"/>
          <w:szCs w:val="21"/>
        </w:rPr>
        <w:t xml:space="preserve"> LC n°123/2006</w:t>
      </w:r>
      <w:r>
        <w:t xml:space="preserve"> </w:t>
      </w:r>
      <w:r>
        <w:lastRenderedPageBreak/>
        <w:t>e atual (</w:t>
      </w:r>
      <w:r w:rsidRPr="003D2EC9">
        <w:rPr>
          <w:color w:val="000000"/>
          <w:sz w:val="21"/>
          <w:szCs w:val="21"/>
        </w:rPr>
        <w:t>LC n°155/2016</w:t>
      </w:r>
      <w:r>
        <w:t xml:space="preserve">) em duas empresas, uma classificado pela tabela do comércio e outra industrial.  A empresa A localizada na cidade de Pato Branco/PR se dedica à fabricação de artefatos de cimento para uso na construção. Já a empresa B, também situada na cidade de Pato Branco/PR, atua no ramo do comércio, especificamente na comercialização de madeiras e artefatos.   </w:t>
      </w:r>
    </w:p>
    <w:p w14:paraId="1E38846B" w14:textId="55C13C48" w:rsidR="006A4294" w:rsidRDefault="006A4294" w:rsidP="006A4294">
      <w:pPr>
        <w:ind w:left="-15"/>
      </w:pPr>
      <w:r>
        <w:t xml:space="preserve">O comparativo das formas de cálculo do Simples Nacional anterior a 2018 e o atual, é realizado com base no faturamento das empresas no ano-calendário de 2018, </w:t>
      </w:r>
      <w:r w:rsidR="008D747F">
        <w:t xml:space="preserve">compreendendo </w:t>
      </w:r>
      <w:r>
        <w:t xml:space="preserve">dados reais de janeiro a </w:t>
      </w:r>
      <w:r w:rsidR="008D747F">
        <w:t>dezembro</w:t>
      </w:r>
      <w:r w:rsidR="00044685">
        <w:t>.</w:t>
      </w:r>
    </w:p>
    <w:p w14:paraId="793CC446" w14:textId="77777777" w:rsidR="006A4294" w:rsidRDefault="006A4294" w:rsidP="006A4294">
      <w:pPr>
        <w:ind w:left="-15"/>
      </w:pPr>
      <w:r>
        <w:t xml:space="preserve">O ano-calendário designado para realização do estudo – 2018 – justifica-se com base nas alterações que estão ocorrendo no Simples Nacional através da Lei Complementar nº 155/2016, porém, suas alterações passaram a valer apenas para o ano calendário de 2018.  Como a pesquisa objetiva demonstrar a realidade das empresas, o exercício em questão demonstra a realidade das empresas para a concretização do estudo de caso. </w:t>
      </w:r>
    </w:p>
    <w:p w14:paraId="066457E4" w14:textId="77777777" w:rsidR="006A4294" w:rsidRDefault="006A4294" w:rsidP="009D3AA5">
      <w:pPr>
        <w:ind w:firstLine="694"/>
      </w:pPr>
    </w:p>
    <w:p w14:paraId="2B6D9680" w14:textId="296AE1B0" w:rsidR="004C7990" w:rsidRDefault="00681CAE" w:rsidP="009E38E0">
      <w:pPr>
        <w:spacing w:after="117" w:line="259" w:lineRule="auto"/>
        <w:ind w:firstLine="0"/>
        <w:rPr>
          <w:b/>
          <w:bCs/>
        </w:rPr>
      </w:pPr>
      <w:r w:rsidRPr="00681CAE">
        <w:rPr>
          <w:b/>
          <w:bCs/>
        </w:rPr>
        <w:t xml:space="preserve">4 </w:t>
      </w:r>
      <w:r w:rsidR="0050603C" w:rsidRPr="00681CAE">
        <w:rPr>
          <w:b/>
          <w:bCs/>
        </w:rPr>
        <w:t xml:space="preserve">Análise </w:t>
      </w:r>
      <w:r w:rsidR="0050603C">
        <w:rPr>
          <w:b/>
          <w:bCs/>
        </w:rPr>
        <w:t>d</w:t>
      </w:r>
      <w:r w:rsidR="0050603C" w:rsidRPr="00681CAE">
        <w:rPr>
          <w:b/>
          <w:bCs/>
        </w:rPr>
        <w:t xml:space="preserve">os Dados </w:t>
      </w:r>
    </w:p>
    <w:p w14:paraId="19F71C8E" w14:textId="1ABDDC40" w:rsidR="00681CAE" w:rsidRDefault="002F039A" w:rsidP="00B85F52">
      <w:pPr>
        <w:spacing w:after="117" w:line="259" w:lineRule="auto"/>
        <w:ind w:firstLine="708"/>
      </w:pPr>
      <w:r>
        <w:t>Ne</w:t>
      </w:r>
      <w:r w:rsidR="00B85F52" w:rsidRPr="00B85F52">
        <w:t xml:space="preserve">ste </w:t>
      </w:r>
      <w:r w:rsidR="00D504A6" w:rsidRPr="00B85F52">
        <w:t>capítulo</w:t>
      </w:r>
      <w:r w:rsidR="00B85F52" w:rsidRPr="00B85F52">
        <w:t xml:space="preserve"> </w:t>
      </w:r>
      <w:r>
        <w:t>será abordado as mudanças ocorridas mediante apuração d</w:t>
      </w:r>
      <w:r w:rsidR="00B85F52" w:rsidRPr="00B85F52">
        <w:t xml:space="preserve">os tributos do Simples Nacional da Lei Complementar nº 123/2006 e da Lei Complementar nº 155/2016, </w:t>
      </w:r>
      <w:r>
        <w:t xml:space="preserve">utilizando dados </w:t>
      </w:r>
      <w:r w:rsidR="00B85F52" w:rsidRPr="00B85F52">
        <w:t xml:space="preserve">referentes </w:t>
      </w:r>
      <w:r>
        <w:t>ao ano calendário de 2018,</w:t>
      </w:r>
      <w:r w:rsidR="00B85F52" w:rsidRPr="00B85F52">
        <w:t xml:space="preserve"> será realizada a comparação entre as duas formas de apuração para verificar a mais benéfica para a empresa</w:t>
      </w:r>
      <w:r>
        <w:t xml:space="preserve">. </w:t>
      </w:r>
      <w:r w:rsidR="00B85F52" w:rsidRPr="00B85F52">
        <w:t xml:space="preserve"> </w:t>
      </w:r>
      <w:r>
        <w:t>C</w:t>
      </w:r>
      <w:r w:rsidR="00B85F52" w:rsidRPr="00B85F52">
        <w:t xml:space="preserve">om o intuito de verificar se o novo </w:t>
      </w:r>
      <w:r>
        <w:t xml:space="preserve">método de cálculo do </w:t>
      </w:r>
      <w:r w:rsidR="00B85F52" w:rsidRPr="00B85F52">
        <w:t xml:space="preserve">Simples Nacional apresentará mudanças satisfatórias ou não para </w:t>
      </w:r>
      <w:r>
        <w:t>a</w:t>
      </w:r>
      <w:r w:rsidR="00B85F52" w:rsidRPr="00B85F52">
        <w:t xml:space="preserve"> </w:t>
      </w:r>
      <w:r w:rsidR="00B85F52">
        <w:t xml:space="preserve">empresa objeto de estudo </w:t>
      </w:r>
      <w:r w:rsidR="00B85F52" w:rsidRPr="00B85F52">
        <w:t>desta pesquisa.</w:t>
      </w:r>
    </w:p>
    <w:p w14:paraId="5B566881" w14:textId="4EF1D945" w:rsidR="00951817" w:rsidRDefault="00951817" w:rsidP="00BD737C">
      <w:pPr>
        <w:spacing w:after="117" w:line="259" w:lineRule="auto"/>
        <w:ind w:firstLine="0"/>
      </w:pPr>
      <w:r w:rsidRPr="00BD737C">
        <w:rPr>
          <w:b/>
          <w:bCs/>
        </w:rPr>
        <w:t xml:space="preserve">Tabela </w:t>
      </w:r>
      <w:r w:rsidR="00C7075D">
        <w:rPr>
          <w:b/>
          <w:bCs/>
        </w:rPr>
        <w:t>4</w:t>
      </w:r>
      <w:r>
        <w:t xml:space="preserve">- </w:t>
      </w:r>
      <w:r w:rsidR="00BD737C">
        <w:t>A</w:t>
      </w:r>
      <w:r>
        <w:t>presentação da apuração do simples no comercio</w:t>
      </w:r>
      <w:r w:rsidR="00BD737C">
        <w:t>.</w:t>
      </w:r>
    </w:p>
    <w:tbl>
      <w:tblPr>
        <w:tblW w:w="0" w:type="auto"/>
        <w:tblCellMar>
          <w:left w:w="70" w:type="dxa"/>
          <w:right w:w="70" w:type="dxa"/>
        </w:tblCellMar>
        <w:tblLook w:val="04A0" w:firstRow="1" w:lastRow="0" w:firstColumn="1" w:lastColumn="0" w:noHBand="0" w:noVBand="1"/>
      </w:tblPr>
      <w:tblGrid>
        <w:gridCol w:w="642"/>
        <w:gridCol w:w="1249"/>
        <w:gridCol w:w="1085"/>
        <w:gridCol w:w="607"/>
        <w:gridCol w:w="788"/>
        <w:gridCol w:w="1243"/>
        <w:gridCol w:w="607"/>
        <w:gridCol w:w="788"/>
        <w:gridCol w:w="1243"/>
        <w:gridCol w:w="1033"/>
      </w:tblGrid>
      <w:tr w:rsidR="002A77E4" w:rsidRPr="003D2EC9" w14:paraId="26A272FE" w14:textId="77777777" w:rsidTr="0093419F">
        <w:trPr>
          <w:trHeight w:val="288"/>
        </w:trPr>
        <w:tc>
          <w:tcPr>
            <w:tcW w:w="0" w:type="auto"/>
            <w:gridSpan w:val="10"/>
            <w:tcBorders>
              <w:top w:val="single" w:sz="4" w:space="0" w:color="auto"/>
              <w:left w:val="nil"/>
              <w:bottom w:val="single" w:sz="4" w:space="0" w:color="auto"/>
              <w:right w:val="nil"/>
            </w:tcBorders>
            <w:shd w:val="clear" w:color="auto" w:fill="auto"/>
            <w:noWrap/>
            <w:vAlign w:val="bottom"/>
            <w:hideMark/>
          </w:tcPr>
          <w:p w14:paraId="627110E8"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Comparativo de Apuração Simples Nacional – Anexo I - Comércio</w:t>
            </w:r>
          </w:p>
        </w:tc>
      </w:tr>
      <w:tr w:rsidR="002A77E4" w:rsidRPr="003D2EC9" w14:paraId="6EBFF0AB" w14:textId="77777777" w:rsidTr="0093419F">
        <w:trPr>
          <w:trHeight w:val="288"/>
        </w:trPr>
        <w:tc>
          <w:tcPr>
            <w:tcW w:w="0" w:type="auto"/>
            <w:vMerge w:val="restart"/>
            <w:tcBorders>
              <w:top w:val="nil"/>
              <w:left w:val="nil"/>
              <w:bottom w:val="single" w:sz="4" w:space="0" w:color="000000"/>
              <w:right w:val="nil"/>
            </w:tcBorders>
            <w:shd w:val="clear" w:color="000000" w:fill="FFFFFF"/>
            <w:vAlign w:val="center"/>
            <w:hideMark/>
          </w:tcPr>
          <w:p w14:paraId="41224487"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Mês</w:t>
            </w:r>
          </w:p>
        </w:tc>
        <w:tc>
          <w:tcPr>
            <w:tcW w:w="0" w:type="auto"/>
            <w:vMerge w:val="restart"/>
            <w:tcBorders>
              <w:top w:val="nil"/>
              <w:left w:val="single" w:sz="4" w:space="0" w:color="auto"/>
              <w:bottom w:val="single" w:sz="4" w:space="0" w:color="auto"/>
              <w:right w:val="single" w:sz="4" w:space="0" w:color="auto"/>
            </w:tcBorders>
            <w:shd w:val="clear" w:color="000000" w:fill="FFFFFF"/>
            <w:vAlign w:val="center"/>
            <w:hideMark/>
          </w:tcPr>
          <w:p w14:paraId="5AABC91B"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 xml:space="preserve"> RBT12 (R$)</w:t>
            </w:r>
          </w:p>
        </w:tc>
        <w:tc>
          <w:tcPr>
            <w:tcW w:w="0" w:type="auto"/>
            <w:vMerge w:val="restart"/>
            <w:tcBorders>
              <w:top w:val="nil"/>
              <w:left w:val="single" w:sz="4" w:space="0" w:color="auto"/>
              <w:bottom w:val="single" w:sz="4" w:space="0" w:color="000000"/>
              <w:right w:val="single" w:sz="8" w:space="0" w:color="auto"/>
            </w:tcBorders>
            <w:shd w:val="clear" w:color="000000" w:fill="FFFFFF"/>
            <w:vAlign w:val="center"/>
            <w:hideMark/>
          </w:tcPr>
          <w:p w14:paraId="0B4EF764"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 xml:space="preserve"> </w:t>
            </w:r>
            <w:proofErr w:type="spellStart"/>
            <w:r w:rsidRPr="003D2EC9">
              <w:rPr>
                <w:color w:val="000000"/>
                <w:sz w:val="21"/>
                <w:szCs w:val="21"/>
              </w:rPr>
              <w:t>Rec</w:t>
            </w:r>
            <w:proofErr w:type="spellEnd"/>
            <w:r w:rsidRPr="003D2EC9">
              <w:rPr>
                <w:color w:val="000000"/>
                <w:sz w:val="21"/>
                <w:szCs w:val="21"/>
              </w:rPr>
              <w:t xml:space="preserve"> Bruta </w:t>
            </w:r>
          </w:p>
          <w:p w14:paraId="6F755DFD"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 xml:space="preserve">Mensal  </w:t>
            </w:r>
          </w:p>
        </w:tc>
        <w:tc>
          <w:tcPr>
            <w:tcW w:w="0" w:type="auto"/>
            <w:gridSpan w:val="3"/>
            <w:tcBorders>
              <w:top w:val="single" w:sz="4" w:space="0" w:color="auto"/>
              <w:left w:val="nil"/>
              <w:bottom w:val="single" w:sz="4" w:space="0" w:color="auto"/>
              <w:right w:val="single" w:sz="8" w:space="0" w:color="000000"/>
            </w:tcBorders>
            <w:shd w:val="clear" w:color="auto" w:fill="auto"/>
            <w:noWrap/>
            <w:vAlign w:val="bottom"/>
            <w:hideMark/>
          </w:tcPr>
          <w:p w14:paraId="04A3A8A0"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 xml:space="preserve">  LC n°123/2006</w:t>
            </w:r>
          </w:p>
        </w:tc>
        <w:tc>
          <w:tcPr>
            <w:tcW w:w="0" w:type="auto"/>
            <w:gridSpan w:val="3"/>
            <w:tcBorders>
              <w:top w:val="single" w:sz="4" w:space="0" w:color="auto"/>
              <w:left w:val="nil"/>
              <w:bottom w:val="single" w:sz="4" w:space="0" w:color="auto"/>
              <w:right w:val="single" w:sz="8" w:space="0" w:color="000000"/>
            </w:tcBorders>
            <w:shd w:val="clear" w:color="auto" w:fill="auto"/>
            <w:noWrap/>
            <w:vAlign w:val="bottom"/>
            <w:hideMark/>
          </w:tcPr>
          <w:p w14:paraId="1588C364"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 xml:space="preserve">  LC n°155/2016</w:t>
            </w:r>
          </w:p>
        </w:tc>
        <w:tc>
          <w:tcPr>
            <w:tcW w:w="0" w:type="auto"/>
            <w:vMerge w:val="restart"/>
            <w:tcBorders>
              <w:top w:val="nil"/>
              <w:left w:val="single" w:sz="8" w:space="0" w:color="auto"/>
              <w:bottom w:val="single" w:sz="4" w:space="0" w:color="000000"/>
              <w:right w:val="nil"/>
            </w:tcBorders>
            <w:shd w:val="clear" w:color="000000" w:fill="FFFFFF"/>
            <w:vAlign w:val="center"/>
            <w:hideMark/>
          </w:tcPr>
          <w:p w14:paraId="3ABC8ED2"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Diferença</w:t>
            </w:r>
          </w:p>
        </w:tc>
      </w:tr>
      <w:tr w:rsidR="002A77E4" w:rsidRPr="003D2EC9" w14:paraId="16D2E32F" w14:textId="77777777" w:rsidTr="0093419F">
        <w:trPr>
          <w:trHeight w:val="288"/>
        </w:trPr>
        <w:tc>
          <w:tcPr>
            <w:tcW w:w="0" w:type="auto"/>
            <w:vMerge/>
            <w:tcBorders>
              <w:top w:val="nil"/>
              <w:left w:val="nil"/>
              <w:bottom w:val="single" w:sz="4" w:space="0" w:color="000000"/>
              <w:right w:val="nil"/>
            </w:tcBorders>
            <w:vAlign w:val="center"/>
            <w:hideMark/>
          </w:tcPr>
          <w:p w14:paraId="5480BCEB" w14:textId="77777777" w:rsidR="002A77E4" w:rsidRPr="003D2EC9" w:rsidRDefault="002A77E4" w:rsidP="00EB77A0">
            <w:pPr>
              <w:widowControl/>
              <w:suppressLineNumbers w:val="0"/>
              <w:suppressAutoHyphens w:val="0"/>
              <w:ind w:firstLine="0"/>
              <w:jc w:val="left"/>
              <w:rPr>
                <w:color w:val="000000"/>
                <w:sz w:val="21"/>
                <w:szCs w:val="21"/>
              </w:rPr>
            </w:pPr>
          </w:p>
        </w:tc>
        <w:tc>
          <w:tcPr>
            <w:tcW w:w="0" w:type="auto"/>
            <w:vMerge/>
            <w:tcBorders>
              <w:top w:val="nil"/>
              <w:left w:val="single" w:sz="4" w:space="0" w:color="auto"/>
              <w:bottom w:val="single" w:sz="4" w:space="0" w:color="auto"/>
              <w:right w:val="single" w:sz="4" w:space="0" w:color="auto"/>
            </w:tcBorders>
            <w:vAlign w:val="center"/>
            <w:hideMark/>
          </w:tcPr>
          <w:p w14:paraId="69DC5351" w14:textId="77777777" w:rsidR="002A77E4" w:rsidRPr="003D2EC9" w:rsidRDefault="002A77E4" w:rsidP="00EB77A0">
            <w:pPr>
              <w:widowControl/>
              <w:suppressLineNumbers w:val="0"/>
              <w:suppressAutoHyphens w:val="0"/>
              <w:ind w:firstLine="0"/>
              <w:jc w:val="left"/>
              <w:rPr>
                <w:color w:val="000000"/>
                <w:sz w:val="21"/>
                <w:szCs w:val="21"/>
              </w:rPr>
            </w:pPr>
          </w:p>
        </w:tc>
        <w:tc>
          <w:tcPr>
            <w:tcW w:w="0" w:type="auto"/>
            <w:vMerge/>
            <w:tcBorders>
              <w:top w:val="nil"/>
              <w:left w:val="single" w:sz="4" w:space="0" w:color="auto"/>
              <w:bottom w:val="single" w:sz="4" w:space="0" w:color="000000"/>
              <w:right w:val="single" w:sz="8" w:space="0" w:color="auto"/>
            </w:tcBorders>
            <w:vAlign w:val="center"/>
            <w:hideMark/>
          </w:tcPr>
          <w:p w14:paraId="4475435C" w14:textId="77777777" w:rsidR="002A77E4" w:rsidRPr="003D2EC9" w:rsidRDefault="002A77E4" w:rsidP="00EB77A0">
            <w:pPr>
              <w:widowControl/>
              <w:suppressLineNumbers w:val="0"/>
              <w:suppressAutoHyphens w:val="0"/>
              <w:ind w:firstLine="0"/>
              <w:jc w:val="left"/>
              <w:rPr>
                <w:color w:val="000000"/>
                <w:sz w:val="21"/>
                <w:szCs w:val="21"/>
              </w:rPr>
            </w:pPr>
          </w:p>
        </w:tc>
        <w:tc>
          <w:tcPr>
            <w:tcW w:w="0" w:type="auto"/>
            <w:tcBorders>
              <w:top w:val="nil"/>
              <w:left w:val="nil"/>
              <w:bottom w:val="single" w:sz="4" w:space="0" w:color="auto"/>
              <w:right w:val="single" w:sz="4" w:space="0" w:color="auto"/>
            </w:tcBorders>
            <w:shd w:val="clear" w:color="000000" w:fill="FFFFFF"/>
            <w:vAlign w:val="center"/>
            <w:hideMark/>
          </w:tcPr>
          <w:p w14:paraId="61A600B4"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Faixa</w:t>
            </w:r>
          </w:p>
        </w:tc>
        <w:tc>
          <w:tcPr>
            <w:tcW w:w="0" w:type="auto"/>
            <w:tcBorders>
              <w:top w:val="nil"/>
              <w:left w:val="nil"/>
              <w:bottom w:val="single" w:sz="4" w:space="0" w:color="auto"/>
              <w:right w:val="single" w:sz="4" w:space="0" w:color="auto"/>
            </w:tcBorders>
            <w:shd w:val="clear" w:color="000000" w:fill="FFFFFF"/>
            <w:vAlign w:val="center"/>
            <w:hideMark/>
          </w:tcPr>
          <w:p w14:paraId="3875E2E4" w14:textId="77777777" w:rsidR="002A77E4" w:rsidRPr="003D2EC9" w:rsidRDefault="002A77E4" w:rsidP="00EB77A0">
            <w:pPr>
              <w:widowControl/>
              <w:suppressLineNumbers w:val="0"/>
              <w:suppressAutoHyphens w:val="0"/>
              <w:ind w:firstLine="0"/>
              <w:jc w:val="center"/>
              <w:rPr>
                <w:color w:val="000000"/>
                <w:sz w:val="21"/>
                <w:szCs w:val="21"/>
              </w:rPr>
            </w:pPr>
            <w:proofErr w:type="spellStart"/>
            <w:r w:rsidRPr="003D2EC9">
              <w:rPr>
                <w:color w:val="000000"/>
                <w:sz w:val="21"/>
                <w:szCs w:val="21"/>
              </w:rPr>
              <w:t>Aliq</w:t>
            </w:r>
            <w:proofErr w:type="spellEnd"/>
          </w:p>
        </w:tc>
        <w:tc>
          <w:tcPr>
            <w:tcW w:w="0" w:type="auto"/>
            <w:tcBorders>
              <w:top w:val="nil"/>
              <w:left w:val="nil"/>
              <w:bottom w:val="single" w:sz="4" w:space="0" w:color="auto"/>
              <w:right w:val="single" w:sz="8" w:space="0" w:color="auto"/>
            </w:tcBorders>
            <w:shd w:val="clear" w:color="000000" w:fill="FFFFFF"/>
            <w:vAlign w:val="center"/>
            <w:hideMark/>
          </w:tcPr>
          <w:p w14:paraId="1D8E1514"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 xml:space="preserve"> Recolher</w:t>
            </w:r>
          </w:p>
        </w:tc>
        <w:tc>
          <w:tcPr>
            <w:tcW w:w="0" w:type="auto"/>
            <w:tcBorders>
              <w:top w:val="nil"/>
              <w:left w:val="nil"/>
              <w:bottom w:val="single" w:sz="4" w:space="0" w:color="auto"/>
              <w:right w:val="single" w:sz="4" w:space="0" w:color="auto"/>
            </w:tcBorders>
            <w:shd w:val="clear" w:color="000000" w:fill="FFFFFF"/>
            <w:vAlign w:val="center"/>
            <w:hideMark/>
          </w:tcPr>
          <w:p w14:paraId="6ECB6858"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Faixa</w:t>
            </w:r>
          </w:p>
        </w:tc>
        <w:tc>
          <w:tcPr>
            <w:tcW w:w="0" w:type="auto"/>
            <w:tcBorders>
              <w:top w:val="nil"/>
              <w:left w:val="nil"/>
              <w:bottom w:val="single" w:sz="4" w:space="0" w:color="auto"/>
              <w:right w:val="single" w:sz="4" w:space="0" w:color="auto"/>
            </w:tcBorders>
            <w:shd w:val="clear" w:color="000000" w:fill="FFFFFF"/>
            <w:vAlign w:val="center"/>
            <w:hideMark/>
          </w:tcPr>
          <w:p w14:paraId="0C6EEE22" w14:textId="77777777" w:rsidR="002A77E4" w:rsidRPr="003D2EC9" w:rsidRDefault="002A77E4" w:rsidP="00EB77A0">
            <w:pPr>
              <w:widowControl/>
              <w:suppressLineNumbers w:val="0"/>
              <w:suppressAutoHyphens w:val="0"/>
              <w:ind w:firstLine="0"/>
              <w:jc w:val="center"/>
              <w:rPr>
                <w:color w:val="000000"/>
                <w:sz w:val="21"/>
                <w:szCs w:val="21"/>
              </w:rPr>
            </w:pPr>
            <w:proofErr w:type="spellStart"/>
            <w:r w:rsidRPr="003D2EC9">
              <w:rPr>
                <w:color w:val="000000"/>
                <w:sz w:val="21"/>
                <w:szCs w:val="21"/>
              </w:rPr>
              <w:t>Aliq</w:t>
            </w:r>
            <w:proofErr w:type="spellEnd"/>
          </w:p>
        </w:tc>
        <w:tc>
          <w:tcPr>
            <w:tcW w:w="0" w:type="auto"/>
            <w:tcBorders>
              <w:top w:val="nil"/>
              <w:left w:val="nil"/>
              <w:bottom w:val="single" w:sz="4" w:space="0" w:color="auto"/>
              <w:right w:val="single" w:sz="8" w:space="0" w:color="auto"/>
            </w:tcBorders>
            <w:shd w:val="clear" w:color="000000" w:fill="FFFFFF"/>
            <w:vAlign w:val="center"/>
            <w:hideMark/>
          </w:tcPr>
          <w:p w14:paraId="16B25310"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 xml:space="preserve"> Recolher</w:t>
            </w:r>
          </w:p>
        </w:tc>
        <w:tc>
          <w:tcPr>
            <w:tcW w:w="0" w:type="auto"/>
            <w:vMerge/>
            <w:tcBorders>
              <w:top w:val="nil"/>
              <w:left w:val="single" w:sz="8" w:space="0" w:color="auto"/>
              <w:bottom w:val="single" w:sz="4" w:space="0" w:color="000000"/>
              <w:right w:val="nil"/>
            </w:tcBorders>
            <w:vAlign w:val="center"/>
            <w:hideMark/>
          </w:tcPr>
          <w:p w14:paraId="522955F1" w14:textId="77777777" w:rsidR="002A77E4" w:rsidRPr="003D2EC9" w:rsidRDefault="002A77E4" w:rsidP="00EB77A0">
            <w:pPr>
              <w:widowControl/>
              <w:suppressLineNumbers w:val="0"/>
              <w:suppressAutoHyphens w:val="0"/>
              <w:ind w:firstLine="0"/>
              <w:jc w:val="left"/>
              <w:rPr>
                <w:color w:val="000000"/>
                <w:sz w:val="21"/>
                <w:szCs w:val="21"/>
              </w:rPr>
            </w:pPr>
          </w:p>
        </w:tc>
      </w:tr>
      <w:tr w:rsidR="002A77E4" w:rsidRPr="003D2EC9" w14:paraId="5F73894D" w14:textId="77777777" w:rsidTr="0093419F">
        <w:trPr>
          <w:trHeight w:val="282"/>
        </w:trPr>
        <w:tc>
          <w:tcPr>
            <w:tcW w:w="0" w:type="auto"/>
            <w:tcBorders>
              <w:top w:val="nil"/>
              <w:left w:val="nil"/>
              <w:bottom w:val="single" w:sz="4" w:space="0" w:color="auto"/>
              <w:right w:val="nil"/>
            </w:tcBorders>
            <w:shd w:val="clear" w:color="000000" w:fill="FFFFFF"/>
            <w:vAlign w:val="center"/>
            <w:hideMark/>
          </w:tcPr>
          <w:p w14:paraId="33623361" w14:textId="77777777" w:rsidR="002A77E4" w:rsidRPr="003D2EC9" w:rsidRDefault="002A77E4" w:rsidP="00EB77A0">
            <w:pPr>
              <w:widowControl/>
              <w:suppressLineNumbers w:val="0"/>
              <w:suppressAutoHyphens w:val="0"/>
              <w:ind w:firstLine="0"/>
              <w:jc w:val="center"/>
              <w:rPr>
                <w:b/>
                <w:bCs/>
                <w:color w:val="000000"/>
                <w:sz w:val="21"/>
                <w:szCs w:val="21"/>
              </w:rPr>
            </w:pPr>
            <w:r w:rsidRPr="003D2EC9">
              <w:rPr>
                <w:b/>
                <w:bCs/>
                <w:color w:val="000000"/>
                <w:sz w:val="21"/>
                <w:szCs w:val="21"/>
              </w:rPr>
              <w:t>JAN</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5959D7A5"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1.947.083,20</w:t>
            </w:r>
          </w:p>
        </w:tc>
        <w:tc>
          <w:tcPr>
            <w:tcW w:w="0" w:type="auto"/>
            <w:tcBorders>
              <w:top w:val="nil"/>
              <w:left w:val="nil"/>
              <w:bottom w:val="single" w:sz="4" w:space="0" w:color="auto"/>
              <w:right w:val="single" w:sz="8" w:space="0" w:color="auto"/>
            </w:tcBorders>
            <w:shd w:val="clear" w:color="000000" w:fill="FFFFFF"/>
            <w:vAlign w:val="center"/>
            <w:hideMark/>
          </w:tcPr>
          <w:p w14:paraId="66B2B2C0"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24.864,80</w:t>
            </w:r>
          </w:p>
        </w:tc>
        <w:tc>
          <w:tcPr>
            <w:tcW w:w="0" w:type="auto"/>
            <w:tcBorders>
              <w:top w:val="nil"/>
              <w:left w:val="nil"/>
              <w:bottom w:val="single" w:sz="4" w:space="0" w:color="auto"/>
              <w:right w:val="single" w:sz="4" w:space="0" w:color="auto"/>
            </w:tcBorders>
            <w:shd w:val="clear" w:color="auto" w:fill="auto"/>
            <w:noWrap/>
            <w:vAlign w:val="bottom"/>
            <w:hideMark/>
          </w:tcPr>
          <w:p w14:paraId="70805979"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11º</w:t>
            </w:r>
          </w:p>
        </w:tc>
        <w:tc>
          <w:tcPr>
            <w:tcW w:w="0" w:type="auto"/>
            <w:tcBorders>
              <w:top w:val="nil"/>
              <w:left w:val="nil"/>
              <w:bottom w:val="single" w:sz="4" w:space="0" w:color="auto"/>
              <w:right w:val="single" w:sz="4" w:space="0" w:color="auto"/>
            </w:tcBorders>
            <w:shd w:val="clear" w:color="000000" w:fill="FFFFFF"/>
            <w:vAlign w:val="center"/>
            <w:hideMark/>
          </w:tcPr>
          <w:p w14:paraId="06F55C1D"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9,95%</w:t>
            </w:r>
          </w:p>
        </w:tc>
        <w:tc>
          <w:tcPr>
            <w:tcW w:w="0" w:type="auto"/>
            <w:tcBorders>
              <w:top w:val="nil"/>
              <w:left w:val="nil"/>
              <w:bottom w:val="single" w:sz="4" w:space="0" w:color="auto"/>
              <w:right w:val="single" w:sz="8" w:space="0" w:color="auto"/>
            </w:tcBorders>
            <w:shd w:val="clear" w:color="000000" w:fill="FFFFFF"/>
            <w:vAlign w:val="center"/>
            <w:hideMark/>
          </w:tcPr>
          <w:p w14:paraId="0DDB8068" w14:textId="77777777" w:rsidR="002A77E4" w:rsidRPr="003D2EC9" w:rsidRDefault="002A77E4" w:rsidP="00EB77A0">
            <w:pPr>
              <w:widowControl/>
              <w:suppressLineNumbers w:val="0"/>
              <w:suppressAutoHyphens w:val="0"/>
              <w:ind w:firstLineChars="100" w:firstLine="210"/>
              <w:jc w:val="right"/>
              <w:rPr>
                <w:color w:val="000000"/>
                <w:sz w:val="21"/>
                <w:szCs w:val="21"/>
              </w:rPr>
            </w:pPr>
            <w:r w:rsidRPr="003D2EC9">
              <w:rPr>
                <w:color w:val="000000"/>
                <w:sz w:val="21"/>
                <w:szCs w:val="21"/>
              </w:rPr>
              <w:t xml:space="preserve">   2.474,05 </w:t>
            </w:r>
          </w:p>
        </w:tc>
        <w:tc>
          <w:tcPr>
            <w:tcW w:w="0" w:type="auto"/>
            <w:tcBorders>
              <w:top w:val="nil"/>
              <w:left w:val="nil"/>
              <w:bottom w:val="single" w:sz="4" w:space="0" w:color="auto"/>
              <w:right w:val="single" w:sz="4" w:space="0" w:color="auto"/>
            </w:tcBorders>
            <w:shd w:val="clear" w:color="auto" w:fill="auto"/>
            <w:noWrap/>
            <w:vAlign w:val="bottom"/>
            <w:hideMark/>
          </w:tcPr>
          <w:p w14:paraId="38D9CE47"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5º</w:t>
            </w:r>
          </w:p>
        </w:tc>
        <w:tc>
          <w:tcPr>
            <w:tcW w:w="0" w:type="auto"/>
            <w:tcBorders>
              <w:top w:val="nil"/>
              <w:left w:val="nil"/>
              <w:bottom w:val="single" w:sz="4" w:space="0" w:color="auto"/>
              <w:right w:val="single" w:sz="4" w:space="0" w:color="auto"/>
            </w:tcBorders>
            <w:shd w:val="clear" w:color="000000" w:fill="FFFFFF"/>
            <w:vAlign w:val="center"/>
            <w:hideMark/>
          </w:tcPr>
          <w:p w14:paraId="16CB51FD"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9,82%</w:t>
            </w:r>
          </w:p>
        </w:tc>
        <w:tc>
          <w:tcPr>
            <w:tcW w:w="0" w:type="auto"/>
            <w:tcBorders>
              <w:top w:val="nil"/>
              <w:left w:val="nil"/>
              <w:bottom w:val="single" w:sz="4" w:space="0" w:color="auto"/>
              <w:right w:val="single" w:sz="8" w:space="0" w:color="auto"/>
            </w:tcBorders>
            <w:shd w:val="clear" w:color="000000" w:fill="FFFFFF"/>
            <w:vAlign w:val="center"/>
            <w:hideMark/>
          </w:tcPr>
          <w:p w14:paraId="1115025F" w14:textId="77777777" w:rsidR="002A77E4" w:rsidRPr="003D2EC9" w:rsidRDefault="002A77E4" w:rsidP="00EB77A0">
            <w:pPr>
              <w:widowControl/>
              <w:suppressLineNumbers w:val="0"/>
              <w:suppressAutoHyphens w:val="0"/>
              <w:ind w:firstLineChars="100" w:firstLine="210"/>
              <w:jc w:val="right"/>
              <w:rPr>
                <w:color w:val="000000"/>
                <w:sz w:val="21"/>
                <w:szCs w:val="21"/>
              </w:rPr>
            </w:pPr>
            <w:r w:rsidRPr="003D2EC9">
              <w:rPr>
                <w:color w:val="000000"/>
                <w:sz w:val="21"/>
                <w:szCs w:val="21"/>
              </w:rPr>
              <w:t xml:space="preserve">   2.441,72 </w:t>
            </w:r>
          </w:p>
        </w:tc>
        <w:tc>
          <w:tcPr>
            <w:tcW w:w="0" w:type="auto"/>
            <w:tcBorders>
              <w:top w:val="nil"/>
              <w:left w:val="nil"/>
              <w:bottom w:val="single" w:sz="4" w:space="0" w:color="auto"/>
              <w:right w:val="nil"/>
            </w:tcBorders>
            <w:shd w:val="clear" w:color="000000" w:fill="FFFFFF"/>
            <w:vAlign w:val="center"/>
            <w:hideMark/>
          </w:tcPr>
          <w:p w14:paraId="6E08B779"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 xml:space="preserve">- 32,33 </w:t>
            </w:r>
          </w:p>
        </w:tc>
      </w:tr>
      <w:tr w:rsidR="002A77E4" w:rsidRPr="003D2EC9" w14:paraId="19C4E653" w14:textId="77777777" w:rsidTr="0093419F">
        <w:trPr>
          <w:trHeight w:val="288"/>
        </w:trPr>
        <w:tc>
          <w:tcPr>
            <w:tcW w:w="0" w:type="auto"/>
            <w:tcBorders>
              <w:top w:val="nil"/>
              <w:left w:val="nil"/>
              <w:bottom w:val="single" w:sz="4" w:space="0" w:color="auto"/>
              <w:right w:val="nil"/>
            </w:tcBorders>
            <w:shd w:val="clear" w:color="000000" w:fill="FFFFFF"/>
            <w:vAlign w:val="center"/>
            <w:hideMark/>
          </w:tcPr>
          <w:p w14:paraId="6E6741FC" w14:textId="77777777" w:rsidR="002A77E4" w:rsidRPr="003D2EC9" w:rsidRDefault="002A77E4" w:rsidP="00EB77A0">
            <w:pPr>
              <w:widowControl/>
              <w:suppressLineNumbers w:val="0"/>
              <w:suppressAutoHyphens w:val="0"/>
              <w:ind w:firstLine="0"/>
              <w:jc w:val="center"/>
              <w:rPr>
                <w:b/>
                <w:bCs/>
                <w:color w:val="000000"/>
                <w:sz w:val="21"/>
                <w:szCs w:val="21"/>
              </w:rPr>
            </w:pPr>
            <w:r w:rsidRPr="003D2EC9">
              <w:rPr>
                <w:b/>
                <w:bCs/>
                <w:color w:val="000000"/>
                <w:sz w:val="21"/>
                <w:szCs w:val="21"/>
              </w:rPr>
              <w:t>FEV</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0A5B59C9"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1.899.948,00</w:t>
            </w:r>
          </w:p>
        </w:tc>
        <w:tc>
          <w:tcPr>
            <w:tcW w:w="0" w:type="auto"/>
            <w:tcBorders>
              <w:top w:val="nil"/>
              <w:left w:val="nil"/>
              <w:bottom w:val="single" w:sz="4" w:space="0" w:color="auto"/>
              <w:right w:val="single" w:sz="8" w:space="0" w:color="auto"/>
            </w:tcBorders>
            <w:shd w:val="clear" w:color="000000" w:fill="FFFFFF"/>
            <w:vAlign w:val="center"/>
            <w:hideMark/>
          </w:tcPr>
          <w:p w14:paraId="6D902399"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20.915,59</w:t>
            </w:r>
          </w:p>
        </w:tc>
        <w:tc>
          <w:tcPr>
            <w:tcW w:w="0" w:type="auto"/>
            <w:tcBorders>
              <w:top w:val="nil"/>
              <w:left w:val="nil"/>
              <w:bottom w:val="single" w:sz="4" w:space="0" w:color="auto"/>
              <w:right w:val="single" w:sz="4" w:space="0" w:color="auto"/>
            </w:tcBorders>
            <w:shd w:val="clear" w:color="auto" w:fill="auto"/>
            <w:noWrap/>
            <w:vAlign w:val="bottom"/>
            <w:hideMark/>
          </w:tcPr>
          <w:p w14:paraId="4DB28B88"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11º</w:t>
            </w:r>
          </w:p>
        </w:tc>
        <w:tc>
          <w:tcPr>
            <w:tcW w:w="0" w:type="auto"/>
            <w:tcBorders>
              <w:top w:val="nil"/>
              <w:left w:val="nil"/>
              <w:bottom w:val="single" w:sz="4" w:space="0" w:color="auto"/>
              <w:right w:val="single" w:sz="4" w:space="0" w:color="auto"/>
            </w:tcBorders>
            <w:shd w:val="clear" w:color="000000" w:fill="FFFFFF"/>
            <w:vAlign w:val="center"/>
            <w:hideMark/>
          </w:tcPr>
          <w:p w14:paraId="559FD06C"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9,95%</w:t>
            </w:r>
          </w:p>
        </w:tc>
        <w:tc>
          <w:tcPr>
            <w:tcW w:w="0" w:type="auto"/>
            <w:tcBorders>
              <w:top w:val="nil"/>
              <w:left w:val="nil"/>
              <w:bottom w:val="single" w:sz="4" w:space="0" w:color="auto"/>
              <w:right w:val="single" w:sz="8" w:space="0" w:color="auto"/>
            </w:tcBorders>
            <w:shd w:val="clear" w:color="000000" w:fill="FFFFFF"/>
            <w:vAlign w:val="center"/>
            <w:hideMark/>
          </w:tcPr>
          <w:p w14:paraId="6F0BAE47" w14:textId="77777777" w:rsidR="002A77E4" w:rsidRPr="003D2EC9" w:rsidRDefault="002A77E4" w:rsidP="00EB77A0">
            <w:pPr>
              <w:widowControl/>
              <w:suppressLineNumbers w:val="0"/>
              <w:suppressAutoHyphens w:val="0"/>
              <w:ind w:firstLineChars="100" w:firstLine="210"/>
              <w:jc w:val="right"/>
              <w:rPr>
                <w:color w:val="000000"/>
                <w:sz w:val="21"/>
                <w:szCs w:val="21"/>
              </w:rPr>
            </w:pPr>
            <w:r w:rsidRPr="003D2EC9">
              <w:rPr>
                <w:color w:val="000000"/>
                <w:sz w:val="21"/>
                <w:szCs w:val="21"/>
              </w:rPr>
              <w:t xml:space="preserve">   2.081,10 </w:t>
            </w:r>
          </w:p>
        </w:tc>
        <w:tc>
          <w:tcPr>
            <w:tcW w:w="0" w:type="auto"/>
            <w:tcBorders>
              <w:top w:val="nil"/>
              <w:left w:val="nil"/>
              <w:bottom w:val="single" w:sz="4" w:space="0" w:color="auto"/>
              <w:right w:val="single" w:sz="4" w:space="0" w:color="auto"/>
            </w:tcBorders>
            <w:shd w:val="clear" w:color="auto" w:fill="auto"/>
            <w:noWrap/>
            <w:vAlign w:val="bottom"/>
            <w:hideMark/>
          </w:tcPr>
          <w:p w14:paraId="2E29BAFA"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5º</w:t>
            </w:r>
          </w:p>
        </w:tc>
        <w:tc>
          <w:tcPr>
            <w:tcW w:w="0" w:type="auto"/>
            <w:tcBorders>
              <w:top w:val="nil"/>
              <w:left w:val="nil"/>
              <w:bottom w:val="single" w:sz="4" w:space="0" w:color="auto"/>
              <w:right w:val="single" w:sz="4" w:space="0" w:color="auto"/>
            </w:tcBorders>
            <w:shd w:val="clear" w:color="000000" w:fill="FFFFFF"/>
            <w:vAlign w:val="center"/>
            <w:hideMark/>
          </w:tcPr>
          <w:p w14:paraId="11F6D2ED"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10,34%</w:t>
            </w:r>
          </w:p>
        </w:tc>
        <w:tc>
          <w:tcPr>
            <w:tcW w:w="0" w:type="auto"/>
            <w:tcBorders>
              <w:top w:val="nil"/>
              <w:left w:val="nil"/>
              <w:bottom w:val="single" w:sz="4" w:space="0" w:color="auto"/>
              <w:right w:val="single" w:sz="8" w:space="0" w:color="auto"/>
            </w:tcBorders>
            <w:shd w:val="clear" w:color="000000" w:fill="FFFFFF"/>
            <w:vAlign w:val="center"/>
            <w:hideMark/>
          </w:tcPr>
          <w:p w14:paraId="45069A3A" w14:textId="77777777" w:rsidR="002A77E4" w:rsidRPr="003D2EC9" w:rsidRDefault="002A77E4" w:rsidP="00EB77A0">
            <w:pPr>
              <w:widowControl/>
              <w:suppressLineNumbers w:val="0"/>
              <w:suppressAutoHyphens w:val="0"/>
              <w:ind w:firstLineChars="100" w:firstLine="210"/>
              <w:jc w:val="right"/>
              <w:rPr>
                <w:color w:val="000000"/>
                <w:sz w:val="21"/>
                <w:szCs w:val="21"/>
              </w:rPr>
            </w:pPr>
            <w:r w:rsidRPr="003D2EC9">
              <w:rPr>
                <w:color w:val="000000"/>
                <w:sz w:val="21"/>
                <w:szCs w:val="21"/>
              </w:rPr>
              <w:t xml:space="preserve">   2.162,67 </w:t>
            </w:r>
          </w:p>
        </w:tc>
        <w:tc>
          <w:tcPr>
            <w:tcW w:w="0" w:type="auto"/>
            <w:tcBorders>
              <w:top w:val="nil"/>
              <w:left w:val="nil"/>
              <w:bottom w:val="single" w:sz="4" w:space="0" w:color="auto"/>
              <w:right w:val="nil"/>
            </w:tcBorders>
            <w:shd w:val="clear" w:color="000000" w:fill="FFFFFF"/>
            <w:vAlign w:val="center"/>
            <w:hideMark/>
          </w:tcPr>
          <w:p w14:paraId="29576B87"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 xml:space="preserve">        81,57 </w:t>
            </w:r>
          </w:p>
        </w:tc>
      </w:tr>
      <w:tr w:rsidR="002A77E4" w:rsidRPr="003D2EC9" w14:paraId="77BFCB19" w14:textId="77777777" w:rsidTr="0093419F">
        <w:trPr>
          <w:trHeight w:val="288"/>
        </w:trPr>
        <w:tc>
          <w:tcPr>
            <w:tcW w:w="0" w:type="auto"/>
            <w:tcBorders>
              <w:top w:val="nil"/>
              <w:left w:val="nil"/>
              <w:bottom w:val="single" w:sz="4" w:space="0" w:color="auto"/>
              <w:right w:val="nil"/>
            </w:tcBorders>
            <w:shd w:val="clear" w:color="000000" w:fill="FFFFFF"/>
            <w:vAlign w:val="center"/>
            <w:hideMark/>
          </w:tcPr>
          <w:p w14:paraId="31C4AE2F" w14:textId="77777777" w:rsidR="002A77E4" w:rsidRPr="003D2EC9" w:rsidRDefault="002A77E4" w:rsidP="00EB77A0">
            <w:pPr>
              <w:widowControl/>
              <w:suppressLineNumbers w:val="0"/>
              <w:suppressAutoHyphens w:val="0"/>
              <w:ind w:firstLine="0"/>
              <w:jc w:val="center"/>
              <w:rPr>
                <w:b/>
                <w:bCs/>
                <w:color w:val="000000"/>
                <w:sz w:val="21"/>
                <w:szCs w:val="21"/>
              </w:rPr>
            </w:pPr>
            <w:r w:rsidRPr="003D2EC9">
              <w:rPr>
                <w:b/>
                <w:bCs/>
                <w:color w:val="000000"/>
                <w:sz w:val="21"/>
                <w:szCs w:val="21"/>
              </w:rPr>
              <w:t>MAR</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615B051B"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1.895.998,78</w:t>
            </w:r>
          </w:p>
        </w:tc>
        <w:tc>
          <w:tcPr>
            <w:tcW w:w="0" w:type="auto"/>
            <w:tcBorders>
              <w:top w:val="nil"/>
              <w:left w:val="nil"/>
              <w:bottom w:val="single" w:sz="4" w:space="0" w:color="auto"/>
              <w:right w:val="single" w:sz="8" w:space="0" w:color="auto"/>
            </w:tcBorders>
            <w:shd w:val="clear" w:color="000000" w:fill="FFFFFF"/>
            <w:vAlign w:val="center"/>
            <w:hideMark/>
          </w:tcPr>
          <w:p w14:paraId="7BDFDA4F"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27.290,53</w:t>
            </w:r>
          </w:p>
        </w:tc>
        <w:tc>
          <w:tcPr>
            <w:tcW w:w="0" w:type="auto"/>
            <w:tcBorders>
              <w:top w:val="nil"/>
              <w:left w:val="nil"/>
              <w:bottom w:val="single" w:sz="4" w:space="0" w:color="auto"/>
              <w:right w:val="single" w:sz="4" w:space="0" w:color="auto"/>
            </w:tcBorders>
            <w:shd w:val="clear" w:color="auto" w:fill="auto"/>
            <w:noWrap/>
            <w:vAlign w:val="bottom"/>
            <w:hideMark/>
          </w:tcPr>
          <w:p w14:paraId="55C7126B"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11º</w:t>
            </w:r>
          </w:p>
        </w:tc>
        <w:tc>
          <w:tcPr>
            <w:tcW w:w="0" w:type="auto"/>
            <w:tcBorders>
              <w:top w:val="nil"/>
              <w:left w:val="nil"/>
              <w:bottom w:val="single" w:sz="4" w:space="0" w:color="auto"/>
              <w:right w:val="single" w:sz="4" w:space="0" w:color="auto"/>
            </w:tcBorders>
            <w:shd w:val="clear" w:color="000000" w:fill="FFFFFF"/>
            <w:vAlign w:val="center"/>
            <w:hideMark/>
          </w:tcPr>
          <w:p w14:paraId="511A6751"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9,95%</w:t>
            </w:r>
          </w:p>
        </w:tc>
        <w:tc>
          <w:tcPr>
            <w:tcW w:w="0" w:type="auto"/>
            <w:tcBorders>
              <w:top w:val="nil"/>
              <w:left w:val="nil"/>
              <w:bottom w:val="single" w:sz="4" w:space="0" w:color="auto"/>
              <w:right w:val="single" w:sz="8" w:space="0" w:color="auto"/>
            </w:tcBorders>
            <w:shd w:val="clear" w:color="000000" w:fill="FFFFFF"/>
            <w:vAlign w:val="center"/>
            <w:hideMark/>
          </w:tcPr>
          <w:p w14:paraId="7CFA5D19" w14:textId="77777777" w:rsidR="002A77E4" w:rsidRPr="003D2EC9" w:rsidRDefault="002A77E4" w:rsidP="00EB77A0">
            <w:pPr>
              <w:widowControl/>
              <w:suppressLineNumbers w:val="0"/>
              <w:suppressAutoHyphens w:val="0"/>
              <w:ind w:firstLineChars="100" w:firstLine="210"/>
              <w:jc w:val="right"/>
              <w:rPr>
                <w:color w:val="000000"/>
                <w:sz w:val="21"/>
                <w:szCs w:val="21"/>
              </w:rPr>
            </w:pPr>
            <w:r w:rsidRPr="003D2EC9">
              <w:rPr>
                <w:color w:val="000000"/>
                <w:sz w:val="21"/>
                <w:szCs w:val="21"/>
              </w:rPr>
              <w:t xml:space="preserve">   2.715,41 </w:t>
            </w:r>
          </w:p>
        </w:tc>
        <w:tc>
          <w:tcPr>
            <w:tcW w:w="0" w:type="auto"/>
            <w:tcBorders>
              <w:top w:val="nil"/>
              <w:left w:val="nil"/>
              <w:bottom w:val="single" w:sz="4" w:space="0" w:color="auto"/>
              <w:right w:val="single" w:sz="4" w:space="0" w:color="auto"/>
            </w:tcBorders>
            <w:shd w:val="clear" w:color="auto" w:fill="auto"/>
            <w:noWrap/>
            <w:vAlign w:val="bottom"/>
            <w:hideMark/>
          </w:tcPr>
          <w:p w14:paraId="2BD27DA5"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5º</w:t>
            </w:r>
          </w:p>
        </w:tc>
        <w:tc>
          <w:tcPr>
            <w:tcW w:w="0" w:type="auto"/>
            <w:tcBorders>
              <w:top w:val="nil"/>
              <w:left w:val="nil"/>
              <w:bottom w:val="single" w:sz="4" w:space="0" w:color="auto"/>
              <w:right w:val="single" w:sz="4" w:space="0" w:color="auto"/>
            </w:tcBorders>
            <w:shd w:val="clear" w:color="000000" w:fill="FFFFFF"/>
            <w:vAlign w:val="center"/>
            <w:hideMark/>
          </w:tcPr>
          <w:p w14:paraId="452AFCA1"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10,24%</w:t>
            </w:r>
          </w:p>
        </w:tc>
        <w:tc>
          <w:tcPr>
            <w:tcW w:w="0" w:type="auto"/>
            <w:tcBorders>
              <w:top w:val="nil"/>
              <w:left w:val="nil"/>
              <w:bottom w:val="single" w:sz="4" w:space="0" w:color="auto"/>
              <w:right w:val="single" w:sz="8" w:space="0" w:color="auto"/>
            </w:tcBorders>
            <w:shd w:val="clear" w:color="000000" w:fill="FFFFFF"/>
            <w:vAlign w:val="center"/>
            <w:hideMark/>
          </w:tcPr>
          <w:p w14:paraId="1D2A9697" w14:textId="77777777" w:rsidR="002A77E4" w:rsidRPr="003D2EC9" w:rsidRDefault="002A77E4" w:rsidP="00EB77A0">
            <w:pPr>
              <w:widowControl/>
              <w:suppressLineNumbers w:val="0"/>
              <w:suppressAutoHyphens w:val="0"/>
              <w:ind w:firstLineChars="100" w:firstLine="210"/>
              <w:jc w:val="right"/>
              <w:rPr>
                <w:color w:val="000000"/>
                <w:sz w:val="21"/>
                <w:szCs w:val="21"/>
              </w:rPr>
            </w:pPr>
            <w:r w:rsidRPr="003D2EC9">
              <w:rPr>
                <w:color w:val="000000"/>
                <w:sz w:val="21"/>
                <w:szCs w:val="21"/>
              </w:rPr>
              <w:t xml:space="preserve">   2.794,55 </w:t>
            </w:r>
          </w:p>
        </w:tc>
        <w:tc>
          <w:tcPr>
            <w:tcW w:w="0" w:type="auto"/>
            <w:tcBorders>
              <w:top w:val="nil"/>
              <w:left w:val="nil"/>
              <w:bottom w:val="single" w:sz="4" w:space="0" w:color="auto"/>
              <w:right w:val="nil"/>
            </w:tcBorders>
            <w:shd w:val="clear" w:color="000000" w:fill="FFFFFF"/>
            <w:vAlign w:val="center"/>
            <w:hideMark/>
          </w:tcPr>
          <w:p w14:paraId="05DFDA21"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 xml:space="preserve">        79,14 </w:t>
            </w:r>
          </w:p>
        </w:tc>
      </w:tr>
      <w:tr w:rsidR="002A77E4" w:rsidRPr="003D2EC9" w14:paraId="11867FAE" w14:textId="77777777" w:rsidTr="0093419F">
        <w:trPr>
          <w:trHeight w:val="288"/>
        </w:trPr>
        <w:tc>
          <w:tcPr>
            <w:tcW w:w="0" w:type="auto"/>
            <w:tcBorders>
              <w:top w:val="nil"/>
              <w:left w:val="nil"/>
              <w:bottom w:val="single" w:sz="4" w:space="0" w:color="auto"/>
              <w:right w:val="nil"/>
            </w:tcBorders>
            <w:shd w:val="clear" w:color="000000" w:fill="FFFFFF"/>
            <w:vAlign w:val="center"/>
            <w:hideMark/>
          </w:tcPr>
          <w:p w14:paraId="13DF773E" w14:textId="77777777" w:rsidR="002A77E4" w:rsidRPr="003D2EC9" w:rsidRDefault="002A77E4" w:rsidP="00EB77A0">
            <w:pPr>
              <w:widowControl/>
              <w:suppressLineNumbers w:val="0"/>
              <w:suppressAutoHyphens w:val="0"/>
              <w:ind w:firstLine="0"/>
              <w:jc w:val="center"/>
              <w:rPr>
                <w:b/>
                <w:bCs/>
                <w:color w:val="000000"/>
                <w:sz w:val="21"/>
                <w:szCs w:val="21"/>
              </w:rPr>
            </w:pPr>
            <w:r w:rsidRPr="003D2EC9">
              <w:rPr>
                <w:b/>
                <w:bCs/>
                <w:color w:val="000000"/>
                <w:sz w:val="21"/>
                <w:szCs w:val="21"/>
              </w:rPr>
              <w:t>ABR</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7EEE546B"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1.902.373,73</w:t>
            </w:r>
          </w:p>
        </w:tc>
        <w:tc>
          <w:tcPr>
            <w:tcW w:w="0" w:type="auto"/>
            <w:tcBorders>
              <w:top w:val="nil"/>
              <w:left w:val="nil"/>
              <w:bottom w:val="single" w:sz="4" w:space="0" w:color="auto"/>
              <w:right w:val="single" w:sz="8" w:space="0" w:color="auto"/>
            </w:tcBorders>
            <w:shd w:val="clear" w:color="000000" w:fill="FFFFFF"/>
            <w:vAlign w:val="center"/>
            <w:hideMark/>
          </w:tcPr>
          <w:p w14:paraId="18299757"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36.902,35</w:t>
            </w:r>
          </w:p>
        </w:tc>
        <w:tc>
          <w:tcPr>
            <w:tcW w:w="0" w:type="auto"/>
            <w:tcBorders>
              <w:top w:val="nil"/>
              <w:left w:val="nil"/>
              <w:bottom w:val="single" w:sz="4" w:space="0" w:color="auto"/>
              <w:right w:val="single" w:sz="4" w:space="0" w:color="auto"/>
            </w:tcBorders>
            <w:shd w:val="clear" w:color="auto" w:fill="auto"/>
            <w:noWrap/>
            <w:vAlign w:val="bottom"/>
            <w:hideMark/>
          </w:tcPr>
          <w:p w14:paraId="0E9FB1DC"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11º</w:t>
            </w:r>
          </w:p>
        </w:tc>
        <w:tc>
          <w:tcPr>
            <w:tcW w:w="0" w:type="auto"/>
            <w:tcBorders>
              <w:top w:val="nil"/>
              <w:left w:val="nil"/>
              <w:bottom w:val="single" w:sz="4" w:space="0" w:color="auto"/>
              <w:right w:val="single" w:sz="4" w:space="0" w:color="auto"/>
            </w:tcBorders>
            <w:shd w:val="clear" w:color="000000" w:fill="FFFFFF"/>
            <w:vAlign w:val="center"/>
            <w:hideMark/>
          </w:tcPr>
          <w:p w14:paraId="1F7702D1"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9,95%</w:t>
            </w:r>
          </w:p>
        </w:tc>
        <w:tc>
          <w:tcPr>
            <w:tcW w:w="0" w:type="auto"/>
            <w:tcBorders>
              <w:top w:val="nil"/>
              <w:left w:val="nil"/>
              <w:bottom w:val="single" w:sz="4" w:space="0" w:color="auto"/>
              <w:right w:val="single" w:sz="8" w:space="0" w:color="auto"/>
            </w:tcBorders>
            <w:shd w:val="clear" w:color="000000" w:fill="FFFFFF"/>
            <w:vAlign w:val="center"/>
            <w:hideMark/>
          </w:tcPr>
          <w:p w14:paraId="33B3C0C0" w14:textId="77777777" w:rsidR="002A77E4" w:rsidRPr="003D2EC9" w:rsidRDefault="002A77E4" w:rsidP="00EB77A0">
            <w:pPr>
              <w:widowControl/>
              <w:suppressLineNumbers w:val="0"/>
              <w:suppressAutoHyphens w:val="0"/>
              <w:ind w:firstLineChars="100" w:firstLine="210"/>
              <w:jc w:val="right"/>
              <w:rPr>
                <w:color w:val="000000"/>
                <w:sz w:val="21"/>
                <w:szCs w:val="21"/>
              </w:rPr>
            </w:pPr>
            <w:r w:rsidRPr="003D2EC9">
              <w:rPr>
                <w:color w:val="000000"/>
                <w:sz w:val="21"/>
                <w:szCs w:val="21"/>
              </w:rPr>
              <w:t xml:space="preserve">   3.671,78 </w:t>
            </w:r>
          </w:p>
        </w:tc>
        <w:tc>
          <w:tcPr>
            <w:tcW w:w="0" w:type="auto"/>
            <w:tcBorders>
              <w:top w:val="nil"/>
              <w:left w:val="nil"/>
              <w:bottom w:val="single" w:sz="4" w:space="0" w:color="auto"/>
              <w:right w:val="single" w:sz="4" w:space="0" w:color="auto"/>
            </w:tcBorders>
            <w:shd w:val="clear" w:color="auto" w:fill="auto"/>
            <w:noWrap/>
            <w:vAlign w:val="bottom"/>
            <w:hideMark/>
          </w:tcPr>
          <w:p w14:paraId="11F661C4"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5º</w:t>
            </w:r>
          </w:p>
        </w:tc>
        <w:tc>
          <w:tcPr>
            <w:tcW w:w="0" w:type="auto"/>
            <w:tcBorders>
              <w:top w:val="nil"/>
              <w:left w:val="nil"/>
              <w:bottom w:val="single" w:sz="4" w:space="0" w:color="auto"/>
              <w:right w:val="single" w:sz="4" w:space="0" w:color="auto"/>
            </w:tcBorders>
            <w:shd w:val="clear" w:color="000000" w:fill="FFFFFF"/>
            <w:vAlign w:val="center"/>
            <w:hideMark/>
          </w:tcPr>
          <w:p w14:paraId="341151C7"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10,37%</w:t>
            </w:r>
          </w:p>
        </w:tc>
        <w:tc>
          <w:tcPr>
            <w:tcW w:w="0" w:type="auto"/>
            <w:tcBorders>
              <w:top w:val="nil"/>
              <w:left w:val="nil"/>
              <w:bottom w:val="single" w:sz="4" w:space="0" w:color="auto"/>
              <w:right w:val="single" w:sz="8" w:space="0" w:color="auto"/>
            </w:tcBorders>
            <w:shd w:val="clear" w:color="000000" w:fill="FFFFFF"/>
            <w:vAlign w:val="center"/>
            <w:hideMark/>
          </w:tcPr>
          <w:p w14:paraId="177B1444" w14:textId="77777777" w:rsidR="002A77E4" w:rsidRPr="003D2EC9" w:rsidRDefault="002A77E4" w:rsidP="00EB77A0">
            <w:pPr>
              <w:widowControl/>
              <w:suppressLineNumbers w:val="0"/>
              <w:suppressAutoHyphens w:val="0"/>
              <w:ind w:firstLineChars="100" w:firstLine="210"/>
              <w:jc w:val="right"/>
              <w:rPr>
                <w:color w:val="000000"/>
                <w:sz w:val="21"/>
                <w:szCs w:val="21"/>
              </w:rPr>
            </w:pPr>
            <w:r w:rsidRPr="003D2EC9">
              <w:rPr>
                <w:color w:val="000000"/>
                <w:sz w:val="21"/>
                <w:szCs w:val="21"/>
              </w:rPr>
              <w:t xml:space="preserve">   3.826,77 </w:t>
            </w:r>
          </w:p>
        </w:tc>
        <w:tc>
          <w:tcPr>
            <w:tcW w:w="0" w:type="auto"/>
            <w:tcBorders>
              <w:top w:val="nil"/>
              <w:left w:val="nil"/>
              <w:bottom w:val="single" w:sz="4" w:space="0" w:color="auto"/>
              <w:right w:val="nil"/>
            </w:tcBorders>
            <w:shd w:val="clear" w:color="000000" w:fill="FFFFFF"/>
            <w:vAlign w:val="center"/>
            <w:hideMark/>
          </w:tcPr>
          <w:p w14:paraId="67C5276D"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 xml:space="preserve">      154,99 </w:t>
            </w:r>
          </w:p>
        </w:tc>
      </w:tr>
      <w:tr w:rsidR="002A77E4" w:rsidRPr="003D2EC9" w14:paraId="17B61FD2" w14:textId="77777777" w:rsidTr="0093419F">
        <w:trPr>
          <w:trHeight w:val="288"/>
        </w:trPr>
        <w:tc>
          <w:tcPr>
            <w:tcW w:w="0" w:type="auto"/>
            <w:tcBorders>
              <w:top w:val="nil"/>
              <w:left w:val="nil"/>
              <w:bottom w:val="single" w:sz="4" w:space="0" w:color="auto"/>
              <w:right w:val="nil"/>
            </w:tcBorders>
            <w:shd w:val="clear" w:color="000000" w:fill="FFFFFF"/>
            <w:vAlign w:val="center"/>
            <w:hideMark/>
          </w:tcPr>
          <w:p w14:paraId="6FDCEC15" w14:textId="77777777" w:rsidR="002A77E4" w:rsidRPr="003D2EC9" w:rsidRDefault="002A77E4" w:rsidP="00EB77A0">
            <w:pPr>
              <w:widowControl/>
              <w:suppressLineNumbers w:val="0"/>
              <w:suppressAutoHyphens w:val="0"/>
              <w:ind w:firstLine="0"/>
              <w:jc w:val="center"/>
              <w:rPr>
                <w:b/>
                <w:bCs/>
                <w:color w:val="000000"/>
                <w:sz w:val="21"/>
                <w:szCs w:val="21"/>
              </w:rPr>
            </w:pPr>
            <w:r w:rsidRPr="003D2EC9">
              <w:rPr>
                <w:b/>
                <w:bCs/>
                <w:color w:val="000000"/>
                <w:sz w:val="21"/>
                <w:szCs w:val="21"/>
              </w:rPr>
              <w:t>MAI</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0959D279"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1.911.985,55</w:t>
            </w:r>
          </w:p>
        </w:tc>
        <w:tc>
          <w:tcPr>
            <w:tcW w:w="0" w:type="auto"/>
            <w:tcBorders>
              <w:top w:val="nil"/>
              <w:left w:val="nil"/>
              <w:bottom w:val="single" w:sz="4" w:space="0" w:color="auto"/>
              <w:right w:val="single" w:sz="8" w:space="0" w:color="auto"/>
            </w:tcBorders>
            <w:shd w:val="clear" w:color="000000" w:fill="FFFFFF"/>
            <w:vAlign w:val="center"/>
            <w:hideMark/>
          </w:tcPr>
          <w:p w14:paraId="55EC34B6"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25.999,10</w:t>
            </w:r>
          </w:p>
        </w:tc>
        <w:tc>
          <w:tcPr>
            <w:tcW w:w="0" w:type="auto"/>
            <w:tcBorders>
              <w:top w:val="nil"/>
              <w:left w:val="nil"/>
              <w:bottom w:val="single" w:sz="4" w:space="0" w:color="auto"/>
              <w:right w:val="single" w:sz="4" w:space="0" w:color="auto"/>
            </w:tcBorders>
            <w:shd w:val="clear" w:color="auto" w:fill="auto"/>
            <w:noWrap/>
            <w:vAlign w:val="bottom"/>
            <w:hideMark/>
          </w:tcPr>
          <w:p w14:paraId="61AF1244"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12º</w:t>
            </w:r>
          </w:p>
        </w:tc>
        <w:tc>
          <w:tcPr>
            <w:tcW w:w="0" w:type="auto"/>
            <w:tcBorders>
              <w:top w:val="nil"/>
              <w:left w:val="nil"/>
              <w:bottom w:val="single" w:sz="4" w:space="0" w:color="auto"/>
              <w:right w:val="single" w:sz="4" w:space="0" w:color="auto"/>
            </w:tcBorders>
            <w:shd w:val="clear" w:color="000000" w:fill="FFFFFF"/>
            <w:vAlign w:val="center"/>
            <w:hideMark/>
          </w:tcPr>
          <w:p w14:paraId="145CA6FA"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10,04%</w:t>
            </w:r>
          </w:p>
        </w:tc>
        <w:tc>
          <w:tcPr>
            <w:tcW w:w="0" w:type="auto"/>
            <w:tcBorders>
              <w:top w:val="nil"/>
              <w:left w:val="nil"/>
              <w:bottom w:val="single" w:sz="4" w:space="0" w:color="auto"/>
              <w:right w:val="single" w:sz="8" w:space="0" w:color="auto"/>
            </w:tcBorders>
            <w:shd w:val="clear" w:color="000000" w:fill="FFFFFF"/>
            <w:vAlign w:val="center"/>
            <w:hideMark/>
          </w:tcPr>
          <w:p w14:paraId="417E8A5B" w14:textId="77777777" w:rsidR="002A77E4" w:rsidRPr="003D2EC9" w:rsidRDefault="002A77E4" w:rsidP="00EB77A0">
            <w:pPr>
              <w:widowControl/>
              <w:suppressLineNumbers w:val="0"/>
              <w:suppressAutoHyphens w:val="0"/>
              <w:ind w:firstLineChars="100" w:firstLine="210"/>
              <w:jc w:val="right"/>
              <w:rPr>
                <w:color w:val="000000"/>
                <w:sz w:val="21"/>
                <w:szCs w:val="21"/>
              </w:rPr>
            </w:pPr>
            <w:r w:rsidRPr="003D2EC9">
              <w:rPr>
                <w:color w:val="000000"/>
                <w:sz w:val="21"/>
                <w:szCs w:val="21"/>
              </w:rPr>
              <w:t xml:space="preserve">   2.586,91 </w:t>
            </w:r>
          </w:p>
        </w:tc>
        <w:tc>
          <w:tcPr>
            <w:tcW w:w="0" w:type="auto"/>
            <w:tcBorders>
              <w:top w:val="nil"/>
              <w:left w:val="nil"/>
              <w:bottom w:val="single" w:sz="4" w:space="0" w:color="auto"/>
              <w:right w:val="single" w:sz="4" w:space="0" w:color="auto"/>
            </w:tcBorders>
            <w:shd w:val="clear" w:color="auto" w:fill="auto"/>
            <w:noWrap/>
            <w:vAlign w:val="bottom"/>
            <w:hideMark/>
          </w:tcPr>
          <w:p w14:paraId="2E8E8E1D"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5º</w:t>
            </w:r>
          </w:p>
        </w:tc>
        <w:tc>
          <w:tcPr>
            <w:tcW w:w="0" w:type="auto"/>
            <w:tcBorders>
              <w:top w:val="nil"/>
              <w:left w:val="nil"/>
              <w:bottom w:val="single" w:sz="4" w:space="0" w:color="auto"/>
              <w:right w:val="single" w:sz="4" w:space="0" w:color="auto"/>
            </w:tcBorders>
            <w:shd w:val="clear" w:color="000000" w:fill="FFFFFF"/>
            <w:vAlign w:val="center"/>
            <w:hideMark/>
          </w:tcPr>
          <w:p w14:paraId="2DEECC32"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10,10%</w:t>
            </w:r>
          </w:p>
        </w:tc>
        <w:tc>
          <w:tcPr>
            <w:tcW w:w="0" w:type="auto"/>
            <w:tcBorders>
              <w:top w:val="nil"/>
              <w:left w:val="nil"/>
              <w:bottom w:val="single" w:sz="4" w:space="0" w:color="auto"/>
              <w:right w:val="single" w:sz="8" w:space="0" w:color="auto"/>
            </w:tcBorders>
            <w:shd w:val="clear" w:color="000000" w:fill="FFFFFF"/>
            <w:vAlign w:val="center"/>
            <w:hideMark/>
          </w:tcPr>
          <w:p w14:paraId="3D1C75F4" w14:textId="77777777" w:rsidR="002A77E4" w:rsidRPr="003D2EC9" w:rsidRDefault="002A77E4" w:rsidP="00EB77A0">
            <w:pPr>
              <w:widowControl/>
              <w:suppressLineNumbers w:val="0"/>
              <w:suppressAutoHyphens w:val="0"/>
              <w:ind w:firstLineChars="100" w:firstLine="210"/>
              <w:jc w:val="right"/>
              <w:rPr>
                <w:color w:val="000000"/>
                <w:sz w:val="21"/>
                <w:szCs w:val="21"/>
              </w:rPr>
            </w:pPr>
            <w:r w:rsidRPr="003D2EC9">
              <w:rPr>
                <w:color w:val="000000"/>
                <w:sz w:val="21"/>
                <w:szCs w:val="21"/>
              </w:rPr>
              <w:t xml:space="preserve">   2.625,91 </w:t>
            </w:r>
          </w:p>
        </w:tc>
        <w:tc>
          <w:tcPr>
            <w:tcW w:w="0" w:type="auto"/>
            <w:tcBorders>
              <w:top w:val="nil"/>
              <w:left w:val="nil"/>
              <w:bottom w:val="single" w:sz="4" w:space="0" w:color="auto"/>
              <w:right w:val="nil"/>
            </w:tcBorders>
            <w:shd w:val="clear" w:color="000000" w:fill="FFFFFF"/>
            <w:vAlign w:val="center"/>
            <w:hideMark/>
          </w:tcPr>
          <w:p w14:paraId="07E5D8AD"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 xml:space="preserve">        39,00 </w:t>
            </w:r>
          </w:p>
        </w:tc>
      </w:tr>
      <w:tr w:rsidR="002A77E4" w:rsidRPr="003D2EC9" w14:paraId="57F90272" w14:textId="77777777" w:rsidTr="0093419F">
        <w:trPr>
          <w:trHeight w:val="288"/>
        </w:trPr>
        <w:tc>
          <w:tcPr>
            <w:tcW w:w="0" w:type="auto"/>
            <w:tcBorders>
              <w:top w:val="nil"/>
              <w:left w:val="nil"/>
              <w:bottom w:val="single" w:sz="4" w:space="0" w:color="auto"/>
              <w:right w:val="nil"/>
            </w:tcBorders>
            <w:shd w:val="clear" w:color="000000" w:fill="FFFFFF"/>
            <w:vAlign w:val="center"/>
            <w:hideMark/>
          </w:tcPr>
          <w:p w14:paraId="40EF6CE4" w14:textId="77777777" w:rsidR="002A77E4" w:rsidRPr="003D2EC9" w:rsidRDefault="002A77E4" w:rsidP="00EB77A0">
            <w:pPr>
              <w:widowControl/>
              <w:suppressLineNumbers w:val="0"/>
              <w:suppressAutoHyphens w:val="0"/>
              <w:ind w:firstLine="0"/>
              <w:jc w:val="center"/>
              <w:rPr>
                <w:b/>
                <w:bCs/>
                <w:color w:val="000000"/>
                <w:sz w:val="21"/>
                <w:szCs w:val="21"/>
              </w:rPr>
            </w:pPr>
            <w:r w:rsidRPr="003D2EC9">
              <w:rPr>
                <w:b/>
                <w:bCs/>
                <w:color w:val="000000"/>
                <w:sz w:val="21"/>
                <w:szCs w:val="21"/>
              </w:rPr>
              <w:t>JUN</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3C314A1C"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1.901.082,30</w:t>
            </w:r>
          </w:p>
        </w:tc>
        <w:tc>
          <w:tcPr>
            <w:tcW w:w="0" w:type="auto"/>
            <w:tcBorders>
              <w:top w:val="nil"/>
              <w:left w:val="nil"/>
              <w:bottom w:val="single" w:sz="4" w:space="0" w:color="auto"/>
              <w:right w:val="single" w:sz="8" w:space="0" w:color="auto"/>
            </w:tcBorders>
            <w:shd w:val="clear" w:color="000000" w:fill="FFFFFF"/>
            <w:vAlign w:val="center"/>
            <w:hideMark/>
          </w:tcPr>
          <w:p w14:paraId="49F4E17F"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30.377,92</w:t>
            </w:r>
          </w:p>
        </w:tc>
        <w:tc>
          <w:tcPr>
            <w:tcW w:w="0" w:type="auto"/>
            <w:tcBorders>
              <w:top w:val="nil"/>
              <w:left w:val="nil"/>
              <w:bottom w:val="single" w:sz="4" w:space="0" w:color="auto"/>
              <w:right w:val="single" w:sz="4" w:space="0" w:color="auto"/>
            </w:tcBorders>
            <w:shd w:val="clear" w:color="auto" w:fill="auto"/>
            <w:noWrap/>
            <w:vAlign w:val="bottom"/>
            <w:hideMark/>
          </w:tcPr>
          <w:p w14:paraId="527BB05C"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11º</w:t>
            </w:r>
          </w:p>
        </w:tc>
        <w:tc>
          <w:tcPr>
            <w:tcW w:w="0" w:type="auto"/>
            <w:tcBorders>
              <w:top w:val="nil"/>
              <w:left w:val="nil"/>
              <w:bottom w:val="single" w:sz="4" w:space="0" w:color="auto"/>
              <w:right w:val="single" w:sz="4" w:space="0" w:color="auto"/>
            </w:tcBorders>
            <w:shd w:val="clear" w:color="000000" w:fill="FFFFFF"/>
            <w:vAlign w:val="center"/>
            <w:hideMark/>
          </w:tcPr>
          <w:p w14:paraId="6E29907C"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9,95%</w:t>
            </w:r>
          </w:p>
        </w:tc>
        <w:tc>
          <w:tcPr>
            <w:tcW w:w="0" w:type="auto"/>
            <w:tcBorders>
              <w:top w:val="nil"/>
              <w:left w:val="nil"/>
              <w:bottom w:val="single" w:sz="4" w:space="0" w:color="auto"/>
              <w:right w:val="single" w:sz="8" w:space="0" w:color="auto"/>
            </w:tcBorders>
            <w:shd w:val="clear" w:color="000000" w:fill="FFFFFF"/>
            <w:vAlign w:val="center"/>
            <w:hideMark/>
          </w:tcPr>
          <w:p w14:paraId="4B98E7CC" w14:textId="77777777" w:rsidR="002A77E4" w:rsidRPr="003D2EC9" w:rsidRDefault="002A77E4" w:rsidP="00EB77A0">
            <w:pPr>
              <w:widowControl/>
              <w:suppressLineNumbers w:val="0"/>
              <w:suppressAutoHyphens w:val="0"/>
              <w:ind w:firstLineChars="100" w:firstLine="210"/>
              <w:jc w:val="right"/>
              <w:rPr>
                <w:color w:val="000000"/>
                <w:sz w:val="21"/>
                <w:szCs w:val="21"/>
              </w:rPr>
            </w:pPr>
            <w:r w:rsidRPr="003D2EC9">
              <w:rPr>
                <w:color w:val="000000"/>
                <w:sz w:val="21"/>
                <w:szCs w:val="21"/>
              </w:rPr>
              <w:t xml:space="preserve">   3.022,60 </w:t>
            </w:r>
          </w:p>
        </w:tc>
        <w:tc>
          <w:tcPr>
            <w:tcW w:w="0" w:type="auto"/>
            <w:tcBorders>
              <w:top w:val="nil"/>
              <w:left w:val="nil"/>
              <w:bottom w:val="single" w:sz="4" w:space="0" w:color="auto"/>
              <w:right w:val="single" w:sz="4" w:space="0" w:color="auto"/>
            </w:tcBorders>
            <w:shd w:val="clear" w:color="auto" w:fill="auto"/>
            <w:noWrap/>
            <w:vAlign w:val="bottom"/>
            <w:hideMark/>
          </w:tcPr>
          <w:p w14:paraId="4401559A"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5º</w:t>
            </w:r>
          </w:p>
        </w:tc>
        <w:tc>
          <w:tcPr>
            <w:tcW w:w="0" w:type="auto"/>
            <w:tcBorders>
              <w:top w:val="nil"/>
              <w:left w:val="nil"/>
              <w:bottom w:val="single" w:sz="4" w:space="0" w:color="auto"/>
              <w:right w:val="single" w:sz="4" w:space="0" w:color="auto"/>
            </w:tcBorders>
            <w:shd w:val="clear" w:color="000000" w:fill="FFFFFF"/>
            <w:vAlign w:val="center"/>
            <w:hideMark/>
          </w:tcPr>
          <w:p w14:paraId="023DBC48"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10,06%</w:t>
            </w:r>
          </w:p>
        </w:tc>
        <w:tc>
          <w:tcPr>
            <w:tcW w:w="0" w:type="auto"/>
            <w:tcBorders>
              <w:top w:val="nil"/>
              <w:left w:val="nil"/>
              <w:bottom w:val="single" w:sz="4" w:space="0" w:color="auto"/>
              <w:right w:val="single" w:sz="8" w:space="0" w:color="auto"/>
            </w:tcBorders>
            <w:shd w:val="clear" w:color="000000" w:fill="FFFFFF"/>
            <w:vAlign w:val="center"/>
            <w:hideMark/>
          </w:tcPr>
          <w:p w14:paraId="156CC6A3" w14:textId="77777777" w:rsidR="002A77E4" w:rsidRPr="003D2EC9" w:rsidRDefault="002A77E4" w:rsidP="00EB77A0">
            <w:pPr>
              <w:widowControl/>
              <w:suppressLineNumbers w:val="0"/>
              <w:suppressAutoHyphens w:val="0"/>
              <w:ind w:firstLineChars="100" w:firstLine="210"/>
              <w:jc w:val="right"/>
              <w:rPr>
                <w:color w:val="000000"/>
                <w:sz w:val="21"/>
                <w:szCs w:val="21"/>
              </w:rPr>
            </w:pPr>
            <w:r w:rsidRPr="003D2EC9">
              <w:rPr>
                <w:color w:val="000000"/>
                <w:sz w:val="21"/>
                <w:szCs w:val="21"/>
              </w:rPr>
              <w:t xml:space="preserve">   3.056,02 </w:t>
            </w:r>
          </w:p>
        </w:tc>
        <w:tc>
          <w:tcPr>
            <w:tcW w:w="0" w:type="auto"/>
            <w:tcBorders>
              <w:top w:val="nil"/>
              <w:left w:val="nil"/>
              <w:bottom w:val="single" w:sz="4" w:space="0" w:color="auto"/>
              <w:right w:val="nil"/>
            </w:tcBorders>
            <w:shd w:val="clear" w:color="000000" w:fill="FFFFFF"/>
            <w:vAlign w:val="center"/>
            <w:hideMark/>
          </w:tcPr>
          <w:p w14:paraId="090D22B4"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 xml:space="preserve">        33,42 </w:t>
            </w:r>
          </w:p>
        </w:tc>
      </w:tr>
      <w:tr w:rsidR="002A77E4" w:rsidRPr="003D2EC9" w14:paraId="74D8EDB7" w14:textId="77777777" w:rsidTr="0093419F">
        <w:trPr>
          <w:trHeight w:val="288"/>
        </w:trPr>
        <w:tc>
          <w:tcPr>
            <w:tcW w:w="0" w:type="auto"/>
            <w:tcBorders>
              <w:top w:val="nil"/>
              <w:left w:val="nil"/>
              <w:bottom w:val="single" w:sz="4" w:space="0" w:color="auto"/>
              <w:right w:val="nil"/>
            </w:tcBorders>
            <w:shd w:val="clear" w:color="000000" w:fill="FFFFFF"/>
            <w:vAlign w:val="center"/>
            <w:hideMark/>
          </w:tcPr>
          <w:p w14:paraId="06DFABF4" w14:textId="77777777" w:rsidR="002A77E4" w:rsidRPr="003D2EC9" w:rsidRDefault="002A77E4" w:rsidP="00EB77A0">
            <w:pPr>
              <w:widowControl/>
              <w:suppressLineNumbers w:val="0"/>
              <w:suppressAutoHyphens w:val="0"/>
              <w:ind w:firstLine="0"/>
              <w:jc w:val="center"/>
              <w:rPr>
                <w:b/>
                <w:bCs/>
                <w:color w:val="000000"/>
                <w:sz w:val="21"/>
                <w:szCs w:val="21"/>
              </w:rPr>
            </w:pPr>
            <w:r w:rsidRPr="003D2EC9">
              <w:rPr>
                <w:b/>
                <w:bCs/>
                <w:color w:val="000000"/>
                <w:sz w:val="21"/>
                <w:szCs w:val="21"/>
              </w:rPr>
              <w:t>JUL</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4DD46FA1"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1.905.461,12</w:t>
            </w:r>
          </w:p>
        </w:tc>
        <w:tc>
          <w:tcPr>
            <w:tcW w:w="0" w:type="auto"/>
            <w:tcBorders>
              <w:top w:val="nil"/>
              <w:left w:val="nil"/>
              <w:bottom w:val="single" w:sz="4" w:space="0" w:color="auto"/>
              <w:right w:val="single" w:sz="8" w:space="0" w:color="auto"/>
            </w:tcBorders>
            <w:shd w:val="clear" w:color="000000" w:fill="FFFFFF"/>
            <w:vAlign w:val="center"/>
            <w:hideMark/>
          </w:tcPr>
          <w:p w14:paraId="69CB51F8"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105.412,03</w:t>
            </w:r>
          </w:p>
        </w:tc>
        <w:tc>
          <w:tcPr>
            <w:tcW w:w="0" w:type="auto"/>
            <w:tcBorders>
              <w:top w:val="nil"/>
              <w:left w:val="nil"/>
              <w:bottom w:val="single" w:sz="4" w:space="0" w:color="auto"/>
              <w:right w:val="single" w:sz="4" w:space="0" w:color="auto"/>
            </w:tcBorders>
            <w:shd w:val="clear" w:color="auto" w:fill="auto"/>
            <w:noWrap/>
            <w:vAlign w:val="bottom"/>
            <w:hideMark/>
          </w:tcPr>
          <w:p w14:paraId="3814992C"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11º</w:t>
            </w:r>
          </w:p>
        </w:tc>
        <w:tc>
          <w:tcPr>
            <w:tcW w:w="0" w:type="auto"/>
            <w:tcBorders>
              <w:top w:val="nil"/>
              <w:left w:val="nil"/>
              <w:bottom w:val="single" w:sz="4" w:space="0" w:color="auto"/>
              <w:right w:val="single" w:sz="4" w:space="0" w:color="auto"/>
            </w:tcBorders>
            <w:shd w:val="clear" w:color="000000" w:fill="FFFFFF"/>
            <w:vAlign w:val="center"/>
            <w:hideMark/>
          </w:tcPr>
          <w:p w14:paraId="0944ED0D"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9,95%</w:t>
            </w:r>
          </w:p>
        </w:tc>
        <w:tc>
          <w:tcPr>
            <w:tcW w:w="0" w:type="auto"/>
            <w:tcBorders>
              <w:top w:val="nil"/>
              <w:left w:val="nil"/>
              <w:bottom w:val="single" w:sz="4" w:space="0" w:color="auto"/>
              <w:right w:val="single" w:sz="8" w:space="0" w:color="auto"/>
            </w:tcBorders>
            <w:shd w:val="clear" w:color="000000" w:fill="FFFFFF"/>
            <w:vAlign w:val="center"/>
            <w:hideMark/>
          </w:tcPr>
          <w:p w14:paraId="3446CAD0" w14:textId="77777777" w:rsidR="002A77E4" w:rsidRPr="003D2EC9" w:rsidRDefault="002A77E4" w:rsidP="00EB77A0">
            <w:pPr>
              <w:widowControl/>
              <w:suppressLineNumbers w:val="0"/>
              <w:suppressAutoHyphens w:val="0"/>
              <w:ind w:firstLineChars="100" w:firstLine="210"/>
              <w:jc w:val="right"/>
              <w:rPr>
                <w:color w:val="000000"/>
                <w:sz w:val="21"/>
                <w:szCs w:val="21"/>
              </w:rPr>
            </w:pPr>
            <w:r w:rsidRPr="003D2EC9">
              <w:rPr>
                <w:color w:val="000000"/>
                <w:sz w:val="21"/>
                <w:szCs w:val="21"/>
              </w:rPr>
              <w:t xml:space="preserve"> 10.488,50 </w:t>
            </w:r>
          </w:p>
        </w:tc>
        <w:tc>
          <w:tcPr>
            <w:tcW w:w="0" w:type="auto"/>
            <w:tcBorders>
              <w:top w:val="nil"/>
              <w:left w:val="nil"/>
              <w:bottom w:val="single" w:sz="4" w:space="0" w:color="auto"/>
              <w:right w:val="single" w:sz="4" w:space="0" w:color="auto"/>
            </w:tcBorders>
            <w:shd w:val="clear" w:color="auto" w:fill="auto"/>
            <w:noWrap/>
            <w:vAlign w:val="bottom"/>
            <w:hideMark/>
          </w:tcPr>
          <w:p w14:paraId="1ADF6528"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5º</w:t>
            </w:r>
          </w:p>
        </w:tc>
        <w:tc>
          <w:tcPr>
            <w:tcW w:w="0" w:type="auto"/>
            <w:tcBorders>
              <w:top w:val="nil"/>
              <w:left w:val="nil"/>
              <w:bottom w:val="single" w:sz="4" w:space="0" w:color="auto"/>
              <w:right w:val="single" w:sz="4" w:space="0" w:color="auto"/>
            </w:tcBorders>
            <w:shd w:val="clear" w:color="000000" w:fill="FFFFFF"/>
            <w:vAlign w:val="center"/>
            <w:hideMark/>
          </w:tcPr>
          <w:p w14:paraId="07386FF9"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10,37%</w:t>
            </w:r>
          </w:p>
        </w:tc>
        <w:tc>
          <w:tcPr>
            <w:tcW w:w="0" w:type="auto"/>
            <w:tcBorders>
              <w:top w:val="nil"/>
              <w:left w:val="nil"/>
              <w:bottom w:val="single" w:sz="4" w:space="0" w:color="auto"/>
              <w:right w:val="single" w:sz="8" w:space="0" w:color="auto"/>
            </w:tcBorders>
            <w:shd w:val="clear" w:color="000000" w:fill="FFFFFF"/>
            <w:vAlign w:val="center"/>
            <w:hideMark/>
          </w:tcPr>
          <w:p w14:paraId="1B2C5F07" w14:textId="77777777" w:rsidR="002A77E4" w:rsidRPr="003D2EC9" w:rsidRDefault="002A77E4" w:rsidP="00EB77A0">
            <w:pPr>
              <w:widowControl/>
              <w:suppressLineNumbers w:val="0"/>
              <w:suppressAutoHyphens w:val="0"/>
              <w:ind w:firstLineChars="100" w:firstLine="210"/>
              <w:jc w:val="right"/>
              <w:rPr>
                <w:color w:val="000000"/>
                <w:sz w:val="21"/>
                <w:szCs w:val="21"/>
              </w:rPr>
            </w:pPr>
            <w:r w:rsidRPr="003D2EC9">
              <w:rPr>
                <w:color w:val="000000"/>
                <w:sz w:val="21"/>
                <w:szCs w:val="21"/>
              </w:rPr>
              <w:t xml:space="preserve"> 10.520,12 </w:t>
            </w:r>
          </w:p>
        </w:tc>
        <w:tc>
          <w:tcPr>
            <w:tcW w:w="0" w:type="auto"/>
            <w:tcBorders>
              <w:top w:val="nil"/>
              <w:left w:val="nil"/>
              <w:bottom w:val="single" w:sz="4" w:space="0" w:color="auto"/>
              <w:right w:val="nil"/>
            </w:tcBorders>
            <w:shd w:val="clear" w:color="auto" w:fill="auto"/>
            <w:noWrap/>
            <w:vAlign w:val="bottom"/>
            <w:hideMark/>
          </w:tcPr>
          <w:p w14:paraId="10465288"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 xml:space="preserve">        31,62 </w:t>
            </w:r>
          </w:p>
        </w:tc>
      </w:tr>
      <w:tr w:rsidR="002A77E4" w:rsidRPr="003D2EC9" w14:paraId="45F214D5" w14:textId="77777777" w:rsidTr="0093419F">
        <w:trPr>
          <w:trHeight w:val="288"/>
        </w:trPr>
        <w:tc>
          <w:tcPr>
            <w:tcW w:w="0" w:type="auto"/>
            <w:tcBorders>
              <w:top w:val="nil"/>
              <w:left w:val="nil"/>
              <w:bottom w:val="single" w:sz="4" w:space="0" w:color="auto"/>
              <w:right w:val="nil"/>
            </w:tcBorders>
            <w:shd w:val="clear" w:color="000000" w:fill="FFFFFF"/>
            <w:vAlign w:val="center"/>
            <w:hideMark/>
          </w:tcPr>
          <w:p w14:paraId="41247C2B" w14:textId="77777777" w:rsidR="002A77E4" w:rsidRPr="003D2EC9" w:rsidRDefault="002A77E4" w:rsidP="00EB77A0">
            <w:pPr>
              <w:widowControl/>
              <w:suppressLineNumbers w:val="0"/>
              <w:suppressAutoHyphens w:val="0"/>
              <w:ind w:firstLine="0"/>
              <w:jc w:val="center"/>
              <w:rPr>
                <w:b/>
                <w:bCs/>
                <w:color w:val="000000"/>
                <w:sz w:val="21"/>
                <w:szCs w:val="21"/>
              </w:rPr>
            </w:pPr>
            <w:r w:rsidRPr="003D2EC9">
              <w:rPr>
                <w:b/>
                <w:bCs/>
                <w:color w:val="000000"/>
                <w:sz w:val="21"/>
                <w:szCs w:val="21"/>
              </w:rPr>
              <w:t>AGO</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2FBC4CAC"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1.980.495,23</w:t>
            </w:r>
          </w:p>
        </w:tc>
        <w:tc>
          <w:tcPr>
            <w:tcW w:w="0" w:type="auto"/>
            <w:tcBorders>
              <w:top w:val="nil"/>
              <w:left w:val="nil"/>
              <w:bottom w:val="single" w:sz="4" w:space="0" w:color="auto"/>
              <w:right w:val="single" w:sz="8" w:space="0" w:color="auto"/>
            </w:tcBorders>
            <w:shd w:val="clear" w:color="000000" w:fill="FFFFFF"/>
            <w:vAlign w:val="center"/>
            <w:hideMark/>
          </w:tcPr>
          <w:p w14:paraId="65D62E29"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99.130,48</w:t>
            </w:r>
          </w:p>
        </w:tc>
        <w:tc>
          <w:tcPr>
            <w:tcW w:w="0" w:type="auto"/>
            <w:tcBorders>
              <w:top w:val="nil"/>
              <w:left w:val="nil"/>
              <w:bottom w:val="single" w:sz="4" w:space="0" w:color="auto"/>
              <w:right w:val="single" w:sz="4" w:space="0" w:color="auto"/>
            </w:tcBorders>
            <w:shd w:val="clear" w:color="auto" w:fill="auto"/>
            <w:noWrap/>
            <w:vAlign w:val="bottom"/>
            <w:hideMark/>
          </w:tcPr>
          <w:p w14:paraId="64B5C644"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12º</w:t>
            </w:r>
          </w:p>
        </w:tc>
        <w:tc>
          <w:tcPr>
            <w:tcW w:w="0" w:type="auto"/>
            <w:tcBorders>
              <w:top w:val="nil"/>
              <w:left w:val="nil"/>
              <w:bottom w:val="single" w:sz="4" w:space="0" w:color="auto"/>
              <w:right w:val="single" w:sz="4" w:space="0" w:color="auto"/>
            </w:tcBorders>
            <w:shd w:val="clear" w:color="000000" w:fill="FFFFFF"/>
            <w:vAlign w:val="center"/>
            <w:hideMark/>
          </w:tcPr>
          <w:p w14:paraId="2C8403B5"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10,04%</w:t>
            </w:r>
          </w:p>
        </w:tc>
        <w:tc>
          <w:tcPr>
            <w:tcW w:w="0" w:type="auto"/>
            <w:tcBorders>
              <w:top w:val="nil"/>
              <w:left w:val="nil"/>
              <w:bottom w:val="single" w:sz="4" w:space="0" w:color="auto"/>
              <w:right w:val="single" w:sz="8" w:space="0" w:color="auto"/>
            </w:tcBorders>
            <w:shd w:val="clear" w:color="000000" w:fill="FFFFFF"/>
            <w:vAlign w:val="center"/>
            <w:hideMark/>
          </w:tcPr>
          <w:p w14:paraId="5F8F0AE6" w14:textId="77777777" w:rsidR="002A77E4" w:rsidRPr="003D2EC9" w:rsidRDefault="002A77E4" w:rsidP="00EB77A0">
            <w:pPr>
              <w:widowControl/>
              <w:suppressLineNumbers w:val="0"/>
              <w:suppressAutoHyphens w:val="0"/>
              <w:ind w:firstLineChars="100" w:firstLine="210"/>
              <w:jc w:val="right"/>
              <w:rPr>
                <w:color w:val="000000"/>
                <w:sz w:val="21"/>
                <w:szCs w:val="21"/>
              </w:rPr>
            </w:pPr>
            <w:r w:rsidRPr="003D2EC9">
              <w:rPr>
                <w:color w:val="000000"/>
                <w:sz w:val="21"/>
                <w:szCs w:val="21"/>
              </w:rPr>
              <w:t xml:space="preserve">   9.952,70 </w:t>
            </w:r>
          </w:p>
        </w:tc>
        <w:tc>
          <w:tcPr>
            <w:tcW w:w="0" w:type="auto"/>
            <w:tcBorders>
              <w:top w:val="nil"/>
              <w:left w:val="nil"/>
              <w:bottom w:val="single" w:sz="4" w:space="0" w:color="auto"/>
              <w:right w:val="single" w:sz="4" w:space="0" w:color="auto"/>
            </w:tcBorders>
            <w:shd w:val="clear" w:color="auto" w:fill="auto"/>
            <w:noWrap/>
            <w:vAlign w:val="bottom"/>
            <w:hideMark/>
          </w:tcPr>
          <w:p w14:paraId="0DA1F2B9"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5º</w:t>
            </w:r>
          </w:p>
        </w:tc>
        <w:tc>
          <w:tcPr>
            <w:tcW w:w="0" w:type="auto"/>
            <w:tcBorders>
              <w:top w:val="nil"/>
              <w:left w:val="nil"/>
              <w:bottom w:val="single" w:sz="4" w:space="0" w:color="auto"/>
              <w:right w:val="single" w:sz="4" w:space="0" w:color="auto"/>
            </w:tcBorders>
            <w:shd w:val="clear" w:color="000000" w:fill="FFFFFF"/>
            <w:vAlign w:val="center"/>
            <w:hideMark/>
          </w:tcPr>
          <w:p w14:paraId="18E95C88"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10,10%</w:t>
            </w:r>
          </w:p>
        </w:tc>
        <w:tc>
          <w:tcPr>
            <w:tcW w:w="0" w:type="auto"/>
            <w:tcBorders>
              <w:top w:val="nil"/>
              <w:left w:val="nil"/>
              <w:bottom w:val="single" w:sz="4" w:space="0" w:color="auto"/>
              <w:right w:val="single" w:sz="8" w:space="0" w:color="auto"/>
            </w:tcBorders>
            <w:shd w:val="clear" w:color="000000" w:fill="FFFFFF"/>
            <w:vAlign w:val="center"/>
            <w:hideMark/>
          </w:tcPr>
          <w:p w14:paraId="4B8F7F29" w14:textId="77777777" w:rsidR="002A77E4" w:rsidRPr="003D2EC9" w:rsidRDefault="002A77E4" w:rsidP="00EB77A0">
            <w:pPr>
              <w:widowControl/>
              <w:suppressLineNumbers w:val="0"/>
              <w:suppressAutoHyphens w:val="0"/>
              <w:ind w:firstLineChars="100" w:firstLine="210"/>
              <w:jc w:val="right"/>
              <w:rPr>
                <w:color w:val="000000"/>
                <w:sz w:val="21"/>
                <w:szCs w:val="21"/>
              </w:rPr>
            </w:pPr>
            <w:r w:rsidRPr="003D2EC9">
              <w:rPr>
                <w:color w:val="000000"/>
                <w:sz w:val="21"/>
                <w:szCs w:val="21"/>
              </w:rPr>
              <w:t xml:space="preserve">   9.833,74 </w:t>
            </w:r>
          </w:p>
        </w:tc>
        <w:tc>
          <w:tcPr>
            <w:tcW w:w="0" w:type="auto"/>
            <w:tcBorders>
              <w:top w:val="nil"/>
              <w:left w:val="nil"/>
              <w:bottom w:val="single" w:sz="4" w:space="0" w:color="auto"/>
              <w:right w:val="nil"/>
            </w:tcBorders>
            <w:shd w:val="clear" w:color="auto" w:fill="auto"/>
            <w:noWrap/>
            <w:vAlign w:val="bottom"/>
            <w:hideMark/>
          </w:tcPr>
          <w:p w14:paraId="5B0E12BF"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 xml:space="preserve">- 118,96 </w:t>
            </w:r>
          </w:p>
        </w:tc>
      </w:tr>
      <w:tr w:rsidR="002A77E4" w:rsidRPr="003D2EC9" w14:paraId="0B375E4C" w14:textId="77777777" w:rsidTr="0093419F">
        <w:trPr>
          <w:trHeight w:val="288"/>
        </w:trPr>
        <w:tc>
          <w:tcPr>
            <w:tcW w:w="0" w:type="auto"/>
            <w:tcBorders>
              <w:top w:val="nil"/>
              <w:left w:val="nil"/>
              <w:bottom w:val="single" w:sz="4" w:space="0" w:color="auto"/>
              <w:right w:val="nil"/>
            </w:tcBorders>
            <w:shd w:val="clear" w:color="000000" w:fill="FFFFFF"/>
            <w:vAlign w:val="center"/>
            <w:hideMark/>
          </w:tcPr>
          <w:p w14:paraId="73161B59" w14:textId="77777777" w:rsidR="002A77E4" w:rsidRPr="003D2EC9" w:rsidRDefault="002A77E4" w:rsidP="00EB77A0">
            <w:pPr>
              <w:widowControl/>
              <w:suppressLineNumbers w:val="0"/>
              <w:suppressAutoHyphens w:val="0"/>
              <w:ind w:firstLine="0"/>
              <w:jc w:val="center"/>
              <w:rPr>
                <w:b/>
                <w:bCs/>
                <w:color w:val="000000"/>
                <w:sz w:val="21"/>
                <w:szCs w:val="21"/>
              </w:rPr>
            </w:pPr>
            <w:r w:rsidRPr="003D2EC9">
              <w:rPr>
                <w:b/>
                <w:bCs/>
                <w:color w:val="000000"/>
                <w:sz w:val="21"/>
                <w:szCs w:val="21"/>
              </w:rPr>
              <w:t>SET</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32241BB8"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1.974.213,68</w:t>
            </w:r>
          </w:p>
        </w:tc>
        <w:tc>
          <w:tcPr>
            <w:tcW w:w="0" w:type="auto"/>
            <w:tcBorders>
              <w:top w:val="nil"/>
              <w:left w:val="nil"/>
              <w:bottom w:val="single" w:sz="4" w:space="0" w:color="auto"/>
              <w:right w:val="single" w:sz="8" w:space="0" w:color="auto"/>
            </w:tcBorders>
            <w:shd w:val="clear" w:color="000000" w:fill="FFFFFF"/>
            <w:vAlign w:val="center"/>
            <w:hideMark/>
          </w:tcPr>
          <w:p w14:paraId="2E483B62"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113.504,45</w:t>
            </w:r>
          </w:p>
        </w:tc>
        <w:tc>
          <w:tcPr>
            <w:tcW w:w="0" w:type="auto"/>
            <w:tcBorders>
              <w:top w:val="nil"/>
              <w:left w:val="nil"/>
              <w:bottom w:val="single" w:sz="4" w:space="0" w:color="auto"/>
              <w:right w:val="single" w:sz="4" w:space="0" w:color="auto"/>
            </w:tcBorders>
            <w:shd w:val="clear" w:color="auto" w:fill="auto"/>
            <w:noWrap/>
            <w:vAlign w:val="bottom"/>
            <w:hideMark/>
          </w:tcPr>
          <w:p w14:paraId="241AFAC4"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11º</w:t>
            </w:r>
          </w:p>
        </w:tc>
        <w:tc>
          <w:tcPr>
            <w:tcW w:w="0" w:type="auto"/>
            <w:tcBorders>
              <w:top w:val="nil"/>
              <w:left w:val="nil"/>
              <w:bottom w:val="single" w:sz="4" w:space="0" w:color="auto"/>
              <w:right w:val="single" w:sz="4" w:space="0" w:color="auto"/>
            </w:tcBorders>
            <w:shd w:val="clear" w:color="000000" w:fill="FFFFFF"/>
            <w:vAlign w:val="center"/>
            <w:hideMark/>
          </w:tcPr>
          <w:p w14:paraId="3A12F4B7"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9,95%</w:t>
            </w:r>
          </w:p>
        </w:tc>
        <w:tc>
          <w:tcPr>
            <w:tcW w:w="0" w:type="auto"/>
            <w:tcBorders>
              <w:top w:val="nil"/>
              <w:left w:val="nil"/>
              <w:bottom w:val="single" w:sz="4" w:space="0" w:color="auto"/>
              <w:right w:val="single" w:sz="8" w:space="0" w:color="auto"/>
            </w:tcBorders>
            <w:shd w:val="clear" w:color="000000" w:fill="FFFFFF"/>
            <w:vAlign w:val="center"/>
            <w:hideMark/>
          </w:tcPr>
          <w:p w14:paraId="0442DD36" w14:textId="77777777" w:rsidR="002A77E4" w:rsidRPr="003D2EC9" w:rsidRDefault="002A77E4" w:rsidP="00EB77A0">
            <w:pPr>
              <w:widowControl/>
              <w:suppressLineNumbers w:val="0"/>
              <w:suppressAutoHyphens w:val="0"/>
              <w:ind w:firstLineChars="100" w:firstLine="210"/>
              <w:jc w:val="right"/>
              <w:rPr>
                <w:color w:val="000000"/>
                <w:sz w:val="21"/>
                <w:szCs w:val="21"/>
              </w:rPr>
            </w:pPr>
            <w:r w:rsidRPr="003D2EC9">
              <w:rPr>
                <w:color w:val="000000"/>
                <w:sz w:val="21"/>
                <w:szCs w:val="21"/>
              </w:rPr>
              <w:t xml:space="preserve"> 11.293,69 </w:t>
            </w:r>
          </w:p>
        </w:tc>
        <w:tc>
          <w:tcPr>
            <w:tcW w:w="0" w:type="auto"/>
            <w:tcBorders>
              <w:top w:val="nil"/>
              <w:left w:val="nil"/>
              <w:bottom w:val="single" w:sz="4" w:space="0" w:color="auto"/>
              <w:right w:val="single" w:sz="4" w:space="0" w:color="auto"/>
            </w:tcBorders>
            <w:shd w:val="clear" w:color="auto" w:fill="auto"/>
            <w:noWrap/>
            <w:vAlign w:val="bottom"/>
            <w:hideMark/>
          </w:tcPr>
          <w:p w14:paraId="142D1419"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5º</w:t>
            </w:r>
          </w:p>
        </w:tc>
        <w:tc>
          <w:tcPr>
            <w:tcW w:w="0" w:type="auto"/>
            <w:tcBorders>
              <w:top w:val="nil"/>
              <w:left w:val="nil"/>
              <w:bottom w:val="single" w:sz="4" w:space="0" w:color="auto"/>
              <w:right w:val="single" w:sz="4" w:space="0" w:color="auto"/>
            </w:tcBorders>
            <w:shd w:val="clear" w:color="000000" w:fill="FFFFFF"/>
            <w:vAlign w:val="center"/>
            <w:hideMark/>
          </w:tcPr>
          <w:p w14:paraId="2068AE65"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10,06%</w:t>
            </w:r>
          </w:p>
        </w:tc>
        <w:tc>
          <w:tcPr>
            <w:tcW w:w="0" w:type="auto"/>
            <w:tcBorders>
              <w:top w:val="nil"/>
              <w:left w:val="nil"/>
              <w:bottom w:val="single" w:sz="4" w:space="0" w:color="auto"/>
              <w:right w:val="single" w:sz="8" w:space="0" w:color="auto"/>
            </w:tcBorders>
            <w:shd w:val="clear" w:color="000000" w:fill="FFFFFF"/>
            <w:vAlign w:val="center"/>
            <w:hideMark/>
          </w:tcPr>
          <w:p w14:paraId="6AF70BB7" w14:textId="77777777" w:rsidR="002A77E4" w:rsidRPr="003D2EC9" w:rsidRDefault="002A77E4" w:rsidP="00EB77A0">
            <w:pPr>
              <w:widowControl/>
              <w:suppressLineNumbers w:val="0"/>
              <w:suppressAutoHyphens w:val="0"/>
              <w:ind w:firstLineChars="100" w:firstLine="210"/>
              <w:jc w:val="right"/>
              <w:rPr>
                <w:color w:val="000000"/>
                <w:sz w:val="21"/>
                <w:szCs w:val="21"/>
              </w:rPr>
            </w:pPr>
            <w:r w:rsidRPr="003D2EC9">
              <w:rPr>
                <w:color w:val="000000"/>
                <w:sz w:val="21"/>
                <w:szCs w:val="21"/>
              </w:rPr>
              <w:t xml:space="preserve"> 11.236,94 </w:t>
            </w:r>
          </w:p>
        </w:tc>
        <w:tc>
          <w:tcPr>
            <w:tcW w:w="0" w:type="auto"/>
            <w:tcBorders>
              <w:top w:val="nil"/>
              <w:left w:val="nil"/>
              <w:bottom w:val="single" w:sz="4" w:space="0" w:color="auto"/>
              <w:right w:val="nil"/>
            </w:tcBorders>
            <w:shd w:val="clear" w:color="auto" w:fill="auto"/>
            <w:noWrap/>
            <w:vAlign w:val="bottom"/>
            <w:hideMark/>
          </w:tcPr>
          <w:p w14:paraId="22896012"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 xml:space="preserve">- 56,75 </w:t>
            </w:r>
          </w:p>
        </w:tc>
      </w:tr>
      <w:tr w:rsidR="002A77E4" w:rsidRPr="003D2EC9" w14:paraId="01C4529E" w14:textId="77777777" w:rsidTr="0093419F">
        <w:trPr>
          <w:trHeight w:val="288"/>
        </w:trPr>
        <w:tc>
          <w:tcPr>
            <w:tcW w:w="0" w:type="auto"/>
            <w:tcBorders>
              <w:top w:val="nil"/>
              <w:left w:val="nil"/>
              <w:bottom w:val="single" w:sz="4" w:space="0" w:color="auto"/>
              <w:right w:val="nil"/>
            </w:tcBorders>
            <w:shd w:val="clear" w:color="000000" w:fill="FFFFFF"/>
            <w:vAlign w:val="center"/>
            <w:hideMark/>
          </w:tcPr>
          <w:p w14:paraId="66292F39" w14:textId="77777777" w:rsidR="002A77E4" w:rsidRPr="003D2EC9" w:rsidRDefault="002A77E4" w:rsidP="00EB77A0">
            <w:pPr>
              <w:widowControl/>
              <w:suppressLineNumbers w:val="0"/>
              <w:suppressAutoHyphens w:val="0"/>
              <w:ind w:firstLine="0"/>
              <w:jc w:val="center"/>
              <w:rPr>
                <w:b/>
                <w:bCs/>
                <w:color w:val="000000"/>
                <w:sz w:val="21"/>
                <w:szCs w:val="21"/>
              </w:rPr>
            </w:pPr>
            <w:r w:rsidRPr="003D2EC9">
              <w:rPr>
                <w:b/>
                <w:bCs/>
                <w:color w:val="000000"/>
                <w:sz w:val="21"/>
                <w:szCs w:val="21"/>
              </w:rPr>
              <w:t>OUT</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55057E97"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1.988.587,65</w:t>
            </w:r>
          </w:p>
        </w:tc>
        <w:tc>
          <w:tcPr>
            <w:tcW w:w="0" w:type="auto"/>
            <w:tcBorders>
              <w:top w:val="nil"/>
              <w:left w:val="nil"/>
              <w:bottom w:val="single" w:sz="4" w:space="0" w:color="auto"/>
              <w:right w:val="single" w:sz="8" w:space="0" w:color="auto"/>
            </w:tcBorders>
            <w:shd w:val="clear" w:color="000000" w:fill="FFFFFF"/>
            <w:vAlign w:val="center"/>
            <w:hideMark/>
          </w:tcPr>
          <w:p w14:paraId="4ED63B60"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157.132,55</w:t>
            </w:r>
          </w:p>
        </w:tc>
        <w:tc>
          <w:tcPr>
            <w:tcW w:w="0" w:type="auto"/>
            <w:tcBorders>
              <w:top w:val="nil"/>
              <w:left w:val="nil"/>
              <w:bottom w:val="single" w:sz="4" w:space="0" w:color="auto"/>
              <w:right w:val="single" w:sz="4" w:space="0" w:color="auto"/>
            </w:tcBorders>
            <w:shd w:val="clear" w:color="auto" w:fill="auto"/>
            <w:noWrap/>
            <w:vAlign w:val="bottom"/>
            <w:hideMark/>
          </w:tcPr>
          <w:p w14:paraId="0BB0A786"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12º</w:t>
            </w:r>
          </w:p>
        </w:tc>
        <w:tc>
          <w:tcPr>
            <w:tcW w:w="0" w:type="auto"/>
            <w:tcBorders>
              <w:top w:val="nil"/>
              <w:left w:val="nil"/>
              <w:bottom w:val="single" w:sz="4" w:space="0" w:color="auto"/>
              <w:right w:val="single" w:sz="4" w:space="0" w:color="auto"/>
            </w:tcBorders>
            <w:shd w:val="clear" w:color="000000" w:fill="FFFFFF"/>
            <w:vAlign w:val="center"/>
            <w:hideMark/>
          </w:tcPr>
          <w:p w14:paraId="13176466"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10,04%</w:t>
            </w:r>
          </w:p>
        </w:tc>
        <w:tc>
          <w:tcPr>
            <w:tcW w:w="0" w:type="auto"/>
            <w:tcBorders>
              <w:top w:val="nil"/>
              <w:left w:val="nil"/>
              <w:bottom w:val="single" w:sz="4" w:space="0" w:color="auto"/>
              <w:right w:val="single" w:sz="8" w:space="0" w:color="auto"/>
            </w:tcBorders>
            <w:shd w:val="clear" w:color="000000" w:fill="FFFFFF"/>
            <w:vAlign w:val="center"/>
            <w:hideMark/>
          </w:tcPr>
          <w:p w14:paraId="037350AF" w14:textId="77777777" w:rsidR="002A77E4" w:rsidRPr="003D2EC9" w:rsidRDefault="002A77E4" w:rsidP="00EB77A0">
            <w:pPr>
              <w:widowControl/>
              <w:suppressLineNumbers w:val="0"/>
              <w:suppressAutoHyphens w:val="0"/>
              <w:ind w:firstLineChars="100" w:firstLine="210"/>
              <w:jc w:val="right"/>
              <w:rPr>
                <w:color w:val="000000"/>
                <w:sz w:val="21"/>
                <w:szCs w:val="21"/>
              </w:rPr>
            </w:pPr>
            <w:r w:rsidRPr="003D2EC9">
              <w:rPr>
                <w:color w:val="000000"/>
                <w:sz w:val="21"/>
                <w:szCs w:val="21"/>
              </w:rPr>
              <w:t xml:space="preserve"> 15.776,11 </w:t>
            </w:r>
          </w:p>
        </w:tc>
        <w:tc>
          <w:tcPr>
            <w:tcW w:w="0" w:type="auto"/>
            <w:tcBorders>
              <w:top w:val="nil"/>
              <w:left w:val="nil"/>
              <w:bottom w:val="single" w:sz="4" w:space="0" w:color="auto"/>
              <w:right w:val="single" w:sz="4" w:space="0" w:color="auto"/>
            </w:tcBorders>
            <w:shd w:val="clear" w:color="auto" w:fill="auto"/>
            <w:noWrap/>
            <w:vAlign w:val="bottom"/>
            <w:hideMark/>
          </w:tcPr>
          <w:p w14:paraId="79EB02D1"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5º</w:t>
            </w:r>
          </w:p>
        </w:tc>
        <w:tc>
          <w:tcPr>
            <w:tcW w:w="0" w:type="auto"/>
            <w:tcBorders>
              <w:top w:val="nil"/>
              <w:left w:val="nil"/>
              <w:bottom w:val="single" w:sz="4" w:space="0" w:color="auto"/>
              <w:right w:val="single" w:sz="4" w:space="0" w:color="auto"/>
            </w:tcBorders>
            <w:shd w:val="clear" w:color="000000" w:fill="FFFFFF"/>
            <w:vAlign w:val="center"/>
            <w:hideMark/>
          </w:tcPr>
          <w:p w14:paraId="47D80370"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9,98%</w:t>
            </w:r>
          </w:p>
        </w:tc>
        <w:tc>
          <w:tcPr>
            <w:tcW w:w="0" w:type="auto"/>
            <w:tcBorders>
              <w:top w:val="nil"/>
              <w:left w:val="nil"/>
              <w:bottom w:val="single" w:sz="4" w:space="0" w:color="auto"/>
              <w:right w:val="single" w:sz="8" w:space="0" w:color="auto"/>
            </w:tcBorders>
            <w:shd w:val="clear" w:color="000000" w:fill="FFFFFF"/>
            <w:vAlign w:val="center"/>
            <w:hideMark/>
          </w:tcPr>
          <w:p w14:paraId="4508AEBD" w14:textId="77777777" w:rsidR="002A77E4" w:rsidRPr="003D2EC9" w:rsidRDefault="002A77E4" w:rsidP="00EB77A0">
            <w:pPr>
              <w:widowControl/>
              <w:suppressLineNumbers w:val="0"/>
              <w:suppressAutoHyphens w:val="0"/>
              <w:ind w:firstLineChars="100" w:firstLine="210"/>
              <w:jc w:val="right"/>
              <w:rPr>
                <w:color w:val="000000"/>
                <w:sz w:val="21"/>
                <w:szCs w:val="21"/>
              </w:rPr>
            </w:pPr>
            <w:r w:rsidRPr="003D2EC9">
              <w:rPr>
                <w:color w:val="000000"/>
                <w:sz w:val="21"/>
                <w:szCs w:val="21"/>
              </w:rPr>
              <w:t xml:space="preserve"> 15.618,98 </w:t>
            </w:r>
          </w:p>
        </w:tc>
        <w:tc>
          <w:tcPr>
            <w:tcW w:w="0" w:type="auto"/>
            <w:tcBorders>
              <w:top w:val="nil"/>
              <w:left w:val="nil"/>
              <w:bottom w:val="single" w:sz="4" w:space="0" w:color="auto"/>
              <w:right w:val="nil"/>
            </w:tcBorders>
            <w:shd w:val="clear" w:color="auto" w:fill="auto"/>
            <w:noWrap/>
            <w:vAlign w:val="bottom"/>
            <w:hideMark/>
          </w:tcPr>
          <w:p w14:paraId="79245456"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 xml:space="preserve">- 157,13 </w:t>
            </w:r>
          </w:p>
        </w:tc>
      </w:tr>
      <w:tr w:rsidR="002A77E4" w:rsidRPr="003D2EC9" w14:paraId="6F1077C0" w14:textId="77777777" w:rsidTr="0093419F">
        <w:trPr>
          <w:trHeight w:val="288"/>
        </w:trPr>
        <w:tc>
          <w:tcPr>
            <w:tcW w:w="0" w:type="auto"/>
            <w:tcBorders>
              <w:top w:val="nil"/>
              <w:left w:val="nil"/>
              <w:bottom w:val="single" w:sz="4" w:space="0" w:color="auto"/>
              <w:right w:val="nil"/>
            </w:tcBorders>
            <w:shd w:val="clear" w:color="000000" w:fill="FFFFFF"/>
            <w:vAlign w:val="center"/>
            <w:hideMark/>
          </w:tcPr>
          <w:p w14:paraId="63A2361D" w14:textId="77777777" w:rsidR="002A77E4" w:rsidRPr="003D2EC9" w:rsidRDefault="002A77E4" w:rsidP="00EB77A0">
            <w:pPr>
              <w:widowControl/>
              <w:suppressLineNumbers w:val="0"/>
              <w:suppressAutoHyphens w:val="0"/>
              <w:ind w:firstLine="0"/>
              <w:jc w:val="center"/>
              <w:rPr>
                <w:b/>
                <w:bCs/>
                <w:color w:val="000000"/>
                <w:sz w:val="21"/>
                <w:szCs w:val="21"/>
              </w:rPr>
            </w:pPr>
            <w:r w:rsidRPr="003D2EC9">
              <w:rPr>
                <w:b/>
                <w:bCs/>
                <w:color w:val="000000"/>
                <w:sz w:val="21"/>
                <w:szCs w:val="21"/>
              </w:rPr>
              <w:t>NOV</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6102D1A6"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2.032.215,75</w:t>
            </w:r>
          </w:p>
        </w:tc>
        <w:tc>
          <w:tcPr>
            <w:tcW w:w="0" w:type="auto"/>
            <w:tcBorders>
              <w:top w:val="nil"/>
              <w:left w:val="nil"/>
              <w:bottom w:val="single" w:sz="4" w:space="0" w:color="auto"/>
              <w:right w:val="single" w:sz="8" w:space="0" w:color="auto"/>
            </w:tcBorders>
            <w:shd w:val="clear" w:color="000000" w:fill="FFFFFF"/>
            <w:vAlign w:val="center"/>
            <w:hideMark/>
          </w:tcPr>
          <w:p w14:paraId="4431B95A"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178.182,15</w:t>
            </w:r>
          </w:p>
        </w:tc>
        <w:tc>
          <w:tcPr>
            <w:tcW w:w="0" w:type="auto"/>
            <w:tcBorders>
              <w:top w:val="nil"/>
              <w:left w:val="nil"/>
              <w:bottom w:val="single" w:sz="4" w:space="0" w:color="auto"/>
              <w:right w:val="single" w:sz="4" w:space="0" w:color="auto"/>
            </w:tcBorders>
            <w:shd w:val="clear" w:color="auto" w:fill="auto"/>
            <w:noWrap/>
            <w:vAlign w:val="bottom"/>
            <w:hideMark/>
          </w:tcPr>
          <w:p w14:paraId="42A088B0"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12º</w:t>
            </w:r>
          </w:p>
        </w:tc>
        <w:tc>
          <w:tcPr>
            <w:tcW w:w="0" w:type="auto"/>
            <w:tcBorders>
              <w:top w:val="nil"/>
              <w:left w:val="nil"/>
              <w:bottom w:val="single" w:sz="4" w:space="0" w:color="auto"/>
              <w:right w:val="single" w:sz="4" w:space="0" w:color="auto"/>
            </w:tcBorders>
            <w:shd w:val="clear" w:color="000000" w:fill="FFFFFF"/>
            <w:vAlign w:val="center"/>
            <w:hideMark/>
          </w:tcPr>
          <w:p w14:paraId="23A89D5C"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10,04%</w:t>
            </w:r>
          </w:p>
        </w:tc>
        <w:tc>
          <w:tcPr>
            <w:tcW w:w="0" w:type="auto"/>
            <w:tcBorders>
              <w:top w:val="nil"/>
              <w:left w:val="nil"/>
              <w:bottom w:val="single" w:sz="4" w:space="0" w:color="auto"/>
              <w:right w:val="single" w:sz="8" w:space="0" w:color="auto"/>
            </w:tcBorders>
            <w:shd w:val="clear" w:color="000000" w:fill="FFFFFF"/>
            <w:vAlign w:val="center"/>
            <w:hideMark/>
          </w:tcPr>
          <w:p w14:paraId="16A98899" w14:textId="77777777" w:rsidR="002A77E4" w:rsidRPr="003D2EC9" w:rsidRDefault="002A77E4" w:rsidP="00EB77A0">
            <w:pPr>
              <w:widowControl/>
              <w:suppressLineNumbers w:val="0"/>
              <w:suppressAutoHyphens w:val="0"/>
              <w:ind w:firstLineChars="100" w:firstLine="210"/>
              <w:jc w:val="right"/>
              <w:rPr>
                <w:color w:val="000000"/>
                <w:sz w:val="21"/>
                <w:szCs w:val="21"/>
              </w:rPr>
            </w:pPr>
            <w:r w:rsidRPr="003D2EC9">
              <w:rPr>
                <w:color w:val="000000"/>
                <w:sz w:val="21"/>
                <w:szCs w:val="21"/>
              </w:rPr>
              <w:t xml:space="preserve"> 17.889,49 </w:t>
            </w:r>
          </w:p>
        </w:tc>
        <w:tc>
          <w:tcPr>
            <w:tcW w:w="0" w:type="auto"/>
            <w:tcBorders>
              <w:top w:val="nil"/>
              <w:left w:val="nil"/>
              <w:bottom w:val="single" w:sz="4" w:space="0" w:color="auto"/>
              <w:right w:val="single" w:sz="4" w:space="0" w:color="auto"/>
            </w:tcBorders>
            <w:shd w:val="clear" w:color="auto" w:fill="auto"/>
            <w:noWrap/>
            <w:vAlign w:val="bottom"/>
            <w:hideMark/>
          </w:tcPr>
          <w:p w14:paraId="00EA1593"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5º</w:t>
            </w:r>
          </w:p>
        </w:tc>
        <w:tc>
          <w:tcPr>
            <w:tcW w:w="0" w:type="auto"/>
            <w:tcBorders>
              <w:top w:val="nil"/>
              <w:left w:val="nil"/>
              <w:bottom w:val="single" w:sz="4" w:space="0" w:color="auto"/>
              <w:right w:val="single" w:sz="4" w:space="0" w:color="auto"/>
            </w:tcBorders>
            <w:shd w:val="clear" w:color="000000" w:fill="FFFFFF"/>
            <w:vAlign w:val="center"/>
            <w:hideMark/>
          </w:tcPr>
          <w:p w14:paraId="2F4A6086"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9,92%</w:t>
            </w:r>
          </w:p>
        </w:tc>
        <w:tc>
          <w:tcPr>
            <w:tcW w:w="0" w:type="auto"/>
            <w:tcBorders>
              <w:top w:val="nil"/>
              <w:left w:val="nil"/>
              <w:bottom w:val="single" w:sz="4" w:space="0" w:color="auto"/>
              <w:right w:val="single" w:sz="8" w:space="0" w:color="auto"/>
            </w:tcBorders>
            <w:shd w:val="clear" w:color="000000" w:fill="FFFFFF"/>
            <w:vAlign w:val="center"/>
            <w:hideMark/>
          </w:tcPr>
          <w:p w14:paraId="5365D064" w14:textId="77777777" w:rsidR="002A77E4" w:rsidRPr="003D2EC9" w:rsidRDefault="002A77E4" w:rsidP="00EB77A0">
            <w:pPr>
              <w:widowControl/>
              <w:suppressLineNumbers w:val="0"/>
              <w:suppressAutoHyphens w:val="0"/>
              <w:ind w:firstLineChars="100" w:firstLine="210"/>
              <w:jc w:val="right"/>
              <w:rPr>
                <w:color w:val="000000"/>
                <w:sz w:val="21"/>
                <w:szCs w:val="21"/>
              </w:rPr>
            </w:pPr>
            <w:r w:rsidRPr="003D2EC9">
              <w:rPr>
                <w:color w:val="000000"/>
                <w:sz w:val="21"/>
                <w:szCs w:val="21"/>
              </w:rPr>
              <w:t xml:space="preserve"> 17.871,67 </w:t>
            </w:r>
          </w:p>
        </w:tc>
        <w:tc>
          <w:tcPr>
            <w:tcW w:w="0" w:type="auto"/>
            <w:tcBorders>
              <w:top w:val="nil"/>
              <w:left w:val="nil"/>
              <w:bottom w:val="single" w:sz="4" w:space="0" w:color="auto"/>
              <w:right w:val="nil"/>
            </w:tcBorders>
            <w:shd w:val="clear" w:color="auto" w:fill="auto"/>
            <w:noWrap/>
            <w:vAlign w:val="bottom"/>
            <w:hideMark/>
          </w:tcPr>
          <w:p w14:paraId="03F87E43"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 xml:space="preserve">- 17,82 </w:t>
            </w:r>
          </w:p>
        </w:tc>
      </w:tr>
      <w:tr w:rsidR="002A77E4" w:rsidRPr="003D2EC9" w14:paraId="6EDFAA66" w14:textId="77777777" w:rsidTr="0093419F">
        <w:trPr>
          <w:trHeight w:val="288"/>
        </w:trPr>
        <w:tc>
          <w:tcPr>
            <w:tcW w:w="0" w:type="auto"/>
            <w:tcBorders>
              <w:top w:val="nil"/>
              <w:left w:val="nil"/>
              <w:bottom w:val="nil"/>
              <w:right w:val="nil"/>
            </w:tcBorders>
            <w:shd w:val="clear" w:color="000000" w:fill="FFFFFF"/>
            <w:vAlign w:val="center"/>
            <w:hideMark/>
          </w:tcPr>
          <w:p w14:paraId="65CEEF6B" w14:textId="77777777" w:rsidR="002A77E4" w:rsidRPr="003D2EC9" w:rsidRDefault="002A77E4" w:rsidP="00EB77A0">
            <w:pPr>
              <w:widowControl/>
              <w:suppressLineNumbers w:val="0"/>
              <w:suppressAutoHyphens w:val="0"/>
              <w:ind w:firstLine="0"/>
              <w:jc w:val="center"/>
              <w:rPr>
                <w:b/>
                <w:bCs/>
                <w:color w:val="000000"/>
                <w:sz w:val="21"/>
                <w:szCs w:val="21"/>
              </w:rPr>
            </w:pPr>
            <w:r w:rsidRPr="003D2EC9">
              <w:rPr>
                <w:b/>
                <w:bCs/>
                <w:color w:val="000000"/>
                <w:sz w:val="21"/>
                <w:szCs w:val="21"/>
              </w:rPr>
              <w:t>DEV</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4EC3C0A6"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2.053.265,35</w:t>
            </w:r>
          </w:p>
        </w:tc>
        <w:tc>
          <w:tcPr>
            <w:tcW w:w="0" w:type="auto"/>
            <w:tcBorders>
              <w:top w:val="nil"/>
              <w:left w:val="nil"/>
              <w:bottom w:val="single" w:sz="4" w:space="0" w:color="auto"/>
              <w:right w:val="single" w:sz="8" w:space="0" w:color="auto"/>
            </w:tcBorders>
            <w:shd w:val="clear" w:color="000000" w:fill="FFFFFF"/>
            <w:vAlign w:val="center"/>
            <w:hideMark/>
          </w:tcPr>
          <w:p w14:paraId="46C285E8"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79.382,67</w:t>
            </w:r>
          </w:p>
        </w:tc>
        <w:tc>
          <w:tcPr>
            <w:tcW w:w="0" w:type="auto"/>
            <w:tcBorders>
              <w:top w:val="nil"/>
              <w:left w:val="nil"/>
              <w:bottom w:val="single" w:sz="4" w:space="0" w:color="auto"/>
              <w:right w:val="single" w:sz="4" w:space="0" w:color="auto"/>
            </w:tcBorders>
            <w:shd w:val="clear" w:color="auto" w:fill="auto"/>
            <w:noWrap/>
            <w:vAlign w:val="bottom"/>
            <w:hideMark/>
          </w:tcPr>
          <w:p w14:paraId="2F97FACF"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12º</w:t>
            </w:r>
          </w:p>
        </w:tc>
        <w:tc>
          <w:tcPr>
            <w:tcW w:w="0" w:type="auto"/>
            <w:tcBorders>
              <w:top w:val="nil"/>
              <w:left w:val="nil"/>
              <w:bottom w:val="single" w:sz="4" w:space="0" w:color="auto"/>
              <w:right w:val="single" w:sz="4" w:space="0" w:color="auto"/>
            </w:tcBorders>
            <w:shd w:val="clear" w:color="000000" w:fill="FFFFFF"/>
            <w:vAlign w:val="center"/>
            <w:hideMark/>
          </w:tcPr>
          <w:p w14:paraId="747DB5C1"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10,04%</w:t>
            </w:r>
          </w:p>
        </w:tc>
        <w:tc>
          <w:tcPr>
            <w:tcW w:w="0" w:type="auto"/>
            <w:tcBorders>
              <w:top w:val="nil"/>
              <w:left w:val="nil"/>
              <w:bottom w:val="single" w:sz="4" w:space="0" w:color="auto"/>
              <w:right w:val="single" w:sz="8" w:space="0" w:color="auto"/>
            </w:tcBorders>
            <w:shd w:val="clear" w:color="000000" w:fill="FFFFFF"/>
            <w:vAlign w:val="center"/>
            <w:hideMark/>
          </w:tcPr>
          <w:p w14:paraId="15B2B629" w14:textId="77777777" w:rsidR="002A77E4" w:rsidRPr="003D2EC9" w:rsidRDefault="002A77E4" w:rsidP="00EB77A0">
            <w:pPr>
              <w:widowControl/>
              <w:suppressLineNumbers w:val="0"/>
              <w:suppressAutoHyphens w:val="0"/>
              <w:ind w:firstLineChars="100" w:firstLine="210"/>
              <w:jc w:val="right"/>
              <w:rPr>
                <w:color w:val="000000"/>
                <w:sz w:val="21"/>
                <w:szCs w:val="21"/>
              </w:rPr>
            </w:pPr>
            <w:r w:rsidRPr="003D2EC9">
              <w:rPr>
                <w:color w:val="000000"/>
                <w:sz w:val="21"/>
                <w:szCs w:val="21"/>
              </w:rPr>
              <w:t xml:space="preserve">   7.970,02 </w:t>
            </w:r>
          </w:p>
        </w:tc>
        <w:tc>
          <w:tcPr>
            <w:tcW w:w="0" w:type="auto"/>
            <w:tcBorders>
              <w:top w:val="nil"/>
              <w:left w:val="nil"/>
              <w:bottom w:val="single" w:sz="4" w:space="0" w:color="auto"/>
              <w:right w:val="single" w:sz="4" w:space="0" w:color="auto"/>
            </w:tcBorders>
            <w:shd w:val="clear" w:color="auto" w:fill="auto"/>
            <w:noWrap/>
            <w:vAlign w:val="bottom"/>
            <w:hideMark/>
          </w:tcPr>
          <w:p w14:paraId="0402FEEB"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5º</w:t>
            </w:r>
          </w:p>
        </w:tc>
        <w:tc>
          <w:tcPr>
            <w:tcW w:w="0" w:type="auto"/>
            <w:tcBorders>
              <w:top w:val="nil"/>
              <w:left w:val="nil"/>
              <w:bottom w:val="single" w:sz="4" w:space="0" w:color="auto"/>
              <w:right w:val="single" w:sz="4" w:space="0" w:color="auto"/>
            </w:tcBorders>
            <w:shd w:val="clear" w:color="000000" w:fill="FFFFFF"/>
            <w:vAlign w:val="center"/>
            <w:hideMark/>
          </w:tcPr>
          <w:p w14:paraId="01FA1D72"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9,90%</w:t>
            </w:r>
          </w:p>
        </w:tc>
        <w:tc>
          <w:tcPr>
            <w:tcW w:w="0" w:type="auto"/>
            <w:tcBorders>
              <w:top w:val="nil"/>
              <w:left w:val="nil"/>
              <w:bottom w:val="single" w:sz="4" w:space="0" w:color="auto"/>
              <w:right w:val="single" w:sz="8" w:space="0" w:color="auto"/>
            </w:tcBorders>
            <w:shd w:val="clear" w:color="000000" w:fill="FFFFFF"/>
            <w:vAlign w:val="center"/>
            <w:hideMark/>
          </w:tcPr>
          <w:p w14:paraId="734847FF" w14:textId="77777777" w:rsidR="002A77E4" w:rsidRPr="003D2EC9" w:rsidRDefault="002A77E4" w:rsidP="00EB77A0">
            <w:pPr>
              <w:widowControl/>
              <w:suppressLineNumbers w:val="0"/>
              <w:suppressAutoHyphens w:val="0"/>
              <w:ind w:firstLineChars="100" w:firstLine="210"/>
              <w:jc w:val="right"/>
              <w:rPr>
                <w:color w:val="000000"/>
                <w:sz w:val="21"/>
                <w:szCs w:val="21"/>
              </w:rPr>
            </w:pPr>
            <w:r w:rsidRPr="003D2EC9">
              <w:rPr>
                <w:color w:val="000000"/>
                <w:sz w:val="21"/>
                <w:szCs w:val="21"/>
              </w:rPr>
              <w:t xml:space="preserve">   8.231,98 </w:t>
            </w:r>
          </w:p>
        </w:tc>
        <w:tc>
          <w:tcPr>
            <w:tcW w:w="0" w:type="auto"/>
            <w:tcBorders>
              <w:top w:val="nil"/>
              <w:left w:val="nil"/>
              <w:bottom w:val="single" w:sz="4" w:space="0" w:color="auto"/>
              <w:right w:val="nil"/>
            </w:tcBorders>
            <w:shd w:val="clear" w:color="auto" w:fill="auto"/>
            <w:noWrap/>
            <w:vAlign w:val="bottom"/>
            <w:hideMark/>
          </w:tcPr>
          <w:p w14:paraId="36FEFA93"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 xml:space="preserve">      261,96 </w:t>
            </w:r>
          </w:p>
        </w:tc>
      </w:tr>
      <w:tr w:rsidR="002A77E4" w:rsidRPr="003D2EC9" w14:paraId="0F1504F9" w14:textId="77777777" w:rsidTr="0093419F">
        <w:trPr>
          <w:trHeight w:val="288"/>
        </w:trPr>
        <w:tc>
          <w:tcPr>
            <w:tcW w:w="0" w:type="auto"/>
            <w:tcBorders>
              <w:top w:val="single" w:sz="4" w:space="0" w:color="auto"/>
              <w:left w:val="nil"/>
              <w:bottom w:val="single" w:sz="4" w:space="0" w:color="auto"/>
              <w:right w:val="single" w:sz="4" w:space="0" w:color="auto"/>
            </w:tcBorders>
            <w:shd w:val="clear" w:color="000000" w:fill="FFFFFF"/>
            <w:vAlign w:val="center"/>
            <w:hideMark/>
          </w:tcPr>
          <w:p w14:paraId="1598F275" w14:textId="77777777" w:rsidR="002A77E4" w:rsidRPr="003D2EC9" w:rsidRDefault="002A77E4" w:rsidP="00EB77A0">
            <w:pPr>
              <w:widowControl/>
              <w:suppressLineNumbers w:val="0"/>
              <w:suppressAutoHyphens w:val="0"/>
              <w:ind w:firstLine="0"/>
              <w:jc w:val="center"/>
              <w:rPr>
                <w:b/>
                <w:bCs/>
                <w:color w:val="000000"/>
                <w:sz w:val="21"/>
                <w:szCs w:val="21"/>
              </w:rPr>
            </w:pPr>
            <w:r w:rsidRPr="003D2EC9">
              <w:rPr>
                <w:b/>
                <w:bCs/>
                <w:color w:val="000000"/>
                <w:sz w:val="21"/>
                <w:szCs w:val="21"/>
              </w:rPr>
              <w:t>Total</w:t>
            </w:r>
          </w:p>
        </w:tc>
        <w:tc>
          <w:tcPr>
            <w:tcW w:w="0" w:type="auto"/>
            <w:tcBorders>
              <w:top w:val="nil"/>
              <w:left w:val="nil"/>
              <w:bottom w:val="single" w:sz="4" w:space="0" w:color="auto"/>
              <w:right w:val="single" w:sz="4" w:space="0" w:color="auto"/>
            </w:tcBorders>
            <w:shd w:val="clear" w:color="auto" w:fill="auto"/>
            <w:noWrap/>
            <w:vAlign w:val="bottom"/>
            <w:hideMark/>
          </w:tcPr>
          <w:p w14:paraId="279A3F75"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w:t>
            </w:r>
          </w:p>
        </w:tc>
        <w:tc>
          <w:tcPr>
            <w:tcW w:w="0" w:type="auto"/>
            <w:tcBorders>
              <w:top w:val="nil"/>
              <w:left w:val="nil"/>
              <w:bottom w:val="single" w:sz="4" w:space="0" w:color="auto"/>
              <w:right w:val="single" w:sz="8" w:space="0" w:color="auto"/>
            </w:tcBorders>
            <w:shd w:val="clear" w:color="auto" w:fill="auto"/>
            <w:noWrap/>
            <w:vAlign w:val="bottom"/>
            <w:hideMark/>
          </w:tcPr>
          <w:p w14:paraId="638133E2"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899.094,62</w:t>
            </w:r>
          </w:p>
        </w:tc>
        <w:tc>
          <w:tcPr>
            <w:tcW w:w="0" w:type="auto"/>
            <w:tcBorders>
              <w:top w:val="nil"/>
              <w:left w:val="nil"/>
              <w:bottom w:val="single" w:sz="4" w:space="0" w:color="auto"/>
              <w:right w:val="single" w:sz="4" w:space="0" w:color="auto"/>
            </w:tcBorders>
            <w:shd w:val="clear" w:color="auto" w:fill="auto"/>
            <w:noWrap/>
            <w:vAlign w:val="bottom"/>
            <w:hideMark/>
          </w:tcPr>
          <w:p w14:paraId="6EB050C5"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w:t>
            </w:r>
          </w:p>
        </w:tc>
        <w:tc>
          <w:tcPr>
            <w:tcW w:w="0" w:type="auto"/>
            <w:tcBorders>
              <w:top w:val="nil"/>
              <w:left w:val="nil"/>
              <w:bottom w:val="single" w:sz="4" w:space="0" w:color="auto"/>
              <w:right w:val="single" w:sz="4" w:space="0" w:color="auto"/>
            </w:tcBorders>
            <w:shd w:val="clear" w:color="auto" w:fill="auto"/>
            <w:noWrap/>
            <w:vAlign w:val="bottom"/>
            <w:hideMark/>
          </w:tcPr>
          <w:p w14:paraId="7D179671"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w:t>
            </w:r>
          </w:p>
        </w:tc>
        <w:tc>
          <w:tcPr>
            <w:tcW w:w="0" w:type="auto"/>
            <w:tcBorders>
              <w:top w:val="nil"/>
              <w:left w:val="nil"/>
              <w:bottom w:val="single" w:sz="4" w:space="0" w:color="auto"/>
              <w:right w:val="single" w:sz="8" w:space="0" w:color="auto"/>
            </w:tcBorders>
            <w:shd w:val="clear" w:color="auto" w:fill="auto"/>
            <w:noWrap/>
            <w:vAlign w:val="bottom"/>
            <w:hideMark/>
          </w:tcPr>
          <w:p w14:paraId="0CF35714"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 xml:space="preserve">    89.922,36 </w:t>
            </w:r>
          </w:p>
        </w:tc>
        <w:tc>
          <w:tcPr>
            <w:tcW w:w="0" w:type="auto"/>
            <w:tcBorders>
              <w:top w:val="nil"/>
              <w:left w:val="nil"/>
              <w:bottom w:val="single" w:sz="4" w:space="0" w:color="auto"/>
              <w:right w:val="single" w:sz="4" w:space="0" w:color="auto"/>
            </w:tcBorders>
            <w:shd w:val="clear" w:color="auto" w:fill="auto"/>
            <w:noWrap/>
            <w:vAlign w:val="bottom"/>
            <w:hideMark/>
          </w:tcPr>
          <w:p w14:paraId="6E604EA3"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w:t>
            </w:r>
          </w:p>
        </w:tc>
        <w:tc>
          <w:tcPr>
            <w:tcW w:w="0" w:type="auto"/>
            <w:tcBorders>
              <w:top w:val="nil"/>
              <w:left w:val="nil"/>
              <w:bottom w:val="single" w:sz="4" w:space="0" w:color="auto"/>
              <w:right w:val="single" w:sz="4" w:space="0" w:color="auto"/>
            </w:tcBorders>
            <w:shd w:val="clear" w:color="auto" w:fill="auto"/>
            <w:noWrap/>
            <w:vAlign w:val="bottom"/>
            <w:hideMark/>
          </w:tcPr>
          <w:p w14:paraId="7FB5C224" w14:textId="77777777" w:rsidR="002A77E4" w:rsidRPr="003D2EC9" w:rsidRDefault="002A77E4" w:rsidP="00EB77A0">
            <w:pPr>
              <w:widowControl/>
              <w:suppressLineNumbers w:val="0"/>
              <w:suppressAutoHyphens w:val="0"/>
              <w:ind w:firstLine="0"/>
              <w:jc w:val="center"/>
              <w:rPr>
                <w:color w:val="000000"/>
                <w:sz w:val="21"/>
                <w:szCs w:val="21"/>
              </w:rPr>
            </w:pPr>
            <w:r w:rsidRPr="003D2EC9">
              <w:rPr>
                <w:color w:val="000000"/>
                <w:sz w:val="21"/>
                <w:szCs w:val="21"/>
              </w:rPr>
              <w:t>-</w:t>
            </w:r>
          </w:p>
        </w:tc>
        <w:tc>
          <w:tcPr>
            <w:tcW w:w="0" w:type="auto"/>
            <w:tcBorders>
              <w:top w:val="nil"/>
              <w:left w:val="nil"/>
              <w:bottom w:val="single" w:sz="4" w:space="0" w:color="auto"/>
              <w:right w:val="single" w:sz="8" w:space="0" w:color="auto"/>
            </w:tcBorders>
            <w:shd w:val="clear" w:color="auto" w:fill="auto"/>
            <w:noWrap/>
            <w:vAlign w:val="bottom"/>
            <w:hideMark/>
          </w:tcPr>
          <w:p w14:paraId="7AE5D3E3"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 xml:space="preserve">    90.221,07 </w:t>
            </w:r>
          </w:p>
        </w:tc>
        <w:tc>
          <w:tcPr>
            <w:tcW w:w="0" w:type="auto"/>
            <w:tcBorders>
              <w:top w:val="nil"/>
              <w:left w:val="nil"/>
              <w:bottom w:val="single" w:sz="4" w:space="0" w:color="auto"/>
              <w:right w:val="nil"/>
            </w:tcBorders>
            <w:shd w:val="clear" w:color="auto" w:fill="auto"/>
            <w:noWrap/>
            <w:vAlign w:val="bottom"/>
            <w:hideMark/>
          </w:tcPr>
          <w:p w14:paraId="5DFEB28F" w14:textId="77777777" w:rsidR="002A77E4" w:rsidRPr="003D2EC9" w:rsidRDefault="002A77E4" w:rsidP="00EB77A0">
            <w:pPr>
              <w:widowControl/>
              <w:suppressLineNumbers w:val="0"/>
              <w:suppressAutoHyphens w:val="0"/>
              <w:ind w:firstLine="0"/>
              <w:jc w:val="right"/>
              <w:rPr>
                <w:color w:val="000000"/>
                <w:sz w:val="21"/>
                <w:szCs w:val="21"/>
              </w:rPr>
            </w:pPr>
            <w:r w:rsidRPr="003D2EC9">
              <w:rPr>
                <w:color w:val="000000"/>
                <w:sz w:val="21"/>
                <w:szCs w:val="21"/>
              </w:rPr>
              <w:t xml:space="preserve">      298,71 </w:t>
            </w:r>
          </w:p>
        </w:tc>
      </w:tr>
    </w:tbl>
    <w:p w14:paraId="25E522B4" w14:textId="5AC86121" w:rsidR="002A77E4" w:rsidRPr="00E86FB3" w:rsidRDefault="00E86FB3" w:rsidP="00E86FB3">
      <w:pPr>
        <w:spacing w:after="117" w:line="259" w:lineRule="auto"/>
        <w:ind w:firstLine="0"/>
        <w:rPr>
          <w:sz w:val="20"/>
        </w:rPr>
      </w:pPr>
      <w:r w:rsidRPr="00E86FB3">
        <w:rPr>
          <w:sz w:val="20"/>
        </w:rPr>
        <w:t>Fonte: Dados da pesquisa (2019).</w:t>
      </w:r>
    </w:p>
    <w:p w14:paraId="0BE2CE04" w14:textId="0CBDC980" w:rsidR="002A77E4" w:rsidRDefault="002A77E4" w:rsidP="002A77E4">
      <w:pPr>
        <w:ind w:left="-15"/>
      </w:pPr>
      <w:r>
        <w:lastRenderedPageBreak/>
        <w:t xml:space="preserve">Ao analisar a tabela </w:t>
      </w:r>
      <w:r w:rsidR="00C7075D">
        <w:t xml:space="preserve">4 </w:t>
      </w:r>
      <w:r>
        <w:t xml:space="preserve">da empresa com atividade de comércio, verifica-se que com a mudança da </w:t>
      </w:r>
      <w:r w:rsidRPr="000D4AE1">
        <w:rPr>
          <w:szCs w:val="24"/>
        </w:rPr>
        <w:t>metodologia de cálculo imposta pela Lei Complementar nº 155/2016</w:t>
      </w:r>
      <w:r>
        <w:rPr>
          <w:szCs w:val="24"/>
        </w:rPr>
        <w:t xml:space="preserve">, </w:t>
      </w:r>
      <w:r w:rsidRPr="000D4AE1">
        <w:rPr>
          <w:szCs w:val="24"/>
        </w:rPr>
        <w:t>quando confrontad</w:t>
      </w:r>
      <w:r>
        <w:rPr>
          <w:szCs w:val="24"/>
        </w:rPr>
        <w:t>o</w:t>
      </w:r>
      <w:r w:rsidRPr="000D4AE1">
        <w:rPr>
          <w:szCs w:val="24"/>
        </w:rPr>
        <w:t xml:space="preserve"> aos métodos de cálculo anterior (</w:t>
      </w:r>
      <w:r w:rsidRPr="005E543E">
        <w:rPr>
          <w:color w:val="000000"/>
          <w:szCs w:val="24"/>
        </w:rPr>
        <w:t>LC n°123/2006</w:t>
      </w:r>
      <w:r w:rsidRPr="000D4AE1">
        <w:rPr>
          <w:color w:val="000000"/>
          <w:szCs w:val="24"/>
        </w:rPr>
        <w:t xml:space="preserve">) </w:t>
      </w:r>
      <w:r>
        <w:rPr>
          <w:szCs w:val="24"/>
        </w:rPr>
        <w:t xml:space="preserve">apresenta uma diferença baixa e </w:t>
      </w:r>
      <w:r>
        <w:t xml:space="preserve">pouco relevante. </w:t>
      </w:r>
    </w:p>
    <w:p w14:paraId="1706366A" w14:textId="00B7323C" w:rsidR="002A77E4" w:rsidRDefault="002A77E4" w:rsidP="002A77E4">
      <w:pPr>
        <w:ind w:left="-15"/>
      </w:pPr>
      <w:r>
        <w:t>Para esta empresa específica do setor do comércio, é possível concluir que não houve gra</w:t>
      </w:r>
      <w:r w:rsidR="000A138D">
        <w:t>nde</w:t>
      </w:r>
      <w:r>
        <w:t xml:space="preserve"> mudança no valor recolhido através do método de cálculo do ano anterior com o utilizado a partir de 2018. Nesta circunstância, pela LC 123/2006 a empresa teria pago no final do exercício R$89.922,36 referente aos tributos, com a nova legislação imposta pela LC 155/2016, este valor aumentou apenas R$298,72, totalizando R$90.221,08. Isso resultou em um aumento </w:t>
      </w:r>
      <w:r w:rsidR="00C7075D">
        <w:t>de 0</w:t>
      </w:r>
      <w:r>
        <w:t xml:space="preserve">,33%.  </w:t>
      </w:r>
    </w:p>
    <w:p w14:paraId="031B942F" w14:textId="5320AC8D" w:rsidR="00C7075D" w:rsidRDefault="00D504A6" w:rsidP="003834AC">
      <w:pPr>
        <w:ind w:left="-15"/>
      </w:pPr>
      <w:r>
        <w:t>Salienta-se que a mudança na forma de cálculo por refletir em um aumento pouco significativo permite inferir que, as organizações do segmento do comercio que adotam o simples não precisaram mudar suas rotinas em função desta mudança. Por outro lado, gera um aumento no benefício do estado.</w:t>
      </w:r>
      <w:r w:rsidR="003834AC">
        <w:t xml:space="preserve"> Esses achados vão ao encontro de Lima, </w:t>
      </w:r>
      <w:r w:rsidR="00660B54">
        <w:t>Santos</w:t>
      </w:r>
      <w:r w:rsidR="003834AC">
        <w:t xml:space="preserve"> e </w:t>
      </w:r>
      <w:proofErr w:type="spellStart"/>
      <w:r w:rsidR="003834AC">
        <w:t>Paranaiba</w:t>
      </w:r>
      <w:proofErr w:type="spellEnd"/>
      <w:r w:rsidR="003834AC">
        <w:t xml:space="preserve"> (2019) visto que afirmam que dependendo do anexo a que a empresa consta ao se fazer a comparar das alterações na forma de cálculo do simples nacional, pode haver diferenças para mais ou para menos. Neste acaso a diferença foi positiva, embora pouco significativa. </w:t>
      </w:r>
    </w:p>
    <w:p w14:paraId="278885D3" w14:textId="45B26D30" w:rsidR="009913B4" w:rsidRDefault="009913B4" w:rsidP="003834AC">
      <w:pPr>
        <w:ind w:left="-15"/>
      </w:pPr>
      <w:r>
        <w:t>Em decorrência das diferenças na forma de cálculo pode-se perceber que na nova metodologia, embora as faixas foram as mesmas (5º) no entanto, a alíquota apresentou uma variação em função do faturamento mensal. Denota-se que,</w:t>
      </w:r>
      <w:r w:rsidR="00360A7D">
        <w:t xml:space="preserve"> </w:t>
      </w:r>
      <w:r>
        <w:t>por se trata de um método progressivo possibilita que os contribuintes recolhem os tributos de maneira equitativa.</w:t>
      </w:r>
    </w:p>
    <w:p w14:paraId="76E308D6" w14:textId="77777777" w:rsidR="00360A7D" w:rsidRDefault="00360A7D" w:rsidP="003834AC">
      <w:pPr>
        <w:ind w:left="-15"/>
      </w:pPr>
    </w:p>
    <w:p w14:paraId="47C868A7" w14:textId="063FF1AE" w:rsidR="00C7075D" w:rsidRDefault="00C7075D" w:rsidP="00361ACE">
      <w:pPr>
        <w:spacing w:line="259" w:lineRule="auto"/>
        <w:ind w:firstLine="0"/>
      </w:pPr>
      <w:r w:rsidRPr="00BD737C">
        <w:rPr>
          <w:b/>
          <w:bCs/>
        </w:rPr>
        <w:t xml:space="preserve">Tabela </w:t>
      </w:r>
      <w:r>
        <w:rPr>
          <w:b/>
          <w:bCs/>
        </w:rPr>
        <w:t>5</w:t>
      </w:r>
      <w:r>
        <w:t>- Apresentação da apuração do simples na Industria.</w:t>
      </w:r>
    </w:p>
    <w:tbl>
      <w:tblPr>
        <w:tblW w:w="5000" w:type="pct"/>
        <w:tblCellMar>
          <w:left w:w="70" w:type="dxa"/>
          <w:right w:w="70" w:type="dxa"/>
        </w:tblCellMar>
        <w:tblLook w:val="04A0" w:firstRow="1" w:lastRow="0" w:firstColumn="1" w:lastColumn="0" w:noHBand="0" w:noVBand="1"/>
      </w:tblPr>
      <w:tblGrid>
        <w:gridCol w:w="630"/>
        <w:gridCol w:w="1209"/>
        <w:gridCol w:w="1657"/>
        <w:gridCol w:w="598"/>
        <w:gridCol w:w="670"/>
        <w:gridCol w:w="1159"/>
        <w:gridCol w:w="598"/>
        <w:gridCol w:w="670"/>
        <w:gridCol w:w="1159"/>
        <w:gridCol w:w="1055"/>
      </w:tblGrid>
      <w:tr w:rsidR="005E543E" w:rsidRPr="005E543E" w14:paraId="6971866F" w14:textId="77777777" w:rsidTr="00274C73">
        <w:trPr>
          <w:trHeight w:val="300"/>
        </w:trPr>
        <w:tc>
          <w:tcPr>
            <w:tcW w:w="5000" w:type="pct"/>
            <w:gridSpan w:val="10"/>
            <w:tcBorders>
              <w:top w:val="single" w:sz="4" w:space="0" w:color="auto"/>
              <w:left w:val="nil"/>
              <w:bottom w:val="single" w:sz="4" w:space="0" w:color="auto"/>
              <w:right w:val="nil"/>
            </w:tcBorders>
            <w:shd w:val="clear" w:color="auto" w:fill="auto"/>
            <w:noWrap/>
            <w:vAlign w:val="center"/>
            <w:hideMark/>
          </w:tcPr>
          <w:p w14:paraId="319CDA5A" w14:textId="77777777" w:rsidR="005E543E" w:rsidRPr="005E543E" w:rsidRDefault="005E543E" w:rsidP="005E543E">
            <w:pPr>
              <w:widowControl/>
              <w:suppressLineNumbers w:val="0"/>
              <w:suppressAutoHyphens w:val="0"/>
              <w:ind w:firstLine="0"/>
              <w:jc w:val="center"/>
              <w:rPr>
                <w:color w:val="000000"/>
                <w:sz w:val="20"/>
              </w:rPr>
            </w:pPr>
            <w:r w:rsidRPr="005E543E">
              <w:rPr>
                <w:color w:val="000000"/>
                <w:sz w:val="20"/>
              </w:rPr>
              <w:t xml:space="preserve">Comparativo de Apuração Simples Nacional - Anexo II - Indústria       </w:t>
            </w:r>
          </w:p>
        </w:tc>
      </w:tr>
      <w:tr w:rsidR="005E543E" w:rsidRPr="005E543E" w14:paraId="092BBDCD" w14:textId="77777777" w:rsidTr="00E86FB3">
        <w:trPr>
          <w:trHeight w:val="300"/>
        </w:trPr>
        <w:tc>
          <w:tcPr>
            <w:tcW w:w="335" w:type="pct"/>
            <w:vMerge w:val="restart"/>
            <w:tcBorders>
              <w:top w:val="nil"/>
              <w:left w:val="nil"/>
              <w:bottom w:val="single" w:sz="4" w:space="0" w:color="000000"/>
              <w:right w:val="nil"/>
            </w:tcBorders>
            <w:shd w:val="clear" w:color="000000" w:fill="FFFFFF"/>
            <w:vAlign w:val="center"/>
            <w:hideMark/>
          </w:tcPr>
          <w:p w14:paraId="433F4510"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Mês</w:t>
            </w:r>
          </w:p>
        </w:tc>
        <w:tc>
          <w:tcPr>
            <w:tcW w:w="643" w:type="pct"/>
            <w:vMerge w:val="restart"/>
            <w:tcBorders>
              <w:top w:val="nil"/>
              <w:left w:val="single" w:sz="4" w:space="0" w:color="auto"/>
              <w:bottom w:val="single" w:sz="4" w:space="0" w:color="auto"/>
              <w:right w:val="single" w:sz="4" w:space="0" w:color="auto"/>
            </w:tcBorders>
            <w:shd w:val="clear" w:color="000000" w:fill="FFFFFF"/>
            <w:vAlign w:val="center"/>
            <w:hideMark/>
          </w:tcPr>
          <w:p w14:paraId="6D495080"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 xml:space="preserve"> RBT12  </w:t>
            </w:r>
          </w:p>
        </w:tc>
        <w:tc>
          <w:tcPr>
            <w:tcW w:w="881" w:type="pct"/>
            <w:vMerge w:val="restart"/>
            <w:tcBorders>
              <w:top w:val="nil"/>
              <w:left w:val="single" w:sz="4" w:space="0" w:color="auto"/>
              <w:bottom w:val="single" w:sz="4" w:space="0" w:color="000000"/>
              <w:right w:val="single" w:sz="8" w:space="0" w:color="auto"/>
            </w:tcBorders>
            <w:shd w:val="clear" w:color="000000" w:fill="FFFFFF"/>
            <w:vAlign w:val="center"/>
            <w:hideMark/>
          </w:tcPr>
          <w:p w14:paraId="30A2289A"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 xml:space="preserve"> </w:t>
            </w:r>
            <w:proofErr w:type="spellStart"/>
            <w:r w:rsidRPr="005E543E">
              <w:rPr>
                <w:color w:val="000000"/>
                <w:sz w:val="19"/>
                <w:szCs w:val="19"/>
              </w:rPr>
              <w:t>Rec</w:t>
            </w:r>
            <w:proofErr w:type="spellEnd"/>
            <w:r w:rsidRPr="005E543E">
              <w:rPr>
                <w:color w:val="000000"/>
                <w:sz w:val="19"/>
                <w:szCs w:val="19"/>
              </w:rPr>
              <w:t xml:space="preserve"> Bruta Mensal  </w:t>
            </w:r>
          </w:p>
        </w:tc>
        <w:tc>
          <w:tcPr>
            <w:tcW w:w="1290" w:type="pct"/>
            <w:gridSpan w:val="3"/>
            <w:tcBorders>
              <w:top w:val="single" w:sz="4" w:space="0" w:color="auto"/>
              <w:left w:val="nil"/>
              <w:bottom w:val="single" w:sz="4" w:space="0" w:color="auto"/>
              <w:right w:val="single" w:sz="8" w:space="0" w:color="000000"/>
            </w:tcBorders>
            <w:shd w:val="clear" w:color="auto" w:fill="auto"/>
            <w:noWrap/>
            <w:vAlign w:val="center"/>
            <w:hideMark/>
          </w:tcPr>
          <w:p w14:paraId="57FC5736" w14:textId="77777777" w:rsidR="005E543E" w:rsidRPr="005E543E" w:rsidRDefault="005E543E" w:rsidP="005E543E">
            <w:pPr>
              <w:widowControl/>
              <w:suppressLineNumbers w:val="0"/>
              <w:suppressAutoHyphens w:val="0"/>
              <w:ind w:firstLine="0"/>
              <w:jc w:val="center"/>
              <w:rPr>
                <w:color w:val="000000"/>
                <w:sz w:val="20"/>
              </w:rPr>
            </w:pPr>
            <w:r w:rsidRPr="005E543E">
              <w:rPr>
                <w:color w:val="000000"/>
                <w:sz w:val="20"/>
              </w:rPr>
              <w:t xml:space="preserve">  LC n°123/2006</w:t>
            </w:r>
          </w:p>
        </w:tc>
        <w:tc>
          <w:tcPr>
            <w:tcW w:w="1290" w:type="pct"/>
            <w:gridSpan w:val="3"/>
            <w:tcBorders>
              <w:top w:val="single" w:sz="4" w:space="0" w:color="auto"/>
              <w:left w:val="nil"/>
              <w:bottom w:val="single" w:sz="4" w:space="0" w:color="auto"/>
              <w:right w:val="single" w:sz="8" w:space="0" w:color="000000"/>
            </w:tcBorders>
            <w:shd w:val="clear" w:color="auto" w:fill="auto"/>
            <w:noWrap/>
            <w:vAlign w:val="center"/>
            <w:hideMark/>
          </w:tcPr>
          <w:p w14:paraId="06AAA676" w14:textId="77777777" w:rsidR="005E543E" w:rsidRPr="005E543E" w:rsidRDefault="005E543E" w:rsidP="005E543E">
            <w:pPr>
              <w:widowControl/>
              <w:suppressLineNumbers w:val="0"/>
              <w:suppressAutoHyphens w:val="0"/>
              <w:ind w:firstLine="0"/>
              <w:jc w:val="center"/>
              <w:rPr>
                <w:color w:val="000000"/>
                <w:sz w:val="20"/>
              </w:rPr>
            </w:pPr>
            <w:r w:rsidRPr="005E543E">
              <w:rPr>
                <w:color w:val="000000"/>
                <w:sz w:val="20"/>
              </w:rPr>
              <w:t xml:space="preserve">  LC n°155/2016</w:t>
            </w:r>
          </w:p>
        </w:tc>
        <w:tc>
          <w:tcPr>
            <w:tcW w:w="561" w:type="pct"/>
            <w:vMerge w:val="restart"/>
            <w:tcBorders>
              <w:top w:val="nil"/>
              <w:left w:val="single" w:sz="8" w:space="0" w:color="auto"/>
              <w:bottom w:val="single" w:sz="4" w:space="0" w:color="000000"/>
              <w:right w:val="nil"/>
            </w:tcBorders>
            <w:shd w:val="clear" w:color="000000" w:fill="FFFFFF"/>
            <w:vAlign w:val="center"/>
            <w:hideMark/>
          </w:tcPr>
          <w:p w14:paraId="5BC0A94C"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Diferença</w:t>
            </w:r>
          </w:p>
        </w:tc>
      </w:tr>
      <w:tr w:rsidR="005E543E" w:rsidRPr="005E543E" w14:paraId="44F4411D" w14:textId="77777777" w:rsidTr="00E86FB3">
        <w:trPr>
          <w:trHeight w:val="300"/>
        </w:trPr>
        <w:tc>
          <w:tcPr>
            <w:tcW w:w="335" w:type="pct"/>
            <w:vMerge/>
            <w:tcBorders>
              <w:top w:val="nil"/>
              <w:left w:val="nil"/>
              <w:bottom w:val="single" w:sz="4" w:space="0" w:color="000000"/>
              <w:right w:val="nil"/>
            </w:tcBorders>
            <w:vAlign w:val="center"/>
            <w:hideMark/>
          </w:tcPr>
          <w:p w14:paraId="6E1D183E" w14:textId="77777777" w:rsidR="005E543E" w:rsidRPr="005E543E" w:rsidRDefault="005E543E" w:rsidP="005E543E">
            <w:pPr>
              <w:widowControl/>
              <w:suppressLineNumbers w:val="0"/>
              <w:suppressAutoHyphens w:val="0"/>
              <w:ind w:firstLine="0"/>
              <w:jc w:val="left"/>
              <w:rPr>
                <w:color w:val="000000"/>
                <w:sz w:val="19"/>
                <w:szCs w:val="19"/>
              </w:rPr>
            </w:pPr>
          </w:p>
        </w:tc>
        <w:tc>
          <w:tcPr>
            <w:tcW w:w="643" w:type="pct"/>
            <w:vMerge/>
            <w:tcBorders>
              <w:top w:val="nil"/>
              <w:left w:val="single" w:sz="4" w:space="0" w:color="auto"/>
              <w:bottom w:val="single" w:sz="4" w:space="0" w:color="auto"/>
              <w:right w:val="single" w:sz="4" w:space="0" w:color="auto"/>
            </w:tcBorders>
            <w:vAlign w:val="center"/>
            <w:hideMark/>
          </w:tcPr>
          <w:p w14:paraId="6D37FA42" w14:textId="77777777" w:rsidR="005E543E" w:rsidRPr="005E543E" w:rsidRDefault="005E543E" w:rsidP="005E543E">
            <w:pPr>
              <w:widowControl/>
              <w:suppressLineNumbers w:val="0"/>
              <w:suppressAutoHyphens w:val="0"/>
              <w:ind w:firstLine="0"/>
              <w:jc w:val="left"/>
              <w:rPr>
                <w:color w:val="000000"/>
                <w:sz w:val="19"/>
                <w:szCs w:val="19"/>
              </w:rPr>
            </w:pPr>
          </w:p>
        </w:tc>
        <w:tc>
          <w:tcPr>
            <w:tcW w:w="881" w:type="pct"/>
            <w:vMerge/>
            <w:tcBorders>
              <w:top w:val="nil"/>
              <w:left w:val="single" w:sz="4" w:space="0" w:color="auto"/>
              <w:bottom w:val="single" w:sz="4" w:space="0" w:color="000000"/>
              <w:right w:val="single" w:sz="8" w:space="0" w:color="auto"/>
            </w:tcBorders>
            <w:vAlign w:val="center"/>
            <w:hideMark/>
          </w:tcPr>
          <w:p w14:paraId="17889A02" w14:textId="77777777" w:rsidR="005E543E" w:rsidRPr="005E543E" w:rsidRDefault="005E543E" w:rsidP="005E543E">
            <w:pPr>
              <w:widowControl/>
              <w:suppressLineNumbers w:val="0"/>
              <w:suppressAutoHyphens w:val="0"/>
              <w:ind w:firstLine="0"/>
              <w:jc w:val="left"/>
              <w:rPr>
                <w:color w:val="000000"/>
                <w:sz w:val="19"/>
                <w:szCs w:val="19"/>
              </w:rPr>
            </w:pPr>
          </w:p>
        </w:tc>
        <w:tc>
          <w:tcPr>
            <w:tcW w:w="318" w:type="pct"/>
            <w:tcBorders>
              <w:top w:val="nil"/>
              <w:left w:val="nil"/>
              <w:bottom w:val="single" w:sz="4" w:space="0" w:color="auto"/>
              <w:right w:val="single" w:sz="4" w:space="0" w:color="auto"/>
            </w:tcBorders>
            <w:shd w:val="clear" w:color="000000" w:fill="FFFFFF"/>
            <w:vAlign w:val="center"/>
            <w:hideMark/>
          </w:tcPr>
          <w:p w14:paraId="6E890515"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Faixa</w:t>
            </w:r>
          </w:p>
        </w:tc>
        <w:tc>
          <w:tcPr>
            <w:tcW w:w="356" w:type="pct"/>
            <w:tcBorders>
              <w:top w:val="nil"/>
              <w:left w:val="nil"/>
              <w:bottom w:val="single" w:sz="4" w:space="0" w:color="auto"/>
              <w:right w:val="single" w:sz="4" w:space="0" w:color="auto"/>
            </w:tcBorders>
            <w:shd w:val="clear" w:color="000000" w:fill="FFFFFF"/>
            <w:vAlign w:val="center"/>
            <w:hideMark/>
          </w:tcPr>
          <w:p w14:paraId="1994E5FA" w14:textId="77777777" w:rsidR="005E543E" w:rsidRPr="005E543E" w:rsidRDefault="005E543E" w:rsidP="005E543E">
            <w:pPr>
              <w:widowControl/>
              <w:suppressLineNumbers w:val="0"/>
              <w:suppressAutoHyphens w:val="0"/>
              <w:ind w:firstLine="0"/>
              <w:jc w:val="center"/>
              <w:rPr>
                <w:color w:val="000000"/>
                <w:sz w:val="19"/>
                <w:szCs w:val="19"/>
              </w:rPr>
            </w:pPr>
            <w:proofErr w:type="spellStart"/>
            <w:r w:rsidRPr="005E543E">
              <w:rPr>
                <w:color w:val="000000"/>
                <w:sz w:val="19"/>
                <w:szCs w:val="19"/>
              </w:rPr>
              <w:t>Aliq</w:t>
            </w:r>
            <w:proofErr w:type="spellEnd"/>
          </w:p>
        </w:tc>
        <w:tc>
          <w:tcPr>
            <w:tcW w:w="616" w:type="pct"/>
            <w:tcBorders>
              <w:top w:val="nil"/>
              <w:left w:val="nil"/>
              <w:bottom w:val="single" w:sz="4" w:space="0" w:color="auto"/>
              <w:right w:val="single" w:sz="8" w:space="0" w:color="auto"/>
            </w:tcBorders>
            <w:shd w:val="clear" w:color="000000" w:fill="FFFFFF"/>
            <w:vAlign w:val="center"/>
            <w:hideMark/>
          </w:tcPr>
          <w:p w14:paraId="0047584E"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 xml:space="preserve"> Recolher</w:t>
            </w:r>
          </w:p>
        </w:tc>
        <w:tc>
          <w:tcPr>
            <w:tcW w:w="318" w:type="pct"/>
            <w:tcBorders>
              <w:top w:val="nil"/>
              <w:left w:val="nil"/>
              <w:bottom w:val="single" w:sz="4" w:space="0" w:color="auto"/>
              <w:right w:val="single" w:sz="4" w:space="0" w:color="auto"/>
            </w:tcBorders>
            <w:shd w:val="clear" w:color="000000" w:fill="FFFFFF"/>
            <w:vAlign w:val="center"/>
            <w:hideMark/>
          </w:tcPr>
          <w:p w14:paraId="4C134974"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Faixa</w:t>
            </w:r>
          </w:p>
        </w:tc>
        <w:tc>
          <w:tcPr>
            <w:tcW w:w="356" w:type="pct"/>
            <w:tcBorders>
              <w:top w:val="nil"/>
              <w:left w:val="nil"/>
              <w:bottom w:val="single" w:sz="4" w:space="0" w:color="auto"/>
              <w:right w:val="single" w:sz="4" w:space="0" w:color="auto"/>
            </w:tcBorders>
            <w:shd w:val="clear" w:color="000000" w:fill="FFFFFF"/>
            <w:vAlign w:val="center"/>
            <w:hideMark/>
          </w:tcPr>
          <w:p w14:paraId="1AF5CBEC" w14:textId="77777777" w:rsidR="005E543E" w:rsidRPr="005E543E" w:rsidRDefault="005E543E" w:rsidP="005E543E">
            <w:pPr>
              <w:widowControl/>
              <w:suppressLineNumbers w:val="0"/>
              <w:suppressAutoHyphens w:val="0"/>
              <w:ind w:firstLine="0"/>
              <w:jc w:val="center"/>
              <w:rPr>
                <w:color w:val="000000"/>
                <w:sz w:val="19"/>
                <w:szCs w:val="19"/>
              </w:rPr>
            </w:pPr>
            <w:proofErr w:type="spellStart"/>
            <w:r w:rsidRPr="005E543E">
              <w:rPr>
                <w:color w:val="000000"/>
                <w:sz w:val="19"/>
                <w:szCs w:val="19"/>
              </w:rPr>
              <w:t>Aliq</w:t>
            </w:r>
            <w:proofErr w:type="spellEnd"/>
          </w:p>
        </w:tc>
        <w:tc>
          <w:tcPr>
            <w:tcW w:w="616" w:type="pct"/>
            <w:tcBorders>
              <w:top w:val="nil"/>
              <w:left w:val="nil"/>
              <w:bottom w:val="single" w:sz="4" w:space="0" w:color="auto"/>
              <w:right w:val="single" w:sz="8" w:space="0" w:color="auto"/>
            </w:tcBorders>
            <w:shd w:val="clear" w:color="000000" w:fill="FFFFFF"/>
            <w:vAlign w:val="center"/>
            <w:hideMark/>
          </w:tcPr>
          <w:p w14:paraId="629CEA5C"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 xml:space="preserve"> Recolher</w:t>
            </w:r>
          </w:p>
        </w:tc>
        <w:tc>
          <w:tcPr>
            <w:tcW w:w="561" w:type="pct"/>
            <w:vMerge/>
            <w:tcBorders>
              <w:top w:val="nil"/>
              <w:left w:val="single" w:sz="8" w:space="0" w:color="auto"/>
              <w:bottom w:val="single" w:sz="4" w:space="0" w:color="000000"/>
              <w:right w:val="nil"/>
            </w:tcBorders>
            <w:vAlign w:val="center"/>
            <w:hideMark/>
          </w:tcPr>
          <w:p w14:paraId="38D7AC28" w14:textId="77777777" w:rsidR="005E543E" w:rsidRPr="005E543E" w:rsidRDefault="005E543E" w:rsidP="005E543E">
            <w:pPr>
              <w:widowControl/>
              <w:suppressLineNumbers w:val="0"/>
              <w:suppressAutoHyphens w:val="0"/>
              <w:ind w:firstLine="0"/>
              <w:jc w:val="left"/>
              <w:rPr>
                <w:color w:val="000000"/>
                <w:sz w:val="19"/>
                <w:szCs w:val="19"/>
              </w:rPr>
            </w:pPr>
          </w:p>
        </w:tc>
      </w:tr>
      <w:tr w:rsidR="005E543E" w:rsidRPr="005E543E" w14:paraId="56BD565B" w14:textId="77777777" w:rsidTr="00E86FB3">
        <w:trPr>
          <w:trHeight w:val="300"/>
        </w:trPr>
        <w:tc>
          <w:tcPr>
            <w:tcW w:w="335" w:type="pct"/>
            <w:tcBorders>
              <w:top w:val="nil"/>
              <w:left w:val="nil"/>
              <w:bottom w:val="single" w:sz="4" w:space="0" w:color="auto"/>
              <w:right w:val="nil"/>
            </w:tcBorders>
            <w:shd w:val="clear" w:color="000000" w:fill="FFFFFF"/>
            <w:vAlign w:val="center"/>
            <w:hideMark/>
          </w:tcPr>
          <w:p w14:paraId="6972D36B" w14:textId="77777777" w:rsidR="005E543E" w:rsidRPr="005E543E" w:rsidRDefault="005E543E" w:rsidP="005E543E">
            <w:pPr>
              <w:widowControl/>
              <w:suppressLineNumbers w:val="0"/>
              <w:suppressAutoHyphens w:val="0"/>
              <w:ind w:firstLine="0"/>
              <w:jc w:val="center"/>
              <w:rPr>
                <w:b/>
                <w:bCs/>
                <w:color w:val="000000"/>
                <w:sz w:val="19"/>
                <w:szCs w:val="19"/>
              </w:rPr>
            </w:pPr>
            <w:r w:rsidRPr="005E543E">
              <w:rPr>
                <w:b/>
                <w:bCs/>
                <w:color w:val="000000"/>
                <w:sz w:val="19"/>
                <w:szCs w:val="19"/>
              </w:rPr>
              <w:t>JAN</w:t>
            </w:r>
          </w:p>
        </w:tc>
        <w:tc>
          <w:tcPr>
            <w:tcW w:w="643" w:type="pct"/>
            <w:tcBorders>
              <w:top w:val="nil"/>
              <w:left w:val="single" w:sz="4" w:space="0" w:color="auto"/>
              <w:bottom w:val="single" w:sz="4" w:space="0" w:color="auto"/>
              <w:right w:val="single" w:sz="4" w:space="0" w:color="auto"/>
            </w:tcBorders>
            <w:shd w:val="clear" w:color="000000" w:fill="FFFFFF"/>
            <w:vAlign w:val="center"/>
            <w:hideMark/>
          </w:tcPr>
          <w:p w14:paraId="7525A08F" w14:textId="77777777" w:rsidR="005E543E" w:rsidRPr="005E543E" w:rsidRDefault="005E543E" w:rsidP="005E543E">
            <w:pPr>
              <w:widowControl/>
              <w:suppressLineNumbers w:val="0"/>
              <w:suppressAutoHyphens w:val="0"/>
              <w:ind w:firstLine="0"/>
              <w:jc w:val="right"/>
              <w:rPr>
                <w:color w:val="000000"/>
                <w:sz w:val="19"/>
                <w:szCs w:val="19"/>
              </w:rPr>
            </w:pPr>
            <w:r w:rsidRPr="005E543E">
              <w:rPr>
                <w:color w:val="000000"/>
                <w:sz w:val="19"/>
                <w:szCs w:val="19"/>
              </w:rPr>
              <w:t>1.136.360,37</w:t>
            </w:r>
          </w:p>
        </w:tc>
        <w:tc>
          <w:tcPr>
            <w:tcW w:w="881" w:type="pct"/>
            <w:tcBorders>
              <w:top w:val="nil"/>
              <w:left w:val="nil"/>
              <w:bottom w:val="single" w:sz="4" w:space="0" w:color="auto"/>
              <w:right w:val="single" w:sz="8" w:space="0" w:color="auto"/>
            </w:tcBorders>
            <w:shd w:val="clear" w:color="000000" w:fill="FFFFFF"/>
            <w:vAlign w:val="center"/>
            <w:hideMark/>
          </w:tcPr>
          <w:p w14:paraId="3F8D9558" w14:textId="77777777" w:rsidR="005E543E" w:rsidRPr="005E543E" w:rsidRDefault="005E543E" w:rsidP="005E543E">
            <w:pPr>
              <w:widowControl/>
              <w:suppressLineNumbers w:val="0"/>
              <w:suppressAutoHyphens w:val="0"/>
              <w:ind w:firstLine="0"/>
              <w:jc w:val="right"/>
              <w:rPr>
                <w:color w:val="000000"/>
                <w:sz w:val="19"/>
                <w:szCs w:val="19"/>
              </w:rPr>
            </w:pPr>
            <w:r w:rsidRPr="005E543E">
              <w:rPr>
                <w:color w:val="000000"/>
                <w:sz w:val="19"/>
                <w:szCs w:val="19"/>
              </w:rPr>
              <w:t>71.559,63</w:t>
            </w:r>
          </w:p>
        </w:tc>
        <w:tc>
          <w:tcPr>
            <w:tcW w:w="318" w:type="pct"/>
            <w:tcBorders>
              <w:top w:val="nil"/>
              <w:left w:val="nil"/>
              <w:bottom w:val="single" w:sz="4" w:space="0" w:color="auto"/>
              <w:right w:val="single" w:sz="4" w:space="0" w:color="auto"/>
            </w:tcBorders>
            <w:shd w:val="clear" w:color="auto" w:fill="auto"/>
            <w:noWrap/>
            <w:vAlign w:val="center"/>
            <w:hideMark/>
          </w:tcPr>
          <w:p w14:paraId="35A73380"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7º</w:t>
            </w:r>
          </w:p>
        </w:tc>
        <w:tc>
          <w:tcPr>
            <w:tcW w:w="356" w:type="pct"/>
            <w:tcBorders>
              <w:top w:val="nil"/>
              <w:left w:val="nil"/>
              <w:bottom w:val="single" w:sz="4" w:space="0" w:color="auto"/>
              <w:right w:val="single" w:sz="4" w:space="0" w:color="auto"/>
            </w:tcBorders>
            <w:shd w:val="clear" w:color="000000" w:fill="FFFFFF"/>
            <w:vAlign w:val="center"/>
            <w:hideMark/>
          </w:tcPr>
          <w:p w14:paraId="6A6F89DE"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8,86%</w:t>
            </w:r>
          </w:p>
        </w:tc>
        <w:tc>
          <w:tcPr>
            <w:tcW w:w="616" w:type="pct"/>
            <w:tcBorders>
              <w:top w:val="nil"/>
              <w:left w:val="nil"/>
              <w:bottom w:val="single" w:sz="4" w:space="0" w:color="auto"/>
              <w:right w:val="single" w:sz="8" w:space="0" w:color="auto"/>
            </w:tcBorders>
            <w:shd w:val="clear" w:color="000000" w:fill="FFFFFF"/>
            <w:vAlign w:val="center"/>
            <w:hideMark/>
          </w:tcPr>
          <w:p w14:paraId="5408F7B8"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6.340,18 </w:t>
            </w:r>
          </w:p>
        </w:tc>
        <w:tc>
          <w:tcPr>
            <w:tcW w:w="318" w:type="pct"/>
            <w:tcBorders>
              <w:top w:val="nil"/>
              <w:left w:val="nil"/>
              <w:bottom w:val="single" w:sz="4" w:space="0" w:color="auto"/>
              <w:right w:val="single" w:sz="4" w:space="0" w:color="auto"/>
            </w:tcBorders>
            <w:shd w:val="clear" w:color="auto" w:fill="auto"/>
            <w:noWrap/>
            <w:vAlign w:val="center"/>
            <w:hideMark/>
          </w:tcPr>
          <w:p w14:paraId="77142129"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4º</w:t>
            </w:r>
          </w:p>
        </w:tc>
        <w:tc>
          <w:tcPr>
            <w:tcW w:w="356" w:type="pct"/>
            <w:tcBorders>
              <w:top w:val="nil"/>
              <w:left w:val="nil"/>
              <w:bottom w:val="single" w:sz="4" w:space="0" w:color="auto"/>
              <w:right w:val="single" w:sz="4" w:space="0" w:color="auto"/>
            </w:tcBorders>
            <w:shd w:val="clear" w:color="000000" w:fill="FFFFFF"/>
            <w:vAlign w:val="center"/>
            <w:hideMark/>
          </w:tcPr>
          <w:p w14:paraId="5A49217F"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9,22%</w:t>
            </w:r>
          </w:p>
        </w:tc>
        <w:tc>
          <w:tcPr>
            <w:tcW w:w="616" w:type="pct"/>
            <w:tcBorders>
              <w:top w:val="nil"/>
              <w:left w:val="nil"/>
              <w:bottom w:val="single" w:sz="4" w:space="0" w:color="auto"/>
              <w:right w:val="single" w:sz="8" w:space="0" w:color="auto"/>
            </w:tcBorders>
            <w:shd w:val="clear" w:color="000000" w:fill="FFFFFF"/>
            <w:vAlign w:val="center"/>
            <w:hideMark/>
          </w:tcPr>
          <w:p w14:paraId="4296EBDD"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6.597,80 </w:t>
            </w:r>
          </w:p>
        </w:tc>
        <w:tc>
          <w:tcPr>
            <w:tcW w:w="561" w:type="pct"/>
            <w:tcBorders>
              <w:top w:val="nil"/>
              <w:left w:val="nil"/>
              <w:bottom w:val="single" w:sz="4" w:space="0" w:color="auto"/>
              <w:right w:val="nil"/>
            </w:tcBorders>
            <w:shd w:val="clear" w:color="000000" w:fill="FFFFFF"/>
            <w:vAlign w:val="center"/>
            <w:hideMark/>
          </w:tcPr>
          <w:p w14:paraId="32E35840"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257,62 </w:t>
            </w:r>
          </w:p>
        </w:tc>
      </w:tr>
      <w:tr w:rsidR="005E543E" w:rsidRPr="005E543E" w14:paraId="5DE8795B" w14:textId="77777777" w:rsidTr="00E86FB3">
        <w:trPr>
          <w:trHeight w:val="300"/>
        </w:trPr>
        <w:tc>
          <w:tcPr>
            <w:tcW w:w="335" w:type="pct"/>
            <w:tcBorders>
              <w:top w:val="nil"/>
              <w:left w:val="nil"/>
              <w:bottom w:val="single" w:sz="4" w:space="0" w:color="auto"/>
              <w:right w:val="nil"/>
            </w:tcBorders>
            <w:shd w:val="clear" w:color="000000" w:fill="FFFFFF"/>
            <w:vAlign w:val="center"/>
            <w:hideMark/>
          </w:tcPr>
          <w:p w14:paraId="38A6C95C" w14:textId="77777777" w:rsidR="005E543E" w:rsidRPr="005E543E" w:rsidRDefault="005E543E" w:rsidP="005E543E">
            <w:pPr>
              <w:widowControl/>
              <w:suppressLineNumbers w:val="0"/>
              <w:suppressAutoHyphens w:val="0"/>
              <w:ind w:firstLine="0"/>
              <w:jc w:val="center"/>
              <w:rPr>
                <w:b/>
                <w:bCs/>
                <w:color w:val="000000"/>
                <w:sz w:val="19"/>
                <w:szCs w:val="19"/>
              </w:rPr>
            </w:pPr>
            <w:r w:rsidRPr="005E543E">
              <w:rPr>
                <w:b/>
                <w:bCs/>
                <w:color w:val="000000"/>
                <w:sz w:val="19"/>
                <w:szCs w:val="19"/>
              </w:rPr>
              <w:t>FEV</w:t>
            </w:r>
          </w:p>
        </w:tc>
        <w:tc>
          <w:tcPr>
            <w:tcW w:w="643" w:type="pct"/>
            <w:tcBorders>
              <w:top w:val="nil"/>
              <w:left w:val="single" w:sz="4" w:space="0" w:color="auto"/>
              <w:bottom w:val="single" w:sz="4" w:space="0" w:color="auto"/>
              <w:right w:val="single" w:sz="4" w:space="0" w:color="auto"/>
            </w:tcBorders>
            <w:shd w:val="clear" w:color="000000" w:fill="FFFFFF"/>
            <w:vAlign w:val="center"/>
            <w:hideMark/>
          </w:tcPr>
          <w:p w14:paraId="7187A244" w14:textId="77777777" w:rsidR="005E543E" w:rsidRPr="005E543E" w:rsidRDefault="005E543E" w:rsidP="005E543E">
            <w:pPr>
              <w:widowControl/>
              <w:suppressLineNumbers w:val="0"/>
              <w:suppressAutoHyphens w:val="0"/>
              <w:ind w:firstLine="0"/>
              <w:jc w:val="right"/>
              <w:rPr>
                <w:color w:val="000000"/>
                <w:sz w:val="19"/>
                <w:szCs w:val="19"/>
              </w:rPr>
            </w:pPr>
            <w:r w:rsidRPr="005E543E">
              <w:rPr>
                <w:color w:val="000000"/>
                <w:sz w:val="19"/>
                <w:szCs w:val="19"/>
              </w:rPr>
              <w:t>1.147.920,00</w:t>
            </w:r>
          </w:p>
        </w:tc>
        <w:tc>
          <w:tcPr>
            <w:tcW w:w="881" w:type="pct"/>
            <w:tcBorders>
              <w:top w:val="nil"/>
              <w:left w:val="nil"/>
              <w:bottom w:val="single" w:sz="4" w:space="0" w:color="auto"/>
              <w:right w:val="single" w:sz="8" w:space="0" w:color="auto"/>
            </w:tcBorders>
            <w:shd w:val="clear" w:color="000000" w:fill="FFFFFF"/>
            <w:vAlign w:val="center"/>
            <w:hideMark/>
          </w:tcPr>
          <w:p w14:paraId="7B68EE5B" w14:textId="77777777" w:rsidR="005E543E" w:rsidRPr="005E543E" w:rsidRDefault="005E543E" w:rsidP="005E543E">
            <w:pPr>
              <w:widowControl/>
              <w:suppressLineNumbers w:val="0"/>
              <w:suppressAutoHyphens w:val="0"/>
              <w:ind w:firstLine="0"/>
              <w:jc w:val="right"/>
              <w:rPr>
                <w:color w:val="000000"/>
                <w:sz w:val="19"/>
                <w:szCs w:val="19"/>
              </w:rPr>
            </w:pPr>
            <w:r w:rsidRPr="005E543E">
              <w:rPr>
                <w:color w:val="000000"/>
                <w:sz w:val="19"/>
                <w:szCs w:val="19"/>
              </w:rPr>
              <w:t>65.069,15</w:t>
            </w:r>
          </w:p>
        </w:tc>
        <w:tc>
          <w:tcPr>
            <w:tcW w:w="318" w:type="pct"/>
            <w:tcBorders>
              <w:top w:val="nil"/>
              <w:left w:val="nil"/>
              <w:bottom w:val="single" w:sz="4" w:space="0" w:color="auto"/>
              <w:right w:val="single" w:sz="4" w:space="0" w:color="auto"/>
            </w:tcBorders>
            <w:shd w:val="clear" w:color="auto" w:fill="auto"/>
            <w:noWrap/>
            <w:vAlign w:val="center"/>
            <w:hideMark/>
          </w:tcPr>
          <w:p w14:paraId="038D0961"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7º</w:t>
            </w:r>
          </w:p>
        </w:tc>
        <w:tc>
          <w:tcPr>
            <w:tcW w:w="356" w:type="pct"/>
            <w:tcBorders>
              <w:top w:val="nil"/>
              <w:left w:val="nil"/>
              <w:bottom w:val="single" w:sz="4" w:space="0" w:color="auto"/>
              <w:right w:val="single" w:sz="4" w:space="0" w:color="auto"/>
            </w:tcBorders>
            <w:shd w:val="clear" w:color="000000" w:fill="FFFFFF"/>
            <w:vAlign w:val="center"/>
            <w:hideMark/>
          </w:tcPr>
          <w:p w14:paraId="54AD8C81"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8,86%</w:t>
            </w:r>
          </w:p>
        </w:tc>
        <w:tc>
          <w:tcPr>
            <w:tcW w:w="616" w:type="pct"/>
            <w:tcBorders>
              <w:top w:val="nil"/>
              <w:left w:val="nil"/>
              <w:bottom w:val="single" w:sz="4" w:space="0" w:color="auto"/>
              <w:right w:val="single" w:sz="8" w:space="0" w:color="auto"/>
            </w:tcBorders>
            <w:shd w:val="clear" w:color="000000" w:fill="FFFFFF"/>
            <w:vAlign w:val="center"/>
            <w:hideMark/>
          </w:tcPr>
          <w:p w14:paraId="20F40888"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5.765,13 </w:t>
            </w:r>
          </w:p>
        </w:tc>
        <w:tc>
          <w:tcPr>
            <w:tcW w:w="318" w:type="pct"/>
            <w:tcBorders>
              <w:top w:val="nil"/>
              <w:left w:val="nil"/>
              <w:bottom w:val="single" w:sz="4" w:space="0" w:color="auto"/>
              <w:right w:val="single" w:sz="4" w:space="0" w:color="auto"/>
            </w:tcBorders>
            <w:shd w:val="clear" w:color="auto" w:fill="auto"/>
            <w:noWrap/>
            <w:vAlign w:val="center"/>
            <w:hideMark/>
          </w:tcPr>
          <w:p w14:paraId="4CF810D0"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4º</w:t>
            </w:r>
          </w:p>
        </w:tc>
        <w:tc>
          <w:tcPr>
            <w:tcW w:w="356" w:type="pct"/>
            <w:tcBorders>
              <w:top w:val="nil"/>
              <w:left w:val="nil"/>
              <w:bottom w:val="single" w:sz="4" w:space="0" w:color="auto"/>
              <w:right w:val="single" w:sz="4" w:space="0" w:color="auto"/>
            </w:tcBorders>
            <w:shd w:val="clear" w:color="000000" w:fill="FFFFFF"/>
            <w:vAlign w:val="center"/>
            <w:hideMark/>
          </w:tcPr>
          <w:p w14:paraId="63A9D95F"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9,18%</w:t>
            </w:r>
          </w:p>
        </w:tc>
        <w:tc>
          <w:tcPr>
            <w:tcW w:w="616" w:type="pct"/>
            <w:tcBorders>
              <w:top w:val="nil"/>
              <w:left w:val="nil"/>
              <w:bottom w:val="single" w:sz="4" w:space="0" w:color="auto"/>
              <w:right w:val="single" w:sz="8" w:space="0" w:color="auto"/>
            </w:tcBorders>
            <w:shd w:val="clear" w:color="000000" w:fill="FFFFFF"/>
            <w:vAlign w:val="center"/>
            <w:hideMark/>
          </w:tcPr>
          <w:p w14:paraId="0604FB3D"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5.973,35 </w:t>
            </w:r>
          </w:p>
        </w:tc>
        <w:tc>
          <w:tcPr>
            <w:tcW w:w="561" w:type="pct"/>
            <w:tcBorders>
              <w:top w:val="nil"/>
              <w:left w:val="nil"/>
              <w:bottom w:val="single" w:sz="4" w:space="0" w:color="auto"/>
              <w:right w:val="nil"/>
            </w:tcBorders>
            <w:shd w:val="clear" w:color="000000" w:fill="FFFFFF"/>
            <w:vAlign w:val="center"/>
            <w:hideMark/>
          </w:tcPr>
          <w:p w14:paraId="082711F4"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208,22 </w:t>
            </w:r>
          </w:p>
        </w:tc>
      </w:tr>
      <w:tr w:rsidR="005E543E" w:rsidRPr="005E543E" w14:paraId="4D76F796" w14:textId="77777777" w:rsidTr="00E86FB3">
        <w:trPr>
          <w:trHeight w:val="300"/>
        </w:trPr>
        <w:tc>
          <w:tcPr>
            <w:tcW w:w="335" w:type="pct"/>
            <w:tcBorders>
              <w:top w:val="nil"/>
              <w:left w:val="nil"/>
              <w:bottom w:val="single" w:sz="4" w:space="0" w:color="auto"/>
              <w:right w:val="nil"/>
            </w:tcBorders>
            <w:shd w:val="clear" w:color="000000" w:fill="FFFFFF"/>
            <w:vAlign w:val="center"/>
            <w:hideMark/>
          </w:tcPr>
          <w:p w14:paraId="3A848F58" w14:textId="77777777" w:rsidR="005E543E" w:rsidRPr="005E543E" w:rsidRDefault="005E543E" w:rsidP="005E543E">
            <w:pPr>
              <w:widowControl/>
              <w:suppressLineNumbers w:val="0"/>
              <w:suppressAutoHyphens w:val="0"/>
              <w:ind w:firstLine="0"/>
              <w:jc w:val="center"/>
              <w:rPr>
                <w:b/>
                <w:bCs/>
                <w:color w:val="000000"/>
                <w:sz w:val="19"/>
                <w:szCs w:val="19"/>
              </w:rPr>
            </w:pPr>
            <w:r w:rsidRPr="005E543E">
              <w:rPr>
                <w:b/>
                <w:bCs/>
                <w:color w:val="000000"/>
                <w:sz w:val="19"/>
                <w:szCs w:val="19"/>
              </w:rPr>
              <w:t>MAR</w:t>
            </w:r>
          </w:p>
        </w:tc>
        <w:tc>
          <w:tcPr>
            <w:tcW w:w="643" w:type="pct"/>
            <w:tcBorders>
              <w:top w:val="nil"/>
              <w:left w:val="single" w:sz="4" w:space="0" w:color="auto"/>
              <w:bottom w:val="single" w:sz="4" w:space="0" w:color="auto"/>
              <w:right w:val="single" w:sz="4" w:space="0" w:color="auto"/>
            </w:tcBorders>
            <w:shd w:val="clear" w:color="000000" w:fill="FFFFFF"/>
            <w:vAlign w:val="center"/>
            <w:hideMark/>
          </w:tcPr>
          <w:p w14:paraId="0A7C0368" w14:textId="77777777" w:rsidR="005E543E" w:rsidRPr="005E543E" w:rsidRDefault="005E543E" w:rsidP="005E543E">
            <w:pPr>
              <w:widowControl/>
              <w:suppressLineNumbers w:val="0"/>
              <w:suppressAutoHyphens w:val="0"/>
              <w:ind w:firstLine="0"/>
              <w:jc w:val="right"/>
              <w:rPr>
                <w:color w:val="000000"/>
                <w:sz w:val="19"/>
                <w:szCs w:val="19"/>
              </w:rPr>
            </w:pPr>
            <w:r w:rsidRPr="005E543E">
              <w:rPr>
                <w:color w:val="000000"/>
                <w:sz w:val="19"/>
                <w:szCs w:val="19"/>
              </w:rPr>
              <w:t>1.141.429,52</w:t>
            </w:r>
          </w:p>
        </w:tc>
        <w:tc>
          <w:tcPr>
            <w:tcW w:w="881" w:type="pct"/>
            <w:tcBorders>
              <w:top w:val="nil"/>
              <w:left w:val="nil"/>
              <w:bottom w:val="single" w:sz="4" w:space="0" w:color="auto"/>
              <w:right w:val="single" w:sz="8" w:space="0" w:color="auto"/>
            </w:tcBorders>
            <w:shd w:val="clear" w:color="000000" w:fill="FFFFFF"/>
            <w:vAlign w:val="center"/>
            <w:hideMark/>
          </w:tcPr>
          <w:p w14:paraId="529B577D" w14:textId="77777777" w:rsidR="005E543E" w:rsidRPr="005E543E" w:rsidRDefault="005E543E" w:rsidP="005E543E">
            <w:pPr>
              <w:widowControl/>
              <w:suppressLineNumbers w:val="0"/>
              <w:suppressAutoHyphens w:val="0"/>
              <w:ind w:firstLine="0"/>
              <w:jc w:val="right"/>
              <w:rPr>
                <w:color w:val="000000"/>
                <w:sz w:val="19"/>
                <w:szCs w:val="19"/>
              </w:rPr>
            </w:pPr>
            <w:r w:rsidRPr="005E543E">
              <w:rPr>
                <w:color w:val="000000"/>
                <w:sz w:val="19"/>
                <w:szCs w:val="19"/>
              </w:rPr>
              <w:t>80.351,30</w:t>
            </w:r>
          </w:p>
        </w:tc>
        <w:tc>
          <w:tcPr>
            <w:tcW w:w="318" w:type="pct"/>
            <w:tcBorders>
              <w:top w:val="nil"/>
              <w:left w:val="nil"/>
              <w:bottom w:val="single" w:sz="4" w:space="0" w:color="auto"/>
              <w:right w:val="single" w:sz="4" w:space="0" w:color="auto"/>
            </w:tcBorders>
            <w:shd w:val="clear" w:color="auto" w:fill="auto"/>
            <w:noWrap/>
            <w:vAlign w:val="center"/>
            <w:hideMark/>
          </w:tcPr>
          <w:p w14:paraId="2C7844C8"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7º</w:t>
            </w:r>
          </w:p>
        </w:tc>
        <w:tc>
          <w:tcPr>
            <w:tcW w:w="356" w:type="pct"/>
            <w:tcBorders>
              <w:top w:val="nil"/>
              <w:left w:val="nil"/>
              <w:bottom w:val="single" w:sz="4" w:space="0" w:color="auto"/>
              <w:right w:val="single" w:sz="4" w:space="0" w:color="auto"/>
            </w:tcBorders>
            <w:shd w:val="clear" w:color="000000" w:fill="FFFFFF"/>
            <w:vAlign w:val="center"/>
            <w:hideMark/>
          </w:tcPr>
          <w:p w14:paraId="1CF3757D"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8,86%</w:t>
            </w:r>
          </w:p>
        </w:tc>
        <w:tc>
          <w:tcPr>
            <w:tcW w:w="616" w:type="pct"/>
            <w:tcBorders>
              <w:top w:val="nil"/>
              <w:left w:val="nil"/>
              <w:bottom w:val="single" w:sz="4" w:space="0" w:color="auto"/>
              <w:right w:val="single" w:sz="8" w:space="0" w:color="auto"/>
            </w:tcBorders>
            <w:shd w:val="clear" w:color="000000" w:fill="FFFFFF"/>
            <w:vAlign w:val="center"/>
            <w:hideMark/>
          </w:tcPr>
          <w:p w14:paraId="42EF052A"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7.119,13 </w:t>
            </w:r>
          </w:p>
        </w:tc>
        <w:tc>
          <w:tcPr>
            <w:tcW w:w="318" w:type="pct"/>
            <w:tcBorders>
              <w:top w:val="nil"/>
              <w:left w:val="nil"/>
              <w:bottom w:val="single" w:sz="4" w:space="0" w:color="auto"/>
              <w:right w:val="single" w:sz="4" w:space="0" w:color="auto"/>
            </w:tcBorders>
            <w:shd w:val="clear" w:color="auto" w:fill="auto"/>
            <w:noWrap/>
            <w:vAlign w:val="center"/>
            <w:hideMark/>
          </w:tcPr>
          <w:p w14:paraId="66A60468"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4º</w:t>
            </w:r>
          </w:p>
        </w:tc>
        <w:tc>
          <w:tcPr>
            <w:tcW w:w="356" w:type="pct"/>
            <w:tcBorders>
              <w:top w:val="nil"/>
              <w:left w:val="nil"/>
              <w:bottom w:val="single" w:sz="4" w:space="0" w:color="auto"/>
              <w:right w:val="single" w:sz="4" w:space="0" w:color="auto"/>
            </w:tcBorders>
            <w:shd w:val="clear" w:color="000000" w:fill="FFFFFF"/>
            <w:vAlign w:val="center"/>
            <w:hideMark/>
          </w:tcPr>
          <w:p w14:paraId="0A03F60E"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9,21%</w:t>
            </w:r>
          </w:p>
        </w:tc>
        <w:tc>
          <w:tcPr>
            <w:tcW w:w="616" w:type="pct"/>
            <w:tcBorders>
              <w:top w:val="nil"/>
              <w:left w:val="nil"/>
              <w:bottom w:val="single" w:sz="4" w:space="0" w:color="auto"/>
              <w:right w:val="single" w:sz="8" w:space="0" w:color="auto"/>
            </w:tcBorders>
            <w:shd w:val="clear" w:color="000000" w:fill="FFFFFF"/>
            <w:vAlign w:val="center"/>
            <w:hideMark/>
          </w:tcPr>
          <w:p w14:paraId="55033C9E"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7.400,35 </w:t>
            </w:r>
          </w:p>
        </w:tc>
        <w:tc>
          <w:tcPr>
            <w:tcW w:w="561" w:type="pct"/>
            <w:tcBorders>
              <w:top w:val="nil"/>
              <w:left w:val="nil"/>
              <w:bottom w:val="single" w:sz="4" w:space="0" w:color="auto"/>
              <w:right w:val="nil"/>
            </w:tcBorders>
            <w:shd w:val="clear" w:color="000000" w:fill="FFFFFF"/>
            <w:vAlign w:val="center"/>
            <w:hideMark/>
          </w:tcPr>
          <w:p w14:paraId="783968D0"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281,22 </w:t>
            </w:r>
          </w:p>
        </w:tc>
      </w:tr>
      <w:tr w:rsidR="005E543E" w:rsidRPr="005E543E" w14:paraId="7B5CDFBD" w14:textId="77777777" w:rsidTr="00E86FB3">
        <w:trPr>
          <w:trHeight w:val="300"/>
        </w:trPr>
        <w:tc>
          <w:tcPr>
            <w:tcW w:w="335" w:type="pct"/>
            <w:tcBorders>
              <w:top w:val="nil"/>
              <w:left w:val="nil"/>
              <w:bottom w:val="single" w:sz="4" w:space="0" w:color="auto"/>
              <w:right w:val="nil"/>
            </w:tcBorders>
            <w:shd w:val="clear" w:color="000000" w:fill="FFFFFF"/>
            <w:vAlign w:val="center"/>
            <w:hideMark/>
          </w:tcPr>
          <w:p w14:paraId="6805116D" w14:textId="77777777" w:rsidR="005E543E" w:rsidRPr="005E543E" w:rsidRDefault="005E543E" w:rsidP="005E543E">
            <w:pPr>
              <w:widowControl/>
              <w:suppressLineNumbers w:val="0"/>
              <w:suppressAutoHyphens w:val="0"/>
              <w:ind w:firstLine="0"/>
              <w:jc w:val="center"/>
              <w:rPr>
                <w:b/>
                <w:bCs/>
                <w:color w:val="000000"/>
                <w:sz w:val="19"/>
                <w:szCs w:val="19"/>
              </w:rPr>
            </w:pPr>
            <w:r w:rsidRPr="005E543E">
              <w:rPr>
                <w:b/>
                <w:bCs/>
                <w:color w:val="000000"/>
                <w:sz w:val="19"/>
                <w:szCs w:val="19"/>
              </w:rPr>
              <w:t>ABR</w:t>
            </w:r>
          </w:p>
        </w:tc>
        <w:tc>
          <w:tcPr>
            <w:tcW w:w="643" w:type="pct"/>
            <w:tcBorders>
              <w:top w:val="nil"/>
              <w:left w:val="single" w:sz="4" w:space="0" w:color="auto"/>
              <w:bottom w:val="single" w:sz="4" w:space="0" w:color="auto"/>
              <w:right w:val="single" w:sz="4" w:space="0" w:color="auto"/>
            </w:tcBorders>
            <w:shd w:val="clear" w:color="000000" w:fill="FFFFFF"/>
            <w:vAlign w:val="center"/>
            <w:hideMark/>
          </w:tcPr>
          <w:p w14:paraId="257A7DEE" w14:textId="77777777" w:rsidR="005E543E" w:rsidRPr="005E543E" w:rsidRDefault="005E543E" w:rsidP="005E543E">
            <w:pPr>
              <w:widowControl/>
              <w:suppressLineNumbers w:val="0"/>
              <w:suppressAutoHyphens w:val="0"/>
              <w:ind w:firstLine="0"/>
              <w:jc w:val="right"/>
              <w:rPr>
                <w:color w:val="000000"/>
                <w:sz w:val="19"/>
                <w:szCs w:val="19"/>
              </w:rPr>
            </w:pPr>
            <w:r w:rsidRPr="005E543E">
              <w:rPr>
                <w:color w:val="000000"/>
                <w:sz w:val="19"/>
                <w:szCs w:val="19"/>
              </w:rPr>
              <w:t>1.156.711,67</w:t>
            </w:r>
          </w:p>
        </w:tc>
        <w:tc>
          <w:tcPr>
            <w:tcW w:w="881" w:type="pct"/>
            <w:tcBorders>
              <w:top w:val="nil"/>
              <w:left w:val="nil"/>
              <w:bottom w:val="single" w:sz="4" w:space="0" w:color="auto"/>
              <w:right w:val="single" w:sz="8" w:space="0" w:color="auto"/>
            </w:tcBorders>
            <w:shd w:val="clear" w:color="000000" w:fill="FFFFFF"/>
            <w:vAlign w:val="center"/>
            <w:hideMark/>
          </w:tcPr>
          <w:p w14:paraId="673DEC8C" w14:textId="77777777" w:rsidR="005E543E" w:rsidRPr="005E543E" w:rsidRDefault="005E543E" w:rsidP="005E543E">
            <w:pPr>
              <w:widowControl/>
              <w:suppressLineNumbers w:val="0"/>
              <w:suppressAutoHyphens w:val="0"/>
              <w:ind w:firstLine="0"/>
              <w:jc w:val="right"/>
              <w:rPr>
                <w:color w:val="000000"/>
                <w:sz w:val="19"/>
                <w:szCs w:val="19"/>
              </w:rPr>
            </w:pPr>
            <w:r w:rsidRPr="005E543E">
              <w:rPr>
                <w:color w:val="000000"/>
                <w:sz w:val="19"/>
                <w:szCs w:val="19"/>
              </w:rPr>
              <w:t>74.464,42</w:t>
            </w:r>
          </w:p>
        </w:tc>
        <w:tc>
          <w:tcPr>
            <w:tcW w:w="318" w:type="pct"/>
            <w:tcBorders>
              <w:top w:val="nil"/>
              <w:left w:val="nil"/>
              <w:bottom w:val="single" w:sz="4" w:space="0" w:color="auto"/>
              <w:right w:val="single" w:sz="4" w:space="0" w:color="auto"/>
            </w:tcBorders>
            <w:shd w:val="clear" w:color="auto" w:fill="auto"/>
            <w:noWrap/>
            <w:vAlign w:val="center"/>
            <w:hideMark/>
          </w:tcPr>
          <w:p w14:paraId="4DA8B5F0"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7º</w:t>
            </w:r>
          </w:p>
        </w:tc>
        <w:tc>
          <w:tcPr>
            <w:tcW w:w="356" w:type="pct"/>
            <w:tcBorders>
              <w:top w:val="nil"/>
              <w:left w:val="nil"/>
              <w:bottom w:val="single" w:sz="4" w:space="0" w:color="auto"/>
              <w:right w:val="single" w:sz="4" w:space="0" w:color="auto"/>
            </w:tcBorders>
            <w:shd w:val="clear" w:color="000000" w:fill="FFFFFF"/>
            <w:vAlign w:val="center"/>
            <w:hideMark/>
          </w:tcPr>
          <w:p w14:paraId="5C58946C"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8,86%</w:t>
            </w:r>
          </w:p>
        </w:tc>
        <w:tc>
          <w:tcPr>
            <w:tcW w:w="616" w:type="pct"/>
            <w:tcBorders>
              <w:top w:val="nil"/>
              <w:left w:val="nil"/>
              <w:bottom w:val="single" w:sz="4" w:space="0" w:color="auto"/>
              <w:right w:val="single" w:sz="8" w:space="0" w:color="auto"/>
            </w:tcBorders>
            <w:shd w:val="clear" w:color="000000" w:fill="FFFFFF"/>
            <w:vAlign w:val="center"/>
            <w:hideMark/>
          </w:tcPr>
          <w:p w14:paraId="4D42E413"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6.597,55 </w:t>
            </w:r>
          </w:p>
        </w:tc>
        <w:tc>
          <w:tcPr>
            <w:tcW w:w="318" w:type="pct"/>
            <w:tcBorders>
              <w:top w:val="nil"/>
              <w:left w:val="nil"/>
              <w:bottom w:val="single" w:sz="4" w:space="0" w:color="auto"/>
              <w:right w:val="single" w:sz="4" w:space="0" w:color="auto"/>
            </w:tcBorders>
            <w:shd w:val="clear" w:color="auto" w:fill="auto"/>
            <w:noWrap/>
            <w:vAlign w:val="center"/>
            <w:hideMark/>
          </w:tcPr>
          <w:p w14:paraId="1A349BE0"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4º</w:t>
            </w:r>
          </w:p>
        </w:tc>
        <w:tc>
          <w:tcPr>
            <w:tcW w:w="356" w:type="pct"/>
            <w:tcBorders>
              <w:top w:val="nil"/>
              <w:left w:val="nil"/>
              <w:bottom w:val="single" w:sz="4" w:space="0" w:color="auto"/>
              <w:right w:val="single" w:sz="4" w:space="0" w:color="auto"/>
            </w:tcBorders>
            <w:shd w:val="clear" w:color="000000" w:fill="FFFFFF"/>
            <w:vAlign w:val="center"/>
            <w:hideMark/>
          </w:tcPr>
          <w:p w14:paraId="6F4C9439"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9,34%</w:t>
            </w:r>
          </w:p>
        </w:tc>
        <w:tc>
          <w:tcPr>
            <w:tcW w:w="616" w:type="pct"/>
            <w:tcBorders>
              <w:top w:val="nil"/>
              <w:left w:val="nil"/>
              <w:bottom w:val="single" w:sz="4" w:space="0" w:color="auto"/>
              <w:right w:val="single" w:sz="8" w:space="0" w:color="auto"/>
            </w:tcBorders>
            <w:shd w:val="clear" w:color="000000" w:fill="FFFFFF"/>
            <w:vAlign w:val="center"/>
            <w:hideMark/>
          </w:tcPr>
          <w:p w14:paraId="67DF4338"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6.954,98 </w:t>
            </w:r>
          </w:p>
        </w:tc>
        <w:tc>
          <w:tcPr>
            <w:tcW w:w="561" w:type="pct"/>
            <w:tcBorders>
              <w:top w:val="nil"/>
              <w:left w:val="nil"/>
              <w:bottom w:val="single" w:sz="4" w:space="0" w:color="auto"/>
              <w:right w:val="nil"/>
            </w:tcBorders>
            <w:shd w:val="clear" w:color="000000" w:fill="FFFFFF"/>
            <w:vAlign w:val="center"/>
            <w:hideMark/>
          </w:tcPr>
          <w:p w14:paraId="7B22A690"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357,43 </w:t>
            </w:r>
          </w:p>
        </w:tc>
      </w:tr>
      <w:tr w:rsidR="005E543E" w:rsidRPr="005E543E" w14:paraId="76DA0411" w14:textId="77777777" w:rsidTr="00E86FB3">
        <w:trPr>
          <w:trHeight w:val="300"/>
        </w:trPr>
        <w:tc>
          <w:tcPr>
            <w:tcW w:w="335" w:type="pct"/>
            <w:tcBorders>
              <w:top w:val="nil"/>
              <w:left w:val="nil"/>
              <w:bottom w:val="single" w:sz="4" w:space="0" w:color="auto"/>
              <w:right w:val="nil"/>
            </w:tcBorders>
            <w:shd w:val="clear" w:color="000000" w:fill="FFFFFF"/>
            <w:vAlign w:val="center"/>
            <w:hideMark/>
          </w:tcPr>
          <w:p w14:paraId="35005890" w14:textId="77777777" w:rsidR="005E543E" w:rsidRPr="005E543E" w:rsidRDefault="005E543E" w:rsidP="005E543E">
            <w:pPr>
              <w:widowControl/>
              <w:suppressLineNumbers w:val="0"/>
              <w:suppressAutoHyphens w:val="0"/>
              <w:ind w:firstLine="0"/>
              <w:jc w:val="center"/>
              <w:rPr>
                <w:b/>
                <w:bCs/>
                <w:color w:val="000000"/>
                <w:sz w:val="19"/>
                <w:szCs w:val="19"/>
              </w:rPr>
            </w:pPr>
            <w:r w:rsidRPr="005E543E">
              <w:rPr>
                <w:b/>
                <w:bCs/>
                <w:color w:val="000000"/>
                <w:sz w:val="19"/>
                <w:szCs w:val="19"/>
              </w:rPr>
              <w:t>MAI</w:t>
            </w:r>
          </w:p>
        </w:tc>
        <w:tc>
          <w:tcPr>
            <w:tcW w:w="643" w:type="pct"/>
            <w:tcBorders>
              <w:top w:val="nil"/>
              <w:left w:val="single" w:sz="4" w:space="0" w:color="auto"/>
              <w:bottom w:val="single" w:sz="4" w:space="0" w:color="auto"/>
              <w:right w:val="single" w:sz="4" w:space="0" w:color="auto"/>
            </w:tcBorders>
            <w:shd w:val="clear" w:color="000000" w:fill="FFFFFF"/>
            <w:vAlign w:val="center"/>
            <w:hideMark/>
          </w:tcPr>
          <w:p w14:paraId="69524C60" w14:textId="77777777" w:rsidR="005E543E" w:rsidRPr="005E543E" w:rsidRDefault="005E543E" w:rsidP="005E543E">
            <w:pPr>
              <w:widowControl/>
              <w:suppressLineNumbers w:val="0"/>
              <w:suppressAutoHyphens w:val="0"/>
              <w:ind w:firstLine="0"/>
              <w:jc w:val="right"/>
              <w:rPr>
                <w:color w:val="000000"/>
                <w:sz w:val="19"/>
                <w:szCs w:val="19"/>
              </w:rPr>
            </w:pPr>
            <w:r w:rsidRPr="005E543E">
              <w:rPr>
                <w:color w:val="000000"/>
                <w:sz w:val="19"/>
                <w:szCs w:val="19"/>
              </w:rPr>
              <w:t>1.150.824,79</w:t>
            </w:r>
          </w:p>
        </w:tc>
        <w:tc>
          <w:tcPr>
            <w:tcW w:w="881" w:type="pct"/>
            <w:tcBorders>
              <w:top w:val="nil"/>
              <w:left w:val="nil"/>
              <w:bottom w:val="single" w:sz="4" w:space="0" w:color="auto"/>
              <w:right w:val="single" w:sz="8" w:space="0" w:color="auto"/>
            </w:tcBorders>
            <w:shd w:val="clear" w:color="000000" w:fill="FFFFFF"/>
            <w:vAlign w:val="center"/>
            <w:hideMark/>
          </w:tcPr>
          <w:p w14:paraId="1548E455" w14:textId="77777777" w:rsidR="005E543E" w:rsidRPr="005E543E" w:rsidRDefault="005E543E" w:rsidP="005E543E">
            <w:pPr>
              <w:widowControl/>
              <w:suppressLineNumbers w:val="0"/>
              <w:suppressAutoHyphens w:val="0"/>
              <w:ind w:firstLine="0"/>
              <w:jc w:val="right"/>
              <w:rPr>
                <w:color w:val="000000"/>
                <w:sz w:val="19"/>
                <w:szCs w:val="19"/>
              </w:rPr>
            </w:pPr>
            <w:r w:rsidRPr="005E543E">
              <w:rPr>
                <w:color w:val="000000"/>
                <w:sz w:val="19"/>
                <w:szCs w:val="19"/>
              </w:rPr>
              <w:t>97.194,60</w:t>
            </w:r>
          </w:p>
        </w:tc>
        <w:tc>
          <w:tcPr>
            <w:tcW w:w="318" w:type="pct"/>
            <w:tcBorders>
              <w:top w:val="nil"/>
              <w:left w:val="nil"/>
              <w:bottom w:val="single" w:sz="4" w:space="0" w:color="auto"/>
              <w:right w:val="single" w:sz="4" w:space="0" w:color="auto"/>
            </w:tcBorders>
            <w:shd w:val="clear" w:color="auto" w:fill="auto"/>
            <w:noWrap/>
            <w:vAlign w:val="center"/>
            <w:hideMark/>
          </w:tcPr>
          <w:p w14:paraId="286C421C"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7º</w:t>
            </w:r>
          </w:p>
        </w:tc>
        <w:tc>
          <w:tcPr>
            <w:tcW w:w="356" w:type="pct"/>
            <w:tcBorders>
              <w:top w:val="nil"/>
              <w:left w:val="nil"/>
              <w:bottom w:val="single" w:sz="4" w:space="0" w:color="auto"/>
              <w:right w:val="single" w:sz="4" w:space="0" w:color="auto"/>
            </w:tcBorders>
            <w:shd w:val="clear" w:color="000000" w:fill="FFFFFF"/>
            <w:vAlign w:val="center"/>
            <w:hideMark/>
          </w:tcPr>
          <w:p w14:paraId="5C30EC9C"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8,86%</w:t>
            </w:r>
          </w:p>
        </w:tc>
        <w:tc>
          <w:tcPr>
            <w:tcW w:w="616" w:type="pct"/>
            <w:tcBorders>
              <w:top w:val="nil"/>
              <w:left w:val="nil"/>
              <w:bottom w:val="single" w:sz="4" w:space="0" w:color="auto"/>
              <w:right w:val="single" w:sz="8" w:space="0" w:color="auto"/>
            </w:tcBorders>
            <w:shd w:val="clear" w:color="000000" w:fill="FFFFFF"/>
            <w:vAlign w:val="center"/>
            <w:hideMark/>
          </w:tcPr>
          <w:p w14:paraId="5BF1FE9A"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8.611,44 </w:t>
            </w:r>
          </w:p>
        </w:tc>
        <w:tc>
          <w:tcPr>
            <w:tcW w:w="318" w:type="pct"/>
            <w:tcBorders>
              <w:top w:val="nil"/>
              <w:left w:val="nil"/>
              <w:bottom w:val="single" w:sz="4" w:space="0" w:color="auto"/>
              <w:right w:val="single" w:sz="4" w:space="0" w:color="auto"/>
            </w:tcBorders>
            <w:shd w:val="clear" w:color="auto" w:fill="auto"/>
            <w:noWrap/>
            <w:vAlign w:val="center"/>
            <w:hideMark/>
          </w:tcPr>
          <w:p w14:paraId="6DC1434B"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4º</w:t>
            </w:r>
          </w:p>
        </w:tc>
        <w:tc>
          <w:tcPr>
            <w:tcW w:w="356" w:type="pct"/>
            <w:tcBorders>
              <w:top w:val="nil"/>
              <w:left w:val="nil"/>
              <w:bottom w:val="single" w:sz="4" w:space="0" w:color="auto"/>
              <w:right w:val="single" w:sz="4" w:space="0" w:color="auto"/>
            </w:tcBorders>
            <w:shd w:val="clear" w:color="000000" w:fill="FFFFFF"/>
            <w:vAlign w:val="center"/>
            <w:hideMark/>
          </w:tcPr>
          <w:p w14:paraId="2A3F7CEC"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9,25%</w:t>
            </w:r>
          </w:p>
        </w:tc>
        <w:tc>
          <w:tcPr>
            <w:tcW w:w="616" w:type="pct"/>
            <w:tcBorders>
              <w:top w:val="nil"/>
              <w:left w:val="nil"/>
              <w:bottom w:val="single" w:sz="4" w:space="0" w:color="auto"/>
              <w:right w:val="single" w:sz="8" w:space="0" w:color="auto"/>
            </w:tcBorders>
            <w:shd w:val="clear" w:color="000000" w:fill="FFFFFF"/>
            <w:vAlign w:val="center"/>
            <w:hideMark/>
          </w:tcPr>
          <w:p w14:paraId="60A83A21"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8.990,50 </w:t>
            </w:r>
          </w:p>
        </w:tc>
        <w:tc>
          <w:tcPr>
            <w:tcW w:w="561" w:type="pct"/>
            <w:tcBorders>
              <w:top w:val="nil"/>
              <w:left w:val="nil"/>
              <w:bottom w:val="single" w:sz="4" w:space="0" w:color="auto"/>
              <w:right w:val="nil"/>
            </w:tcBorders>
            <w:shd w:val="clear" w:color="000000" w:fill="FFFFFF"/>
            <w:vAlign w:val="center"/>
            <w:hideMark/>
          </w:tcPr>
          <w:p w14:paraId="30CB005F"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379,06 </w:t>
            </w:r>
          </w:p>
        </w:tc>
      </w:tr>
      <w:tr w:rsidR="005E543E" w:rsidRPr="005E543E" w14:paraId="7C7F8DD0" w14:textId="77777777" w:rsidTr="00E86FB3">
        <w:trPr>
          <w:trHeight w:val="300"/>
        </w:trPr>
        <w:tc>
          <w:tcPr>
            <w:tcW w:w="335" w:type="pct"/>
            <w:tcBorders>
              <w:top w:val="nil"/>
              <w:left w:val="nil"/>
              <w:bottom w:val="single" w:sz="4" w:space="0" w:color="auto"/>
              <w:right w:val="nil"/>
            </w:tcBorders>
            <w:shd w:val="clear" w:color="000000" w:fill="FFFFFF"/>
            <w:vAlign w:val="center"/>
            <w:hideMark/>
          </w:tcPr>
          <w:p w14:paraId="24DAEBED" w14:textId="77777777" w:rsidR="005E543E" w:rsidRPr="005E543E" w:rsidRDefault="005E543E" w:rsidP="005E543E">
            <w:pPr>
              <w:widowControl/>
              <w:suppressLineNumbers w:val="0"/>
              <w:suppressAutoHyphens w:val="0"/>
              <w:ind w:firstLine="0"/>
              <w:jc w:val="center"/>
              <w:rPr>
                <w:b/>
                <w:bCs/>
                <w:color w:val="000000"/>
                <w:sz w:val="19"/>
                <w:szCs w:val="19"/>
              </w:rPr>
            </w:pPr>
            <w:r w:rsidRPr="005E543E">
              <w:rPr>
                <w:b/>
                <w:bCs/>
                <w:color w:val="000000"/>
                <w:sz w:val="19"/>
                <w:szCs w:val="19"/>
              </w:rPr>
              <w:t>JUN</w:t>
            </w:r>
          </w:p>
        </w:tc>
        <w:tc>
          <w:tcPr>
            <w:tcW w:w="643" w:type="pct"/>
            <w:tcBorders>
              <w:top w:val="nil"/>
              <w:left w:val="single" w:sz="4" w:space="0" w:color="auto"/>
              <w:bottom w:val="single" w:sz="4" w:space="0" w:color="auto"/>
              <w:right w:val="single" w:sz="4" w:space="0" w:color="auto"/>
            </w:tcBorders>
            <w:shd w:val="clear" w:color="000000" w:fill="FFFFFF"/>
            <w:vAlign w:val="center"/>
            <w:hideMark/>
          </w:tcPr>
          <w:p w14:paraId="7D999E5D" w14:textId="77777777" w:rsidR="005E543E" w:rsidRPr="005E543E" w:rsidRDefault="005E543E" w:rsidP="005E543E">
            <w:pPr>
              <w:widowControl/>
              <w:suppressLineNumbers w:val="0"/>
              <w:suppressAutoHyphens w:val="0"/>
              <w:ind w:firstLine="0"/>
              <w:jc w:val="right"/>
              <w:rPr>
                <w:color w:val="000000"/>
                <w:sz w:val="19"/>
                <w:szCs w:val="19"/>
              </w:rPr>
            </w:pPr>
            <w:r w:rsidRPr="005E543E">
              <w:rPr>
                <w:color w:val="000000"/>
                <w:sz w:val="19"/>
                <w:szCs w:val="19"/>
              </w:rPr>
              <w:t>1.173.554,97</w:t>
            </w:r>
          </w:p>
        </w:tc>
        <w:tc>
          <w:tcPr>
            <w:tcW w:w="881" w:type="pct"/>
            <w:tcBorders>
              <w:top w:val="nil"/>
              <w:left w:val="nil"/>
              <w:bottom w:val="single" w:sz="4" w:space="0" w:color="auto"/>
              <w:right w:val="single" w:sz="8" w:space="0" w:color="auto"/>
            </w:tcBorders>
            <w:shd w:val="clear" w:color="000000" w:fill="FFFFFF"/>
            <w:vAlign w:val="center"/>
            <w:hideMark/>
          </w:tcPr>
          <w:p w14:paraId="095D49A1" w14:textId="77777777" w:rsidR="005E543E" w:rsidRPr="005E543E" w:rsidRDefault="005E543E" w:rsidP="005E543E">
            <w:pPr>
              <w:widowControl/>
              <w:suppressLineNumbers w:val="0"/>
              <w:suppressAutoHyphens w:val="0"/>
              <w:ind w:firstLine="0"/>
              <w:jc w:val="right"/>
              <w:rPr>
                <w:color w:val="000000"/>
                <w:sz w:val="19"/>
                <w:szCs w:val="19"/>
              </w:rPr>
            </w:pPr>
            <w:r w:rsidRPr="005E543E">
              <w:rPr>
                <w:color w:val="000000"/>
                <w:sz w:val="19"/>
                <w:szCs w:val="19"/>
              </w:rPr>
              <w:t>91.424,75</w:t>
            </w:r>
          </w:p>
        </w:tc>
        <w:tc>
          <w:tcPr>
            <w:tcW w:w="318" w:type="pct"/>
            <w:tcBorders>
              <w:top w:val="nil"/>
              <w:left w:val="nil"/>
              <w:bottom w:val="single" w:sz="4" w:space="0" w:color="auto"/>
              <w:right w:val="single" w:sz="4" w:space="0" w:color="auto"/>
            </w:tcBorders>
            <w:shd w:val="clear" w:color="auto" w:fill="auto"/>
            <w:noWrap/>
            <w:vAlign w:val="center"/>
            <w:hideMark/>
          </w:tcPr>
          <w:p w14:paraId="5ADE5212"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7º</w:t>
            </w:r>
          </w:p>
        </w:tc>
        <w:tc>
          <w:tcPr>
            <w:tcW w:w="356" w:type="pct"/>
            <w:tcBorders>
              <w:top w:val="nil"/>
              <w:left w:val="nil"/>
              <w:bottom w:val="single" w:sz="4" w:space="0" w:color="auto"/>
              <w:right w:val="single" w:sz="4" w:space="0" w:color="auto"/>
            </w:tcBorders>
            <w:shd w:val="clear" w:color="000000" w:fill="FFFFFF"/>
            <w:vAlign w:val="center"/>
            <w:hideMark/>
          </w:tcPr>
          <w:p w14:paraId="1DFF594D"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8,86%</w:t>
            </w:r>
          </w:p>
        </w:tc>
        <w:tc>
          <w:tcPr>
            <w:tcW w:w="616" w:type="pct"/>
            <w:tcBorders>
              <w:top w:val="nil"/>
              <w:left w:val="nil"/>
              <w:bottom w:val="single" w:sz="4" w:space="0" w:color="auto"/>
              <w:right w:val="single" w:sz="8" w:space="0" w:color="auto"/>
            </w:tcBorders>
            <w:shd w:val="clear" w:color="000000" w:fill="FFFFFF"/>
            <w:vAlign w:val="center"/>
            <w:hideMark/>
          </w:tcPr>
          <w:p w14:paraId="6811B3DD"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8.100,23 </w:t>
            </w:r>
          </w:p>
        </w:tc>
        <w:tc>
          <w:tcPr>
            <w:tcW w:w="318" w:type="pct"/>
            <w:tcBorders>
              <w:top w:val="nil"/>
              <w:left w:val="nil"/>
              <w:bottom w:val="single" w:sz="4" w:space="0" w:color="auto"/>
              <w:right w:val="single" w:sz="4" w:space="0" w:color="auto"/>
            </w:tcBorders>
            <w:shd w:val="clear" w:color="auto" w:fill="auto"/>
            <w:noWrap/>
            <w:vAlign w:val="center"/>
            <w:hideMark/>
          </w:tcPr>
          <w:p w14:paraId="0A2E1DC6"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4º</w:t>
            </w:r>
          </w:p>
        </w:tc>
        <w:tc>
          <w:tcPr>
            <w:tcW w:w="356" w:type="pct"/>
            <w:tcBorders>
              <w:top w:val="nil"/>
              <w:left w:val="nil"/>
              <w:bottom w:val="single" w:sz="4" w:space="0" w:color="auto"/>
              <w:right w:val="single" w:sz="4" w:space="0" w:color="auto"/>
            </w:tcBorders>
            <w:shd w:val="clear" w:color="000000" w:fill="FFFFFF"/>
            <w:vAlign w:val="center"/>
            <w:hideMark/>
          </w:tcPr>
          <w:p w14:paraId="2638EB68"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9,28%</w:t>
            </w:r>
          </w:p>
        </w:tc>
        <w:tc>
          <w:tcPr>
            <w:tcW w:w="616" w:type="pct"/>
            <w:tcBorders>
              <w:top w:val="nil"/>
              <w:left w:val="nil"/>
              <w:bottom w:val="single" w:sz="4" w:space="0" w:color="auto"/>
              <w:right w:val="single" w:sz="8" w:space="0" w:color="auto"/>
            </w:tcBorders>
            <w:shd w:val="clear" w:color="000000" w:fill="FFFFFF"/>
            <w:vAlign w:val="center"/>
            <w:hideMark/>
          </w:tcPr>
          <w:p w14:paraId="70ABAA47"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8.484,22 </w:t>
            </w:r>
          </w:p>
        </w:tc>
        <w:tc>
          <w:tcPr>
            <w:tcW w:w="561" w:type="pct"/>
            <w:tcBorders>
              <w:top w:val="nil"/>
              <w:left w:val="nil"/>
              <w:bottom w:val="single" w:sz="4" w:space="0" w:color="auto"/>
              <w:right w:val="nil"/>
            </w:tcBorders>
            <w:shd w:val="clear" w:color="000000" w:fill="FFFFFF"/>
            <w:vAlign w:val="center"/>
            <w:hideMark/>
          </w:tcPr>
          <w:p w14:paraId="04B05A29"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383,99 </w:t>
            </w:r>
          </w:p>
        </w:tc>
      </w:tr>
      <w:tr w:rsidR="005E543E" w:rsidRPr="005E543E" w14:paraId="2FAC4DBD" w14:textId="77777777" w:rsidTr="00E86FB3">
        <w:trPr>
          <w:trHeight w:val="300"/>
        </w:trPr>
        <w:tc>
          <w:tcPr>
            <w:tcW w:w="335" w:type="pct"/>
            <w:tcBorders>
              <w:top w:val="nil"/>
              <w:left w:val="nil"/>
              <w:bottom w:val="single" w:sz="4" w:space="0" w:color="auto"/>
              <w:right w:val="nil"/>
            </w:tcBorders>
            <w:shd w:val="clear" w:color="000000" w:fill="FFFFFF"/>
            <w:vAlign w:val="center"/>
            <w:hideMark/>
          </w:tcPr>
          <w:p w14:paraId="44706A3C" w14:textId="77777777" w:rsidR="005E543E" w:rsidRPr="005E543E" w:rsidRDefault="005E543E" w:rsidP="005E543E">
            <w:pPr>
              <w:widowControl/>
              <w:suppressLineNumbers w:val="0"/>
              <w:suppressAutoHyphens w:val="0"/>
              <w:ind w:firstLine="0"/>
              <w:jc w:val="center"/>
              <w:rPr>
                <w:b/>
                <w:bCs/>
                <w:color w:val="000000"/>
                <w:sz w:val="19"/>
                <w:szCs w:val="19"/>
              </w:rPr>
            </w:pPr>
            <w:r w:rsidRPr="005E543E">
              <w:rPr>
                <w:b/>
                <w:bCs/>
                <w:color w:val="000000"/>
                <w:sz w:val="19"/>
                <w:szCs w:val="19"/>
              </w:rPr>
              <w:t>JUL</w:t>
            </w:r>
          </w:p>
        </w:tc>
        <w:tc>
          <w:tcPr>
            <w:tcW w:w="643" w:type="pct"/>
            <w:tcBorders>
              <w:top w:val="nil"/>
              <w:left w:val="single" w:sz="4" w:space="0" w:color="auto"/>
              <w:bottom w:val="single" w:sz="4" w:space="0" w:color="auto"/>
              <w:right w:val="single" w:sz="4" w:space="0" w:color="auto"/>
            </w:tcBorders>
            <w:shd w:val="clear" w:color="000000" w:fill="FFFFFF"/>
            <w:vAlign w:val="center"/>
            <w:hideMark/>
          </w:tcPr>
          <w:p w14:paraId="27A85B70" w14:textId="77777777" w:rsidR="005E543E" w:rsidRPr="005E543E" w:rsidRDefault="005E543E" w:rsidP="005E543E">
            <w:pPr>
              <w:widowControl/>
              <w:suppressLineNumbers w:val="0"/>
              <w:suppressAutoHyphens w:val="0"/>
              <w:ind w:firstLine="0"/>
              <w:jc w:val="right"/>
              <w:rPr>
                <w:color w:val="000000"/>
                <w:sz w:val="19"/>
                <w:szCs w:val="19"/>
              </w:rPr>
            </w:pPr>
            <w:r w:rsidRPr="005E543E">
              <w:rPr>
                <w:color w:val="000000"/>
                <w:sz w:val="19"/>
                <w:szCs w:val="19"/>
              </w:rPr>
              <w:t>1.167.785,12</w:t>
            </w:r>
          </w:p>
        </w:tc>
        <w:tc>
          <w:tcPr>
            <w:tcW w:w="881" w:type="pct"/>
            <w:tcBorders>
              <w:top w:val="nil"/>
              <w:left w:val="nil"/>
              <w:bottom w:val="single" w:sz="4" w:space="0" w:color="auto"/>
              <w:right w:val="single" w:sz="8" w:space="0" w:color="auto"/>
            </w:tcBorders>
            <w:shd w:val="clear" w:color="000000" w:fill="FFFFFF"/>
            <w:vAlign w:val="center"/>
            <w:hideMark/>
          </w:tcPr>
          <w:p w14:paraId="00C890C9" w14:textId="77777777" w:rsidR="005E543E" w:rsidRPr="005E543E" w:rsidRDefault="005E543E" w:rsidP="005E543E">
            <w:pPr>
              <w:widowControl/>
              <w:suppressLineNumbers w:val="0"/>
              <w:suppressAutoHyphens w:val="0"/>
              <w:ind w:firstLine="0"/>
              <w:jc w:val="right"/>
              <w:rPr>
                <w:color w:val="000000"/>
                <w:sz w:val="19"/>
                <w:szCs w:val="19"/>
              </w:rPr>
            </w:pPr>
            <w:r w:rsidRPr="005E543E">
              <w:rPr>
                <w:color w:val="000000"/>
                <w:sz w:val="19"/>
                <w:szCs w:val="19"/>
              </w:rPr>
              <w:t>312.637,81</w:t>
            </w:r>
          </w:p>
        </w:tc>
        <w:tc>
          <w:tcPr>
            <w:tcW w:w="318" w:type="pct"/>
            <w:tcBorders>
              <w:top w:val="nil"/>
              <w:left w:val="nil"/>
              <w:bottom w:val="single" w:sz="4" w:space="0" w:color="auto"/>
              <w:right w:val="single" w:sz="4" w:space="0" w:color="auto"/>
            </w:tcBorders>
            <w:shd w:val="clear" w:color="auto" w:fill="auto"/>
            <w:noWrap/>
            <w:vAlign w:val="center"/>
            <w:hideMark/>
          </w:tcPr>
          <w:p w14:paraId="2967323B"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7º</w:t>
            </w:r>
          </w:p>
        </w:tc>
        <w:tc>
          <w:tcPr>
            <w:tcW w:w="356" w:type="pct"/>
            <w:tcBorders>
              <w:top w:val="nil"/>
              <w:left w:val="nil"/>
              <w:bottom w:val="single" w:sz="4" w:space="0" w:color="auto"/>
              <w:right w:val="single" w:sz="4" w:space="0" w:color="auto"/>
            </w:tcBorders>
            <w:shd w:val="clear" w:color="000000" w:fill="FFFFFF"/>
            <w:vAlign w:val="center"/>
            <w:hideMark/>
          </w:tcPr>
          <w:p w14:paraId="76FED8A6"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8,86%</w:t>
            </w:r>
          </w:p>
        </w:tc>
        <w:tc>
          <w:tcPr>
            <w:tcW w:w="616" w:type="pct"/>
            <w:tcBorders>
              <w:top w:val="nil"/>
              <w:left w:val="nil"/>
              <w:bottom w:val="single" w:sz="4" w:space="0" w:color="auto"/>
              <w:right w:val="single" w:sz="8" w:space="0" w:color="auto"/>
            </w:tcBorders>
            <w:shd w:val="clear" w:color="000000" w:fill="FFFFFF"/>
            <w:vAlign w:val="center"/>
            <w:hideMark/>
          </w:tcPr>
          <w:p w14:paraId="29CA4E22"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27.699,71 </w:t>
            </w:r>
          </w:p>
        </w:tc>
        <w:tc>
          <w:tcPr>
            <w:tcW w:w="318" w:type="pct"/>
            <w:tcBorders>
              <w:top w:val="nil"/>
              <w:left w:val="nil"/>
              <w:bottom w:val="single" w:sz="4" w:space="0" w:color="auto"/>
              <w:right w:val="single" w:sz="4" w:space="0" w:color="auto"/>
            </w:tcBorders>
            <w:shd w:val="clear" w:color="auto" w:fill="auto"/>
            <w:noWrap/>
            <w:vAlign w:val="center"/>
            <w:hideMark/>
          </w:tcPr>
          <w:p w14:paraId="512426EC"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4º</w:t>
            </w:r>
          </w:p>
        </w:tc>
        <w:tc>
          <w:tcPr>
            <w:tcW w:w="356" w:type="pct"/>
            <w:tcBorders>
              <w:top w:val="nil"/>
              <w:left w:val="nil"/>
              <w:bottom w:val="single" w:sz="4" w:space="0" w:color="auto"/>
              <w:right w:val="single" w:sz="4" w:space="0" w:color="auto"/>
            </w:tcBorders>
            <w:shd w:val="clear" w:color="000000" w:fill="FFFFFF"/>
            <w:vAlign w:val="center"/>
            <w:hideMark/>
          </w:tcPr>
          <w:p w14:paraId="72F60AE4"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9,26%</w:t>
            </w:r>
          </w:p>
        </w:tc>
        <w:tc>
          <w:tcPr>
            <w:tcW w:w="616" w:type="pct"/>
            <w:tcBorders>
              <w:top w:val="nil"/>
              <w:left w:val="nil"/>
              <w:bottom w:val="single" w:sz="4" w:space="0" w:color="auto"/>
              <w:right w:val="single" w:sz="8" w:space="0" w:color="auto"/>
            </w:tcBorders>
            <w:shd w:val="clear" w:color="000000" w:fill="FFFFFF"/>
            <w:vAlign w:val="center"/>
            <w:hideMark/>
          </w:tcPr>
          <w:p w14:paraId="640CC0E4"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28.950,26 </w:t>
            </w:r>
          </w:p>
        </w:tc>
        <w:tc>
          <w:tcPr>
            <w:tcW w:w="561" w:type="pct"/>
            <w:tcBorders>
              <w:top w:val="nil"/>
              <w:left w:val="nil"/>
              <w:bottom w:val="single" w:sz="4" w:space="0" w:color="auto"/>
              <w:right w:val="nil"/>
            </w:tcBorders>
            <w:shd w:val="clear" w:color="auto" w:fill="auto"/>
            <w:noWrap/>
            <w:vAlign w:val="center"/>
            <w:hideMark/>
          </w:tcPr>
          <w:p w14:paraId="5850D29A"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1.250,55 </w:t>
            </w:r>
          </w:p>
        </w:tc>
      </w:tr>
      <w:tr w:rsidR="005E543E" w:rsidRPr="005E543E" w14:paraId="606D91CC" w14:textId="77777777" w:rsidTr="00E86FB3">
        <w:trPr>
          <w:trHeight w:val="300"/>
        </w:trPr>
        <w:tc>
          <w:tcPr>
            <w:tcW w:w="335" w:type="pct"/>
            <w:tcBorders>
              <w:top w:val="nil"/>
              <w:left w:val="nil"/>
              <w:bottom w:val="single" w:sz="4" w:space="0" w:color="auto"/>
              <w:right w:val="nil"/>
            </w:tcBorders>
            <w:shd w:val="clear" w:color="000000" w:fill="FFFFFF"/>
            <w:vAlign w:val="center"/>
            <w:hideMark/>
          </w:tcPr>
          <w:p w14:paraId="002F25CE" w14:textId="77777777" w:rsidR="005E543E" w:rsidRPr="005E543E" w:rsidRDefault="005E543E" w:rsidP="005E543E">
            <w:pPr>
              <w:widowControl/>
              <w:suppressLineNumbers w:val="0"/>
              <w:suppressAutoHyphens w:val="0"/>
              <w:ind w:firstLine="0"/>
              <w:jc w:val="center"/>
              <w:rPr>
                <w:b/>
                <w:bCs/>
                <w:color w:val="000000"/>
                <w:sz w:val="19"/>
                <w:szCs w:val="19"/>
              </w:rPr>
            </w:pPr>
            <w:r w:rsidRPr="005E543E">
              <w:rPr>
                <w:b/>
                <w:bCs/>
                <w:color w:val="000000"/>
                <w:sz w:val="19"/>
                <w:szCs w:val="19"/>
              </w:rPr>
              <w:t>AGO</w:t>
            </w:r>
          </w:p>
        </w:tc>
        <w:tc>
          <w:tcPr>
            <w:tcW w:w="643" w:type="pct"/>
            <w:tcBorders>
              <w:top w:val="nil"/>
              <w:left w:val="single" w:sz="4" w:space="0" w:color="auto"/>
              <w:bottom w:val="single" w:sz="4" w:space="0" w:color="auto"/>
              <w:right w:val="single" w:sz="4" w:space="0" w:color="auto"/>
            </w:tcBorders>
            <w:shd w:val="clear" w:color="000000" w:fill="FFFFFF"/>
            <w:vAlign w:val="center"/>
            <w:hideMark/>
          </w:tcPr>
          <w:p w14:paraId="2BC9F0A8" w14:textId="77777777" w:rsidR="005E543E" w:rsidRPr="005E543E" w:rsidRDefault="005E543E" w:rsidP="005E543E">
            <w:pPr>
              <w:widowControl/>
              <w:suppressLineNumbers w:val="0"/>
              <w:suppressAutoHyphens w:val="0"/>
              <w:ind w:firstLine="0"/>
              <w:jc w:val="right"/>
              <w:rPr>
                <w:color w:val="000000"/>
                <w:sz w:val="19"/>
                <w:szCs w:val="19"/>
              </w:rPr>
            </w:pPr>
            <w:r w:rsidRPr="005E543E">
              <w:rPr>
                <w:color w:val="000000"/>
                <w:sz w:val="19"/>
                <w:szCs w:val="19"/>
              </w:rPr>
              <w:t>1.388.998,18</w:t>
            </w:r>
          </w:p>
        </w:tc>
        <w:tc>
          <w:tcPr>
            <w:tcW w:w="881" w:type="pct"/>
            <w:tcBorders>
              <w:top w:val="nil"/>
              <w:left w:val="nil"/>
              <w:bottom w:val="single" w:sz="4" w:space="0" w:color="auto"/>
              <w:right w:val="single" w:sz="8" w:space="0" w:color="auto"/>
            </w:tcBorders>
            <w:shd w:val="clear" w:color="000000" w:fill="FFFFFF"/>
            <w:vAlign w:val="center"/>
            <w:hideMark/>
          </w:tcPr>
          <w:p w14:paraId="7D2225EF" w14:textId="77777777" w:rsidR="005E543E" w:rsidRPr="005E543E" w:rsidRDefault="005E543E" w:rsidP="005E543E">
            <w:pPr>
              <w:widowControl/>
              <w:suppressLineNumbers w:val="0"/>
              <w:suppressAutoHyphens w:val="0"/>
              <w:ind w:firstLine="0"/>
              <w:jc w:val="right"/>
              <w:rPr>
                <w:color w:val="000000"/>
                <w:sz w:val="19"/>
                <w:szCs w:val="19"/>
              </w:rPr>
            </w:pPr>
            <w:r w:rsidRPr="005E543E">
              <w:rPr>
                <w:color w:val="000000"/>
                <w:sz w:val="19"/>
                <w:szCs w:val="19"/>
              </w:rPr>
              <w:t>85.127,61</w:t>
            </w:r>
          </w:p>
        </w:tc>
        <w:tc>
          <w:tcPr>
            <w:tcW w:w="318" w:type="pct"/>
            <w:tcBorders>
              <w:top w:val="nil"/>
              <w:left w:val="nil"/>
              <w:bottom w:val="single" w:sz="4" w:space="0" w:color="auto"/>
              <w:right w:val="single" w:sz="4" w:space="0" w:color="auto"/>
            </w:tcBorders>
            <w:shd w:val="clear" w:color="auto" w:fill="auto"/>
            <w:noWrap/>
            <w:vAlign w:val="center"/>
            <w:hideMark/>
          </w:tcPr>
          <w:p w14:paraId="2216464D"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8º</w:t>
            </w:r>
          </w:p>
        </w:tc>
        <w:tc>
          <w:tcPr>
            <w:tcW w:w="356" w:type="pct"/>
            <w:tcBorders>
              <w:top w:val="nil"/>
              <w:left w:val="nil"/>
              <w:bottom w:val="single" w:sz="4" w:space="0" w:color="auto"/>
              <w:right w:val="single" w:sz="4" w:space="0" w:color="auto"/>
            </w:tcBorders>
            <w:shd w:val="clear" w:color="000000" w:fill="FFFFFF"/>
            <w:vAlign w:val="center"/>
            <w:hideMark/>
          </w:tcPr>
          <w:p w14:paraId="4B93B0D8"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8,95%</w:t>
            </w:r>
          </w:p>
        </w:tc>
        <w:tc>
          <w:tcPr>
            <w:tcW w:w="616" w:type="pct"/>
            <w:tcBorders>
              <w:top w:val="nil"/>
              <w:left w:val="nil"/>
              <w:bottom w:val="single" w:sz="4" w:space="0" w:color="auto"/>
              <w:right w:val="single" w:sz="8" w:space="0" w:color="auto"/>
            </w:tcBorders>
            <w:shd w:val="clear" w:color="000000" w:fill="FFFFFF"/>
            <w:vAlign w:val="center"/>
            <w:hideMark/>
          </w:tcPr>
          <w:p w14:paraId="7BF42322"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7.618,92 </w:t>
            </w:r>
          </w:p>
        </w:tc>
        <w:tc>
          <w:tcPr>
            <w:tcW w:w="318" w:type="pct"/>
            <w:tcBorders>
              <w:top w:val="nil"/>
              <w:left w:val="nil"/>
              <w:bottom w:val="single" w:sz="4" w:space="0" w:color="auto"/>
              <w:right w:val="single" w:sz="4" w:space="0" w:color="auto"/>
            </w:tcBorders>
            <w:shd w:val="clear" w:color="auto" w:fill="auto"/>
            <w:noWrap/>
            <w:vAlign w:val="center"/>
            <w:hideMark/>
          </w:tcPr>
          <w:p w14:paraId="5FF4D94B"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4º</w:t>
            </w:r>
          </w:p>
        </w:tc>
        <w:tc>
          <w:tcPr>
            <w:tcW w:w="356" w:type="pct"/>
            <w:tcBorders>
              <w:top w:val="nil"/>
              <w:left w:val="nil"/>
              <w:bottom w:val="single" w:sz="4" w:space="0" w:color="auto"/>
              <w:right w:val="single" w:sz="4" w:space="0" w:color="auto"/>
            </w:tcBorders>
            <w:shd w:val="clear" w:color="000000" w:fill="FFFFFF"/>
            <w:vAlign w:val="center"/>
            <w:hideMark/>
          </w:tcPr>
          <w:p w14:paraId="4F40FB85"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9,58%</w:t>
            </w:r>
          </w:p>
        </w:tc>
        <w:tc>
          <w:tcPr>
            <w:tcW w:w="616" w:type="pct"/>
            <w:tcBorders>
              <w:top w:val="nil"/>
              <w:left w:val="nil"/>
              <w:bottom w:val="single" w:sz="4" w:space="0" w:color="auto"/>
              <w:right w:val="single" w:sz="8" w:space="0" w:color="auto"/>
            </w:tcBorders>
            <w:shd w:val="clear" w:color="000000" w:fill="FFFFFF"/>
            <w:vAlign w:val="center"/>
            <w:hideMark/>
          </w:tcPr>
          <w:p w14:paraId="0AFDFF07"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8.155,23 </w:t>
            </w:r>
          </w:p>
        </w:tc>
        <w:tc>
          <w:tcPr>
            <w:tcW w:w="561" w:type="pct"/>
            <w:tcBorders>
              <w:top w:val="nil"/>
              <w:left w:val="nil"/>
              <w:bottom w:val="single" w:sz="4" w:space="0" w:color="auto"/>
              <w:right w:val="nil"/>
            </w:tcBorders>
            <w:shd w:val="clear" w:color="auto" w:fill="auto"/>
            <w:noWrap/>
            <w:vAlign w:val="center"/>
            <w:hideMark/>
          </w:tcPr>
          <w:p w14:paraId="4D2D5DA0"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536,31 </w:t>
            </w:r>
          </w:p>
        </w:tc>
      </w:tr>
      <w:tr w:rsidR="005E543E" w:rsidRPr="005E543E" w14:paraId="157EA7B6" w14:textId="77777777" w:rsidTr="00E86FB3">
        <w:trPr>
          <w:trHeight w:val="300"/>
        </w:trPr>
        <w:tc>
          <w:tcPr>
            <w:tcW w:w="335" w:type="pct"/>
            <w:tcBorders>
              <w:top w:val="nil"/>
              <w:left w:val="nil"/>
              <w:bottom w:val="single" w:sz="4" w:space="0" w:color="auto"/>
              <w:right w:val="nil"/>
            </w:tcBorders>
            <w:shd w:val="clear" w:color="000000" w:fill="FFFFFF"/>
            <w:vAlign w:val="center"/>
            <w:hideMark/>
          </w:tcPr>
          <w:p w14:paraId="667F34AB" w14:textId="77777777" w:rsidR="005E543E" w:rsidRPr="005E543E" w:rsidRDefault="005E543E" w:rsidP="005E543E">
            <w:pPr>
              <w:widowControl/>
              <w:suppressLineNumbers w:val="0"/>
              <w:suppressAutoHyphens w:val="0"/>
              <w:ind w:firstLine="0"/>
              <w:jc w:val="center"/>
              <w:rPr>
                <w:b/>
                <w:bCs/>
                <w:color w:val="000000"/>
                <w:sz w:val="19"/>
                <w:szCs w:val="19"/>
              </w:rPr>
            </w:pPr>
            <w:r w:rsidRPr="005E543E">
              <w:rPr>
                <w:b/>
                <w:bCs/>
                <w:color w:val="000000"/>
                <w:sz w:val="19"/>
                <w:szCs w:val="19"/>
              </w:rPr>
              <w:t>SET</w:t>
            </w:r>
          </w:p>
        </w:tc>
        <w:tc>
          <w:tcPr>
            <w:tcW w:w="643" w:type="pct"/>
            <w:tcBorders>
              <w:top w:val="nil"/>
              <w:left w:val="single" w:sz="4" w:space="0" w:color="auto"/>
              <w:bottom w:val="single" w:sz="4" w:space="0" w:color="auto"/>
              <w:right w:val="single" w:sz="4" w:space="0" w:color="auto"/>
            </w:tcBorders>
            <w:shd w:val="clear" w:color="000000" w:fill="FFFFFF"/>
            <w:vAlign w:val="center"/>
            <w:hideMark/>
          </w:tcPr>
          <w:p w14:paraId="39148419" w14:textId="77777777" w:rsidR="005E543E" w:rsidRPr="005E543E" w:rsidRDefault="005E543E" w:rsidP="005E543E">
            <w:pPr>
              <w:widowControl/>
              <w:suppressLineNumbers w:val="0"/>
              <w:suppressAutoHyphens w:val="0"/>
              <w:ind w:firstLine="0"/>
              <w:jc w:val="right"/>
              <w:rPr>
                <w:color w:val="000000"/>
                <w:sz w:val="19"/>
                <w:szCs w:val="19"/>
              </w:rPr>
            </w:pPr>
            <w:r w:rsidRPr="005E543E">
              <w:rPr>
                <w:color w:val="000000"/>
                <w:sz w:val="19"/>
                <w:szCs w:val="19"/>
              </w:rPr>
              <w:t>1.161.487,98</w:t>
            </w:r>
          </w:p>
        </w:tc>
        <w:tc>
          <w:tcPr>
            <w:tcW w:w="881" w:type="pct"/>
            <w:tcBorders>
              <w:top w:val="nil"/>
              <w:left w:val="nil"/>
              <w:bottom w:val="single" w:sz="4" w:space="0" w:color="auto"/>
              <w:right w:val="single" w:sz="8" w:space="0" w:color="auto"/>
            </w:tcBorders>
            <w:shd w:val="clear" w:color="000000" w:fill="FFFFFF"/>
            <w:vAlign w:val="center"/>
            <w:hideMark/>
          </w:tcPr>
          <w:p w14:paraId="631C9636" w14:textId="77777777" w:rsidR="005E543E" w:rsidRPr="005E543E" w:rsidRDefault="005E543E" w:rsidP="005E543E">
            <w:pPr>
              <w:widowControl/>
              <w:suppressLineNumbers w:val="0"/>
              <w:suppressAutoHyphens w:val="0"/>
              <w:ind w:firstLine="0"/>
              <w:jc w:val="right"/>
              <w:rPr>
                <w:color w:val="000000"/>
                <w:sz w:val="19"/>
                <w:szCs w:val="19"/>
              </w:rPr>
            </w:pPr>
            <w:r w:rsidRPr="005E543E">
              <w:rPr>
                <w:color w:val="000000"/>
                <w:sz w:val="19"/>
                <w:szCs w:val="19"/>
              </w:rPr>
              <w:t>106.871,96</w:t>
            </w:r>
          </w:p>
        </w:tc>
        <w:tc>
          <w:tcPr>
            <w:tcW w:w="318" w:type="pct"/>
            <w:tcBorders>
              <w:top w:val="nil"/>
              <w:left w:val="nil"/>
              <w:bottom w:val="single" w:sz="4" w:space="0" w:color="auto"/>
              <w:right w:val="single" w:sz="4" w:space="0" w:color="auto"/>
            </w:tcBorders>
            <w:shd w:val="clear" w:color="auto" w:fill="auto"/>
            <w:noWrap/>
            <w:vAlign w:val="center"/>
            <w:hideMark/>
          </w:tcPr>
          <w:p w14:paraId="5ABB7B5E"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7º</w:t>
            </w:r>
          </w:p>
        </w:tc>
        <w:tc>
          <w:tcPr>
            <w:tcW w:w="356" w:type="pct"/>
            <w:tcBorders>
              <w:top w:val="nil"/>
              <w:left w:val="nil"/>
              <w:bottom w:val="single" w:sz="4" w:space="0" w:color="auto"/>
              <w:right w:val="single" w:sz="4" w:space="0" w:color="auto"/>
            </w:tcBorders>
            <w:shd w:val="clear" w:color="000000" w:fill="FFFFFF"/>
            <w:vAlign w:val="center"/>
            <w:hideMark/>
          </w:tcPr>
          <w:p w14:paraId="6578B89C"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8,86%</w:t>
            </w:r>
          </w:p>
        </w:tc>
        <w:tc>
          <w:tcPr>
            <w:tcW w:w="616" w:type="pct"/>
            <w:tcBorders>
              <w:top w:val="nil"/>
              <w:left w:val="nil"/>
              <w:bottom w:val="single" w:sz="4" w:space="0" w:color="auto"/>
              <w:right w:val="single" w:sz="8" w:space="0" w:color="auto"/>
            </w:tcBorders>
            <w:shd w:val="clear" w:color="000000" w:fill="FFFFFF"/>
            <w:vAlign w:val="center"/>
            <w:hideMark/>
          </w:tcPr>
          <w:p w14:paraId="634F355A"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9.468,86 </w:t>
            </w:r>
          </w:p>
        </w:tc>
        <w:tc>
          <w:tcPr>
            <w:tcW w:w="318" w:type="pct"/>
            <w:tcBorders>
              <w:top w:val="nil"/>
              <w:left w:val="nil"/>
              <w:bottom w:val="single" w:sz="4" w:space="0" w:color="auto"/>
              <w:right w:val="single" w:sz="4" w:space="0" w:color="auto"/>
            </w:tcBorders>
            <w:shd w:val="clear" w:color="auto" w:fill="auto"/>
            <w:noWrap/>
            <w:vAlign w:val="center"/>
            <w:hideMark/>
          </w:tcPr>
          <w:p w14:paraId="70BEA11F"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4º</w:t>
            </w:r>
          </w:p>
        </w:tc>
        <w:tc>
          <w:tcPr>
            <w:tcW w:w="356" w:type="pct"/>
            <w:tcBorders>
              <w:top w:val="nil"/>
              <w:left w:val="nil"/>
              <w:bottom w:val="single" w:sz="4" w:space="0" w:color="auto"/>
              <w:right w:val="single" w:sz="4" w:space="0" w:color="auto"/>
            </w:tcBorders>
            <w:shd w:val="clear" w:color="000000" w:fill="FFFFFF"/>
            <w:vAlign w:val="center"/>
            <w:hideMark/>
          </w:tcPr>
          <w:p w14:paraId="5C3823E3"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9,26%</w:t>
            </w:r>
          </w:p>
        </w:tc>
        <w:tc>
          <w:tcPr>
            <w:tcW w:w="616" w:type="pct"/>
            <w:tcBorders>
              <w:top w:val="nil"/>
              <w:left w:val="nil"/>
              <w:bottom w:val="single" w:sz="4" w:space="0" w:color="auto"/>
              <w:right w:val="single" w:sz="8" w:space="0" w:color="auto"/>
            </w:tcBorders>
            <w:shd w:val="clear" w:color="000000" w:fill="FFFFFF"/>
            <w:vAlign w:val="center"/>
            <w:hideMark/>
          </w:tcPr>
          <w:p w14:paraId="70C59E98"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9.896,34 </w:t>
            </w:r>
          </w:p>
        </w:tc>
        <w:tc>
          <w:tcPr>
            <w:tcW w:w="561" w:type="pct"/>
            <w:tcBorders>
              <w:top w:val="nil"/>
              <w:left w:val="nil"/>
              <w:bottom w:val="single" w:sz="4" w:space="0" w:color="auto"/>
              <w:right w:val="nil"/>
            </w:tcBorders>
            <w:shd w:val="clear" w:color="auto" w:fill="auto"/>
            <w:noWrap/>
            <w:vAlign w:val="center"/>
            <w:hideMark/>
          </w:tcPr>
          <w:p w14:paraId="686212F8"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427,48 </w:t>
            </w:r>
          </w:p>
        </w:tc>
      </w:tr>
      <w:tr w:rsidR="005E543E" w:rsidRPr="005E543E" w14:paraId="4A586909" w14:textId="77777777" w:rsidTr="00E86FB3">
        <w:trPr>
          <w:trHeight w:val="300"/>
        </w:trPr>
        <w:tc>
          <w:tcPr>
            <w:tcW w:w="335" w:type="pct"/>
            <w:tcBorders>
              <w:top w:val="nil"/>
              <w:left w:val="nil"/>
              <w:bottom w:val="single" w:sz="4" w:space="0" w:color="auto"/>
              <w:right w:val="nil"/>
            </w:tcBorders>
            <w:shd w:val="clear" w:color="000000" w:fill="FFFFFF"/>
            <w:vAlign w:val="center"/>
            <w:hideMark/>
          </w:tcPr>
          <w:p w14:paraId="36F4AF02" w14:textId="77777777" w:rsidR="005E543E" w:rsidRPr="005E543E" w:rsidRDefault="005E543E" w:rsidP="005E543E">
            <w:pPr>
              <w:widowControl/>
              <w:suppressLineNumbers w:val="0"/>
              <w:suppressAutoHyphens w:val="0"/>
              <w:ind w:firstLine="0"/>
              <w:jc w:val="center"/>
              <w:rPr>
                <w:b/>
                <w:bCs/>
                <w:color w:val="000000"/>
                <w:sz w:val="19"/>
                <w:szCs w:val="19"/>
              </w:rPr>
            </w:pPr>
            <w:r w:rsidRPr="005E543E">
              <w:rPr>
                <w:b/>
                <w:bCs/>
                <w:color w:val="000000"/>
                <w:sz w:val="19"/>
                <w:szCs w:val="19"/>
              </w:rPr>
              <w:t>OUT</w:t>
            </w:r>
          </w:p>
        </w:tc>
        <w:tc>
          <w:tcPr>
            <w:tcW w:w="643" w:type="pct"/>
            <w:tcBorders>
              <w:top w:val="nil"/>
              <w:left w:val="single" w:sz="4" w:space="0" w:color="auto"/>
              <w:bottom w:val="single" w:sz="4" w:space="0" w:color="auto"/>
              <w:right w:val="single" w:sz="4" w:space="0" w:color="auto"/>
            </w:tcBorders>
            <w:shd w:val="clear" w:color="000000" w:fill="FFFFFF"/>
            <w:vAlign w:val="center"/>
            <w:hideMark/>
          </w:tcPr>
          <w:p w14:paraId="63EABAEA" w14:textId="77777777" w:rsidR="005E543E" w:rsidRPr="005E543E" w:rsidRDefault="005E543E" w:rsidP="005E543E">
            <w:pPr>
              <w:widowControl/>
              <w:suppressLineNumbers w:val="0"/>
              <w:suppressAutoHyphens w:val="0"/>
              <w:ind w:firstLine="0"/>
              <w:jc w:val="right"/>
              <w:rPr>
                <w:color w:val="000000"/>
                <w:sz w:val="19"/>
                <w:szCs w:val="19"/>
              </w:rPr>
            </w:pPr>
            <w:r w:rsidRPr="005E543E">
              <w:rPr>
                <w:color w:val="000000"/>
                <w:sz w:val="19"/>
                <w:szCs w:val="19"/>
              </w:rPr>
              <w:t>1.183.232,33</w:t>
            </w:r>
          </w:p>
        </w:tc>
        <w:tc>
          <w:tcPr>
            <w:tcW w:w="881" w:type="pct"/>
            <w:tcBorders>
              <w:top w:val="nil"/>
              <w:left w:val="nil"/>
              <w:bottom w:val="single" w:sz="4" w:space="0" w:color="auto"/>
              <w:right w:val="single" w:sz="8" w:space="0" w:color="auto"/>
            </w:tcBorders>
            <w:shd w:val="clear" w:color="000000" w:fill="FFFFFF"/>
            <w:vAlign w:val="center"/>
            <w:hideMark/>
          </w:tcPr>
          <w:p w14:paraId="3F117F05" w14:textId="77777777" w:rsidR="005E543E" w:rsidRPr="005E543E" w:rsidRDefault="005E543E" w:rsidP="005E543E">
            <w:pPr>
              <w:widowControl/>
              <w:suppressLineNumbers w:val="0"/>
              <w:suppressAutoHyphens w:val="0"/>
              <w:ind w:firstLine="0"/>
              <w:jc w:val="right"/>
              <w:rPr>
                <w:color w:val="000000"/>
                <w:sz w:val="19"/>
                <w:szCs w:val="19"/>
              </w:rPr>
            </w:pPr>
            <w:r w:rsidRPr="005E543E">
              <w:rPr>
                <w:color w:val="000000"/>
                <w:sz w:val="19"/>
                <w:szCs w:val="19"/>
              </w:rPr>
              <w:t>66.355,53</w:t>
            </w:r>
          </w:p>
        </w:tc>
        <w:tc>
          <w:tcPr>
            <w:tcW w:w="318" w:type="pct"/>
            <w:tcBorders>
              <w:top w:val="nil"/>
              <w:left w:val="nil"/>
              <w:bottom w:val="single" w:sz="4" w:space="0" w:color="auto"/>
              <w:right w:val="single" w:sz="4" w:space="0" w:color="auto"/>
            </w:tcBorders>
            <w:shd w:val="clear" w:color="auto" w:fill="auto"/>
            <w:noWrap/>
            <w:vAlign w:val="center"/>
            <w:hideMark/>
          </w:tcPr>
          <w:p w14:paraId="1D42BEC2"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7º</w:t>
            </w:r>
          </w:p>
        </w:tc>
        <w:tc>
          <w:tcPr>
            <w:tcW w:w="356" w:type="pct"/>
            <w:tcBorders>
              <w:top w:val="nil"/>
              <w:left w:val="nil"/>
              <w:bottom w:val="single" w:sz="4" w:space="0" w:color="auto"/>
              <w:right w:val="single" w:sz="4" w:space="0" w:color="auto"/>
            </w:tcBorders>
            <w:shd w:val="clear" w:color="000000" w:fill="FFFFFF"/>
            <w:vAlign w:val="center"/>
            <w:hideMark/>
          </w:tcPr>
          <w:p w14:paraId="249CC715"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8,86%</w:t>
            </w:r>
          </w:p>
        </w:tc>
        <w:tc>
          <w:tcPr>
            <w:tcW w:w="616" w:type="pct"/>
            <w:tcBorders>
              <w:top w:val="nil"/>
              <w:left w:val="nil"/>
              <w:bottom w:val="single" w:sz="4" w:space="0" w:color="auto"/>
              <w:right w:val="single" w:sz="8" w:space="0" w:color="auto"/>
            </w:tcBorders>
            <w:shd w:val="clear" w:color="000000" w:fill="FFFFFF"/>
            <w:vAlign w:val="center"/>
            <w:hideMark/>
          </w:tcPr>
          <w:p w14:paraId="2D8E49B8"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5.879,10 </w:t>
            </w:r>
          </w:p>
        </w:tc>
        <w:tc>
          <w:tcPr>
            <w:tcW w:w="318" w:type="pct"/>
            <w:tcBorders>
              <w:top w:val="nil"/>
              <w:left w:val="nil"/>
              <w:bottom w:val="single" w:sz="4" w:space="0" w:color="auto"/>
              <w:right w:val="single" w:sz="4" w:space="0" w:color="auto"/>
            </w:tcBorders>
            <w:shd w:val="clear" w:color="auto" w:fill="auto"/>
            <w:noWrap/>
            <w:vAlign w:val="center"/>
            <w:hideMark/>
          </w:tcPr>
          <w:p w14:paraId="46AEF08F"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4º</w:t>
            </w:r>
          </w:p>
        </w:tc>
        <w:tc>
          <w:tcPr>
            <w:tcW w:w="356" w:type="pct"/>
            <w:tcBorders>
              <w:top w:val="nil"/>
              <w:left w:val="nil"/>
              <w:bottom w:val="single" w:sz="4" w:space="0" w:color="auto"/>
              <w:right w:val="single" w:sz="4" w:space="0" w:color="auto"/>
            </w:tcBorders>
            <w:shd w:val="clear" w:color="000000" w:fill="FFFFFF"/>
            <w:vAlign w:val="center"/>
            <w:hideMark/>
          </w:tcPr>
          <w:p w14:paraId="404F7A30"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9,30%</w:t>
            </w:r>
          </w:p>
        </w:tc>
        <w:tc>
          <w:tcPr>
            <w:tcW w:w="616" w:type="pct"/>
            <w:tcBorders>
              <w:top w:val="nil"/>
              <w:left w:val="nil"/>
              <w:bottom w:val="single" w:sz="4" w:space="0" w:color="auto"/>
              <w:right w:val="single" w:sz="8" w:space="0" w:color="auto"/>
            </w:tcBorders>
            <w:shd w:val="clear" w:color="000000" w:fill="FFFFFF"/>
            <w:vAlign w:val="center"/>
            <w:hideMark/>
          </w:tcPr>
          <w:p w14:paraId="440F4DEB"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6.171,06 </w:t>
            </w:r>
          </w:p>
        </w:tc>
        <w:tc>
          <w:tcPr>
            <w:tcW w:w="561" w:type="pct"/>
            <w:tcBorders>
              <w:top w:val="nil"/>
              <w:left w:val="nil"/>
              <w:bottom w:val="single" w:sz="4" w:space="0" w:color="auto"/>
              <w:right w:val="nil"/>
            </w:tcBorders>
            <w:shd w:val="clear" w:color="auto" w:fill="auto"/>
            <w:noWrap/>
            <w:vAlign w:val="center"/>
            <w:hideMark/>
          </w:tcPr>
          <w:p w14:paraId="1A2CF8FB"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291,96 </w:t>
            </w:r>
          </w:p>
        </w:tc>
      </w:tr>
      <w:tr w:rsidR="005E543E" w:rsidRPr="005E543E" w14:paraId="3351C55D" w14:textId="77777777" w:rsidTr="00E86FB3">
        <w:trPr>
          <w:trHeight w:val="300"/>
        </w:trPr>
        <w:tc>
          <w:tcPr>
            <w:tcW w:w="335" w:type="pct"/>
            <w:tcBorders>
              <w:top w:val="nil"/>
              <w:left w:val="nil"/>
              <w:bottom w:val="single" w:sz="4" w:space="0" w:color="auto"/>
              <w:right w:val="nil"/>
            </w:tcBorders>
            <w:shd w:val="clear" w:color="000000" w:fill="FFFFFF"/>
            <w:vAlign w:val="center"/>
            <w:hideMark/>
          </w:tcPr>
          <w:p w14:paraId="3CC24C6C" w14:textId="77777777" w:rsidR="005E543E" w:rsidRPr="005E543E" w:rsidRDefault="005E543E" w:rsidP="005E543E">
            <w:pPr>
              <w:widowControl/>
              <w:suppressLineNumbers w:val="0"/>
              <w:suppressAutoHyphens w:val="0"/>
              <w:ind w:firstLine="0"/>
              <w:jc w:val="center"/>
              <w:rPr>
                <w:b/>
                <w:bCs/>
                <w:color w:val="000000"/>
                <w:sz w:val="19"/>
                <w:szCs w:val="19"/>
              </w:rPr>
            </w:pPr>
            <w:r w:rsidRPr="005E543E">
              <w:rPr>
                <w:b/>
                <w:bCs/>
                <w:color w:val="000000"/>
                <w:sz w:val="19"/>
                <w:szCs w:val="19"/>
              </w:rPr>
              <w:t>NOV</w:t>
            </w:r>
          </w:p>
        </w:tc>
        <w:tc>
          <w:tcPr>
            <w:tcW w:w="643" w:type="pct"/>
            <w:tcBorders>
              <w:top w:val="nil"/>
              <w:left w:val="single" w:sz="4" w:space="0" w:color="auto"/>
              <w:bottom w:val="single" w:sz="4" w:space="0" w:color="auto"/>
              <w:right w:val="single" w:sz="4" w:space="0" w:color="auto"/>
            </w:tcBorders>
            <w:shd w:val="clear" w:color="000000" w:fill="FFFFFF"/>
            <w:vAlign w:val="center"/>
            <w:hideMark/>
          </w:tcPr>
          <w:p w14:paraId="04FA9006" w14:textId="77777777" w:rsidR="005E543E" w:rsidRPr="005E543E" w:rsidRDefault="005E543E" w:rsidP="005E543E">
            <w:pPr>
              <w:widowControl/>
              <w:suppressLineNumbers w:val="0"/>
              <w:suppressAutoHyphens w:val="0"/>
              <w:ind w:firstLine="0"/>
              <w:jc w:val="right"/>
              <w:rPr>
                <w:color w:val="000000"/>
                <w:sz w:val="19"/>
                <w:szCs w:val="19"/>
              </w:rPr>
            </w:pPr>
            <w:r w:rsidRPr="005E543E">
              <w:rPr>
                <w:color w:val="000000"/>
                <w:sz w:val="19"/>
                <w:szCs w:val="19"/>
              </w:rPr>
              <w:t>1.142.715,90</w:t>
            </w:r>
          </w:p>
        </w:tc>
        <w:tc>
          <w:tcPr>
            <w:tcW w:w="881" w:type="pct"/>
            <w:tcBorders>
              <w:top w:val="nil"/>
              <w:left w:val="nil"/>
              <w:bottom w:val="single" w:sz="4" w:space="0" w:color="auto"/>
              <w:right w:val="single" w:sz="8" w:space="0" w:color="auto"/>
            </w:tcBorders>
            <w:shd w:val="clear" w:color="000000" w:fill="FFFFFF"/>
            <w:vAlign w:val="center"/>
            <w:hideMark/>
          </w:tcPr>
          <w:p w14:paraId="1B73DFEB" w14:textId="77777777" w:rsidR="005E543E" w:rsidRPr="005E543E" w:rsidRDefault="005E543E" w:rsidP="005E543E">
            <w:pPr>
              <w:widowControl/>
              <w:suppressLineNumbers w:val="0"/>
              <w:suppressAutoHyphens w:val="0"/>
              <w:ind w:firstLine="0"/>
              <w:jc w:val="right"/>
              <w:rPr>
                <w:color w:val="000000"/>
                <w:sz w:val="19"/>
                <w:szCs w:val="19"/>
              </w:rPr>
            </w:pPr>
            <w:r w:rsidRPr="005E543E">
              <w:rPr>
                <w:color w:val="000000"/>
                <w:sz w:val="19"/>
                <w:szCs w:val="19"/>
              </w:rPr>
              <w:t>95.812,04</w:t>
            </w:r>
          </w:p>
        </w:tc>
        <w:tc>
          <w:tcPr>
            <w:tcW w:w="318" w:type="pct"/>
            <w:tcBorders>
              <w:top w:val="nil"/>
              <w:left w:val="nil"/>
              <w:bottom w:val="single" w:sz="4" w:space="0" w:color="auto"/>
              <w:right w:val="single" w:sz="4" w:space="0" w:color="auto"/>
            </w:tcBorders>
            <w:shd w:val="clear" w:color="auto" w:fill="auto"/>
            <w:noWrap/>
            <w:vAlign w:val="center"/>
            <w:hideMark/>
          </w:tcPr>
          <w:p w14:paraId="4761F484"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7º</w:t>
            </w:r>
          </w:p>
        </w:tc>
        <w:tc>
          <w:tcPr>
            <w:tcW w:w="356" w:type="pct"/>
            <w:tcBorders>
              <w:top w:val="nil"/>
              <w:left w:val="nil"/>
              <w:bottom w:val="single" w:sz="4" w:space="0" w:color="auto"/>
              <w:right w:val="single" w:sz="4" w:space="0" w:color="auto"/>
            </w:tcBorders>
            <w:shd w:val="clear" w:color="000000" w:fill="FFFFFF"/>
            <w:vAlign w:val="center"/>
            <w:hideMark/>
          </w:tcPr>
          <w:p w14:paraId="13EE43FF"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8,86%</w:t>
            </w:r>
          </w:p>
        </w:tc>
        <w:tc>
          <w:tcPr>
            <w:tcW w:w="616" w:type="pct"/>
            <w:tcBorders>
              <w:top w:val="nil"/>
              <w:left w:val="nil"/>
              <w:bottom w:val="single" w:sz="4" w:space="0" w:color="auto"/>
              <w:right w:val="single" w:sz="8" w:space="0" w:color="auto"/>
            </w:tcBorders>
            <w:shd w:val="clear" w:color="000000" w:fill="FFFFFF"/>
            <w:vAlign w:val="center"/>
            <w:hideMark/>
          </w:tcPr>
          <w:p w14:paraId="36B35186"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8.488,95 </w:t>
            </w:r>
          </w:p>
        </w:tc>
        <w:tc>
          <w:tcPr>
            <w:tcW w:w="318" w:type="pct"/>
            <w:tcBorders>
              <w:top w:val="nil"/>
              <w:left w:val="nil"/>
              <w:bottom w:val="single" w:sz="4" w:space="0" w:color="auto"/>
              <w:right w:val="single" w:sz="4" w:space="0" w:color="auto"/>
            </w:tcBorders>
            <w:shd w:val="clear" w:color="auto" w:fill="auto"/>
            <w:noWrap/>
            <w:vAlign w:val="center"/>
            <w:hideMark/>
          </w:tcPr>
          <w:p w14:paraId="184B4AE3"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4º</w:t>
            </w:r>
          </w:p>
        </w:tc>
        <w:tc>
          <w:tcPr>
            <w:tcW w:w="356" w:type="pct"/>
            <w:tcBorders>
              <w:top w:val="nil"/>
              <w:left w:val="nil"/>
              <w:bottom w:val="single" w:sz="4" w:space="0" w:color="auto"/>
              <w:right w:val="single" w:sz="4" w:space="0" w:color="auto"/>
            </w:tcBorders>
            <w:shd w:val="clear" w:color="000000" w:fill="FFFFFF"/>
            <w:vAlign w:val="center"/>
            <w:hideMark/>
          </w:tcPr>
          <w:p w14:paraId="1B84ABB3"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9,23%</w:t>
            </w:r>
          </w:p>
        </w:tc>
        <w:tc>
          <w:tcPr>
            <w:tcW w:w="616" w:type="pct"/>
            <w:tcBorders>
              <w:top w:val="nil"/>
              <w:left w:val="nil"/>
              <w:bottom w:val="single" w:sz="4" w:space="0" w:color="auto"/>
              <w:right w:val="single" w:sz="8" w:space="0" w:color="auto"/>
            </w:tcBorders>
            <w:shd w:val="clear" w:color="000000" w:fill="FFFFFF"/>
            <w:vAlign w:val="center"/>
            <w:hideMark/>
          </w:tcPr>
          <w:p w14:paraId="4BBBC592"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8.843,45 </w:t>
            </w:r>
          </w:p>
        </w:tc>
        <w:tc>
          <w:tcPr>
            <w:tcW w:w="561" w:type="pct"/>
            <w:tcBorders>
              <w:top w:val="nil"/>
              <w:left w:val="nil"/>
              <w:bottom w:val="single" w:sz="4" w:space="0" w:color="auto"/>
              <w:right w:val="nil"/>
            </w:tcBorders>
            <w:shd w:val="clear" w:color="auto" w:fill="auto"/>
            <w:noWrap/>
            <w:vAlign w:val="center"/>
            <w:hideMark/>
          </w:tcPr>
          <w:p w14:paraId="7D97602E"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354,50 </w:t>
            </w:r>
          </w:p>
        </w:tc>
      </w:tr>
      <w:tr w:rsidR="005E543E" w:rsidRPr="005E543E" w14:paraId="50DD4864" w14:textId="77777777" w:rsidTr="00E86FB3">
        <w:trPr>
          <w:trHeight w:val="300"/>
        </w:trPr>
        <w:tc>
          <w:tcPr>
            <w:tcW w:w="335" w:type="pct"/>
            <w:tcBorders>
              <w:top w:val="nil"/>
              <w:left w:val="nil"/>
              <w:bottom w:val="nil"/>
              <w:right w:val="nil"/>
            </w:tcBorders>
            <w:shd w:val="clear" w:color="000000" w:fill="FFFFFF"/>
            <w:vAlign w:val="center"/>
            <w:hideMark/>
          </w:tcPr>
          <w:p w14:paraId="630D55FA" w14:textId="77777777" w:rsidR="005E543E" w:rsidRPr="005E543E" w:rsidRDefault="005E543E" w:rsidP="005E543E">
            <w:pPr>
              <w:widowControl/>
              <w:suppressLineNumbers w:val="0"/>
              <w:suppressAutoHyphens w:val="0"/>
              <w:ind w:firstLine="0"/>
              <w:jc w:val="center"/>
              <w:rPr>
                <w:b/>
                <w:bCs/>
                <w:color w:val="000000"/>
                <w:sz w:val="19"/>
                <w:szCs w:val="19"/>
              </w:rPr>
            </w:pPr>
            <w:r w:rsidRPr="005E543E">
              <w:rPr>
                <w:b/>
                <w:bCs/>
                <w:color w:val="000000"/>
                <w:sz w:val="19"/>
                <w:szCs w:val="19"/>
              </w:rPr>
              <w:t>DEV</w:t>
            </w:r>
          </w:p>
        </w:tc>
        <w:tc>
          <w:tcPr>
            <w:tcW w:w="643" w:type="pct"/>
            <w:tcBorders>
              <w:top w:val="nil"/>
              <w:left w:val="single" w:sz="4" w:space="0" w:color="auto"/>
              <w:bottom w:val="single" w:sz="4" w:space="0" w:color="auto"/>
              <w:right w:val="single" w:sz="4" w:space="0" w:color="auto"/>
            </w:tcBorders>
            <w:shd w:val="clear" w:color="000000" w:fill="FFFFFF"/>
            <w:vAlign w:val="center"/>
            <w:hideMark/>
          </w:tcPr>
          <w:p w14:paraId="11A845D1" w14:textId="77777777" w:rsidR="005E543E" w:rsidRPr="005E543E" w:rsidRDefault="005E543E" w:rsidP="005E543E">
            <w:pPr>
              <w:widowControl/>
              <w:suppressLineNumbers w:val="0"/>
              <w:suppressAutoHyphens w:val="0"/>
              <w:ind w:firstLine="0"/>
              <w:jc w:val="right"/>
              <w:rPr>
                <w:color w:val="000000"/>
                <w:sz w:val="19"/>
                <w:szCs w:val="19"/>
              </w:rPr>
            </w:pPr>
            <w:r w:rsidRPr="005E543E">
              <w:rPr>
                <w:color w:val="000000"/>
                <w:sz w:val="19"/>
                <w:szCs w:val="19"/>
              </w:rPr>
              <w:t>1.172.172,41</w:t>
            </w:r>
          </w:p>
        </w:tc>
        <w:tc>
          <w:tcPr>
            <w:tcW w:w="881" w:type="pct"/>
            <w:tcBorders>
              <w:top w:val="nil"/>
              <w:left w:val="nil"/>
              <w:bottom w:val="single" w:sz="4" w:space="0" w:color="auto"/>
              <w:right w:val="single" w:sz="8" w:space="0" w:color="auto"/>
            </w:tcBorders>
            <w:shd w:val="clear" w:color="000000" w:fill="FFFFFF"/>
            <w:vAlign w:val="center"/>
            <w:hideMark/>
          </w:tcPr>
          <w:p w14:paraId="7F8B2F46" w14:textId="77777777" w:rsidR="005E543E" w:rsidRPr="005E543E" w:rsidRDefault="005E543E" w:rsidP="005E543E">
            <w:pPr>
              <w:widowControl/>
              <w:suppressLineNumbers w:val="0"/>
              <w:suppressAutoHyphens w:val="0"/>
              <w:ind w:firstLine="0"/>
              <w:jc w:val="right"/>
              <w:rPr>
                <w:color w:val="000000"/>
                <w:sz w:val="19"/>
                <w:szCs w:val="19"/>
              </w:rPr>
            </w:pPr>
            <w:r w:rsidRPr="005E543E">
              <w:rPr>
                <w:color w:val="000000"/>
                <w:sz w:val="19"/>
                <w:szCs w:val="19"/>
              </w:rPr>
              <w:t>74.205,19</w:t>
            </w:r>
          </w:p>
        </w:tc>
        <w:tc>
          <w:tcPr>
            <w:tcW w:w="318" w:type="pct"/>
            <w:tcBorders>
              <w:top w:val="nil"/>
              <w:left w:val="nil"/>
              <w:bottom w:val="single" w:sz="4" w:space="0" w:color="auto"/>
              <w:right w:val="single" w:sz="4" w:space="0" w:color="auto"/>
            </w:tcBorders>
            <w:shd w:val="clear" w:color="auto" w:fill="auto"/>
            <w:noWrap/>
            <w:vAlign w:val="center"/>
            <w:hideMark/>
          </w:tcPr>
          <w:p w14:paraId="19A19428"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7º</w:t>
            </w:r>
          </w:p>
        </w:tc>
        <w:tc>
          <w:tcPr>
            <w:tcW w:w="356" w:type="pct"/>
            <w:tcBorders>
              <w:top w:val="nil"/>
              <w:left w:val="nil"/>
              <w:bottom w:val="single" w:sz="4" w:space="0" w:color="auto"/>
              <w:right w:val="single" w:sz="4" w:space="0" w:color="auto"/>
            </w:tcBorders>
            <w:shd w:val="clear" w:color="000000" w:fill="FFFFFF"/>
            <w:vAlign w:val="center"/>
            <w:hideMark/>
          </w:tcPr>
          <w:p w14:paraId="66BD8298"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8,86%</w:t>
            </w:r>
          </w:p>
        </w:tc>
        <w:tc>
          <w:tcPr>
            <w:tcW w:w="616" w:type="pct"/>
            <w:tcBorders>
              <w:top w:val="nil"/>
              <w:left w:val="nil"/>
              <w:bottom w:val="single" w:sz="4" w:space="0" w:color="auto"/>
              <w:right w:val="single" w:sz="8" w:space="0" w:color="auto"/>
            </w:tcBorders>
            <w:shd w:val="clear" w:color="000000" w:fill="FFFFFF"/>
            <w:vAlign w:val="center"/>
            <w:hideMark/>
          </w:tcPr>
          <w:p w14:paraId="0F47E6AD"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6.574,58 </w:t>
            </w:r>
          </w:p>
        </w:tc>
        <w:tc>
          <w:tcPr>
            <w:tcW w:w="318" w:type="pct"/>
            <w:tcBorders>
              <w:top w:val="nil"/>
              <w:left w:val="nil"/>
              <w:bottom w:val="single" w:sz="4" w:space="0" w:color="auto"/>
              <w:right w:val="single" w:sz="4" w:space="0" w:color="auto"/>
            </w:tcBorders>
            <w:shd w:val="clear" w:color="auto" w:fill="auto"/>
            <w:noWrap/>
            <w:vAlign w:val="center"/>
            <w:hideMark/>
          </w:tcPr>
          <w:p w14:paraId="54692C13"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4º</w:t>
            </w:r>
          </w:p>
        </w:tc>
        <w:tc>
          <w:tcPr>
            <w:tcW w:w="356" w:type="pct"/>
            <w:tcBorders>
              <w:top w:val="nil"/>
              <w:left w:val="nil"/>
              <w:bottom w:val="single" w:sz="4" w:space="0" w:color="auto"/>
              <w:right w:val="single" w:sz="4" w:space="0" w:color="auto"/>
            </w:tcBorders>
            <w:shd w:val="clear" w:color="000000" w:fill="FFFFFF"/>
            <w:vAlign w:val="center"/>
            <w:hideMark/>
          </w:tcPr>
          <w:p w14:paraId="61CCBBB4"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9,28%</w:t>
            </w:r>
          </w:p>
        </w:tc>
        <w:tc>
          <w:tcPr>
            <w:tcW w:w="616" w:type="pct"/>
            <w:tcBorders>
              <w:top w:val="nil"/>
              <w:left w:val="nil"/>
              <w:bottom w:val="single" w:sz="4" w:space="0" w:color="auto"/>
              <w:right w:val="single" w:sz="8" w:space="0" w:color="auto"/>
            </w:tcBorders>
            <w:shd w:val="clear" w:color="000000" w:fill="FFFFFF"/>
            <w:vAlign w:val="center"/>
            <w:hideMark/>
          </w:tcPr>
          <w:p w14:paraId="0649CA53"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6.886,24 </w:t>
            </w:r>
          </w:p>
        </w:tc>
        <w:tc>
          <w:tcPr>
            <w:tcW w:w="561" w:type="pct"/>
            <w:tcBorders>
              <w:top w:val="nil"/>
              <w:left w:val="nil"/>
              <w:bottom w:val="single" w:sz="4" w:space="0" w:color="auto"/>
              <w:right w:val="nil"/>
            </w:tcBorders>
            <w:shd w:val="clear" w:color="auto" w:fill="auto"/>
            <w:noWrap/>
            <w:vAlign w:val="center"/>
            <w:hideMark/>
          </w:tcPr>
          <w:p w14:paraId="57E39523"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311,66 </w:t>
            </w:r>
          </w:p>
        </w:tc>
      </w:tr>
      <w:tr w:rsidR="005E543E" w:rsidRPr="005E543E" w14:paraId="333B33B2" w14:textId="77777777" w:rsidTr="00E86FB3">
        <w:trPr>
          <w:trHeight w:val="300"/>
        </w:trPr>
        <w:tc>
          <w:tcPr>
            <w:tcW w:w="335" w:type="pct"/>
            <w:tcBorders>
              <w:top w:val="single" w:sz="4" w:space="0" w:color="auto"/>
              <w:left w:val="nil"/>
              <w:bottom w:val="single" w:sz="4" w:space="0" w:color="auto"/>
              <w:right w:val="single" w:sz="4" w:space="0" w:color="auto"/>
            </w:tcBorders>
            <w:shd w:val="clear" w:color="000000" w:fill="FFFFFF"/>
            <w:vAlign w:val="center"/>
            <w:hideMark/>
          </w:tcPr>
          <w:p w14:paraId="542EF4A6" w14:textId="77777777" w:rsidR="005E543E" w:rsidRPr="005E543E" w:rsidRDefault="005E543E" w:rsidP="005E543E">
            <w:pPr>
              <w:widowControl/>
              <w:suppressLineNumbers w:val="0"/>
              <w:suppressAutoHyphens w:val="0"/>
              <w:ind w:firstLine="0"/>
              <w:jc w:val="center"/>
              <w:rPr>
                <w:b/>
                <w:bCs/>
                <w:color w:val="000000"/>
                <w:sz w:val="19"/>
                <w:szCs w:val="19"/>
              </w:rPr>
            </w:pPr>
            <w:r w:rsidRPr="005E543E">
              <w:rPr>
                <w:b/>
                <w:bCs/>
                <w:color w:val="000000"/>
                <w:sz w:val="19"/>
                <w:szCs w:val="19"/>
              </w:rPr>
              <w:t>Total</w:t>
            </w:r>
          </w:p>
        </w:tc>
        <w:tc>
          <w:tcPr>
            <w:tcW w:w="643" w:type="pct"/>
            <w:tcBorders>
              <w:top w:val="nil"/>
              <w:left w:val="nil"/>
              <w:bottom w:val="single" w:sz="4" w:space="0" w:color="auto"/>
              <w:right w:val="single" w:sz="4" w:space="0" w:color="auto"/>
            </w:tcBorders>
            <w:shd w:val="clear" w:color="auto" w:fill="auto"/>
            <w:noWrap/>
            <w:vAlign w:val="center"/>
            <w:hideMark/>
          </w:tcPr>
          <w:p w14:paraId="286C79B8"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w:t>
            </w:r>
          </w:p>
        </w:tc>
        <w:tc>
          <w:tcPr>
            <w:tcW w:w="881" w:type="pct"/>
            <w:tcBorders>
              <w:top w:val="nil"/>
              <w:left w:val="nil"/>
              <w:bottom w:val="single" w:sz="4" w:space="0" w:color="auto"/>
              <w:right w:val="single" w:sz="8" w:space="0" w:color="auto"/>
            </w:tcBorders>
            <w:shd w:val="clear" w:color="auto" w:fill="auto"/>
            <w:noWrap/>
            <w:vAlign w:val="center"/>
            <w:hideMark/>
          </w:tcPr>
          <w:p w14:paraId="64865385" w14:textId="77777777" w:rsidR="005E543E" w:rsidRPr="005E543E" w:rsidRDefault="005E543E" w:rsidP="005E543E">
            <w:pPr>
              <w:widowControl/>
              <w:suppressLineNumbers w:val="0"/>
              <w:suppressAutoHyphens w:val="0"/>
              <w:ind w:firstLine="0"/>
              <w:jc w:val="right"/>
              <w:rPr>
                <w:color w:val="000000"/>
                <w:sz w:val="19"/>
                <w:szCs w:val="19"/>
              </w:rPr>
            </w:pPr>
            <w:r w:rsidRPr="005E543E">
              <w:rPr>
                <w:color w:val="000000"/>
                <w:sz w:val="19"/>
                <w:szCs w:val="19"/>
              </w:rPr>
              <w:t>1.221.073,99</w:t>
            </w:r>
          </w:p>
        </w:tc>
        <w:tc>
          <w:tcPr>
            <w:tcW w:w="318" w:type="pct"/>
            <w:tcBorders>
              <w:top w:val="nil"/>
              <w:left w:val="nil"/>
              <w:bottom w:val="single" w:sz="4" w:space="0" w:color="auto"/>
              <w:right w:val="single" w:sz="4" w:space="0" w:color="auto"/>
            </w:tcBorders>
            <w:shd w:val="clear" w:color="auto" w:fill="auto"/>
            <w:noWrap/>
            <w:vAlign w:val="center"/>
            <w:hideMark/>
          </w:tcPr>
          <w:p w14:paraId="103F00B1"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w:t>
            </w:r>
          </w:p>
        </w:tc>
        <w:tc>
          <w:tcPr>
            <w:tcW w:w="356" w:type="pct"/>
            <w:tcBorders>
              <w:top w:val="nil"/>
              <w:left w:val="nil"/>
              <w:bottom w:val="single" w:sz="4" w:space="0" w:color="auto"/>
              <w:right w:val="single" w:sz="4" w:space="0" w:color="auto"/>
            </w:tcBorders>
            <w:shd w:val="clear" w:color="auto" w:fill="auto"/>
            <w:noWrap/>
            <w:vAlign w:val="center"/>
            <w:hideMark/>
          </w:tcPr>
          <w:p w14:paraId="5C0A44F0"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w:t>
            </w:r>
          </w:p>
        </w:tc>
        <w:tc>
          <w:tcPr>
            <w:tcW w:w="616" w:type="pct"/>
            <w:tcBorders>
              <w:top w:val="nil"/>
              <w:left w:val="nil"/>
              <w:bottom w:val="single" w:sz="4" w:space="0" w:color="auto"/>
              <w:right w:val="single" w:sz="8" w:space="0" w:color="auto"/>
            </w:tcBorders>
            <w:shd w:val="clear" w:color="auto" w:fill="auto"/>
            <w:noWrap/>
            <w:vAlign w:val="center"/>
            <w:hideMark/>
          </w:tcPr>
          <w:p w14:paraId="1103A5B3"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108.263,78 </w:t>
            </w:r>
          </w:p>
        </w:tc>
        <w:tc>
          <w:tcPr>
            <w:tcW w:w="318" w:type="pct"/>
            <w:tcBorders>
              <w:top w:val="nil"/>
              <w:left w:val="nil"/>
              <w:bottom w:val="single" w:sz="4" w:space="0" w:color="auto"/>
              <w:right w:val="single" w:sz="4" w:space="0" w:color="auto"/>
            </w:tcBorders>
            <w:shd w:val="clear" w:color="auto" w:fill="auto"/>
            <w:noWrap/>
            <w:vAlign w:val="center"/>
            <w:hideMark/>
          </w:tcPr>
          <w:p w14:paraId="53F876D4"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w:t>
            </w:r>
          </w:p>
        </w:tc>
        <w:tc>
          <w:tcPr>
            <w:tcW w:w="356" w:type="pct"/>
            <w:tcBorders>
              <w:top w:val="nil"/>
              <w:left w:val="nil"/>
              <w:bottom w:val="single" w:sz="4" w:space="0" w:color="auto"/>
              <w:right w:val="single" w:sz="4" w:space="0" w:color="auto"/>
            </w:tcBorders>
            <w:shd w:val="clear" w:color="auto" w:fill="auto"/>
            <w:noWrap/>
            <w:vAlign w:val="center"/>
            <w:hideMark/>
          </w:tcPr>
          <w:p w14:paraId="7DF382B2" w14:textId="77777777" w:rsidR="005E543E" w:rsidRPr="005E543E" w:rsidRDefault="005E543E" w:rsidP="005E543E">
            <w:pPr>
              <w:widowControl/>
              <w:suppressLineNumbers w:val="0"/>
              <w:suppressAutoHyphens w:val="0"/>
              <w:ind w:firstLine="0"/>
              <w:jc w:val="center"/>
              <w:rPr>
                <w:color w:val="000000"/>
                <w:sz w:val="19"/>
                <w:szCs w:val="19"/>
              </w:rPr>
            </w:pPr>
            <w:r w:rsidRPr="005E543E">
              <w:rPr>
                <w:color w:val="000000"/>
                <w:sz w:val="19"/>
                <w:szCs w:val="19"/>
              </w:rPr>
              <w:t>-</w:t>
            </w:r>
          </w:p>
        </w:tc>
        <w:tc>
          <w:tcPr>
            <w:tcW w:w="616" w:type="pct"/>
            <w:tcBorders>
              <w:top w:val="nil"/>
              <w:left w:val="nil"/>
              <w:bottom w:val="single" w:sz="4" w:space="0" w:color="auto"/>
              <w:right w:val="single" w:sz="8" w:space="0" w:color="auto"/>
            </w:tcBorders>
            <w:shd w:val="clear" w:color="auto" w:fill="auto"/>
            <w:noWrap/>
            <w:vAlign w:val="center"/>
            <w:hideMark/>
          </w:tcPr>
          <w:p w14:paraId="01E9E526"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113.303,78 </w:t>
            </w:r>
          </w:p>
        </w:tc>
        <w:tc>
          <w:tcPr>
            <w:tcW w:w="561" w:type="pct"/>
            <w:tcBorders>
              <w:top w:val="nil"/>
              <w:left w:val="nil"/>
              <w:bottom w:val="single" w:sz="4" w:space="0" w:color="auto"/>
              <w:right w:val="nil"/>
            </w:tcBorders>
            <w:shd w:val="clear" w:color="auto" w:fill="auto"/>
            <w:noWrap/>
            <w:vAlign w:val="center"/>
            <w:hideMark/>
          </w:tcPr>
          <w:p w14:paraId="0508874C" w14:textId="77777777" w:rsidR="005E543E" w:rsidRPr="005E543E" w:rsidRDefault="005E543E" w:rsidP="005E543E">
            <w:pPr>
              <w:widowControl/>
              <w:suppressLineNumbers w:val="0"/>
              <w:suppressAutoHyphens w:val="0"/>
              <w:ind w:firstLine="0"/>
              <w:jc w:val="left"/>
              <w:rPr>
                <w:color w:val="000000"/>
                <w:sz w:val="19"/>
                <w:szCs w:val="19"/>
              </w:rPr>
            </w:pPr>
            <w:r w:rsidRPr="005E543E">
              <w:rPr>
                <w:color w:val="000000"/>
                <w:sz w:val="19"/>
                <w:szCs w:val="19"/>
              </w:rPr>
              <w:t xml:space="preserve">    5.040,00 </w:t>
            </w:r>
          </w:p>
        </w:tc>
      </w:tr>
    </w:tbl>
    <w:p w14:paraId="2E2583D9" w14:textId="52E91322" w:rsidR="0093419F" w:rsidRPr="00E86FB3" w:rsidRDefault="00E86FB3" w:rsidP="00E86FB3">
      <w:pPr>
        <w:spacing w:after="117" w:line="259" w:lineRule="auto"/>
        <w:ind w:firstLine="0"/>
        <w:rPr>
          <w:sz w:val="20"/>
        </w:rPr>
      </w:pPr>
      <w:r w:rsidRPr="00E86FB3">
        <w:rPr>
          <w:sz w:val="20"/>
        </w:rPr>
        <w:t>Fonte: Dados da pesquisa (2019).</w:t>
      </w:r>
    </w:p>
    <w:p w14:paraId="36300581" w14:textId="77777777" w:rsidR="00660B54" w:rsidRDefault="0046756F" w:rsidP="00660B54">
      <w:pPr>
        <w:widowControl/>
        <w:suppressLineNumbers w:val="0"/>
        <w:suppressAutoHyphens w:val="0"/>
        <w:ind w:firstLine="694"/>
      </w:pPr>
      <w:r w:rsidRPr="000D4AE1">
        <w:rPr>
          <w:szCs w:val="24"/>
        </w:rPr>
        <w:lastRenderedPageBreak/>
        <w:t>Ao verificar a tabela</w:t>
      </w:r>
      <w:r w:rsidR="00090153">
        <w:rPr>
          <w:szCs w:val="24"/>
        </w:rPr>
        <w:t xml:space="preserve"> 5</w:t>
      </w:r>
      <w:r w:rsidR="003B2075">
        <w:rPr>
          <w:szCs w:val="24"/>
        </w:rPr>
        <w:t xml:space="preserve">, </w:t>
      </w:r>
      <w:r w:rsidRPr="000D4AE1">
        <w:rPr>
          <w:szCs w:val="24"/>
        </w:rPr>
        <w:t>nota-se</w:t>
      </w:r>
      <w:r w:rsidR="004B0E27" w:rsidRPr="000D4AE1">
        <w:rPr>
          <w:szCs w:val="24"/>
        </w:rPr>
        <w:t>, que</w:t>
      </w:r>
      <w:r w:rsidR="000D4AE1">
        <w:rPr>
          <w:szCs w:val="24"/>
        </w:rPr>
        <w:t xml:space="preserve"> </w:t>
      </w:r>
      <w:r w:rsidR="00465509">
        <w:rPr>
          <w:szCs w:val="24"/>
        </w:rPr>
        <w:t xml:space="preserve">os valores apurados pela </w:t>
      </w:r>
      <w:r w:rsidR="00465509" w:rsidRPr="000D4AE1">
        <w:rPr>
          <w:szCs w:val="24"/>
        </w:rPr>
        <w:t xml:space="preserve">metodologia de cálculo </w:t>
      </w:r>
      <w:r w:rsidR="00DF70E7">
        <w:rPr>
          <w:szCs w:val="24"/>
        </w:rPr>
        <w:t>conforme a</w:t>
      </w:r>
      <w:r w:rsidR="000D4AE1" w:rsidRPr="000D4AE1">
        <w:rPr>
          <w:szCs w:val="24"/>
        </w:rPr>
        <w:t xml:space="preserve"> Lei Complementar nº 155/2016</w:t>
      </w:r>
      <w:r w:rsidR="000D4AE1">
        <w:rPr>
          <w:szCs w:val="24"/>
        </w:rPr>
        <w:t xml:space="preserve">, </w:t>
      </w:r>
      <w:r w:rsidR="004B0E27" w:rsidRPr="000D4AE1">
        <w:rPr>
          <w:szCs w:val="24"/>
        </w:rPr>
        <w:t>quando confrontad</w:t>
      </w:r>
      <w:r w:rsidR="000D4AE1">
        <w:rPr>
          <w:szCs w:val="24"/>
        </w:rPr>
        <w:t>o</w:t>
      </w:r>
      <w:r w:rsidR="004B0E27" w:rsidRPr="000D4AE1">
        <w:rPr>
          <w:szCs w:val="24"/>
        </w:rPr>
        <w:t xml:space="preserve"> aos métodos de cálculo </w:t>
      </w:r>
      <w:r w:rsidR="000D4AE1" w:rsidRPr="000D4AE1">
        <w:rPr>
          <w:szCs w:val="24"/>
        </w:rPr>
        <w:t>anterior (</w:t>
      </w:r>
      <w:r w:rsidR="000D4AE1" w:rsidRPr="005E543E">
        <w:rPr>
          <w:color w:val="000000"/>
          <w:szCs w:val="24"/>
        </w:rPr>
        <w:t>LC n°123/2006</w:t>
      </w:r>
      <w:r w:rsidR="000D4AE1" w:rsidRPr="000D4AE1">
        <w:rPr>
          <w:color w:val="000000"/>
          <w:szCs w:val="24"/>
        </w:rPr>
        <w:t xml:space="preserve">) </w:t>
      </w:r>
      <w:r w:rsidR="000D4AE1">
        <w:rPr>
          <w:szCs w:val="24"/>
        </w:rPr>
        <w:t>apresentam</w:t>
      </w:r>
      <w:r w:rsidRPr="000D4AE1">
        <w:rPr>
          <w:szCs w:val="24"/>
        </w:rPr>
        <w:t xml:space="preserve"> majoração.</w:t>
      </w:r>
      <w:r w:rsidR="00703CAB" w:rsidRPr="000D4AE1">
        <w:rPr>
          <w:szCs w:val="24"/>
        </w:rPr>
        <w:t xml:space="preserve"> </w:t>
      </w:r>
      <w:r w:rsidR="000D4AE1">
        <w:rPr>
          <w:szCs w:val="24"/>
        </w:rPr>
        <w:t xml:space="preserve">A </w:t>
      </w:r>
      <w:r w:rsidR="00703CAB" w:rsidRPr="000D4AE1">
        <w:rPr>
          <w:szCs w:val="24"/>
        </w:rPr>
        <w:t xml:space="preserve">empresa que pagaria R$108.263,78 </w:t>
      </w:r>
      <w:r w:rsidR="000D4AE1">
        <w:rPr>
          <w:szCs w:val="24"/>
        </w:rPr>
        <w:t xml:space="preserve">acumulados no ano, </w:t>
      </w:r>
      <w:r w:rsidR="00703CAB" w:rsidRPr="000D4AE1">
        <w:rPr>
          <w:szCs w:val="24"/>
        </w:rPr>
        <w:t>com a nova legislação</w:t>
      </w:r>
      <w:r w:rsidR="000D4AE1">
        <w:rPr>
          <w:szCs w:val="24"/>
        </w:rPr>
        <w:t xml:space="preserve"> passa a recolher o montante de R$ 113.303,78. Uma diferença de </w:t>
      </w:r>
      <w:r w:rsidR="000D4AE1" w:rsidRPr="000D4AE1">
        <w:rPr>
          <w:szCs w:val="24"/>
        </w:rPr>
        <w:t>R</w:t>
      </w:r>
      <w:r w:rsidR="00703CAB" w:rsidRPr="000D4AE1">
        <w:rPr>
          <w:szCs w:val="24"/>
        </w:rPr>
        <w:t>$5.040,00</w:t>
      </w:r>
      <w:r w:rsidR="000D4AE1">
        <w:rPr>
          <w:szCs w:val="24"/>
        </w:rPr>
        <w:t xml:space="preserve"> ao ano. Vale ressaltar que a base de cálculo, ou seja, </w:t>
      </w:r>
      <w:r w:rsidR="000D4AE1" w:rsidRPr="000D4AE1">
        <w:rPr>
          <w:szCs w:val="24"/>
        </w:rPr>
        <w:t>a grandeza econômica sobre a qual se aplica a alíquota para calcular a quantia a pagar</w:t>
      </w:r>
      <w:r w:rsidR="00DD1DC4">
        <w:rPr>
          <w:szCs w:val="24"/>
        </w:rPr>
        <w:t>, é mesma para ambos os métodos</w:t>
      </w:r>
      <w:r w:rsidR="00DD1DC4">
        <w:t xml:space="preserve">.  </w:t>
      </w:r>
    </w:p>
    <w:p w14:paraId="1EB17E91" w14:textId="1EF39B3F" w:rsidR="00703CAB" w:rsidRPr="00B07A27" w:rsidRDefault="00DD1DC4" w:rsidP="00660B54">
      <w:pPr>
        <w:widowControl/>
        <w:suppressLineNumbers w:val="0"/>
        <w:suppressAutoHyphens w:val="0"/>
        <w:ind w:firstLine="694"/>
        <w:rPr>
          <w:szCs w:val="24"/>
        </w:rPr>
      </w:pPr>
      <w:r>
        <w:t xml:space="preserve">Não existindo outras variáveis intervenientes para este comparativo de cálculo é possível afirmar que </w:t>
      </w:r>
      <w:r w:rsidR="0008011B">
        <w:t>a LC</w:t>
      </w:r>
      <w:r w:rsidR="00703CAB">
        <w:t xml:space="preserve"> nº 155/2016, tornou o recolhimento dos </w:t>
      </w:r>
      <w:r w:rsidR="00660B54">
        <w:t>tributos mais</w:t>
      </w:r>
      <w:r w:rsidR="00703CAB">
        <w:t xml:space="preserve"> oneroso.  </w:t>
      </w:r>
      <w:r w:rsidR="00660B54">
        <w:rPr>
          <w:szCs w:val="24"/>
        </w:rPr>
        <w:t xml:space="preserve"> </w:t>
      </w:r>
      <w:r w:rsidR="00CB7AB1">
        <w:t xml:space="preserve">A </w:t>
      </w:r>
      <w:r w:rsidR="00703CAB">
        <w:t>lei em vigência resultou em um aumento de 4,66%</w:t>
      </w:r>
      <w:r w:rsidR="00CB7AB1">
        <w:t xml:space="preserve"> nos valores recolhidos</w:t>
      </w:r>
      <w:r w:rsidR="00703CAB">
        <w:t xml:space="preserve">. </w:t>
      </w:r>
      <w:r w:rsidR="00660B54">
        <w:t xml:space="preserve">Esses resultados são convergentes com Lima, Santos e </w:t>
      </w:r>
      <w:proofErr w:type="spellStart"/>
      <w:r w:rsidR="00660B54">
        <w:t>Paranaiba</w:t>
      </w:r>
      <w:proofErr w:type="spellEnd"/>
      <w:r w:rsidR="00660B54">
        <w:t xml:space="preserve"> (2019</w:t>
      </w:r>
      <w:r w:rsidR="00D02C7B">
        <w:t>) visto</w:t>
      </w:r>
      <w:r w:rsidR="003343C1">
        <w:t xml:space="preserve"> que se confirma que as empresas do segmento industrial </w:t>
      </w:r>
      <w:r w:rsidR="003343C1" w:rsidRPr="00B07A27">
        <w:t>com apresentaram o Das mais oneroso.</w:t>
      </w:r>
    </w:p>
    <w:p w14:paraId="0D0A322F" w14:textId="780C6A23" w:rsidR="00681CAE" w:rsidRDefault="00924B68" w:rsidP="003F4D1B">
      <w:pPr>
        <w:ind w:left="-15"/>
      </w:pPr>
      <w:r w:rsidRPr="00B07A27">
        <w:t>É importante frisar, que o Simples Nacional tem como premissa ser um regime tributário diferenciado, que apoia o desenvolvimento e a competitividade das empresas ME e EPP</w:t>
      </w:r>
      <w:r w:rsidRPr="00B07A27">
        <w:rPr>
          <w:color w:val="000000"/>
        </w:rPr>
        <w:t xml:space="preserve">. </w:t>
      </w:r>
      <w:r w:rsidRPr="00B07A27">
        <w:t>No entanto, o</w:t>
      </w:r>
      <w:r w:rsidR="00261DF1" w:rsidRPr="00B07A27">
        <w:t>s reflexos da majoração</w:t>
      </w:r>
      <w:r w:rsidR="00C653F6" w:rsidRPr="00B07A27">
        <w:t xml:space="preserve"> apresentada </w:t>
      </w:r>
      <w:r w:rsidR="00261DF1" w:rsidRPr="00B07A27">
        <w:t xml:space="preserve">acima, foram sentidas não somente </w:t>
      </w:r>
      <w:r w:rsidR="00697613" w:rsidRPr="00B07A27">
        <w:t>no fluxo</w:t>
      </w:r>
      <w:r w:rsidR="00703CAB" w:rsidRPr="00B07A27">
        <w:t xml:space="preserve"> de caixa </w:t>
      </w:r>
      <w:r w:rsidR="00697613" w:rsidRPr="00B07A27">
        <w:t>financeiro</w:t>
      </w:r>
      <w:r w:rsidRPr="00B07A27">
        <w:t xml:space="preserve"> da empresa</w:t>
      </w:r>
      <w:r w:rsidR="00697613" w:rsidRPr="00B07A27">
        <w:t>, como</w:t>
      </w:r>
      <w:r w:rsidR="00703CAB" w:rsidRPr="00B07A27">
        <w:t xml:space="preserve"> também na sua competitividade </w:t>
      </w:r>
      <w:r w:rsidR="00697613" w:rsidRPr="00B07A27">
        <w:t>de</w:t>
      </w:r>
      <w:r w:rsidR="00703CAB" w:rsidRPr="00B07A27">
        <w:t xml:space="preserve"> mercado.</w:t>
      </w:r>
      <w:r w:rsidR="00697613" w:rsidRPr="00924B68">
        <w:t xml:space="preserve"> </w:t>
      </w:r>
    </w:p>
    <w:p w14:paraId="299C6D30" w14:textId="77777777" w:rsidR="00681CAE" w:rsidRPr="00F31C6D" w:rsidRDefault="00681CAE" w:rsidP="00BD6715">
      <w:pPr>
        <w:spacing w:after="1"/>
        <w:ind w:left="-15" w:right="113" w:firstLine="708"/>
      </w:pPr>
    </w:p>
    <w:p w14:paraId="75BAF736" w14:textId="77777777" w:rsidR="0025461A" w:rsidRPr="00F31C6D" w:rsidRDefault="0025461A" w:rsidP="0025461A">
      <w:pPr>
        <w:ind w:firstLine="0"/>
        <w:rPr>
          <w:b/>
          <w:bCs/>
        </w:rPr>
      </w:pPr>
      <w:r w:rsidRPr="00F31C6D">
        <w:rPr>
          <w:b/>
          <w:bCs/>
        </w:rPr>
        <w:t xml:space="preserve">5 CONSIDERAÇÕES FINAIS </w:t>
      </w:r>
    </w:p>
    <w:p w14:paraId="19574221" w14:textId="02B32168" w:rsidR="002A77E4" w:rsidRPr="00B07A27" w:rsidRDefault="0025461A" w:rsidP="003F4D1B">
      <w:pPr>
        <w:ind w:firstLine="0"/>
      </w:pPr>
      <w:r w:rsidRPr="00F31C6D">
        <w:t xml:space="preserve"> </w:t>
      </w:r>
      <w:r w:rsidR="003F4D1B">
        <w:tab/>
      </w:r>
      <w:r w:rsidR="002A77E4" w:rsidRPr="00B07A27">
        <w:t xml:space="preserve">O estudo realizado, objetivou </w:t>
      </w:r>
      <w:r w:rsidR="008177C6" w:rsidRPr="00623FA4">
        <w:t>analisar se a apuração do Simples Nacional para uma empresa do segmento comercial na nova metodologia de cálculo (LC 155/2016) em relação a metodologia anterior (LC 123/2006) é mais onerosa do que para as empresas do segmento industrial.</w:t>
      </w:r>
    </w:p>
    <w:p w14:paraId="4390A6F5" w14:textId="69CFD86D" w:rsidR="002A77E4" w:rsidRDefault="002A77E4" w:rsidP="002A77E4">
      <w:pPr>
        <w:ind w:left="-15"/>
      </w:pPr>
      <w:r w:rsidRPr="00B07A27">
        <w:t xml:space="preserve">É necessário destacar a importância deste regime </w:t>
      </w:r>
      <w:r w:rsidR="008A2C5A" w:rsidRPr="00B07A27">
        <w:t>tributário</w:t>
      </w:r>
      <w:r w:rsidRPr="00B07A27">
        <w:t xml:space="preserve"> para algumas empresas, essencialmente, para as </w:t>
      </w:r>
      <w:proofErr w:type="spellStart"/>
      <w:r w:rsidRPr="00B07A27">
        <w:t>MPEs</w:t>
      </w:r>
      <w:proofErr w:type="spellEnd"/>
      <w:r w:rsidRPr="00B07A27">
        <w:t>, pois exercem papel fundamental no desenvolvimento do país, visto que geram mais empregos</w:t>
      </w:r>
      <w:r>
        <w:t xml:space="preserve"> e movimentam a economia nacional. Foi </w:t>
      </w:r>
      <w:r w:rsidR="00A04802">
        <w:t>mediante as</w:t>
      </w:r>
      <w:r>
        <w:t xml:space="preserve"> dificuldades da permanência das empresas no mercado, que no ano de 2006 foi criado o Estatuto das Micro e Pequenas Empresas, materializando o conhecido Simples Nacional através da Lei Complementar 123/2006, com vistas a necessidade de um sistema tributário diferenciado, para que assim, a economia se desenvolvesse e as </w:t>
      </w:r>
      <w:proofErr w:type="spellStart"/>
      <w:r>
        <w:t>MPEs</w:t>
      </w:r>
      <w:proofErr w:type="spellEnd"/>
      <w:r>
        <w:t xml:space="preserve"> pudessem crescer. </w:t>
      </w:r>
    </w:p>
    <w:p w14:paraId="1F61DCF9" w14:textId="77777777" w:rsidR="002A77E4" w:rsidRDefault="002A77E4" w:rsidP="002A77E4">
      <w:pPr>
        <w:ind w:left="-15"/>
      </w:pPr>
      <w:r>
        <w:t xml:space="preserve">O Simples Nacional surgiu com o objetivo de simplificar a vida das empresas, com isso, unifica o pagamento de alguns tributos em uma única guia, evitando assim, diversas guias com vencimentos desiguais e possíveis problemas financeiros. Além disso, as empresas optantes por este regime, não tem obrigatoriedade em apresentar algumas obrigações e declarações fiscais, o que torna seus deveres menos burocráticos. Vale ressaltar, que o Simples Nacional trouxe significantes benefícios para o país, pois fortaleceu a economia, motivando as empresas permanecer no mercado e gerando novas oportunidades de emprego. </w:t>
      </w:r>
    </w:p>
    <w:p w14:paraId="0866F961" w14:textId="77777777" w:rsidR="002A77E4" w:rsidRDefault="002A77E4" w:rsidP="002A77E4">
      <w:pPr>
        <w:ind w:left="-15"/>
      </w:pPr>
      <w:r>
        <w:t xml:space="preserve">Esta pesquisa buscou demonstrar, através de cálculos e análises, a tributação imposta aos optantes deste regime de unificação dos tributos. Através do estudo, percebeu-se que no decorrer dos períodos analisados, as duas empresas obtiveram oscilações em seus faturamentos, em consequência disto, os valores destinados ao pagamento dos tributos também sofreram alterações.  </w:t>
      </w:r>
    </w:p>
    <w:p w14:paraId="7179A533" w14:textId="77777777" w:rsidR="002A77E4" w:rsidRDefault="002A77E4" w:rsidP="002A77E4">
      <w:pPr>
        <w:ind w:left="-15"/>
      </w:pPr>
      <w:r>
        <w:t xml:space="preserve">Para as duas metodologias de cálculo utilizadas, quanto maior o faturamento, maior o valor pago dos tributos. Porém, elas diferenciam-se em uma situação importante, o método de cálculo anterior já estabelecia uma alíquota para aplicar sobre a receita bruta mensal, isto, de acordo com a RBT12 do período. O cálculo era mais simples e havia a possibilidade das empresas, conforme o </w:t>
      </w:r>
      <w:r>
        <w:lastRenderedPageBreak/>
        <w:t xml:space="preserve">faturamento, continuar enquadradas na mesma faixa e sendo tributadas pela mesma alíquota durante todo o ano-calendário.  </w:t>
      </w:r>
    </w:p>
    <w:p w14:paraId="62C380BF" w14:textId="77777777" w:rsidR="002A77E4" w:rsidRDefault="002A77E4" w:rsidP="002A77E4">
      <w:pPr>
        <w:ind w:left="-15"/>
      </w:pPr>
      <w:r>
        <w:t xml:space="preserve">Com a nova Lei Complementar nº 155/2016, que altera a metodologia de cálculo do Simples Nacional, a apuração tornou-se mais complicada. Continua havendo uma alíquota nas tabelas que devem ser consideradas conforme a RBT12, no entanto, esta alíquota já existente, serve apenas para realizar o cálculo e encontrar a alíquota efetiva para a partir do percentual descoberto, aplicar este sobre a receita bruta mensal e identificar o valor a ser pago pelos tributos. Com essa alteração, todo mês as empresas obtêm uma alíquota diferente, ao contrário do método anterior de cálculo.  </w:t>
      </w:r>
    </w:p>
    <w:p w14:paraId="012F1CE5" w14:textId="156EB55D" w:rsidR="002A77E4" w:rsidRDefault="002A77E4" w:rsidP="002A77E4">
      <w:pPr>
        <w:ind w:left="-15"/>
      </w:pPr>
      <w:r>
        <w:t xml:space="preserve">Pode-se perceber que as mudanças no Simples Nacional, ocasionaram no aumento da alíquota efetiva para a maioria das atividades e além disso, a carga tributária também cresceu. As análises desta pesquisa, comprovaram que para ambos setores – indústria e comércio –, a tributação foi maior quando considerado o novo cálculo para apuração dos tributos e comparado à metodologia anterior. </w:t>
      </w:r>
    </w:p>
    <w:p w14:paraId="53307B57" w14:textId="65AEC541" w:rsidR="00DD63AF" w:rsidRDefault="00DD63AF" w:rsidP="002A77E4">
      <w:pPr>
        <w:ind w:left="-15"/>
      </w:pPr>
      <w:r>
        <w:t xml:space="preserve">Destarte esta pesquisa gera implicações teóricas, visto que em relação as formas de cálculo dos tributos e seus impactos na arrecadação. Ao considerar que a literatura em contabilidade que trata sobre aspectos tributários vem crescendo, acredita-se que esta pesquisa, buscará contribuir nestes </w:t>
      </w:r>
      <w:r w:rsidR="00891C6A">
        <w:t xml:space="preserve">aspectos. Também gera implicações práticas visto que possibilitaram um melhor planejamento tributário aos gestores das empresas que exercem suas atividades neste segmento que se estudou neste artigo. </w:t>
      </w:r>
    </w:p>
    <w:p w14:paraId="538095C0" w14:textId="36F670E0" w:rsidR="002A77E4" w:rsidRDefault="002A77E4" w:rsidP="002A77E4">
      <w:pPr>
        <w:ind w:left="-15"/>
      </w:pPr>
      <w:r>
        <w:t>O estudo revelou ainda que as mudanças impostas pelo Fisco afetam dos contribuintes, que muitas vezes não acompanham as alterações nas legislações que os atingem. Diante desse ponto, uma recomendação importante é que o profissional contábil oriente seus clientes sobre essas alterações na matéria tributária, especialmente porque impactam diretamente nos recursos financeiros destas pequenas empresas.</w:t>
      </w:r>
      <w:r w:rsidR="004D53FE">
        <w:t xml:space="preserve"> </w:t>
      </w:r>
    </w:p>
    <w:p w14:paraId="2755257B" w14:textId="22D945D0" w:rsidR="004D53FE" w:rsidRDefault="004D53FE" w:rsidP="002A77E4">
      <w:pPr>
        <w:ind w:left="-15"/>
      </w:pPr>
      <w:r>
        <w:t>Esta pesquisa gera recomendações para futuros estudos, como, efetuar um comparativo entre diferentes regimes tributários como por exemplo, Lucro resumido versus simples nacional. Cabe ainda salientar que entender de maneira aprofunda as diferenças entre o regime tributário permite melhorar planejamento tributário das empresas.</w:t>
      </w:r>
    </w:p>
    <w:p w14:paraId="2301D743" w14:textId="77777777" w:rsidR="003C64EF" w:rsidRDefault="003C64EF" w:rsidP="00E936A9">
      <w:pPr>
        <w:rPr>
          <w:sz w:val="20"/>
        </w:rPr>
      </w:pPr>
      <w:r>
        <w:rPr>
          <w:rFonts w:eastAsia="Arial"/>
        </w:rPr>
        <w:fldChar w:fldCharType="begin"/>
      </w:r>
      <w:r>
        <w:rPr>
          <w:rFonts w:eastAsia="Arial"/>
        </w:rPr>
        <w:instrText xml:space="preserve"> LINK Excel.Sheet.12 "D:\\TCC\\Cópia de PRONTA - Cópia de Tbl.xlsx" "novo!L2C2:L17C11" \a \f 4 \h </w:instrText>
      </w:r>
      <w:r>
        <w:rPr>
          <w:rFonts w:eastAsia="Arial"/>
        </w:rPr>
        <w:fldChar w:fldCharType="separate"/>
      </w:r>
    </w:p>
    <w:p w14:paraId="36A6D422" w14:textId="703FDB4B" w:rsidR="00D67FBF" w:rsidRPr="00E86FB3" w:rsidRDefault="003C64EF" w:rsidP="0093419F">
      <w:pPr>
        <w:ind w:firstLine="0"/>
        <w:rPr>
          <w:b/>
          <w:bCs/>
          <w:szCs w:val="24"/>
          <w:shd w:val="clear" w:color="auto" w:fill="FFFFFF"/>
        </w:rPr>
      </w:pPr>
      <w:r>
        <w:rPr>
          <w:rFonts w:eastAsia="Arial"/>
          <w:iCs/>
          <w:szCs w:val="24"/>
        </w:rPr>
        <w:fldChar w:fldCharType="end"/>
      </w:r>
      <w:r w:rsidR="00D67FBF" w:rsidRPr="00E86FB3">
        <w:rPr>
          <w:b/>
          <w:bCs/>
          <w:szCs w:val="24"/>
          <w:shd w:val="clear" w:color="auto" w:fill="FFFFFF"/>
        </w:rPr>
        <w:t>Referencias</w:t>
      </w:r>
      <w:r w:rsidR="00E126D7" w:rsidRPr="00E86FB3">
        <w:rPr>
          <w:b/>
          <w:bCs/>
          <w:szCs w:val="24"/>
          <w:shd w:val="clear" w:color="auto" w:fill="FFFFFF"/>
        </w:rPr>
        <w:t xml:space="preserve"> </w:t>
      </w:r>
    </w:p>
    <w:p w14:paraId="5CCC16D0" w14:textId="77777777" w:rsidR="00C559E0" w:rsidRDefault="00C559E0" w:rsidP="00C559E0">
      <w:pPr>
        <w:ind w:left="567" w:hanging="567"/>
        <w:rPr>
          <w:szCs w:val="24"/>
          <w:shd w:val="clear" w:color="auto" w:fill="FFFFFF"/>
        </w:rPr>
      </w:pPr>
    </w:p>
    <w:p w14:paraId="3388631F" w14:textId="77777777" w:rsidR="006D6878" w:rsidRPr="00C559E0" w:rsidRDefault="006D6878" w:rsidP="00C559E0">
      <w:pPr>
        <w:spacing w:after="240"/>
        <w:ind w:left="567" w:hanging="567"/>
        <w:rPr>
          <w:szCs w:val="24"/>
          <w:shd w:val="clear" w:color="auto" w:fill="FFFFFF"/>
        </w:rPr>
      </w:pPr>
      <w:r w:rsidRPr="00C559E0">
        <w:rPr>
          <w:szCs w:val="24"/>
          <w:shd w:val="clear" w:color="auto" w:fill="FFFFFF"/>
        </w:rPr>
        <w:t xml:space="preserve">ANDRADE, J. S. </w:t>
      </w:r>
      <w:r>
        <w:rPr>
          <w:szCs w:val="24"/>
          <w:shd w:val="clear" w:color="auto" w:fill="FFFFFF"/>
        </w:rPr>
        <w:t>(</w:t>
      </w:r>
      <w:r w:rsidRPr="00C559E0">
        <w:rPr>
          <w:szCs w:val="24"/>
          <w:shd w:val="clear" w:color="auto" w:fill="FFFFFF"/>
        </w:rPr>
        <w:t>2010</w:t>
      </w:r>
      <w:r>
        <w:rPr>
          <w:szCs w:val="24"/>
          <w:shd w:val="clear" w:color="auto" w:fill="FFFFFF"/>
        </w:rPr>
        <w:t>)</w:t>
      </w:r>
      <w:r w:rsidRPr="00C559E0">
        <w:rPr>
          <w:szCs w:val="24"/>
          <w:shd w:val="clear" w:color="auto" w:fill="FFFFFF"/>
        </w:rPr>
        <w:t>.  Vantagens e Desvantagens do Simples Nacional. 21 f. Projeto de Pesquisa (Ciências Contábeis) - Universidade Federal do Rio Grande do Sul, Porto Alegre, 2010. Disponível em:  &lt;http://www.lume.ufrgs.br/</w:t>
      </w:r>
      <w:proofErr w:type="spellStart"/>
      <w:r w:rsidRPr="00C559E0">
        <w:rPr>
          <w:szCs w:val="24"/>
          <w:shd w:val="clear" w:color="auto" w:fill="FFFFFF"/>
        </w:rPr>
        <w:t>handle</w:t>
      </w:r>
      <w:proofErr w:type="spellEnd"/>
      <w:r w:rsidRPr="00C559E0">
        <w:rPr>
          <w:szCs w:val="24"/>
          <w:shd w:val="clear" w:color="auto" w:fill="FFFFFF"/>
        </w:rPr>
        <w:t>/10183/25729&gt;. Acesso em: 31 maio 2018.</w:t>
      </w:r>
    </w:p>
    <w:p w14:paraId="124F7CFF" w14:textId="77777777" w:rsidR="006D6878" w:rsidRPr="00C559E0" w:rsidRDefault="006D6878" w:rsidP="00F93BF5">
      <w:pPr>
        <w:spacing w:after="240"/>
        <w:ind w:left="567" w:hanging="567"/>
        <w:rPr>
          <w:szCs w:val="24"/>
          <w:shd w:val="clear" w:color="auto" w:fill="FFFFFF"/>
        </w:rPr>
      </w:pPr>
      <w:r w:rsidRPr="00C559E0">
        <w:rPr>
          <w:szCs w:val="24"/>
          <w:shd w:val="clear" w:color="auto" w:fill="FFFFFF"/>
        </w:rPr>
        <w:t xml:space="preserve">BRASIL. </w:t>
      </w:r>
      <w:r>
        <w:rPr>
          <w:szCs w:val="24"/>
          <w:shd w:val="clear" w:color="auto" w:fill="FFFFFF"/>
        </w:rPr>
        <w:t>(</w:t>
      </w:r>
      <w:r w:rsidRPr="00C559E0">
        <w:rPr>
          <w:szCs w:val="24"/>
          <w:shd w:val="clear" w:color="auto" w:fill="FFFFFF"/>
        </w:rPr>
        <w:t>1988</w:t>
      </w:r>
      <w:r>
        <w:rPr>
          <w:szCs w:val="24"/>
          <w:shd w:val="clear" w:color="auto" w:fill="FFFFFF"/>
        </w:rPr>
        <w:t>)</w:t>
      </w:r>
      <w:r w:rsidRPr="00C559E0">
        <w:rPr>
          <w:szCs w:val="24"/>
          <w:shd w:val="clear" w:color="auto" w:fill="FFFFFF"/>
        </w:rPr>
        <w:t xml:space="preserve">. </w:t>
      </w:r>
      <w:r w:rsidRPr="00C559E0">
        <w:rPr>
          <w:szCs w:val="24"/>
          <w:shd w:val="clear" w:color="auto" w:fill="FFFFFF"/>
        </w:rPr>
        <w:tab/>
        <w:t xml:space="preserve">Constituição </w:t>
      </w:r>
      <w:r w:rsidRPr="00C559E0">
        <w:rPr>
          <w:szCs w:val="24"/>
          <w:shd w:val="clear" w:color="auto" w:fill="FFFFFF"/>
        </w:rPr>
        <w:tab/>
        <w:t xml:space="preserve">Federal. </w:t>
      </w:r>
      <w:r w:rsidRPr="00C559E0">
        <w:rPr>
          <w:szCs w:val="24"/>
          <w:shd w:val="clear" w:color="auto" w:fill="FFFFFF"/>
        </w:rPr>
        <w:tab/>
        <w:t xml:space="preserve">Disponível </w:t>
      </w:r>
      <w:r w:rsidRPr="00C559E0">
        <w:rPr>
          <w:szCs w:val="24"/>
          <w:shd w:val="clear" w:color="auto" w:fill="FFFFFF"/>
        </w:rPr>
        <w:tab/>
        <w:t>em: &lt;http://www.planalto.gov.br/ccivil_03/constituicao/constituicaocompilado.htm&gt;. Acesso em: 14 mar. 2018</w:t>
      </w:r>
    </w:p>
    <w:p w14:paraId="0E7B0939" w14:textId="77777777" w:rsidR="006D6878" w:rsidRPr="00C559E0" w:rsidRDefault="006D6878" w:rsidP="00C559E0">
      <w:pPr>
        <w:spacing w:after="240"/>
        <w:ind w:left="567" w:hanging="567"/>
        <w:rPr>
          <w:szCs w:val="24"/>
          <w:shd w:val="clear" w:color="auto" w:fill="FFFFFF"/>
        </w:rPr>
      </w:pPr>
      <w:r w:rsidRPr="00C559E0">
        <w:rPr>
          <w:sz w:val="23"/>
          <w:szCs w:val="23"/>
        </w:rPr>
        <w:t>BRASIL</w:t>
      </w:r>
      <w:r w:rsidRPr="00C559E0">
        <w:rPr>
          <w:szCs w:val="24"/>
          <w:shd w:val="clear" w:color="auto" w:fill="FFFFFF"/>
        </w:rPr>
        <w:t xml:space="preserve">. Lei Complementar nº 123, de 14 de dezembro de </w:t>
      </w:r>
      <w:r>
        <w:rPr>
          <w:szCs w:val="24"/>
          <w:shd w:val="clear" w:color="auto" w:fill="FFFFFF"/>
        </w:rPr>
        <w:t>(</w:t>
      </w:r>
      <w:r w:rsidRPr="00C559E0">
        <w:rPr>
          <w:szCs w:val="24"/>
          <w:shd w:val="clear" w:color="auto" w:fill="FFFFFF"/>
        </w:rPr>
        <w:t>2006</w:t>
      </w:r>
      <w:r>
        <w:rPr>
          <w:szCs w:val="24"/>
          <w:shd w:val="clear" w:color="auto" w:fill="FFFFFF"/>
        </w:rPr>
        <w:t>)</w:t>
      </w:r>
      <w:r w:rsidRPr="00C559E0">
        <w:rPr>
          <w:szCs w:val="24"/>
          <w:shd w:val="clear" w:color="auto" w:fill="FFFFFF"/>
        </w:rPr>
        <w:t xml:space="preserve">. Institui o Estatuto Nacional da Microempresa e da Empresa de Pequeno Porte e dá outras providências. Disponível em: </w:t>
      </w:r>
      <w:r w:rsidRPr="00C559E0">
        <w:rPr>
          <w:szCs w:val="24"/>
          <w:shd w:val="clear" w:color="auto" w:fill="FFFFFF"/>
        </w:rPr>
        <w:lastRenderedPageBreak/>
        <w:t>&lt;http://www.planalto.gov.br/ccivil_03/Leis/</w:t>
      </w:r>
      <w:proofErr w:type="spellStart"/>
      <w:r w:rsidRPr="00C559E0">
        <w:rPr>
          <w:szCs w:val="24"/>
          <w:shd w:val="clear" w:color="auto" w:fill="FFFFFF"/>
        </w:rPr>
        <w:t>lcp</w:t>
      </w:r>
      <w:proofErr w:type="spellEnd"/>
      <w:r w:rsidRPr="00C559E0">
        <w:rPr>
          <w:szCs w:val="24"/>
          <w:shd w:val="clear" w:color="auto" w:fill="FFFFFF"/>
        </w:rPr>
        <w:t>/lcp123.htm&gt;. Acesso em: 26 mar. 2018.</w:t>
      </w:r>
    </w:p>
    <w:p w14:paraId="211D873B" w14:textId="77777777" w:rsidR="006D6878" w:rsidRDefault="006D6878" w:rsidP="00C559E0">
      <w:pPr>
        <w:spacing w:after="240"/>
        <w:ind w:left="567" w:hanging="567"/>
        <w:rPr>
          <w:szCs w:val="24"/>
          <w:shd w:val="clear" w:color="auto" w:fill="FFFFFF"/>
        </w:rPr>
      </w:pPr>
      <w:r w:rsidRPr="00C559E0">
        <w:rPr>
          <w:sz w:val="23"/>
          <w:szCs w:val="23"/>
        </w:rPr>
        <w:t>BRASIL</w:t>
      </w:r>
      <w:r w:rsidRPr="00C559E0">
        <w:rPr>
          <w:szCs w:val="24"/>
          <w:shd w:val="clear" w:color="auto" w:fill="FFFFFF"/>
        </w:rPr>
        <w:t xml:space="preserve">. Lei Complementar nº 155, de 27 de outubro de </w:t>
      </w:r>
      <w:r>
        <w:rPr>
          <w:szCs w:val="24"/>
          <w:shd w:val="clear" w:color="auto" w:fill="FFFFFF"/>
        </w:rPr>
        <w:t>(</w:t>
      </w:r>
      <w:r w:rsidRPr="00C559E0">
        <w:rPr>
          <w:szCs w:val="24"/>
          <w:shd w:val="clear" w:color="auto" w:fill="FFFFFF"/>
        </w:rPr>
        <w:t>2016</w:t>
      </w:r>
      <w:r>
        <w:rPr>
          <w:szCs w:val="24"/>
          <w:shd w:val="clear" w:color="auto" w:fill="FFFFFF"/>
        </w:rPr>
        <w:t>)</w:t>
      </w:r>
      <w:r w:rsidRPr="00C559E0">
        <w:rPr>
          <w:szCs w:val="24"/>
          <w:shd w:val="clear" w:color="auto" w:fill="FFFFFF"/>
        </w:rPr>
        <w:t>. Altera a Lei Complementar no 123, de 14 de dezembro de 2006 e dá outras providências. Disponível em: &lt;http://www.planalto.gov.br/ccivil_03/Leis/</w:t>
      </w:r>
      <w:proofErr w:type="spellStart"/>
      <w:r w:rsidRPr="00C559E0">
        <w:rPr>
          <w:szCs w:val="24"/>
          <w:shd w:val="clear" w:color="auto" w:fill="FFFFFF"/>
        </w:rPr>
        <w:t>lcp</w:t>
      </w:r>
      <w:proofErr w:type="spellEnd"/>
      <w:r w:rsidRPr="00C559E0">
        <w:rPr>
          <w:szCs w:val="24"/>
          <w:shd w:val="clear" w:color="auto" w:fill="FFFFFF"/>
        </w:rPr>
        <w:t xml:space="preserve">/Lcp155.htm&gt;. Acesso em: 26 mar. 2018. </w:t>
      </w:r>
    </w:p>
    <w:p w14:paraId="04D9ACC4" w14:textId="77777777" w:rsidR="006D6878" w:rsidRPr="00C559E0" w:rsidRDefault="006D6878" w:rsidP="00C559E0">
      <w:pPr>
        <w:spacing w:after="240"/>
        <w:ind w:left="567" w:hanging="567"/>
        <w:rPr>
          <w:szCs w:val="24"/>
          <w:shd w:val="clear" w:color="auto" w:fill="FFFFFF"/>
        </w:rPr>
      </w:pPr>
      <w:r w:rsidRPr="00F93BF5">
        <w:rPr>
          <w:szCs w:val="24"/>
          <w:shd w:val="clear" w:color="auto" w:fill="FFFFFF"/>
        </w:rPr>
        <w:t xml:space="preserve">DILLARD, J. F., </w:t>
      </w:r>
      <w:proofErr w:type="spellStart"/>
      <w:r w:rsidRPr="00F93BF5">
        <w:rPr>
          <w:szCs w:val="24"/>
          <w:shd w:val="clear" w:color="auto" w:fill="FFFFFF"/>
        </w:rPr>
        <w:t>Rigsby</w:t>
      </w:r>
      <w:proofErr w:type="spellEnd"/>
      <w:r w:rsidRPr="00F93BF5">
        <w:rPr>
          <w:szCs w:val="24"/>
          <w:shd w:val="clear" w:color="auto" w:fill="FFFFFF"/>
        </w:rPr>
        <w:t xml:space="preserve">, J. T., &amp; Goodman, C. (2004). The making </w:t>
      </w:r>
      <w:proofErr w:type="spellStart"/>
      <w:r w:rsidRPr="00F93BF5">
        <w:rPr>
          <w:szCs w:val="24"/>
          <w:shd w:val="clear" w:color="auto" w:fill="FFFFFF"/>
        </w:rPr>
        <w:t>and</w:t>
      </w:r>
      <w:proofErr w:type="spellEnd"/>
      <w:r w:rsidRPr="00F93BF5">
        <w:rPr>
          <w:szCs w:val="24"/>
          <w:shd w:val="clear" w:color="auto" w:fill="FFFFFF"/>
        </w:rPr>
        <w:t xml:space="preserve"> </w:t>
      </w:r>
      <w:proofErr w:type="spellStart"/>
      <w:r w:rsidRPr="00F93BF5">
        <w:rPr>
          <w:szCs w:val="24"/>
          <w:shd w:val="clear" w:color="auto" w:fill="FFFFFF"/>
        </w:rPr>
        <w:t>remaking</w:t>
      </w:r>
      <w:proofErr w:type="spellEnd"/>
      <w:r w:rsidRPr="00F93BF5">
        <w:rPr>
          <w:szCs w:val="24"/>
          <w:shd w:val="clear" w:color="auto" w:fill="FFFFFF"/>
        </w:rPr>
        <w:t xml:space="preserve"> </w:t>
      </w:r>
      <w:proofErr w:type="spellStart"/>
      <w:r w:rsidRPr="00F93BF5">
        <w:rPr>
          <w:szCs w:val="24"/>
          <w:shd w:val="clear" w:color="auto" w:fill="FFFFFF"/>
        </w:rPr>
        <w:t>of</w:t>
      </w:r>
      <w:proofErr w:type="spellEnd"/>
      <w:r w:rsidRPr="00F93BF5">
        <w:rPr>
          <w:szCs w:val="24"/>
          <w:shd w:val="clear" w:color="auto" w:fill="FFFFFF"/>
        </w:rPr>
        <w:t xml:space="preserve"> </w:t>
      </w:r>
      <w:proofErr w:type="spellStart"/>
      <w:r w:rsidRPr="00F93BF5">
        <w:rPr>
          <w:szCs w:val="24"/>
          <w:shd w:val="clear" w:color="auto" w:fill="FFFFFF"/>
        </w:rPr>
        <w:t>organization</w:t>
      </w:r>
      <w:proofErr w:type="spellEnd"/>
      <w:r w:rsidRPr="00F93BF5">
        <w:rPr>
          <w:szCs w:val="24"/>
          <w:shd w:val="clear" w:color="auto" w:fill="FFFFFF"/>
        </w:rPr>
        <w:t xml:space="preserve"> </w:t>
      </w:r>
      <w:proofErr w:type="spellStart"/>
      <w:r w:rsidRPr="00F93BF5">
        <w:rPr>
          <w:szCs w:val="24"/>
          <w:shd w:val="clear" w:color="auto" w:fill="FFFFFF"/>
        </w:rPr>
        <w:t>context</w:t>
      </w:r>
      <w:proofErr w:type="spellEnd"/>
      <w:r w:rsidRPr="00F93BF5">
        <w:rPr>
          <w:szCs w:val="24"/>
          <w:shd w:val="clear" w:color="auto" w:fill="FFFFFF"/>
        </w:rPr>
        <w:t xml:space="preserve">: </w:t>
      </w:r>
      <w:proofErr w:type="spellStart"/>
      <w:r w:rsidRPr="00F93BF5">
        <w:rPr>
          <w:szCs w:val="24"/>
          <w:shd w:val="clear" w:color="auto" w:fill="FFFFFF"/>
        </w:rPr>
        <w:t>duality</w:t>
      </w:r>
      <w:proofErr w:type="spellEnd"/>
      <w:r w:rsidRPr="00F93BF5">
        <w:rPr>
          <w:szCs w:val="24"/>
          <w:shd w:val="clear" w:color="auto" w:fill="FFFFFF"/>
        </w:rPr>
        <w:t xml:space="preserve"> </w:t>
      </w:r>
      <w:proofErr w:type="spellStart"/>
      <w:r w:rsidRPr="00F93BF5">
        <w:rPr>
          <w:szCs w:val="24"/>
          <w:shd w:val="clear" w:color="auto" w:fill="FFFFFF"/>
        </w:rPr>
        <w:t>and</w:t>
      </w:r>
      <w:proofErr w:type="spellEnd"/>
      <w:r w:rsidRPr="00F93BF5">
        <w:rPr>
          <w:szCs w:val="24"/>
          <w:shd w:val="clear" w:color="auto" w:fill="FFFFFF"/>
        </w:rPr>
        <w:t xml:space="preserve"> </w:t>
      </w:r>
      <w:proofErr w:type="spellStart"/>
      <w:r w:rsidRPr="00F93BF5">
        <w:rPr>
          <w:szCs w:val="24"/>
          <w:shd w:val="clear" w:color="auto" w:fill="FFFFFF"/>
        </w:rPr>
        <w:t>the</w:t>
      </w:r>
      <w:proofErr w:type="spellEnd"/>
      <w:r w:rsidRPr="00F93BF5">
        <w:rPr>
          <w:szCs w:val="24"/>
          <w:shd w:val="clear" w:color="auto" w:fill="FFFFFF"/>
        </w:rPr>
        <w:t xml:space="preserve"> </w:t>
      </w:r>
      <w:proofErr w:type="spellStart"/>
      <w:r w:rsidRPr="00F93BF5">
        <w:rPr>
          <w:szCs w:val="24"/>
          <w:shd w:val="clear" w:color="auto" w:fill="FFFFFF"/>
        </w:rPr>
        <w:t>institutionalization</w:t>
      </w:r>
      <w:proofErr w:type="spellEnd"/>
      <w:r w:rsidRPr="00F93BF5">
        <w:rPr>
          <w:szCs w:val="24"/>
          <w:shd w:val="clear" w:color="auto" w:fill="FFFFFF"/>
        </w:rPr>
        <w:t xml:space="preserve"> </w:t>
      </w:r>
      <w:proofErr w:type="spellStart"/>
      <w:r w:rsidRPr="00F93BF5">
        <w:rPr>
          <w:szCs w:val="24"/>
          <w:shd w:val="clear" w:color="auto" w:fill="FFFFFF"/>
        </w:rPr>
        <w:t>process</w:t>
      </w:r>
      <w:proofErr w:type="spellEnd"/>
      <w:r w:rsidRPr="00F93BF5">
        <w:rPr>
          <w:szCs w:val="24"/>
          <w:shd w:val="clear" w:color="auto" w:fill="FFFFFF"/>
        </w:rPr>
        <w:t xml:space="preserve">. </w:t>
      </w:r>
      <w:proofErr w:type="spellStart"/>
      <w:r w:rsidRPr="00F93BF5">
        <w:rPr>
          <w:szCs w:val="24"/>
          <w:shd w:val="clear" w:color="auto" w:fill="FFFFFF"/>
        </w:rPr>
        <w:t>Accounting</w:t>
      </w:r>
      <w:proofErr w:type="spellEnd"/>
      <w:r w:rsidRPr="00F93BF5">
        <w:rPr>
          <w:szCs w:val="24"/>
          <w:shd w:val="clear" w:color="auto" w:fill="FFFFFF"/>
        </w:rPr>
        <w:t xml:space="preserve">, </w:t>
      </w:r>
      <w:proofErr w:type="spellStart"/>
      <w:r w:rsidRPr="00F93BF5">
        <w:rPr>
          <w:szCs w:val="24"/>
          <w:shd w:val="clear" w:color="auto" w:fill="FFFFFF"/>
        </w:rPr>
        <w:t>Auditing</w:t>
      </w:r>
      <w:proofErr w:type="spellEnd"/>
      <w:r w:rsidRPr="00F93BF5">
        <w:rPr>
          <w:szCs w:val="24"/>
          <w:shd w:val="clear" w:color="auto" w:fill="FFFFFF"/>
        </w:rPr>
        <w:t xml:space="preserve"> &amp; </w:t>
      </w:r>
      <w:proofErr w:type="spellStart"/>
      <w:r w:rsidRPr="00F93BF5">
        <w:rPr>
          <w:szCs w:val="24"/>
          <w:shd w:val="clear" w:color="auto" w:fill="FFFFFF"/>
        </w:rPr>
        <w:t>Accountability</w:t>
      </w:r>
      <w:proofErr w:type="spellEnd"/>
      <w:r w:rsidRPr="00F93BF5">
        <w:rPr>
          <w:szCs w:val="24"/>
          <w:shd w:val="clear" w:color="auto" w:fill="FFFFFF"/>
        </w:rPr>
        <w:t xml:space="preserve"> </w:t>
      </w:r>
      <w:proofErr w:type="spellStart"/>
      <w:r w:rsidRPr="00F93BF5">
        <w:rPr>
          <w:szCs w:val="24"/>
          <w:shd w:val="clear" w:color="auto" w:fill="FFFFFF"/>
        </w:rPr>
        <w:t>Journal</w:t>
      </w:r>
      <w:proofErr w:type="spellEnd"/>
      <w:r w:rsidRPr="00F93BF5">
        <w:rPr>
          <w:szCs w:val="24"/>
          <w:shd w:val="clear" w:color="auto" w:fill="FFFFFF"/>
        </w:rPr>
        <w:t>, 17(4), 506-542.</w:t>
      </w:r>
    </w:p>
    <w:p w14:paraId="2DC595E0" w14:textId="77777777" w:rsidR="006D6878" w:rsidRPr="00C559E0" w:rsidRDefault="006D6878" w:rsidP="00C559E0">
      <w:pPr>
        <w:spacing w:after="240"/>
        <w:ind w:left="567" w:hanging="567"/>
        <w:rPr>
          <w:szCs w:val="24"/>
          <w:shd w:val="clear" w:color="auto" w:fill="FFFFFF"/>
        </w:rPr>
      </w:pPr>
      <w:r w:rsidRPr="00C559E0">
        <w:rPr>
          <w:szCs w:val="24"/>
          <w:shd w:val="clear" w:color="auto" w:fill="FFFFFF"/>
        </w:rPr>
        <w:t xml:space="preserve">ENDEAVOR. </w:t>
      </w:r>
      <w:r>
        <w:rPr>
          <w:szCs w:val="24"/>
          <w:shd w:val="clear" w:color="auto" w:fill="FFFFFF"/>
        </w:rPr>
        <w:t>(</w:t>
      </w:r>
      <w:r w:rsidRPr="00C559E0">
        <w:rPr>
          <w:szCs w:val="24"/>
          <w:shd w:val="clear" w:color="auto" w:fill="FFFFFF"/>
        </w:rPr>
        <w:t>2018</w:t>
      </w:r>
      <w:r>
        <w:rPr>
          <w:szCs w:val="24"/>
          <w:shd w:val="clear" w:color="auto" w:fill="FFFFFF"/>
        </w:rPr>
        <w:t>)</w:t>
      </w:r>
      <w:r w:rsidRPr="00C559E0">
        <w:rPr>
          <w:szCs w:val="24"/>
          <w:shd w:val="clear" w:color="auto" w:fill="FFFFFF"/>
        </w:rPr>
        <w:t>.</w:t>
      </w:r>
      <w:r>
        <w:rPr>
          <w:szCs w:val="24"/>
          <w:shd w:val="clear" w:color="auto" w:fill="FFFFFF"/>
        </w:rPr>
        <w:t xml:space="preserve"> </w:t>
      </w:r>
      <w:r w:rsidRPr="00C559E0">
        <w:rPr>
          <w:szCs w:val="24"/>
          <w:shd w:val="clear" w:color="auto" w:fill="FFFFFF"/>
        </w:rPr>
        <w:t xml:space="preserve">Simples Nacional: tudo que você precisa saber. Disponível em: &lt;https://endeavor.org.br/leis-e-impostos/simples-nacional-tudo-que-voce-precisasaber/&gt;. Acesso em: 19 mar. 2018. </w:t>
      </w:r>
    </w:p>
    <w:p w14:paraId="10136E79" w14:textId="77777777" w:rsidR="006D6878" w:rsidRDefault="006D6878" w:rsidP="00C559E0">
      <w:pPr>
        <w:spacing w:after="240"/>
        <w:ind w:left="567" w:hanging="567"/>
        <w:rPr>
          <w:szCs w:val="24"/>
          <w:shd w:val="clear" w:color="auto" w:fill="FFFFFF"/>
        </w:rPr>
      </w:pPr>
      <w:r w:rsidRPr="00F93BF5">
        <w:rPr>
          <w:szCs w:val="24"/>
          <w:shd w:val="clear" w:color="auto" w:fill="FFFFFF"/>
        </w:rPr>
        <w:t>FERNANDES, A. S. (2017). A Importância Do Planejamento Tributário Para A Redução Dos Gastos Com Tributos: Um estudo comparativo da empresa A Educativa Papelaria LTDA. Revista Saber Eletrônico, 1(3), 23.</w:t>
      </w:r>
      <w:r w:rsidRPr="00C559E0">
        <w:rPr>
          <w:szCs w:val="24"/>
          <w:shd w:val="clear" w:color="auto" w:fill="FFFFFF"/>
        </w:rPr>
        <w:t xml:space="preserve"> </w:t>
      </w:r>
    </w:p>
    <w:p w14:paraId="5481BEFE" w14:textId="77777777" w:rsidR="006D6878" w:rsidRPr="00C559E0" w:rsidRDefault="006D6878" w:rsidP="00C559E0">
      <w:pPr>
        <w:spacing w:after="240"/>
        <w:ind w:left="567" w:hanging="567"/>
        <w:rPr>
          <w:szCs w:val="24"/>
          <w:shd w:val="clear" w:color="auto" w:fill="FFFFFF"/>
        </w:rPr>
      </w:pPr>
      <w:r w:rsidRPr="00C559E0">
        <w:rPr>
          <w:szCs w:val="24"/>
          <w:shd w:val="clear" w:color="auto" w:fill="FFFFFF"/>
        </w:rPr>
        <w:t>FERRARI, F.</w:t>
      </w:r>
      <w:r>
        <w:rPr>
          <w:szCs w:val="24"/>
          <w:shd w:val="clear" w:color="auto" w:fill="FFFFFF"/>
        </w:rPr>
        <w:t xml:space="preserve"> (2016).</w:t>
      </w:r>
      <w:r w:rsidRPr="00C559E0">
        <w:rPr>
          <w:szCs w:val="24"/>
          <w:shd w:val="clear" w:color="auto" w:fill="FFFFFF"/>
        </w:rPr>
        <w:t xml:space="preserve"> O Planejamento Tributário Ênfase Na Verificação Da Adesão Ao Anexo Vi Do Simples Nacional: Estudo De Caso Aplicado A Uma Empresa Prestadora De Serviços. </w:t>
      </w:r>
      <w:proofErr w:type="spellStart"/>
      <w:r w:rsidRPr="00C559E0">
        <w:rPr>
          <w:szCs w:val="24"/>
          <w:shd w:val="clear" w:color="auto" w:fill="FFFFFF"/>
        </w:rPr>
        <w:t>Disponivel</w:t>
      </w:r>
      <w:proofErr w:type="spellEnd"/>
      <w:r w:rsidRPr="00C559E0">
        <w:rPr>
          <w:szCs w:val="24"/>
          <w:shd w:val="clear" w:color="auto" w:fill="FFFFFF"/>
        </w:rPr>
        <w:t xml:space="preserve"> em: &lt;http://dvl.ccn.ufsc.br/ececon/webroot/anais/14ECECON/30_17.doc&gt;. Acesso em 06 de julho de 2019.</w:t>
      </w:r>
    </w:p>
    <w:p w14:paraId="10890878" w14:textId="77777777" w:rsidR="006D6878" w:rsidRPr="00735C89" w:rsidRDefault="006D6878" w:rsidP="00C559E0">
      <w:pPr>
        <w:spacing w:after="240"/>
        <w:ind w:left="567" w:hanging="567"/>
        <w:rPr>
          <w:szCs w:val="24"/>
          <w:shd w:val="clear" w:color="auto" w:fill="FFFFFF"/>
        </w:rPr>
      </w:pPr>
      <w:r w:rsidRPr="00735C89">
        <w:rPr>
          <w:szCs w:val="24"/>
          <w:shd w:val="clear" w:color="auto" w:fill="FFFFFF"/>
        </w:rPr>
        <w:t>FLAUZINO LIMA, M. J., CAMILO SANTOS, G., &amp; CARVALHO PARANAIBA, A. (2019). Análise Das Mudanças Ocasionadas Na Tributação Das Empresas Optantes Pelo Simples Nacional. Revista da Micro e Pequena Empresa, 13(1).</w:t>
      </w:r>
    </w:p>
    <w:p w14:paraId="7416902C" w14:textId="77777777" w:rsidR="006D6878" w:rsidRPr="00C559E0" w:rsidRDefault="006D6878" w:rsidP="00C559E0">
      <w:pPr>
        <w:spacing w:after="240"/>
        <w:ind w:left="567" w:hanging="567"/>
        <w:rPr>
          <w:szCs w:val="24"/>
          <w:shd w:val="clear" w:color="auto" w:fill="FFFFFF"/>
        </w:rPr>
      </w:pPr>
      <w:r w:rsidRPr="00C559E0">
        <w:rPr>
          <w:szCs w:val="24"/>
          <w:shd w:val="clear" w:color="auto" w:fill="FFFFFF"/>
        </w:rPr>
        <w:t>KLUEGER, W</w:t>
      </w:r>
      <w:r>
        <w:rPr>
          <w:szCs w:val="24"/>
          <w:shd w:val="clear" w:color="auto" w:fill="FFFFFF"/>
        </w:rPr>
        <w:t>.</w:t>
      </w:r>
      <w:r w:rsidRPr="00C559E0">
        <w:rPr>
          <w:szCs w:val="24"/>
          <w:shd w:val="clear" w:color="auto" w:fill="FFFFFF"/>
        </w:rPr>
        <w:t xml:space="preserve"> A</w:t>
      </w:r>
      <w:r>
        <w:rPr>
          <w:szCs w:val="24"/>
          <w:shd w:val="clear" w:color="auto" w:fill="FFFFFF"/>
        </w:rPr>
        <w:t>. &amp;</w:t>
      </w:r>
      <w:r w:rsidRPr="00C559E0">
        <w:rPr>
          <w:szCs w:val="24"/>
          <w:shd w:val="clear" w:color="auto" w:fill="FFFFFF"/>
        </w:rPr>
        <w:t xml:space="preserve"> PETRI, S</w:t>
      </w:r>
      <w:r>
        <w:rPr>
          <w:szCs w:val="24"/>
          <w:shd w:val="clear" w:color="auto" w:fill="FFFFFF"/>
        </w:rPr>
        <w:t>.</w:t>
      </w:r>
      <w:r w:rsidRPr="00C559E0">
        <w:rPr>
          <w:szCs w:val="24"/>
          <w:shd w:val="clear" w:color="auto" w:fill="FFFFFF"/>
        </w:rPr>
        <w:t xml:space="preserve"> </w:t>
      </w:r>
      <w:r>
        <w:rPr>
          <w:szCs w:val="24"/>
          <w:shd w:val="clear" w:color="auto" w:fill="FFFFFF"/>
        </w:rPr>
        <w:t>M</w:t>
      </w:r>
      <w:r w:rsidRPr="00C559E0">
        <w:rPr>
          <w:szCs w:val="24"/>
          <w:shd w:val="clear" w:color="auto" w:fill="FFFFFF"/>
        </w:rPr>
        <w:t>.</w:t>
      </w:r>
      <w:r>
        <w:rPr>
          <w:szCs w:val="24"/>
          <w:shd w:val="clear" w:color="auto" w:fill="FFFFFF"/>
        </w:rPr>
        <w:t xml:space="preserve"> (2016)</w:t>
      </w:r>
      <w:r w:rsidRPr="00C559E0">
        <w:rPr>
          <w:szCs w:val="24"/>
          <w:shd w:val="clear" w:color="auto" w:fill="FFFFFF"/>
        </w:rPr>
        <w:t xml:space="preserve"> As Mudanças do Simples Nacional para 2018 e o Impacto na Tributação em um Escritório de Contabilidade de Florianópolis/SC. Disponível em: &lt;https://repositorio.ufsc.br/</w:t>
      </w:r>
      <w:proofErr w:type="spellStart"/>
      <w:r w:rsidRPr="00C559E0">
        <w:rPr>
          <w:szCs w:val="24"/>
          <w:shd w:val="clear" w:color="auto" w:fill="FFFFFF"/>
        </w:rPr>
        <w:t>handle</w:t>
      </w:r>
      <w:proofErr w:type="spellEnd"/>
      <w:r w:rsidRPr="00C559E0">
        <w:rPr>
          <w:szCs w:val="24"/>
          <w:shd w:val="clear" w:color="auto" w:fill="FFFFFF"/>
        </w:rPr>
        <w:t>/123456789/188551&gt;. Acesso em 06 de julho de 2019</w:t>
      </w:r>
    </w:p>
    <w:p w14:paraId="20A5EB1C" w14:textId="6AF5E8CF" w:rsidR="006D6878" w:rsidRDefault="006D6878" w:rsidP="006D6878">
      <w:pPr>
        <w:spacing w:line="249" w:lineRule="auto"/>
        <w:ind w:left="-5" w:hanging="10"/>
      </w:pPr>
      <w:r w:rsidRPr="00524608">
        <w:t xml:space="preserve">LONGARAY, A. A.  (2003) Como elaborar trabalhos monográficos em contabilidade: teoria e prática. São Paulo: Atlas. 189 p.  </w:t>
      </w:r>
    </w:p>
    <w:p w14:paraId="76F1477B" w14:textId="77777777" w:rsidR="00722EBB" w:rsidRPr="00524608" w:rsidRDefault="00722EBB" w:rsidP="006D6878">
      <w:pPr>
        <w:spacing w:line="249" w:lineRule="auto"/>
        <w:ind w:left="-5" w:hanging="10"/>
      </w:pPr>
    </w:p>
    <w:p w14:paraId="18396638" w14:textId="77777777" w:rsidR="006D6878" w:rsidRPr="00C559E0" w:rsidRDefault="006D6878" w:rsidP="00C559E0">
      <w:pPr>
        <w:spacing w:after="240"/>
        <w:ind w:left="567" w:hanging="567"/>
        <w:rPr>
          <w:szCs w:val="24"/>
          <w:shd w:val="clear" w:color="auto" w:fill="FFFFFF"/>
        </w:rPr>
      </w:pPr>
      <w:r w:rsidRPr="00C559E0">
        <w:rPr>
          <w:szCs w:val="24"/>
          <w:shd w:val="clear" w:color="auto" w:fill="FFFFFF"/>
        </w:rPr>
        <w:t>PACHECO, F</w:t>
      </w:r>
      <w:r>
        <w:rPr>
          <w:szCs w:val="24"/>
          <w:shd w:val="clear" w:color="auto" w:fill="FFFFFF"/>
        </w:rPr>
        <w:t xml:space="preserve">. </w:t>
      </w:r>
      <w:r w:rsidRPr="00C559E0">
        <w:rPr>
          <w:szCs w:val="24"/>
          <w:shd w:val="clear" w:color="auto" w:fill="FFFFFF"/>
        </w:rPr>
        <w:t>R</w:t>
      </w:r>
      <w:r>
        <w:rPr>
          <w:szCs w:val="24"/>
          <w:shd w:val="clear" w:color="auto" w:fill="FFFFFF"/>
        </w:rPr>
        <w:t xml:space="preserve"> &amp;</w:t>
      </w:r>
      <w:r w:rsidRPr="00C559E0">
        <w:rPr>
          <w:szCs w:val="24"/>
          <w:shd w:val="clear" w:color="auto" w:fill="FFFFFF"/>
        </w:rPr>
        <w:t xml:space="preserve"> VEIGA, A</w:t>
      </w:r>
      <w:r>
        <w:rPr>
          <w:szCs w:val="24"/>
          <w:shd w:val="clear" w:color="auto" w:fill="FFFFFF"/>
        </w:rPr>
        <w:t>.</w:t>
      </w:r>
      <w:r w:rsidRPr="00C559E0">
        <w:rPr>
          <w:szCs w:val="24"/>
          <w:shd w:val="clear" w:color="auto" w:fill="FFFFFF"/>
        </w:rPr>
        <w:t xml:space="preserve"> Z</w:t>
      </w:r>
      <w:r>
        <w:rPr>
          <w:szCs w:val="24"/>
          <w:shd w:val="clear" w:color="auto" w:fill="FFFFFF"/>
        </w:rPr>
        <w:t xml:space="preserve">. (2009). </w:t>
      </w:r>
      <w:r w:rsidRPr="00C559E0">
        <w:rPr>
          <w:szCs w:val="24"/>
          <w:shd w:val="clear" w:color="auto" w:fill="FFFFFF"/>
        </w:rPr>
        <w:t>Planejamento Tributário: Estudo de Caso em um Escritório de Serviços Contábeis Localizado no Município de Florianópolis. Disponível em: &lt;http://tcc.bu.ufsc.br/Contabeis291329&gt;. Acesso em 06 de julho de 2019.</w:t>
      </w:r>
    </w:p>
    <w:p w14:paraId="6D132C09" w14:textId="77777777" w:rsidR="006D6878" w:rsidRPr="00C559E0" w:rsidRDefault="006D6878" w:rsidP="00C559E0">
      <w:pPr>
        <w:spacing w:after="240"/>
        <w:ind w:left="567" w:hanging="567"/>
        <w:rPr>
          <w:szCs w:val="24"/>
          <w:shd w:val="clear" w:color="auto" w:fill="FFFFFF"/>
        </w:rPr>
      </w:pPr>
      <w:r w:rsidRPr="00C559E0">
        <w:rPr>
          <w:szCs w:val="24"/>
          <w:shd w:val="clear" w:color="auto" w:fill="FFFFFF"/>
        </w:rPr>
        <w:t xml:space="preserve">RIBEIRO, L. S. </w:t>
      </w:r>
      <w:r>
        <w:rPr>
          <w:szCs w:val="24"/>
          <w:shd w:val="clear" w:color="auto" w:fill="FFFFFF"/>
        </w:rPr>
        <w:t xml:space="preserve">(2018) </w:t>
      </w:r>
      <w:r w:rsidRPr="00C559E0">
        <w:rPr>
          <w:szCs w:val="24"/>
          <w:shd w:val="clear" w:color="auto" w:fill="FFFFFF"/>
        </w:rPr>
        <w:t>O cenário das micro e pequenas empresas (</w:t>
      </w:r>
      <w:proofErr w:type="spellStart"/>
      <w:r w:rsidRPr="00C559E0">
        <w:rPr>
          <w:szCs w:val="24"/>
          <w:shd w:val="clear" w:color="auto" w:fill="FFFFFF"/>
        </w:rPr>
        <w:t>MPE’s</w:t>
      </w:r>
      <w:proofErr w:type="spellEnd"/>
      <w:r w:rsidRPr="00C559E0">
        <w:rPr>
          <w:szCs w:val="24"/>
          <w:shd w:val="clear" w:color="auto" w:fill="FFFFFF"/>
        </w:rPr>
        <w:t xml:space="preserve">) no Brasil: um estudo sobre a importância e os desafios deste setor da economia. Disponível em: &lt;http://immes.edu.br/o-cenario-das-micro-e-pequenas-empresas-mpes-nobrasil-um-estudo-sobre-a-importancia-e-os-desafios-deste-setor-da-economia/&gt;. Acesso em: 02 mai. 2018. </w:t>
      </w:r>
    </w:p>
    <w:p w14:paraId="138D503B" w14:textId="77777777" w:rsidR="006D6878" w:rsidRPr="00C559E0" w:rsidRDefault="006D6878" w:rsidP="00C559E0">
      <w:pPr>
        <w:spacing w:after="240"/>
        <w:ind w:left="567" w:hanging="567"/>
        <w:rPr>
          <w:szCs w:val="24"/>
          <w:shd w:val="clear" w:color="auto" w:fill="FFFFFF"/>
        </w:rPr>
      </w:pPr>
      <w:r w:rsidRPr="00C559E0">
        <w:rPr>
          <w:szCs w:val="24"/>
          <w:shd w:val="clear" w:color="auto" w:fill="FFFFFF"/>
        </w:rPr>
        <w:lastRenderedPageBreak/>
        <w:t>SEBRAE.</w:t>
      </w:r>
      <w:r>
        <w:rPr>
          <w:szCs w:val="24"/>
          <w:shd w:val="clear" w:color="auto" w:fill="FFFFFF"/>
        </w:rPr>
        <w:t xml:space="preserve"> (</w:t>
      </w:r>
      <w:r w:rsidRPr="00C559E0">
        <w:rPr>
          <w:szCs w:val="24"/>
          <w:shd w:val="clear" w:color="auto" w:fill="FFFFFF"/>
        </w:rPr>
        <w:t>2014</w:t>
      </w:r>
      <w:r>
        <w:rPr>
          <w:szCs w:val="24"/>
          <w:shd w:val="clear" w:color="auto" w:fill="FFFFFF"/>
        </w:rPr>
        <w:t xml:space="preserve">) </w:t>
      </w:r>
      <w:r w:rsidRPr="00C559E0">
        <w:rPr>
          <w:szCs w:val="24"/>
          <w:shd w:val="clear" w:color="auto" w:fill="FFFFFF"/>
        </w:rPr>
        <w:t xml:space="preserve">Participação das Micro e Pequenas Empresas na Economia Brasileira.. </w:t>
      </w:r>
      <w:r w:rsidRPr="00C559E0">
        <w:rPr>
          <w:szCs w:val="24"/>
          <w:shd w:val="clear" w:color="auto" w:fill="FFFFFF"/>
        </w:rPr>
        <w:tab/>
        <w:t xml:space="preserve">Disponível </w:t>
      </w:r>
      <w:r w:rsidRPr="00C559E0">
        <w:rPr>
          <w:szCs w:val="24"/>
          <w:shd w:val="clear" w:color="auto" w:fill="FFFFFF"/>
        </w:rPr>
        <w:tab/>
        <w:t>em: &lt;http://http://www.sebrae.com.br/Sebrae &gt;. Acesso em: 02 mai. 2018.</w:t>
      </w:r>
    </w:p>
    <w:p w14:paraId="2F4B9DC2" w14:textId="77777777" w:rsidR="006D6878" w:rsidRPr="00C559E0" w:rsidRDefault="006D6878" w:rsidP="00C559E0">
      <w:pPr>
        <w:spacing w:after="240"/>
        <w:ind w:left="567" w:hanging="567"/>
        <w:rPr>
          <w:szCs w:val="24"/>
          <w:shd w:val="clear" w:color="auto" w:fill="FFFFFF"/>
        </w:rPr>
      </w:pPr>
      <w:r w:rsidRPr="00C559E0">
        <w:rPr>
          <w:szCs w:val="24"/>
          <w:shd w:val="clear" w:color="auto" w:fill="FFFFFF"/>
        </w:rPr>
        <w:t>SILVA, R. R.</w:t>
      </w:r>
      <w:r>
        <w:rPr>
          <w:szCs w:val="24"/>
          <w:shd w:val="clear" w:color="auto" w:fill="FFFFFF"/>
        </w:rPr>
        <w:t xml:space="preserve"> (2006)</w:t>
      </w:r>
      <w:r w:rsidRPr="00C559E0">
        <w:rPr>
          <w:szCs w:val="24"/>
          <w:shd w:val="clear" w:color="auto" w:fill="FFFFFF"/>
        </w:rPr>
        <w:t xml:space="preserve"> Planejamento Tributário: Lucro Presumido x Simples Nacional, para Micros e Pequenas Empresas dos Ramos: Comércio, Indústria e Prestação de Serviços. 113 f. Trabalho de Conclusão de Curso (Graduação em Ciências Contábeis) - Universidade Federal de Santa Catarina, Florianópolis, 2009.  </w:t>
      </w:r>
    </w:p>
    <w:p w14:paraId="02EFE968" w14:textId="77777777" w:rsidR="006D6878" w:rsidRDefault="006D6878" w:rsidP="00C559E0">
      <w:pPr>
        <w:spacing w:after="240"/>
        <w:ind w:left="567" w:hanging="567"/>
        <w:rPr>
          <w:szCs w:val="24"/>
          <w:shd w:val="clear" w:color="auto" w:fill="FFFFFF"/>
        </w:rPr>
      </w:pPr>
      <w:r w:rsidRPr="00C559E0">
        <w:rPr>
          <w:szCs w:val="24"/>
          <w:shd w:val="clear" w:color="auto" w:fill="FFFFFF"/>
        </w:rPr>
        <w:t>SOUZA,  F</w:t>
      </w:r>
      <w:r>
        <w:rPr>
          <w:szCs w:val="24"/>
          <w:shd w:val="clear" w:color="auto" w:fill="FFFFFF"/>
        </w:rPr>
        <w:t>.</w:t>
      </w:r>
      <w:r w:rsidRPr="00C559E0">
        <w:rPr>
          <w:szCs w:val="24"/>
          <w:shd w:val="clear" w:color="auto" w:fill="FFFFFF"/>
        </w:rPr>
        <w:t xml:space="preserve"> M</w:t>
      </w:r>
      <w:r>
        <w:rPr>
          <w:szCs w:val="24"/>
          <w:shd w:val="clear" w:color="auto" w:fill="FFFFFF"/>
        </w:rPr>
        <w:t>.</w:t>
      </w:r>
      <w:r w:rsidRPr="00C559E0">
        <w:rPr>
          <w:szCs w:val="24"/>
          <w:shd w:val="clear" w:color="auto" w:fill="FFFFFF"/>
        </w:rPr>
        <w:t>; PETRI, S</w:t>
      </w:r>
      <w:r>
        <w:rPr>
          <w:szCs w:val="24"/>
          <w:shd w:val="clear" w:color="auto" w:fill="FFFFFF"/>
        </w:rPr>
        <w:t>.</w:t>
      </w:r>
      <w:r w:rsidRPr="00C559E0">
        <w:rPr>
          <w:szCs w:val="24"/>
          <w:shd w:val="clear" w:color="auto" w:fill="FFFFFF"/>
        </w:rPr>
        <w:t xml:space="preserve"> M</w:t>
      </w:r>
      <w:r>
        <w:rPr>
          <w:szCs w:val="24"/>
          <w:shd w:val="clear" w:color="auto" w:fill="FFFFFF"/>
        </w:rPr>
        <w:t>.(2017).</w:t>
      </w:r>
      <w:r w:rsidRPr="00C559E0">
        <w:rPr>
          <w:szCs w:val="24"/>
          <w:shd w:val="clear" w:color="auto" w:fill="FFFFFF"/>
        </w:rPr>
        <w:t xml:space="preserve"> Elaboração de um Comparativo para Evidenciar a Forma Menos Onerosa de Tributação em uma Empresa de Representação Comercial de Florianópolis/Sc. </w:t>
      </w:r>
      <w:proofErr w:type="spellStart"/>
      <w:r w:rsidRPr="00C559E0">
        <w:rPr>
          <w:szCs w:val="24"/>
          <w:shd w:val="clear" w:color="auto" w:fill="FFFFFF"/>
        </w:rPr>
        <w:t>Disponivel</w:t>
      </w:r>
      <w:proofErr w:type="spellEnd"/>
      <w:r w:rsidRPr="00C559E0">
        <w:rPr>
          <w:szCs w:val="24"/>
          <w:shd w:val="clear" w:color="auto" w:fill="FFFFFF"/>
        </w:rPr>
        <w:t xml:space="preserve"> em: &lt;http://dvl.ccn.ufsc.br/ececon/webroot/anais/14ECECON/28_17.docx&gt;. Acesso em 06 de julho de 2019.</w:t>
      </w:r>
    </w:p>
    <w:p w14:paraId="48D9EAA9" w14:textId="77777777" w:rsidR="006D6878" w:rsidRDefault="006D6878" w:rsidP="00B92757">
      <w:pPr>
        <w:spacing w:after="240"/>
        <w:ind w:left="567" w:hanging="567"/>
        <w:rPr>
          <w:szCs w:val="24"/>
          <w:shd w:val="clear" w:color="auto" w:fill="FFFFFF"/>
        </w:rPr>
      </w:pPr>
      <w:r w:rsidRPr="00F122D4">
        <w:rPr>
          <w:szCs w:val="24"/>
          <w:shd w:val="clear" w:color="auto" w:fill="FFFFFF"/>
        </w:rPr>
        <w:t xml:space="preserve">VACHANI, S. (2005). </w:t>
      </w:r>
      <w:proofErr w:type="spellStart"/>
      <w:r w:rsidRPr="00F122D4">
        <w:rPr>
          <w:szCs w:val="24"/>
          <w:shd w:val="clear" w:color="auto" w:fill="FFFFFF"/>
        </w:rPr>
        <w:t>Problems</w:t>
      </w:r>
      <w:proofErr w:type="spellEnd"/>
      <w:r w:rsidRPr="00F122D4">
        <w:rPr>
          <w:szCs w:val="24"/>
          <w:shd w:val="clear" w:color="auto" w:fill="FFFFFF"/>
        </w:rPr>
        <w:t xml:space="preserve"> </w:t>
      </w:r>
      <w:proofErr w:type="spellStart"/>
      <w:r w:rsidRPr="00F122D4">
        <w:rPr>
          <w:szCs w:val="24"/>
          <w:shd w:val="clear" w:color="auto" w:fill="FFFFFF"/>
        </w:rPr>
        <w:t>of</w:t>
      </w:r>
      <w:proofErr w:type="spellEnd"/>
      <w:r w:rsidRPr="00F122D4">
        <w:rPr>
          <w:szCs w:val="24"/>
          <w:shd w:val="clear" w:color="auto" w:fill="FFFFFF"/>
        </w:rPr>
        <w:t xml:space="preserve"> </w:t>
      </w:r>
      <w:proofErr w:type="spellStart"/>
      <w:r w:rsidRPr="00F122D4">
        <w:rPr>
          <w:szCs w:val="24"/>
          <w:shd w:val="clear" w:color="auto" w:fill="FFFFFF"/>
        </w:rPr>
        <w:t>foreign</w:t>
      </w:r>
      <w:proofErr w:type="spellEnd"/>
      <w:r w:rsidRPr="00F122D4">
        <w:rPr>
          <w:szCs w:val="24"/>
          <w:shd w:val="clear" w:color="auto" w:fill="FFFFFF"/>
        </w:rPr>
        <w:t xml:space="preserve"> </w:t>
      </w:r>
      <w:proofErr w:type="spellStart"/>
      <w:r w:rsidRPr="00F122D4">
        <w:rPr>
          <w:szCs w:val="24"/>
          <w:shd w:val="clear" w:color="auto" w:fill="FFFFFF"/>
        </w:rPr>
        <w:t>subsidiaries</w:t>
      </w:r>
      <w:proofErr w:type="spellEnd"/>
      <w:r w:rsidRPr="00F122D4">
        <w:rPr>
          <w:szCs w:val="24"/>
          <w:shd w:val="clear" w:color="auto" w:fill="FFFFFF"/>
        </w:rPr>
        <w:t xml:space="preserve"> </w:t>
      </w:r>
      <w:proofErr w:type="spellStart"/>
      <w:r w:rsidRPr="00F122D4">
        <w:rPr>
          <w:szCs w:val="24"/>
          <w:shd w:val="clear" w:color="auto" w:fill="FFFFFF"/>
        </w:rPr>
        <w:t>of</w:t>
      </w:r>
      <w:proofErr w:type="spellEnd"/>
      <w:r w:rsidRPr="00F122D4">
        <w:rPr>
          <w:szCs w:val="24"/>
          <w:shd w:val="clear" w:color="auto" w:fill="FFFFFF"/>
        </w:rPr>
        <w:t xml:space="preserve"> </w:t>
      </w:r>
      <w:proofErr w:type="spellStart"/>
      <w:r w:rsidRPr="00F122D4">
        <w:rPr>
          <w:szCs w:val="24"/>
          <w:shd w:val="clear" w:color="auto" w:fill="FFFFFF"/>
        </w:rPr>
        <w:t>SMEs</w:t>
      </w:r>
      <w:proofErr w:type="spellEnd"/>
      <w:r w:rsidRPr="00F122D4">
        <w:rPr>
          <w:szCs w:val="24"/>
          <w:shd w:val="clear" w:color="auto" w:fill="FFFFFF"/>
        </w:rPr>
        <w:t xml:space="preserve"> </w:t>
      </w:r>
      <w:proofErr w:type="spellStart"/>
      <w:r w:rsidRPr="00F122D4">
        <w:rPr>
          <w:szCs w:val="24"/>
          <w:shd w:val="clear" w:color="auto" w:fill="FFFFFF"/>
        </w:rPr>
        <w:t>compared</w:t>
      </w:r>
      <w:proofErr w:type="spellEnd"/>
      <w:r w:rsidRPr="00F122D4">
        <w:rPr>
          <w:szCs w:val="24"/>
          <w:shd w:val="clear" w:color="auto" w:fill="FFFFFF"/>
        </w:rPr>
        <w:t xml:space="preserve"> </w:t>
      </w:r>
      <w:proofErr w:type="spellStart"/>
      <w:r w:rsidRPr="00F122D4">
        <w:rPr>
          <w:szCs w:val="24"/>
          <w:shd w:val="clear" w:color="auto" w:fill="FFFFFF"/>
        </w:rPr>
        <w:t>with</w:t>
      </w:r>
      <w:proofErr w:type="spellEnd"/>
      <w:r w:rsidRPr="00F122D4">
        <w:rPr>
          <w:szCs w:val="24"/>
          <w:shd w:val="clear" w:color="auto" w:fill="FFFFFF"/>
        </w:rPr>
        <w:t xml:space="preserve"> </w:t>
      </w:r>
      <w:proofErr w:type="spellStart"/>
      <w:r w:rsidRPr="00F122D4">
        <w:rPr>
          <w:szCs w:val="24"/>
          <w:shd w:val="clear" w:color="auto" w:fill="FFFFFF"/>
        </w:rPr>
        <w:t>large</w:t>
      </w:r>
      <w:proofErr w:type="spellEnd"/>
      <w:r w:rsidRPr="00F122D4">
        <w:rPr>
          <w:szCs w:val="24"/>
          <w:shd w:val="clear" w:color="auto" w:fill="FFFFFF"/>
        </w:rPr>
        <w:t xml:space="preserve"> </w:t>
      </w:r>
      <w:proofErr w:type="spellStart"/>
      <w:r w:rsidRPr="00F122D4">
        <w:rPr>
          <w:szCs w:val="24"/>
          <w:shd w:val="clear" w:color="auto" w:fill="FFFFFF"/>
        </w:rPr>
        <w:t>companies</w:t>
      </w:r>
      <w:proofErr w:type="spellEnd"/>
      <w:r w:rsidRPr="00F122D4">
        <w:rPr>
          <w:szCs w:val="24"/>
          <w:shd w:val="clear" w:color="auto" w:fill="FFFFFF"/>
        </w:rPr>
        <w:t>. </w:t>
      </w:r>
      <w:proofErr w:type="spellStart"/>
      <w:r w:rsidRPr="00F122D4">
        <w:rPr>
          <w:szCs w:val="24"/>
          <w:shd w:val="clear" w:color="auto" w:fill="FFFFFF"/>
        </w:rPr>
        <w:t>International</w:t>
      </w:r>
      <w:proofErr w:type="spellEnd"/>
      <w:r w:rsidRPr="00F122D4">
        <w:rPr>
          <w:szCs w:val="24"/>
          <w:shd w:val="clear" w:color="auto" w:fill="FFFFFF"/>
        </w:rPr>
        <w:t xml:space="preserve"> Business Review, 14(4), 415-439.</w:t>
      </w:r>
    </w:p>
    <w:p w14:paraId="0B0F16A8" w14:textId="77777777" w:rsidR="006D6878" w:rsidRPr="00C559E0" w:rsidRDefault="006D6878" w:rsidP="00B92757">
      <w:pPr>
        <w:spacing w:after="240"/>
        <w:ind w:left="567" w:hanging="567"/>
        <w:rPr>
          <w:szCs w:val="24"/>
          <w:shd w:val="clear" w:color="auto" w:fill="FFFFFF"/>
        </w:rPr>
      </w:pPr>
    </w:p>
    <w:p w14:paraId="0F2B3DB7" w14:textId="77777777" w:rsidR="00C559E0" w:rsidRPr="00F31C6D" w:rsidRDefault="00C559E0" w:rsidP="00D67FBF">
      <w:pPr>
        <w:ind w:firstLine="0"/>
        <w:rPr>
          <w:b/>
          <w:bCs/>
          <w:color w:val="222222"/>
          <w:szCs w:val="24"/>
          <w:shd w:val="clear" w:color="auto" w:fill="FFFFFF"/>
        </w:rPr>
      </w:pPr>
    </w:p>
    <w:sectPr w:rsidR="00C559E0" w:rsidRPr="00F31C6D" w:rsidSect="00437AD0">
      <w:headerReference w:type="default" r:id="rId8"/>
      <w:footerReference w:type="default" r:id="rId9"/>
      <w:pgSz w:w="12240" w:h="15840" w:code="119"/>
      <w:pgMar w:top="1701" w:right="1134" w:bottom="1134" w:left="1701" w:header="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FEEF9" w14:textId="77777777" w:rsidR="00542A92" w:rsidRDefault="00542A92" w:rsidP="005840EF">
      <w:r>
        <w:separator/>
      </w:r>
    </w:p>
  </w:endnote>
  <w:endnote w:type="continuationSeparator" w:id="0">
    <w:p w14:paraId="5292FC31" w14:textId="77777777" w:rsidR="00542A92" w:rsidRDefault="00542A92"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1642B" w14:textId="77777777" w:rsidR="008506C6" w:rsidRPr="00F05FBB" w:rsidRDefault="008506C6"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Pr>
        <w:noProof/>
        <w:sz w:val="20"/>
      </w:rPr>
      <w:t>1</w:t>
    </w:r>
    <w:r w:rsidRPr="00F05FBB">
      <w:rPr>
        <w:sz w:val="20"/>
      </w:rPr>
      <w:fldChar w:fldCharType="end"/>
    </w:r>
  </w:p>
  <w:p w14:paraId="646C9BF0" w14:textId="77777777" w:rsidR="008506C6" w:rsidRPr="00862FD2" w:rsidRDefault="008506C6" w:rsidP="004E0B39">
    <w:pPr>
      <w:pStyle w:val="Rodap"/>
      <w:ind w:firstLine="0"/>
      <w:jc w:val="center"/>
    </w:pPr>
    <w:r>
      <w:rPr>
        <w:noProof/>
        <w:lang w:val="pt-BR" w:eastAsia="pt-BR"/>
      </w:rPr>
      <w:drawing>
        <wp:inline distT="0" distB="0" distL="0" distR="0" wp14:anchorId="638B3FE2" wp14:editId="701EBD54">
          <wp:extent cx="3895725" cy="971550"/>
          <wp:effectExtent l="0" t="0" r="9525" b="0"/>
          <wp:docPr id="9" name="Imagem 9"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AAD13" w14:textId="77777777" w:rsidR="00542A92" w:rsidRDefault="00542A92" w:rsidP="005840EF">
      <w:r>
        <w:separator/>
      </w:r>
    </w:p>
  </w:footnote>
  <w:footnote w:type="continuationSeparator" w:id="0">
    <w:p w14:paraId="18624402" w14:textId="77777777" w:rsidR="00542A92" w:rsidRDefault="00542A92"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89454" w14:textId="77777777" w:rsidR="008506C6" w:rsidRPr="004E0B39" w:rsidRDefault="008506C6" w:rsidP="004E0B39">
    <w:pPr>
      <w:pStyle w:val="Cabealho"/>
      <w:ind w:firstLine="0"/>
      <w:jc w:val="center"/>
    </w:pPr>
    <w:r>
      <w:rPr>
        <w:noProof/>
      </w:rPr>
      <w:drawing>
        <wp:inline distT="0" distB="0" distL="0" distR="0" wp14:anchorId="2359BD87" wp14:editId="44C8B9C3">
          <wp:extent cx="6010275" cy="1485900"/>
          <wp:effectExtent l="0" t="0" r="9525" b="0"/>
          <wp:docPr id="8" name="Imagem 8"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7BD2"/>
    <w:multiLevelType w:val="multilevel"/>
    <w:tmpl w:val="EB48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433AA"/>
    <w:multiLevelType w:val="multilevel"/>
    <w:tmpl w:val="6FBA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01AF1"/>
    <w:multiLevelType w:val="hybridMultilevel"/>
    <w:tmpl w:val="6CBA7914"/>
    <w:lvl w:ilvl="0" w:tplc="643E228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087E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FC512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2EA3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3E45C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86A2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AAA6C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8058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A210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0D57B2F"/>
    <w:multiLevelType w:val="hybridMultilevel"/>
    <w:tmpl w:val="322E5B10"/>
    <w:lvl w:ilvl="0" w:tplc="0C581194">
      <w:start w:val="1"/>
      <w:numFmt w:val="upperRoman"/>
      <w:lvlText w:val="%1"/>
      <w:lvlJc w:val="left"/>
      <w:pPr>
        <w:ind w:left="22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20BB96">
      <w:start w:val="1"/>
      <w:numFmt w:val="lowerLetter"/>
      <w:lvlText w:val="%2"/>
      <w:lvlJc w:val="left"/>
      <w:pPr>
        <w:ind w:left="34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EEA0D0">
      <w:start w:val="1"/>
      <w:numFmt w:val="lowerRoman"/>
      <w:lvlText w:val="%3"/>
      <w:lvlJc w:val="left"/>
      <w:pPr>
        <w:ind w:left="41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144DFE">
      <w:start w:val="1"/>
      <w:numFmt w:val="decimal"/>
      <w:lvlText w:val="%4"/>
      <w:lvlJc w:val="left"/>
      <w:pPr>
        <w:ind w:left="48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8AA884">
      <w:start w:val="1"/>
      <w:numFmt w:val="lowerLetter"/>
      <w:lvlText w:val="%5"/>
      <w:lvlJc w:val="left"/>
      <w:pPr>
        <w:ind w:left="55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7C46196">
      <w:start w:val="1"/>
      <w:numFmt w:val="lowerRoman"/>
      <w:lvlText w:val="%6"/>
      <w:lvlJc w:val="left"/>
      <w:pPr>
        <w:ind w:left="6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8A3BFE">
      <w:start w:val="1"/>
      <w:numFmt w:val="decimal"/>
      <w:lvlText w:val="%7"/>
      <w:lvlJc w:val="left"/>
      <w:pPr>
        <w:ind w:left="70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2C1242">
      <w:start w:val="1"/>
      <w:numFmt w:val="lowerLetter"/>
      <w:lvlText w:val="%8"/>
      <w:lvlJc w:val="left"/>
      <w:pPr>
        <w:ind w:left="7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C88B9B4">
      <w:start w:val="1"/>
      <w:numFmt w:val="lowerRoman"/>
      <w:lvlText w:val="%9"/>
      <w:lvlJc w:val="left"/>
      <w:pPr>
        <w:ind w:left="84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5"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5841A69"/>
    <w:multiLevelType w:val="hybridMultilevel"/>
    <w:tmpl w:val="D14E478A"/>
    <w:lvl w:ilvl="0" w:tplc="C712A1BC">
      <w:start w:val="1"/>
      <w:numFmt w:val="lowerLetter"/>
      <w:lvlText w:val="%1)"/>
      <w:lvlJc w:val="left"/>
      <w:pPr>
        <w:ind w:left="24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049842">
      <w:start w:val="1"/>
      <w:numFmt w:val="lowerLetter"/>
      <w:lvlText w:val="%2"/>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7A4A3E">
      <w:start w:val="1"/>
      <w:numFmt w:val="lowerRoman"/>
      <w:lvlText w:val="%3"/>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A4225D8">
      <w:start w:val="1"/>
      <w:numFmt w:val="decimal"/>
      <w:lvlText w:val="%4"/>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940314">
      <w:start w:val="1"/>
      <w:numFmt w:val="lowerLetter"/>
      <w:lvlText w:val="%5"/>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6A29F0E">
      <w:start w:val="1"/>
      <w:numFmt w:val="lowerRoman"/>
      <w:lvlText w:val="%6"/>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980800">
      <w:start w:val="1"/>
      <w:numFmt w:val="decimal"/>
      <w:lvlText w:val="%7"/>
      <w:lvlJc w:val="left"/>
      <w:pPr>
        <w:ind w:left="6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B69BD0">
      <w:start w:val="1"/>
      <w:numFmt w:val="lowerLetter"/>
      <w:lvlText w:val="%8"/>
      <w:lvlJc w:val="left"/>
      <w:pPr>
        <w:ind w:left="7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456B4E6">
      <w:start w:val="1"/>
      <w:numFmt w:val="lowerRoman"/>
      <w:lvlText w:val="%9"/>
      <w:lvlJc w:val="left"/>
      <w:pPr>
        <w:ind w:left="8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0"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11" w15:restartNumberingAfterBreak="0">
    <w:nsid w:val="2A2C2267"/>
    <w:multiLevelType w:val="hybridMultilevel"/>
    <w:tmpl w:val="246803FC"/>
    <w:lvl w:ilvl="0" w:tplc="3E7CA804">
      <w:start w:val="1"/>
      <w:numFmt w:val="bullet"/>
      <w:lvlText w:val="•"/>
      <w:lvlJc w:val="left"/>
      <w:pPr>
        <w:ind w:left="22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A6F5DA">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A7A5FB8">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71EA3F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5416BA">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18AC21A">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58E940A">
      <w:start w:val="1"/>
      <w:numFmt w:val="bullet"/>
      <w:lvlText w:val="•"/>
      <w:lvlJc w:val="left"/>
      <w:pPr>
        <w:ind w:left="6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A0B31A">
      <w:start w:val="1"/>
      <w:numFmt w:val="bullet"/>
      <w:lvlText w:val="o"/>
      <w:lvlJc w:val="left"/>
      <w:pPr>
        <w:ind w:left="7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86B7B2">
      <w:start w:val="1"/>
      <w:numFmt w:val="bullet"/>
      <w:lvlText w:val="▪"/>
      <w:lvlJc w:val="left"/>
      <w:pPr>
        <w:ind w:left="8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B7146B6"/>
    <w:multiLevelType w:val="multilevel"/>
    <w:tmpl w:val="EA58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C0022"/>
    <w:multiLevelType w:val="hybridMultilevel"/>
    <w:tmpl w:val="A4CCA4A6"/>
    <w:lvl w:ilvl="0" w:tplc="EA7E90B0">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E05D4A">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BE381E">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984A20">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F85C0C">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C41798">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648578">
      <w:start w:val="1"/>
      <w:numFmt w:val="bullet"/>
      <w:lvlText w:val="•"/>
      <w:lvlJc w:val="left"/>
      <w:pPr>
        <w:ind w:left="73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6ECE0C">
      <w:start w:val="1"/>
      <w:numFmt w:val="bullet"/>
      <w:lvlText w:val="o"/>
      <w:lvlJc w:val="left"/>
      <w:pPr>
        <w:ind w:left="80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E44228">
      <w:start w:val="1"/>
      <w:numFmt w:val="bullet"/>
      <w:lvlText w:val="▪"/>
      <w:lvlJc w:val="left"/>
      <w:pPr>
        <w:ind w:left="87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3F3794"/>
    <w:multiLevelType w:val="hybridMultilevel"/>
    <w:tmpl w:val="D5E0776E"/>
    <w:lvl w:ilvl="0" w:tplc="4C78EEE8">
      <w:start w:val="1"/>
      <w:numFmt w:val="upperRoman"/>
      <w:lvlText w:val="%1"/>
      <w:lvlJc w:val="left"/>
      <w:pPr>
        <w:ind w:left="2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EEEC4E">
      <w:start w:val="1"/>
      <w:numFmt w:val="lowerLetter"/>
      <w:lvlText w:val="%2"/>
      <w:lvlJc w:val="left"/>
      <w:pPr>
        <w:ind w:left="33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24127C">
      <w:start w:val="1"/>
      <w:numFmt w:val="lowerRoman"/>
      <w:lvlText w:val="%3"/>
      <w:lvlJc w:val="left"/>
      <w:pPr>
        <w:ind w:left="40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D827EEE">
      <w:start w:val="1"/>
      <w:numFmt w:val="decimal"/>
      <w:lvlText w:val="%4"/>
      <w:lvlJc w:val="left"/>
      <w:pPr>
        <w:ind w:left="47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54910A">
      <w:start w:val="1"/>
      <w:numFmt w:val="lowerLetter"/>
      <w:lvlText w:val="%5"/>
      <w:lvlJc w:val="left"/>
      <w:pPr>
        <w:ind w:left="5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D625EC6">
      <w:start w:val="1"/>
      <w:numFmt w:val="lowerRoman"/>
      <w:lvlText w:val="%6"/>
      <w:lvlJc w:val="left"/>
      <w:pPr>
        <w:ind w:left="62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1C88D96">
      <w:start w:val="1"/>
      <w:numFmt w:val="decimal"/>
      <w:lvlText w:val="%7"/>
      <w:lvlJc w:val="left"/>
      <w:pPr>
        <w:ind w:left="69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1AAC26">
      <w:start w:val="1"/>
      <w:numFmt w:val="lowerLetter"/>
      <w:lvlText w:val="%8"/>
      <w:lvlJc w:val="left"/>
      <w:pPr>
        <w:ind w:left="76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70EDC10">
      <w:start w:val="1"/>
      <w:numFmt w:val="lowerRoman"/>
      <w:lvlText w:val="%9"/>
      <w:lvlJc w:val="left"/>
      <w:pPr>
        <w:ind w:left="83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8802714"/>
    <w:multiLevelType w:val="hybridMultilevel"/>
    <w:tmpl w:val="07C80284"/>
    <w:lvl w:ilvl="0" w:tplc="A48AF1E8">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7" w15:restartNumberingAfterBreak="0">
    <w:nsid w:val="560B3419"/>
    <w:multiLevelType w:val="hybridMultilevel"/>
    <w:tmpl w:val="D8B2C766"/>
    <w:lvl w:ilvl="0" w:tplc="4A2621A6">
      <w:start w:val="4"/>
      <w:numFmt w:val="upperRoman"/>
      <w:lvlText w:val="%1"/>
      <w:lvlJc w:val="left"/>
      <w:pPr>
        <w:ind w:left="22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8232A2">
      <w:start w:val="1"/>
      <w:numFmt w:val="lowerLetter"/>
      <w:lvlText w:val="%2"/>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B92CCF2">
      <w:start w:val="1"/>
      <w:numFmt w:val="lowerRoman"/>
      <w:lvlText w:val="%3"/>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5625E4E">
      <w:start w:val="1"/>
      <w:numFmt w:val="decimal"/>
      <w:lvlText w:val="%4"/>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4ECDDA">
      <w:start w:val="1"/>
      <w:numFmt w:val="lowerLetter"/>
      <w:lvlText w:val="%5"/>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6C4E8E">
      <w:start w:val="1"/>
      <w:numFmt w:val="lowerRoman"/>
      <w:lvlText w:val="%6"/>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782EE58">
      <w:start w:val="1"/>
      <w:numFmt w:val="decimal"/>
      <w:lvlText w:val="%7"/>
      <w:lvlJc w:val="left"/>
      <w:pPr>
        <w:ind w:left="6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1A25BE">
      <w:start w:val="1"/>
      <w:numFmt w:val="lowerLetter"/>
      <w:lvlText w:val="%8"/>
      <w:lvlJc w:val="left"/>
      <w:pPr>
        <w:ind w:left="7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43E0F04">
      <w:start w:val="1"/>
      <w:numFmt w:val="lowerRoman"/>
      <w:lvlText w:val="%9"/>
      <w:lvlJc w:val="left"/>
      <w:pPr>
        <w:ind w:left="8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F60C13"/>
    <w:multiLevelType w:val="hybridMultilevel"/>
    <w:tmpl w:val="B94C1B68"/>
    <w:lvl w:ilvl="0" w:tplc="E022019C">
      <w:start w:val="1"/>
      <w:numFmt w:val="lowerLetter"/>
      <w:lvlText w:val="%1)"/>
      <w:lvlJc w:val="left"/>
      <w:pPr>
        <w:ind w:left="26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D2976E">
      <w:start w:val="1"/>
      <w:numFmt w:val="lowerLetter"/>
      <w:lvlText w:val="%2"/>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7D8E568">
      <w:start w:val="1"/>
      <w:numFmt w:val="lowerRoman"/>
      <w:lvlText w:val="%3"/>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8588A9A">
      <w:start w:val="1"/>
      <w:numFmt w:val="decimal"/>
      <w:lvlText w:val="%4"/>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82E1F0">
      <w:start w:val="1"/>
      <w:numFmt w:val="lowerLetter"/>
      <w:lvlText w:val="%5"/>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CBCFC40">
      <w:start w:val="1"/>
      <w:numFmt w:val="lowerRoman"/>
      <w:lvlText w:val="%6"/>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76C23DC">
      <w:start w:val="1"/>
      <w:numFmt w:val="decimal"/>
      <w:lvlText w:val="%7"/>
      <w:lvlJc w:val="left"/>
      <w:pPr>
        <w:ind w:left="6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E87CDC">
      <w:start w:val="1"/>
      <w:numFmt w:val="lowerLetter"/>
      <w:lvlText w:val="%8"/>
      <w:lvlJc w:val="left"/>
      <w:pPr>
        <w:ind w:left="7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E45CD8">
      <w:start w:val="1"/>
      <w:numFmt w:val="lowerRoman"/>
      <w:lvlText w:val="%9"/>
      <w:lvlJc w:val="left"/>
      <w:pPr>
        <w:ind w:left="8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0D917AF"/>
    <w:multiLevelType w:val="multilevel"/>
    <w:tmpl w:val="B196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0"/>
  </w:num>
  <w:num w:numId="3">
    <w:abstractNumId w:val="14"/>
  </w:num>
  <w:num w:numId="4">
    <w:abstractNumId w:val="23"/>
  </w:num>
  <w:num w:numId="5">
    <w:abstractNumId w:val="9"/>
  </w:num>
  <w:num w:numId="6">
    <w:abstractNumId w:val="5"/>
  </w:num>
  <w:num w:numId="7">
    <w:abstractNumId w:val="4"/>
  </w:num>
  <w:num w:numId="8">
    <w:abstractNumId w:val="7"/>
  </w:num>
  <w:num w:numId="9">
    <w:abstractNumId w:val="7"/>
  </w:num>
  <w:num w:numId="10">
    <w:abstractNumId w:val="19"/>
  </w:num>
  <w:num w:numId="11">
    <w:abstractNumId w:val="22"/>
  </w:num>
  <w:num w:numId="12">
    <w:abstractNumId w:val="8"/>
  </w:num>
  <w:num w:numId="13">
    <w:abstractNumId w:val="16"/>
  </w:num>
  <w:num w:numId="14">
    <w:abstractNumId w:val="12"/>
  </w:num>
  <w:num w:numId="15">
    <w:abstractNumId w:val="1"/>
  </w:num>
  <w:num w:numId="16">
    <w:abstractNumId w:val="0"/>
  </w:num>
  <w:num w:numId="17">
    <w:abstractNumId w:val="21"/>
  </w:num>
  <w:num w:numId="18">
    <w:abstractNumId w:val="2"/>
  </w:num>
  <w:num w:numId="19">
    <w:abstractNumId w:val="6"/>
  </w:num>
  <w:num w:numId="20">
    <w:abstractNumId w:val="3"/>
  </w:num>
  <w:num w:numId="21">
    <w:abstractNumId w:val="17"/>
  </w:num>
  <w:num w:numId="22">
    <w:abstractNumId w:val="13"/>
  </w:num>
  <w:num w:numId="23">
    <w:abstractNumId w:val="11"/>
  </w:num>
  <w:num w:numId="24">
    <w:abstractNumId w:val="2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0F"/>
    <w:rsid w:val="0000051E"/>
    <w:rsid w:val="000011A2"/>
    <w:rsid w:val="00007E2A"/>
    <w:rsid w:val="000103E0"/>
    <w:rsid w:val="00010B46"/>
    <w:rsid w:val="0001101D"/>
    <w:rsid w:val="00013548"/>
    <w:rsid w:val="00014ADC"/>
    <w:rsid w:val="0001732E"/>
    <w:rsid w:val="00017DF5"/>
    <w:rsid w:val="00021054"/>
    <w:rsid w:val="0003061E"/>
    <w:rsid w:val="000325C0"/>
    <w:rsid w:val="00044685"/>
    <w:rsid w:val="00051989"/>
    <w:rsid w:val="00055828"/>
    <w:rsid w:val="0006261D"/>
    <w:rsid w:val="00067A27"/>
    <w:rsid w:val="00071928"/>
    <w:rsid w:val="000720BF"/>
    <w:rsid w:val="0007721B"/>
    <w:rsid w:val="00077E6C"/>
    <w:rsid w:val="0008011B"/>
    <w:rsid w:val="00085DCF"/>
    <w:rsid w:val="00090073"/>
    <w:rsid w:val="00090153"/>
    <w:rsid w:val="00093812"/>
    <w:rsid w:val="00093ECF"/>
    <w:rsid w:val="00095BCA"/>
    <w:rsid w:val="000A138D"/>
    <w:rsid w:val="000A359B"/>
    <w:rsid w:val="000A5F0A"/>
    <w:rsid w:val="000B066A"/>
    <w:rsid w:val="000B30F6"/>
    <w:rsid w:val="000B5105"/>
    <w:rsid w:val="000C0B9D"/>
    <w:rsid w:val="000C1439"/>
    <w:rsid w:val="000C626B"/>
    <w:rsid w:val="000D019B"/>
    <w:rsid w:val="000D483B"/>
    <w:rsid w:val="000D4AE1"/>
    <w:rsid w:val="000D4AEB"/>
    <w:rsid w:val="000D5F04"/>
    <w:rsid w:val="000D7722"/>
    <w:rsid w:val="000E7CA6"/>
    <w:rsid w:val="000F0530"/>
    <w:rsid w:val="000F27B4"/>
    <w:rsid w:val="000F79F3"/>
    <w:rsid w:val="001029DC"/>
    <w:rsid w:val="00102EC7"/>
    <w:rsid w:val="001079DF"/>
    <w:rsid w:val="0011147D"/>
    <w:rsid w:val="00113293"/>
    <w:rsid w:val="00116A48"/>
    <w:rsid w:val="00126C6B"/>
    <w:rsid w:val="00130B60"/>
    <w:rsid w:val="0013246B"/>
    <w:rsid w:val="0013407F"/>
    <w:rsid w:val="001342A2"/>
    <w:rsid w:val="001362E1"/>
    <w:rsid w:val="0013660D"/>
    <w:rsid w:val="00141F90"/>
    <w:rsid w:val="001431C7"/>
    <w:rsid w:val="001457BE"/>
    <w:rsid w:val="001477EB"/>
    <w:rsid w:val="00147C06"/>
    <w:rsid w:val="00153B9B"/>
    <w:rsid w:val="00155904"/>
    <w:rsid w:val="00157CE3"/>
    <w:rsid w:val="00160E08"/>
    <w:rsid w:val="00161027"/>
    <w:rsid w:val="00161BF5"/>
    <w:rsid w:val="00167B6F"/>
    <w:rsid w:val="00173D32"/>
    <w:rsid w:val="0017517A"/>
    <w:rsid w:val="00177F10"/>
    <w:rsid w:val="00186235"/>
    <w:rsid w:val="0019361B"/>
    <w:rsid w:val="00196037"/>
    <w:rsid w:val="001A1037"/>
    <w:rsid w:val="001A36DA"/>
    <w:rsid w:val="001B49BF"/>
    <w:rsid w:val="001B5FB4"/>
    <w:rsid w:val="001C04E5"/>
    <w:rsid w:val="001C3D50"/>
    <w:rsid w:val="001C706D"/>
    <w:rsid w:val="001C751B"/>
    <w:rsid w:val="001C7C07"/>
    <w:rsid w:val="001D655B"/>
    <w:rsid w:val="001D731B"/>
    <w:rsid w:val="001E0412"/>
    <w:rsid w:val="001E1303"/>
    <w:rsid w:val="001E2E6C"/>
    <w:rsid w:val="001E4A3A"/>
    <w:rsid w:val="001E7FF7"/>
    <w:rsid w:val="001F2591"/>
    <w:rsid w:val="001F4D42"/>
    <w:rsid w:val="00201629"/>
    <w:rsid w:val="0020354A"/>
    <w:rsid w:val="00203B06"/>
    <w:rsid w:val="00204554"/>
    <w:rsid w:val="002056D7"/>
    <w:rsid w:val="002136AE"/>
    <w:rsid w:val="00215327"/>
    <w:rsid w:val="00215BF3"/>
    <w:rsid w:val="00216B50"/>
    <w:rsid w:val="002240BB"/>
    <w:rsid w:val="0022660C"/>
    <w:rsid w:val="00227BF2"/>
    <w:rsid w:val="00230018"/>
    <w:rsid w:val="00234E71"/>
    <w:rsid w:val="00243DA3"/>
    <w:rsid w:val="00244401"/>
    <w:rsid w:val="00244C0A"/>
    <w:rsid w:val="00246D86"/>
    <w:rsid w:val="00250953"/>
    <w:rsid w:val="002522F3"/>
    <w:rsid w:val="00253593"/>
    <w:rsid w:val="0025461A"/>
    <w:rsid w:val="002566DC"/>
    <w:rsid w:val="002576AE"/>
    <w:rsid w:val="00260A39"/>
    <w:rsid w:val="002610E0"/>
    <w:rsid w:val="00261DF1"/>
    <w:rsid w:val="0026354E"/>
    <w:rsid w:val="00263CEF"/>
    <w:rsid w:val="00263D7E"/>
    <w:rsid w:val="00273F37"/>
    <w:rsid w:val="00274C73"/>
    <w:rsid w:val="002765BC"/>
    <w:rsid w:val="00280BFC"/>
    <w:rsid w:val="00282010"/>
    <w:rsid w:val="002826C0"/>
    <w:rsid w:val="00285505"/>
    <w:rsid w:val="00287888"/>
    <w:rsid w:val="00290917"/>
    <w:rsid w:val="00293334"/>
    <w:rsid w:val="00294009"/>
    <w:rsid w:val="002A77E4"/>
    <w:rsid w:val="002B4193"/>
    <w:rsid w:val="002B78FC"/>
    <w:rsid w:val="002C0D3C"/>
    <w:rsid w:val="002C5F9F"/>
    <w:rsid w:val="002C7235"/>
    <w:rsid w:val="002D0BCD"/>
    <w:rsid w:val="002D2010"/>
    <w:rsid w:val="002D3740"/>
    <w:rsid w:val="002D67F4"/>
    <w:rsid w:val="002E39BA"/>
    <w:rsid w:val="002E61D9"/>
    <w:rsid w:val="002F039A"/>
    <w:rsid w:val="002F1DB8"/>
    <w:rsid w:val="002F422F"/>
    <w:rsid w:val="002F497A"/>
    <w:rsid w:val="002F55C4"/>
    <w:rsid w:val="002F5ACA"/>
    <w:rsid w:val="00300120"/>
    <w:rsid w:val="003006FE"/>
    <w:rsid w:val="00303C6F"/>
    <w:rsid w:val="00307FFD"/>
    <w:rsid w:val="00310C78"/>
    <w:rsid w:val="003119E2"/>
    <w:rsid w:val="0031218D"/>
    <w:rsid w:val="00317CDA"/>
    <w:rsid w:val="00320710"/>
    <w:rsid w:val="00324A1A"/>
    <w:rsid w:val="00331189"/>
    <w:rsid w:val="00332D09"/>
    <w:rsid w:val="003343C1"/>
    <w:rsid w:val="00335A1C"/>
    <w:rsid w:val="00340ECD"/>
    <w:rsid w:val="0034308B"/>
    <w:rsid w:val="0034314B"/>
    <w:rsid w:val="0034609E"/>
    <w:rsid w:val="00347C3A"/>
    <w:rsid w:val="003506F4"/>
    <w:rsid w:val="00355362"/>
    <w:rsid w:val="00356890"/>
    <w:rsid w:val="00356902"/>
    <w:rsid w:val="00360A7D"/>
    <w:rsid w:val="00361ACE"/>
    <w:rsid w:val="00363102"/>
    <w:rsid w:val="00371DFF"/>
    <w:rsid w:val="003834AC"/>
    <w:rsid w:val="00385969"/>
    <w:rsid w:val="003907E5"/>
    <w:rsid w:val="003923C3"/>
    <w:rsid w:val="003927D1"/>
    <w:rsid w:val="00395244"/>
    <w:rsid w:val="00397231"/>
    <w:rsid w:val="003A1A4A"/>
    <w:rsid w:val="003A3639"/>
    <w:rsid w:val="003B2075"/>
    <w:rsid w:val="003B544F"/>
    <w:rsid w:val="003B6A70"/>
    <w:rsid w:val="003B6C8D"/>
    <w:rsid w:val="003C07B1"/>
    <w:rsid w:val="003C0CBD"/>
    <w:rsid w:val="003C534E"/>
    <w:rsid w:val="003C6058"/>
    <w:rsid w:val="003C6094"/>
    <w:rsid w:val="003C64EF"/>
    <w:rsid w:val="003D34FE"/>
    <w:rsid w:val="003E36FA"/>
    <w:rsid w:val="003F3B80"/>
    <w:rsid w:val="003F4D1B"/>
    <w:rsid w:val="00406683"/>
    <w:rsid w:val="004069A0"/>
    <w:rsid w:val="00406C08"/>
    <w:rsid w:val="00407912"/>
    <w:rsid w:val="00413D40"/>
    <w:rsid w:val="00416AA1"/>
    <w:rsid w:val="004225FF"/>
    <w:rsid w:val="00423365"/>
    <w:rsid w:val="0042478D"/>
    <w:rsid w:val="004251EF"/>
    <w:rsid w:val="00425305"/>
    <w:rsid w:val="00427637"/>
    <w:rsid w:val="00434E2A"/>
    <w:rsid w:val="00437AD0"/>
    <w:rsid w:val="004434E3"/>
    <w:rsid w:val="0044660E"/>
    <w:rsid w:val="00447C20"/>
    <w:rsid w:val="00447E1A"/>
    <w:rsid w:val="00455647"/>
    <w:rsid w:val="00460CDC"/>
    <w:rsid w:val="00465509"/>
    <w:rsid w:val="0046756F"/>
    <w:rsid w:val="00470582"/>
    <w:rsid w:val="00472EE1"/>
    <w:rsid w:val="00473C84"/>
    <w:rsid w:val="00473DA1"/>
    <w:rsid w:val="004761DC"/>
    <w:rsid w:val="004762AB"/>
    <w:rsid w:val="004803AD"/>
    <w:rsid w:val="0048206E"/>
    <w:rsid w:val="0048305C"/>
    <w:rsid w:val="0048579A"/>
    <w:rsid w:val="0049027F"/>
    <w:rsid w:val="00492423"/>
    <w:rsid w:val="0049262F"/>
    <w:rsid w:val="00496076"/>
    <w:rsid w:val="004A361A"/>
    <w:rsid w:val="004A3E28"/>
    <w:rsid w:val="004B0E27"/>
    <w:rsid w:val="004B12E3"/>
    <w:rsid w:val="004C7990"/>
    <w:rsid w:val="004D32AE"/>
    <w:rsid w:val="004D45B2"/>
    <w:rsid w:val="004D53FE"/>
    <w:rsid w:val="004E0B39"/>
    <w:rsid w:val="004E0C21"/>
    <w:rsid w:val="004E2610"/>
    <w:rsid w:val="004E5478"/>
    <w:rsid w:val="004E7993"/>
    <w:rsid w:val="004F004F"/>
    <w:rsid w:val="004F0560"/>
    <w:rsid w:val="005004C6"/>
    <w:rsid w:val="0050603C"/>
    <w:rsid w:val="00507590"/>
    <w:rsid w:val="0051053E"/>
    <w:rsid w:val="00517D30"/>
    <w:rsid w:val="00517D9A"/>
    <w:rsid w:val="00523481"/>
    <w:rsid w:val="00523BAB"/>
    <w:rsid w:val="00530771"/>
    <w:rsid w:val="00531731"/>
    <w:rsid w:val="00531A76"/>
    <w:rsid w:val="00542A92"/>
    <w:rsid w:val="00543108"/>
    <w:rsid w:val="00546438"/>
    <w:rsid w:val="0055088A"/>
    <w:rsid w:val="0055645A"/>
    <w:rsid w:val="0055767B"/>
    <w:rsid w:val="00562E3C"/>
    <w:rsid w:val="005703D2"/>
    <w:rsid w:val="005741F4"/>
    <w:rsid w:val="005751F2"/>
    <w:rsid w:val="005771FB"/>
    <w:rsid w:val="00582FFA"/>
    <w:rsid w:val="005840EF"/>
    <w:rsid w:val="00584B0C"/>
    <w:rsid w:val="00586577"/>
    <w:rsid w:val="00597DBD"/>
    <w:rsid w:val="005A0A91"/>
    <w:rsid w:val="005A0F7E"/>
    <w:rsid w:val="005A2C94"/>
    <w:rsid w:val="005B0234"/>
    <w:rsid w:val="005B046F"/>
    <w:rsid w:val="005B0D2E"/>
    <w:rsid w:val="005B3D36"/>
    <w:rsid w:val="005C29CE"/>
    <w:rsid w:val="005C58C7"/>
    <w:rsid w:val="005D0785"/>
    <w:rsid w:val="005D438E"/>
    <w:rsid w:val="005D711E"/>
    <w:rsid w:val="005D783C"/>
    <w:rsid w:val="005E543E"/>
    <w:rsid w:val="005F18E9"/>
    <w:rsid w:val="005F62E1"/>
    <w:rsid w:val="005F7EDD"/>
    <w:rsid w:val="006023A2"/>
    <w:rsid w:val="006042A3"/>
    <w:rsid w:val="00606F36"/>
    <w:rsid w:val="00614AA3"/>
    <w:rsid w:val="0061631E"/>
    <w:rsid w:val="00623FA4"/>
    <w:rsid w:val="00624827"/>
    <w:rsid w:val="00625E9F"/>
    <w:rsid w:val="0063432D"/>
    <w:rsid w:val="00641B3E"/>
    <w:rsid w:val="00641B43"/>
    <w:rsid w:val="0064279E"/>
    <w:rsid w:val="006441FD"/>
    <w:rsid w:val="00647E83"/>
    <w:rsid w:val="006547D0"/>
    <w:rsid w:val="00655B67"/>
    <w:rsid w:val="00656FDB"/>
    <w:rsid w:val="00660B54"/>
    <w:rsid w:val="006623AB"/>
    <w:rsid w:val="0067217A"/>
    <w:rsid w:val="0067461E"/>
    <w:rsid w:val="006750E6"/>
    <w:rsid w:val="00681154"/>
    <w:rsid w:val="00681CAE"/>
    <w:rsid w:val="00682FF2"/>
    <w:rsid w:val="006836F0"/>
    <w:rsid w:val="00683BE5"/>
    <w:rsid w:val="0068600D"/>
    <w:rsid w:val="00686B63"/>
    <w:rsid w:val="0069124F"/>
    <w:rsid w:val="00697613"/>
    <w:rsid w:val="006A031F"/>
    <w:rsid w:val="006A4294"/>
    <w:rsid w:val="006A6F65"/>
    <w:rsid w:val="006B12EB"/>
    <w:rsid w:val="006B15E5"/>
    <w:rsid w:val="006B2292"/>
    <w:rsid w:val="006B301A"/>
    <w:rsid w:val="006B6A90"/>
    <w:rsid w:val="006C284A"/>
    <w:rsid w:val="006C2B41"/>
    <w:rsid w:val="006C3144"/>
    <w:rsid w:val="006C57DB"/>
    <w:rsid w:val="006D02CA"/>
    <w:rsid w:val="006D1F99"/>
    <w:rsid w:val="006D340F"/>
    <w:rsid w:val="006D416C"/>
    <w:rsid w:val="006D53D0"/>
    <w:rsid w:val="006D6878"/>
    <w:rsid w:val="006E7052"/>
    <w:rsid w:val="006F07CB"/>
    <w:rsid w:val="006F10EB"/>
    <w:rsid w:val="006F7A11"/>
    <w:rsid w:val="006F7B5D"/>
    <w:rsid w:val="00700C79"/>
    <w:rsid w:val="00702414"/>
    <w:rsid w:val="00703CAB"/>
    <w:rsid w:val="00710D8D"/>
    <w:rsid w:val="00712007"/>
    <w:rsid w:val="00714245"/>
    <w:rsid w:val="00722EBB"/>
    <w:rsid w:val="00724B52"/>
    <w:rsid w:val="00730225"/>
    <w:rsid w:val="007304EE"/>
    <w:rsid w:val="007308EB"/>
    <w:rsid w:val="00732345"/>
    <w:rsid w:val="00732BF9"/>
    <w:rsid w:val="0073349E"/>
    <w:rsid w:val="00733A10"/>
    <w:rsid w:val="00733B4E"/>
    <w:rsid w:val="00734EE9"/>
    <w:rsid w:val="00735C89"/>
    <w:rsid w:val="00737127"/>
    <w:rsid w:val="00740E6B"/>
    <w:rsid w:val="00743C9F"/>
    <w:rsid w:val="00747E65"/>
    <w:rsid w:val="00750061"/>
    <w:rsid w:val="007554EF"/>
    <w:rsid w:val="00756456"/>
    <w:rsid w:val="00757C77"/>
    <w:rsid w:val="007604A0"/>
    <w:rsid w:val="007604C9"/>
    <w:rsid w:val="007610C6"/>
    <w:rsid w:val="0076530D"/>
    <w:rsid w:val="00766CC7"/>
    <w:rsid w:val="00767E57"/>
    <w:rsid w:val="007742F1"/>
    <w:rsid w:val="00783B8D"/>
    <w:rsid w:val="00787907"/>
    <w:rsid w:val="0079500D"/>
    <w:rsid w:val="007B5A26"/>
    <w:rsid w:val="007C0C2C"/>
    <w:rsid w:val="007C718F"/>
    <w:rsid w:val="007D3A07"/>
    <w:rsid w:val="007D4896"/>
    <w:rsid w:val="007D48B0"/>
    <w:rsid w:val="007D5C5E"/>
    <w:rsid w:val="007E2C41"/>
    <w:rsid w:val="007E4A07"/>
    <w:rsid w:val="007E4CD2"/>
    <w:rsid w:val="007E50A3"/>
    <w:rsid w:val="007E5DC0"/>
    <w:rsid w:val="007E67A5"/>
    <w:rsid w:val="007F1447"/>
    <w:rsid w:val="007F644E"/>
    <w:rsid w:val="00803EDC"/>
    <w:rsid w:val="0080549A"/>
    <w:rsid w:val="008064CE"/>
    <w:rsid w:val="00810437"/>
    <w:rsid w:val="00812525"/>
    <w:rsid w:val="00812F3B"/>
    <w:rsid w:val="008177C6"/>
    <w:rsid w:val="00817AE3"/>
    <w:rsid w:val="008215BF"/>
    <w:rsid w:val="00826B00"/>
    <w:rsid w:val="00835803"/>
    <w:rsid w:val="008405B4"/>
    <w:rsid w:val="00841EA2"/>
    <w:rsid w:val="00845D92"/>
    <w:rsid w:val="008472FD"/>
    <w:rsid w:val="008506C6"/>
    <w:rsid w:val="00862FD2"/>
    <w:rsid w:val="00863AC0"/>
    <w:rsid w:val="00865A23"/>
    <w:rsid w:val="00866591"/>
    <w:rsid w:val="008713FD"/>
    <w:rsid w:val="00887709"/>
    <w:rsid w:val="008902BE"/>
    <w:rsid w:val="00891C6A"/>
    <w:rsid w:val="00895B85"/>
    <w:rsid w:val="00896EE6"/>
    <w:rsid w:val="008A1488"/>
    <w:rsid w:val="008A2C5A"/>
    <w:rsid w:val="008A5A30"/>
    <w:rsid w:val="008B073A"/>
    <w:rsid w:val="008B1020"/>
    <w:rsid w:val="008B21BE"/>
    <w:rsid w:val="008C055F"/>
    <w:rsid w:val="008C211B"/>
    <w:rsid w:val="008C3CEC"/>
    <w:rsid w:val="008C4248"/>
    <w:rsid w:val="008C5908"/>
    <w:rsid w:val="008C65C3"/>
    <w:rsid w:val="008C71FA"/>
    <w:rsid w:val="008D42AA"/>
    <w:rsid w:val="008D747F"/>
    <w:rsid w:val="008E7ACF"/>
    <w:rsid w:val="008F0812"/>
    <w:rsid w:val="008F1B7C"/>
    <w:rsid w:val="008F67F7"/>
    <w:rsid w:val="00901944"/>
    <w:rsid w:val="00902506"/>
    <w:rsid w:val="009030AC"/>
    <w:rsid w:val="00903222"/>
    <w:rsid w:val="00907D0B"/>
    <w:rsid w:val="00912F9D"/>
    <w:rsid w:val="00915466"/>
    <w:rsid w:val="00915F53"/>
    <w:rsid w:val="009168C7"/>
    <w:rsid w:val="0092413C"/>
    <w:rsid w:val="00924B68"/>
    <w:rsid w:val="0093086F"/>
    <w:rsid w:val="00933BA9"/>
    <w:rsid w:val="0093419F"/>
    <w:rsid w:val="00937828"/>
    <w:rsid w:val="0093788D"/>
    <w:rsid w:val="00942446"/>
    <w:rsid w:val="00942D7A"/>
    <w:rsid w:val="0094328B"/>
    <w:rsid w:val="009432F5"/>
    <w:rsid w:val="00943459"/>
    <w:rsid w:val="00945966"/>
    <w:rsid w:val="00951817"/>
    <w:rsid w:val="00952306"/>
    <w:rsid w:val="00955609"/>
    <w:rsid w:val="00957B44"/>
    <w:rsid w:val="009627FB"/>
    <w:rsid w:val="00963DD0"/>
    <w:rsid w:val="00970763"/>
    <w:rsid w:val="009724D8"/>
    <w:rsid w:val="0098093E"/>
    <w:rsid w:val="009873CF"/>
    <w:rsid w:val="009913B4"/>
    <w:rsid w:val="0099190E"/>
    <w:rsid w:val="00994FBA"/>
    <w:rsid w:val="009976D2"/>
    <w:rsid w:val="009A098C"/>
    <w:rsid w:val="009A376F"/>
    <w:rsid w:val="009A41EA"/>
    <w:rsid w:val="009A73F8"/>
    <w:rsid w:val="009A7DFD"/>
    <w:rsid w:val="009A7E0D"/>
    <w:rsid w:val="009B11E7"/>
    <w:rsid w:val="009B3488"/>
    <w:rsid w:val="009C2294"/>
    <w:rsid w:val="009C342E"/>
    <w:rsid w:val="009C4830"/>
    <w:rsid w:val="009C7D1E"/>
    <w:rsid w:val="009C7DFA"/>
    <w:rsid w:val="009D016A"/>
    <w:rsid w:val="009D0C3A"/>
    <w:rsid w:val="009D3AA5"/>
    <w:rsid w:val="009D68AF"/>
    <w:rsid w:val="009E38E0"/>
    <w:rsid w:val="009E6608"/>
    <w:rsid w:val="009E79A8"/>
    <w:rsid w:val="009E79E2"/>
    <w:rsid w:val="009F495D"/>
    <w:rsid w:val="00A01395"/>
    <w:rsid w:val="00A01C2B"/>
    <w:rsid w:val="00A01EC8"/>
    <w:rsid w:val="00A03775"/>
    <w:rsid w:val="00A04320"/>
    <w:rsid w:val="00A04802"/>
    <w:rsid w:val="00A06BF9"/>
    <w:rsid w:val="00A075BC"/>
    <w:rsid w:val="00A16D53"/>
    <w:rsid w:val="00A3126B"/>
    <w:rsid w:val="00A3128B"/>
    <w:rsid w:val="00A46850"/>
    <w:rsid w:val="00A46AF5"/>
    <w:rsid w:val="00A515C4"/>
    <w:rsid w:val="00A525BF"/>
    <w:rsid w:val="00A66FD8"/>
    <w:rsid w:val="00A8007F"/>
    <w:rsid w:val="00A80641"/>
    <w:rsid w:val="00A83237"/>
    <w:rsid w:val="00A8431E"/>
    <w:rsid w:val="00A90795"/>
    <w:rsid w:val="00A957B9"/>
    <w:rsid w:val="00AA505A"/>
    <w:rsid w:val="00AA66CF"/>
    <w:rsid w:val="00AB5527"/>
    <w:rsid w:val="00AB5AE1"/>
    <w:rsid w:val="00AC4EC1"/>
    <w:rsid w:val="00AC61AF"/>
    <w:rsid w:val="00AC7E25"/>
    <w:rsid w:val="00AE0457"/>
    <w:rsid w:val="00AE065E"/>
    <w:rsid w:val="00AE0DBD"/>
    <w:rsid w:val="00AE1840"/>
    <w:rsid w:val="00AE2D25"/>
    <w:rsid w:val="00AE3FC5"/>
    <w:rsid w:val="00AF2DBA"/>
    <w:rsid w:val="00AF3DDF"/>
    <w:rsid w:val="00AF3F4E"/>
    <w:rsid w:val="00AF686F"/>
    <w:rsid w:val="00B039B3"/>
    <w:rsid w:val="00B07A27"/>
    <w:rsid w:val="00B10CA9"/>
    <w:rsid w:val="00B11C2C"/>
    <w:rsid w:val="00B12485"/>
    <w:rsid w:val="00B12946"/>
    <w:rsid w:val="00B13490"/>
    <w:rsid w:val="00B169EE"/>
    <w:rsid w:val="00B21A15"/>
    <w:rsid w:val="00B24EC4"/>
    <w:rsid w:val="00B2523B"/>
    <w:rsid w:val="00B25FFE"/>
    <w:rsid w:val="00B27804"/>
    <w:rsid w:val="00B3692A"/>
    <w:rsid w:val="00B411A5"/>
    <w:rsid w:val="00B532B5"/>
    <w:rsid w:val="00B55541"/>
    <w:rsid w:val="00B60974"/>
    <w:rsid w:val="00B617FA"/>
    <w:rsid w:val="00B63030"/>
    <w:rsid w:val="00B63FBF"/>
    <w:rsid w:val="00B64506"/>
    <w:rsid w:val="00B6491F"/>
    <w:rsid w:val="00B66810"/>
    <w:rsid w:val="00B67A56"/>
    <w:rsid w:val="00B73747"/>
    <w:rsid w:val="00B801AB"/>
    <w:rsid w:val="00B8300D"/>
    <w:rsid w:val="00B85F52"/>
    <w:rsid w:val="00B92757"/>
    <w:rsid w:val="00B956AB"/>
    <w:rsid w:val="00BB279B"/>
    <w:rsid w:val="00BC3642"/>
    <w:rsid w:val="00BC4277"/>
    <w:rsid w:val="00BC65B9"/>
    <w:rsid w:val="00BC6E68"/>
    <w:rsid w:val="00BD601B"/>
    <w:rsid w:val="00BD6715"/>
    <w:rsid w:val="00BD737C"/>
    <w:rsid w:val="00BE69CC"/>
    <w:rsid w:val="00BF3487"/>
    <w:rsid w:val="00C01F1F"/>
    <w:rsid w:val="00C026D9"/>
    <w:rsid w:val="00C03928"/>
    <w:rsid w:val="00C05B5C"/>
    <w:rsid w:val="00C102DA"/>
    <w:rsid w:val="00C1075E"/>
    <w:rsid w:val="00C16BBF"/>
    <w:rsid w:val="00C22A7A"/>
    <w:rsid w:val="00C271A6"/>
    <w:rsid w:val="00C32FF6"/>
    <w:rsid w:val="00C34E64"/>
    <w:rsid w:val="00C41098"/>
    <w:rsid w:val="00C500B4"/>
    <w:rsid w:val="00C51202"/>
    <w:rsid w:val="00C52601"/>
    <w:rsid w:val="00C55777"/>
    <w:rsid w:val="00C559E0"/>
    <w:rsid w:val="00C564E9"/>
    <w:rsid w:val="00C567DA"/>
    <w:rsid w:val="00C6022E"/>
    <w:rsid w:val="00C60271"/>
    <w:rsid w:val="00C63425"/>
    <w:rsid w:val="00C64DEB"/>
    <w:rsid w:val="00C653F6"/>
    <w:rsid w:val="00C66556"/>
    <w:rsid w:val="00C671EC"/>
    <w:rsid w:val="00C7075D"/>
    <w:rsid w:val="00C733EB"/>
    <w:rsid w:val="00C738FA"/>
    <w:rsid w:val="00C76C7C"/>
    <w:rsid w:val="00C84F71"/>
    <w:rsid w:val="00C874EB"/>
    <w:rsid w:val="00C9440F"/>
    <w:rsid w:val="00C97385"/>
    <w:rsid w:val="00CA06AA"/>
    <w:rsid w:val="00CA0C13"/>
    <w:rsid w:val="00CA2360"/>
    <w:rsid w:val="00CA4604"/>
    <w:rsid w:val="00CA46ED"/>
    <w:rsid w:val="00CA4E70"/>
    <w:rsid w:val="00CA53FC"/>
    <w:rsid w:val="00CB288B"/>
    <w:rsid w:val="00CB45AD"/>
    <w:rsid w:val="00CB7AB1"/>
    <w:rsid w:val="00CB7B12"/>
    <w:rsid w:val="00CC76EA"/>
    <w:rsid w:val="00CD2322"/>
    <w:rsid w:val="00CD5DF4"/>
    <w:rsid w:val="00CD77A8"/>
    <w:rsid w:val="00CF0D35"/>
    <w:rsid w:val="00D00E37"/>
    <w:rsid w:val="00D02C7B"/>
    <w:rsid w:val="00D05292"/>
    <w:rsid w:val="00D06788"/>
    <w:rsid w:val="00D07D74"/>
    <w:rsid w:val="00D201AE"/>
    <w:rsid w:val="00D2113B"/>
    <w:rsid w:val="00D21354"/>
    <w:rsid w:val="00D2163C"/>
    <w:rsid w:val="00D2342D"/>
    <w:rsid w:val="00D24682"/>
    <w:rsid w:val="00D275FE"/>
    <w:rsid w:val="00D32755"/>
    <w:rsid w:val="00D45855"/>
    <w:rsid w:val="00D45E57"/>
    <w:rsid w:val="00D504A6"/>
    <w:rsid w:val="00D522E0"/>
    <w:rsid w:val="00D55067"/>
    <w:rsid w:val="00D5699A"/>
    <w:rsid w:val="00D61EFD"/>
    <w:rsid w:val="00D6432F"/>
    <w:rsid w:val="00D6438A"/>
    <w:rsid w:val="00D65625"/>
    <w:rsid w:val="00D67FBF"/>
    <w:rsid w:val="00D70020"/>
    <w:rsid w:val="00D709C0"/>
    <w:rsid w:val="00D71E23"/>
    <w:rsid w:val="00D72BF9"/>
    <w:rsid w:val="00D770A2"/>
    <w:rsid w:val="00D81F2D"/>
    <w:rsid w:val="00D8520B"/>
    <w:rsid w:val="00D8569A"/>
    <w:rsid w:val="00D86B5F"/>
    <w:rsid w:val="00D8734B"/>
    <w:rsid w:val="00D94E67"/>
    <w:rsid w:val="00D95013"/>
    <w:rsid w:val="00D96211"/>
    <w:rsid w:val="00DA035B"/>
    <w:rsid w:val="00DA5E5B"/>
    <w:rsid w:val="00DB0344"/>
    <w:rsid w:val="00DB5F08"/>
    <w:rsid w:val="00DB7002"/>
    <w:rsid w:val="00DC1C4F"/>
    <w:rsid w:val="00DC4423"/>
    <w:rsid w:val="00DC5095"/>
    <w:rsid w:val="00DC5F80"/>
    <w:rsid w:val="00DC6170"/>
    <w:rsid w:val="00DC7375"/>
    <w:rsid w:val="00DD01C6"/>
    <w:rsid w:val="00DD16A1"/>
    <w:rsid w:val="00DD1DC4"/>
    <w:rsid w:val="00DD3078"/>
    <w:rsid w:val="00DD45C1"/>
    <w:rsid w:val="00DD63AF"/>
    <w:rsid w:val="00DE0119"/>
    <w:rsid w:val="00DE11DC"/>
    <w:rsid w:val="00DE1E14"/>
    <w:rsid w:val="00DE557B"/>
    <w:rsid w:val="00DE631D"/>
    <w:rsid w:val="00DE6773"/>
    <w:rsid w:val="00DE75F7"/>
    <w:rsid w:val="00DF70E7"/>
    <w:rsid w:val="00E002F9"/>
    <w:rsid w:val="00E03F59"/>
    <w:rsid w:val="00E04AC5"/>
    <w:rsid w:val="00E05676"/>
    <w:rsid w:val="00E06170"/>
    <w:rsid w:val="00E126D7"/>
    <w:rsid w:val="00E14819"/>
    <w:rsid w:val="00E15510"/>
    <w:rsid w:val="00E1786F"/>
    <w:rsid w:val="00E20EC0"/>
    <w:rsid w:val="00E24E18"/>
    <w:rsid w:val="00E36CA1"/>
    <w:rsid w:val="00E37CA2"/>
    <w:rsid w:val="00E43DC9"/>
    <w:rsid w:val="00E43E94"/>
    <w:rsid w:val="00E47CDA"/>
    <w:rsid w:val="00E666E1"/>
    <w:rsid w:val="00E733D5"/>
    <w:rsid w:val="00E74596"/>
    <w:rsid w:val="00E827CA"/>
    <w:rsid w:val="00E839D0"/>
    <w:rsid w:val="00E86FB3"/>
    <w:rsid w:val="00E87922"/>
    <w:rsid w:val="00E91DC1"/>
    <w:rsid w:val="00E9355E"/>
    <w:rsid w:val="00E936A9"/>
    <w:rsid w:val="00E94A5E"/>
    <w:rsid w:val="00E95617"/>
    <w:rsid w:val="00EA0652"/>
    <w:rsid w:val="00EB1517"/>
    <w:rsid w:val="00EB4B31"/>
    <w:rsid w:val="00EB77A0"/>
    <w:rsid w:val="00EC453E"/>
    <w:rsid w:val="00EC6EDB"/>
    <w:rsid w:val="00ED6103"/>
    <w:rsid w:val="00ED6578"/>
    <w:rsid w:val="00EE2F7B"/>
    <w:rsid w:val="00EE3647"/>
    <w:rsid w:val="00EE64E2"/>
    <w:rsid w:val="00EF213A"/>
    <w:rsid w:val="00EF3EC7"/>
    <w:rsid w:val="00F03852"/>
    <w:rsid w:val="00F05FBB"/>
    <w:rsid w:val="00F12F58"/>
    <w:rsid w:val="00F2145A"/>
    <w:rsid w:val="00F31C6D"/>
    <w:rsid w:val="00F52BCC"/>
    <w:rsid w:val="00F52D45"/>
    <w:rsid w:val="00F62A77"/>
    <w:rsid w:val="00F70D09"/>
    <w:rsid w:val="00F75071"/>
    <w:rsid w:val="00F7598F"/>
    <w:rsid w:val="00F86330"/>
    <w:rsid w:val="00F86577"/>
    <w:rsid w:val="00F86E27"/>
    <w:rsid w:val="00F93BF5"/>
    <w:rsid w:val="00F9526F"/>
    <w:rsid w:val="00FA1054"/>
    <w:rsid w:val="00FA2331"/>
    <w:rsid w:val="00FB1E22"/>
    <w:rsid w:val="00FC1C75"/>
    <w:rsid w:val="00FC3062"/>
    <w:rsid w:val="00FC78B1"/>
    <w:rsid w:val="00FD244B"/>
    <w:rsid w:val="00FD40E4"/>
    <w:rsid w:val="00FE0EEA"/>
    <w:rsid w:val="00FE427B"/>
    <w:rsid w:val="00FE49CD"/>
    <w:rsid w:val="00FE7F38"/>
    <w:rsid w:val="00FF65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7D4E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2056D7"/>
    <w:rPr>
      <w:b/>
      <w:sz w:val="22"/>
      <w:lang w:val="x-none" w:eastAsia="x-none"/>
    </w:r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customStyle="1" w:styleId="RodapChar">
    <w:name w:val="Rodapé Char"/>
    <w:link w:val="Rodap"/>
    <w:uiPriority w:val="99"/>
    <w:rsid w:val="005D711E"/>
    <w:rPr>
      <w:sz w:val="24"/>
      <w:szCs w:val="24"/>
    </w:rPr>
  </w:style>
  <w:style w:type="character" w:styleId="Hyperlink">
    <w:name w:val="Hyperlink"/>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apple-converted-space">
    <w:name w:val="apple-converted-space"/>
    <w:rsid w:val="000720BF"/>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character" w:styleId="MenoPendente">
    <w:name w:val="Unresolved Mention"/>
    <w:basedOn w:val="Fontepargpadro"/>
    <w:uiPriority w:val="99"/>
    <w:semiHidden/>
    <w:unhideWhenUsed/>
    <w:rsid w:val="00437AD0"/>
    <w:rPr>
      <w:color w:val="605E5C"/>
      <w:shd w:val="clear" w:color="auto" w:fill="E1DFDD"/>
    </w:rPr>
  </w:style>
  <w:style w:type="paragraph" w:styleId="PargrafodaLista">
    <w:name w:val="List Paragraph"/>
    <w:basedOn w:val="Normal"/>
    <w:uiPriority w:val="34"/>
    <w:qFormat/>
    <w:rsid w:val="00437AD0"/>
    <w:pPr>
      <w:widowControl/>
      <w:suppressLineNumbers w:val="0"/>
      <w:suppressAutoHyphens w:val="0"/>
      <w:spacing w:after="160" w:line="259" w:lineRule="auto"/>
      <w:ind w:left="720" w:firstLine="0"/>
      <w:contextualSpacing/>
      <w:jc w:val="left"/>
    </w:pPr>
    <w:rPr>
      <w:rFonts w:asciiTheme="minorHAnsi" w:eastAsiaTheme="minorHAnsi" w:hAnsiTheme="minorHAnsi" w:cstheme="minorBidi"/>
      <w:sz w:val="22"/>
      <w:szCs w:val="22"/>
      <w:lang w:eastAsia="en-US"/>
    </w:rPr>
  </w:style>
  <w:style w:type="paragraph" w:customStyle="1" w:styleId="MDPI41tablecaption">
    <w:name w:val="MDPI_4.1_table_caption"/>
    <w:basedOn w:val="Normal"/>
    <w:qFormat/>
    <w:rsid w:val="00A3126B"/>
    <w:pPr>
      <w:widowControl/>
      <w:suppressLineNumbers w:val="0"/>
      <w:suppressAutoHyphens w:val="0"/>
      <w:adjustRightInd w:val="0"/>
      <w:snapToGrid w:val="0"/>
      <w:spacing w:before="240" w:after="120" w:line="260" w:lineRule="atLeast"/>
      <w:ind w:left="425" w:right="425" w:firstLine="0"/>
    </w:pPr>
    <w:rPr>
      <w:rFonts w:ascii="Palatino Linotype" w:hAnsi="Palatino Linotype"/>
      <w:color w:val="000000"/>
      <w:sz w:val="18"/>
      <w:szCs w:val="22"/>
      <w:lang w:val="en-US" w:eastAsia="de-DE" w:bidi="en-US"/>
    </w:rPr>
  </w:style>
  <w:style w:type="paragraph" w:customStyle="1" w:styleId="Default">
    <w:name w:val="Default"/>
    <w:rsid w:val="00085DCF"/>
    <w:pPr>
      <w:autoSpaceDE w:val="0"/>
      <w:autoSpaceDN w:val="0"/>
      <w:adjustRightInd w:val="0"/>
    </w:pPr>
    <w:rPr>
      <w:color w:val="000000"/>
      <w:sz w:val="24"/>
      <w:szCs w:val="24"/>
    </w:rPr>
  </w:style>
  <w:style w:type="paragraph" w:customStyle="1" w:styleId="p27">
    <w:name w:val="p27"/>
    <w:basedOn w:val="Normal"/>
    <w:rsid w:val="00C76C7C"/>
    <w:pPr>
      <w:widowControl/>
      <w:suppressLineNumbers w:val="0"/>
      <w:suppressAutoHyphens w:val="0"/>
      <w:spacing w:before="100" w:beforeAutospacing="1" w:after="100" w:afterAutospacing="1"/>
      <w:ind w:firstLine="0"/>
      <w:jc w:val="left"/>
    </w:pPr>
    <w:rPr>
      <w:szCs w:val="24"/>
    </w:rPr>
  </w:style>
  <w:style w:type="paragraph" w:customStyle="1" w:styleId="p28">
    <w:name w:val="p28"/>
    <w:basedOn w:val="Normal"/>
    <w:rsid w:val="00C76C7C"/>
    <w:pPr>
      <w:widowControl/>
      <w:suppressLineNumbers w:val="0"/>
      <w:suppressAutoHyphens w:val="0"/>
      <w:spacing w:before="100" w:beforeAutospacing="1" w:after="100" w:afterAutospacing="1"/>
      <w:ind w:firstLine="0"/>
      <w:jc w:val="left"/>
    </w:pPr>
    <w:rPr>
      <w:szCs w:val="24"/>
    </w:rPr>
  </w:style>
  <w:style w:type="paragraph" w:customStyle="1" w:styleId="p23">
    <w:name w:val="p23"/>
    <w:basedOn w:val="Normal"/>
    <w:rsid w:val="00C76C7C"/>
    <w:pPr>
      <w:widowControl/>
      <w:suppressLineNumbers w:val="0"/>
      <w:suppressAutoHyphens w:val="0"/>
      <w:spacing w:before="100" w:beforeAutospacing="1" w:after="100" w:afterAutospacing="1"/>
      <w:ind w:firstLine="0"/>
      <w:jc w:val="left"/>
    </w:pPr>
    <w:rPr>
      <w:szCs w:val="24"/>
    </w:rPr>
  </w:style>
  <w:style w:type="paragraph" w:customStyle="1" w:styleId="p19">
    <w:name w:val="p19"/>
    <w:basedOn w:val="Normal"/>
    <w:rsid w:val="00C76C7C"/>
    <w:pPr>
      <w:widowControl/>
      <w:suppressLineNumbers w:val="0"/>
      <w:suppressAutoHyphens w:val="0"/>
      <w:spacing w:before="100" w:beforeAutospacing="1" w:after="100" w:afterAutospacing="1"/>
      <w:ind w:firstLine="0"/>
      <w:jc w:val="left"/>
    </w:pPr>
    <w:rPr>
      <w:szCs w:val="24"/>
    </w:rPr>
  </w:style>
  <w:style w:type="paragraph" w:customStyle="1" w:styleId="p11">
    <w:name w:val="p11"/>
    <w:basedOn w:val="Normal"/>
    <w:rsid w:val="00C76C7C"/>
    <w:pPr>
      <w:widowControl/>
      <w:suppressLineNumbers w:val="0"/>
      <w:suppressAutoHyphens w:val="0"/>
      <w:spacing w:before="100" w:beforeAutospacing="1" w:after="100" w:afterAutospacing="1"/>
      <w:ind w:firstLine="0"/>
      <w:jc w:val="left"/>
    </w:pPr>
    <w:rPr>
      <w:szCs w:val="24"/>
    </w:rPr>
  </w:style>
  <w:style w:type="paragraph" w:customStyle="1" w:styleId="p20">
    <w:name w:val="p20"/>
    <w:basedOn w:val="Normal"/>
    <w:rsid w:val="00C76C7C"/>
    <w:pPr>
      <w:widowControl/>
      <w:suppressLineNumbers w:val="0"/>
      <w:suppressAutoHyphens w:val="0"/>
      <w:spacing w:before="100" w:beforeAutospacing="1" w:after="100" w:afterAutospacing="1"/>
      <w:ind w:firstLine="0"/>
      <w:jc w:val="left"/>
    </w:pPr>
    <w:rPr>
      <w:szCs w:val="24"/>
    </w:rPr>
  </w:style>
  <w:style w:type="paragraph" w:customStyle="1" w:styleId="p21">
    <w:name w:val="p21"/>
    <w:basedOn w:val="Normal"/>
    <w:rsid w:val="00C76C7C"/>
    <w:pPr>
      <w:widowControl/>
      <w:suppressLineNumbers w:val="0"/>
      <w:suppressAutoHyphens w:val="0"/>
      <w:spacing w:before="100" w:beforeAutospacing="1" w:after="100" w:afterAutospacing="1"/>
      <w:ind w:firstLine="0"/>
      <w:jc w:val="left"/>
    </w:pPr>
    <w:rPr>
      <w:szCs w:val="24"/>
    </w:rPr>
  </w:style>
  <w:style w:type="paragraph" w:customStyle="1" w:styleId="p22">
    <w:name w:val="p22"/>
    <w:basedOn w:val="Normal"/>
    <w:rsid w:val="00C76C7C"/>
    <w:pPr>
      <w:widowControl/>
      <w:suppressLineNumbers w:val="0"/>
      <w:suppressAutoHyphens w:val="0"/>
      <w:spacing w:before="100" w:beforeAutospacing="1" w:after="100" w:afterAutospacing="1"/>
      <w:ind w:firstLine="0"/>
      <w:jc w:val="left"/>
    </w:pPr>
    <w:rPr>
      <w:szCs w:val="24"/>
    </w:rPr>
  </w:style>
  <w:style w:type="paragraph" w:customStyle="1" w:styleId="p24">
    <w:name w:val="p24"/>
    <w:basedOn w:val="Normal"/>
    <w:rsid w:val="00C76C7C"/>
    <w:pPr>
      <w:widowControl/>
      <w:suppressLineNumbers w:val="0"/>
      <w:suppressAutoHyphens w:val="0"/>
      <w:spacing w:before="100" w:beforeAutospacing="1" w:after="100" w:afterAutospacing="1"/>
      <w:ind w:firstLine="0"/>
      <w:jc w:val="left"/>
    </w:pPr>
    <w:rPr>
      <w:szCs w:val="24"/>
    </w:rPr>
  </w:style>
  <w:style w:type="paragraph" w:customStyle="1" w:styleId="p25">
    <w:name w:val="p25"/>
    <w:basedOn w:val="Normal"/>
    <w:rsid w:val="00C76C7C"/>
    <w:pPr>
      <w:widowControl/>
      <w:suppressLineNumbers w:val="0"/>
      <w:suppressAutoHyphens w:val="0"/>
      <w:spacing w:before="100" w:beforeAutospacing="1" w:after="100" w:afterAutospacing="1"/>
      <w:ind w:firstLine="0"/>
      <w:jc w:val="left"/>
    </w:pPr>
    <w:rPr>
      <w:szCs w:val="24"/>
    </w:rPr>
  </w:style>
  <w:style w:type="paragraph" w:customStyle="1" w:styleId="p26">
    <w:name w:val="p26"/>
    <w:basedOn w:val="Normal"/>
    <w:rsid w:val="00C76C7C"/>
    <w:pPr>
      <w:widowControl/>
      <w:suppressLineNumbers w:val="0"/>
      <w:suppressAutoHyphens w:val="0"/>
      <w:spacing w:before="100" w:beforeAutospacing="1" w:after="100" w:afterAutospacing="1"/>
      <w:ind w:firstLine="0"/>
      <w:jc w:val="left"/>
    </w:pPr>
    <w:rPr>
      <w:szCs w:val="24"/>
    </w:rPr>
  </w:style>
  <w:style w:type="paragraph" w:customStyle="1" w:styleId="p18">
    <w:name w:val="p18"/>
    <w:basedOn w:val="Normal"/>
    <w:rsid w:val="004E7993"/>
    <w:pPr>
      <w:widowControl/>
      <w:suppressLineNumbers w:val="0"/>
      <w:suppressAutoHyphens w:val="0"/>
      <w:spacing w:before="100" w:beforeAutospacing="1" w:after="100" w:afterAutospacing="1"/>
      <w:ind w:firstLine="0"/>
      <w:jc w:val="left"/>
    </w:pPr>
    <w:rPr>
      <w:szCs w:val="24"/>
    </w:rPr>
  </w:style>
  <w:style w:type="character" w:customStyle="1" w:styleId="ft16">
    <w:name w:val="ft16"/>
    <w:basedOn w:val="Fontepargpadro"/>
    <w:rsid w:val="004E7993"/>
  </w:style>
  <w:style w:type="paragraph" w:customStyle="1" w:styleId="p3">
    <w:name w:val="p3"/>
    <w:basedOn w:val="Normal"/>
    <w:rsid w:val="004E7993"/>
    <w:pPr>
      <w:widowControl/>
      <w:suppressLineNumbers w:val="0"/>
      <w:suppressAutoHyphens w:val="0"/>
      <w:spacing w:before="100" w:beforeAutospacing="1" w:after="100" w:afterAutospacing="1"/>
      <w:ind w:firstLine="0"/>
      <w:jc w:val="left"/>
    </w:pPr>
    <w:rPr>
      <w:szCs w:val="24"/>
    </w:rPr>
  </w:style>
  <w:style w:type="character" w:customStyle="1" w:styleId="ft9">
    <w:name w:val="ft9"/>
    <w:basedOn w:val="Fontepargpadro"/>
    <w:rsid w:val="004E7993"/>
  </w:style>
  <w:style w:type="paragraph" w:customStyle="1" w:styleId="p8">
    <w:name w:val="p8"/>
    <w:basedOn w:val="Normal"/>
    <w:rsid w:val="004E7993"/>
    <w:pPr>
      <w:widowControl/>
      <w:suppressLineNumbers w:val="0"/>
      <w:suppressAutoHyphens w:val="0"/>
      <w:spacing w:before="100" w:beforeAutospacing="1" w:after="100" w:afterAutospacing="1"/>
      <w:ind w:firstLine="0"/>
      <w:jc w:val="left"/>
    </w:pPr>
    <w:rPr>
      <w:szCs w:val="24"/>
    </w:rPr>
  </w:style>
  <w:style w:type="paragraph" w:customStyle="1" w:styleId="p9">
    <w:name w:val="p9"/>
    <w:basedOn w:val="Normal"/>
    <w:rsid w:val="004E7993"/>
    <w:pPr>
      <w:widowControl/>
      <w:suppressLineNumbers w:val="0"/>
      <w:suppressAutoHyphens w:val="0"/>
      <w:spacing w:before="100" w:beforeAutospacing="1" w:after="100" w:afterAutospacing="1"/>
      <w:ind w:firstLine="0"/>
      <w:jc w:val="left"/>
    </w:pPr>
    <w:rPr>
      <w:szCs w:val="24"/>
    </w:rPr>
  </w:style>
  <w:style w:type="character" w:customStyle="1" w:styleId="ft11">
    <w:name w:val="ft11"/>
    <w:basedOn w:val="Fontepargpadro"/>
    <w:rsid w:val="004E7993"/>
  </w:style>
  <w:style w:type="character" w:customStyle="1" w:styleId="ft17">
    <w:name w:val="ft17"/>
    <w:basedOn w:val="Fontepargpadro"/>
    <w:rsid w:val="004E7993"/>
  </w:style>
  <w:style w:type="character" w:customStyle="1" w:styleId="ft8">
    <w:name w:val="ft8"/>
    <w:basedOn w:val="Fontepargpadro"/>
    <w:rsid w:val="004E7993"/>
  </w:style>
  <w:style w:type="character" w:customStyle="1" w:styleId="contribdegrees">
    <w:name w:val="contribdegrees"/>
    <w:basedOn w:val="Fontepargpadro"/>
    <w:rsid w:val="00E04AC5"/>
  </w:style>
  <w:style w:type="paragraph" w:customStyle="1" w:styleId="p2">
    <w:name w:val="p2"/>
    <w:basedOn w:val="Normal"/>
    <w:rsid w:val="00D45855"/>
    <w:pPr>
      <w:widowControl/>
      <w:suppressLineNumbers w:val="0"/>
      <w:suppressAutoHyphens w:val="0"/>
      <w:spacing w:before="100" w:beforeAutospacing="1" w:after="100" w:afterAutospacing="1"/>
      <w:ind w:firstLine="0"/>
      <w:jc w:val="left"/>
    </w:pPr>
    <w:rPr>
      <w:szCs w:val="24"/>
    </w:rPr>
  </w:style>
  <w:style w:type="character" w:customStyle="1" w:styleId="citationref">
    <w:name w:val="citationref"/>
    <w:basedOn w:val="Fontepargpadro"/>
    <w:rsid w:val="00071928"/>
  </w:style>
  <w:style w:type="character" w:customStyle="1" w:styleId="ft6">
    <w:name w:val="ft6"/>
    <w:basedOn w:val="Fontepargpadro"/>
    <w:rsid w:val="0067217A"/>
  </w:style>
  <w:style w:type="paragraph" w:customStyle="1" w:styleId="p55">
    <w:name w:val="p55"/>
    <w:basedOn w:val="Normal"/>
    <w:rsid w:val="0019361B"/>
    <w:pPr>
      <w:widowControl/>
      <w:suppressLineNumbers w:val="0"/>
      <w:suppressAutoHyphens w:val="0"/>
      <w:spacing w:before="100" w:beforeAutospacing="1" w:after="100" w:afterAutospacing="1"/>
      <w:ind w:firstLine="0"/>
      <w:jc w:val="left"/>
    </w:pPr>
    <w:rPr>
      <w:szCs w:val="24"/>
    </w:rPr>
  </w:style>
  <w:style w:type="paragraph" w:customStyle="1" w:styleId="p13">
    <w:name w:val="p13"/>
    <w:basedOn w:val="Normal"/>
    <w:rsid w:val="0019361B"/>
    <w:pPr>
      <w:widowControl/>
      <w:suppressLineNumbers w:val="0"/>
      <w:suppressAutoHyphens w:val="0"/>
      <w:spacing w:before="100" w:beforeAutospacing="1" w:after="100" w:afterAutospacing="1"/>
      <w:ind w:firstLine="0"/>
      <w:jc w:val="left"/>
    </w:pPr>
    <w:rPr>
      <w:szCs w:val="24"/>
    </w:rPr>
  </w:style>
  <w:style w:type="paragraph" w:customStyle="1" w:styleId="p52">
    <w:name w:val="p52"/>
    <w:basedOn w:val="Normal"/>
    <w:rsid w:val="0019361B"/>
    <w:pPr>
      <w:widowControl/>
      <w:suppressLineNumbers w:val="0"/>
      <w:suppressAutoHyphens w:val="0"/>
      <w:spacing w:before="100" w:beforeAutospacing="1" w:after="100" w:afterAutospacing="1"/>
      <w:ind w:firstLine="0"/>
      <w:jc w:val="left"/>
    </w:pPr>
    <w:rPr>
      <w:szCs w:val="24"/>
    </w:rPr>
  </w:style>
  <w:style w:type="paragraph" w:customStyle="1" w:styleId="p96">
    <w:name w:val="p96"/>
    <w:basedOn w:val="Normal"/>
    <w:rsid w:val="0019361B"/>
    <w:pPr>
      <w:widowControl/>
      <w:suppressLineNumbers w:val="0"/>
      <w:suppressAutoHyphens w:val="0"/>
      <w:spacing w:before="100" w:beforeAutospacing="1" w:after="100" w:afterAutospacing="1"/>
      <w:ind w:firstLine="0"/>
      <w:jc w:val="left"/>
    </w:pPr>
    <w:rPr>
      <w:szCs w:val="24"/>
    </w:rPr>
  </w:style>
  <w:style w:type="paragraph" w:customStyle="1" w:styleId="p97">
    <w:name w:val="p97"/>
    <w:basedOn w:val="Normal"/>
    <w:rsid w:val="0019361B"/>
    <w:pPr>
      <w:widowControl/>
      <w:suppressLineNumbers w:val="0"/>
      <w:suppressAutoHyphens w:val="0"/>
      <w:spacing w:before="100" w:beforeAutospacing="1" w:after="100" w:afterAutospacing="1"/>
      <w:ind w:firstLine="0"/>
      <w:jc w:val="left"/>
    </w:pPr>
    <w:rPr>
      <w:szCs w:val="24"/>
    </w:rPr>
  </w:style>
  <w:style w:type="paragraph" w:customStyle="1" w:styleId="p1">
    <w:name w:val="p1"/>
    <w:basedOn w:val="Normal"/>
    <w:rsid w:val="00D201AE"/>
    <w:pPr>
      <w:widowControl/>
      <w:suppressLineNumbers w:val="0"/>
      <w:suppressAutoHyphens w:val="0"/>
      <w:spacing w:before="100" w:beforeAutospacing="1" w:after="100" w:afterAutospacing="1"/>
      <w:ind w:firstLine="0"/>
      <w:jc w:val="left"/>
    </w:pPr>
    <w:rPr>
      <w:szCs w:val="24"/>
    </w:rPr>
  </w:style>
  <w:style w:type="paragraph" w:customStyle="1" w:styleId="p4">
    <w:name w:val="p4"/>
    <w:basedOn w:val="Normal"/>
    <w:rsid w:val="00D201AE"/>
    <w:pPr>
      <w:widowControl/>
      <w:suppressLineNumbers w:val="0"/>
      <w:suppressAutoHyphens w:val="0"/>
      <w:spacing w:before="100" w:beforeAutospacing="1" w:after="100" w:afterAutospacing="1"/>
      <w:ind w:firstLine="0"/>
      <w:jc w:val="left"/>
    </w:pPr>
    <w:rPr>
      <w:szCs w:val="24"/>
    </w:rPr>
  </w:style>
  <w:style w:type="paragraph" w:customStyle="1" w:styleId="p5">
    <w:name w:val="p5"/>
    <w:basedOn w:val="Normal"/>
    <w:rsid w:val="00D201AE"/>
    <w:pPr>
      <w:widowControl/>
      <w:suppressLineNumbers w:val="0"/>
      <w:suppressAutoHyphens w:val="0"/>
      <w:spacing w:before="100" w:beforeAutospacing="1" w:after="100" w:afterAutospacing="1"/>
      <w:ind w:firstLine="0"/>
      <w:jc w:val="left"/>
    </w:pPr>
    <w:rPr>
      <w:szCs w:val="24"/>
    </w:rPr>
  </w:style>
  <w:style w:type="paragraph" w:customStyle="1" w:styleId="p6">
    <w:name w:val="p6"/>
    <w:basedOn w:val="Normal"/>
    <w:rsid w:val="00D201AE"/>
    <w:pPr>
      <w:widowControl/>
      <w:suppressLineNumbers w:val="0"/>
      <w:suppressAutoHyphens w:val="0"/>
      <w:spacing w:before="100" w:beforeAutospacing="1" w:after="100" w:afterAutospacing="1"/>
      <w:ind w:firstLine="0"/>
      <w:jc w:val="left"/>
    </w:pPr>
    <w:rPr>
      <w:szCs w:val="24"/>
    </w:rPr>
  </w:style>
  <w:style w:type="paragraph" w:customStyle="1" w:styleId="p7">
    <w:name w:val="p7"/>
    <w:basedOn w:val="Normal"/>
    <w:rsid w:val="00D201AE"/>
    <w:pPr>
      <w:widowControl/>
      <w:suppressLineNumbers w:val="0"/>
      <w:suppressAutoHyphens w:val="0"/>
      <w:spacing w:before="100" w:beforeAutospacing="1" w:after="100" w:afterAutospacing="1"/>
      <w:ind w:firstLine="0"/>
      <w:jc w:val="left"/>
    </w:pPr>
    <w:rPr>
      <w:szCs w:val="24"/>
    </w:rPr>
  </w:style>
  <w:style w:type="table" w:customStyle="1" w:styleId="TableGrid">
    <w:name w:val="TableGrid"/>
    <w:rsid w:val="0025461A"/>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ft31">
    <w:name w:val="ft31"/>
    <w:basedOn w:val="Fontepargpadro"/>
    <w:rsid w:val="00C567DA"/>
  </w:style>
  <w:style w:type="character" w:customStyle="1" w:styleId="ft32">
    <w:name w:val="ft32"/>
    <w:basedOn w:val="Fontepargpadro"/>
    <w:rsid w:val="00C567DA"/>
  </w:style>
  <w:style w:type="table" w:styleId="TabelaSimples2">
    <w:name w:val="Plain Table 2"/>
    <w:basedOn w:val="Tabelanormal"/>
    <w:uiPriority w:val="42"/>
    <w:rsid w:val="0052348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5234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oLonga">
    <w:name w:val="Citação Longa"/>
    <w:basedOn w:val="NormalWeb"/>
    <w:qFormat/>
    <w:rsid w:val="00B532B5"/>
    <w:pPr>
      <w:widowControl/>
      <w:suppressLineNumbers w:val="0"/>
      <w:suppressAutoHyphens w:val="0"/>
      <w:spacing w:before="60" w:beforeAutospacing="0" w:after="60" w:afterAutospacing="0"/>
      <w:ind w:left="2268" w:firstLine="0"/>
    </w:pPr>
    <w:rPr>
      <w:color w:val="000000"/>
      <w:sz w:val="20"/>
    </w:rPr>
  </w:style>
  <w:style w:type="paragraph" w:customStyle="1" w:styleId="Referencias">
    <w:name w:val="Referencias"/>
    <w:basedOn w:val="NormalWeb"/>
    <w:qFormat/>
    <w:rsid w:val="0000051E"/>
    <w:pPr>
      <w:widowControl/>
      <w:suppressLineNumbers w:val="0"/>
      <w:suppressAutoHyphens w:val="0"/>
      <w:spacing w:before="0" w:beforeAutospacing="0" w:after="120" w:afterAutospacing="0"/>
      <w:ind w:firstLine="0"/>
    </w:pPr>
    <w:rPr>
      <w:color w:val="000000"/>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9998">
      <w:bodyDiv w:val="1"/>
      <w:marLeft w:val="0"/>
      <w:marRight w:val="0"/>
      <w:marTop w:val="0"/>
      <w:marBottom w:val="0"/>
      <w:divBdr>
        <w:top w:val="none" w:sz="0" w:space="0" w:color="auto"/>
        <w:left w:val="none" w:sz="0" w:space="0" w:color="auto"/>
        <w:bottom w:val="none" w:sz="0" w:space="0" w:color="auto"/>
        <w:right w:val="none" w:sz="0" w:space="0" w:color="auto"/>
      </w:divBdr>
    </w:div>
    <w:div w:id="35393125">
      <w:bodyDiv w:val="1"/>
      <w:marLeft w:val="0"/>
      <w:marRight w:val="0"/>
      <w:marTop w:val="0"/>
      <w:marBottom w:val="0"/>
      <w:divBdr>
        <w:top w:val="none" w:sz="0" w:space="0" w:color="auto"/>
        <w:left w:val="none" w:sz="0" w:space="0" w:color="auto"/>
        <w:bottom w:val="none" w:sz="0" w:space="0" w:color="auto"/>
        <w:right w:val="none" w:sz="0" w:space="0" w:color="auto"/>
      </w:divBdr>
      <w:divsChild>
        <w:div w:id="193618757">
          <w:marLeft w:val="0"/>
          <w:marRight w:val="0"/>
          <w:marTop w:val="0"/>
          <w:marBottom w:val="0"/>
          <w:divBdr>
            <w:top w:val="none" w:sz="0" w:space="0" w:color="auto"/>
            <w:left w:val="none" w:sz="0" w:space="0" w:color="auto"/>
            <w:bottom w:val="none" w:sz="0" w:space="0" w:color="auto"/>
            <w:right w:val="none" w:sz="0" w:space="0" w:color="auto"/>
          </w:divBdr>
        </w:div>
        <w:div w:id="778644753">
          <w:marLeft w:val="0"/>
          <w:marRight w:val="0"/>
          <w:marTop w:val="0"/>
          <w:marBottom w:val="0"/>
          <w:divBdr>
            <w:top w:val="none" w:sz="0" w:space="0" w:color="auto"/>
            <w:left w:val="none" w:sz="0" w:space="0" w:color="auto"/>
            <w:bottom w:val="none" w:sz="0" w:space="0" w:color="auto"/>
            <w:right w:val="none" w:sz="0" w:space="0" w:color="auto"/>
          </w:divBdr>
        </w:div>
        <w:div w:id="1071342566">
          <w:marLeft w:val="0"/>
          <w:marRight w:val="0"/>
          <w:marTop w:val="0"/>
          <w:marBottom w:val="0"/>
          <w:divBdr>
            <w:top w:val="none" w:sz="0" w:space="0" w:color="auto"/>
            <w:left w:val="none" w:sz="0" w:space="0" w:color="auto"/>
            <w:bottom w:val="none" w:sz="0" w:space="0" w:color="auto"/>
            <w:right w:val="none" w:sz="0" w:space="0" w:color="auto"/>
          </w:divBdr>
        </w:div>
        <w:div w:id="1755542251">
          <w:marLeft w:val="0"/>
          <w:marRight w:val="0"/>
          <w:marTop w:val="0"/>
          <w:marBottom w:val="0"/>
          <w:divBdr>
            <w:top w:val="none" w:sz="0" w:space="0" w:color="auto"/>
            <w:left w:val="none" w:sz="0" w:space="0" w:color="auto"/>
            <w:bottom w:val="none" w:sz="0" w:space="0" w:color="auto"/>
            <w:right w:val="none" w:sz="0" w:space="0" w:color="auto"/>
          </w:divBdr>
        </w:div>
      </w:divsChild>
    </w:div>
    <w:div w:id="54427153">
      <w:bodyDiv w:val="1"/>
      <w:marLeft w:val="0"/>
      <w:marRight w:val="0"/>
      <w:marTop w:val="0"/>
      <w:marBottom w:val="0"/>
      <w:divBdr>
        <w:top w:val="none" w:sz="0" w:space="0" w:color="auto"/>
        <w:left w:val="none" w:sz="0" w:space="0" w:color="auto"/>
        <w:bottom w:val="none" w:sz="0" w:space="0" w:color="auto"/>
        <w:right w:val="none" w:sz="0" w:space="0" w:color="auto"/>
      </w:divBdr>
    </w:div>
    <w:div w:id="60642604">
      <w:bodyDiv w:val="1"/>
      <w:marLeft w:val="0"/>
      <w:marRight w:val="0"/>
      <w:marTop w:val="0"/>
      <w:marBottom w:val="0"/>
      <w:divBdr>
        <w:top w:val="none" w:sz="0" w:space="0" w:color="auto"/>
        <w:left w:val="none" w:sz="0" w:space="0" w:color="auto"/>
        <w:bottom w:val="none" w:sz="0" w:space="0" w:color="auto"/>
        <w:right w:val="none" w:sz="0" w:space="0" w:color="auto"/>
      </w:divBdr>
      <w:divsChild>
        <w:div w:id="139468969">
          <w:marLeft w:val="1440"/>
          <w:marRight w:val="0"/>
          <w:marTop w:val="1425"/>
          <w:marBottom w:val="945"/>
          <w:divBdr>
            <w:top w:val="none" w:sz="0" w:space="0" w:color="auto"/>
            <w:left w:val="none" w:sz="0" w:space="0" w:color="auto"/>
            <w:bottom w:val="none" w:sz="0" w:space="0" w:color="auto"/>
            <w:right w:val="none" w:sz="0" w:space="0" w:color="auto"/>
          </w:divBdr>
          <w:divsChild>
            <w:div w:id="2045982454">
              <w:marLeft w:val="0"/>
              <w:marRight w:val="0"/>
              <w:marTop w:val="0"/>
              <w:marBottom w:val="0"/>
              <w:divBdr>
                <w:top w:val="none" w:sz="0" w:space="0" w:color="auto"/>
                <w:left w:val="none" w:sz="0" w:space="0" w:color="auto"/>
                <w:bottom w:val="none" w:sz="0" w:space="0" w:color="auto"/>
                <w:right w:val="none" w:sz="0" w:space="0" w:color="auto"/>
              </w:divBdr>
            </w:div>
          </w:divsChild>
        </w:div>
        <w:div w:id="184293507">
          <w:marLeft w:val="1440"/>
          <w:marRight w:val="0"/>
          <w:marTop w:val="1455"/>
          <w:marBottom w:val="945"/>
          <w:divBdr>
            <w:top w:val="none" w:sz="0" w:space="0" w:color="auto"/>
            <w:left w:val="none" w:sz="0" w:space="0" w:color="auto"/>
            <w:bottom w:val="none" w:sz="0" w:space="0" w:color="auto"/>
            <w:right w:val="none" w:sz="0" w:space="0" w:color="auto"/>
          </w:divBdr>
        </w:div>
      </w:divsChild>
    </w:div>
    <w:div w:id="93987140">
      <w:bodyDiv w:val="1"/>
      <w:marLeft w:val="0"/>
      <w:marRight w:val="0"/>
      <w:marTop w:val="0"/>
      <w:marBottom w:val="0"/>
      <w:divBdr>
        <w:top w:val="none" w:sz="0" w:space="0" w:color="auto"/>
        <w:left w:val="none" w:sz="0" w:space="0" w:color="auto"/>
        <w:bottom w:val="none" w:sz="0" w:space="0" w:color="auto"/>
        <w:right w:val="none" w:sz="0" w:space="0" w:color="auto"/>
      </w:divBdr>
    </w:div>
    <w:div w:id="115759942">
      <w:bodyDiv w:val="1"/>
      <w:marLeft w:val="0"/>
      <w:marRight w:val="0"/>
      <w:marTop w:val="0"/>
      <w:marBottom w:val="0"/>
      <w:divBdr>
        <w:top w:val="none" w:sz="0" w:space="0" w:color="auto"/>
        <w:left w:val="none" w:sz="0" w:space="0" w:color="auto"/>
        <w:bottom w:val="none" w:sz="0" w:space="0" w:color="auto"/>
        <w:right w:val="none" w:sz="0" w:space="0" w:color="auto"/>
      </w:divBdr>
    </w:div>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263928912">
      <w:bodyDiv w:val="1"/>
      <w:marLeft w:val="0"/>
      <w:marRight w:val="0"/>
      <w:marTop w:val="0"/>
      <w:marBottom w:val="0"/>
      <w:divBdr>
        <w:top w:val="none" w:sz="0" w:space="0" w:color="auto"/>
        <w:left w:val="none" w:sz="0" w:space="0" w:color="auto"/>
        <w:bottom w:val="none" w:sz="0" w:space="0" w:color="auto"/>
        <w:right w:val="none" w:sz="0" w:space="0" w:color="auto"/>
      </w:divBdr>
      <w:divsChild>
        <w:div w:id="353578475">
          <w:marLeft w:val="1035"/>
          <w:marRight w:val="0"/>
          <w:marTop w:val="645"/>
          <w:marBottom w:val="750"/>
          <w:divBdr>
            <w:top w:val="none" w:sz="0" w:space="0" w:color="auto"/>
            <w:left w:val="none" w:sz="0" w:space="0" w:color="auto"/>
            <w:bottom w:val="none" w:sz="0" w:space="0" w:color="auto"/>
            <w:right w:val="none" w:sz="0" w:space="0" w:color="auto"/>
          </w:divBdr>
          <w:divsChild>
            <w:div w:id="818617177">
              <w:marLeft w:val="0"/>
              <w:marRight w:val="0"/>
              <w:marTop w:val="0"/>
              <w:marBottom w:val="0"/>
              <w:divBdr>
                <w:top w:val="none" w:sz="0" w:space="0" w:color="auto"/>
                <w:left w:val="none" w:sz="0" w:space="0" w:color="auto"/>
                <w:bottom w:val="none" w:sz="0" w:space="0" w:color="auto"/>
                <w:right w:val="none" w:sz="0" w:space="0" w:color="auto"/>
              </w:divBdr>
            </w:div>
            <w:div w:id="902331905">
              <w:marLeft w:val="3045"/>
              <w:marRight w:val="0"/>
              <w:marTop w:val="270"/>
              <w:marBottom w:val="0"/>
              <w:divBdr>
                <w:top w:val="none" w:sz="0" w:space="0" w:color="auto"/>
                <w:left w:val="none" w:sz="0" w:space="0" w:color="auto"/>
                <w:bottom w:val="none" w:sz="0" w:space="0" w:color="auto"/>
                <w:right w:val="none" w:sz="0" w:space="0" w:color="auto"/>
              </w:divBdr>
            </w:div>
          </w:divsChild>
        </w:div>
        <w:div w:id="1700937286">
          <w:marLeft w:val="975"/>
          <w:marRight w:val="0"/>
          <w:marTop w:val="645"/>
          <w:marBottom w:val="750"/>
          <w:divBdr>
            <w:top w:val="none" w:sz="0" w:space="0" w:color="auto"/>
            <w:left w:val="none" w:sz="0" w:space="0" w:color="auto"/>
            <w:bottom w:val="none" w:sz="0" w:space="0" w:color="auto"/>
            <w:right w:val="none" w:sz="0" w:space="0" w:color="auto"/>
          </w:divBdr>
          <w:divsChild>
            <w:div w:id="20572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9300">
      <w:bodyDiv w:val="1"/>
      <w:marLeft w:val="0"/>
      <w:marRight w:val="0"/>
      <w:marTop w:val="0"/>
      <w:marBottom w:val="0"/>
      <w:divBdr>
        <w:top w:val="none" w:sz="0" w:space="0" w:color="auto"/>
        <w:left w:val="none" w:sz="0" w:space="0" w:color="auto"/>
        <w:bottom w:val="none" w:sz="0" w:space="0" w:color="auto"/>
        <w:right w:val="none" w:sz="0" w:space="0" w:color="auto"/>
      </w:divBdr>
    </w:div>
    <w:div w:id="300379434">
      <w:bodyDiv w:val="1"/>
      <w:marLeft w:val="0"/>
      <w:marRight w:val="0"/>
      <w:marTop w:val="0"/>
      <w:marBottom w:val="0"/>
      <w:divBdr>
        <w:top w:val="none" w:sz="0" w:space="0" w:color="auto"/>
        <w:left w:val="none" w:sz="0" w:space="0" w:color="auto"/>
        <w:bottom w:val="none" w:sz="0" w:space="0" w:color="auto"/>
        <w:right w:val="none" w:sz="0" w:space="0" w:color="auto"/>
      </w:divBdr>
    </w:div>
    <w:div w:id="393623083">
      <w:bodyDiv w:val="1"/>
      <w:marLeft w:val="0"/>
      <w:marRight w:val="0"/>
      <w:marTop w:val="0"/>
      <w:marBottom w:val="0"/>
      <w:divBdr>
        <w:top w:val="none" w:sz="0" w:space="0" w:color="auto"/>
        <w:left w:val="none" w:sz="0" w:space="0" w:color="auto"/>
        <w:bottom w:val="none" w:sz="0" w:space="0" w:color="auto"/>
        <w:right w:val="none" w:sz="0" w:space="0" w:color="auto"/>
      </w:divBdr>
    </w:div>
    <w:div w:id="423499420">
      <w:bodyDiv w:val="1"/>
      <w:marLeft w:val="0"/>
      <w:marRight w:val="0"/>
      <w:marTop w:val="0"/>
      <w:marBottom w:val="0"/>
      <w:divBdr>
        <w:top w:val="none" w:sz="0" w:space="0" w:color="auto"/>
        <w:left w:val="none" w:sz="0" w:space="0" w:color="auto"/>
        <w:bottom w:val="none" w:sz="0" w:space="0" w:color="auto"/>
        <w:right w:val="none" w:sz="0" w:space="0" w:color="auto"/>
      </w:divBdr>
    </w:div>
    <w:div w:id="476265907">
      <w:bodyDiv w:val="1"/>
      <w:marLeft w:val="0"/>
      <w:marRight w:val="0"/>
      <w:marTop w:val="0"/>
      <w:marBottom w:val="0"/>
      <w:divBdr>
        <w:top w:val="none" w:sz="0" w:space="0" w:color="auto"/>
        <w:left w:val="none" w:sz="0" w:space="0" w:color="auto"/>
        <w:bottom w:val="none" w:sz="0" w:space="0" w:color="auto"/>
        <w:right w:val="none" w:sz="0" w:space="0" w:color="auto"/>
      </w:divBdr>
    </w:div>
    <w:div w:id="575749084">
      <w:bodyDiv w:val="1"/>
      <w:marLeft w:val="0"/>
      <w:marRight w:val="0"/>
      <w:marTop w:val="0"/>
      <w:marBottom w:val="0"/>
      <w:divBdr>
        <w:top w:val="none" w:sz="0" w:space="0" w:color="auto"/>
        <w:left w:val="none" w:sz="0" w:space="0" w:color="auto"/>
        <w:bottom w:val="none" w:sz="0" w:space="0" w:color="auto"/>
        <w:right w:val="none" w:sz="0" w:space="0" w:color="auto"/>
      </w:divBdr>
    </w:div>
    <w:div w:id="598409948">
      <w:bodyDiv w:val="1"/>
      <w:marLeft w:val="0"/>
      <w:marRight w:val="0"/>
      <w:marTop w:val="0"/>
      <w:marBottom w:val="0"/>
      <w:divBdr>
        <w:top w:val="none" w:sz="0" w:space="0" w:color="auto"/>
        <w:left w:val="none" w:sz="0" w:space="0" w:color="auto"/>
        <w:bottom w:val="none" w:sz="0" w:space="0" w:color="auto"/>
        <w:right w:val="none" w:sz="0" w:space="0" w:color="auto"/>
      </w:divBdr>
    </w:div>
    <w:div w:id="604389525">
      <w:bodyDiv w:val="1"/>
      <w:marLeft w:val="0"/>
      <w:marRight w:val="0"/>
      <w:marTop w:val="0"/>
      <w:marBottom w:val="0"/>
      <w:divBdr>
        <w:top w:val="none" w:sz="0" w:space="0" w:color="auto"/>
        <w:left w:val="none" w:sz="0" w:space="0" w:color="auto"/>
        <w:bottom w:val="none" w:sz="0" w:space="0" w:color="auto"/>
        <w:right w:val="none" w:sz="0" w:space="0" w:color="auto"/>
      </w:divBdr>
    </w:div>
    <w:div w:id="615795720">
      <w:bodyDiv w:val="1"/>
      <w:marLeft w:val="0"/>
      <w:marRight w:val="0"/>
      <w:marTop w:val="0"/>
      <w:marBottom w:val="0"/>
      <w:divBdr>
        <w:top w:val="none" w:sz="0" w:space="0" w:color="auto"/>
        <w:left w:val="none" w:sz="0" w:space="0" w:color="auto"/>
        <w:bottom w:val="none" w:sz="0" w:space="0" w:color="auto"/>
        <w:right w:val="none" w:sz="0" w:space="0" w:color="auto"/>
      </w:divBdr>
      <w:divsChild>
        <w:div w:id="373388200">
          <w:marLeft w:val="0"/>
          <w:marRight w:val="0"/>
          <w:marTop w:val="225"/>
          <w:marBottom w:val="225"/>
          <w:divBdr>
            <w:top w:val="none" w:sz="0" w:space="0" w:color="auto"/>
            <w:left w:val="none" w:sz="0" w:space="0" w:color="auto"/>
            <w:bottom w:val="none" w:sz="0" w:space="0" w:color="auto"/>
            <w:right w:val="none" w:sz="0" w:space="0" w:color="auto"/>
          </w:divBdr>
          <w:divsChild>
            <w:div w:id="523059238">
              <w:marLeft w:val="0"/>
              <w:marRight w:val="0"/>
              <w:marTop w:val="0"/>
              <w:marBottom w:val="0"/>
              <w:divBdr>
                <w:top w:val="none" w:sz="0" w:space="0" w:color="auto"/>
                <w:left w:val="none" w:sz="0" w:space="0" w:color="auto"/>
                <w:bottom w:val="none" w:sz="0" w:space="0" w:color="auto"/>
                <w:right w:val="none" w:sz="0" w:space="0" w:color="auto"/>
              </w:divBdr>
              <w:divsChild>
                <w:div w:id="1067073044">
                  <w:marLeft w:val="0"/>
                  <w:marRight w:val="0"/>
                  <w:marTop w:val="0"/>
                  <w:marBottom w:val="0"/>
                  <w:divBdr>
                    <w:top w:val="none" w:sz="0" w:space="0" w:color="auto"/>
                    <w:left w:val="none" w:sz="0" w:space="0" w:color="auto"/>
                    <w:bottom w:val="none" w:sz="0" w:space="0" w:color="auto"/>
                    <w:right w:val="none" w:sz="0" w:space="0" w:color="auto"/>
                  </w:divBdr>
                  <w:divsChild>
                    <w:div w:id="1108695993">
                      <w:marLeft w:val="0"/>
                      <w:marRight w:val="0"/>
                      <w:marTop w:val="0"/>
                      <w:marBottom w:val="0"/>
                      <w:divBdr>
                        <w:top w:val="none" w:sz="0" w:space="0" w:color="auto"/>
                        <w:left w:val="none" w:sz="0" w:space="0" w:color="auto"/>
                        <w:bottom w:val="none" w:sz="0" w:space="0" w:color="auto"/>
                        <w:right w:val="none" w:sz="0" w:space="0" w:color="auto"/>
                      </w:divBdr>
                    </w:div>
                    <w:div w:id="1757747792">
                      <w:marLeft w:val="0"/>
                      <w:marRight w:val="0"/>
                      <w:marTop w:val="0"/>
                      <w:marBottom w:val="0"/>
                      <w:divBdr>
                        <w:top w:val="none" w:sz="0" w:space="0" w:color="auto"/>
                        <w:left w:val="none" w:sz="0" w:space="0" w:color="auto"/>
                        <w:bottom w:val="none" w:sz="0" w:space="0" w:color="auto"/>
                        <w:right w:val="none" w:sz="0" w:space="0" w:color="auto"/>
                      </w:divBdr>
                    </w:div>
                    <w:div w:id="1832913796">
                      <w:marLeft w:val="0"/>
                      <w:marRight w:val="0"/>
                      <w:marTop w:val="0"/>
                      <w:marBottom w:val="0"/>
                      <w:divBdr>
                        <w:top w:val="none" w:sz="0" w:space="0" w:color="auto"/>
                        <w:left w:val="none" w:sz="0" w:space="0" w:color="auto"/>
                        <w:bottom w:val="none" w:sz="0" w:space="0" w:color="auto"/>
                        <w:right w:val="none" w:sz="0" w:space="0" w:color="auto"/>
                      </w:divBdr>
                    </w:div>
                    <w:div w:id="20144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91952">
      <w:bodyDiv w:val="1"/>
      <w:marLeft w:val="0"/>
      <w:marRight w:val="0"/>
      <w:marTop w:val="0"/>
      <w:marBottom w:val="0"/>
      <w:divBdr>
        <w:top w:val="none" w:sz="0" w:space="0" w:color="auto"/>
        <w:left w:val="none" w:sz="0" w:space="0" w:color="auto"/>
        <w:bottom w:val="none" w:sz="0" w:space="0" w:color="auto"/>
        <w:right w:val="none" w:sz="0" w:space="0" w:color="auto"/>
      </w:divBdr>
    </w:div>
    <w:div w:id="753817824">
      <w:bodyDiv w:val="1"/>
      <w:marLeft w:val="0"/>
      <w:marRight w:val="0"/>
      <w:marTop w:val="0"/>
      <w:marBottom w:val="0"/>
      <w:divBdr>
        <w:top w:val="none" w:sz="0" w:space="0" w:color="auto"/>
        <w:left w:val="none" w:sz="0" w:space="0" w:color="auto"/>
        <w:bottom w:val="none" w:sz="0" w:space="0" w:color="auto"/>
        <w:right w:val="none" w:sz="0" w:space="0" w:color="auto"/>
      </w:divBdr>
    </w:div>
    <w:div w:id="764114562">
      <w:bodyDiv w:val="1"/>
      <w:marLeft w:val="0"/>
      <w:marRight w:val="0"/>
      <w:marTop w:val="0"/>
      <w:marBottom w:val="0"/>
      <w:divBdr>
        <w:top w:val="none" w:sz="0" w:space="0" w:color="auto"/>
        <w:left w:val="none" w:sz="0" w:space="0" w:color="auto"/>
        <w:bottom w:val="none" w:sz="0" w:space="0" w:color="auto"/>
        <w:right w:val="none" w:sz="0" w:space="0" w:color="auto"/>
      </w:divBdr>
    </w:div>
    <w:div w:id="791560781">
      <w:bodyDiv w:val="1"/>
      <w:marLeft w:val="0"/>
      <w:marRight w:val="0"/>
      <w:marTop w:val="0"/>
      <w:marBottom w:val="0"/>
      <w:divBdr>
        <w:top w:val="none" w:sz="0" w:space="0" w:color="auto"/>
        <w:left w:val="none" w:sz="0" w:space="0" w:color="auto"/>
        <w:bottom w:val="none" w:sz="0" w:space="0" w:color="auto"/>
        <w:right w:val="none" w:sz="0" w:space="0" w:color="auto"/>
      </w:divBdr>
    </w:div>
    <w:div w:id="815804036">
      <w:bodyDiv w:val="1"/>
      <w:marLeft w:val="0"/>
      <w:marRight w:val="0"/>
      <w:marTop w:val="0"/>
      <w:marBottom w:val="0"/>
      <w:divBdr>
        <w:top w:val="none" w:sz="0" w:space="0" w:color="auto"/>
        <w:left w:val="none" w:sz="0" w:space="0" w:color="auto"/>
        <w:bottom w:val="none" w:sz="0" w:space="0" w:color="auto"/>
        <w:right w:val="none" w:sz="0" w:space="0" w:color="auto"/>
      </w:divBdr>
    </w:div>
    <w:div w:id="825978059">
      <w:bodyDiv w:val="1"/>
      <w:marLeft w:val="0"/>
      <w:marRight w:val="0"/>
      <w:marTop w:val="0"/>
      <w:marBottom w:val="0"/>
      <w:divBdr>
        <w:top w:val="none" w:sz="0" w:space="0" w:color="auto"/>
        <w:left w:val="none" w:sz="0" w:space="0" w:color="auto"/>
        <w:bottom w:val="none" w:sz="0" w:space="0" w:color="auto"/>
        <w:right w:val="none" w:sz="0" w:space="0" w:color="auto"/>
      </w:divBdr>
    </w:div>
    <w:div w:id="902368486">
      <w:bodyDiv w:val="1"/>
      <w:marLeft w:val="0"/>
      <w:marRight w:val="0"/>
      <w:marTop w:val="0"/>
      <w:marBottom w:val="0"/>
      <w:divBdr>
        <w:top w:val="none" w:sz="0" w:space="0" w:color="auto"/>
        <w:left w:val="none" w:sz="0" w:space="0" w:color="auto"/>
        <w:bottom w:val="none" w:sz="0" w:space="0" w:color="auto"/>
        <w:right w:val="none" w:sz="0" w:space="0" w:color="auto"/>
      </w:divBdr>
    </w:div>
    <w:div w:id="968047266">
      <w:bodyDiv w:val="1"/>
      <w:marLeft w:val="0"/>
      <w:marRight w:val="0"/>
      <w:marTop w:val="0"/>
      <w:marBottom w:val="0"/>
      <w:divBdr>
        <w:top w:val="none" w:sz="0" w:space="0" w:color="auto"/>
        <w:left w:val="none" w:sz="0" w:space="0" w:color="auto"/>
        <w:bottom w:val="none" w:sz="0" w:space="0" w:color="auto"/>
        <w:right w:val="none" w:sz="0" w:space="0" w:color="auto"/>
      </w:divBdr>
    </w:div>
    <w:div w:id="977370506">
      <w:bodyDiv w:val="1"/>
      <w:marLeft w:val="0"/>
      <w:marRight w:val="0"/>
      <w:marTop w:val="0"/>
      <w:marBottom w:val="0"/>
      <w:divBdr>
        <w:top w:val="none" w:sz="0" w:space="0" w:color="auto"/>
        <w:left w:val="none" w:sz="0" w:space="0" w:color="auto"/>
        <w:bottom w:val="none" w:sz="0" w:space="0" w:color="auto"/>
        <w:right w:val="none" w:sz="0" w:space="0" w:color="auto"/>
      </w:divBdr>
      <w:divsChild>
        <w:div w:id="1414859543">
          <w:marLeft w:val="0"/>
          <w:marRight w:val="0"/>
          <w:marTop w:val="0"/>
          <w:marBottom w:val="0"/>
          <w:divBdr>
            <w:top w:val="none" w:sz="0" w:space="0" w:color="auto"/>
            <w:left w:val="none" w:sz="0" w:space="0" w:color="auto"/>
            <w:bottom w:val="none" w:sz="0" w:space="0" w:color="auto"/>
            <w:right w:val="none" w:sz="0" w:space="0" w:color="auto"/>
          </w:divBdr>
          <w:divsChild>
            <w:div w:id="612518506">
              <w:marLeft w:val="0"/>
              <w:marRight w:val="0"/>
              <w:marTop w:val="0"/>
              <w:marBottom w:val="0"/>
              <w:divBdr>
                <w:top w:val="none" w:sz="0" w:space="0" w:color="auto"/>
                <w:left w:val="none" w:sz="0" w:space="0" w:color="auto"/>
                <w:bottom w:val="none" w:sz="0" w:space="0" w:color="auto"/>
                <w:right w:val="none" w:sz="0" w:space="0" w:color="auto"/>
              </w:divBdr>
            </w:div>
          </w:divsChild>
        </w:div>
        <w:div w:id="1452548537">
          <w:marLeft w:val="0"/>
          <w:marRight w:val="0"/>
          <w:marTop w:val="0"/>
          <w:marBottom w:val="150"/>
          <w:divBdr>
            <w:top w:val="none" w:sz="0" w:space="0" w:color="auto"/>
            <w:left w:val="none" w:sz="0" w:space="0" w:color="auto"/>
            <w:bottom w:val="none" w:sz="0" w:space="0" w:color="auto"/>
            <w:right w:val="none" w:sz="0" w:space="0" w:color="auto"/>
          </w:divBdr>
          <w:divsChild>
            <w:div w:id="1677880233">
              <w:marLeft w:val="0"/>
              <w:marRight w:val="0"/>
              <w:marTop w:val="0"/>
              <w:marBottom w:val="0"/>
              <w:divBdr>
                <w:top w:val="none" w:sz="0" w:space="0" w:color="auto"/>
                <w:left w:val="none" w:sz="0" w:space="0" w:color="auto"/>
                <w:bottom w:val="none" w:sz="0" w:space="0" w:color="auto"/>
                <w:right w:val="none" w:sz="0" w:space="0" w:color="auto"/>
              </w:divBdr>
              <w:divsChild>
                <w:div w:id="1368069938">
                  <w:marLeft w:val="0"/>
                  <w:marRight w:val="0"/>
                  <w:marTop w:val="0"/>
                  <w:marBottom w:val="0"/>
                  <w:divBdr>
                    <w:top w:val="none" w:sz="0" w:space="0" w:color="auto"/>
                    <w:left w:val="none" w:sz="0" w:space="0" w:color="auto"/>
                    <w:bottom w:val="none" w:sz="0" w:space="0" w:color="auto"/>
                    <w:right w:val="none" w:sz="0" w:space="0" w:color="auto"/>
                  </w:divBdr>
                  <w:divsChild>
                    <w:div w:id="2092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368549">
      <w:bodyDiv w:val="1"/>
      <w:marLeft w:val="0"/>
      <w:marRight w:val="0"/>
      <w:marTop w:val="0"/>
      <w:marBottom w:val="0"/>
      <w:divBdr>
        <w:top w:val="none" w:sz="0" w:space="0" w:color="auto"/>
        <w:left w:val="none" w:sz="0" w:space="0" w:color="auto"/>
        <w:bottom w:val="none" w:sz="0" w:space="0" w:color="auto"/>
        <w:right w:val="none" w:sz="0" w:space="0" w:color="auto"/>
      </w:divBdr>
    </w:div>
    <w:div w:id="1084958727">
      <w:bodyDiv w:val="1"/>
      <w:marLeft w:val="0"/>
      <w:marRight w:val="0"/>
      <w:marTop w:val="0"/>
      <w:marBottom w:val="0"/>
      <w:divBdr>
        <w:top w:val="none" w:sz="0" w:space="0" w:color="auto"/>
        <w:left w:val="none" w:sz="0" w:space="0" w:color="auto"/>
        <w:bottom w:val="none" w:sz="0" w:space="0" w:color="auto"/>
        <w:right w:val="none" w:sz="0" w:space="0" w:color="auto"/>
      </w:divBdr>
    </w:div>
    <w:div w:id="1108280691">
      <w:bodyDiv w:val="1"/>
      <w:marLeft w:val="0"/>
      <w:marRight w:val="0"/>
      <w:marTop w:val="0"/>
      <w:marBottom w:val="0"/>
      <w:divBdr>
        <w:top w:val="none" w:sz="0" w:space="0" w:color="auto"/>
        <w:left w:val="none" w:sz="0" w:space="0" w:color="auto"/>
        <w:bottom w:val="none" w:sz="0" w:space="0" w:color="auto"/>
        <w:right w:val="none" w:sz="0" w:space="0" w:color="auto"/>
      </w:divBdr>
    </w:div>
    <w:div w:id="1138106781">
      <w:bodyDiv w:val="1"/>
      <w:marLeft w:val="0"/>
      <w:marRight w:val="0"/>
      <w:marTop w:val="0"/>
      <w:marBottom w:val="0"/>
      <w:divBdr>
        <w:top w:val="none" w:sz="0" w:space="0" w:color="auto"/>
        <w:left w:val="none" w:sz="0" w:space="0" w:color="auto"/>
        <w:bottom w:val="none" w:sz="0" w:space="0" w:color="auto"/>
        <w:right w:val="none" w:sz="0" w:space="0" w:color="auto"/>
      </w:divBdr>
    </w:div>
    <w:div w:id="1179659282">
      <w:bodyDiv w:val="1"/>
      <w:marLeft w:val="0"/>
      <w:marRight w:val="0"/>
      <w:marTop w:val="0"/>
      <w:marBottom w:val="0"/>
      <w:divBdr>
        <w:top w:val="none" w:sz="0" w:space="0" w:color="auto"/>
        <w:left w:val="none" w:sz="0" w:space="0" w:color="auto"/>
        <w:bottom w:val="none" w:sz="0" w:space="0" w:color="auto"/>
        <w:right w:val="none" w:sz="0" w:space="0" w:color="auto"/>
      </w:divBdr>
      <w:divsChild>
        <w:div w:id="11998838">
          <w:marLeft w:val="0"/>
          <w:marRight w:val="0"/>
          <w:marTop w:val="0"/>
          <w:marBottom w:val="0"/>
          <w:divBdr>
            <w:top w:val="none" w:sz="0" w:space="0" w:color="auto"/>
            <w:left w:val="none" w:sz="0" w:space="0" w:color="auto"/>
            <w:bottom w:val="none" w:sz="0" w:space="0" w:color="auto"/>
            <w:right w:val="none" w:sz="0" w:space="0" w:color="auto"/>
          </w:divBdr>
        </w:div>
        <w:div w:id="69426745">
          <w:marLeft w:val="0"/>
          <w:marRight w:val="0"/>
          <w:marTop w:val="0"/>
          <w:marBottom w:val="0"/>
          <w:divBdr>
            <w:top w:val="none" w:sz="0" w:space="0" w:color="auto"/>
            <w:left w:val="none" w:sz="0" w:space="0" w:color="auto"/>
            <w:bottom w:val="none" w:sz="0" w:space="0" w:color="auto"/>
            <w:right w:val="none" w:sz="0" w:space="0" w:color="auto"/>
          </w:divBdr>
        </w:div>
        <w:div w:id="895823378">
          <w:marLeft w:val="0"/>
          <w:marRight w:val="0"/>
          <w:marTop w:val="0"/>
          <w:marBottom w:val="0"/>
          <w:divBdr>
            <w:top w:val="none" w:sz="0" w:space="0" w:color="auto"/>
            <w:left w:val="none" w:sz="0" w:space="0" w:color="auto"/>
            <w:bottom w:val="none" w:sz="0" w:space="0" w:color="auto"/>
            <w:right w:val="none" w:sz="0" w:space="0" w:color="auto"/>
          </w:divBdr>
        </w:div>
        <w:div w:id="1256477203">
          <w:marLeft w:val="0"/>
          <w:marRight w:val="0"/>
          <w:marTop w:val="0"/>
          <w:marBottom w:val="0"/>
          <w:divBdr>
            <w:top w:val="none" w:sz="0" w:space="0" w:color="auto"/>
            <w:left w:val="none" w:sz="0" w:space="0" w:color="auto"/>
            <w:bottom w:val="none" w:sz="0" w:space="0" w:color="auto"/>
            <w:right w:val="none" w:sz="0" w:space="0" w:color="auto"/>
          </w:divBdr>
        </w:div>
      </w:divsChild>
    </w:div>
    <w:div w:id="1219974513">
      <w:bodyDiv w:val="1"/>
      <w:marLeft w:val="0"/>
      <w:marRight w:val="0"/>
      <w:marTop w:val="0"/>
      <w:marBottom w:val="0"/>
      <w:divBdr>
        <w:top w:val="none" w:sz="0" w:space="0" w:color="auto"/>
        <w:left w:val="none" w:sz="0" w:space="0" w:color="auto"/>
        <w:bottom w:val="none" w:sz="0" w:space="0" w:color="auto"/>
        <w:right w:val="none" w:sz="0" w:space="0" w:color="auto"/>
      </w:divBdr>
    </w:div>
    <w:div w:id="1270238181">
      <w:bodyDiv w:val="1"/>
      <w:marLeft w:val="0"/>
      <w:marRight w:val="0"/>
      <w:marTop w:val="0"/>
      <w:marBottom w:val="0"/>
      <w:divBdr>
        <w:top w:val="none" w:sz="0" w:space="0" w:color="auto"/>
        <w:left w:val="none" w:sz="0" w:space="0" w:color="auto"/>
        <w:bottom w:val="none" w:sz="0" w:space="0" w:color="auto"/>
        <w:right w:val="none" w:sz="0" w:space="0" w:color="auto"/>
      </w:divBdr>
      <w:divsChild>
        <w:div w:id="262611357">
          <w:marLeft w:val="0"/>
          <w:marRight w:val="0"/>
          <w:marTop w:val="0"/>
          <w:marBottom w:val="0"/>
          <w:divBdr>
            <w:top w:val="none" w:sz="0" w:space="0" w:color="auto"/>
            <w:left w:val="none" w:sz="0" w:space="0" w:color="auto"/>
            <w:bottom w:val="none" w:sz="0" w:space="0" w:color="auto"/>
            <w:right w:val="none" w:sz="0" w:space="0" w:color="auto"/>
          </w:divBdr>
        </w:div>
        <w:div w:id="366881820">
          <w:marLeft w:val="0"/>
          <w:marRight w:val="0"/>
          <w:marTop w:val="0"/>
          <w:marBottom w:val="0"/>
          <w:divBdr>
            <w:top w:val="none" w:sz="0" w:space="0" w:color="auto"/>
            <w:left w:val="none" w:sz="0" w:space="0" w:color="auto"/>
            <w:bottom w:val="none" w:sz="0" w:space="0" w:color="auto"/>
            <w:right w:val="none" w:sz="0" w:space="0" w:color="auto"/>
          </w:divBdr>
        </w:div>
        <w:div w:id="430318198">
          <w:marLeft w:val="0"/>
          <w:marRight w:val="0"/>
          <w:marTop w:val="0"/>
          <w:marBottom w:val="0"/>
          <w:divBdr>
            <w:top w:val="none" w:sz="0" w:space="0" w:color="auto"/>
            <w:left w:val="none" w:sz="0" w:space="0" w:color="auto"/>
            <w:bottom w:val="none" w:sz="0" w:space="0" w:color="auto"/>
            <w:right w:val="none" w:sz="0" w:space="0" w:color="auto"/>
          </w:divBdr>
        </w:div>
        <w:div w:id="1222787584">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377466266">
      <w:bodyDiv w:val="1"/>
      <w:marLeft w:val="0"/>
      <w:marRight w:val="0"/>
      <w:marTop w:val="0"/>
      <w:marBottom w:val="0"/>
      <w:divBdr>
        <w:top w:val="none" w:sz="0" w:space="0" w:color="auto"/>
        <w:left w:val="none" w:sz="0" w:space="0" w:color="auto"/>
        <w:bottom w:val="none" w:sz="0" w:space="0" w:color="auto"/>
        <w:right w:val="none" w:sz="0" w:space="0" w:color="auto"/>
      </w:divBdr>
    </w:div>
    <w:div w:id="1465852160">
      <w:bodyDiv w:val="1"/>
      <w:marLeft w:val="0"/>
      <w:marRight w:val="0"/>
      <w:marTop w:val="0"/>
      <w:marBottom w:val="0"/>
      <w:divBdr>
        <w:top w:val="none" w:sz="0" w:space="0" w:color="auto"/>
        <w:left w:val="none" w:sz="0" w:space="0" w:color="auto"/>
        <w:bottom w:val="none" w:sz="0" w:space="0" w:color="auto"/>
        <w:right w:val="none" w:sz="0" w:space="0" w:color="auto"/>
      </w:divBdr>
    </w:div>
    <w:div w:id="1523321135">
      <w:bodyDiv w:val="1"/>
      <w:marLeft w:val="0"/>
      <w:marRight w:val="0"/>
      <w:marTop w:val="0"/>
      <w:marBottom w:val="0"/>
      <w:divBdr>
        <w:top w:val="none" w:sz="0" w:space="0" w:color="auto"/>
        <w:left w:val="none" w:sz="0" w:space="0" w:color="auto"/>
        <w:bottom w:val="none" w:sz="0" w:space="0" w:color="auto"/>
        <w:right w:val="none" w:sz="0" w:space="0" w:color="auto"/>
      </w:divBdr>
    </w:div>
    <w:div w:id="1558779634">
      <w:bodyDiv w:val="1"/>
      <w:marLeft w:val="0"/>
      <w:marRight w:val="0"/>
      <w:marTop w:val="0"/>
      <w:marBottom w:val="0"/>
      <w:divBdr>
        <w:top w:val="none" w:sz="0" w:space="0" w:color="auto"/>
        <w:left w:val="none" w:sz="0" w:space="0" w:color="auto"/>
        <w:bottom w:val="none" w:sz="0" w:space="0" w:color="auto"/>
        <w:right w:val="none" w:sz="0" w:space="0" w:color="auto"/>
      </w:divBdr>
      <w:divsChild>
        <w:div w:id="437066750">
          <w:marLeft w:val="0"/>
          <w:marRight w:val="0"/>
          <w:marTop w:val="0"/>
          <w:marBottom w:val="0"/>
          <w:divBdr>
            <w:top w:val="none" w:sz="0" w:space="0" w:color="auto"/>
            <w:left w:val="none" w:sz="0" w:space="0" w:color="auto"/>
            <w:bottom w:val="none" w:sz="0" w:space="0" w:color="auto"/>
            <w:right w:val="none" w:sz="0" w:space="0" w:color="auto"/>
          </w:divBdr>
        </w:div>
        <w:div w:id="1114246912">
          <w:marLeft w:val="0"/>
          <w:marRight w:val="0"/>
          <w:marTop w:val="0"/>
          <w:marBottom w:val="0"/>
          <w:divBdr>
            <w:top w:val="none" w:sz="0" w:space="0" w:color="auto"/>
            <w:left w:val="none" w:sz="0" w:space="0" w:color="auto"/>
            <w:bottom w:val="none" w:sz="0" w:space="0" w:color="auto"/>
            <w:right w:val="none" w:sz="0" w:space="0" w:color="auto"/>
          </w:divBdr>
        </w:div>
        <w:div w:id="1852067619">
          <w:marLeft w:val="0"/>
          <w:marRight w:val="0"/>
          <w:marTop w:val="0"/>
          <w:marBottom w:val="0"/>
          <w:divBdr>
            <w:top w:val="none" w:sz="0" w:space="0" w:color="auto"/>
            <w:left w:val="none" w:sz="0" w:space="0" w:color="auto"/>
            <w:bottom w:val="none" w:sz="0" w:space="0" w:color="auto"/>
            <w:right w:val="none" w:sz="0" w:space="0" w:color="auto"/>
          </w:divBdr>
        </w:div>
      </w:divsChild>
    </w:div>
    <w:div w:id="1571842608">
      <w:bodyDiv w:val="1"/>
      <w:marLeft w:val="0"/>
      <w:marRight w:val="0"/>
      <w:marTop w:val="0"/>
      <w:marBottom w:val="0"/>
      <w:divBdr>
        <w:top w:val="none" w:sz="0" w:space="0" w:color="auto"/>
        <w:left w:val="none" w:sz="0" w:space="0" w:color="auto"/>
        <w:bottom w:val="none" w:sz="0" w:space="0" w:color="auto"/>
        <w:right w:val="none" w:sz="0" w:space="0" w:color="auto"/>
      </w:divBdr>
    </w:div>
    <w:div w:id="1615475314">
      <w:bodyDiv w:val="1"/>
      <w:marLeft w:val="0"/>
      <w:marRight w:val="0"/>
      <w:marTop w:val="0"/>
      <w:marBottom w:val="0"/>
      <w:divBdr>
        <w:top w:val="none" w:sz="0" w:space="0" w:color="auto"/>
        <w:left w:val="none" w:sz="0" w:space="0" w:color="auto"/>
        <w:bottom w:val="none" w:sz="0" w:space="0" w:color="auto"/>
        <w:right w:val="none" w:sz="0" w:space="0" w:color="auto"/>
      </w:divBdr>
    </w:div>
    <w:div w:id="1672097390">
      <w:bodyDiv w:val="1"/>
      <w:marLeft w:val="0"/>
      <w:marRight w:val="0"/>
      <w:marTop w:val="0"/>
      <w:marBottom w:val="0"/>
      <w:divBdr>
        <w:top w:val="none" w:sz="0" w:space="0" w:color="auto"/>
        <w:left w:val="none" w:sz="0" w:space="0" w:color="auto"/>
        <w:bottom w:val="none" w:sz="0" w:space="0" w:color="auto"/>
        <w:right w:val="none" w:sz="0" w:space="0" w:color="auto"/>
      </w:divBdr>
    </w:div>
    <w:div w:id="1690907936">
      <w:bodyDiv w:val="1"/>
      <w:marLeft w:val="0"/>
      <w:marRight w:val="0"/>
      <w:marTop w:val="0"/>
      <w:marBottom w:val="0"/>
      <w:divBdr>
        <w:top w:val="none" w:sz="0" w:space="0" w:color="auto"/>
        <w:left w:val="none" w:sz="0" w:space="0" w:color="auto"/>
        <w:bottom w:val="none" w:sz="0" w:space="0" w:color="auto"/>
        <w:right w:val="none" w:sz="0" w:space="0" w:color="auto"/>
      </w:divBdr>
      <w:divsChild>
        <w:div w:id="47530321">
          <w:marLeft w:val="0"/>
          <w:marRight w:val="0"/>
          <w:marTop w:val="0"/>
          <w:marBottom w:val="0"/>
          <w:divBdr>
            <w:top w:val="none" w:sz="0" w:space="0" w:color="auto"/>
            <w:left w:val="none" w:sz="0" w:space="0" w:color="auto"/>
            <w:bottom w:val="none" w:sz="0" w:space="0" w:color="auto"/>
            <w:right w:val="none" w:sz="0" w:space="0" w:color="auto"/>
          </w:divBdr>
        </w:div>
        <w:div w:id="1879465237">
          <w:marLeft w:val="0"/>
          <w:marRight w:val="0"/>
          <w:marTop w:val="0"/>
          <w:marBottom w:val="0"/>
          <w:divBdr>
            <w:top w:val="none" w:sz="0" w:space="0" w:color="auto"/>
            <w:left w:val="none" w:sz="0" w:space="0" w:color="auto"/>
            <w:bottom w:val="none" w:sz="0" w:space="0" w:color="auto"/>
            <w:right w:val="none" w:sz="0" w:space="0" w:color="auto"/>
          </w:divBdr>
        </w:div>
      </w:divsChild>
    </w:div>
    <w:div w:id="1702315039">
      <w:bodyDiv w:val="1"/>
      <w:marLeft w:val="0"/>
      <w:marRight w:val="0"/>
      <w:marTop w:val="0"/>
      <w:marBottom w:val="0"/>
      <w:divBdr>
        <w:top w:val="none" w:sz="0" w:space="0" w:color="auto"/>
        <w:left w:val="none" w:sz="0" w:space="0" w:color="auto"/>
        <w:bottom w:val="none" w:sz="0" w:space="0" w:color="auto"/>
        <w:right w:val="none" w:sz="0" w:space="0" w:color="auto"/>
      </w:divBdr>
    </w:div>
    <w:div w:id="1704018481">
      <w:bodyDiv w:val="1"/>
      <w:marLeft w:val="0"/>
      <w:marRight w:val="0"/>
      <w:marTop w:val="0"/>
      <w:marBottom w:val="0"/>
      <w:divBdr>
        <w:top w:val="none" w:sz="0" w:space="0" w:color="auto"/>
        <w:left w:val="none" w:sz="0" w:space="0" w:color="auto"/>
        <w:bottom w:val="none" w:sz="0" w:space="0" w:color="auto"/>
        <w:right w:val="none" w:sz="0" w:space="0" w:color="auto"/>
      </w:divBdr>
    </w:div>
    <w:div w:id="1713142462">
      <w:bodyDiv w:val="1"/>
      <w:marLeft w:val="0"/>
      <w:marRight w:val="0"/>
      <w:marTop w:val="0"/>
      <w:marBottom w:val="0"/>
      <w:divBdr>
        <w:top w:val="none" w:sz="0" w:space="0" w:color="auto"/>
        <w:left w:val="none" w:sz="0" w:space="0" w:color="auto"/>
        <w:bottom w:val="none" w:sz="0" w:space="0" w:color="auto"/>
        <w:right w:val="none" w:sz="0" w:space="0" w:color="auto"/>
      </w:divBdr>
    </w:div>
    <w:div w:id="1744913989">
      <w:bodyDiv w:val="1"/>
      <w:marLeft w:val="0"/>
      <w:marRight w:val="0"/>
      <w:marTop w:val="0"/>
      <w:marBottom w:val="0"/>
      <w:divBdr>
        <w:top w:val="none" w:sz="0" w:space="0" w:color="auto"/>
        <w:left w:val="none" w:sz="0" w:space="0" w:color="auto"/>
        <w:bottom w:val="none" w:sz="0" w:space="0" w:color="auto"/>
        <w:right w:val="none" w:sz="0" w:space="0" w:color="auto"/>
      </w:divBdr>
    </w:div>
    <w:div w:id="1826631123">
      <w:bodyDiv w:val="1"/>
      <w:marLeft w:val="0"/>
      <w:marRight w:val="0"/>
      <w:marTop w:val="0"/>
      <w:marBottom w:val="0"/>
      <w:divBdr>
        <w:top w:val="none" w:sz="0" w:space="0" w:color="auto"/>
        <w:left w:val="none" w:sz="0" w:space="0" w:color="auto"/>
        <w:bottom w:val="none" w:sz="0" w:space="0" w:color="auto"/>
        <w:right w:val="none" w:sz="0" w:space="0" w:color="auto"/>
      </w:divBdr>
    </w:div>
    <w:div w:id="1831361840">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 w:id="1861040184">
      <w:bodyDiv w:val="1"/>
      <w:marLeft w:val="0"/>
      <w:marRight w:val="0"/>
      <w:marTop w:val="0"/>
      <w:marBottom w:val="0"/>
      <w:divBdr>
        <w:top w:val="none" w:sz="0" w:space="0" w:color="auto"/>
        <w:left w:val="none" w:sz="0" w:space="0" w:color="auto"/>
        <w:bottom w:val="none" w:sz="0" w:space="0" w:color="auto"/>
        <w:right w:val="none" w:sz="0" w:space="0" w:color="auto"/>
      </w:divBdr>
    </w:div>
    <w:div w:id="1956599246">
      <w:bodyDiv w:val="1"/>
      <w:marLeft w:val="0"/>
      <w:marRight w:val="0"/>
      <w:marTop w:val="0"/>
      <w:marBottom w:val="0"/>
      <w:divBdr>
        <w:top w:val="none" w:sz="0" w:space="0" w:color="auto"/>
        <w:left w:val="none" w:sz="0" w:space="0" w:color="auto"/>
        <w:bottom w:val="none" w:sz="0" w:space="0" w:color="auto"/>
        <w:right w:val="none" w:sz="0" w:space="0" w:color="auto"/>
      </w:divBdr>
    </w:div>
    <w:div w:id="1969045240">
      <w:bodyDiv w:val="1"/>
      <w:marLeft w:val="0"/>
      <w:marRight w:val="0"/>
      <w:marTop w:val="0"/>
      <w:marBottom w:val="0"/>
      <w:divBdr>
        <w:top w:val="none" w:sz="0" w:space="0" w:color="auto"/>
        <w:left w:val="none" w:sz="0" w:space="0" w:color="auto"/>
        <w:bottom w:val="none" w:sz="0" w:space="0" w:color="auto"/>
        <w:right w:val="none" w:sz="0" w:space="0" w:color="auto"/>
      </w:divBdr>
      <w:divsChild>
        <w:div w:id="163054113">
          <w:marLeft w:val="0"/>
          <w:marRight w:val="0"/>
          <w:marTop w:val="0"/>
          <w:marBottom w:val="0"/>
          <w:divBdr>
            <w:top w:val="none" w:sz="0" w:space="0" w:color="auto"/>
            <w:left w:val="none" w:sz="0" w:space="0" w:color="auto"/>
            <w:bottom w:val="none" w:sz="0" w:space="0" w:color="auto"/>
            <w:right w:val="none" w:sz="0" w:space="0" w:color="auto"/>
          </w:divBdr>
        </w:div>
        <w:div w:id="266696284">
          <w:marLeft w:val="0"/>
          <w:marRight w:val="0"/>
          <w:marTop w:val="0"/>
          <w:marBottom w:val="0"/>
          <w:divBdr>
            <w:top w:val="none" w:sz="0" w:space="0" w:color="auto"/>
            <w:left w:val="none" w:sz="0" w:space="0" w:color="auto"/>
            <w:bottom w:val="none" w:sz="0" w:space="0" w:color="auto"/>
            <w:right w:val="none" w:sz="0" w:space="0" w:color="auto"/>
          </w:divBdr>
        </w:div>
        <w:div w:id="328598735">
          <w:marLeft w:val="0"/>
          <w:marRight w:val="0"/>
          <w:marTop w:val="0"/>
          <w:marBottom w:val="0"/>
          <w:divBdr>
            <w:top w:val="none" w:sz="0" w:space="0" w:color="auto"/>
            <w:left w:val="none" w:sz="0" w:space="0" w:color="auto"/>
            <w:bottom w:val="none" w:sz="0" w:space="0" w:color="auto"/>
            <w:right w:val="none" w:sz="0" w:space="0" w:color="auto"/>
          </w:divBdr>
        </w:div>
        <w:div w:id="629359927">
          <w:marLeft w:val="0"/>
          <w:marRight w:val="0"/>
          <w:marTop w:val="0"/>
          <w:marBottom w:val="0"/>
          <w:divBdr>
            <w:top w:val="none" w:sz="0" w:space="0" w:color="auto"/>
            <w:left w:val="none" w:sz="0" w:space="0" w:color="auto"/>
            <w:bottom w:val="none" w:sz="0" w:space="0" w:color="auto"/>
            <w:right w:val="none" w:sz="0" w:space="0" w:color="auto"/>
          </w:divBdr>
        </w:div>
        <w:div w:id="1354183930">
          <w:marLeft w:val="0"/>
          <w:marRight w:val="0"/>
          <w:marTop w:val="0"/>
          <w:marBottom w:val="0"/>
          <w:divBdr>
            <w:top w:val="none" w:sz="0" w:space="0" w:color="auto"/>
            <w:left w:val="none" w:sz="0" w:space="0" w:color="auto"/>
            <w:bottom w:val="none" w:sz="0" w:space="0" w:color="auto"/>
            <w:right w:val="none" w:sz="0" w:space="0" w:color="auto"/>
          </w:divBdr>
        </w:div>
        <w:div w:id="1554459209">
          <w:marLeft w:val="0"/>
          <w:marRight w:val="0"/>
          <w:marTop w:val="0"/>
          <w:marBottom w:val="0"/>
          <w:divBdr>
            <w:top w:val="none" w:sz="0" w:space="0" w:color="auto"/>
            <w:left w:val="none" w:sz="0" w:space="0" w:color="auto"/>
            <w:bottom w:val="none" w:sz="0" w:space="0" w:color="auto"/>
            <w:right w:val="none" w:sz="0" w:space="0" w:color="auto"/>
          </w:divBdr>
        </w:div>
        <w:div w:id="1630895313">
          <w:marLeft w:val="0"/>
          <w:marRight w:val="0"/>
          <w:marTop w:val="0"/>
          <w:marBottom w:val="0"/>
          <w:divBdr>
            <w:top w:val="none" w:sz="0" w:space="0" w:color="auto"/>
            <w:left w:val="none" w:sz="0" w:space="0" w:color="auto"/>
            <w:bottom w:val="none" w:sz="0" w:space="0" w:color="auto"/>
            <w:right w:val="none" w:sz="0" w:space="0" w:color="auto"/>
          </w:divBdr>
        </w:div>
      </w:divsChild>
    </w:div>
    <w:div w:id="2016110635">
      <w:bodyDiv w:val="1"/>
      <w:marLeft w:val="0"/>
      <w:marRight w:val="0"/>
      <w:marTop w:val="0"/>
      <w:marBottom w:val="0"/>
      <w:divBdr>
        <w:top w:val="none" w:sz="0" w:space="0" w:color="auto"/>
        <w:left w:val="none" w:sz="0" w:space="0" w:color="auto"/>
        <w:bottom w:val="none" w:sz="0" w:space="0" w:color="auto"/>
        <w:right w:val="none" w:sz="0" w:space="0" w:color="auto"/>
      </w:divBdr>
      <w:divsChild>
        <w:div w:id="265967965">
          <w:marLeft w:val="0"/>
          <w:marRight w:val="0"/>
          <w:marTop w:val="0"/>
          <w:marBottom w:val="0"/>
          <w:divBdr>
            <w:top w:val="none" w:sz="0" w:space="0" w:color="auto"/>
            <w:left w:val="none" w:sz="0" w:space="0" w:color="auto"/>
            <w:bottom w:val="none" w:sz="0" w:space="0" w:color="auto"/>
            <w:right w:val="none" w:sz="0" w:space="0" w:color="auto"/>
          </w:divBdr>
        </w:div>
        <w:div w:id="823937690">
          <w:marLeft w:val="0"/>
          <w:marRight w:val="0"/>
          <w:marTop w:val="0"/>
          <w:marBottom w:val="0"/>
          <w:divBdr>
            <w:top w:val="none" w:sz="0" w:space="0" w:color="auto"/>
            <w:left w:val="none" w:sz="0" w:space="0" w:color="auto"/>
            <w:bottom w:val="none" w:sz="0" w:space="0" w:color="auto"/>
            <w:right w:val="none" w:sz="0" w:space="0" w:color="auto"/>
          </w:divBdr>
        </w:div>
      </w:divsChild>
    </w:div>
    <w:div w:id="203333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78D8F-5A45-4685-8ACB-64C1D42BA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5398</Words>
  <Characters>29152</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2019-07-11T19:21:00Z</dcterms:created>
  <dcterms:modified xsi:type="dcterms:W3CDTF">2019-07-11T19:45:00Z</dcterms:modified>
</cp:coreProperties>
</file>