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641" w:rsidRPr="008470F7" w:rsidRDefault="00A80641" w:rsidP="00E63A6D">
      <w:pPr>
        <w:jc w:val="center"/>
        <w:rPr>
          <w:b/>
        </w:rPr>
      </w:pPr>
    </w:p>
    <w:p w:rsidR="00C1412C" w:rsidRPr="008470F7" w:rsidRDefault="00C1412C" w:rsidP="00E63A6D">
      <w:pPr>
        <w:jc w:val="center"/>
        <w:rPr>
          <w:b/>
          <w:szCs w:val="24"/>
        </w:rPr>
      </w:pPr>
      <w:r w:rsidRPr="008470F7">
        <w:rPr>
          <w:b/>
          <w:szCs w:val="24"/>
        </w:rPr>
        <w:t>Ensino da Contabilidade: Uma Análise das Matrizes Curriculares</w:t>
      </w:r>
    </w:p>
    <w:p w:rsidR="00C271A6" w:rsidRPr="008470F7" w:rsidRDefault="00C271A6" w:rsidP="00E63A6D">
      <w:pPr>
        <w:jc w:val="center"/>
        <w:rPr>
          <w:color w:val="999999"/>
        </w:rPr>
      </w:pPr>
    </w:p>
    <w:p w:rsidR="00C271A6" w:rsidRPr="008470F7" w:rsidRDefault="00C271A6" w:rsidP="00E63A6D">
      <w:pPr>
        <w:jc w:val="center"/>
        <w:rPr>
          <w:b/>
          <w:szCs w:val="24"/>
        </w:rPr>
      </w:pPr>
    </w:p>
    <w:p w:rsidR="00C1412C" w:rsidRPr="008470F7" w:rsidRDefault="00C1412C" w:rsidP="00E63A6D">
      <w:pPr>
        <w:jc w:val="right"/>
        <w:rPr>
          <w:b/>
          <w:szCs w:val="24"/>
        </w:rPr>
      </w:pPr>
      <w:r w:rsidRPr="008470F7">
        <w:rPr>
          <w:b/>
          <w:szCs w:val="24"/>
        </w:rPr>
        <w:t>LAÍSA APARECIDA PEREIRA DE SOUZA</w:t>
      </w:r>
    </w:p>
    <w:p w:rsidR="00C1412C" w:rsidRPr="008470F7" w:rsidRDefault="00C1412C" w:rsidP="00E63A6D">
      <w:pPr>
        <w:jc w:val="right"/>
        <w:rPr>
          <w:b/>
          <w:szCs w:val="24"/>
        </w:rPr>
      </w:pPr>
      <w:r w:rsidRPr="008470F7">
        <w:rPr>
          <w:b/>
          <w:szCs w:val="24"/>
        </w:rPr>
        <w:t>Universidade Federal de Mato Grosso do Sul (UFMS)</w:t>
      </w:r>
    </w:p>
    <w:p w:rsidR="00C1412C" w:rsidRPr="008470F7" w:rsidRDefault="00C1412C" w:rsidP="00E63A6D">
      <w:pPr>
        <w:jc w:val="right"/>
        <w:rPr>
          <w:szCs w:val="24"/>
        </w:rPr>
      </w:pPr>
      <w:proofErr w:type="spellStart"/>
      <w:r w:rsidRPr="008470F7">
        <w:rPr>
          <w:i/>
          <w:szCs w:val="24"/>
        </w:rPr>
        <w:t>Email</w:t>
      </w:r>
      <w:proofErr w:type="spellEnd"/>
      <w:r w:rsidRPr="008470F7">
        <w:rPr>
          <w:i/>
          <w:szCs w:val="24"/>
        </w:rPr>
        <w:t>:</w:t>
      </w:r>
      <w:r w:rsidRPr="008470F7">
        <w:rPr>
          <w:szCs w:val="24"/>
        </w:rPr>
        <w:t xml:space="preserve"> </w:t>
      </w:r>
      <w:hyperlink r:id="rId8" w:history="1">
        <w:r w:rsidRPr="008470F7">
          <w:rPr>
            <w:rStyle w:val="Hyperlink"/>
            <w:szCs w:val="24"/>
          </w:rPr>
          <w:t>laisa_ln@hotmail.com</w:t>
        </w:r>
      </w:hyperlink>
    </w:p>
    <w:p w:rsidR="00C1412C" w:rsidRPr="008470F7" w:rsidRDefault="00C1412C" w:rsidP="00E63A6D">
      <w:pPr>
        <w:jc w:val="right"/>
        <w:rPr>
          <w:szCs w:val="24"/>
        </w:rPr>
      </w:pPr>
    </w:p>
    <w:p w:rsidR="00C1412C" w:rsidRPr="008470F7" w:rsidRDefault="00C1412C" w:rsidP="00E63A6D">
      <w:pPr>
        <w:jc w:val="right"/>
        <w:rPr>
          <w:b/>
          <w:szCs w:val="24"/>
        </w:rPr>
      </w:pPr>
      <w:r w:rsidRPr="008470F7">
        <w:rPr>
          <w:b/>
          <w:szCs w:val="24"/>
        </w:rPr>
        <w:t>VANDERLEI ANTONIO MATIELI</w:t>
      </w:r>
    </w:p>
    <w:p w:rsidR="00C1412C" w:rsidRPr="008470F7" w:rsidRDefault="00C1412C" w:rsidP="00E63A6D">
      <w:pPr>
        <w:jc w:val="right"/>
        <w:rPr>
          <w:b/>
          <w:szCs w:val="24"/>
        </w:rPr>
      </w:pPr>
      <w:r w:rsidRPr="008470F7">
        <w:rPr>
          <w:b/>
          <w:szCs w:val="24"/>
        </w:rPr>
        <w:t>Universidade Federal de Mato Grosso do Sul (UFMS)</w:t>
      </w:r>
    </w:p>
    <w:p w:rsidR="00C1412C" w:rsidRPr="008470F7" w:rsidRDefault="00C1412C" w:rsidP="00E63A6D">
      <w:pPr>
        <w:jc w:val="right"/>
        <w:rPr>
          <w:szCs w:val="24"/>
        </w:rPr>
      </w:pPr>
      <w:proofErr w:type="spellStart"/>
      <w:r w:rsidRPr="008470F7">
        <w:rPr>
          <w:i/>
          <w:szCs w:val="24"/>
        </w:rPr>
        <w:t>Email</w:t>
      </w:r>
      <w:proofErr w:type="spellEnd"/>
      <w:r w:rsidRPr="008470F7">
        <w:rPr>
          <w:i/>
          <w:szCs w:val="24"/>
        </w:rPr>
        <w:t xml:space="preserve">: </w:t>
      </w:r>
      <w:hyperlink r:id="rId9" w:history="1">
        <w:r w:rsidRPr="008470F7">
          <w:rPr>
            <w:rStyle w:val="Hyperlink"/>
            <w:szCs w:val="24"/>
          </w:rPr>
          <w:t>vanderleimatieli@gmail.com</w:t>
        </w:r>
      </w:hyperlink>
    </w:p>
    <w:p w:rsidR="00C1412C" w:rsidRPr="008470F7" w:rsidRDefault="00C1412C" w:rsidP="00E63A6D">
      <w:pPr>
        <w:jc w:val="right"/>
        <w:rPr>
          <w:b/>
          <w:szCs w:val="24"/>
        </w:rPr>
      </w:pPr>
    </w:p>
    <w:p w:rsidR="00C1412C" w:rsidRPr="008470F7" w:rsidRDefault="00C1412C" w:rsidP="00E63A6D">
      <w:pPr>
        <w:jc w:val="right"/>
        <w:rPr>
          <w:b/>
          <w:szCs w:val="24"/>
        </w:rPr>
      </w:pPr>
      <w:r w:rsidRPr="008470F7">
        <w:rPr>
          <w:b/>
          <w:bCs/>
          <w:color w:val="000000"/>
          <w:szCs w:val="24"/>
        </w:rPr>
        <w:t>EMANOEL MARCOS LIMA</w:t>
      </w:r>
    </w:p>
    <w:p w:rsidR="00160E08" w:rsidRPr="008470F7" w:rsidRDefault="00C1412C" w:rsidP="00E63A6D">
      <w:pPr>
        <w:jc w:val="right"/>
        <w:rPr>
          <w:b/>
          <w:szCs w:val="24"/>
        </w:rPr>
      </w:pPr>
      <w:r w:rsidRPr="008470F7">
        <w:rPr>
          <w:b/>
          <w:szCs w:val="24"/>
        </w:rPr>
        <w:t>Universidade Federal de Mato Grosso do Sul (UFMS)</w:t>
      </w:r>
    </w:p>
    <w:p w:rsidR="00C1412C" w:rsidRPr="008470F7" w:rsidRDefault="00C1412C" w:rsidP="00E63A6D">
      <w:pPr>
        <w:jc w:val="right"/>
        <w:rPr>
          <w:szCs w:val="24"/>
        </w:rPr>
      </w:pPr>
      <w:proofErr w:type="spellStart"/>
      <w:r w:rsidRPr="008470F7">
        <w:rPr>
          <w:i/>
          <w:szCs w:val="24"/>
        </w:rPr>
        <w:t>Email</w:t>
      </w:r>
      <w:proofErr w:type="spellEnd"/>
      <w:r w:rsidRPr="008470F7">
        <w:rPr>
          <w:i/>
          <w:szCs w:val="24"/>
        </w:rPr>
        <w:t>:</w:t>
      </w:r>
      <w:r w:rsidRPr="008470F7">
        <w:rPr>
          <w:szCs w:val="24"/>
        </w:rPr>
        <w:t xml:space="preserve"> </w:t>
      </w:r>
      <w:hyperlink r:id="rId10" w:history="1">
        <w:r w:rsidRPr="008470F7">
          <w:rPr>
            <w:rStyle w:val="Hyperlink"/>
            <w:szCs w:val="24"/>
          </w:rPr>
          <w:t>emanoel.lima@ufms.br</w:t>
        </w:r>
      </w:hyperlink>
    </w:p>
    <w:p w:rsidR="00C1412C" w:rsidRPr="008470F7" w:rsidRDefault="00C1412C" w:rsidP="00E63A6D">
      <w:pPr>
        <w:ind w:firstLine="0"/>
        <w:jc w:val="right"/>
        <w:rPr>
          <w:b/>
          <w:szCs w:val="24"/>
        </w:rPr>
      </w:pPr>
    </w:p>
    <w:p w:rsidR="00C271A6" w:rsidRPr="008470F7" w:rsidRDefault="00C271A6" w:rsidP="00E63A6D">
      <w:pPr>
        <w:rPr>
          <w:b/>
          <w:szCs w:val="24"/>
        </w:rPr>
      </w:pPr>
      <w:r w:rsidRPr="008470F7">
        <w:rPr>
          <w:b/>
          <w:szCs w:val="24"/>
        </w:rPr>
        <w:t xml:space="preserve">Resumo </w:t>
      </w:r>
    </w:p>
    <w:p w:rsidR="00C1412C" w:rsidRPr="008470F7" w:rsidRDefault="00C1412C" w:rsidP="00E63A6D">
      <w:pPr>
        <w:rPr>
          <w:szCs w:val="24"/>
        </w:rPr>
      </w:pPr>
      <w:r w:rsidRPr="008470F7">
        <w:rPr>
          <w:szCs w:val="24"/>
        </w:rPr>
        <w:t xml:space="preserve">Visando orientar e fornecer bases para a elaboração das matrizes curriculares dos cursos de </w:t>
      </w:r>
      <w:r w:rsidR="009D003A">
        <w:rPr>
          <w:szCs w:val="24"/>
        </w:rPr>
        <w:t xml:space="preserve">contabilidade, órgãos </w:t>
      </w:r>
      <w:r w:rsidRPr="008470F7">
        <w:rPr>
          <w:szCs w:val="24"/>
        </w:rPr>
        <w:t xml:space="preserve">como o </w:t>
      </w:r>
      <w:proofErr w:type="spellStart"/>
      <w:r w:rsidRPr="008470F7">
        <w:rPr>
          <w:i/>
          <w:szCs w:val="24"/>
        </w:rPr>
        <w:t>International</w:t>
      </w:r>
      <w:proofErr w:type="spellEnd"/>
      <w:r w:rsidRPr="008470F7">
        <w:rPr>
          <w:i/>
          <w:szCs w:val="24"/>
        </w:rPr>
        <w:t xml:space="preserve"> Standards </w:t>
      </w:r>
      <w:proofErr w:type="spellStart"/>
      <w:r w:rsidRPr="008470F7">
        <w:rPr>
          <w:i/>
          <w:szCs w:val="24"/>
        </w:rPr>
        <w:t>of</w:t>
      </w:r>
      <w:proofErr w:type="spellEnd"/>
      <w:r w:rsidRPr="008470F7">
        <w:rPr>
          <w:i/>
          <w:szCs w:val="24"/>
        </w:rPr>
        <w:t xml:space="preserve"> </w:t>
      </w:r>
      <w:proofErr w:type="spellStart"/>
      <w:r w:rsidRPr="008470F7">
        <w:rPr>
          <w:i/>
          <w:szCs w:val="24"/>
        </w:rPr>
        <w:t>Accounting</w:t>
      </w:r>
      <w:proofErr w:type="spellEnd"/>
      <w:r w:rsidRPr="008470F7">
        <w:rPr>
          <w:i/>
          <w:szCs w:val="24"/>
        </w:rPr>
        <w:t xml:space="preserve"> </w:t>
      </w:r>
      <w:proofErr w:type="spellStart"/>
      <w:r w:rsidRPr="008470F7">
        <w:rPr>
          <w:i/>
          <w:szCs w:val="24"/>
        </w:rPr>
        <w:t>and</w:t>
      </w:r>
      <w:proofErr w:type="spellEnd"/>
      <w:r w:rsidRPr="008470F7">
        <w:rPr>
          <w:i/>
          <w:szCs w:val="24"/>
        </w:rPr>
        <w:t xml:space="preserve"> </w:t>
      </w:r>
      <w:proofErr w:type="spellStart"/>
      <w:r w:rsidRPr="008470F7">
        <w:rPr>
          <w:i/>
          <w:szCs w:val="24"/>
        </w:rPr>
        <w:t>Reporting</w:t>
      </w:r>
      <w:proofErr w:type="spellEnd"/>
      <w:r w:rsidRPr="008470F7">
        <w:rPr>
          <w:szCs w:val="24"/>
        </w:rPr>
        <w:t xml:space="preserve"> (ISAR</w:t>
      </w:r>
      <w:r w:rsidR="009D003A">
        <w:rPr>
          <w:szCs w:val="24"/>
        </w:rPr>
        <w:t xml:space="preserve">), </w:t>
      </w:r>
      <w:r w:rsidRPr="008470F7">
        <w:rPr>
          <w:szCs w:val="24"/>
        </w:rPr>
        <w:t>o Conselho Nacional de Educação (CNE) e Fundação Brasileira de Contabilidade (FBC), emitiram diretrizes para auxiliar na estruturação dos cursos. Assim sendo, esta pesquisa objetivou identificar se a estrutura curricular dos cursos de ciências contábeis ofertados pelas Instituições de Ensino Superior (IES) do estado do Mato Grosso do Sul atendem as exigências estabelecidas pelo Ministério da Educação (MEC), bem como realizar uma comparação com as estruturas propostas pela FBC e ISAR. Para consecução deste trabalho, foram observados 19 currículos, sendo que as disciplinas constantes deles foram separadas por eixo de formação, conforme as propostas incluídas na Resolução CNE/CES 10 e no livro de Carneiro, Rodrigues, Silva, França, Almeida e Morais</w:t>
      </w:r>
      <w:r w:rsidRPr="008470F7">
        <w:rPr>
          <w:color w:val="0033CC"/>
          <w:szCs w:val="24"/>
        </w:rPr>
        <w:t xml:space="preserve"> </w:t>
      </w:r>
      <w:r w:rsidR="009D003A">
        <w:rPr>
          <w:szCs w:val="24"/>
        </w:rPr>
        <w:t>(2017) da FBC</w:t>
      </w:r>
      <w:r w:rsidRPr="008470F7">
        <w:rPr>
          <w:szCs w:val="24"/>
        </w:rPr>
        <w:t>, sendo elas: básica, profissional e teórico-prática. Além disso, foi aplicado um questionário aos coordenadores de cursos, para verificar os motivos e a frequência com que é alterada a grade curricular, além de informações sobre o estágio supervisionado. Pôde-se observar, portanto, que parte expressiva dos cursos analisados não segue o percentual exato de carga horária das disciplinas por eixo de formação, conforme propo</w:t>
      </w:r>
      <w:r w:rsidR="009D003A">
        <w:rPr>
          <w:szCs w:val="24"/>
        </w:rPr>
        <w:t xml:space="preserve">sto pelo CNE e pela FBC e que existem </w:t>
      </w:r>
      <w:r w:rsidRPr="008470F7">
        <w:rPr>
          <w:szCs w:val="24"/>
        </w:rPr>
        <w:t>mais de 400 nomenclaturas diferentes para as disciplinas do curso de ciências contábeis.</w:t>
      </w:r>
    </w:p>
    <w:p w:rsidR="00C271A6" w:rsidRPr="008470F7" w:rsidRDefault="00C271A6" w:rsidP="00E63A6D">
      <w:pPr>
        <w:rPr>
          <w:b/>
          <w:szCs w:val="24"/>
        </w:rPr>
      </w:pPr>
    </w:p>
    <w:p w:rsidR="00C271A6" w:rsidRPr="008470F7" w:rsidRDefault="00C271A6" w:rsidP="00E63A6D">
      <w:pPr>
        <w:rPr>
          <w:szCs w:val="24"/>
        </w:rPr>
      </w:pPr>
      <w:r w:rsidRPr="008470F7">
        <w:rPr>
          <w:b/>
          <w:szCs w:val="24"/>
        </w:rPr>
        <w:t xml:space="preserve">Palavras-chave: </w:t>
      </w:r>
      <w:r w:rsidR="00C1412C" w:rsidRPr="008470F7">
        <w:rPr>
          <w:color w:val="000000"/>
          <w:szCs w:val="24"/>
        </w:rPr>
        <w:t>Educação; Ensino superior; Proposta curricular.</w:t>
      </w:r>
    </w:p>
    <w:p w:rsidR="00C271A6" w:rsidRPr="008470F7" w:rsidRDefault="00C271A6" w:rsidP="00E63A6D">
      <w:pPr>
        <w:rPr>
          <w:szCs w:val="24"/>
        </w:rPr>
      </w:pPr>
    </w:p>
    <w:p w:rsidR="00C271A6" w:rsidRDefault="00C271A6" w:rsidP="00E63A6D">
      <w:pPr>
        <w:rPr>
          <w:b/>
          <w:szCs w:val="24"/>
        </w:rPr>
      </w:pPr>
      <w:r w:rsidRPr="008470F7">
        <w:rPr>
          <w:b/>
          <w:szCs w:val="24"/>
        </w:rPr>
        <w:t xml:space="preserve">Linha Temática: </w:t>
      </w:r>
      <w:r w:rsidR="00C1412C" w:rsidRPr="008470F7">
        <w:rPr>
          <w:b/>
          <w:szCs w:val="24"/>
        </w:rPr>
        <w:t>Pesquisa e Ensino da Contabilidade</w:t>
      </w:r>
    </w:p>
    <w:p w:rsidR="009D003A" w:rsidRDefault="009D003A" w:rsidP="00E63A6D">
      <w:pPr>
        <w:rPr>
          <w:b/>
          <w:szCs w:val="24"/>
        </w:rPr>
      </w:pPr>
    </w:p>
    <w:p w:rsidR="009D003A" w:rsidRDefault="009D003A" w:rsidP="00E63A6D">
      <w:pPr>
        <w:rPr>
          <w:b/>
          <w:szCs w:val="24"/>
        </w:rPr>
      </w:pPr>
    </w:p>
    <w:p w:rsidR="009D003A" w:rsidRDefault="009D003A" w:rsidP="00E63A6D">
      <w:pPr>
        <w:rPr>
          <w:szCs w:val="24"/>
        </w:rPr>
      </w:pPr>
    </w:p>
    <w:p w:rsidR="009D003A" w:rsidRPr="008470F7" w:rsidRDefault="009D003A" w:rsidP="00E63A6D">
      <w:pPr>
        <w:rPr>
          <w:szCs w:val="24"/>
        </w:rPr>
      </w:pPr>
    </w:p>
    <w:p w:rsidR="00C271A6" w:rsidRPr="008470F7" w:rsidRDefault="00C271A6" w:rsidP="00E63A6D">
      <w:bookmarkStart w:id="0" w:name="_GoBack"/>
      <w:bookmarkEnd w:id="0"/>
    </w:p>
    <w:p w:rsidR="008470F7" w:rsidRPr="00E63A6D" w:rsidRDefault="00E63A6D" w:rsidP="00E63A6D">
      <w:pPr>
        <w:ind w:firstLine="0"/>
        <w:rPr>
          <w:b/>
          <w:szCs w:val="24"/>
        </w:rPr>
      </w:pPr>
      <w:r>
        <w:rPr>
          <w:b/>
          <w:szCs w:val="24"/>
        </w:rPr>
        <w:lastRenderedPageBreak/>
        <w:t>1 Introdução</w:t>
      </w:r>
    </w:p>
    <w:p w:rsidR="00C1412C" w:rsidRPr="008470F7" w:rsidRDefault="00C1412C" w:rsidP="00E63A6D">
      <w:pPr>
        <w:ind w:firstLine="567"/>
        <w:rPr>
          <w:szCs w:val="24"/>
        </w:rPr>
      </w:pPr>
      <w:r w:rsidRPr="008470F7">
        <w:rPr>
          <w:szCs w:val="24"/>
        </w:rPr>
        <w:t xml:space="preserve">A educação é um direito fundamental de natureza social, previsto no artigo 6º da Constituição Federal de 1988. Por isso, mais que promover ou ter acesso ao ensino, é necessário zelar e primar por seu padrão de qualidade. A formação acadêmica de qualidade deve ser uma preocupação constante, seja para as instituições de ensino, seja para os órgãos ligados à educação ou para a sociedade em geral, visto que, conforme </w:t>
      </w:r>
      <w:proofErr w:type="spellStart"/>
      <w:r w:rsidRPr="008470F7">
        <w:rPr>
          <w:szCs w:val="24"/>
        </w:rPr>
        <w:t>Kruger</w:t>
      </w:r>
      <w:proofErr w:type="spellEnd"/>
      <w:r w:rsidRPr="008470F7">
        <w:rPr>
          <w:szCs w:val="24"/>
        </w:rPr>
        <w:t xml:space="preserve">, </w:t>
      </w:r>
      <w:proofErr w:type="spellStart"/>
      <w:r w:rsidRPr="008470F7">
        <w:rPr>
          <w:szCs w:val="24"/>
        </w:rPr>
        <w:t>Mazzioni</w:t>
      </w:r>
      <w:proofErr w:type="spellEnd"/>
      <w:r w:rsidRPr="008470F7">
        <w:rPr>
          <w:szCs w:val="24"/>
        </w:rPr>
        <w:t xml:space="preserve">, Resende, </w:t>
      </w:r>
      <w:proofErr w:type="spellStart"/>
      <w:r w:rsidRPr="008470F7">
        <w:rPr>
          <w:szCs w:val="24"/>
        </w:rPr>
        <w:t>Gubiani</w:t>
      </w:r>
      <w:proofErr w:type="spellEnd"/>
      <w:r w:rsidRPr="008470F7">
        <w:rPr>
          <w:szCs w:val="24"/>
        </w:rPr>
        <w:t xml:space="preserve"> e Zanin (2013), a educação deve fazer com que o futuro profissional desenvolva habilidades e competências, alcançando um perfil qualificado, eficiente e perspicaz de forma que corresponda às necessidades do mercado.</w:t>
      </w:r>
    </w:p>
    <w:p w:rsidR="00C1412C" w:rsidRPr="008470F7" w:rsidRDefault="00C1412C" w:rsidP="00E63A6D">
      <w:pPr>
        <w:ind w:firstLine="567"/>
        <w:rPr>
          <w:szCs w:val="24"/>
        </w:rPr>
      </w:pPr>
      <w:r w:rsidRPr="008470F7">
        <w:rPr>
          <w:szCs w:val="24"/>
        </w:rPr>
        <w:t>Diante disso, com o objetivo de aprimorar a formação contábil, o Conselho Nacional de Educação (</w:t>
      </w:r>
      <w:proofErr w:type="gramStart"/>
      <w:r w:rsidRPr="008470F7">
        <w:rPr>
          <w:szCs w:val="24"/>
        </w:rPr>
        <w:t>CNE)/</w:t>
      </w:r>
      <w:proofErr w:type="gramEnd"/>
      <w:r w:rsidRPr="008470F7">
        <w:rPr>
          <w:szCs w:val="24"/>
        </w:rPr>
        <w:t>Câmara de Educação Superior (CES) emitiu as Diretrizes Curriculares Nacionais (</w:t>
      </w:r>
      <w:proofErr w:type="spellStart"/>
      <w:r w:rsidRPr="008470F7">
        <w:rPr>
          <w:szCs w:val="24"/>
        </w:rPr>
        <w:t>DCNs</w:t>
      </w:r>
      <w:proofErr w:type="spellEnd"/>
      <w:r w:rsidRPr="008470F7">
        <w:rPr>
          <w:szCs w:val="24"/>
        </w:rPr>
        <w:t>) – Resolução n° 10, de 16 de dezembro de 2004, orientando as instituições que oferecem o curso de Ciências Contábeis na elaboração do currículo acadêmico, dividindo-o em três blocos de formação: básica, profissional e teórico-prática.</w:t>
      </w:r>
    </w:p>
    <w:p w:rsidR="00C1412C" w:rsidRPr="008470F7" w:rsidRDefault="00C1412C" w:rsidP="00E63A6D">
      <w:pPr>
        <w:ind w:firstLine="567"/>
        <w:rPr>
          <w:szCs w:val="24"/>
        </w:rPr>
      </w:pPr>
      <w:r w:rsidRPr="008470F7">
        <w:rPr>
          <w:szCs w:val="24"/>
        </w:rPr>
        <w:t>Além dessa orientação do CNE, o Conselho Federal de Contabilidade (CFC) também emitiu, em 2007, uma proposta curricular com a finalidade de auxiliar e padronizar os currículos apresentados pelas Instituições de Ensino Superior (IES). Em 2009, essa proposta foi atualizada pelo CFC e, em 2017, a Fundação Brasileira de Contabilidade (FBC) publicou uma nova sugestão de matriz curricular.</w:t>
      </w:r>
    </w:p>
    <w:p w:rsidR="00C1412C" w:rsidRPr="008470F7" w:rsidRDefault="00C1412C" w:rsidP="00E63A6D">
      <w:pPr>
        <w:ind w:firstLine="567"/>
        <w:rPr>
          <w:szCs w:val="24"/>
        </w:rPr>
      </w:pPr>
      <w:r w:rsidRPr="008470F7">
        <w:rPr>
          <w:szCs w:val="24"/>
        </w:rPr>
        <w:t xml:space="preserve">Outro órgão que também emitiu uma diretriz foi o </w:t>
      </w:r>
      <w:proofErr w:type="spellStart"/>
      <w:r w:rsidRPr="008470F7">
        <w:rPr>
          <w:i/>
          <w:szCs w:val="24"/>
        </w:rPr>
        <w:t>International</w:t>
      </w:r>
      <w:proofErr w:type="spellEnd"/>
      <w:r w:rsidRPr="008470F7">
        <w:rPr>
          <w:i/>
          <w:szCs w:val="24"/>
        </w:rPr>
        <w:t xml:space="preserve"> Standards </w:t>
      </w:r>
      <w:proofErr w:type="spellStart"/>
      <w:r w:rsidRPr="008470F7">
        <w:rPr>
          <w:i/>
          <w:szCs w:val="24"/>
        </w:rPr>
        <w:t>of</w:t>
      </w:r>
      <w:proofErr w:type="spellEnd"/>
      <w:r w:rsidRPr="008470F7">
        <w:rPr>
          <w:i/>
          <w:szCs w:val="24"/>
        </w:rPr>
        <w:t xml:space="preserve"> </w:t>
      </w:r>
      <w:proofErr w:type="spellStart"/>
      <w:r w:rsidRPr="008470F7">
        <w:rPr>
          <w:i/>
          <w:szCs w:val="24"/>
        </w:rPr>
        <w:t>Accounting</w:t>
      </w:r>
      <w:proofErr w:type="spellEnd"/>
      <w:r w:rsidRPr="008470F7">
        <w:rPr>
          <w:i/>
          <w:szCs w:val="24"/>
        </w:rPr>
        <w:t xml:space="preserve"> </w:t>
      </w:r>
      <w:proofErr w:type="spellStart"/>
      <w:r w:rsidRPr="008470F7">
        <w:rPr>
          <w:i/>
          <w:szCs w:val="24"/>
        </w:rPr>
        <w:t>and</w:t>
      </w:r>
      <w:proofErr w:type="spellEnd"/>
      <w:r w:rsidRPr="008470F7">
        <w:rPr>
          <w:i/>
          <w:szCs w:val="24"/>
        </w:rPr>
        <w:t xml:space="preserve"> </w:t>
      </w:r>
      <w:proofErr w:type="spellStart"/>
      <w:r w:rsidRPr="008470F7">
        <w:rPr>
          <w:i/>
          <w:szCs w:val="24"/>
        </w:rPr>
        <w:t>Reporting</w:t>
      </w:r>
      <w:proofErr w:type="spellEnd"/>
      <w:r w:rsidRPr="008470F7">
        <w:rPr>
          <w:szCs w:val="24"/>
        </w:rPr>
        <w:t xml:space="preserve"> (ISAR). Esse órgão ligado à Organização das Nações Unidas (ONU) é responsável pela elaboração de um currículo mundial, cujo fito é o de também </w:t>
      </w:r>
      <w:proofErr w:type="spellStart"/>
      <w:r w:rsidRPr="008470F7">
        <w:rPr>
          <w:szCs w:val="24"/>
        </w:rPr>
        <w:t>fornecer</w:t>
      </w:r>
      <w:proofErr w:type="spellEnd"/>
      <w:r w:rsidRPr="008470F7">
        <w:rPr>
          <w:szCs w:val="24"/>
        </w:rPr>
        <w:t xml:space="preserve"> uma base estrutural para os cursos de ciências contábeis, de modo que a contabilidade das organizações seja melhor e os relatórios emitidos sejam mais comparáveis.</w:t>
      </w:r>
    </w:p>
    <w:p w:rsidR="00C1412C" w:rsidRPr="008470F7" w:rsidRDefault="00C1412C" w:rsidP="00E63A6D">
      <w:pPr>
        <w:ind w:firstLine="567"/>
        <w:rPr>
          <w:szCs w:val="24"/>
        </w:rPr>
      </w:pPr>
      <w:r w:rsidRPr="008470F7">
        <w:rPr>
          <w:szCs w:val="24"/>
        </w:rPr>
        <w:t xml:space="preserve">Muitas mudanças e evoluções ocorreram no currículo de Contabilidade no Brasil desde 1809 e, sobre isso, Soares, </w:t>
      </w:r>
      <w:proofErr w:type="spellStart"/>
      <w:r w:rsidRPr="008470F7">
        <w:rPr>
          <w:szCs w:val="24"/>
        </w:rPr>
        <w:t>Richartz</w:t>
      </w:r>
      <w:proofErr w:type="spellEnd"/>
      <w:r w:rsidRPr="008470F7">
        <w:rPr>
          <w:szCs w:val="24"/>
        </w:rPr>
        <w:t xml:space="preserve">, </w:t>
      </w:r>
      <w:proofErr w:type="spellStart"/>
      <w:r w:rsidRPr="008470F7">
        <w:rPr>
          <w:szCs w:val="24"/>
        </w:rPr>
        <w:t>Voss</w:t>
      </w:r>
      <w:proofErr w:type="spellEnd"/>
      <w:r w:rsidRPr="008470F7">
        <w:rPr>
          <w:szCs w:val="24"/>
        </w:rPr>
        <w:t xml:space="preserve"> e Freitas (2011) analisaram a legislação que regulou as aulas de comércio, passando pelas aulas dos cursos de guarda-livros, peritos-contadores, até os cursos de graduação bacharelado em Ciências Contábeis e verificaram que algumas disciplinas, como as de matemática financeira, estatística, economia, direito tributário, direito comercial, direito processual e escrituração mercantil, sempre estiveram na estrutura curricular do curso.</w:t>
      </w:r>
    </w:p>
    <w:p w:rsidR="00C1412C" w:rsidRPr="008470F7" w:rsidRDefault="00C1412C" w:rsidP="00E63A6D">
      <w:pPr>
        <w:ind w:firstLine="567"/>
        <w:rPr>
          <w:szCs w:val="24"/>
        </w:rPr>
      </w:pPr>
      <w:r w:rsidRPr="008470F7">
        <w:rPr>
          <w:szCs w:val="24"/>
        </w:rPr>
        <w:t xml:space="preserve">Disciplinas como caligrafia, datilografia, geografia, história e línguas estrangeiras deixaram de fazer parte do currículo. Outras como: administração, auditoria, atuária, perícia, sistemas contábeis, teoria da contabilidade e análise das demonstrações contábeis foram incluídas (Soares, </w:t>
      </w:r>
      <w:proofErr w:type="spellStart"/>
      <w:r w:rsidRPr="008470F7">
        <w:rPr>
          <w:szCs w:val="24"/>
        </w:rPr>
        <w:t>Richartz</w:t>
      </w:r>
      <w:proofErr w:type="spellEnd"/>
      <w:r w:rsidRPr="008470F7">
        <w:rPr>
          <w:szCs w:val="24"/>
        </w:rPr>
        <w:t xml:space="preserve">, </w:t>
      </w:r>
      <w:proofErr w:type="spellStart"/>
      <w:r w:rsidRPr="008470F7">
        <w:rPr>
          <w:szCs w:val="24"/>
        </w:rPr>
        <w:t>Voss</w:t>
      </w:r>
      <w:proofErr w:type="spellEnd"/>
      <w:r w:rsidRPr="008470F7">
        <w:rPr>
          <w:szCs w:val="24"/>
        </w:rPr>
        <w:t>, &amp; Freitas, 2011). Além disso, foi possível verificar o aumento do número de disciplinas que fazem parte da estrutura curricular dos cursos.</w:t>
      </w:r>
    </w:p>
    <w:p w:rsidR="00C1412C" w:rsidRPr="008470F7" w:rsidRDefault="00C1412C" w:rsidP="00E63A6D">
      <w:pPr>
        <w:ind w:firstLine="567"/>
        <w:rPr>
          <w:szCs w:val="24"/>
        </w:rPr>
      </w:pPr>
      <w:r w:rsidRPr="008470F7">
        <w:rPr>
          <w:szCs w:val="24"/>
        </w:rPr>
        <w:t>Diante da dinamicidade apresentada, o objetivo deste trabalho é identificar se a estrutura curricular dos cursos presenciais de Ciências Contábeis ofertados pelas Instituições de Ensino Superior (IES) do estado do Mato Grosso do Sul atendem as exigências estabelecidas pelo Ministério da Educação (MEC), bem como realizar uma comparação com as estruturas propostas pela FBC e ISAR.</w:t>
      </w:r>
    </w:p>
    <w:p w:rsidR="00C1412C" w:rsidRPr="008470F7" w:rsidRDefault="00C1412C" w:rsidP="00E63A6D">
      <w:pPr>
        <w:ind w:firstLine="567"/>
        <w:rPr>
          <w:szCs w:val="24"/>
        </w:rPr>
      </w:pPr>
      <w:r w:rsidRPr="008470F7">
        <w:rPr>
          <w:szCs w:val="24"/>
        </w:rPr>
        <w:t xml:space="preserve">Esta pesquisa apoia-se na necessidade de se conhecer a realidade dos cursos de Ciências Contábeis, especificamente do estado de Mato Grosso do Sul. Além disso, justifica-se pela </w:t>
      </w:r>
      <w:r w:rsidRPr="008470F7">
        <w:rPr>
          <w:szCs w:val="24"/>
        </w:rPr>
        <w:lastRenderedPageBreak/>
        <w:t>importância de se discutir a formação dos profissionais contábeis, no intuito de se verificar se estão sendo preparados para o mercado de trabalho e se existe um padrão ou base nessa formação. Ainda, o estudo contribuirá para que as próprias IES conheçam a realidade na qual estão inseridas, para que, a partir de então, promovam qualquer mudança em suas matrizes curriculares.</w:t>
      </w:r>
    </w:p>
    <w:p w:rsidR="00C1412C" w:rsidRPr="008470F7" w:rsidRDefault="00C1412C" w:rsidP="00E63A6D">
      <w:pPr>
        <w:ind w:firstLine="567"/>
        <w:rPr>
          <w:szCs w:val="24"/>
        </w:rPr>
      </w:pPr>
      <w:r w:rsidRPr="008470F7">
        <w:rPr>
          <w:szCs w:val="24"/>
        </w:rPr>
        <w:t>Este estudo está dividido em quatro partes. Além desta introdução, contém, a seguir, o referencial teórico com a revisão da literatura. Na sequência, apresentam-se os procedimentos metodológicos utilizados, seguidos pela análise dos resultados e, logo após, as considerações finais e as referências.</w:t>
      </w:r>
    </w:p>
    <w:p w:rsidR="00C1412C" w:rsidRPr="008470F7" w:rsidRDefault="00C1412C" w:rsidP="00E63A6D">
      <w:pPr>
        <w:ind w:firstLine="567"/>
        <w:rPr>
          <w:szCs w:val="24"/>
        </w:rPr>
      </w:pPr>
    </w:p>
    <w:p w:rsidR="008470F7" w:rsidRPr="00E63A6D" w:rsidRDefault="00C1412C" w:rsidP="00E63A6D">
      <w:pPr>
        <w:ind w:firstLine="0"/>
        <w:rPr>
          <w:b/>
          <w:szCs w:val="24"/>
        </w:rPr>
      </w:pPr>
      <w:r w:rsidRPr="008470F7">
        <w:rPr>
          <w:b/>
          <w:szCs w:val="24"/>
        </w:rPr>
        <w:t>2 Referencial Teóri</w:t>
      </w:r>
      <w:r w:rsidR="00E63A6D">
        <w:rPr>
          <w:b/>
          <w:szCs w:val="24"/>
        </w:rPr>
        <w:t>co</w:t>
      </w:r>
    </w:p>
    <w:p w:rsidR="008470F7" w:rsidRPr="008470F7" w:rsidRDefault="00C1412C" w:rsidP="00E63A6D">
      <w:pPr>
        <w:tabs>
          <w:tab w:val="center" w:pos="4535"/>
        </w:tabs>
        <w:ind w:firstLine="0"/>
        <w:rPr>
          <w:b/>
          <w:szCs w:val="24"/>
        </w:rPr>
      </w:pPr>
      <w:r w:rsidRPr="008470F7">
        <w:rPr>
          <w:b/>
          <w:szCs w:val="24"/>
        </w:rPr>
        <w:t>2.1 Resolução CNE/CES 10/2004 – MEC</w:t>
      </w:r>
    </w:p>
    <w:p w:rsidR="00C1412C" w:rsidRPr="008470F7" w:rsidRDefault="00C1412C" w:rsidP="00E63A6D">
      <w:pPr>
        <w:ind w:firstLine="567"/>
        <w:rPr>
          <w:szCs w:val="24"/>
        </w:rPr>
      </w:pPr>
      <w:r w:rsidRPr="008470F7">
        <w:rPr>
          <w:szCs w:val="24"/>
        </w:rPr>
        <w:t xml:space="preserve">O Conselho Nacional de Educação (CNE) foi instituído pela Lei nº 9.131 de 24 de novembro de 1995, sendo composto pela Câmara de Educação Básica (CEB) e pela Câmara de Educação Superior (CES). A CES delibera sobre as diretrizes curriculares que, antes da Lei nº 9.131/95, ficava a cargo do Conselho Federal de Educação. Essas diretrizes foram elaboradas após consulta pública e análises por comissões especiais por área de estudo. No caso de Ciências Contábeis, as diretrizes estavam no Parecer nº 146 de 3 de abril de 2002 aprovado pelo colegiado da CES e revogada posteriormente pelo Parecer nº 67 de 11 de março de 2003 (Soares, </w:t>
      </w:r>
      <w:proofErr w:type="spellStart"/>
      <w:r w:rsidRPr="008470F7">
        <w:rPr>
          <w:szCs w:val="24"/>
        </w:rPr>
        <w:t>Borgert</w:t>
      </w:r>
      <w:proofErr w:type="spellEnd"/>
      <w:r w:rsidRPr="008470F7">
        <w:rPr>
          <w:szCs w:val="24"/>
        </w:rPr>
        <w:t xml:space="preserve">, </w:t>
      </w:r>
      <w:proofErr w:type="spellStart"/>
      <w:r w:rsidRPr="008470F7">
        <w:rPr>
          <w:szCs w:val="24"/>
        </w:rPr>
        <w:t>Pfitscher</w:t>
      </w:r>
      <w:proofErr w:type="spellEnd"/>
      <w:r w:rsidRPr="008470F7">
        <w:rPr>
          <w:szCs w:val="24"/>
        </w:rPr>
        <w:t>, &amp; Will, 2012).</w:t>
      </w:r>
    </w:p>
    <w:p w:rsidR="00C1412C" w:rsidRPr="008470F7" w:rsidRDefault="00C1412C" w:rsidP="00E63A6D">
      <w:pPr>
        <w:ind w:firstLine="567"/>
        <w:rPr>
          <w:szCs w:val="24"/>
        </w:rPr>
      </w:pPr>
      <w:r w:rsidRPr="008470F7">
        <w:rPr>
          <w:szCs w:val="24"/>
        </w:rPr>
        <w:t xml:space="preserve">Conforme </w:t>
      </w:r>
      <w:proofErr w:type="spellStart"/>
      <w:r w:rsidRPr="008470F7">
        <w:rPr>
          <w:szCs w:val="24"/>
        </w:rPr>
        <w:t>Kruger</w:t>
      </w:r>
      <w:proofErr w:type="spellEnd"/>
      <w:r w:rsidRPr="008470F7">
        <w:rPr>
          <w:szCs w:val="24"/>
        </w:rPr>
        <w:t xml:space="preserve"> et al. (2013), os cursos de Ciências Contábeis devem apresentar Projetos Pedagógicos bem elaborados e atualizados para poder oferecer uma formação acadêmica de qualidade, destacando-se as habilidades e competências que o futuro contador deverá obter para o bom desempenho no exercício da profissão correspondendo com as necessidades do mercado.</w:t>
      </w:r>
    </w:p>
    <w:p w:rsidR="00C1412C" w:rsidRPr="008470F7" w:rsidRDefault="00C1412C" w:rsidP="00E63A6D">
      <w:pPr>
        <w:ind w:firstLine="567"/>
        <w:rPr>
          <w:szCs w:val="24"/>
        </w:rPr>
      </w:pPr>
      <w:r w:rsidRPr="008470F7">
        <w:rPr>
          <w:szCs w:val="24"/>
        </w:rPr>
        <w:t>Isso está destacado no primeiro item do artigo 2º da Resolução CNE/CES nº 10, de 16 de dezembro de 2004, aprovada pela Câmara de Educação Superior do Conselho Federal de Educação que instituiu as Diretrizes Curriculares Nacionais para o curso de graduação em Ciências Contábeis. Essas diretrizes, entre outras coisas, orientam quais conteúdos devem compor os currículos dos cursos.</w:t>
      </w:r>
    </w:p>
    <w:p w:rsidR="00C1412C" w:rsidRPr="008470F7" w:rsidRDefault="00C1412C" w:rsidP="00E63A6D">
      <w:pPr>
        <w:ind w:firstLine="567"/>
        <w:rPr>
          <w:szCs w:val="24"/>
        </w:rPr>
      </w:pPr>
      <w:r w:rsidRPr="008470F7">
        <w:rPr>
          <w:szCs w:val="24"/>
        </w:rPr>
        <w:t>Além do primeiro item do art. 2º citado no parágrafo anterior, a Resolução cita que as Instituições de Educação Superior (IES) deverão elaborar, por meio do Projeto Político Pedagógico (PPP), a organização curricular para cursos de Ciências Contábeis com a descrição de outros aspectos como: os componentes curriculares integrantes; os sistemas de avaliação do curso e do acadêmico; sobre o estágio curricular supervisionado, atividades complementares; o regime acadêmico de oferta; e sobre o Trabalho de Conclusão de Curso (TCC), componente opcional para as IES.</w:t>
      </w:r>
    </w:p>
    <w:p w:rsidR="00C1412C" w:rsidRPr="008470F7" w:rsidRDefault="00C1412C" w:rsidP="00E63A6D">
      <w:pPr>
        <w:ind w:firstLine="567"/>
        <w:rPr>
          <w:szCs w:val="24"/>
        </w:rPr>
      </w:pPr>
      <w:r w:rsidRPr="008470F7">
        <w:rPr>
          <w:szCs w:val="24"/>
        </w:rPr>
        <w:t>Ainda no parágrafo primeiro do art. 2º estão destacados outros elementos estruturais necessários na elaboração do PPP, tais como: objetivos gerais; condições e vocação do curso; cargas horárias; interdisciplinaridade; modos de integração teoria e prática; formas de avaliação; incentivo à pesquisa; as condições para a realização do estágio supervisionado; para as horas complementares; e, na forma opcional, a inclusão do TCC.</w:t>
      </w:r>
    </w:p>
    <w:p w:rsidR="00C1412C" w:rsidRPr="008470F7" w:rsidRDefault="00C1412C" w:rsidP="00E63A6D">
      <w:pPr>
        <w:ind w:firstLine="567"/>
        <w:rPr>
          <w:szCs w:val="24"/>
        </w:rPr>
      </w:pPr>
      <w:r w:rsidRPr="008470F7">
        <w:rPr>
          <w:szCs w:val="24"/>
        </w:rPr>
        <w:t xml:space="preserve">No quinto artigo da mesma resolução (Resolução CNE/CES nº 10/2004) cita que o PPP do curso e sua organização curricular devem contemplar conteúdos que repassem conhecimento do </w:t>
      </w:r>
      <w:r w:rsidRPr="008470F7">
        <w:rPr>
          <w:szCs w:val="24"/>
        </w:rPr>
        <w:lastRenderedPageBreak/>
        <w:t>cenário econômico e financeiro, nacional e internacional, em consonância com as normas internacionais de contabilidade, com a formação exigida pela Organização Mundial do Comércio e com as peculiaridades das organizações governamentais.</w:t>
      </w:r>
    </w:p>
    <w:p w:rsidR="00C1412C" w:rsidRPr="008470F7" w:rsidRDefault="00C1412C" w:rsidP="00E63A6D">
      <w:pPr>
        <w:ind w:firstLine="567"/>
        <w:rPr>
          <w:szCs w:val="24"/>
        </w:rPr>
      </w:pPr>
      <w:r w:rsidRPr="008470F7">
        <w:rPr>
          <w:szCs w:val="24"/>
        </w:rPr>
        <w:t xml:space="preserve">Para isso, são divididos em: conteúdos de formação básica, representados pelos estudos relacionados com outras áreas do conhecimento, como Administração, Economia, Direito, Métodos Quantitativos, Matemática e Estatística; conteúdos de formação profissional: referentes a estudos específicos das Teorias da Contabilidade, incluindo as noções das atividades atuariais e de quantificações de informações financeiras, patrimoniais, governamentais e não governamentais, de auditorias, perícias, arbitragens e controladoria, tanto relacionada ao setor público, como ao setor privado; e conteúdos de formação teórico-prática, nos quais estão incluídos o Estágio Curricular Supervisionado, as Atividades Complementares, os Estudos Independentes, os Conteúdos Optativos e as Práticas em Laboratório contábil.  </w:t>
      </w:r>
    </w:p>
    <w:p w:rsidR="00C1412C" w:rsidRPr="008470F7" w:rsidRDefault="00C1412C" w:rsidP="00E63A6D">
      <w:pPr>
        <w:ind w:firstLine="567"/>
        <w:rPr>
          <w:szCs w:val="24"/>
        </w:rPr>
      </w:pPr>
      <w:r w:rsidRPr="008470F7">
        <w:rPr>
          <w:szCs w:val="24"/>
        </w:rPr>
        <w:t xml:space="preserve">Quanto à duração e à carga horária dos cursos de graduação, de acordo com a Resolução CNE/CES nº 2 de 18 de junho de 2007, que dispõe sobre carga horária mínima e procedimentos relativos à integralização e duração dos cursos de graduação, bacharelados, na modalidade presencial, o curso bacharelado em Ciências Contábeis deve ter uma carga horária de, no mínimo, três mil horas, com o limite mínimo de quatro anos para a integralização do curso. </w:t>
      </w:r>
    </w:p>
    <w:p w:rsidR="00C1412C" w:rsidRPr="008470F7" w:rsidRDefault="00C1412C" w:rsidP="00E63A6D">
      <w:pPr>
        <w:ind w:firstLine="567"/>
        <w:rPr>
          <w:szCs w:val="24"/>
        </w:rPr>
      </w:pPr>
      <w:bookmarkStart w:id="1" w:name="_Hlk1227096"/>
      <w:r w:rsidRPr="008470F7">
        <w:rPr>
          <w:szCs w:val="24"/>
        </w:rPr>
        <w:t>A Resolução CNE/CES nº 2 delimita a carga horária para os estágios supervisionados e atividades complementares dos cursos de graduação, bacharelados, na modalidade presencial. Estes não deverão exceder a 20% (vinte por cento) da carga horária total do curso, a não ser em casos que haja determinações legais fixando cargas diferenciadas.</w:t>
      </w:r>
      <w:bookmarkEnd w:id="1"/>
    </w:p>
    <w:p w:rsidR="00C1412C" w:rsidRPr="008470F7" w:rsidRDefault="00C1412C" w:rsidP="00E63A6D">
      <w:pPr>
        <w:ind w:firstLine="567"/>
        <w:rPr>
          <w:szCs w:val="24"/>
        </w:rPr>
      </w:pPr>
      <w:r w:rsidRPr="008470F7">
        <w:rPr>
          <w:szCs w:val="24"/>
        </w:rPr>
        <w:t>Percebe-se que a Resolução CNE/CES nº 10/2004 demonstra uma preocupação em formar um bacharel capaz de desenvolver um pensamento crítico e inovador, prestando serviços de qualidade à sociedade, além de ter uma visão sistêmica e interdisciplinar das atividades contábeis após o término do curso (</w:t>
      </w:r>
      <w:proofErr w:type="spellStart"/>
      <w:r w:rsidRPr="008470F7">
        <w:rPr>
          <w:szCs w:val="24"/>
        </w:rPr>
        <w:t>Marroni</w:t>
      </w:r>
      <w:proofErr w:type="spellEnd"/>
      <w:r w:rsidRPr="008470F7">
        <w:rPr>
          <w:szCs w:val="24"/>
        </w:rPr>
        <w:t xml:space="preserve">, Rodrigues, &amp; </w:t>
      </w:r>
      <w:proofErr w:type="spellStart"/>
      <w:r w:rsidRPr="008470F7">
        <w:rPr>
          <w:szCs w:val="24"/>
        </w:rPr>
        <w:t>Panosso</w:t>
      </w:r>
      <w:proofErr w:type="spellEnd"/>
      <w:r w:rsidRPr="008470F7">
        <w:rPr>
          <w:szCs w:val="24"/>
        </w:rPr>
        <w:t>, 2013).</w:t>
      </w:r>
    </w:p>
    <w:p w:rsidR="00C1412C" w:rsidRPr="008470F7" w:rsidRDefault="00C1412C" w:rsidP="00E63A6D">
      <w:pPr>
        <w:ind w:firstLine="567"/>
        <w:rPr>
          <w:szCs w:val="24"/>
        </w:rPr>
      </w:pPr>
      <w:r w:rsidRPr="008470F7">
        <w:rPr>
          <w:szCs w:val="24"/>
        </w:rPr>
        <w:t>Pode-se dizer que os PPP buscam o equilíbrio para desenvolvimento do sistema educacional. Afinal, a prática educacional no ensino superior precisa se adaptar às mudanças ocorridas em vários âmbitos. As IES estruturam seus PPP para cada curso conforme as normatizações, entretanto, no caso do curso de graduação em Ciências Contábeis, seguem orientações da resolução citada no parágrafo anterior e também da proposta curricular emitida pelo Conselho Federal de Contabilidade (CFC) em 2009 e que visa auxiliar e padronizar as grades curriculares dos cursos (Silva, Miranda, &amp; Pereira, 2017).</w:t>
      </w:r>
    </w:p>
    <w:p w:rsidR="00C1412C" w:rsidRPr="008470F7" w:rsidRDefault="00C1412C" w:rsidP="00E63A6D">
      <w:pPr>
        <w:ind w:firstLine="567"/>
        <w:rPr>
          <w:szCs w:val="24"/>
        </w:rPr>
      </w:pPr>
    </w:p>
    <w:p w:rsidR="008470F7" w:rsidRPr="008470F7" w:rsidRDefault="00C1412C" w:rsidP="00E63A6D">
      <w:pPr>
        <w:ind w:firstLine="0"/>
        <w:rPr>
          <w:b/>
          <w:szCs w:val="24"/>
        </w:rPr>
      </w:pPr>
      <w:r w:rsidRPr="008470F7">
        <w:rPr>
          <w:b/>
          <w:szCs w:val="24"/>
        </w:rPr>
        <w:t xml:space="preserve">2.2 Proposta nacional de conteúdo para o curso de graduação em Ciências Contábeis – Fundação Brasileira de Contabilidade </w:t>
      </w:r>
      <w:r w:rsidR="008470F7" w:rsidRPr="008470F7">
        <w:rPr>
          <w:b/>
          <w:szCs w:val="24"/>
        </w:rPr>
        <w:t>–</w:t>
      </w:r>
      <w:r w:rsidR="00E63A6D">
        <w:rPr>
          <w:b/>
          <w:szCs w:val="24"/>
        </w:rPr>
        <w:t xml:space="preserve"> FBC</w:t>
      </w:r>
    </w:p>
    <w:p w:rsidR="00C1412C" w:rsidRPr="008470F7" w:rsidRDefault="00C1412C" w:rsidP="00E63A6D">
      <w:pPr>
        <w:ind w:firstLine="567"/>
        <w:rPr>
          <w:szCs w:val="24"/>
        </w:rPr>
      </w:pPr>
      <w:r w:rsidRPr="008470F7">
        <w:rPr>
          <w:szCs w:val="24"/>
        </w:rPr>
        <w:t>Em consonância com as Diretrizes Curriculares Nacionais instituídas pela Resolução CNE/CES nº 10/2004, o CFC também estabelece um perfil do profissional contábil que será formado nos cursos de Ciências Contábeis, sendo que as competências e habilidades são elementos indispensáveis à formação do profissional contábil. O desenvolvimento de competências específicas para a profissão possibilitará ao egresso um preparo qualificado e eficiente para o exercício profissional, e o desenvolvimento de habilidades específicas auxiliará para assumir as funções referentes à profissão com qualidade e responsabilidade (</w:t>
      </w:r>
      <w:proofErr w:type="spellStart"/>
      <w:r w:rsidRPr="008470F7">
        <w:rPr>
          <w:szCs w:val="24"/>
        </w:rPr>
        <w:t>Kruger</w:t>
      </w:r>
      <w:proofErr w:type="spellEnd"/>
      <w:r w:rsidRPr="008470F7">
        <w:rPr>
          <w:szCs w:val="24"/>
        </w:rPr>
        <w:t xml:space="preserve">, </w:t>
      </w:r>
      <w:proofErr w:type="spellStart"/>
      <w:r w:rsidRPr="008470F7">
        <w:rPr>
          <w:szCs w:val="24"/>
        </w:rPr>
        <w:t>Mazzioni</w:t>
      </w:r>
      <w:proofErr w:type="spellEnd"/>
      <w:r w:rsidRPr="008470F7">
        <w:rPr>
          <w:szCs w:val="24"/>
        </w:rPr>
        <w:t xml:space="preserve">, Resende, </w:t>
      </w:r>
      <w:proofErr w:type="spellStart"/>
      <w:r w:rsidRPr="008470F7">
        <w:rPr>
          <w:szCs w:val="24"/>
        </w:rPr>
        <w:lastRenderedPageBreak/>
        <w:t>Gubiani</w:t>
      </w:r>
      <w:proofErr w:type="spellEnd"/>
      <w:r w:rsidRPr="008470F7">
        <w:rPr>
          <w:szCs w:val="24"/>
        </w:rPr>
        <w:t>, &amp; Zanin, 2013).</w:t>
      </w:r>
    </w:p>
    <w:p w:rsidR="00C1412C" w:rsidRPr="008470F7" w:rsidRDefault="00C1412C" w:rsidP="00E63A6D">
      <w:pPr>
        <w:ind w:firstLine="567"/>
        <w:rPr>
          <w:szCs w:val="24"/>
        </w:rPr>
      </w:pPr>
      <w:r w:rsidRPr="008470F7">
        <w:rPr>
          <w:szCs w:val="24"/>
        </w:rPr>
        <w:t>Para o Conselho Federal de Contabilidade (CFC), a formulação de uma proposta nacional de matriz curricular visando diminuir as divergências entre os diversos cursos de graduação em Ciências Contábeis era uma das principais reivindicações da sociedade.  Uma comissão criada pelo órgão se empenhou nessa tarefa e elaborou as propostas de conteúdos de 2007 e 2009 para o curso superior (Carneiro et al., 2009).</w:t>
      </w:r>
    </w:p>
    <w:p w:rsidR="00C1412C" w:rsidRPr="008470F7" w:rsidRDefault="00C1412C" w:rsidP="00E63A6D">
      <w:pPr>
        <w:ind w:firstLine="567"/>
        <w:rPr>
          <w:szCs w:val="24"/>
        </w:rPr>
      </w:pPr>
      <w:r w:rsidRPr="008470F7">
        <w:rPr>
          <w:szCs w:val="24"/>
        </w:rPr>
        <w:t>Sobre essa questão, o CFC participa das decisões que envolvem o ensino superior em Contabilidade atuando nos processos de autorização, reconhecimento e renovação dos cursos de graduação em Ciências Contábeis. Além disso, busca constantemente o aperfeiçoamento da Contabilidade, através da capacitação e qualificação dos profissionais. Para isso, vem aprimorando os Programas de Educação Continuada e Excelência na Contabilidade (Carneiro, Rodrigues, Silva, França, Almeida, &amp; Morais, 2017).</w:t>
      </w:r>
    </w:p>
    <w:p w:rsidR="00C1412C" w:rsidRPr="008470F7" w:rsidRDefault="00C1412C" w:rsidP="00E63A6D">
      <w:pPr>
        <w:ind w:firstLine="567"/>
        <w:rPr>
          <w:szCs w:val="24"/>
        </w:rPr>
      </w:pPr>
      <w:r w:rsidRPr="008470F7">
        <w:rPr>
          <w:szCs w:val="24"/>
        </w:rPr>
        <w:t>Então, em 2017 foi lançada a primeira edição do novo livro com a proposta de matriz curricular para os cursos de graduação em Ciências Contábeis. Essa obra foi elaborada com o auxílio das IES que ofertam o curso e o apoio da Fundação Brasileira de Contabilidade (FBC</w:t>
      </w:r>
      <w:r w:rsidR="0001338F">
        <w:rPr>
          <w:szCs w:val="24"/>
        </w:rPr>
        <w:t>)</w:t>
      </w:r>
      <w:r w:rsidRPr="008470F7">
        <w:rPr>
          <w:szCs w:val="24"/>
        </w:rPr>
        <w:t xml:space="preserve"> (Carneiro et al., 2017).</w:t>
      </w:r>
    </w:p>
    <w:p w:rsidR="00A37CFD" w:rsidRDefault="00C1412C" w:rsidP="00A37CFD">
      <w:pPr>
        <w:ind w:firstLine="567"/>
        <w:rPr>
          <w:szCs w:val="24"/>
        </w:rPr>
      </w:pPr>
      <w:r w:rsidRPr="008470F7">
        <w:rPr>
          <w:szCs w:val="24"/>
        </w:rPr>
        <w:t>Essa proposta nacional de conteúdo para o curso de graduação em ciências contábeis elaborada pela FBC também é dividida em três eixos temáticos, seguindo o modelo proposto pela Resolução CNE/CES nº 10/2004, conforme pode ser observado nas Tabelas 1 e 2. E, segundo os autores do livro, embora o estudo vise à melhoria das grades curriculares, não se pretende estabelecer ou induzir uma padronização ou convergência curricular in</w:t>
      </w:r>
      <w:r w:rsidR="00E63A6D">
        <w:rPr>
          <w:szCs w:val="24"/>
        </w:rPr>
        <w:t>tegral (Carneiro et al., 2017).</w:t>
      </w:r>
    </w:p>
    <w:p w:rsidR="0001338F" w:rsidRPr="008470F7" w:rsidRDefault="0001338F" w:rsidP="00A37CFD">
      <w:pPr>
        <w:ind w:firstLine="567"/>
        <w:rPr>
          <w:szCs w:val="24"/>
        </w:rPr>
      </w:pPr>
    </w:p>
    <w:tbl>
      <w:tblPr>
        <w:tblW w:w="0" w:type="auto"/>
        <w:tblInd w:w="108" w:type="dxa"/>
        <w:tblLayout w:type="fixed"/>
        <w:tblLook w:val="04A0" w:firstRow="1" w:lastRow="0" w:firstColumn="1" w:lastColumn="0" w:noHBand="0" w:noVBand="1"/>
      </w:tblPr>
      <w:tblGrid>
        <w:gridCol w:w="851"/>
        <w:gridCol w:w="709"/>
        <w:gridCol w:w="1239"/>
        <w:gridCol w:w="2091"/>
        <w:gridCol w:w="2056"/>
        <w:gridCol w:w="35"/>
        <w:gridCol w:w="2091"/>
      </w:tblGrid>
      <w:tr w:rsidR="008470F7" w:rsidRPr="008470F7" w:rsidTr="008470F7">
        <w:tc>
          <w:tcPr>
            <w:tcW w:w="9072" w:type="dxa"/>
            <w:gridSpan w:val="7"/>
            <w:tcBorders>
              <w:bottom w:val="single" w:sz="4" w:space="0" w:color="auto"/>
            </w:tcBorders>
            <w:shd w:val="clear" w:color="auto" w:fill="auto"/>
          </w:tcPr>
          <w:p w:rsidR="008470F7" w:rsidRPr="008470F7" w:rsidRDefault="00E63A6D" w:rsidP="00E63A6D">
            <w:pPr>
              <w:widowControl/>
              <w:suppressLineNumbers w:val="0"/>
              <w:suppressAutoHyphens w:val="0"/>
              <w:ind w:firstLine="0"/>
              <w:jc w:val="left"/>
              <w:rPr>
                <w:sz w:val="20"/>
              </w:rPr>
            </w:pPr>
            <w:r>
              <w:rPr>
                <w:sz w:val="20"/>
              </w:rPr>
              <w:t xml:space="preserve">Tabela 1. </w:t>
            </w:r>
            <w:r w:rsidR="008470F7" w:rsidRPr="008470F7">
              <w:rPr>
                <w:sz w:val="20"/>
              </w:rPr>
              <w:t>Proposta de componentes curriculares com carga horária por eixo temático</w:t>
            </w:r>
          </w:p>
        </w:tc>
      </w:tr>
      <w:tr w:rsidR="008470F7" w:rsidRPr="008470F7" w:rsidTr="00A37CFD">
        <w:trPr>
          <w:cantSplit/>
          <w:trHeight w:val="152"/>
        </w:trPr>
        <w:tc>
          <w:tcPr>
            <w:tcW w:w="1560" w:type="dxa"/>
            <w:gridSpan w:val="2"/>
            <w:tcBorders>
              <w:top w:val="single" w:sz="4" w:space="0" w:color="auto"/>
              <w:bottom w:val="single" w:sz="4" w:space="0" w:color="auto"/>
            </w:tcBorders>
            <w:shd w:val="clear" w:color="auto" w:fill="auto"/>
            <w:vAlign w:val="center"/>
          </w:tcPr>
          <w:p w:rsidR="008470F7" w:rsidRPr="008470F7" w:rsidRDefault="008470F7" w:rsidP="00E63A6D">
            <w:pPr>
              <w:widowControl/>
              <w:suppressLineNumbers w:val="0"/>
              <w:suppressAutoHyphens w:val="0"/>
              <w:ind w:firstLine="0"/>
              <w:jc w:val="center"/>
              <w:rPr>
                <w:sz w:val="14"/>
              </w:rPr>
            </w:pPr>
            <w:r w:rsidRPr="008470F7">
              <w:rPr>
                <w:sz w:val="20"/>
              </w:rPr>
              <w:t>Eixo</w:t>
            </w:r>
          </w:p>
        </w:tc>
        <w:tc>
          <w:tcPr>
            <w:tcW w:w="5386" w:type="dxa"/>
            <w:gridSpan w:val="3"/>
            <w:tcBorders>
              <w:top w:val="single" w:sz="4" w:space="0" w:color="auto"/>
              <w:bottom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center"/>
              <w:rPr>
                <w:sz w:val="20"/>
              </w:rPr>
            </w:pPr>
            <w:r w:rsidRPr="008470F7">
              <w:rPr>
                <w:sz w:val="20"/>
              </w:rPr>
              <w:t>Disciplina</w:t>
            </w:r>
          </w:p>
        </w:tc>
        <w:tc>
          <w:tcPr>
            <w:tcW w:w="2126" w:type="dxa"/>
            <w:gridSpan w:val="2"/>
            <w:tcBorders>
              <w:top w:val="single" w:sz="4" w:space="0" w:color="auto"/>
              <w:bottom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center"/>
              <w:rPr>
                <w:sz w:val="20"/>
              </w:rPr>
            </w:pPr>
            <w:r w:rsidRPr="008470F7">
              <w:rPr>
                <w:sz w:val="20"/>
              </w:rPr>
              <w:t>Carga Horária</w:t>
            </w:r>
          </w:p>
        </w:tc>
      </w:tr>
      <w:tr w:rsidR="008470F7" w:rsidRPr="008470F7" w:rsidTr="008470F7">
        <w:tc>
          <w:tcPr>
            <w:tcW w:w="851" w:type="dxa"/>
            <w:vMerge w:val="restart"/>
            <w:tcBorders>
              <w:top w:val="single" w:sz="4" w:space="0" w:color="auto"/>
            </w:tcBorders>
            <w:shd w:val="clear" w:color="auto" w:fill="auto"/>
            <w:textDirection w:val="btLr"/>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FORMAÇÃO BÁSICA</w:t>
            </w:r>
          </w:p>
          <w:p w:rsidR="008470F7" w:rsidRPr="008470F7" w:rsidRDefault="008470F7" w:rsidP="00E63A6D">
            <w:pPr>
              <w:widowControl/>
              <w:suppressLineNumbers w:val="0"/>
              <w:suppressAutoHyphens w:val="0"/>
              <w:ind w:left="709" w:firstLine="0"/>
              <w:jc w:val="center"/>
              <w:rPr>
                <w:sz w:val="20"/>
              </w:rPr>
            </w:pPr>
          </w:p>
        </w:tc>
        <w:tc>
          <w:tcPr>
            <w:tcW w:w="6095" w:type="dxa"/>
            <w:gridSpan w:val="4"/>
            <w:tcBorders>
              <w:top w:val="single" w:sz="4" w:space="0" w:color="auto"/>
            </w:tcBorders>
            <w:shd w:val="clear" w:color="auto" w:fill="auto"/>
          </w:tcPr>
          <w:p w:rsidR="008470F7" w:rsidRPr="008470F7" w:rsidRDefault="008470F7" w:rsidP="00E63A6D">
            <w:pPr>
              <w:widowControl/>
              <w:suppressLineNumbers w:val="0"/>
              <w:suppressAutoHyphens w:val="0"/>
              <w:ind w:left="709" w:firstLine="0"/>
              <w:jc w:val="left"/>
              <w:rPr>
                <w:rFonts w:eastAsia="Calibri"/>
                <w:sz w:val="20"/>
              </w:rPr>
            </w:pPr>
            <w:r w:rsidRPr="008470F7">
              <w:rPr>
                <w:rFonts w:eastAsia="Calibri"/>
                <w:sz w:val="20"/>
              </w:rPr>
              <w:t>Matemática</w:t>
            </w:r>
          </w:p>
        </w:tc>
        <w:tc>
          <w:tcPr>
            <w:tcW w:w="2126" w:type="dxa"/>
            <w:gridSpan w:val="2"/>
            <w:tcBorders>
              <w:top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60</w:t>
            </w:r>
          </w:p>
        </w:tc>
      </w:tr>
      <w:tr w:rsidR="008470F7" w:rsidRPr="008470F7" w:rsidTr="008470F7">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shd w:val="clear" w:color="auto" w:fill="auto"/>
          </w:tcPr>
          <w:p w:rsidR="008470F7" w:rsidRPr="008470F7" w:rsidRDefault="008470F7" w:rsidP="00E63A6D">
            <w:pPr>
              <w:widowControl/>
              <w:suppressLineNumbers w:val="0"/>
              <w:suppressAutoHyphens w:val="0"/>
              <w:ind w:left="709" w:firstLine="0"/>
              <w:jc w:val="left"/>
              <w:rPr>
                <w:rFonts w:eastAsia="Calibri"/>
                <w:sz w:val="20"/>
              </w:rPr>
            </w:pPr>
            <w:r w:rsidRPr="008470F7">
              <w:rPr>
                <w:rFonts w:eastAsia="Calibri"/>
                <w:sz w:val="20"/>
              </w:rPr>
              <w:t>Métodos Quantitativos Aplicados</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60</w:t>
            </w:r>
          </w:p>
        </w:tc>
      </w:tr>
      <w:tr w:rsidR="008470F7" w:rsidRPr="008470F7" w:rsidTr="008470F7">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shd w:val="clear" w:color="auto" w:fill="auto"/>
          </w:tcPr>
          <w:p w:rsidR="008470F7" w:rsidRPr="008470F7" w:rsidRDefault="008470F7" w:rsidP="00E63A6D">
            <w:pPr>
              <w:widowControl/>
              <w:suppressLineNumbers w:val="0"/>
              <w:suppressAutoHyphens w:val="0"/>
              <w:ind w:left="709" w:firstLine="0"/>
              <w:jc w:val="left"/>
              <w:rPr>
                <w:rFonts w:eastAsia="Calibri"/>
                <w:sz w:val="20"/>
              </w:rPr>
            </w:pPr>
            <w:r w:rsidRPr="008470F7">
              <w:rPr>
                <w:rFonts w:eastAsia="Calibri"/>
                <w:sz w:val="20"/>
              </w:rPr>
              <w:t>Matemática Financeira</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90</w:t>
            </w:r>
          </w:p>
        </w:tc>
      </w:tr>
      <w:tr w:rsidR="008470F7" w:rsidRPr="008470F7" w:rsidTr="008470F7">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shd w:val="clear" w:color="auto" w:fill="auto"/>
          </w:tcPr>
          <w:p w:rsidR="008470F7" w:rsidRPr="008470F7" w:rsidRDefault="008470F7" w:rsidP="00E63A6D">
            <w:pPr>
              <w:widowControl/>
              <w:suppressLineNumbers w:val="0"/>
              <w:suppressAutoHyphens w:val="0"/>
              <w:ind w:left="709" w:firstLine="0"/>
              <w:jc w:val="left"/>
              <w:rPr>
                <w:rFonts w:eastAsia="Calibri"/>
                <w:sz w:val="20"/>
              </w:rPr>
            </w:pPr>
            <w:r w:rsidRPr="008470F7">
              <w:rPr>
                <w:rFonts w:eastAsia="Calibri"/>
                <w:sz w:val="20"/>
              </w:rPr>
              <w:t xml:space="preserve">Comunicação Empresarial </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60</w:t>
            </w:r>
          </w:p>
        </w:tc>
      </w:tr>
      <w:tr w:rsidR="008470F7" w:rsidRPr="008470F7" w:rsidTr="008470F7">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shd w:val="clear" w:color="auto" w:fill="auto"/>
          </w:tcPr>
          <w:p w:rsidR="008470F7" w:rsidRPr="008470F7" w:rsidRDefault="008470F7" w:rsidP="00E63A6D">
            <w:pPr>
              <w:widowControl/>
              <w:suppressLineNumbers w:val="0"/>
              <w:suppressAutoHyphens w:val="0"/>
              <w:ind w:left="709" w:firstLine="0"/>
              <w:jc w:val="left"/>
              <w:rPr>
                <w:rFonts w:eastAsia="Calibri"/>
                <w:sz w:val="20"/>
              </w:rPr>
            </w:pPr>
            <w:r w:rsidRPr="008470F7">
              <w:rPr>
                <w:rFonts w:eastAsia="Calibri"/>
                <w:sz w:val="20"/>
              </w:rPr>
              <w:t>Microeconomia</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60</w:t>
            </w:r>
          </w:p>
        </w:tc>
      </w:tr>
      <w:tr w:rsidR="008470F7" w:rsidRPr="008470F7" w:rsidTr="008470F7">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shd w:val="clear" w:color="auto" w:fill="auto"/>
          </w:tcPr>
          <w:p w:rsidR="008470F7" w:rsidRPr="008470F7" w:rsidRDefault="008470F7" w:rsidP="00E63A6D">
            <w:pPr>
              <w:widowControl/>
              <w:suppressLineNumbers w:val="0"/>
              <w:suppressAutoHyphens w:val="0"/>
              <w:ind w:left="709" w:firstLine="0"/>
              <w:jc w:val="left"/>
              <w:rPr>
                <w:rFonts w:eastAsia="Calibri"/>
                <w:sz w:val="20"/>
              </w:rPr>
            </w:pPr>
            <w:r w:rsidRPr="008470F7">
              <w:rPr>
                <w:rFonts w:eastAsia="Calibri"/>
                <w:sz w:val="20"/>
              </w:rPr>
              <w:t>Macroeconomia</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60</w:t>
            </w:r>
          </w:p>
        </w:tc>
      </w:tr>
      <w:tr w:rsidR="008470F7" w:rsidRPr="008470F7" w:rsidTr="008470F7">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shd w:val="clear" w:color="auto" w:fill="auto"/>
          </w:tcPr>
          <w:p w:rsidR="008470F7" w:rsidRPr="008470F7" w:rsidRDefault="008470F7" w:rsidP="00E63A6D">
            <w:pPr>
              <w:widowControl/>
              <w:suppressLineNumbers w:val="0"/>
              <w:suppressAutoHyphens w:val="0"/>
              <w:ind w:left="709" w:firstLine="0"/>
              <w:jc w:val="left"/>
              <w:rPr>
                <w:rFonts w:eastAsia="Calibri"/>
                <w:sz w:val="20"/>
              </w:rPr>
            </w:pPr>
            <w:r w:rsidRPr="008470F7">
              <w:rPr>
                <w:rFonts w:eastAsia="Calibri"/>
                <w:sz w:val="20"/>
              </w:rPr>
              <w:t>Administração</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60</w:t>
            </w:r>
          </w:p>
        </w:tc>
      </w:tr>
      <w:tr w:rsidR="008470F7" w:rsidRPr="008470F7" w:rsidTr="008470F7">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shd w:val="clear" w:color="auto" w:fill="auto"/>
          </w:tcPr>
          <w:p w:rsidR="008470F7" w:rsidRPr="008470F7" w:rsidRDefault="008470F7" w:rsidP="00E63A6D">
            <w:pPr>
              <w:widowControl/>
              <w:suppressLineNumbers w:val="0"/>
              <w:suppressAutoHyphens w:val="0"/>
              <w:ind w:left="709" w:firstLine="0"/>
              <w:jc w:val="left"/>
              <w:rPr>
                <w:rFonts w:eastAsia="Calibri"/>
                <w:sz w:val="20"/>
              </w:rPr>
            </w:pPr>
            <w:r w:rsidRPr="008470F7">
              <w:rPr>
                <w:rFonts w:eastAsia="Calibri"/>
                <w:sz w:val="20"/>
              </w:rPr>
              <w:t>Instituições de Direito Público e Privado</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60</w:t>
            </w:r>
          </w:p>
        </w:tc>
      </w:tr>
      <w:tr w:rsidR="008470F7" w:rsidRPr="008470F7" w:rsidTr="008470F7">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shd w:val="clear" w:color="auto" w:fill="auto"/>
          </w:tcPr>
          <w:p w:rsidR="008470F7" w:rsidRPr="008470F7" w:rsidRDefault="008470F7" w:rsidP="00E63A6D">
            <w:pPr>
              <w:widowControl/>
              <w:suppressLineNumbers w:val="0"/>
              <w:suppressAutoHyphens w:val="0"/>
              <w:ind w:left="709" w:firstLine="0"/>
              <w:jc w:val="left"/>
              <w:rPr>
                <w:rFonts w:eastAsia="Calibri"/>
                <w:sz w:val="20"/>
              </w:rPr>
            </w:pPr>
            <w:r w:rsidRPr="008470F7">
              <w:rPr>
                <w:rFonts w:eastAsia="Calibri"/>
                <w:sz w:val="20"/>
              </w:rPr>
              <w:t>Direito Comercial e Legislação Societária</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60</w:t>
            </w:r>
          </w:p>
        </w:tc>
      </w:tr>
      <w:tr w:rsidR="008470F7" w:rsidRPr="008470F7" w:rsidTr="008470F7">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shd w:val="clear" w:color="auto" w:fill="auto"/>
          </w:tcPr>
          <w:p w:rsidR="008470F7" w:rsidRPr="008470F7" w:rsidRDefault="008470F7" w:rsidP="00E63A6D">
            <w:pPr>
              <w:widowControl/>
              <w:suppressLineNumbers w:val="0"/>
              <w:suppressAutoHyphens w:val="0"/>
              <w:ind w:left="709" w:firstLine="0"/>
              <w:jc w:val="left"/>
              <w:rPr>
                <w:rFonts w:eastAsia="Calibri"/>
                <w:sz w:val="20"/>
              </w:rPr>
            </w:pPr>
            <w:r w:rsidRPr="008470F7">
              <w:rPr>
                <w:rFonts w:eastAsia="Calibri"/>
                <w:sz w:val="20"/>
              </w:rPr>
              <w:t>Direito Trabalhista e Legislação Social</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60</w:t>
            </w:r>
          </w:p>
        </w:tc>
      </w:tr>
      <w:tr w:rsidR="008470F7" w:rsidRPr="008470F7" w:rsidTr="008470F7">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shd w:val="clear" w:color="auto" w:fill="auto"/>
          </w:tcPr>
          <w:p w:rsidR="008470F7" w:rsidRPr="008470F7" w:rsidRDefault="008470F7" w:rsidP="00E63A6D">
            <w:pPr>
              <w:widowControl/>
              <w:suppressLineNumbers w:val="0"/>
              <w:suppressAutoHyphens w:val="0"/>
              <w:ind w:left="709" w:firstLine="0"/>
              <w:jc w:val="left"/>
              <w:rPr>
                <w:rFonts w:eastAsia="Calibri"/>
                <w:sz w:val="20"/>
              </w:rPr>
            </w:pPr>
            <w:r w:rsidRPr="008470F7">
              <w:rPr>
                <w:rFonts w:eastAsia="Calibri"/>
                <w:sz w:val="20"/>
              </w:rPr>
              <w:t>Direito e Legislação Tributária</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90</w:t>
            </w:r>
          </w:p>
        </w:tc>
      </w:tr>
      <w:tr w:rsidR="008470F7" w:rsidRPr="008470F7" w:rsidTr="008470F7">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shd w:val="clear" w:color="auto" w:fill="auto"/>
          </w:tcPr>
          <w:p w:rsidR="008470F7" w:rsidRPr="008470F7" w:rsidRDefault="008470F7" w:rsidP="00E63A6D">
            <w:pPr>
              <w:widowControl/>
              <w:suppressLineNumbers w:val="0"/>
              <w:suppressAutoHyphens w:val="0"/>
              <w:ind w:left="709" w:firstLine="0"/>
              <w:jc w:val="left"/>
              <w:rPr>
                <w:rFonts w:eastAsia="Calibri"/>
                <w:sz w:val="20"/>
              </w:rPr>
            </w:pPr>
            <w:r w:rsidRPr="008470F7">
              <w:rPr>
                <w:rFonts w:eastAsia="Calibri"/>
                <w:sz w:val="20"/>
              </w:rPr>
              <w:t>Ética e Legislação Profissional</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60</w:t>
            </w:r>
          </w:p>
        </w:tc>
      </w:tr>
      <w:tr w:rsidR="008470F7" w:rsidRPr="008470F7" w:rsidTr="008470F7">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shd w:val="clear" w:color="auto" w:fill="auto"/>
          </w:tcPr>
          <w:p w:rsidR="008470F7" w:rsidRPr="008470F7" w:rsidRDefault="008470F7" w:rsidP="00E63A6D">
            <w:pPr>
              <w:widowControl/>
              <w:suppressLineNumbers w:val="0"/>
              <w:suppressAutoHyphens w:val="0"/>
              <w:ind w:left="709" w:firstLine="0"/>
              <w:jc w:val="left"/>
              <w:rPr>
                <w:rFonts w:eastAsia="Calibri"/>
                <w:sz w:val="20"/>
              </w:rPr>
            </w:pPr>
            <w:r w:rsidRPr="008470F7">
              <w:rPr>
                <w:rFonts w:eastAsia="Calibri"/>
                <w:sz w:val="20"/>
              </w:rPr>
              <w:t>Metodologia do Trabalho Científico</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30</w:t>
            </w:r>
          </w:p>
        </w:tc>
      </w:tr>
      <w:tr w:rsidR="008470F7" w:rsidRPr="008470F7" w:rsidTr="008470F7">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shd w:val="clear" w:color="auto" w:fill="auto"/>
          </w:tcPr>
          <w:p w:rsidR="008470F7" w:rsidRPr="008470F7" w:rsidRDefault="008470F7" w:rsidP="00E63A6D">
            <w:pPr>
              <w:widowControl/>
              <w:suppressLineNumbers w:val="0"/>
              <w:suppressAutoHyphens w:val="0"/>
              <w:ind w:left="709" w:firstLine="0"/>
              <w:jc w:val="left"/>
              <w:rPr>
                <w:rFonts w:eastAsia="Calibri"/>
                <w:sz w:val="20"/>
              </w:rPr>
            </w:pPr>
            <w:r w:rsidRPr="008470F7">
              <w:rPr>
                <w:rFonts w:eastAsia="Calibri"/>
                <w:sz w:val="20"/>
              </w:rPr>
              <w:t>Metodologia da Pesquisa</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60</w:t>
            </w:r>
          </w:p>
        </w:tc>
      </w:tr>
      <w:tr w:rsidR="008470F7" w:rsidRPr="008470F7" w:rsidTr="008470F7">
        <w:tc>
          <w:tcPr>
            <w:tcW w:w="851" w:type="dxa"/>
            <w:vMerge/>
            <w:tcBorders>
              <w:bottom w:val="single" w:sz="4" w:space="0" w:color="auto"/>
            </w:tcBorders>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tcBorders>
              <w:bottom w:val="single" w:sz="4" w:space="0" w:color="auto"/>
            </w:tcBorders>
            <w:shd w:val="clear" w:color="auto" w:fill="auto"/>
          </w:tcPr>
          <w:p w:rsidR="008470F7" w:rsidRPr="008470F7" w:rsidRDefault="008470F7" w:rsidP="00E63A6D">
            <w:pPr>
              <w:widowControl/>
              <w:suppressLineNumbers w:val="0"/>
              <w:suppressAutoHyphens w:val="0"/>
              <w:ind w:left="709" w:firstLine="0"/>
              <w:jc w:val="left"/>
              <w:rPr>
                <w:rFonts w:eastAsia="Calibri"/>
                <w:sz w:val="20"/>
              </w:rPr>
            </w:pPr>
            <w:r w:rsidRPr="008470F7">
              <w:rPr>
                <w:rFonts w:eastAsia="Calibri"/>
                <w:sz w:val="20"/>
              </w:rPr>
              <w:t xml:space="preserve">Psicologia Organizacional </w:t>
            </w:r>
          </w:p>
        </w:tc>
        <w:tc>
          <w:tcPr>
            <w:tcW w:w="2126" w:type="dxa"/>
            <w:gridSpan w:val="2"/>
            <w:tcBorders>
              <w:bottom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30</w:t>
            </w:r>
          </w:p>
        </w:tc>
      </w:tr>
      <w:tr w:rsidR="008470F7" w:rsidRPr="008470F7" w:rsidTr="00A37CFD">
        <w:trPr>
          <w:trHeight w:val="203"/>
        </w:trPr>
        <w:tc>
          <w:tcPr>
            <w:tcW w:w="851" w:type="dxa"/>
            <w:tcBorders>
              <w:top w:val="single" w:sz="4" w:space="0" w:color="auto"/>
              <w:bottom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left"/>
              <w:rPr>
                <w:sz w:val="20"/>
              </w:rPr>
            </w:pPr>
          </w:p>
        </w:tc>
        <w:tc>
          <w:tcPr>
            <w:tcW w:w="6095" w:type="dxa"/>
            <w:gridSpan w:val="4"/>
            <w:tcBorders>
              <w:top w:val="single" w:sz="4" w:space="0" w:color="auto"/>
              <w:bottom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left"/>
              <w:rPr>
                <w:b/>
                <w:sz w:val="20"/>
              </w:rPr>
            </w:pPr>
            <w:r w:rsidRPr="008470F7">
              <w:rPr>
                <w:b/>
                <w:sz w:val="20"/>
              </w:rPr>
              <w:t>SUBTOTAL</w:t>
            </w:r>
          </w:p>
        </w:tc>
        <w:tc>
          <w:tcPr>
            <w:tcW w:w="2126" w:type="dxa"/>
            <w:gridSpan w:val="2"/>
            <w:tcBorders>
              <w:top w:val="single" w:sz="4" w:space="0" w:color="auto"/>
              <w:bottom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center"/>
              <w:rPr>
                <w:b/>
                <w:sz w:val="20"/>
              </w:rPr>
            </w:pPr>
            <w:r w:rsidRPr="008470F7">
              <w:rPr>
                <w:b/>
                <w:sz w:val="20"/>
              </w:rPr>
              <w:t>900</w:t>
            </w:r>
          </w:p>
        </w:tc>
      </w:tr>
      <w:tr w:rsidR="008470F7" w:rsidRPr="008470F7" w:rsidTr="00A37CFD">
        <w:trPr>
          <w:trHeight w:val="249"/>
        </w:trPr>
        <w:tc>
          <w:tcPr>
            <w:tcW w:w="851" w:type="dxa"/>
            <w:tcBorders>
              <w:top w:val="single" w:sz="4" w:space="0" w:color="auto"/>
              <w:bottom w:val="single" w:sz="4" w:space="0" w:color="auto"/>
            </w:tcBorders>
            <w:shd w:val="clear" w:color="auto" w:fill="auto"/>
            <w:vAlign w:val="center"/>
          </w:tcPr>
          <w:p w:rsidR="008470F7" w:rsidRPr="008470F7" w:rsidRDefault="008470F7" w:rsidP="00E63A6D">
            <w:pPr>
              <w:widowControl/>
              <w:suppressLineNumbers w:val="0"/>
              <w:tabs>
                <w:tab w:val="left" w:pos="632"/>
              </w:tabs>
              <w:suppressAutoHyphens w:val="0"/>
              <w:ind w:firstLine="0"/>
              <w:jc w:val="center"/>
              <w:rPr>
                <w:sz w:val="20"/>
              </w:rPr>
            </w:pPr>
            <w:r w:rsidRPr="008470F7">
              <w:rPr>
                <w:sz w:val="20"/>
              </w:rPr>
              <w:t>Eixo</w:t>
            </w:r>
          </w:p>
        </w:tc>
        <w:tc>
          <w:tcPr>
            <w:tcW w:w="6095" w:type="dxa"/>
            <w:gridSpan w:val="4"/>
            <w:tcBorders>
              <w:top w:val="single" w:sz="4" w:space="0" w:color="auto"/>
              <w:bottom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center"/>
              <w:rPr>
                <w:sz w:val="20"/>
              </w:rPr>
            </w:pPr>
            <w:r w:rsidRPr="008470F7">
              <w:rPr>
                <w:sz w:val="20"/>
              </w:rPr>
              <w:t>Disciplina</w:t>
            </w:r>
          </w:p>
        </w:tc>
        <w:tc>
          <w:tcPr>
            <w:tcW w:w="2126" w:type="dxa"/>
            <w:gridSpan w:val="2"/>
            <w:tcBorders>
              <w:top w:val="single" w:sz="4" w:space="0" w:color="auto"/>
              <w:bottom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center"/>
              <w:rPr>
                <w:sz w:val="20"/>
              </w:rPr>
            </w:pPr>
            <w:r w:rsidRPr="008470F7">
              <w:rPr>
                <w:sz w:val="20"/>
              </w:rPr>
              <w:t>Carga Horária</w:t>
            </w:r>
          </w:p>
        </w:tc>
      </w:tr>
      <w:tr w:rsidR="008470F7" w:rsidRPr="008470F7" w:rsidTr="008470F7">
        <w:tc>
          <w:tcPr>
            <w:tcW w:w="851" w:type="dxa"/>
            <w:vMerge w:val="restart"/>
            <w:tcBorders>
              <w:top w:val="single" w:sz="4" w:space="0" w:color="auto"/>
            </w:tcBorders>
            <w:shd w:val="clear" w:color="auto" w:fill="auto"/>
            <w:textDirection w:val="btLr"/>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FORMAÇÃO PROFISSIONAL</w:t>
            </w:r>
          </w:p>
          <w:p w:rsidR="008470F7" w:rsidRPr="008470F7" w:rsidRDefault="008470F7" w:rsidP="00E63A6D">
            <w:pPr>
              <w:widowControl/>
              <w:suppressLineNumbers w:val="0"/>
              <w:suppressAutoHyphens w:val="0"/>
              <w:ind w:left="113" w:right="113" w:firstLine="0"/>
              <w:jc w:val="center"/>
              <w:rPr>
                <w:sz w:val="20"/>
              </w:rPr>
            </w:pPr>
          </w:p>
        </w:tc>
        <w:tc>
          <w:tcPr>
            <w:tcW w:w="6095" w:type="dxa"/>
            <w:gridSpan w:val="4"/>
            <w:tcBorders>
              <w:top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left"/>
              <w:rPr>
                <w:color w:val="000000"/>
                <w:sz w:val="20"/>
              </w:rPr>
            </w:pPr>
            <w:r w:rsidRPr="008470F7">
              <w:rPr>
                <w:color w:val="000000"/>
                <w:sz w:val="20"/>
              </w:rPr>
              <w:t xml:space="preserve">Contabilidade </w:t>
            </w:r>
            <w:r w:rsidRPr="008470F7">
              <w:rPr>
                <w:sz w:val="20"/>
              </w:rPr>
              <w:t>Introdutória</w:t>
            </w:r>
          </w:p>
        </w:tc>
        <w:tc>
          <w:tcPr>
            <w:tcW w:w="2126" w:type="dxa"/>
            <w:gridSpan w:val="2"/>
            <w:tcBorders>
              <w:top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120</w:t>
            </w:r>
          </w:p>
        </w:tc>
      </w:tr>
      <w:tr w:rsidR="008470F7" w:rsidRPr="008470F7" w:rsidTr="008470F7">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shd w:val="clear" w:color="auto" w:fill="auto"/>
            <w:vAlign w:val="center"/>
          </w:tcPr>
          <w:p w:rsidR="008470F7" w:rsidRPr="008470F7" w:rsidRDefault="008470F7" w:rsidP="00E63A6D">
            <w:pPr>
              <w:widowControl/>
              <w:suppressLineNumbers w:val="0"/>
              <w:suppressAutoHyphens w:val="0"/>
              <w:ind w:left="709" w:firstLine="0"/>
              <w:jc w:val="left"/>
              <w:rPr>
                <w:color w:val="000000"/>
                <w:sz w:val="20"/>
              </w:rPr>
            </w:pPr>
            <w:r w:rsidRPr="008470F7">
              <w:rPr>
                <w:sz w:val="20"/>
              </w:rPr>
              <w:t>Contabilidade Intermediária</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sz w:val="20"/>
              </w:rPr>
              <w:t>120</w:t>
            </w:r>
          </w:p>
        </w:tc>
      </w:tr>
      <w:tr w:rsidR="008470F7" w:rsidRPr="008470F7" w:rsidTr="008470F7">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shd w:val="clear" w:color="auto" w:fill="auto"/>
            <w:vAlign w:val="center"/>
          </w:tcPr>
          <w:p w:rsidR="008470F7" w:rsidRPr="008470F7" w:rsidRDefault="008470F7" w:rsidP="00E63A6D">
            <w:pPr>
              <w:widowControl/>
              <w:suppressLineNumbers w:val="0"/>
              <w:suppressAutoHyphens w:val="0"/>
              <w:ind w:left="709" w:firstLine="0"/>
              <w:jc w:val="left"/>
              <w:rPr>
                <w:color w:val="000000"/>
                <w:sz w:val="20"/>
              </w:rPr>
            </w:pPr>
            <w:r w:rsidRPr="008470F7">
              <w:rPr>
                <w:color w:val="000000"/>
                <w:sz w:val="20"/>
              </w:rPr>
              <w:t xml:space="preserve">Contabilidade </w:t>
            </w:r>
            <w:r w:rsidRPr="008470F7">
              <w:rPr>
                <w:sz w:val="20"/>
              </w:rPr>
              <w:t>Avançada</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120</w:t>
            </w:r>
          </w:p>
        </w:tc>
      </w:tr>
      <w:tr w:rsidR="008470F7" w:rsidRPr="008470F7" w:rsidTr="008470F7">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shd w:val="clear" w:color="auto" w:fill="auto"/>
            <w:vAlign w:val="center"/>
          </w:tcPr>
          <w:p w:rsidR="008470F7" w:rsidRPr="008470F7" w:rsidRDefault="008470F7" w:rsidP="00E63A6D">
            <w:pPr>
              <w:widowControl/>
              <w:suppressLineNumbers w:val="0"/>
              <w:suppressAutoHyphens w:val="0"/>
              <w:ind w:left="709" w:firstLine="0"/>
              <w:jc w:val="left"/>
              <w:rPr>
                <w:sz w:val="20"/>
              </w:rPr>
            </w:pPr>
            <w:r w:rsidRPr="008470F7">
              <w:rPr>
                <w:sz w:val="20"/>
              </w:rPr>
              <w:t xml:space="preserve">Teoria da Contabilidade </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60</w:t>
            </w:r>
          </w:p>
        </w:tc>
      </w:tr>
      <w:tr w:rsidR="008470F7" w:rsidRPr="008470F7" w:rsidTr="008470F7">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shd w:val="clear" w:color="auto" w:fill="auto"/>
            <w:vAlign w:val="center"/>
          </w:tcPr>
          <w:p w:rsidR="008470F7" w:rsidRPr="008470F7" w:rsidRDefault="008470F7" w:rsidP="00E63A6D">
            <w:pPr>
              <w:widowControl/>
              <w:suppressLineNumbers w:val="0"/>
              <w:suppressAutoHyphens w:val="0"/>
              <w:ind w:left="709" w:firstLine="0"/>
              <w:jc w:val="left"/>
              <w:rPr>
                <w:color w:val="000000"/>
                <w:sz w:val="20"/>
              </w:rPr>
            </w:pPr>
            <w:r w:rsidRPr="008470F7">
              <w:rPr>
                <w:color w:val="000000"/>
                <w:sz w:val="20"/>
              </w:rPr>
              <w:t>Perícia, Avaliação e Arbitragem</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60</w:t>
            </w:r>
          </w:p>
        </w:tc>
      </w:tr>
      <w:tr w:rsidR="008470F7" w:rsidRPr="008470F7" w:rsidTr="008470F7">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shd w:val="clear" w:color="auto" w:fill="auto"/>
            <w:vAlign w:val="center"/>
          </w:tcPr>
          <w:p w:rsidR="008470F7" w:rsidRPr="008470F7" w:rsidRDefault="008470F7" w:rsidP="00E63A6D">
            <w:pPr>
              <w:widowControl/>
              <w:suppressLineNumbers w:val="0"/>
              <w:suppressAutoHyphens w:val="0"/>
              <w:ind w:left="709" w:firstLine="0"/>
              <w:jc w:val="left"/>
              <w:rPr>
                <w:color w:val="000000"/>
                <w:sz w:val="20"/>
              </w:rPr>
            </w:pPr>
            <w:r w:rsidRPr="008470F7">
              <w:rPr>
                <w:color w:val="000000"/>
                <w:sz w:val="20"/>
              </w:rPr>
              <w:t xml:space="preserve">Contabilidade </w:t>
            </w:r>
            <w:r w:rsidRPr="008470F7">
              <w:rPr>
                <w:sz w:val="20"/>
              </w:rPr>
              <w:t>de Custos</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sz w:val="20"/>
              </w:rPr>
              <w:t>60</w:t>
            </w:r>
          </w:p>
        </w:tc>
      </w:tr>
      <w:tr w:rsidR="008470F7" w:rsidRPr="008470F7" w:rsidTr="008470F7">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shd w:val="clear" w:color="auto" w:fill="auto"/>
            <w:vAlign w:val="center"/>
          </w:tcPr>
          <w:p w:rsidR="008470F7" w:rsidRPr="008470F7" w:rsidRDefault="008470F7" w:rsidP="00E63A6D">
            <w:pPr>
              <w:widowControl/>
              <w:suppressLineNumbers w:val="0"/>
              <w:suppressAutoHyphens w:val="0"/>
              <w:ind w:left="709" w:firstLine="0"/>
              <w:jc w:val="left"/>
              <w:rPr>
                <w:color w:val="000000"/>
                <w:sz w:val="20"/>
              </w:rPr>
            </w:pPr>
            <w:r w:rsidRPr="008470F7">
              <w:rPr>
                <w:sz w:val="20"/>
              </w:rPr>
              <w:t>Gestão Estratégica de Custos</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60</w:t>
            </w:r>
          </w:p>
        </w:tc>
      </w:tr>
      <w:tr w:rsidR="008470F7" w:rsidRPr="008470F7" w:rsidTr="008470F7">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shd w:val="clear" w:color="auto" w:fill="auto"/>
            <w:vAlign w:val="center"/>
          </w:tcPr>
          <w:p w:rsidR="008470F7" w:rsidRPr="008470F7" w:rsidRDefault="008470F7" w:rsidP="00E63A6D">
            <w:pPr>
              <w:widowControl/>
              <w:suppressLineNumbers w:val="0"/>
              <w:suppressAutoHyphens w:val="0"/>
              <w:ind w:left="709" w:firstLine="0"/>
              <w:jc w:val="left"/>
              <w:rPr>
                <w:color w:val="000000"/>
                <w:sz w:val="20"/>
              </w:rPr>
            </w:pPr>
            <w:r w:rsidRPr="008470F7">
              <w:rPr>
                <w:sz w:val="20"/>
              </w:rPr>
              <w:t>Auditoria</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sz w:val="20"/>
              </w:rPr>
              <w:t>120</w:t>
            </w:r>
          </w:p>
        </w:tc>
      </w:tr>
      <w:tr w:rsidR="008470F7" w:rsidRPr="008470F7" w:rsidTr="008470F7">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shd w:val="clear" w:color="auto" w:fill="auto"/>
            <w:vAlign w:val="center"/>
          </w:tcPr>
          <w:p w:rsidR="008470F7" w:rsidRPr="008470F7" w:rsidRDefault="008470F7" w:rsidP="00E63A6D">
            <w:pPr>
              <w:widowControl/>
              <w:suppressLineNumbers w:val="0"/>
              <w:suppressAutoHyphens w:val="0"/>
              <w:ind w:left="709" w:firstLine="0"/>
              <w:jc w:val="left"/>
              <w:rPr>
                <w:color w:val="000000"/>
                <w:sz w:val="20"/>
              </w:rPr>
            </w:pPr>
            <w:r w:rsidRPr="008470F7">
              <w:rPr>
                <w:sz w:val="20"/>
              </w:rPr>
              <w:t>Controladoria</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sz w:val="20"/>
              </w:rPr>
              <w:t>60</w:t>
            </w:r>
          </w:p>
        </w:tc>
      </w:tr>
      <w:tr w:rsidR="008470F7" w:rsidRPr="008470F7" w:rsidTr="008470F7">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shd w:val="clear" w:color="auto" w:fill="auto"/>
            <w:vAlign w:val="center"/>
          </w:tcPr>
          <w:p w:rsidR="008470F7" w:rsidRPr="008470F7" w:rsidRDefault="008470F7" w:rsidP="00E63A6D">
            <w:pPr>
              <w:widowControl/>
              <w:suppressLineNumbers w:val="0"/>
              <w:suppressAutoHyphens w:val="0"/>
              <w:ind w:left="709" w:firstLine="0"/>
              <w:jc w:val="left"/>
              <w:rPr>
                <w:color w:val="000000"/>
                <w:sz w:val="20"/>
              </w:rPr>
            </w:pPr>
            <w:r w:rsidRPr="008470F7">
              <w:rPr>
                <w:sz w:val="20"/>
              </w:rPr>
              <w:t>Finanças Públicas</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60</w:t>
            </w:r>
          </w:p>
        </w:tc>
      </w:tr>
      <w:tr w:rsidR="008470F7" w:rsidRPr="008470F7" w:rsidTr="008470F7">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shd w:val="clear" w:color="auto" w:fill="auto"/>
            <w:vAlign w:val="center"/>
          </w:tcPr>
          <w:p w:rsidR="008470F7" w:rsidRPr="008470F7" w:rsidRDefault="008470F7" w:rsidP="00E63A6D">
            <w:pPr>
              <w:widowControl/>
              <w:suppressLineNumbers w:val="0"/>
              <w:suppressAutoHyphens w:val="0"/>
              <w:ind w:left="709" w:firstLine="0"/>
              <w:jc w:val="left"/>
              <w:rPr>
                <w:color w:val="000000"/>
                <w:sz w:val="20"/>
              </w:rPr>
            </w:pPr>
            <w:r w:rsidRPr="008470F7">
              <w:rPr>
                <w:sz w:val="20"/>
              </w:rPr>
              <w:t>Contabilidade Aplicada ao Setor Público</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sz w:val="20"/>
              </w:rPr>
              <w:t>120</w:t>
            </w:r>
          </w:p>
        </w:tc>
      </w:tr>
      <w:tr w:rsidR="008470F7" w:rsidRPr="008470F7" w:rsidTr="008470F7">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shd w:val="clear" w:color="auto" w:fill="auto"/>
            <w:vAlign w:val="center"/>
          </w:tcPr>
          <w:p w:rsidR="008470F7" w:rsidRPr="008470F7" w:rsidRDefault="008470F7" w:rsidP="00E63A6D">
            <w:pPr>
              <w:widowControl/>
              <w:suppressLineNumbers w:val="0"/>
              <w:suppressAutoHyphens w:val="0"/>
              <w:ind w:left="709" w:firstLine="0"/>
              <w:jc w:val="left"/>
              <w:rPr>
                <w:color w:val="000000"/>
                <w:sz w:val="20"/>
              </w:rPr>
            </w:pPr>
            <w:r w:rsidRPr="008470F7">
              <w:rPr>
                <w:sz w:val="20"/>
              </w:rPr>
              <w:t>Planejamento e Contabilidade Tributária</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sz w:val="20"/>
              </w:rPr>
              <w:t>60</w:t>
            </w:r>
          </w:p>
        </w:tc>
      </w:tr>
      <w:tr w:rsidR="008470F7" w:rsidRPr="008470F7" w:rsidTr="008470F7">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shd w:val="clear" w:color="auto" w:fill="auto"/>
            <w:vAlign w:val="center"/>
          </w:tcPr>
          <w:p w:rsidR="008470F7" w:rsidRPr="008470F7" w:rsidRDefault="008470F7" w:rsidP="00E63A6D">
            <w:pPr>
              <w:widowControl/>
              <w:suppressLineNumbers w:val="0"/>
              <w:suppressAutoHyphens w:val="0"/>
              <w:ind w:left="709" w:firstLine="0"/>
              <w:jc w:val="left"/>
              <w:rPr>
                <w:color w:val="000000"/>
                <w:sz w:val="20"/>
              </w:rPr>
            </w:pPr>
            <w:r w:rsidRPr="008470F7">
              <w:rPr>
                <w:sz w:val="20"/>
              </w:rPr>
              <w:t>Planejamento e Orçamento Empresarial</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60</w:t>
            </w:r>
          </w:p>
        </w:tc>
      </w:tr>
      <w:tr w:rsidR="008470F7" w:rsidRPr="008470F7" w:rsidTr="008470F7">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shd w:val="clear" w:color="auto" w:fill="auto"/>
            <w:vAlign w:val="center"/>
          </w:tcPr>
          <w:p w:rsidR="008470F7" w:rsidRPr="008470F7" w:rsidRDefault="008470F7" w:rsidP="00E63A6D">
            <w:pPr>
              <w:widowControl/>
              <w:suppressLineNumbers w:val="0"/>
              <w:suppressAutoHyphens w:val="0"/>
              <w:ind w:left="709" w:firstLine="0"/>
              <w:jc w:val="left"/>
              <w:rPr>
                <w:color w:val="000000"/>
                <w:sz w:val="20"/>
              </w:rPr>
            </w:pPr>
            <w:r w:rsidRPr="008470F7">
              <w:rPr>
                <w:sz w:val="20"/>
              </w:rPr>
              <w:t>Análise das Demonstrações Contábeis</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60</w:t>
            </w:r>
          </w:p>
        </w:tc>
      </w:tr>
      <w:tr w:rsidR="008470F7" w:rsidRPr="008470F7" w:rsidTr="008470F7">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shd w:val="clear" w:color="auto" w:fill="auto"/>
            <w:vAlign w:val="center"/>
          </w:tcPr>
          <w:p w:rsidR="008470F7" w:rsidRPr="008470F7" w:rsidRDefault="008470F7" w:rsidP="00E63A6D">
            <w:pPr>
              <w:widowControl/>
              <w:suppressLineNumbers w:val="0"/>
              <w:suppressAutoHyphens w:val="0"/>
              <w:ind w:left="709" w:firstLine="0"/>
              <w:jc w:val="left"/>
              <w:rPr>
                <w:color w:val="000000"/>
                <w:sz w:val="20"/>
              </w:rPr>
            </w:pPr>
            <w:r w:rsidRPr="008470F7">
              <w:rPr>
                <w:sz w:val="20"/>
              </w:rPr>
              <w:t>Empreendedorismo</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60</w:t>
            </w:r>
          </w:p>
        </w:tc>
      </w:tr>
      <w:tr w:rsidR="008470F7" w:rsidRPr="008470F7" w:rsidTr="008470F7">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shd w:val="clear" w:color="auto" w:fill="auto"/>
            <w:vAlign w:val="center"/>
          </w:tcPr>
          <w:p w:rsidR="008470F7" w:rsidRPr="008470F7" w:rsidRDefault="008470F7" w:rsidP="00E63A6D">
            <w:pPr>
              <w:widowControl/>
              <w:suppressLineNumbers w:val="0"/>
              <w:suppressAutoHyphens w:val="0"/>
              <w:ind w:left="709" w:firstLine="0"/>
              <w:jc w:val="left"/>
              <w:rPr>
                <w:color w:val="000000"/>
                <w:sz w:val="20"/>
              </w:rPr>
            </w:pPr>
            <w:r w:rsidRPr="008470F7">
              <w:rPr>
                <w:sz w:val="20"/>
              </w:rPr>
              <w:t>Mercado de Capitais</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60</w:t>
            </w:r>
          </w:p>
        </w:tc>
      </w:tr>
      <w:tr w:rsidR="008470F7" w:rsidRPr="008470F7" w:rsidTr="008470F7">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shd w:val="clear" w:color="auto" w:fill="auto"/>
            <w:vAlign w:val="center"/>
          </w:tcPr>
          <w:p w:rsidR="008470F7" w:rsidRPr="008470F7" w:rsidRDefault="008470F7" w:rsidP="00E63A6D">
            <w:pPr>
              <w:widowControl/>
              <w:suppressLineNumbers w:val="0"/>
              <w:suppressAutoHyphens w:val="0"/>
              <w:ind w:left="709" w:firstLine="0"/>
              <w:jc w:val="left"/>
              <w:rPr>
                <w:color w:val="000000"/>
                <w:sz w:val="20"/>
              </w:rPr>
            </w:pPr>
            <w:r w:rsidRPr="008470F7">
              <w:rPr>
                <w:sz w:val="20"/>
              </w:rPr>
              <w:t>Finanças Corporativas</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60</w:t>
            </w:r>
          </w:p>
        </w:tc>
      </w:tr>
      <w:tr w:rsidR="008470F7" w:rsidRPr="008470F7" w:rsidTr="008470F7">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shd w:val="clear" w:color="auto" w:fill="auto"/>
            <w:vAlign w:val="center"/>
          </w:tcPr>
          <w:p w:rsidR="008470F7" w:rsidRPr="008470F7" w:rsidRDefault="008470F7" w:rsidP="00E63A6D">
            <w:pPr>
              <w:widowControl/>
              <w:suppressLineNumbers w:val="0"/>
              <w:suppressAutoHyphens w:val="0"/>
              <w:ind w:left="709" w:firstLine="0"/>
              <w:jc w:val="left"/>
              <w:rPr>
                <w:color w:val="000000"/>
                <w:sz w:val="20"/>
              </w:rPr>
            </w:pPr>
            <w:r w:rsidRPr="008470F7">
              <w:rPr>
                <w:sz w:val="20"/>
              </w:rPr>
              <w:t>Sistemas de Informação Gerencial</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60</w:t>
            </w:r>
          </w:p>
        </w:tc>
      </w:tr>
      <w:tr w:rsidR="008470F7" w:rsidRPr="008470F7" w:rsidTr="008470F7">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shd w:val="clear" w:color="auto" w:fill="auto"/>
            <w:vAlign w:val="center"/>
          </w:tcPr>
          <w:p w:rsidR="008470F7" w:rsidRPr="008470F7" w:rsidRDefault="008470F7" w:rsidP="00E63A6D">
            <w:pPr>
              <w:widowControl/>
              <w:suppressLineNumbers w:val="0"/>
              <w:suppressAutoHyphens w:val="0"/>
              <w:ind w:left="709" w:firstLine="0"/>
              <w:jc w:val="left"/>
              <w:rPr>
                <w:color w:val="000000"/>
                <w:sz w:val="20"/>
              </w:rPr>
            </w:pPr>
            <w:r w:rsidRPr="008470F7">
              <w:rPr>
                <w:sz w:val="20"/>
              </w:rPr>
              <w:t>Optativa</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60</w:t>
            </w:r>
          </w:p>
        </w:tc>
      </w:tr>
      <w:tr w:rsidR="008470F7" w:rsidRPr="008470F7" w:rsidTr="008470F7">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shd w:val="clear" w:color="auto" w:fill="auto"/>
            <w:vAlign w:val="center"/>
          </w:tcPr>
          <w:p w:rsidR="008470F7" w:rsidRPr="008470F7" w:rsidRDefault="008470F7" w:rsidP="00E63A6D">
            <w:pPr>
              <w:widowControl/>
              <w:suppressLineNumbers w:val="0"/>
              <w:suppressAutoHyphens w:val="0"/>
              <w:ind w:left="709" w:firstLine="0"/>
              <w:jc w:val="left"/>
              <w:rPr>
                <w:color w:val="000000"/>
                <w:sz w:val="20"/>
              </w:rPr>
            </w:pPr>
            <w:r w:rsidRPr="008470F7">
              <w:rPr>
                <w:color w:val="000000"/>
                <w:sz w:val="20"/>
              </w:rPr>
              <w:t xml:space="preserve">Optativa </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60</w:t>
            </w:r>
          </w:p>
        </w:tc>
      </w:tr>
      <w:tr w:rsidR="008470F7" w:rsidRPr="008470F7" w:rsidTr="008470F7">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shd w:val="clear" w:color="auto" w:fill="auto"/>
            <w:vAlign w:val="center"/>
          </w:tcPr>
          <w:p w:rsidR="008470F7" w:rsidRPr="008470F7" w:rsidRDefault="008470F7" w:rsidP="00E63A6D">
            <w:pPr>
              <w:widowControl/>
              <w:suppressLineNumbers w:val="0"/>
              <w:suppressAutoHyphens w:val="0"/>
              <w:ind w:left="709" w:firstLine="0"/>
              <w:jc w:val="left"/>
              <w:rPr>
                <w:color w:val="000000"/>
                <w:sz w:val="20"/>
              </w:rPr>
            </w:pPr>
            <w:r w:rsidRPr="008470F7">
              <w:rPr>
                <w:color w:val="000000"/>
                <w:sz w:val="20"/>
              </w:rPr>
              <w:t xml:space="preserve">Optativa </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60</w:t>
            </w:r>
          </w:p>
        </w:tc>
      </w:tr>
      <w:tr w:rsidR="008470F7" w:rsidRPr="008470F7" w:rsidTr="008470F7">
        <w:tc>
          <w:tcPr>
            <w:tcW w:w="851" w:type="dxa"/>
            <w:tcBorders>
              <w:bottom w:val="single" w:sz="4" w:space="0" w:color="auto"/>
            </w:tcBorders>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tcBorders>
              <w:bottom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left"/>
              <w:rPr>
                <w:color w:val="000000"/>
                <w:sz w:val="20"/>
              </w:rPr>
            </w:pPr>
            <w:r w:rsidRPr="008470F7">
              <w:rPr>
                <w:color w:val="000000"/>
                <w:sz w:val="20"/>
              </w:rPr>
              <w:t xml:space="preserve">Optativa </w:t>
            </w:r>
          </w:p>
        </w:tc>
        <w:tc>
          <w:tcPr>
            <w:tcW w:w="2126" w:type="dxa"/>
            <w:gridSpan w:val="2"/>
            <w:tcBorders>
              <w:bottom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60</w:t>
            </w:r>
          </w:p>
        </w:tc>
      </w:tr>
      <w:tr w:rsidR="008470F7" w:rsidRPr="008470F7" w:rsidTr="00A37CFD">
        <w:trPr>
          <w:trHeight w:val="293"/>
        </w:trPr>
        <w:tc>
          <w:tcPr>
            <w:tcW w:w="851" w:type="dxa"/>
            <w:tcBorders>
              <w:top w:val="single" w:sz="4" w:space="0" w:color="auto"/>
              <w:bottom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left"/>
              <w:rPr>
                <w:sz w:val="20"/>
              </w:rPr>
            </w:pPr>
          </w:p>
        </w:tc>
        <w:tc>
          <w:tcPr>
            <w:tcW w:w="6095" w:type="dxa"/>
            <w:gridSpan w:val="4"/>
            <w:tcBorders>
              <w:top w:val="single" w:sz="4" w:space="0" w:color="auto"/>
              <w:bottom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left"/>
              <w:rPr>
                <w:b/>
                <w:sz w:val="20"/>
              </w:rPr>
            </w:pPr>
            <w:r w:rsidRPr="008470F7">
              <w:rPr>
                <w:b/>
                <w:sz w:val="20"/>
              </w:rPr>
              <w:t>SUBTOTAL</w:t>
            </w:r>
          </w:p>
        </w:tc>
        <w:tc>
          <w:tcPr>
            <w:tcW w:w="2126" w:type="dxa"/>
            <w:gridSpan w:val="2"/>
            <w:tcBorders>
              <w:top w:val="single" w:sz="4" w:space="0" w:color="auto"/>
              <w:bottom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center"/>
              <w:rPr>
                <w:b/>
                <w:sz w:val="20"/>
              </w:rPr>
            </w:pPr>
            <w:r w:rsidRPr="008470F7">
              <w:rPr>
                <w:b/>
                <w:sz w:val="20"/>
              </w:rPr>
              <w:t>1620</w:t>
            </w:r>
          </w:p>
        </w:tc>
      </w:tr>
      <w:tr w:rsidR="008470F7" w:rsidRPr="008470F7" w:rsidTr="00A37CFD">
        <w:trPr>
          <w:trHeight w:val="208"/>
        </w:trPr>
        <w:tc>
          <w:tcPr>
            <w:tcW w:w="851" w:type="dxa"/>
            <w:tcBorders>
              <w:top w:val="single" w:sz="4" w:space="0" w:color="auto"/>
              <w:bottom w:val="single" w:sz="4" w:space="0" w:color="auto"/>
            </w:tcBorders>
            <w:shd w:val="clear" w:color="auto" w:fill="auto"/>
            <w:vAlign w:val="center"/>
          </w:tcPr>
          <w:p w:rsidR="008470F7" w:rsidRPr="008470F7" w:rsidRDefault="008470F7" w:rsidP="00E63A6D">
            <w:pPr>
              <w:widowControl/>
              <w:suppressLineNumbers w:val="0"/>
              <w:suppressAutoHyphens w:val="0"/>
              <w:ind w:firstLine="0"/>
              <w:jc w:val="center"/>
              <w:rPr>
                <w:sz w:val="12"/>
              </w:rPr>
            </w:pPr>
            <w:r w:rsidRPr="008470F7">
              <w:rPr>
                <w:sz w:val="20"/>
              </w:rPr>
              <w:t>Eixo</w:t>
            </w:r>
          </w:p>
        </w:tc>
        <w:tc>
          <w:tcPr>
            <w:tcW w:w="6095" w:type="dxa"/>
            <w:gridSpan w:val="4"/>
            <w:tcBorders>
              <w:top w:val="single" w:sz="4" w:space="0" w:color="auto"/>
              <w:bottom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center"/>
              <w:rPr>
                <w:sz w:val="20"/>
              </w:rPr>
            </w:pPr>
            <w:r w:rsidRPr="008470F7">
              <w:rPr>
                <w:sz w:val="20"/>
              </w:rPr>
              <w:t>Disciplina</w:t>
            </w:r>
          </w:p>
        </w:tc>
        <w:tc>
          <w:tcPr>
            <w:tcW w:w="2126" w:type="dxa"/>
            <w:gridSpan w:val="2"/>
            <w:tcBorders>
              <w:top w:val="single" w:sz="4" w:space="0" w:color="auto"/>
              <w:bottom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center"/>
              <w:rPr>
                <w:sz w:val="20"/>
              </w:rPr>
            </w:pPr>
            <w:r w:rsidRPr="008470F7">
              <w:rPr>
                <w:sz w:val="20"/>
              </w:rPr>
              <w:t>Carga Horária</w:t>
            </w:r>
          </w:p>
        </w:tc>
      </w:tr>
      <w:tr w:rsidR="008470F7" w:rsidRPr="008470F7" w:rsidTr="008470F7">
        <w:tc>
          <w:tcPr>
            <w:tcW w:w="851" w:type="dxa"/>
            <w:vMerge w:val="restart"/>
            <w:shd w:val="clear" w:color="auto" w:fill="auto"/>
            <w:textDirection w:val="btLr"/>
          </w:tcPr>
          <w:p w:rsidR="008470F7" w:rsidRPr="008470F7" w:rsidRDefault="008470F7" w:rsidP="00E63A6D">
            <w:pPr>
              <w:widowControl/>
              <w:suppressLineNumbers w:val="0"/>
              <w:suppressAutoHyphens w:val="0"/>
              <w:ind w:firstLine="0"/>
              <w:jc w:val="center"/>
              <w:rPr>
                <w:sz w:val="20"/>
              </w:rPr>
            </w:pPr>
            <w:r w:rsidRPr="008470F7">
              <w:rPr>
                <w:sz w:val="20"/>
              </w:rPr>
              <w:t>FORMAÇÃO TEÓRICO-PRÁTICA</w:t>
            </w:r>
          </w:p>
        </w:tc>
        <w:tc>
          <w:tcPr>
            <w:tcW w:w="6095" w:type="dxa"/>
            <w:gridSpan w:val="4"/>
            <w:shd w:val="clear" w:color="auto" w:fill="auto"/>
            <w:vAlign w:val="center"/>
          </w:tcPr>
          <w:p w:rsidR="008470F7" w:rsidRPr="008470F7" w:rsidRDefault="008470F7" w:rsidP="00E63A6D">
            <w:pPr>
              <w:widowControl/>
              <w:suppressLineNumbers w:val="0"/>
              <w:suppressAutoHyphens w:val="0"/>
              <w:ind w:left="709" w:firstLine="0"/>
              <w:jc w:val="left"/>
              <w:rPr>
                <w:color w:val="000000"/>
                <w:sz w:val="20"/>
              </w:rPr>
            </w:pP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p>
        </w:tc>
      </w:tr>
      <w:tr w:rsidR="008470F7" w:rsidRPr="008470F7" w:rsidTr="00A37CFD">
        <w:trPr>
          <w:trHeight w:val="174"/>
        </w:trPr>
        <w:tc>
          <w:tcPr>
            <w:tcW w:w="851" w:type="dxa"/>
            <w:vMerge/>
            <w:shd w:val="clear" w:color="auto" w:fill="auto"/>
            <w:textDirection w:val="btLr"/>
          </w:tcPr>
          <w:p w:rsidR="008470F7" w:rsidRPr="008470F7" w:rsidRDefault="008470F7" w:rsidP="00E63A6D">
            <w:pPr>
              <w:widowControl/>
              <w:suppressLineNumbers w:val="0"/>
              <w:suppressAutoHyphens w:val="0"/>
              <w:ind w:left="709" w:right="113" w:firstLine="0"/>
              <w:rPr>
                <w:sz w:val="20"/>
              </w:rPr>
            </w:pPr>
          </w:p>
        </w:tc>
        <w:tc>
          <w:tcPr>
            <w:tcW w:w="6095" w:type="dxa"/>
            <w:gridSpan w:val="4"/>
            <w:shd w:val="clear" w:color="auto" w:fill="auto"/>
            <w:vAlign w:val="center"/>
          </w:tcPr>
          <w:p w:rsidR="008470F7" w:rsidRPr="008470F7" w:rsidRDefault="008470F7" w:rsidP="00E63A6D">
            <w:pPr>
              <w:widowControl/>
              <w:suppressLineNumbers w:val="0"/>
              <w:suppressAutoHyphens w:val="0"/>
              <w:ind w:left="709" w:firstLine="0"/>
              <w:jc w:val="left"/>
              <w:rPr>
                <w:sz w:val="20"/>
              </w:rPr>
            </w:pPr>
            <w:r w:rsidRPr="008470F7">
              <w:rPr>
                <w:color w:val="000000"/>
                <w:sz w:val="20"/>
              </w:rPr>
              <w:t xml:space="preserve">Estágio </w:t>
            </w:r>
            <w:r w:rsidRPr="008470F7">
              <w:rPr>
                <w:sz w:val="20"/>
              </w:rPr>
              <w:t>Supervisionado</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sz w:val="20"/>
              </w:rPr>
            </w:pPr>
            <w:r w:rsidRPr="008470F7">
              <w:rPr>
                <w:sz w:val="20"/>
              </w:rPr>
              <w:t>240</w:t>
            </w:r>
          </w:p>
        </w:tc>
      </w:tr>
      <w:tr w:rsidR="008470F7" w:rsidRPr="008470F7" w:rsidTr="008470F7">
        <w:tc>
          <w:tcPr>
            <w:tcW w:w="851" w:type="dxa"/>
            <w:vMerge/>
            <w:shd w:val="clear" w:color="auto" w:fill="auto"/>
            <w:textDirection w:val="btLr"/>
          </w:tcPr>
          <w:p w:rsidR="008470F7" w:rsidRPr="008470F7" w:rsidRDefault="008470F7" w:rsidP="00E63A6D">
            <w:pPr>
              <w:widowControl/>
              <w:suppressLineNumbers w:val="0"/>
              <w:suppressAutoHyphens w:val="0"/>
              <w:ind w:left="709" w:right="113" w:firstLine="0"/>
              <w:rPr>
                <w:sz w:val="20"/>
              </w:rPr>
            </w:pPr>
          </w:p>
        </w:tc>
        <w:tc>
          <w:tcPr>
            <w:tcW w:w="6095" w:type="dxa"/>
            <w:gridSpan w:val="4"/>
            <w:shd w:val="clear" w:color="auto" w:fill="auto"/>
            <w:vAlign w:val="center"/>
          </w:tcPr>
          <w:p w:rsidR="008470F7" w:rsidRPr="008470F7" w:rsidRDefault="008470F7" w:rsidP="00E63A6D">
            <w:pPr>
              <w:widowControl/>
              <w:suppressLineNumbers w:val="0"/>
              <w:suppressAutoHyphens w:val="0"/>
              <w:ind w:left="709" w:firstLine="0"/>
              <w:jc w:val="left"/>
              <w:rPr>
                <w:sz w:val="20"/>
              </w:rPr>
            </w:pP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sz w:val="20"/>
              </w:rPr>
            </w:pPr>
          </w:p>
        </w:tc>
      </w:tr>
      <w:tr w:rsidR="008470F7" w:rsidRPr="008470F7" w:rsidTr="00A37CFD">
        <w:trPr>
          <w:trHeight w:val="137"/>
        </w:trPr>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shd w:val="clear" w:color="auto" w:fill="auto"/>
            <w:vAlign w:val="center"/>
          </w:tcPr>
          <w:p w:rsidR="008470F7" w:rsidRPr="008470F7" w:rsidRDefault="008470F7" w:rsidP="00E63A6D">
            <w:pPr>
              <w:widowControl/>
              <w:suppressLineNumbers w:val="0"/>
              <w:suppressAutoHyphens w:val="0"/>
              <w:ind w:left="709" w:firstLine="0"/>
              <w:jc w:val="left"/>
              <w:rPr>
                <w:color w:val="000000"/>
                <w:sz w:val="20"/>
              </w:rPr>
            </w:pPr>
            <w:r w:rsidRPr="008470F7">
              <w:rPr>
                <w:sz w:val="20"/>
              </w:rPr>
              <w:t>Trabalho de Conclusão de Curso</w:t>
            </w:r>
          </w:p>
        </w:tc>
        <w:tc>
          <w:tcPr>
            <w:tcW w:w="2126" w:type="dxa"/>
            <w:gridSpan w:val="2"/>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sz w:val="20"/>
              </w:rPr>
              <w:t>120</w:t>
            </w:r>
          </w:p>
        </w:tc>
      </w:tr>
      <w:tr w:rsidR="008470F7" w:rsidRPr="008470F7" w:rsidTr="008470F7">
        <w:trPr>
          <w:trHeight w:val="52"/>
        </w:trPr>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1948" w:type="dxa"/>
            <w:gridSpan w:val="2"/>
            <w:shd w:val="clear" w:color="auto" w:fill="auto"/>
          </w:tcPr>
          <w:p w:rsidR="008470F7" w:rsidRPr="008470F7" w:rsidRDefault="008470F7" w:rsidP="00E63A6D">
            <w:pPr>
              <w:widowControl/>
              <w:suppressLineNumbers w:val="0"/>
              <w:suppressAutoHyphens w:val="0"/>
              <w:ind w:left="709" w:firstLine="0"/>
              <w:jc w:val="center"/>
              <w:rPr>
                <w:rFonts w:eastAsia="Calibri"/>
                <w:sz w:val="20"/>
              </w:rPr>
            </w:pPr>
          </w:p>
        </w:tc>
        <w:tc>
          <w:tcPr>
            <w:tcW w:w="2091" w:type="dxa"/>
            <w:shd w:val="clear" w:color="auto" w:fill="auto"/>
          </w:tcPr>
          <w:p w:rsidR="008470F7" w:rsidRPr="008470F7" w:rsidRDefault="008470F7" w:rsidP="00E63A6D">
            <w:pPr>
              <w:widowControl/>
              <w:suppressLineNumbers w:val="0"/>
              <w:suppressAutoHyphens w:val="0"/>
              <w:ind w:left="709" w:firstLine="0"/>
              <w:jc w:val="center"/>
              <w:rPr>
                <w:rFonts w:eastAsia="Calibri"/>
                <w:sz w:val="20"/>
              </w:rPr>
            </w:pPr>
          </w:p>
        </w:tc>
        <w:tc>
          <w:tcPr>
            <w:tcW w:w="2091" w:type="dxa"/>
            <w:gridSpan w:val="2"/>
            <w:shd w:val="clear" w:color="auto" w:fill="auto"/>
          </w:tcPr>
          <w:p w:rsidR="008470F7" w:rsidRPr="008470F7" w:rsidRDefault="008470F7" w:rsidP="00E63A6D">
            <w:pPr>
              <w:widowControl/>
              <w:suppressLineNumbers w:val="0"/>
              <w:suppressAutoHyphens w:val="0"/>
              <w:ind w:left="709" w:firstLine="0"/>
              <w:jc w:val="center"/>
              <w:rPr>
                <w:rFonts w:eastAsia="Calibri"/>
                <w:sz w:val="20"/>
              </w:rPr>
            </w:pPr>
          </w:p>
        </w:tc>
        <w:tc>
          <w:tcPr>
            <w:tcW w:w="2091" w:type="dxa"/>
            <w:shd w:val="clear" w:color="auto" w:fill="auto"/>
          </w:tcPr>
          <w:p w:rsidR="008470F7" w:rsidRPr="008470F7" w:rsidRDefault="008470F7" w:rsidP="00E63A6D">
            <w:pPr>
              <w:widowControl/>
              <w:suppressLineNumbers w:val="0"/>
              <w:suppressAutoHyphens w:val="0"/>
              <w:ind w:left="709" w:firstLine="0"/>
              <w:jc w:val="center"/>
              <w:rPr>
                <w:rFonts w:eastAsia="Calibri"/>
                <w:sz w:val="20"/>
              </w:rPr>
            </w:pPr>
          </w:p>
        </w:tc>
      </w:tr>
      <w:tr w:rsidR="008470F7" w:rsidRPr="008470F7" w:rsidTr="008470F7">
        <w:trPr>
          <w:trHeight w:val="51"/>
        </w:trPr>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6130" w:type="dxa"/>
            <w:gridSpan w:val="5"/>
            <w:shd w:val="clear" w:color="auto" w:fill="auto"/>
            <w:vAlign w:val="center"/>
          </w:tcPr>
          <w:p w:rsidR="008470F7" w:rsidRPr="008470F7" w:rsidRDefault="008470F7" w:rsidP="00E63A6D">
            <w:pPr>
              <w:widowControl/>
              <w:suppressLineNumbers w:val="0"/>
              <w:suppressAutoHyphens w:val="0"/>
              <w:ind w:left="709" w:firstLine="0"/>
              <w:jc w:val="left"/>
              <w:rPr>
                <w:rFonts w:eastAsia="Calibri"/>
                <w:sz w:val="20"/>
              </w:rPr>
            </w:pPr>
            <w:r w:rsidRPr="008470F7">
              <w:rPr>
                <w:color w:val="000000"/>
                <w:sz w:val="20"/>
              </w:rPr>
              <w:t>Atividades Complementares</w:t>
            </w:r>
          </w:p>
        </w:tc>
        <w:tc>
          <w:tcPr>
            <w:tcW w:w="2091" w:type="dxa"/>
            <w:shd w:val="clear" w:color="auto" w:fill="auto"/>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120</w:t>
            </w:r>
          </w:p>
        </w:tc>
      </w:tr>
      <w:tr w:rsidR="008470F7" w:rsidRPr="008470F7" w:rsidTr="008470F7">
        <w:trPr>
          <w:trHeight w:val="51"/>
        </w:trPr>
        <w:tc>
          <w:tcPr>
            <w:tcW w:w="851"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1948" w:type="dxa"/>
            <w:gridSpan w:val="2"/>
            <w:shd w:val="clear" w:color="auto" w:fill="auto"/>
          </w:tcPr>
          <w:p w:rsidR="008470F7" w:rsidRPr="008470F7" w:rsidRDefault="008470F7" w:rsidP="00E63A6D">
            <w:pPr>
              <w:widowControl/>
              <w:suppressLineNumbers w:val="0"/>
              <w:suppressAutoHyphens w:val="0"/>
              <w:ind w:left="709" w:firstLine="0"/>
              <w:jc w:val="center"/>
              <w:rPr>
                <w:rFonts w:eastAsia="Calibri"/>
                <w:sz w:val="20"/>
              </w:rPr>
            </w:pPr>
          </w:p>
        </w:tc>
        <w:tc>
          <w:tcPr>
            <w:tcW w:w="2091" w:type="dxa"/>
            <w:shd w:val="clear" w:color="auto" w:fill="auto"/>
          </w:tcPr>
          <w:p w:rsidR="008470F7" w:rsidRPr="008470F7" w:rsidRDefault="008470F7" w:rsidP="00A37CFD">
            <w:pPr>
              <w:widowControl/>
              <w:suppressLineNumbers w:val="0"/>
              <w:suppressAutoHyphens w:val="0"/>
              <w:ind w:firstLine="0"/>
              <w:rPr>
                <w:rFonts w:eastAsia="Calibri"/>
                <w:sz w:val="20"/>
              </w:rPr>
            </w:pPr>
          </w:p>
        </w:tc>
        <w:tc>
          <w:tcPr>
            <w:tcW w:w="2091" w:type="dxa"/>
            <w:gridSpan w:val="2"/>
            <w:shd w:val="clear" w:color="auto" w:fill="auto"/>
          </w:tcPr>
          <w:p w:rsidR="008470F7" w:rsidRPr="008470F7" w:rsidRDefault="008470F7" w:rsidP="00E63A6D">
            <w:pPr>
              <w:widowControl/>
              <w:suppressLineNumbers w:val="0"/>
              <w:suppressAutoHyphens w:val="0"/>
              <w:ind w:left="709" w:firstLine="0"/>
              <w:jc w:val="center"/>
              <w:rPr>
                <w:rFonts w:eastAsia="Calibri"/>
                <w:sz w:val="20"/>
              </w:rPr>
            </w:pPr>
          </w:p>
        </w:tc>
        <w:tc>
          <w:tcPr>
            <w:tcW w:w="2091" w:type="dxa"/>
            <w:shd w:val="clear" w:color="auto" w:fill="auto"/>
          </w:tcPr>
          <w:p w:rsidR="008470F7" w:rsidRPr="008470F7" w:rsidRDefault="008470F7" w:rsidP="00E63A6D">
            <w:pPr>
              <w:widowControl/>
              <w:suppressLineNumbers w:val="0"/>
              <w:suppressAutoHyphens w:val="0"/>
              <w:ind w:left="709" w:firstLine="0"/>
              <w:jc w:val="center"/>
              <w:rPr>
                <w:rFonts w:eastAsia="Calibri"/>
                <w:sz w:val="20"/>
              </w:rPr>
            </w:pPr>
          </w:p>
        </w:tc>
      </w:tr>
      <w:tr w:rsidR="008470F7" w:rsidRPr="008470F7" w:rsidTr="008470F7">
        <w:trPr>
          <w:trHeight w:val="272"/>
        </w:trPr>
        <w:tc>
          <w:tcPr>
            <w:tcW w:w="851" w:type="dxa"/>
            <w:tcBorders>
              <w:top w:val="single" w:sz="4" w:space="0" w:color="auto"/>
              <w:bottom w:val="single" w:sz="4" w:space="0" w:color="auto"/>
            </w:tcBorders>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tcBorders>
              <w:top w:val="single" w:sz="4" w:space="0" w:color="auto"/>
              <w:bottom w:val="single" w:sz="4" w:space="0" w:color="auto"/>
            </w:tcBorders>
            <w:shd w:val="clear" w:color="auto" w:fill="auto"/>
          </w:tcPr>
          <w:p w:rsidR="008470F7" w:rsidRPr="008470F7" w:rsidRDefault="008470F7" w:rsidP="00E63A6D">
            <w:pPr>
              <w:widowControl/>
              <w:suppressLineNumbers w:val="0"/>
              <w:suppressAutoHyphens w:val="0"/>
              <w:ind w:left="709" w:firstLine="0"/>
              <w:rPr>
                <w:b/>
                <w:sz w:val="20"/>
              </w:rPr>
            </w:pPr>
            <w:r w:rsidRPr="008470F7">
              <w:rPr>
                <w:b/>
                <w:sz w:val="20"/>
              </w:rPr>
              <w:t>SUBTOTAL</w:t>
            </w:r>
          </w:p>
        </w:tc>
        <w:tc>
          <w:tcPr>
            <w:tcW w:w="2126" w:type="dxa"/>
            <w:gridSpan w:val="2"/>
            <w:tcBorders>
              <w:top w:val="single" w:sz="4" w:space="0" w:color="auto"/>
              <w:bottom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center"/>
              <w:rPr>
                <w:b/>
                <w:sz w:val="20"/>
              </w:rPr>
            </w:pPr>
            <w:r w:rsidRPr="008470F7">
              <w:rPr>
                <w:b/>
                <w:sz w:val="20"/>
              </w:rPr>
              <w:t>480</w:t>
            </w:r>
          </w:p>
        </w:tc>
      </w:tr>
      <w:tr w:rsidR="008470F7" w:rsidRPr="008470F7" w:rsidTr="008470F7">
        <w:trPr>
          <w:trHeight w:val="277"/>
        </w:trPr>
        <w:tc>
          <w:tcPr>
            <w:tcW w:w="851" w:type="dxa"/>
            <w:tcBorders>
              <w:top w:val="single" w:sz="4" w:space="0" w:color="auto"/>
              <w:bottom w:val="single" w:sz="4" w:space="0" w:color="auto"/>
            </w:tcBorders>
            <w:shd w:val="clear" w:color="auto" w:fill="auto"/>
          </w:tcPr>
          <w:p w:rsidR="008470F7" w:rsidRPr="008470F7" w:rsidRDefault="008470F7" w:rsidP="00E63A6D">
            <w:pPr>
              <w:widowControl/>
              <w:suppressLineNumbers w:val="0"/>
              <w:suppressAutoHyphens w:val="0"/>
              <w:ind w:left="709" w:firstLine="0"/>
              <w:rPr>
                <w:sz w:val="20"/>
              </w:rPr>
            </w:pPr>
          </w:p>
        </w:tc>
        <w:tc>
          <w:tcPr>
            <w:tcW w:w="6095" w:type="dxa"/>
            <w:gridSpan w:val="4"/>
            <w:tcBorders>
              <w:top w:val="single" w:sz="4" w:space="0" w:color="auto"/>
              <w:bottom w:val="single" w:sz="4" w:space="0" w:color="auto"/>
            </w:tcBorders>
            <w:shd w:val="clear" w:color="auto" w:fill="auto"/>
          </w:tcPr>
          <w:p w:rsidR="008470F7" w:rsidRPr="008470F7" w:rsidRDefault="008470F7" w:rsidP="00E63A6D">
            <w:pPr>
              <w:widowControl/>
              <w:suppressLineNumbers w:val="0"/>
              <w:suppressAutoHyphens w:val="0"/>
              <w:ind w:left="709" w:firstLine="0"/>
              <w:rPr>
                <w:b/>
                <w:sz w:val="20"/>
              </w:rPr>
            </w:pPr>
            <w:r w:rsidRPr="008470F7">
              <w:rPr>
                <w:b/>
                <w:sz w:val="20"/>
              </w:rPr>
              <w:t>TOTAL GERAL</w:t>
            </w:r>
          </w:p>
        </w:tc>
        <w:tc>
          <w:tcPr>
            <w:tcW w:w="2126" w:type="dxa"/>
            <w:gridSpan w:val="2"/>
            <w:tcBorders>
              <w:top w:val="single" w:sz="4" w:space="0" w:color="auto"/>
              <w:bottom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center"/>
              <w:rPr>
                <w:b/>
                <w:sz w:val="20"/>
              </w:rPr>
            </w:pPr>
            <w:r w:rsidRPr="008470F7">
              <w:rPr>
                <w:b/>
                <w:sz w:val="20"/>
              </w:rPr>
              <w:t>3000</w:t>
            </w:r>
          </w:p>
        </w:tc>
      </w:tr>
      <w:tr w:rsidR="008470F7" w:rsidRPr="008470F7" w:rsidTr="008470F7">
        <w:tc>
          <w:tcPr>
            <w:tcW w:w="9072" w:type="dxa"/>
            <w:gridSpan w:val="7"/>
            <w:tcBorders>
              <w:top w:val="single" w:sz="4" w:space="0" w:color="auto"/>
            </w:tcBorders>
            <w:shd w:val="clear" w:color="auto" w:fill="auto"/>
            <w:vAlign w:val="center"/>
          </w:tcPr>
          <w:p w:rsidR="008470F7" w:rsidRPr="008470F7" w:rsidRDefault="008470F7" w:rsidP="00E63A6D">
            <w:pPr>
              <w:widowControl/>
              <w:suppressLineNumbers w:val="0"/>
              <w:suppressAutoHyphens w:val="0"/>
              <w:ind w:left="37" w:firstLine="0"/>
              <w:jc w:val="left"/>
              <w:rPr>
                <w:b/>
                <w:sz w:val="20"/>
              </w:rPr>
            </w:pPr>
            <w:r w:rsidRPr="008470F7">
              <w:rPr>
                <w:sz w:val="20"/>
              </w:rPr>
              <w:t>Fonte: Adaptado de Carneiro et al. (2017)</w:t>
            </w:r>
          </w:p>
        </w:tc>
      </w:tr>
    </w:tbl>
    <w:p w:rsidR="008470F7" w:rsidRPr="008470F7" w:rsidRDefault="008470F7" w:rsidP="00A37CFD">
      <w:pPr>
        <w:ind w:firstLine="0"/>
        <w:rPr>
          <w:szCs w:val="24"/>
        </w:rPr>
      </w:pPr>
      <w:bookmarkStart w:id="2" w:name="_gjdgxs" w:colFirst="0" w:colLast="0"/>
      <w:bookmarkEnd w:id="2"/>
    </w:p>
    <w:tbl>
      <w:tblPr>
        <w:tblW w:w="0" w:type="auto"/>
        <w:tblInd w:w="108" w:type="dxa"/>
        <w:tblLook w:val="04A0" w:firstRow="1" w:lastRow="0" w:firstColumn="1" w:lastColumn="0" w:noHBand="0" w:noVBand="1"/>
      </w:tblPr>
      <w:tblGrid>
        <w:gridCol w:w="1303"/>
        <w:gridCol w:w="5844"/>
        <w:gridCol w:w="2101"/>
      </w:tblGrid>
      <w:tr w:rsidR="008470F7" w:rsidRPr="008470F7" w:rsidTr="00A37CFD">
        <w:tc>
          <w:tcPr>
            <w:tcW w:w="9248" w:type="dxa"/>
            <w:gridSpan w:val="3"/>
            <w:tcBorders>
              <w:bottom w:val="single" w:sz="4" w:space="0" w:color="auto"/>
            </w:tcBorders>
            <w:shd w:val="clear" w:color="auto" w:fill="auto"/>
          </w:tcPr>
          <w:p w:rsidR="008470F7" w:rsidRPr="008470F7" w:rsidRDefault="00E63A6D" w:rsidP="00E63A6D">
            <w:pPr>
              <w:widowControl/>
              <w:suppressLineNumbers w:val="0"/>
              <w:suppressAutoHyphens w:val="0"/>
              <w:ind w:firstLine="0"/>
              <w:rPr>
                <w:sz w:val="20"/>
              </w:rPr>
            </w:pPr>
            <w:bookmarkStart w:id="3" w:name="_Hlk1228865"/>
            <w:r>
              <w:rPr>
                <w:sz w:val="20"/>
              </w:rPr>
              <w:t xml:space="preserve">Tabela 2. </w:t>
            </w:r>
            <w:r w:rsidR="008470F7" w:rsidRPr="008470F7">
              <w:rPr>
                <w:sz w:val="20"/>
              </w:rPr>
              <w:t>Proposta de componentes curriculares para disciplinas optativas</w:t>
            </w:r>
          </w:p>
        </w:tc>
      </w:tr>
      <w:tr w:rsidR="008470F7" w:rsidRPr="008470F7" w:rsidTr="00A37CFD">
        <w:trPr>
          <w:trHeight w:val="154"/>
        </w:trPr>
        <w:tc>
          <w:tcPr>
            <w:tcW w:w="1303" w:type="dxa"/>
            <w:tcBorders>
              <w:top w:val="single" w:sz="4" w:space="0" w:color="auto"/>
              <w:bottom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center"/>
              <w:rPr>
                <w:sz w:val="20"/>
              </w:rPr>
            </w:pPr>
            <w:r w:rsidRPr="008470F7">
              <w:rPr>
                <w:sz w:val="20"/>
              </w:rPr>
              <w:t>Eixo</w:t>
            </w:r>
          </w:p>
        </w:tc>
        <w:tc>
          <w:tcPr>
            <w:tcW w:w="5844" w:type="dxa"/>
            <w:tcBorders>
              <w:top w:val="single" w:sz="4" w:space="0" w:color="auto"/>
              <w:bottom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center"/>
              <w:rPr>
                <w:sz w:val="20"/>
              </w:rPr>
            </w:pPr>
            <w:r w:rsidRPr="008470F7">
              <w:rPr>
                <w:sz w:val="20"/>
              </w:rPr>
              <w:t>Disciplina</w:t>
            </w:r>
          </w:p>
        </w:tc>
        <w:tc>
          <w:tcPr>
            <w:tcW w:w="2101" w:type="dxa"/>
            <w:tcBorders>
              <w:top w:val="single" w:sz="4" w:space="0" w:color="auto"/>
              <w:bottom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center"/>
              <w:rPr>
                <w:sz w:val="20"/>
              </w:rPr>
            </w:pPr>
            <w:r w:rsidRPr="008470F7">
              <w:rPr>
                <w:sz w:val="20"/>
              </w:rPr>
              <w:t>Carga Horária</w:t>
            </w:r>
          </w:p>
        </w:tc>
      </w:tr>
      <w:tr w:rsidR="008470F7" w:rsidRPr="008470F7" w:rsidTr="00A37CFD">
        <w:tc>
          <w:tcPr>
            <w:tcW w:w="1303" w:type="dxa"/>
            <w:vMerge w:val="restart"/>
            <w:tcBorders>
              <w:top w:val="single" w:sz="4" w:space="0" w:color="auto"/>
            </w:tcBorders>
            <w:shd w:val="clear" w:color="auto" w:fill="auto"/>
            <w:textDirection w:val="btLr"/>
            <w:vAlign w:val="center"/>
          </w:tcPr>
          <w:p w:rsidR="008470F7" w:rsidRPr="008470F7" w:rsidRDefault="008470F7" w:rsidP="00E63A6D">
            <w:pPr>
              <w:widowControl/>
              <w:suppressLineNumbers w:val="0"/>
              <w:suppressAutoHyphens w:val="0"/>
              <w:ind w:left="113" w:right="113" w:firstLine="0"/>
              <w:jc w:val="center"/>
              <w:rPr>
                <w:color w:val="000000"/>
                <w:sz w:val="20"/>
              </w:rPr>
            </w:pPr>
            <w:r w:rsidRPr="008470F7">
              <w:rPr>
                <w:color w:val="000000"/>
                <w:sz w:val="20"/>
              </w:rPr>
              <w:t>DISCIPLINAS</w:t>
            </w:r>
          </w:p>
          <w:p w:rsidR="008470F7" w:rsidRPr="008470F7" w:rsidRDefault="008470F7" w:rsidP="00E63A6D">
            <w:pPr>
              <w:widowControl/>
              <w:suppressLineNumbers w:val="0"/>
              <w:suppressAutoHyphens w:val="0"/>
              <w:ind w:left="113" w:right="113" w:firstLine="0"/>
              <w:jc w:val="center"/>
              <w:rPr>
                <w:sz w:val="20"/>
              </w:rPr>
            </w:pPr>
            <w:r w:rsidRPr="008470F7">
              <w:rPr>
                <w:color w:val="000000"/>
                <w:sz w:val="20"/>
              </w:rPr>
              <w:t>OPTATIVAS</w:t>
            </w:r>
          </w:p>
        </w:tc>
        <w:tc>
          <w:tcPr>
            <w:tcW w:w="5844" w:type="dxa"/>
            <w:tcBorders>
              <w:top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left"/>
              <w:rPr>
                <w:rFonts w:eastAsia="Calibri"/>
                <w:sz w:val="20"/>
              </w:rPr>
            </w:pPr>
            <w:r w:rsidRPr="008470F7">
              <w:rPr>
                <w:rFonts w:eastAsia="Calibri"/>
                <w:sz w:val="20"/>
              </w:rPr>
              <w:t>Contabilidade Aplicada às Instituições Financeiras</w:t>
            </w:r>
          </w:p>
        </w:tc>
        <w:tc>
          <w:tcPr>
            <w:tcW w:w="2101" w:type="dxa"/>
            <w:tcBorders>
              <w:top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60</w:t>
            </w:r>
          </w:p>
        </w:tc>
      </w:tr>
      <w:tr w:rsidR="008470F7" w:rsidRPr="008470F7" w:rsidTr="00A37CFD">
        <w:tc>
          <w:tcPr>
            <w:tcW w:w="1303"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5844" w:type="dxa"/>
            <w:shd w:val="clear" w:color="auto" w:fill="auto"/>
            <w:vAlign w:val="center"/>
          </w:tcPr>
          <w:p w:rsidR="008470F7" w:rsidRPr="008470F7" w:rsidRDefault="008470F7" w:rsidP="00E63A6D">
            <w:pPr>
              <w:widowControl/>
              <w:suppressLineNumbers w:val="0"/>
              <w:suppressAutoHyphens w:val="0"/>
              <w:ind w:left="709" w:firstLine="0"/>
              <w:jc w:val="left"/>
              <w:rPr>
                <w:rFonts w:eastAsia="Calibri"/>
                <w:sz w:val="20"/>
              </w:rPr>
            </w:pPr>
            <w:r w:rsidRPr="008470F7">
              <w:rPr>
                <w:rFonts w:eastAsia="Calibri"/>
                <w:sz w:val="20"/>
              </w:rPr>
              <w:t>Contabilidade do Terceiro Setor</w:t>
            </w:r>
          </w:p>
        </w:tc>
        <w:tc>
          <w:tcPr>
            <w:tcW w:w="2101" w:type="dxa"/>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60</w:t>
            </w:r>
          </w:p>
        </w:tc>
      </w:tr>
      <w:tr w:rsidR="008470F7" w:rsidRPr="008470F7" w:rsidTr="00A37CFD">
        <w:tc>
          <w:tcPr>
            <w:tcW w:w="1303"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5844" w:type="dxa"/>
            <w:shd w:val="clear" w:color="auto" w:fill="auto"/>
            <w:vAlign w:val="center"/>
          </w:tcPr>
          <w:p w:rsidR="008470F7" w:rsidRPr="008470F7" w:rsidRDefault="008470F7" w:rsidP="00E63A6D">
            <w:pPr>
              <w:widowControl/>
              <w:suppressLineNumbers w:val="0"/>
              <w:suppressAutoHyphens w:val="0"/>
              <w:ind w:left="709" w:firstLine="0"/>
              <w:jc w:val="left"/>
              <w:rPr>
                <w:rFonts w:eastAsia="Calibri"/>
                <w:sz w:val="20"/>
              </w:rPr>
            </w:pPr>
            <w:r w:rsidRPr="008470F7">
              <w:rPr>
                <w:rFonts w:eastAsia="Calibri"/>
                <w:sz w:val="20"/>
              </w:rPr>
              <w:t>Contabilidade Aplicada ao Agronegócio</w:t>
            </w:r>
          </w:p>
        </w:tc>
        <w:tc>
          <w:tcPr>
            <w:tcW w:w="2101" w:type="dxa"/>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60</w:t>
            </w:r>
          </w:p>
        </w:tc>
      </w:tr>
      <w:tr w:rsidR="008470F7" w:rsidRPr="008470F7" w:rsidTr="00A37CFD">
        <w:tc>
          <w:tcPr>
            <w:tcW w:w="1303"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5844" w:type="dxa"/>
            <w:shd w:val="clear" w:color="auto" w:fill="auto"/>
            <w:vAlign w:val="center"/>
          </w:tcPr>
          <w:p w:rsidR="008470F7" w:rsidRPr="008470F7" w:rsidRDefault="008470F7" w:rsidP="00E63A6D">
            <w:pPr>
              <w:widowControl/>
              <w:suppressLineNumbers w:val="0"/>
              <w:suppressAutoHyphens w:val="0"/>
              <w:ind w:left="709" w:firstLine="0"/>
              <w:jc w:val="left"/>
              <w:rPr>
                <w:rFonts w:eastAsia="Calibri"/>
                <w:sz w:val="20"/>
              </w:rPr>
            </w:pPr>
            <w:r w:rsidRPr="008470F7">
              <w:rPr>
                <w:rFonts w:eastAsia="Calibri"/>
                <w:sz w:val="20"/>
              </w:rPr>
              <w:t>Contabilidade Nacional</w:t>
            </w:r>
          </w:p>
        </w:tc>
        <w:tc>
          <w:tcPr>
            <w:tcW w:w="2101" w:type="dxa"/>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60</w:t>
            </w:r>
          </w:p>
        </w:tc>
      </w:tr>
      <w:tr w:rsidR="008470F7" w:rsidRPr="008470F7" w:rsidTr="00A37CFD">
        <w:tc>
          <w:tcPr>
            <w:tcW w:w="1303"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5844" w:type="dxa"/>
            <w:shd w:val="clear" w:color="auto" w:fill="auto"/>
            <w:vAlign w:val="center"/>
          </w:tcPr>
          <w:p w:rsidR="008470F7" w:rsidRPr="008470F7" w:rsidRDefault="008470F7" w:rsidP="00E63A6D">
            <w:pPr>
              <w:widowControl/>
              <w:suppressLineNumbers w:val="0"/>
              <w:suppressAutoHyphens w:val="0"/>
              <w:ind w:left="709" w:firstLine="0"/>
              <w:jc w:val="left"/>
              <w:rPr>
                <w:rFonts w:eastAsia="Calibri"/>
                <w:sz w:val="20"/>
              </w:rPr>
            </w:pPr>
            <w:r w:rsidRPr="008470F7">
              <w:rPr>
                <w:rFonts w:eastAsia="Calibri"/>
                <w:sz w:val="20"/>
              </w:rPr>
              <w:t>Governança Corporativa</w:t>
            </w:r>
          </w:p>
        </w:tc>
        <w:tc>
          <w:tcPr>
            <w:tcW w:w="2101" w:type="dxa"/>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60</w:t>
            </w:r>
          </w:p>
        </w:tc>
      </w:tr>
      <w:tr w:rsidR="008470F7" w:rsidRPr="008470F7" w:rsidTr="00A37CFD">
        <w:tc>
          <w:tcPr>
            <w:tcW w:w="1303"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5844" w:type="dxa"/>
            <w:shd w:val="clear" w:color="auto" w:fill="auto"/>
            <w:vAlign w:val="center"/>
          </w:tcPr>
          <w:p w:rsidR="008470F7" w:rsidRPr="008470F7" w:rsidRDefault="008470F7" w:rsidP="00E63A6D">
            <w:pPr>
              <w:widowControl/>
              <w:suppressLineNumbers w:val="0"/>
              <w:suppressAutoHyphens w:val="0"/>
              <w:ind w:left="709" w:firstLine="0"/>
              <w:jc w:val="left"/>
              <w:rPr>
                <w:rFonts w:eastAsia="Calibri"/>
                <w:sz w:val="20"/>
              </w:rPr>
            </w:pPr>
            <w:r w:rsidRPr="008470F7">
              <w:rPr>
                <w:rFonts w:eastAsia="Calibri"/>
                <w:sz w:val="20"/>
              </w:rPr>
              <w:t>Filosofia da Ciência</w:t>
            </w:r>
          </w:p>
        </w:tc>
        <w:tc>
          <w:tcPr>
            <w:tcW w:w="2101" w:type="dxa"/>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30</w:t>
            </w:r>
          </w:p>
        </w:tc>
      </w:tr>
      <w:tr w:rsidR="008470F7" w:rsidRPr="008470F7" w:rsidTr="00A37CFD">
        <w:tc>
          <w:tcPr>
            <w:tcW w:w="1303"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5844" w:type="dxa"/>
            <w:shd w:val="clear" w:color="auto" w:fill="auto"/>
            <w:vAlign w:val="center"/>
          </w:tcPr>
          <w:p w:rsidR="008470F7" w:rsidRPr="008470F7" w:rsidRDefault="008470F7" w:rsidP="00E63A6D">
            <w:pPr>
              <w:widowControl/>
              <w:suppressLineNumbers w:val="0"/>
              <w:suppressAutoHyphens w:val="0"/>
              <w:ind w:left="709" w:firstLine="0"/>
              <w:jc w:val="left"/>
              <w:rPr>
                <w:rFonts w:eastAsia="Calibri"/>
                <w:sz w:val="20"/>
              </w:rPr>
            </w:pPr>
            <w:r w:rsidRPr="008470F7">
              <w:rPr>
                <w:rFonts w:eastAsia="Calibri"/>
                <w:sz w:val="20"/>
              </w:rPr>
              <w:t>Tecnologia da Informação</w:t>
            </w:r>
          </w:p>
        </w:tc>
        <w:tc>
          <w:tcPr>
            <w:tcW w:w="2101" w:type="dxa"/>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60</w:t>
            </w:r>
          </w:p>
        </w:tc>
      </w:tr>
      <w:tr w:rsidR="008470F7" w:rsidRPr="008470F7" w:rsidTr="00A37CFD">
        <w:tc>
          <w:tcPr>
            <w:tcW w:w="1303"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5844" w:type="dxa"/>
            <w:shd w:val="clear" w:color="auto" w:fill="auto"/>
            <w:vAlign w:val="center"/>
          </w:tcPr>
          <w:p w:rsidR="008470F7" w:rsidRPr="008470F7" w:rsidRDefault="008470F7" w:rsidP="00E63A6D">
            <w:pPr>
              <w:widowControl/>
              <w:suppressLineNumbers w:val="0"/>
              <w:suppressAutoHyphens w:val="0"/>
              <w:ind w:left="709" w:firstLine="0"/>
              <w:jc w:val="left"/>
              <w:rPr>
                <w:rFonts w:eastAsia="Calibri"/>
                <w:sz w:val="20"/>
              </w:rPr>
            </w:pPr>
            <w:r w:rsidRPr="008470F7">
              <w:rPr>
                <w:rFonts w:eastAsia="Calibri"/>
                <w:sz w:val="20"/>
              </w:rPr>
              <w:t>Cenário Contábil Internacional</w:t>
            </w:r>
          </w:p>
        </w:tc>
        <w:tc>
          <w:tcPr>
            <w:tcW w:w="2101" w:type="dxa"/>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60</w:t>
            </w:r>
          </w:p>
        </w:tc>
      </w:tr>
      <w:tr w:rsidR="008470F7" w:rsidRPr="008470F7" w:rsidTr="00A37CFD">
        <w:tc>
          <w:tcPr>
            <w:tcW w:w="1303"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5844" w:type="dxa"/>
            <w:shd w:val="clear" w:color="auto" w:fill="auto"/>
            <w:vAlign w:val="center"/>
          </w:tcPr>
          <w:p w:rsidR="008470F7" w:rsidRPr="008470F7" w:rsidRDefault="008470F7" w:rsidP="00E63A6D">
            <w:pPr>
              <w:widowControl/>
              <w:suppressLineNumbers w:val="0"/>
              <w:suppressAutoHyphens w:val="0"/>
              <w:ind w:left="709" w:firstLine="0"/>
              <w:jc w:val="left"/>
              <w:rPr>
                <w:rFonts w:eastAsia="Calibri"/>
                <w:sz w:val="20"/>
              </w:rPr>
            </w:pPr>
            <w:r w:rsidRPr="008470F7">
              <w:rPr>
                <w:rFonts w:eastAsia="Calibri"/>
                <w:sz w:val="20"/>
              </w:rPr>
              <w:t>Responsabilidade Socioambiental</w:t>
            </w:r>
          </w:p>
        </w:tc>
        <w:tc>
          <w:tcPr>
            <w:tcW w:w="2101" w:type="dxa"/>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60</w:t>
            </w:r>
          </w:p>
        </w:tc>
      </w:tr>
      <w:tr w:rsidR="008470F7" w:rsidRPr="008470F7" w:rsidTr="00A37CFD">
        <w:tc>
          <w:tcPr>
            <w:tcW w:w="1303" w:type="dxa"/>
            <w:vMerge/>
            <w:shd w:val="clear" w:color="auto" w:fill="auto"/>
          </w:tcPr>
          <w:p w:rsidR="008470F7" w:rsidRPr="008470F7" w:rsidRDefault="008470F7" w:rsidP="00E63A6D">
            <w:pPr>
              <w:widowControl/>
              <w:suppressLineNumbers w:val="0"/>
              <w:suppressAutoHyphens w:val="0"/>
              <w:ind w:left="709" w:firstLine="0"/>
              <w:rPr>
                <w:sz w:val="20"/>
              </w:rPr>
            </w:pPr>
          </w:p>
        </w:tc>
        <w:tc>
          <w:tcPr>
            <w:tcW w:w="5844" w:type="dxa"/>
            <w:shd w:val="clear" w:color="auto" w:fill="auto"/>
            <w:vAlign w:val="center"/>
          </w:tcPr>
          <w:p w:rsidR="008470F7" w:rsidRPr="008470F7" w:rsidRDefault="008470F7" w:rsidP="00E63A6D">
            <w:pPr>
              <w:widowControl/>
              <w:suppressLineNumbers w:val="0"/>
              <w:suppressAutoHyphens w:val="0"/>
              <w:ind w:left="709" w:firstLine="0"/>
              <w:jc w:val="left"/>
              <w:rPr>
                <w:rFonts w:eastAsia="Calibri"/>
                <w:sz w:val="20"/>
              </w:rPr>
            </w:pPr>
            <w:r w:rsidRPr="008470F7">
              <w:rPr>
                <w:rFonts w:eastAsia="Calibri"/>
                <w:sz w:val="20"/>
              </w:rPr>
              <w:t>Contabilidade para Pequenas e Médias Empresas</w:t>
            </w:r>
          </w:p>
        </w:tc>
        <w:tc>
          <w:tcPr>
            <w:tcW w:w="2101" w:type="dxa"/>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60</w:t>
            </w:r>
          </w:p>
        </w:tc>
      </w:tr>
      <w:tr w:rsidR="008470F7" w:rsidRPr="008470F7" w:rsidTr="00A37CFD">
        <w:tc>
          <w:tcPr>
            <w:tcW w:w="1303" w:type="dxa"/>
            <w:vMerge/>
            <w:tcBorders>
              <w:bottom w:val="single" w:sz="4" w:space="0" w:color="auto"/>
            </w:tcBorders>
            <w:shd w:val="clear" w:color="auto" w:fill="auto"/>
          </w:tcPr>
          <w:p w:rsidR="008470F7" w:rsidRPr="008470F7" w:rsidRDefault="008470F7" w:rsidP="00E63A6D">
            <w:pPr>
              <w:widowControl/>
              <w:suppressLineNumbers w:val="0"/>
              <w:suppressAutoHyphens w:val="0"/>
              <w:ind w:left="709" w:firstLine="0"/>
              <w:rPr>
                <w:sz w:val="20"/>
              </w:rPr>
            </w:pPr>
          </w:p>
        </w:tc>
        <w:tc>
          <w:tcPr>
            <w:tcW w:w="5844" w:type="dxa"/>
            <w:tcBorders>
              <w:bottom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left"/>
              <w:rPr>
                <w:rFonts w:eastAsia="Calibri"/>
                <w:sz w:val="20"/>
              </w:rPr>
            </w:pPr>
            <w:r w:rsidRPr="008470F7">
              <w:rPr>
                <w:rFonts w:eastAsia="Calibri"/>
                <w:sz w:val="20"/>
              </w:rPr>
              <w:t>Contabilidade para Construção Civil e Imobiliária</w:t>
            </w:r>
          </w:p>
        </w:tc>
        <w:tc>
          <w:tcPr>
            <w:tcW w:w="2101" w:type="dxa"/>
            <w:tcBorders>
              <w:bottom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60</w:t>
            </w:r>
          </w:p>
        </w:tc>
      </w:tr>
      <w:tr w:rsidR="008470F7" w:rsidRPr="008470F7" w:rsidTr="00A37CFD">
        <w:tc>
          <w:tcPr>
            <w:tcW w:w="9248" w:type="dxa"/>
            <w:gridSpan w:val="3"/>
            <w:tcBorders>
              <w:top w:val="single" w:sz="4" w:space="0" w:color="auto"/>
            </w:tcBorders>
            <w:shd w:val="clear" w:color="auto" w:fill="auto"/>
            <w:vAlign w:val="center"/>
          </w:tcPr>
          <w:p w:rsidR="008470F7" w:rsidRPr="008470F7" w:rsidRDefault="008470F7" w:rsidP="00E63A6D">
            <w:pPr>
              <w:widowControl/>
              <w:suppressLineNumbers w:val="0"/>
              <w:suppressAutoHyphens w:val="0"/>
              <w:ind w:firstLine="0"/>
              <w:jc w:val="left"/>
              <w:rPr>
                <w:b/>
                <w:sz w:val="20"/>
              </w:rPr>
            </w:pPr>
            <w:r w:rsidRPr="008470F7">
              <w:rPr>
                <w:sz w:val="20"/>
              </w:rPr>
              <w:t>Fonte: Adaptado de Carneiro et al. (2017).</w:t>
            </w:r>
          </w:p>
        </w:tc>
      </w:tr>
    </w:tbl>
    <w:bookmarkEnd w:id="3"/>
    <w:p w:rsidR="00C1412C" w:rsidRPr="008470F7" w:rsidRDefault="00C1412C" w:rsidP="00E63A6D">
      <w:pPr>
        <w:ind w:firstLine="567"/>
        <w:rPr>
          <w:szCs w:val="24"/>
        </w:rPr>
      </w:pPr>
      <w:r w:rsidRPr="008470F7">
        <w:rPr>
          <w:szCs w:val="24"/>
        </w:rPr>
        <w:t>Sobre os componentes curriculares referentes a disciplinas optativas, poderão ser inseridos outros temas. Podendo ser atendidos segmentos específicos, como exemplo, contabilidade para cooperativas, seguradoras, hospitais, consórcios, entre outros (Carneiro et al., 2017).</w:t>
      </w:r>
    </w:p>
    <w:p w:rsidR="00C1412C" w:rsidRPr="008470F7" w:rsidRDefault="00C1412C" w:rsidP="00E63A6D">
      <w:pPr>
        <w:ind w:firstLine="567"/>
        <w:rPr>
          <w:szCs w:val="24"/>
        </w:rPr>
      </w:pPr>
      <w:r w:rsidRPr="008470F7">
        <w:rPr>
          <w:szCs w:val="24"/>
        </w:rPr>
        <w:lastRenderedPageBreak/>
        <w:t xml:space="preserve">Com relação às mudanças ocorridas na nova proposta lançada em 2017 pela FBC em relação à publicada em 2009 pelo CFC, pode-se observar que as disciplinas Filosofia da Ciência e Tecnologia da Informação que faziam parte da formação básica; e Contabilidade Internacional e Responsabilidade Social, que faziam parte do conteúdo de formação </w:t>
      </w:r>
      <w:proofErr w:type="gramStart"/>
      <w:r w:rsidRPr="008470F7">
        <w:rPr>
          <w:szCs w:val="24"/>
        </w:rPr>
        <w:t>profissional,  passaram</w:t>
      </w:r>
      <w:proofErr w:type="gramEnd"/>
      <w:r w:rsidRPr="008470F7">
        <w:rPr>
          <w:szCs w:val="24"/>
        </w:rPr>
        <w:t xml:space="preserve"> a ser consideradas como optativas.</w:t>
      </w:r>
    </w:p>
    <w:p w:rsidR="00C1412C" w:rsidRPr="008470F7" w:rsidRDefault="00C1412C" w:rsidP="00E63A6D">
      <w:pPr>
        <w:ind w:firstLine="567"/>
        <w:rPr>
          <w:szCs w:val="24"/>
        </w:rPr>
      </w:pPr>
      <w:r w:rsidRPr="008470F7">
        <w:rPr>
          <w:szCs w:val="24"/>
        </w:rPr>
        <w:t>Além disso, a disciplina Metodologia de Pesquisa que, em 2009, era considerada conteúdo de formação teórico-prática passou a ser considerada conteúdo de Formação Básica em 2017. E as disciplinas Economia Brasileira e Subvenções, Assistências Governamentais e Contratos de Concessões deixaram de aparecer na lista dos conteúdos optativos, sendo substituídos pelas disciplinas Contabilidade para Pequenas e Médias Empresas e Contabilidade para Construção Civil e Imobiliária.</w:t>
      </w:r>
      <w:r w:rsidR="0001338F">
        <w:rPr>
          <w:szCs w:val="24"/>
        </w:rPr>
        <w:t xml:space="preserve"> </w:t>
      </w:r>
      <w:r w:rsidRPr="008470F7">
        <w:rPr>
          <w:szCs w:val="24"/>
        </w:rPr>
        <w:t>O conteúdo de formação básica Economia, com carga horária de 90 horas em 2009, foi substituído pelas disciplinas Micro</w:t>
      </w:r>
      <w:r w:rsidR="00E63A6D">
        <w:rPr>
          <w:szCs w:val="24"/>
        </w:rPr>
        <w:t xml:space="preserve">economia e Macroeconomia, </w:t>
      </w:r>
      <w:r w:rsidRPr="008470F7">
        <w:rPr>
          <w:szCs w:val="24"/>
        </w:rPr>
        <w:t>com carga horária de 60 horas.</w:t>
      </w:r>
    </w:p>
    <w:p w:rsidR="00C1412C" w:rsidRPr="008470F7" w:rsidRDefault="00C1412C" w:rsidP="00E63A6D">
      <w:pPr>
        <w:ind w:firstLine="567"/>
        <w:rPr>
          <w:szCs w:val="24"/>
        </w:rPr>
      </w:pPr>
      <w:r w:rsidRPr="008470F7">
        <w:rPr>
          <w:szCs w:val="24"/>
        </w:rPr>
        <w:t>Houve, ainda, algumas alterações nos nomes das disciplinas e algumas mudanças nas cargas horárias. No conteúdo de formação profissional, a disciplina Auditoria aumentou de 90 para 120 horas; a carga horária das optativas subiu de 180 para 240 horas; foi inserida a disciplina Contabilidade Intermediária com carga horária de 120 horas; e a disciplina Estrutura das Demonstrações Contábeis passou a fazer parte das disciplinas Contabilidade Introdutória, além de ser citada nas disciplinas optativas Contabilidade do Terceiro Setor e Contabilidade para Pequenas e Médias Empresas. Com essas mudanças, a carga horária para conteúdo de formação profissional diminuiu de 1.680 para 1.620 horas e o conteúdo de formação teórico-prática aumentou de 420 para 480 horas. No total, a carga horária na proposta de 2017 continua em 3.000 horas.</w:t>
      </w:r>
    </w:p>
    <w:p w:rsidR="00C1412C" w:rsidRPr="008470F7" w:rsidRDefault="00C1412C" w:rsidP="00E63A6D">
      <w:pPr>
        <w:ind w:firstLine="567"/>
        <w:rPr>
          <w:szCs w:val="24"/>
        </w:rPr>
      </w:pPr>
      <w:r w:rsidRPr="008470F7">
        <w:rPr>
          <w:szCs w:val="24"/>
        </w:rPr>
        <w:t>Conforme a proposta nacional de conteúdo para o curso de graduação em Ciências Contábeis elaborada sob a coordenação de Juarez Domingues Carneiro (Carneiro et al., 2017), a matriz curricular deve ser flexível por causa das constantes mudanças e, então, a necessidade de atualizações e inovações. Para isso, as IES, observando a legislação vigente, podem e devem modificar a matriz curricular, visando melhorias na aprendizagem dos acadêmicos.</w:t>
      </w:r>
    </w:p>
    <w:p w:rsidR="00C1412C" w:rsidRPr="008470F7" w:rsidRDefault="00C1412C" w:rsidP="00E63A6D">
      <w:pPr>
        <w:ind w:firstLine="567"/>
        <w:rPr>
          <w:szCs w:val="24"/>
        </w:rPr>
      </w:pPr>
    </w:p>
    <w:p w:rsidR="00C1412C" w:rsidRPr="008470F7" w:rsidRDefault="00C1412C" w:rsidP="00E63A6D">
      <w:pPr>
        <w:ind w:firstLine="0"/>
        <w:rPr>
          <w:b/>
          <w:szCs w:val="24"/>
        </w:rPr>
      </w:pPr>
      <w:r w:rsidRPr="008470F7">
        <w:rPr>
          <w:b/>
          <w:szCs w:val="24"/>
        </w:rPr>
        <w:t xml:space="preserve">2.3 Modelo de Currículo Proposto pelo </w:t>
      </w:r>
      <w:proofErr w:type="spellStart"/>
      <w:r w:rsidRPr="008470F7">
        <w:rPr>
          <w:b/>
          <w:i/>
          <w:szCs w:val="24"/>
        </w:rPr>
        <w:t>International</w:t>
      </w:r>
      <w:proofErr w:type="spellEnd"/>
      <w:r w:rsidRPr="008470F7">
        <w:rPr>
          <w:b/>
          <w:i/>
          <w:szCs w:val="24"/>
        </w:rPr>
        <w:t xml:space="preserve"> Standards </w:t>
      </w:r>
      <w:proofErr w:type="spellStart"/>
      <w:r w:rsidRPr="008470F7">
        <w:rPr>
          <w:b/>
          <w:i/>
          <w:szCs w:val="24"/>
        </w:rPr>
        <w:t>of</w:t>
      </w:r>
      <w:proofErr w:type="spellEnd"/>
      <w:r w:rsidRPr="008470F7">
        <w:rPr>
          <w:b/>
          <w:i/>
          <w:szCs w:val="24"/>
        </w:rPr>
        <w:t xml:space="preserve"> </w:t>
      </w:r>
      <w:proofErr w:type="spellStart"/>
      <w:r w:rsidRPr="008470F7">
        <w:rPr>
          <w:b/>
          <w:i/>
          <w:szCs w:val="24"/>
        </w:rPr>
        <w:t>Accounting</w:t>
      </w:r>
      <w:proofErr w:type="spellEnd"/>
      <w:r w:rsidRPr="008470F7">
        <w:rPr>
          <w:b/>
          <w:i/>
          <w:szCs w:val="24"/>
        </w:rPr>
        <w:t xml:space="preserve"> </w:t>
      </w:r>
      <w:proofErr w:type="spellStart"/>
      <w:r w:rsidRPr="008470F7">
        <w:rPr>
          <w:b/>
          <w:i/>
          <w:szCs w:val="24"/>
        </w:rPr>
        <w:t>and</w:t>
      </w:r>
      <w:proofErr w:type="spellEnd"/>
      <w:r w:rsidRPr="008470F7">
        <w:rPr>
          <w:b/>
          <w:i/>
          <w:szCs w:val="24"/>
        </w:rPr>
        <w:t xml:space="preserve"> </w:t>
      </w:r>
      <w:proofErr w:type="spellStart"/>
      <w:r w:rsidRPr="008470F7">
        <w:rPr>
          <w:b/>
          <w:i/>
          <w:szCs w:val="24"/>
        </w:rPr>
        <w:t>Reporting</w:t>
      </w:r>
      <w:proofErr w:type="spellEnd"/>
    </w:p>
    <w:p w:rsidR="00C1412C" w:rsidRPr="008470F7" w:rsidRDefault="00C1412C" w:rsidP="00E63A6D">
      <w:pPr>
        <w:ind w:firstLine="567"/>
        <w:rPr>
          <w:szCs w:val="24"/>
        </w:rPr>
      </w:pPr>
      <w:r w:rsidRPr="008470F7">
        <w:rPr>
          <w:szCs w:val="24"/>
        </w:rPr>
        <w:t xml:space="preserve">A </w:t>
      </w:r>
      <w:r w:rsidRPr="008470F7">
        <w:rPr>
          <w:i/>
          <w:szCs w:val="24"/>
        </w:rPr>
        <w:t xml:space="preserve">United </w:t>
      </w:r>
      <w:proofErr w:type="spellStart"/>
      <w:r w:rsidRPr="008470F7">
        <w:rPr>
          <w:i/>
          <w:szCs w:val="24"/>
        </w:rPr>
        <w:t>Nations</w:t>
      </w:r>
      <w:proofErr w:type="spellEnd"/>
      <w:r w:rsidRPr="008470F7">
        <w:rPr>
          <w:i/>
          <w:szCs w:val="24"/>
        </w:rPr>
        <w:t xml:space="preserve"> </w:t>
      </w:r>
      <w:proofErr w:type="spellStart"/>
      <w:r w:rsidRPr="008470F7">
        <w:rPr>
          <w:i/>
          <w:szCs w:val="24"/>
        </w:rPr>
        <w:t>Conference</w:t>
      </w:r>
      <w:proofErr w:type="spellEnd"/>
      <w:r w:rsidRPr="008470F7">
        <w:rPr>
          <w:i/>
          <w:szCs w:val="24"/>
        </w:rPr>
        <w:t xml:space="preserve"> </w:t>
      </w:r>
      <w:proofErr w:type="spellStart"/>
      <w:r w:rsidRPr="008470F7">
        <w:rPr>
          <w:i/>
          <w:szCs w:val="24"/>
        </w:rPr>
        <w:t>on</w:t>
      </w:r>
      <w:proofErr w:type="spellEnd"/>
      <w:r w:rsidRPr="008470F7">
        <w:rPr>
          <w:i/>
          <w:szCs w:val="24"/>
        </w:rPr>
        <w:t xml:space="preserve"> Trade </w:t>
      </w:r>
      <w:proofErr w:type="spellStart"/>
      <w:r w:rsidRPr="008470F7">
        <w:rPr>
          <w:i/>
          <w:szCs w:val="24"/>
        </w:rPr>
        <w:t>and</w:t>
      </w:r>
      <w:proofErr w:type="spellEnd"/>
      <w:r w:rsidRPr="008470F7">
        <w:rPr>
          <w:i/>
          <w:szCs w:val="24"/>
        </w:rPr>
        <w:t xml:space="preserve"> </w:t>
      </w:r>
      <w:proofErr w:type="spellStart"/>
      <w:r w:rsidRPr="008470F7">
        <w:rPr>
          <w:i/>
          <w:szCs w:val="24"/>
        </w:rPr>
        <w:t>Development</w:t>
      </w:r>
      <w:proofErr w:type="spellEnd"/>
      <w:r w:rsidRPr="008470F7">
        <w:rPr>
          <w:szCs w:val="24"/>
        </w:rPr>
        <w:t xml:space="preserve"> (UNCTAD) é um órgão ligado à Organização das Nações Unidas (ONU) que coordena um grupo de especialistas em padrões contábeis internacionais e relatórios, denominado </w:t>
      </w:r>
      <w:proofErr w:type="spellStart"/>
      <w:r w:rsidRPr="008470F7">
        <w:rPr>
          <w:i/>
          <w:szCs w:val="24"/>
        </w:rPr>
        <w:t>International</w:t>
      </w:r>
      <w:proofErr w:type="spellEnd"/>
      <w:r w:rsidRPr="008470F7">
        <w:rPr>
          <w:i/>
          <w:szCs w:val="24"/>
        </w:rPr>
        <w:t xml:space="preserve"> Standards </w:t>
      </w:r>
      <w:proofErr w:type="spellStart"/>
      <w:r w:rsidRPr="008470F7">
        <w:rPr>
          <w:i/>
          <w:szCs w:val="24"/>
        </w:rPr>
        <w:t>of</w:t>
      </w:r>
      <w:proofErr w:type="spellEnd"/>
      <w:r w:rsidRPr="008470F7">
        <w:rPr>
          <w:i/>
          <w:szCs w:val="24"/>
        </w:rPr>
        <w:t xml:space="preserve"> </w:t>
      </w:r>
      <w:proofErr w:type="spellStart"/>
      <w:r w:rsidRPr="008470F7">
        <w:rPr>
          <w:i/>
          <w:szCs w:val="24"/>
        </w:rPr>
        <w:t>Accounting</w:t>
      </w:r>
      <w:proofErr w:type="spellEnd"/>
      <w:r w:rsidRPr="008470F7">
        <w:rPr>
          <w:i/>
          <w:szCs w:val="24"/>
        </w:rPr>
        <w:t xml:space="preserve"> </w:t>
      </w:r>
      <w:proofErr w:type="spellStart"/>
      <w:r w:rsidRPr="008470F7">
        <w:rPr>
          <w:i/>
          <w:szCs w:val="24"/>
        </w:rPr>
        <w:t>and</w:t>
      </w:r>
      <w:proofErr w:type="spellEnd"/>
      <w:r w:rsidRPr="008470F7">
        <w:rPr>
          <w:i/>
          <w:szCs w:val="24"/>
        </w:rPr>
        <w:t xml:space="preserve"> </w:t>
      </w:r>
      <w:proofErr w:type="spellStart"/>
      <w:r w:rsidRPr="008470F7">
        <w:rPr>
          <w:i/>
          <w:szCs w:val="24"/>
        </w:rPr>
        <w:t>Reporting</w:t>
      </w:r>
      <w:proofErr w:type="spellEnd"/>
      <w:r w:rsidRPr="008470F7">
        <w:rPr>
          <w:szCs w:val="24"/>
        </w:rPr>
        <w:t xml:space="preserve"> (ISAR), cujo objetivo é o de promover a alta qualidade e comparabilidade internacional de relatórios, além de empreender esforços para melhorar a contabilidade das entidades.</w:t>
      </w:r>
    </w:p>
    <w:p w:rsidR="00C1412C" w:rsidRPr="008470F7" w:rsidRDefault="00C1412C" w:rsidP="00E63A6D">
      <w:pPr>
        <w:ind w:firstLine="567"/>
        <w:rPr>
          <w:szCs w:val="24"/>
        </w:rPr>
      </w:pPr>
      <w:r w:rsidRPr="008470F7">
        <w:rPr>
          <w:szCs w:val="24"/>
        </w:rPr>
        <w:t xml:space="preserve">Em 1999, o ISAR criou um documento denominado </w:t>
      </w:r>
      <w:r w:rsidRPr="008470F7">
        <w:rPr>
          <w:i/>
          <w:szCs w:val="24"/>
        </w:rPr>
        <w:t>“</w:t>
      </w:r>
      <w:proofErr w:type="spellStart"/>
      <w:r w:rsidRPr="008470F7">
        <w:rPr>
          <w:i/>
          <w:szCs w:val="24"/>
        </w:rPr>
        <w:t>Guideline</w:t>
      </w:r>
      <w:proofErr w:type="spellEnd"/>
      <w:r w:rsidRPr="008470F7">
        <w:rPr>
          <w:i/>
          <w:szCs w:val="24"/>
        </w:rPr>
        <w:t xml:space="preserve"> </w:t>
      </w:r>
      <w:proofErr w:type="spellStart"/>
      <w:r w:rsidRPr="008470F7">
        <w:rPr>
          <w:i/>
          <w:szCs w:val="24"/>
        </w:rPr>
        <w:t>on</w:t>
      </w:r>
      <w:proofErr w:type="spellEnd"/>
      <w:r w:rsidRPr="008470F7">
        <w:rPr>
          <w:i/>
          <w:szCs w:val="24"/>
        </w:rPr>
        <w:t xml:space="preserve"> </w:t>
      </w:r>
      <w:proofErr w:type="spellStart"/>
      <w:r w:rsidRPr="008470F7">
        <w:rPr>
          <w:i/>
          <w:szCs w:val="24"/>
        </w:rPr>
        <w:t>National</w:t>
      </w:r>
      <w:proofErr w:type="spellEnd"/>
      <w:r w:rsidRPr="008470F7">
        <w:rPr>
          <w:i/>
          <w:szCs w:val="24"/>
        </w:rPr>
        <w:t xml:space="preserve"> </w:t>
      </w:r>
      <w:proofErr w:type="spellStart"/>
      <w:r w:rsidRPr="008470F7">
        <w:rPr>
          <w:i/>
          <w:szCs w:val="24"/>
        </w:rPr>
        <w:t>Requirements</w:t>
      </w:r>
      <w:proofErr w:type="spellEnd"/>
      <w:r w:rsidRPr="008470F7">
        <w:rPr>
          <w:i/>
          <w:szCs w:val="24"/>
        </w:rPr>
        <w:t xml:space="preserve"> for </w:t>
      </w:r>
      <w:proofErr w:type="spellStart"/>
      <w:r w:rsidRPr="008470F7">
        <w:rPr>
          <w:i/>
          <w:szCs w:val="24"/>
        </w:rPr>
        <w:t>the</w:t>
      </w:r>
      <w:proofErr w:type="spellEnd"/>
      <w:r w:rsidRPr="008470F7">
        <w:rPr>
          <w:i/>
          <w:szCs w:val="24"/>
        </w:rPr>
        <w:t xml:space="preserve"> </w:t>
      </w:r>
      <w:proofErr w:type="spellStart"/>
      <w:r w:rsidRPr="008470F7">
        <w:rPr>
          <w:i/>
          <w:szCs w:val="24"/>
        </w:rPr>
        <w:t>Qualification</w:t>
      </w:r>
      <w:proofErr w:type="spellEnd"/>
      <w:r w:rsidRPr="008470F7">
        <w:rPr>
          <w:i/>
          <w:szCs w:val="24"/>
        </w:rPr>
        <w:t xml:space="preserve"> </w:t>
      </w:r>
      <w:proofErr w:type="spellStart"/>
      <w:r w:rsidRPr="008470F7">
        <w:rPr>
          <w:i/>
          <w:szCs w:val="24"/>
        </w:rPr>
        <w:t>of</w:t>
      </w:r>
      <w:proofErr w:type="spellEnd"/>
      <w:r w:rsidRPr="008470F7">
        <w:rPr>
          <w:i/>
          <w:szCs w:val="24"/>
        </w:rPr>
        <w:t xml:space="preserve"> Professional </w:t>
      </w:r>
      <w:proofErr w:type="spellStart"/>
      <w:r w:rsidRPr="008470F7">
        <w:rPr>
          <w:i/>
          <w:szCs w:val="24"/>
        </w:rPr>
        <w:t>Accountants</w:t>
      </w:r>
      <w:proofErr w:type="spellEnd"/>
      <w:r w:rsidRPr="008470F7">
        <w:rPr>
          <w:i/>
          <w:szCs w:val="24"/>
        </w:rPr>
        <w:t>”</w:t>
      </w:r>
      <w:r w:rsidRPr="008470F7">
        <w:rPr>
          <w:szCs w:val="24"/>
        </w:rPr>
        <w:t xml:space="preserve">, incluindo um modelo de currículo mundial (MC) para contabilidade, o qual foi revisado em 2011. Segundo </w:t>
      </w:r>
      <w:proofErr w:type="spellStart"/>
      <w:r w:rsidRPr="008470F7">
        <w:rPr>
          <w:szCs w:val="24"/>
        </w:rPr>
        <w:t>Czesnat</w:t>
      </w:r>
      <w:proofErr w:type="spellEnd"/>
      <w:r w:rsidRPr="008470F7">
        <w:rPr>
          <w:szCs w:val="24"/>
        </w:rPr>
        <w:t>, Cunha e Domingues (2009), esse modelo de currículo mundial auxilia as instituições de ensino superior a formular seus próprios currículos, fornecendo-lhes uma base uniforme e harmonizada para o estudo da contabilidade e qualificação profissional.</w:t>
      </w:r>
    </w:p>
    <w:p w:rsidR="00C1412C" w:rsidRPr="008470F7" w:rsidRDefault="00C1412C" w:rsidP="00E63A6D">
      <w:pPr>
        <w:ind w:firstLine="567"/>
        <w:rPr>
          <w:szCs w:val="24"/>
        </w:rPr>
      </w:pPr>
      <w:r w:rsidRPr="008470F7">
        <w:rPr>
          <w:szCs w:val="24"/>
        </w:rPr>
        <w:t xml:space="preserve">Esse modelo de currículo, se seguido, é um dos instrumentos que pode propiciar uma melhor qualificação dos profissionais contábeis, abrangendo diversas informações, tais como: a) conhecimentos gerais e aptidões intrínsecas aos contadores; b) educação técnica-profissional; c) </w:t>
      </w:r>
      <w:r w:rsidRPr="008470F7">
        <w:rPr>
          <w:szCs w:val="24"/>
        </w:rPr>
        <w:lastRenderedPageBreak/>
        <w:t>exame das competências profissionais (exame de suficiência); d) experiência prática; e) educação profissional continuada; e f) certificação (</w:t>
      </w:r>
      <w:bookmarkStart w:id="4" w:name="_Hlk1229090"/>
      <w:proofErr w:type="spellStart"/>
      <w:r w:rsidRPr="008470F7">
        <w:rPr>
          <w:i/>
          <w:szCs w:val="24"/>
        </w:rPr>
        <w:t>Revised</w:t>
      </w:r>
      <w:proofErr w:type="spellEnd"/>
      <w:r w:rsidRPr="008470F7">
        <w:rPr>
          <w:i/>
          <w:szCs w:val="24"/>
        </w:rPr>
        <w:t xml:space="preserve"> </w:t>
      </w:r>
      <w:proofErr w:type="spellStart"/>
      <w:r w:rsidRPr="008470F7">
        <w:rPr>
          <w:i/>
          <w:szCs w:val="24"/>
        </w:rPr>
        <w:t>model</w:t>
      </w:r>
      <w:proofErr w:type="spellEnd"/>
      <w:r w:rsidRPr="008470F7">
        <w:rPr>
          <w:i/>
          <w:szCs w:val="24"/>
        </w:rPr>
        <w:t xml:space="preserve"> </w:t>
      </w:r>
      <w:proofErr w:type="spellStart"/>
      <w:r w:rsidRPr="008470F7">
        <w:rPr>
          <w:i/>
          <w:szCs w:val="24"/>
        </w:rPr>
        <w:t>accounting</w:t>
      </w:r>
      <w:proofErr w:type="spellEnd"/>
      <w:r w:rsidRPr="008470F7">
        <w:rPr>
          <w:i/>
          <w:szCs w:val="24"/>
        </w:rPr>
        <w:t xml:space="preserve"> curriculum</w:t>
      </w:r>
      <w:r w:rsidRPr="008470F7">
        <w:rPr>
          <w:szCs w:val="24"/>
        </w:rPr>
        <w:t xml:space="preserve"> </w:t>
      </w:r>
      <w:r w:rsidRPr="008470F7">
        <w:rPr>
          <w:i/>
          <w:szCs w:val="24"/>
        </w:rPr>
        <w:t>(MC)</w:t>
      </w:r>
      <w:r w:rsidRPr="008470F7">
        <w:rPr>
          <w:szCs w:val="24"/>
        </w:rPr>
        <w:t>, 2011</w:t>
      </w:r>
      <w:bookmarkEnd w:id="4"/>
      <w:r w:rsidRPr="008470F7">
        <w:rPr>
          <w:szCs w:val="24"/>
        </w:rPr>
        <w:t>).</w:t>
      </w:r>
    </w:p>
    <w:p w:rsidR="00C1412C" w:rsidRPr="008470F7" w:rsidRDefault="00C1412C" w:rsidP="00E63A6D">
      <w:pPr>
        <w:ind w:firstLine="567"/>
        <w:rPr>
          <w:szCs w:val="24"/>
        </w:rPr>
      </w:pPr>
      <w:r w:rsidRPr="008470F7">
        <w:rPr>
          <w:szCs w:val="24"/>
        </w:rPr>
        <w:t>O “</w:t>
      </w:r>
      <w:proofErr w:type="spellStart"/>
      <w:r w:rsidRPr="008470F7">
        <w:rPr>
          <w:i/>
          <w:szCs w:val="24"/>
        </w:rPr>
        <w:t>Revised</w:t>
      </w:r>
      <w:proofErr w:type="spellEnd"/>
      <w:r w:rsidRPr="008470F7">
        <w:rPr>
          <w:i/>
          <w:szCs w:val="24"/>
        </w:rPr>
        <w:t xml:space="preserve"> </w:t>
      </w:r>
      <w:proofErr w:type="spellStart"/>
      <w:r w:rsidRPr="008470F7">
        <w:rPr>
          <w:i/>
          <w:szCs w:val="24"/>
        </w:rPr>
        <w:t>model</w:t>
      </w:r>
      <w:proofErr w:type="spellEnd"/>
      <w:r w:rsidRPr="008470F7">
        <w:rPr>
          <w:i/>
          <w:szCs w:val="24"/>
        </w:rPr>
        <w:t xml:space="preserve"> </w:t>
      </w:r>
      <w:proofErr w:type="spellStart"/>
      <w:r w:rsidRPr="008470F7">
        <w:rPr>
          <w:i/>
          <w:szCs w:val="24"/>
        </w:rPr>
        <w:t>accounting</w:t>
      </w:r>
      <w:proofErr w:type="spellEnd"/>
      <w:r w:rsidRPr="008470F7">
        <w:rPr>
          <w:i/>
          <w:szCs w:val="24"/>
        </w:rPr>
        <w:t xml:space="preserve"> curriculum</w:t>
      </w:r>
      <w:r w:rsidRPr="008470F7">
        <w:rPr>
          <w:szCs w:val="24"/>
        </w:rPr>
        <w:t xml:space="preserve"> (</w:t>
      </w:r>
      <w:proofErr w:type="gramStart"/>
      <w:r w:rsidRPr="008470F7">
        <w:rPr>
          <w:szCs w:val="24"/>
        </w:rPr>
        <w:t>MC)”</w:t>
      </w:r>
      <w:proofErr w:type="gramEnd"/>
      <w:r w:rsidRPr="008470F7">
        <w:rPr>
          <w:szCs w:val="24"/>
        </w:rPr>
        <w:t xml:space="preserve"> - Unctad/</w:t>
      </w:r>
      <w:proofErr w:type="spellStart"/>
      <w:r w:rsidRPr="008470F7">
        <w:rPr>
          <w:szCs w:val="24"/>
        </w:rPr>
        <w:t>Isar</w:t>
      </w:r>
      <w:proofErr w:type="spellEnd"/>
      <w:r w:rsidRPr="008470F7">
        <w:rPr>
          <w:szCs w:val="24"/>
        </w:rPr>
        <w:t xml:space="preserve"> (2011) orienta que a leitura do modelo de currículo mundial deve ser feita acompanhada de cinco observações. Em primeiro lugar, salienta que o MC é para a educação de contadores de todos os países do mundo, não só dos que estão em desenvolvimento. Em segundo, propõe que os profissionais contábeis devem aplicar os conhecimentos teóricos em situação práticas e reais. Em terceiro, prevê um sistema de educação contábil capaz de desenvolver habilidades e competências. Em quarto, frisa que a abordagem baseada em competências deve ser conciliada com a abordagem baseada em habilidades, haja vista que o currículo detalhado é um ponto de partida, apenas um padrão básico para os países adequarem seu sistema educacional com o restante do mundo. E, por fim, salienta-se que o MC é um currículo dinâmico, ou seja, deve sofrer mudanças sempre que necessário, a fim de acompanhar as mudanças e atualizações em termos profissionais, técnicos, econômicos, normativos e tecnológicos.</w:t>
      </w:r>
    </w:p>
    <w:p w:rsidR="00C1412C" w:rsidRPr="008470F7" w:rsidRDefault="00C1412C" w:rsidP="00E63A6D">
      <w:pPr>
        <w:rPr>
          <w:b/>
          <w:szCs w:val="24"/>
        </w:rPr>
      </w:pPr>
    </w:p>
    <w:p w:rsidR="00C1412C" w:rsidRPr="008470F7" w:rsidRDefault="00C1412C" w:rsidP="00E63A6D">
      <w:pPr>
        <w:keepNext/>
        <w:ind w:firstLine="0"/>
        <w:rPr>
          <w:b/>
          <w:szCs w:val="24"/>
        </w:rPr>
      </w:pPr>
      <w:r w:rsidRPr="008470F7">
        <w:rPr>
          <w:b/>
          <w:szCs w:val="24"/>
        </w:rPr>
        <w:t>2.4 Fatores que influenciam o processo de aprendizagem</w:t>
      </w:r>
    </w:p>
    <w:p w:rsidR="00C1412C" w:rsidRPr="008470F7" w:rsidRDefault="00C1412C" w:rsidP="00E63A6D">
      <w:pPr>
        <w:ind w:firstLine="567"/>
        <w:rPr>
          <w:szCs w:val="24"/>
        </w:rPr>
      </w:pPr>
      <w:r w:rsidRPr="008470F7">
        <w:rPr>
          <w:szCs w:val="24"/>
        </w:rPr>
        <w:t xml:space="preserve">Nas palavras de </w:t>
      </w:r>
      <w:bookmarkStart w:id="5" w:name="_Hlk1229129"/>
      <w:r w:rsidRPr="008470F7">
        <w:rPr>
          <w:szCs w:val="24"/>
        </w:rPr>
        <w:t xml:space="preserve">Araújo, Santana e Ribeiro (2009, </w:t>
      </w:r>
      <w:bookmarkEnd w:id="5"/>
      <w:r w:rsidRPr="008470F7">
        <w:rPr>
          <w:szCs w:val="24"/>
        </w:rPr>
        <w:t>p. 2), compete ao processo de aprendizagem a “resposta do indivíduo ao estímulo do ambiente diante de uma situação problema, considerando-se os hábitos e aspectos da vida desse indivíduo”.</w:t>
      </w:r>
    </w:p>
    <w:p w:rsidR="00C1412C" w:rsidRPr="008470F7" w:rsidRDefault="00C1412C" w:rsidP="00E63A6D">
      <w:pPr>
        <w:ind w:firstLine="567"/>
        <w:rPr>
          <w:szCs w:val="24"/>
        </w:rPr>
      </w:pPr>
      <w:r w:rsidRPr="008470F7">
        <w:rPr>
          <w:szCs w:val="24"/>
        </w:rPr>
        <w:t xml:space="preserve">Visando identificar os principais fatores que influenciam o processo de ensino, </w:t>
      </w:r>
      <w:bookmarkStart w:id="6" w:name="_Hlk1229172"/>
      <w:proofErr w:type="spellStart"/>
      <w:r w:rsidRPr="008470F7">
        <w:rPr>
          <w:szCs w:val="24"/>
        </w:rPr>
        <w:t>Bordenave</w:t>
      </w:r>
      <w:proofErr w:type="spellEnd"/>
      <w:r w:rsidRPr="008470F7">
        <w:rPr>
          <w:szCs w:val="24"/>
        </w:rPr>
        <w:t xml:space="preserve"> e Pereira (2002)</w:t>
      </w:r>
      <w:bookmarkEnd w:id="6"/>
      <w:r w:rsidRPr="008470F7">
        <w:rPr>
          <w:szCs w:val="24"/>
        </w:rPr>
        <w:t xml:space="preserve"> realizaram uma pesquisa com aproximadamente 500 professores universitários, tendo sido apontados três fatores principais, sendo eles: aluno, assunto e professor.</w:t>
      </w:r>
    </w:p>
    <w:p w:rsidR="00C1412C" w:rsidRPr="008470F7" w:rsidRDefault="00C1412C" w:rsidP="00E63A6D">
      <w:pPr>
        <w:ind w:firstLine="567"/>
        <w:rPr>
          <w:szCs w:val="24"/>
        </w:rPr>
      </w:pPr>
      <w:bookmarkStart w:id="7" w:name="_Hlk1294985"/>
      <w:r w:rsidRPr="008470F7">
        <w:rPr>
          <w:szCs w:val="24"/>
        </w:rPr>
        <w:t xml:space="preserve">Por sua vez, Santos (2001) apresenta, além dos fatores apontados no estudo de </w:t>
      </w:r>
      <w:proofErr w:type="spellStart"/>
      <w:r w:rsidRPr="008470F7">
        <w:rPr>
          <w:szCs w:val="24"/>
        </w:rPr>
        <w:t>Bordenave</w:t>
      </w:r>
      <w:proofErr w:type="spellEnd"/>
      <w:r w:rsidRPr="008470F7">
        <w:rPr>
          <w:szCs w:val="24"/>
        </w:rPr>
        <w:t xml:space="preserve"> e Pereira (2002), o fator escola com as suas características, como: as crenças dos dirigentes, o entendimento da essência do processo educacional e a liderança, que também contribuem para o processo de ensino-aprendizagem. </w:t>
      </w:r>
      <w:bookmarkEnd w:id="7"/>
      <w:r w:rsidRPr="008470F7">
        <w:rPr>
          <w:szCs w:val="24"/>
        </w:rPr>
        <w:t>Destaca, todavia, que o entendimento sobre esses fatores e também as diferentes interações entre eles é fundamental para a melhoria da qualidade do ensino nas instituições.</w:t>
      </w:r>
    </w:p>
    <w:p w:rsidR="00C1412C" w:rsidRPr="008470F7" w:rsidRDefault="00C1412C" w:rsidP="00E63A6D">
      <w:pPr>
        <w:ind w:firstLine="567"/>
        <w:rPr>
          <w:szCs w:val="24"/>
        </w:rPr>
      </w:pPr>
      <w:r w:rsidRPr="008470F7">
        <w:rPr>
          <w:szCs w:val="24"/>
        </w:rPr>
        <w:t>Nessa mesma linha de pensamento e destacando a importância da instituição, Miranda, Nova e Leal (2018, p. 41) afirmam que “A escolha da instituição pode ter reflexos significativos no desempenho de um estudante, pois é a instituição que proporcionará as condições e o ambiente para que a aprendizagem ocorra efetivamente”.</w:t>
      </w:r>
    </w:p>
    <w:p w:rsidR="00C1412C" w:rsidRPr="008470F7" w:rsidRDefault="00C1412C" w:rsidP="00E63A6D">
      <w:pPr>
        <w:ind w:firstLine="567"/>
        <w:rPr>
          <w:szCs w:val="24"/>
        </w:rPr>
      </w:pPr>
      <w:bookmarkStart w:id="8" w:name="_Hlk1229281"/>
      <w:r w:rsidRPr="008470F7">
        <w:rPr>
          <w:szCs w:val="24"/>
        </w:rPr>
        <w:t xml:space="preserve">Os autores Miranda, Nova e Leal (2018) ainda enfatizam que algumas pesquisas evidenciam que os cursos que oferecem maior percentual de conteúdos profissionais, ou seja, disciplinas que abordam a contabilidade, apresentam melhor desempenho em avaliações externas, como o exame de suficiência e o Exame Nacional de Desempenho de Estudantes (ENADE). </w:t>
      </w:r>
      <w:bookmarkEnd w:id="8"/>
      <w:r w:rsidRPr="008470F7">
        <w:rPr>
          <w:szCs w:val="24"/>
        </w:rPr>
        <w:t xml:space="preserve">Os autores também observam que “o projeto pedagógico deve ser constantemente acompanhado </w:t>
      </w:r>
      <w:proofErr w:type="gramStart"/>
      <w:r w:rsidRPr="008470F7">
        <w:rPr>
          <w:szCs w:val="24"/>
        </w:rPr>
        <w:t>e  ser</w:t>
      </w:r>
      <w:proofErr w:type="gramEnd"/>
      <w:r w:rsidRPr="008470F7">
        <w:rPr>
          <w:szCs w:val="24"/>
        </w:rPr>
        <w:t xml:space="preserve"> adequado ao cenário no qual as organizações estão inseridas” (Miranda, Nova, &amp; Leal, 2018, p. 32).</w:t>
      </w:r>
    </w:p>
    <w:p w:rsidR="00C1412C" w:rsidRPr="008470F7" w:rsidRDefault="00C1412C" w:rsidP="00E63A6D">
      <w:pPr>
        <w:ind w:firstLine="567"/>
        <w:rPr>
          <w:szCs w:val="24"/>
        </w:rPr>
      </w:pPr>
      <w:r w:rsidRPr="008470F7">
        <w:rPr>
          <w:szCs w:val="24"/>
        </w:rPr>
        <w:t>Observa-se, pelas palavras dos autores, que o projeto pedagógico deve ser objeto de avaliação constante, haja vista as dinâmicas do cotidiano e que tem que estar alinhado com o mercado e, dessa forma, atender as necessidades da sociedade.</w:t>
      </w:r>
    </w:p>
    <w:p w:rsidR="00C1412C" w:rsidRPr="008470F7" w:rsidRDefault="00C1412C" w:rsidP="00E63A6D">
      <w:pPr>
        <w:ind w:firstLine="567"/>
        <w:rPr>
          <w:szCs w:val="24"/>
        </w:rPr>
      </w:pPr>
      <w:r w:rsidRPr="008470F7">
        <w:rPr>
          <w:szCs w:val="24"/>
        </w:rPr>
        <w:t xml:space="preserve">Direcionando a pesquisa para a área contábil, </w:t>
      </w:r>
      <w:bookmarkStart w:id="9" w:name="_Hlk1229733"/>
      <w:r w:rsidRPr="008470F7">
        <w:rPr>
          <w:szCs w:val="24"/>
        </w:rPr>
        <w:t xml:space="preserve">Beck e </w:t>
      </w:r>
      <w:proofErr w:type="spellStart"/>
      <w:r w:rsidRPr="008470F7">
        <w:rPr>
          <w:szCs w:val="24"/>
        </w:rPr>
        <w:t>Rausch</w:t>
      </w:r>
      <w:proofErr w:type="spellEnd"/>
      <w:r w:rsidRPr="008470F7">
        <w:rPr>
          <w:szCs w:val="24"/>
        </w:rPr>
        <w:t xml:space="preserve"> (2014)</w:t>
      </w:r>
      <w:bookmarkEnd w:id="9"/>
      <w:r w:rsidRPr="008470F7">
        <w:rPr>
          <w:szCs w:val="24"/>
        </w:rPr>
        <w:t xml:space="preserve"> desenvolveram estudo com objetivo de captar a percepção dos alunos de ciências contábeis da Universidade Regional de </w:t>
      </w:r>
      <w:r w:rsidRPr="008470F7">
        <w:rPr>
          <w:szCs w:val="24"/>
        </w:rPr>
        <w:lastRenderedPageBreak/>
        <w:t xml:space="preserve">Blumenau, em relação aos fatores que influenciam o processo ensino-aprendizagem, tendo por base os estudos de </w:t>
      </w:r>
      <w:proofErr w:type="spellStart"/>
      <w:r w:rsidRPr="008470F7">
        <w:rPr>
          <w:szCs w:val="24"/>
        </w:rPr>
        <w:t>Bordenave</w:t>
      </w:r>
      <w:proofErr w:type="spellEnd"/>
      <w:r w:rsidRPr="008470F7">
        <w:rPr>
          <w:szCs w:val="24"/>
        </w:rPr>
        <w:t xml:space="preserve"> e Pereira (2002). A pesquisa foi realizada em dezembro de 2011 para os alunos de 6°, 7° e 8° semestres, com a utilização da escala aproximativa </w:t>
      </w:r>
      <w:r w:rsidRPr="008470F7">
        <w:rPr>
          <w:i/>
          <w:szCs w:val="24"/>
        </w:rPr>
        <w:t>Best</w:t>
      </w:r>
      <w:r w:rsidRPr="008470F7">
        <w:rPr>
          <w:szCs w:val="24"/>
        </w:rPr>
        <w:t>-</w:t>
      </w:r>
      <w:proofErr w:type="spellStart"/>
      <w:r w:rsidRPr="008470F7">
        <w:rPr>
          <w:i/>
          <w:szCs w:val="24"/>
        </w:rPr>
        <w:t>Worst</w:t>
      </w:r>
      <w:proofErr w:type="spellEnd"/>
      <w:r w:rsidRPr="008470F7">
        <w:rPr>
          <w:szCs w:val="24"/>
        </w:rPr>
        <w:t>, tendo apresentado, em grau de importância, os seguintes resultados:</w:t>
      </w:r>
    </w:p>
    <w:p w:rsidR="008470F7" w:rsidRPr="008470F7" w:rsidRDefault="008470F7" w:rsidP="00E63A6D">
      <w:pPr>
        <w:ind w:firstLine="0"/>
        <w:rPr>
          <w:szCs w:val="24"/>
        </w:rPr>
      </w:pPr>
    </w:p>
    <w:tbl>
      <w:tblPr>
        <w:tblW w:w="8505" w:type="dxa"/>
        <w:tblInd w:w="70" w:type="dxa"/>
        <w:tblLayout w:type="fixed"/>
        <w:tblCellMar>
          <w:left w:w="70" w:type="dxa"/>
          <w:right w:w="70" w:type="dxa"/>
        </w:tblCellMar>
        <w:tblLook w:val="04A0" w:firstRow="1" w:lastRow="0" w:firstColumn="1" w:lastColumn="0" w:noHBand="0" w:noVBand="1"/>
      </w:tblPr>
      <w:tblGrid>
        <w:gridCol w:w="1985"/>
        <w:gridCol w:w="851"/>
        <w:gridCol w:w="1984"/>
        <w:gridCol w:w="851"/>
        <w:gridCol w:w="1984"/>
        <w:gridCol w:w="850"/>
      </w:tblGrid>
      <w:tr w:rsidR="008470F7" w:rsidRPr="008470F7" w:rsidTr="008470F7">
        <w:trPr>
          <w:trHeight w:val="270"/>
        </w:trPr>
        <w:tc>
          <w:tcPr>
            <w:tcW w:w="8505" w:type="dxa"/>
            <w:gridSpan w:val="6"/>
            <w:tcBorders>
              <w:bottom w:val="single" w:sz="4" w:space="0" w:color="auto"/>
            </w:tcBorders>
            <w:shd w:val="clear" w:color="auto" w:fill="auto"/>
            <w:noWrap/>
            <w:vAlign w:val="center"/>
          </w:tcPr>
          <w:p w:rsidR="008470F7" w:rsidRPr="008470F7" w:rsidRDefault="00A37CFD" w:rsidP="00E63A6D">
            <w:pPr>
              <w:widowControl/>
              <w:suppressLineNumbers w:val="0"/>
              <w:suppressAutoHyphens w:val="0"/>
              <w:ind w:firstLine="0"/>
              <w:jc w:val="left"/>
              <w:rPr>
                <w:bCs/>
                <w:color w:val="000000"/>
                <w:sz w:val="20"/>
              </w:rPr>
            </w:pPr>
            <w:r>
              <w:rPr>
                <w:bCs/>
                <w:color w:val="000000"/>
                <w:sz w:val="20"/>
              </w:rPr>
              <w:t>Tabela 3.</w:t>
            </w:r>
            <w:r w:rsidR="008470F7" w:rsidRPr="008470F7">
              <w:rPr>
                <w:bCs/>
                <w:color w:val="000000"/>
                <w:sz w:val="20"/>
              </w:rPr>
              <w:t xml:space="preserve"> Fatores que influenciam no processo ensino-aprendizado</w:t>
            </w:r>
          </w:p>
        </w:tc>
      </w:tr>
      <w:tr w:rsidR="008470F7" w:rsidRPr="008470F7" w:rsidTr="008470F7">
        <w:trPr>
          <w:trHeight w:val="270"/>
        </w:trPr>
        <w:tc>
          <w:tcPr>
            <w:tcW w:w="2836" w:type="dxa"/>
            <w:gridSpan w:val="2"/>
            <w:tcBorders>
              <w:top w:val="single" w:sz="4" w:space="0" w:color="auto"/>
              <w:bottom w:val="single" w:sz="4" w:space="0" w:color="auto"/>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b/>
                <w:bCs/>
                <w:color w:val="000000"/>
                <w:sz w:val="20"/>
              </w:rPr>
            </w:pPr>
            <w:r w:rsidRPr="008470F7">
              <w:rPr>
                <w:b/>
                <w:bCs/>
                <w:color w:val="000000"/>
                <w:sz w:val="20"/>
              </w:rPr>
              <w:t>Aluno</w:t>
            </w:r>
          </w:p>
        </w:tc>
        <w:tc>
          <w:tcPr>
            <w:tcW w:w="28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b/>
                <w:bCs/>
                <w:color w:val="000000"/>
                <w:sz w:val="20"/>
              </w:rPr>
            </w:pPr>
            <w:r w:rsidRPr="008470F7">
              <w:rPr>
                <w:b/>
                <w:bCs/>
                <w:color w:val="000000"/>
                <w:sz w:val="20"/>
              </w:rPr>
              <w:t>Estrutura</w:t>
            </w:r>
          </w:p>
        </w:tc>
        <w:tc>
          <w:tcPr>
            <w:tcW w:w="2834" w:type="dxa"/>
            <w:gridSpan w:val="2"/>
            <w:tcBorders>
              <w:top w:val="single" w:sz="4" w:space="0" w:color="auto"/>
              <w:left w:val="single" w:sz="4" w:space="0" w:color="auto"/>
              <w:bottom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b/>
                <w:bCs/>
                <w:color w:val="000000"/>
                <w:sz w:val="20"/>
              </w:rPr>
            </w:pPr>
            <w:r w:rsidRPr="008470F7">
              <w:rPr>
                <w:b/>
                <w:bCs/>
                <w:color w:val="000000"/>
                <w:sz w:val="20"/>
              </w:rPr>
              <w:t>Professor</w:t>
            </w:r>
          </w:p>
        </w:tc>
      </w:tr>
      <w:tr w:rsidR="008470F7" w:rsidRPr="008470F7" w:rsidTr="008470F7">
        <w:trPr>
          <w:trHeight w:val="270"/>
        </w:trPr>
        <w:tc>
          <w:tcPr>
            <w:tcW w:w="1985" w:type="dxa"/>
            <w:tcBorders>
              <w:top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b/>
                <w:bCs/>
                <w:color w:val="000000"/>
                <w:sz w:val="20"/>
              </w:rPr>
            </w:pPr>
            <w:r w:rsidRPr="008470F7">
              <w:rPr>
                <w:b/>
                <w:bCs/>
                <w:color w:val="000000"/>
                <w:sz w:val="20"/>
              </w:rPr>
              <w:t>Variável</w:t>
            </w:r>
          </w:p>
        </w:tc>
        <w:tc>
          <w:tcPr>
            <w:tcW w:w="851" w:type="dxa"/>
            <w:tcBorders>
              <w:top w:val="single" w:sz="4" w:space="0" w:color="auto"/>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b/>
                <w:bCs/>
                <w:color w:val="000000"/>
                <w:sz w:val="20"/>
              </w:rPr>
            </w:pPr>
            <w:r w:rsidRPr="008470F7">
              <w:rPr>
                <w:b/>
                <w:bCs/>
                <w:color w:val="000000"/>
                <w:sz w:val="20"/>
              </w:rPr>
              <w:t>Índice</w:t>
            </w:r>
          </w:p>
        </w:tc>
        <w:tc>
          <w:tcPr>
            <w:tcW w:w="1984" w:type="dxa"/>
            <w:tcBorders>
              <w:top w:val="single" w:sz="4" w:space="0" w:color="auto"/>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b/>
                <w:bCs/>
                <w:color w:val="000000"/>
                <w:sz w:val="20"/>
              </w:rPr>
            </w:pPr>
            <w:r w:rsidRPr="008470F7">
              <w:rPr>
                <w:b/>
                <w:bCs/>
                <w:color w:val="000000"/>
                <w:sz w:val="20"/>
              </w:rPr>
              <w:t>Variável</w:t>
            </w:r>
          </w:p>
        </w:tc>
        <w:tc>
          <w:tcPr>
            <w:tcW w:w="851" w:type="dxa"/>
            <w:tcBorders>
              <w:top w:val="single" w:sz="4" w:space="0" w:color="auto"/>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b/>
                <w:bCs/>
                <w:color w:val="000000"/>
                <w:sz w:val="20"/>
              </w:rPr>
            </w:pPr>
            <w:r w:rsidRPr="008470F7">
              <w:rPr>
                <w:b/>
                <w:bCs/>
                <w:color w:val="000000"/>
                <w:sz w:val="20"/>
              </w:rPr>
              <w:t>Índice</w:t>
            </w:r>
          </w:p>
        </w:tc>
        <w:tc>
          <w:tcPr>
            <w:tcW w:w="1984" w:type="dxa"/>
            <w:tcBorders>
              <w:top w:val="single" w:sz="4" w:space="0" w:color="auto"/>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b/>
                <w:bCs/>
                <w:color w:val="000000"/>
                <w:sz w:val="20"/>
              </w:rPr>
            </w:pPr>
            <w:r w:rsidRPr="008470F7">
              <w:rPr>
                <w:b/>
                <w:bCs/>
                <w:color w:val="000000"/>
                <w:sz w:val="20"/>
              </w:rPr>
              <w:t>Variável</w:t>
            </w:r>
          </w:p>
        </w:tc>
        <w:tc>
          <w:tcPr>
            <w:tcW w:w="850" w:type="dxa"/>
            <w:tcBorders>
              <w:top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b/>
                <w:bCs/>
                <w:color w:val="000000"/>
                <w:sz w:val="20"/>
              </w:rPr>
            </w:pPr>
            <w:r w:rsidRPr="008470F7">
              <w:rPr>
                <w:b/>
                <w:bCs/>
                <w:color w:val="000000"/>
                <w:sz w:val="20"/>
              </w:rPr>
              <w:t>Índice</w:t>
            </w:r>
          </w:p>
        </w:tc>
      </w:tr>
      <w:tr w:rsidR="008470F7" w:rsidRPr="008470F7" w:rsidTr="00E63A6D">
        <w:trPr>
          <w:trHeight w:val="383"/>
        </w:trPr>
        <w:tc>
          <w:tcPr>
            <w:tcW w:w="1985" w:type="dxa"/>
            <w:shd w:val="clear" w:color="auto" w:fill="auto"/>
            <w:vAlign w:val="center"/>
            <w:hideMark/>
          </w:tcPr>
          <w:p w:rsidR="008470F7" w:rsidRPr="008470F7" w:rsidRDefault="008470F7" w:rsidP="00E63A6D">
            <w:pPr>
              <w:widowControl/>
              <w:suppressLineNumbers w:val="0"/>
              <w:suppressAutoHyphens w:val="0"/>
              <w:ind w:firstLine="0"/>
              <w:jc w:val="center"/>
              <w:rPr>
                <w:color w:val="000000"/>
                <w:sz w:val="20"/>
              </w:rPr>
            </w:pPr>
            <w:r w:rsidRPr="008470F7">
              <w:rPr>
                <w:color w:val="000000"/>
                <w:sz w:val="20"/>
              </w:rPr>
              <w:t>Motivações</w:t>
            </w:r>
          </w:p>
        </w:tc>
        <w:tc>
          <w:tcPr>
            <w:tcW w:w="851" w:type="dxa"/>
            <w:tcBorders>
              <w:right w:val="single" w:sz="4" w:space="0" w:color="auto"/>
            </w:tcBorders>
            <w:shd w:val="clear" w:color="auto" w:fill="auto"/>
            <w:vAlign w:val="center"/>
            <w:hideMark/>
          </w:tcPr>
          <w:p w:rsidR="008470F7" w:rsidRPr="008470F7" w:rsidRDefault="008470F7" w:rsidP="00E63A6D">
            <w:pPr>
              <w:widowControl/>
              <w:suppressLineNumbers w:val="0"/>
              <w:suppressAutoHyphens w:val="0"/>
              <w:ind w:firstLine="0"/>
              <w:jc w:val="center"/>
              <w:rPr>
                <w:color w:val="000000"/>
                <w:sz w:val="20"/>
              </w:rPr>
            </w:pPr>
            <w:r w:rsidRPr="008470F7">
              <w:rPr>
                <w:color w:val="000000"/>
                <w:sz w:val="20"/>
              </w:rPr>
              <w:t>0,774</w:t>
            </w:r>
          </w:p>
        </w:tc>
        <w:tc>
          <w:tcPr>
            <w:tcW w:w="1984" w:type="dxa"/>
            <w:tcBorders>
              <w:left w:val="single" w:sz="4" w:space="0" w:color="auto"/>
            </w:tcBorders>
            <w:shd w:val="clear" w:color="auto" w:fill="auto"/>
            <w:vAlign w:val="center"/>
            <w:hideMark/>
          </w:tcPr>
          <w:p w:rsidR="008470F7" w:rsidRPr="008470F7" w:rsidRDefault="008470F7" w:rsidP="00E63A6D">
            <w:pPr>
              <w:widowControl/>
              <w:suppressLineNumbers w:val="0"/>
              <w:suppressAutoHyphens w:val="0"/>
              <w:ind w:firstLine="0"/>
              <w:jc w:val="center"/>
              <w:rPr>
                <w:color w:val="000000"/>
                <w:sz w:val="20"/>
              </w:rPr>
            </w:pPr>
            <w:r w:rsidRPr="008470F7">
              <w:rPr>
                <w:color w:val="000000"/>
                <w:sz w:val="20"/>
              </w:rPr>
              <w:t>Tipos de Aprendizagem</w:t>
            </w:r>
          </w:p>
        </w:tc>
        <w:tc>
          <w:tcPr>
            <w:tcW w:w="851" w:type="dxa"/>
            <w:tcBorders>
              <w:right w:val="single" w:sz="4" w:space="0" w:color="auto"/>
            </w:tcBorders>
            <w:shd w:val="clear" w:color="auto" w:fill="auto"/>
            <w:vAlign w:val="center"/>
            <w:hideMark/>
          </w:tcPr>
          <w:p w:rsidR="008470F7" w:rsidRPr="008470F7" w:rsidRDefault="008470F7" w:rsidP="00E63A6D">
            <w:pPr>
              <w:widowControl/>
              <w:suppressLineNumbers w:val="0"/>
              <w:suppressAutoHyphens w:val="0"/>
              <w:ind w:firstLine="0"/>
              <w:jc w:val="center"/>
              <w:rPr>
                <w:color w:val="000000"/>
                <w:sz w:val="20"/>
              </w:rPr>
            </w:pPr>
            <w:r w:rsidRPr="008470F7">
              <w:rPr>
                <w:color w:val="000000"/>
                <w:sz w:val="20"/>
              </w:rPr>
              <w:t>0,741</w:t>
            </w:r>
          </w:p>
        </w:tc>
        <w:tc>
          <w:tcPr>
            <w:tcW w:w="1984" w:type="dxa"/>
            <w:tcBorders>
              <w:left w:val="single" w:sz="4" w:space="0" w:color="auto"/>
            </w:tcBorders>
            <w:shd w:val="clear" w:color="auto" w:fill="auto"/>
            <w:vAlign w:val="center"/>
            <w:hideMark/>
          </w:tcPr>
          <w:p w:rsidR="008470F7" w:rsidRPr="008470F7" w:rsidRDefault="008470F7" w:rsidP="00E63A6D">
            <w:pPr>
              <w:widowControl/>
              <w:suppressLineNumbers w:val="0"/>
              <w:suppressAutoHyphens w:val="0"/>
              <w:ind w:firstLine="0"/>
              <w:jc w:val="center"/>
              <w:rPr>
                <w:color w:val="000000"/>
                <w:sz w:val="20"/>
              </w:rPr>
            </w:pPr>
            <w:r w:rsidRPr="008470F7">
              <w:rPr>
                <w:color w:val="000000"/>
                <w:sz w:val="20"/>
              </w:rPr>
              <w:t>Atitude com a Matéria</w:t>
            </w:r>
          </w:p>
        </w:tc>
        <w:tc>
          <w:tcPr>
            <w:tcW w:w="850" w:type="dxa"/>
            <w:shd w:val="clear" w:color="auto" w:fill="auto"/>
            <w:vAlign w:val="center"/>
            <w:hideMark/>
          </w:tcPr>
          <w:p w:rsidR="008470F7" w:rsidRPr="008470F7" w:rsidRDefault="008470F7" w:rsidP="00E63A6D">
            <w:pPr>
              <w:widowControl/>
              <w:suppressLineNumbers w:val="0"/>
              <w:suppressAutoHyphens w:val="0"/>
              <w:ind w:firstLine="0"/>
              <w:jc w:val="center"/>
              <w:rPr>
                <w:color w:val="000000"/>
                <w:sz w:val="20"/>
              </w:rPr>
            </w:pPr>
            <w:r w:rsidRPr="008470F7">
              <w:rPr>
                <w:color w:val="000000"/>
                <w:sz w:val="20"/>
              </w:rPr>
              <w:t>0,677</w:t>
            </w:r>
          </w:p>
        </w:tc>
      </w:tr>
      <w:tr w:rsidR="008470F7" w:rsidRPr="008470F7" w:rsidTr="00E63A6D">
        <w:trPr>
          <w:trHeight w:val="645"/>
        </w:trPr>
        <w:tc>
          <w:tcPr>
            <w:tcW w:w="1985" w:type="dxa"/>
            <w:tcBorders>
              <w:bottom w:val="single" w:sz="4" w:space="0" w:color="auto"/>
            </w:tcBorders>
            <w:shd w:val="clear" w:color="auto" w:fill="auto"/>
            <w:vAlign w:val="center"/>
            <w:hideMark/>
          </w:tcPr>
          <w:p w:rsidR="008470F7" w:rsidRPr="008470F7" w:rsidRDefault="008470F7" w:rsidP="00E63A6D">
            <w:pPr>
              <w:widowControl/>
              <w:suppressLineNumbers w:val="0"/>
              <w:suppressAutoHyphens w:val="0"/>
              <w:ind w:firstLine="0"/>
              <w:jc w:val="center"/>
              <w:rPr>
                <w:color w:val="000000"/>
                <w:sz w:val="20"/>
              </w:rPr>
            </w:pPr>
            <w:r w:rsidRPr="008470F7">
              <w:rPr>
                <w:color w:val="000000"/>
                <w:sz w:val="20"/>
              </w:rPr>
              <w:t>Atitude com a disciplina</w:t>
            </w:r>
          </w:p>
        </w:tc>
        <w:tc>
          <w:tcPr>
            <w:tcW w:w="851" w:type="dxa"/>
            <w:tcBorders>
              <w:bottom w:val="single" w:sz="4" w:space="0" w:color="auto"/>
              <w:right w:val="single" w:sz="4" w:space="0" w:color="auto"/>
            </w:tcBorders>
            <w:shd w:val="clear" w:color="auto" w:fill="auto"/>
            <w:vAlign w:val="center"/>
            <w:hideMark/>
          </w:tcPr>
          <w:p w:rsidR="008470F7" w:rsidRPr="008470F7" w:rsidRDefault="008470F7" w:rsidP="00E63A6D">
            <w:pPr>
              <w:widowControl/>
              <w:suppressLineNumbers w:val="0"/>
              <w:suppressAutoHyphens w:val="0"/>
              <w:ind w:firstLine="0"/>
              <w:jc w:val="center"/>
              <w:rPr>
                <w:color w:val="000000"/>
                <w:sz w:val="20"/>
              </w:rPr>
            </w:pPr>
            <w:r w:rsidRPr="008470F7">
              <w:rPr>
                <w:color w:val="000000"/>
                <w:sz w:val="20"/>
              </w:rPr>
              <w:t>0,612</w:t>
            </w:r>
          </w:p>
        </w:tc>
        <w:tc>
          <w:tcPr>
            <w:tcW w:w="1984" w:type="dxa"/>
            <w:tcBorders>
              <w:left w:val="single" w:sz="4" w:space="0" w:color="auto"/>
              <w:bottom w:val="single" w:sz="4" w:space="0" w:color="auto"/>
            </w:tcBorders>
            <w:shd w:val="clear" w:color="auto" w:fill="auto"/>
            <w:vAlign w:val="center"/>
            <w:hideMark/>
          </w:tcPr>
          <w:p w:rsidR="008470F7" w:rsidRPr="008470F7" w:rsidRDefault="008470F7" w:rsidP="00E63A6D">
            <w:pPr>
              <w:widowControl/>
              <w:suppressLineNumbers w:val="0"/>
              <w:suppressAutoHyphens w:val="0"/>
              <w:ind w:firstLine="0"/>
              <w:jc w:val="center"/>
              <w:rPr>
                <w:color w:val="000000"/>
                <w:sz w:val="20"/>
              </w:rPr>
            </w:pPr>
            <w:r w:rsidRPr="008470F7">
              <w:rPr>
                <w:color w:val="000000"/>
                <w:sz w:val="20"/>
              </w:rPr>
              <w:t>Componentes e Relações</w:t>
            </w:r>
          </w:p>
        </w:tc>
        <w:tc>
          <w:tcPr>
            <w:tcW w:w="851" w:type="dxa"/>
            <w:tcBorders>
              <w:bottom w:val="single" w:sz="4" w:space="0" w:color="auto"/>
              <w:right w:val="single" w:sz="4" w:space="0" w:color="auto"/>
            </w:tcBorders>
            <w:shd w:val="clear" w:color="auto" w:fill="auto"/>
            <w:vAlign w:val="center"/>
            <w:hideMark/>
          </w:tcPr>
          <w:p w:rsidR="008470F7" w:rsidRPr="008470F7" w:rsidRDefault="008470F7" w:rsidP="00E63A6D">
            <w:pPr>
              <w:widowControl/>
              <w:suppressLineNumbers w:val="0"/>
              <w:suppressAutoHyphens w:val="0"/>
              <w:ind w:firstLine="0"/>
              <w:jc w:val="center"/>
              <w:rPr>
                <w:color w:val="000000"/>
                <w:sz w:val="20"/>
              </w:rPr>
            </w:pPr>
            <w:r w:rsidRPr="008470F7">
              <w:rPr>
                <w:color w:val="000000"/>
                <w:sz w:val="20"/>
              </w:rPr>
              <w:t>0,532</w:t>
            </w:r>
          </w:p>
        </w:tc>
        <w:tc>
          <w:tcPr>
            <w:tcW w:w="1984" w:type="dxa"/>
            <w:tcBorders>
              <w:left w:val="single" w:sz="4" w:space="0" w:color="auto"/>
              <w:bottom w:val="single" w:sz="4" w:space="0" w:color="auto"/>
            </w:tcBorders>
            <w:shd w:val="clear" w:color="auto" w:fill="auto"/>
            <w:vAlign w:val="center"/>
            <w:hideMark/>
          </w:tcPr>
          <w:p w:rsidR="008470F7" w:rsidRPr="008470F7" w:rsidRDefault="008470F7" w:rsidP="00E63A6D">
            <w:pPr>
              <w:widowControl/>
              <w:suppressLineNumbers w:val="0"/>
              <w:suppressAutoHyphens w:val="0"/>
              <w:ind w:firstLine="0"/>
              <w:jc w:val="center"/>
              <w:rPr>
                <w:color w:val="000000"/>
                <w:sz w:val="20"/>
              </w:rPr>
            </w:pPr>
            <w:r w:rsidRPr="008470F7">
              <w:rPr>
                <w:color w:val="000000"/>
                <w:sz w:val="20"/>
              </w:rPr>
              <w:t>Situação Estimuladora Ambiental</w:t>
            </w:r>
          </w:p>
        </w:tc>
        <w:tc>
          <w:tcPr>
            <w:tcW w:w="850" w:type="dxa"/>
            <w:tcBorders>
              <w:bottom w:val="single" w:sz="4" w:space="0" w:color="auto"/>
            </w:tcBorders>
            <w:shd w:val="clear" w:color="auto" w:fill="auto"/>
            <w:vAlign w:val="center"/>
            <w:hideMark/>
          </w:tcPr>
          <w:p w:rsidR="008470F7" w:rsidRPr="008470F7" w:rsidRDefault="008470F7" w:rsidP="00E63A6D">
            <w:pPr>
              <w:widowControl/>
              <w:suppressLineNumbers w:val="0"/>
              <w:suppressAutoHyphens w:val="0"/>
              <w:ind w:firstLine="0"/>
              <w:jc w:val="center"/>
              <w:rPr>
                <w:color w:val="000000"/>
                <w:sz w:val="20"/>
              </w:rPr>
            </w:pPr>
            <w:r w:rsidRPr="008470F7">
              <w:rPr>
                <w:color w:val="000000"/>
                <w:sz w:val="20"/>
              </w:rPr>
              <w:t>0,516</w:t>
            </w:r>
          </w:p>
        </w:tc>
      </w:tr>
      <w:tr w:rsidR="008470F7" w:rsidRPr="008470F7" w:rsidTr="008470F7">
        <w:trPr>
          <w:trHeight w:val="315"/>
        </w:trPr>
        <w:tc>
          <w:tcPr>
            <w:tcW w:w="8505" w:type="dxa"/>
            <w:gridSpan w:val="6"/>
            <w:tcBorders>
              <w:top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left"/>
              <w:rPr>
                <w:color w:val="000000"/>
                <w:sz w:val="20"/>
              </w:rPr>
            </w:pPr>
            <w:r w:rsidRPr="008470F7">
              <w:rPr>
                <w:color w:val="000000"/>
                <w:sz w:val="20"/>
              </w:rPr>
              <w:t xml:space="preserve">Fonte: Adaptado de Beck e </w:t>
            </w:r>
            <w:proofErr w:type="spellStart"/>
            <w:r w:rsidRPr="008470F7">
              <w:rPr>
                <w:color w:val="000000"/>
                <w:sz w:val="20"/>
              </w:rPr>
              <w:t>Rausch</w:t>
            </w:r>
            <w:proofErr w:type="spellEnd"/>
            <w:r w:rsidRPr="008470F7">
              <w:rPr>
                <w:color w:val="000000"/>
                <w:sz w:val="20"/>
              </w:rPr>
              <w:t xml:space="preserve"> (2014).</w:t>
            </w:r>
          </w:p>
        </w:tc>
      </w:tr>
    </w:tbl>
    <w:p w:rsidR="00C1412C" w:rsidRPr="008470F7" w:rsidRDefault="00C1412C" w:rsidP="00E63A6D">
      <w:pPr>
        <w:ind w:firstLine="567"/>
        <w:rPr>
          <w:szCs w:val="24"/>
        </w:rPr>
      </w:pPr>
      <w:r w:rsidRPr="008470F7">
        <w:rPr>
          <w:szCs w:val="24"/>
        </w:rPr>
        <w:t>Corroborando com essa temática, Silva, Melo e Delfino (2017) desenvolveram pesquisa, tendo por objetivo identificar os fatores que influenciam o processo de ensino-aprendizagem na percepção dos alunos do curso de ciências contábeis de três instituições de ensino superior, localizadas no estado da Paraíba, sendo duas públicas e uma privada. Os resultados da pesquisa apontaram que as variáveis que mais se destacaram como influenciadoras no processo de ensino-aprendizagem foram: a didática do professor; o programa da disciplina bem planejado e desejo de aprender o assunto. No que diz respeito ao aspecto institucional, os alunos apontaram como fatores a existência de monitoria, biblioteca bem equipada e instalações adequadas.</w:t>
      </w:r>
    </w:p>
    <w:p w:rsidR="00C1412C" w:rsidRPr="008470F7" w:rsidRDefault="00C1412C" w:rsidP="00E63A6D">
      <w:pPr>
        <w:ind w:firstLine="567"/>
        <w:rPr>
          <w:szCs w:val="24"/>
        </w:rPr>
      </w:pPr>
    </w:p>
    <w:p w:rsidR="00C1412C" w:rsidRPr="008470F7" w:rsidRDefault="00C1412C" w:rsidP="00E63A6D">
      <w:pPr>
        <w:ind w:firstLine="0"/>
        <w:rPr>
          <w:b/>
          <w:szCs w:val="24"/>
        </w:rPr>
      </w:pPr>
      <w:r w:rsidRPr="008470F7">
        <w:rPr>
          <w:b/>
          <w:szCs w:val="24"/>
        </w:rPr>
        <w:t>3 Procedimentos Metodológicos</w:t>
      </w:r>
    </w:p>
    <w:p w:rsidR="00C1412C" w:rsidRPr="008470F7" w:rsidRDefault="00C1412C" w:rsidP="00E63A6D">
      <w:pPr>
        <w:ind w:firstLine="567"/>
        <w:rPr>
          <w:szCs w:val="24"/>
        </w:rPr>
      </w:pPr>
      <w:r w:rsidRPr="008470F7">
        <w:rPr>
          <w:szCs w:val="24"/>
        </w:rPr>
        <w:t>Esta pesquisa classifica-se como descritiva, por possuir o objetivo de descrever a realidade sul-mato-grossense, verificando se os cursos presenciais de Ciências Contábeis atendem às exigências do MEC, bem como se seguem a estrutura proposta pela FBC e pelo ISAR. Quanto aos procedimentos, é bibliográfica e documental, haja vista a utilização de livros e artigos e das matrizes curriculares publicadas nos sítios eletrônicos das universidades (Gil, 2008).</w:t>
      </w:r>
    </w:p>
    <w:p w:rsidR="00C1412C" w:rsidRPr="008470F7" w:rsidRDefault="00C1412C" w:rsidP="00E63A6D">
      <w:pPr>
        <w:ind w:firstLine="567"/>
        <w:rPr>
          <w:szCs w:val="24"/>
        </w:rPr>
      </w:pPr>
      <w:r w:rsidRPr="008470F7">
        <w:rPr>
          <w:szCs w:val="24"/>
        </w:rPr>
        <w:t xml:space="preserve">Como etapa inicial da coleta de dados, foi realizado, em julho de 2018, o levantamento na plataforma do </w:t>
      </w:r>
      <w:proofErr w:type="spellStart"/>
      <w:r w:rsidRPr="008470F7">
        <w:rPr>
          <w:szCs w:val="24"/>
        </w:rPr>
        <w:t>e-MEC</w:t>
      </w:r>
      <w:proofErr w:type="spellEnd"/>
      <w:r w:rsidRPr="008470F7">
        <w:rPr>
          <w:szCs w:val="24"/>
        </w:rPr>
        <w:t xml:space="preserve"> (http://emec.mec.gov.br/), na aba de consulta interativa, de todas as IES do Mato Grosso do Sul que ofertam o curso de graduação em Ciências Contábeis na forma presencial.  No total são 30 cursos ofertados em 26 IES.</w:t>
      </w:r>
    </w:p>
    <w:p w:rsidR="00C1412C" w:rsidRPr="008470F7" w:rsidRDefault="00C1412C" w:rsidP="00E63A6D">
      <w:pPr>
        <w:ind w:firstLine="567"/>
        <w:rPr>
          <w:szCs w:val="24"/>
        </w:rPr>
      </w:pPr>
      <w:r w:rsidRPr="008470F7">
        <w:rPr>
          <w:szCs w:val="24"/>
        </w:rPr>
        <w:t>Desses 30 cursos cadastrados, um está em processo voluntário de extinção e três ainda não iniciaram as atividades. Dos 26 cursos restantes, buscou-se a grade curricular do curso nos sítios eletrônicos das IES. Desses, quatro IES não disponibilizam a grade curricular em seus sítios eletrônicos na internet. E três IES, embora disponibilizadas as grades curriculares, deixaram de ofertar o curso presencial de Ciências Contábeis e tornaram-se polos de Educação a Distância (EAD). Então, para consecução deste trabalho, foram observados 19 currículos, sendo treze de instituições privadas e seis de públicas, conforme identificadas na Tabela 4:</w:t>
      </w:r>
    </w:p>
    <w:p w:rsidR="008470F7" w:rsidRPr="008470F7" w:rsidRDefault="008470F7" w:rsidP="00E63A6D">
      <w:pPr>
        <w:ind w:firstLine="0"/>
        <w:rPr>
          <w:szCs w:val="24"/>
        </w:rPr>
      </w:pPr>
    </w:p>
    <w:p w:rsidR="008470F7" w:rsidRPr="008470F7" w:rsidRDefault="008470F7" w:rsidP="00E63A6D">
      <w:pPr>
        <w:widowControl/>
        <w:suppressLineNumbers w:val="0"/>
        <w:suppressAutoHyphens w:val="0"/>
        <w:ind w:firstLine="0"/>
        <w:rPr>
          <w:szCs w:val="24"/>
        </w:rPr>
      </w:pPr>
      <w:r w:rsidRPr="008470F7">
        <w:rPr>
          <w:rFonts w:eastAsia="Calibri"/>
          <w:sz w:val="20"/>
        </w:rPr>
        <w:t>Tabela 4. Identificação das Instituições de Ensino Superior e cidades sede</w:t>
      </w:r>
    </w:p>
    <w:tbl>
      <w:tblPr>
        <w:tblW w:w="0" w:type="auto"/>
        <w:tblInd w:w="108" w:type="dxa"/>
        <w:tblLook w:val="04A0" w:firstRow="1" w:lastRow="0" w:firstColumn="1" w:lastColumn="0" w:noHBand="0" w:noVBand="1"/>
      </w:tblPr>
      <w:tblGrid>
        <w:gridCol w:w="2036"/>
        <w:gridCol w:w="2589"/>
        <w:gridCol w:w="1983"/>
        <w:gridCol w:w="426"/>
        <w:gridCol w:w="2145"/>
      </w:tblGrid>
      <w:tr w:rsidR="008470F7" w:rsidRPr="008470F7" w:rsidTr="00E63A6D">
        <w:trPr>
          <w:trHeight w:val="232"/>
        </w:trPr>
        <w:tc>
          <w:tcPr>
            <w:tcW w:w="2036" w:type="dxa"/>
            <w:tcBorders>
              <w:top w:val="single" w:sz="4" w:space="0" w:color="auto"/>
              <w:bottom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center"/>
              <w:rPr>
                <w:rFonts w:eastAsia="Calibri"/>
                <w:b/>
                <w:sz w:val="20"/>
              </w:rPr>
            </w:pPr>
            <w:r w:rsidRPr="008470F7">
              <w:rPr>
                <w:rFonts w:eastAsia="Calibri"/>
                <w:b/>
                <w:sz w:val="20"/>
              </w:rPr>
              <w:t>Identificação</w:t>
            </w:r>
          </w:p>
        </w:tc>
        <w:tc>
          <w:tcPr>
            <w:tcW w:w="4998" w:type="dxa"/>
            <w:gridSpan w:val="3"/>
            <w:tcBorders>
              <w:top w:val="single" w:sz="4" w:space="0" w:color="auto"/>
              <w:bottom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center"/>
              <w:rPr>
                <w:rFonts w:eastAsia="Calibri"/>
                <w:b/>
                <w:sz w:val="20"/>
              </w:rPr>
            </w:pPr>
            <w:r w:rsidRPr="008470F7">
              <w:rPr>
                <w:rFonts w:eastAsia="Calibri"/>
                <w:b/>
                <w:sz w:val="20"/>
              </w:rPr>
              <w:t xml:space="preserve">Nome da Instituição de Ensino Superior </w:t>
            </w:r>
          </w:p>
        </w:tc>
        <w:tc>
          <w:tcPr>
            <w:tcW w:w="2145" w:type="dxa"/>
            <w:tcBorders>
              <w:top w:val="single" w:sz="4" w:space="0" w:color="auto"/>
              <w:bottom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center"/>
              <w:rPr>
                <w:rFonts w:eastAsia="Calibri"/>
                <w:b/>
                <w:sz w:val="20"/>
              </w:rPr>
            </w:pPr>
            <w:r w:rsidRPr="008470F7">
              <w:rPr>
                <w:rFonts w:eastAsia="Calibri"/>
                <w:b/>
                <w:sz w:val="20"/>
              </w:rPr>
              <w:t>Cidade</w:t>
            </w:r>
          </w:p>
        </w:tc>
      </w:tr>
      <w:tr w:rsidR="008470F7" w:rsidRPr="008470F7" w:rsidTr="008470F7">
        <w:tc>
          <w:tcPr>
            <w:tcW w:w="2036" w:type="dxa"/>
            <w:tcBorders>
              <w:top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lastRenderedPageBreak/>
              <w:t>1</w:t>
            </w:r>
          </w:p>
        </w:tc>
        <w:tc>
          <w:tcPr>
            <w:tcW w:w="4998" w:type="dxa"/>
            <w:gridSpan w:val="3"/>
            <w:tcBorders>
              <w:top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Centro Universitário Anhanguera</w:t>
            </w:r>
          </w:p>
        </w:tc>
        <w:tc>
          <w:tcPr>
            <w:tcW w:w="2145" w:type="dxa"/>
            <w:tcBorders>
              <w:top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Campo Grande</w:t>
            </w:r>
          </w:p>
        </w:tc>
      </w:tr>
      <w:tr w:rsidR="008470F7" w:rsidRPr="008470F7" w:rsidTr="008470F7">
        <w:tc>
          <w:tcPr>
            <w:tcW w:w="2036" w:type="dxa"/>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2</w:t>
            </w:r>
          </w:p>
        </w:tc>
        <w:tc>
          <w:tcPr>
            <w:tcW w:w="4998" w:type="dxa"/>
            <w:gridSpan w:val="3"/>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Universidade Estácio de Sá</w:t>
            </w:r>
          </w:p>
        </w:tc>
        <w:tc>
          <w:tcPr>
            <w:tcW w:w="2145" w:type="dxa"/>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Campo Grande</w:t>
            </w:r>
          </w:p>
        </w:tc>
      </w:tr>
      <w:tr w:rsidR="008470F7" w:rsidRPr="008470F7" w:rsidTr="008470F7">
        <w:tc>
          <w:tcPr>
            <w:tcW w:w="2036" w:type="dxa"/>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3</w:t>
            </w:r>
          </w:p>
        </w:tc>
        <w:tc>
          <w:tcPr>
            <w:tcW w:w="4998" w:type="dxa"/>
            <w:gridSpan w:val="3"/>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Faculda</w:t>
            </w:r>
            <w:r w:rsidR="00A37CFD">
              <w:rPr>
                <w:color w:val="000000"/>
                <w:sz w:val="20"/>
              </w:rPr>
              <w:t>de de Chapadão do Sul</w:t>
            </w:r>
          </w:p>
        </w:tc>
        <w:tc>
          <w:tcPr>
            <w:tcW w:w="2145" w:type="dxa"/>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Chapadão do Sul</w:t>
            </w:r>
          </w:p>
        </w:tc>
      </w:tr>
      <w:tr w:rsidR="008470F7" w:rsidRPr="008470F7" w:rsidTr="008470F7">
        <w:tc>
          <w:tcPr>
            <w:tcW w:w="2036" w:type="dxa"/>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4</w:t>
            </w:r>
          </w:p>
        </w:tc>
        <w:tc>
          <w:tcPr>
            <w:tcW w:w="4998" w:type="dxa"/>
            <w:gridSpan w:val="3"/>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Faculdade de Ciências Contá</w:t>
            </w:r>
            <w:r w:rsidR="00A37CFD">
              <w:rPr>
                <w:color w:val="000000"/>
                <w:sz w:val="20"/>
              </w:rPr>
              <w:t>beis de Nova Andradina</w:t>
            </w:r>
          </w:p>
        </w:tc>
        <w:tc>
          <w:tcPr>
            <w:tcW w:w="2145" w:type="dxa"/>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Nova Andradina</w:t>
            </w:r>
          </w:p>
        </w:tc>
      </w:tr>
      <w:tr w:rsidR="008470F7" w:rsidRPr="008470F7" w:rsidTr="008470F7">
        <w:tc>
          <w:tcPr>
            <w:tcW w:w="2036" w:type="dxa"/>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5</w:t>
            </w:r>
          </w:p>
        </w:tc>
        <w:tc>
          <w:tcPr>
            <w:tcW w:w="4998" w:type="dxa"/>
            <w:gridSpan w:val="3"/>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Fac</w:t>
            </w:r>
            <w:r w:rsidR="00A37CFD">
              <w:rPr>
                <w:color w:val="000000"/>
                <w:sz w:val="20"/>
              </w:rPr>
              <w:t>uldade Anhanguera Dourados</w:t>
            </w:r>
          </w:p>
        </w:tc>
        <w:tc>
          <w:tcPr>
            <w:tcW w:w="2145" w:type="dxa"/>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Dourados</w:t>
            </w:r>
          </w:p>
        </w:tc>
      </w:tr>
      <w:tr w:rsidR="008470F7" w:rsidRPr="008470F7" w:rsidTr="008470F7">
        <w:tc>
          <w:tcPr>
            <w:tcW w:w="2036" w:type="dxa"/>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6</w:t>
            </w:r>
          </w:p>
        </w:tc>
        <w:tc>
          <w:tcPr>
            <w:tcW w:w="4998" w:type="dxa"/>
            <w:gridSpan w:val="3"/>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Faculdade de Admini</w:t>
            </w:r>
            <w:r w:rsidR="00A37CFD">
              <w:rPr>
                <w:color w:val="000000"/>
                <w:sz w:val="20"/>
              </w:rPr>
              <w:t>stração, Humanas e Exatas</w:t>
            </w:r>
          </w:p>
        </w:tc>
        <w:tc>
          <w:tcPr>
            <w:tcW w:w="2145" w:type="dxa"/>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Mundo Novo</w:t>
            </w:r>
          </w:p>
        </w:tc>
      </w:tr>
      <w:tr w:rsidR="008470F7" w:rsidRPr="008470F7" w:rsidTr="008470F7">
        <w:tc>
          <w:tcPr>
            <w:tcW w:w="2036" w:type="dxa"/>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7</w:t>
            </w:r>
          </w:p>
        </w:tc>
        <w:tc>
          <w:tcPr>
            <w:tcW w:w="4572" w:type="dxa"/>
            <w:gridSpan w:val="2"/>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color w:val="000000"/>
                <w:sz w:val="20"/>
              </w:rPr>
              <w:t>Faculdade de</w:t>
            </w:r>
            <w:r w:rsidR="00A37CFD">
              <w:rPr>
                <w:color w:val="000000"/>
                <w:sz w:val="20"/>
              </w:rPr>
              <w:t xml:space="preserve"> Ponta Porã</w:t>
            </w:r>
          </w:p>
        </w:tc>
        <w:tc>
          <w:tcPr>
            <w:tcW w:w="426" w:type="dxa"/>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p>
        </w:tc>
        <w:tc>
          <w:tcPr>
            <w:tcW w:w="2145" w:type="dxa"/>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Ponta Porã</w:t>
            </w:r>
          </w:p>
        </w:tc>
      </w:tr>
      <w:tr w:rsidR="008470F7" w:rsidRPr="008470F7" w:rsidTr="008470F7">
        <w:tc>
          <w:tcPr>
            <w:tcW w:w="2036" w:type="dxa"/>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8</w:t>
            </w:r>
          </w:p>
        </w:tc>
        <w:tc>
          <w:tcPr>
            <w:tcW w:w="4998" w:type="dxa"/>
            <w:gridSpan w:val="3"/>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 xml:space="preserve">Faculdade Campo </w:t>
            </w:r>
            <w:r w:rsidR="00A37CFD">
              <w:rPr>
                <w:color w:val="000000"/>
                <w:sz w:val="20"/>
              </w:rPr>
              <w:t>Grande</w:t>
            </w:r>
          </w:p>
        </w:tc>
        <w:tc>
          <w:tcPr>
            <w:tcW w:w="2145" w:type="dxa"/>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Campo Grande</w:t>
            </w:r>
          </w:p>
        </w:tc>
      </w:tr>
      <w:tr w:rsidR="008470F7" w:rsidRPr="008470F7" w:rsidTr="008470F7">
        <w:tc>
          <w:tcPr>
            <w:tcW w:w="2036" w:type="dxa"/>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9</w:t>
            </w:r>
          </w:p>
        </w:tc>
        <w:tc>
          <w:tcPr>
            <w:tcW w:w="4998" w:type="dxa"/>
            <w:gridSpan w:val="3"/>
            <w:shd w:val="clear" w:color="auto" w:fill="auto"/>
            <w:vAlign w:val="center"/>
          </w:tcPr>
          <w:p w:rsidR="008470F7" w:rsidRPr="008470F7" w:rsidRDefault="008470F7" w:rsidP="00A37CFD">
            <w:pPr>
              <w:widowControl/>
              <w:suppressLineNumbers w:val="0"/>
              <w:suppressAutoHyphens w:val="0"/>
              <w:ind w:left="709" w:firstLine="0"/>
              <w:jc w:val="center"/>
              <w:rPr>
                <w:color w:val="000000"/>
                <w:sz w:val="20"/>
              </w:rPr>
            </w:pPr>
            <w:r w:rsidRPr="008470F7">
              <w:rPr>
                <w:color w:val="000000"/>
                <w:sz w:val="20"/>
              </w:rPr>
              <w:t>Faculdades Integradas de Paranaíba</w:t>
            </w:r>
          </w:p>
        </w:tc>
        <w:tc>
          <w:tcPr>
            <w:tcW w:w="2145" w:type="dxa"/>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Paranaíba</w:t>
            </w:r>
          </w:p>
        </w:tc>
      </w:tr>
      <w:tr w:rsidR="008470F7" w:rsidRPr="008470F7" w:rsidTr="008470F7">
        <w:tc>
          <w:tcPr>
            <w:tcW w:w="2036" w:type="dxa"/>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10</w:t>
            </w:r>
          </w:p>
        </w:tc>
        <w:tc>
          <w:tcPr>
            <w:tcW w:w="4998" w:type="dxa"/>
            <w:gridSpan w:val="3"/>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Univer</w:t>
            </w:r>
            <w:r w:rsidR="00A37CFD">
              <w:rPr>
                <w:color w:val="000000"/>
                <w:sz w:val="20"/>
              </w:rPr>
              <w:t>sidade Católica Dom Bosco</w:t>
            </w:r>
          </w:p>
        </w:tc>
        <w:tc>
          <w:tcPr>
            <w:tcW w:w="2145" w:type="dxa"/>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Campo Grande</w:t>
            </w:r>
          </w:p>
        </w:tc>
      </w:tr>
      <w:tr w:rsidR="008470F7" w:rsidRPr="008470F7" w:rsidTr="008470F7">
        <w:tc>
          <w:tcPr>
            <w:tcW w:w="2036" w:type="dxa"/>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11</w:t>
            </w:r>
          </w:p>
        </w:tc>
        <w:tc>
          <w:tcPr>
            <w:tcW w:w="4998" w:type="dxa"/>
            <w:gridSpan w:val="3"/>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Universidade para o Desenvolvimento do Estado e da Região do</w:t>
            </w:r>
            <w:r w:rsidR="00A37CFD">
              <w:rPr>
                <w:color w:val="000000"/>
                <w:sz w:val="20"/>
              </w:rPr>
              <w:t xml:space="preserve"> Pantanal</w:t>
            </w:r>
          </w:p>
        </w:tc>
        <w:tc>
          <w:tcPr>
            <w:tcW w:w="2145" w:type="dxa"/>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Campo Grande</w:t>
            </w:r>
          </w:p>
        </w:tc>
      </w:tr>
      <w:tr w:rsidR="008470F7" w:rsidRPr="008470F7" w:rsidTr="008470F7">
        <w:tc>
          <w:tcPr>
            <w:tcW w:w="2036" w:type="dxa"/>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12</w:t>
            </w:r>
          </w:p>
        </w:tc>
        <w:tc>
          <w:tcPr>
            <w:tcW w:w="4998" w:type="dxa"/>
            <w:gridSpan w:val="3"/>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 xml:space="preserve">Faculdade </w:t>
            </w:r>
            <w:proofErr w:type="spellStart"/>
            <w:r w:rsidRPr="008470F7">
              <w:rPr>
                <w:color w:val="000000"/>
                <w:sz w:val="20"/>
              </w:rPr>
              <w:t>U</w:t>
            </w:r>
            <w:r w:rsidR="00A37CFD">
              <w:rPr>
                <w:color w:val="000000"/>
                <w:sz w:val="20"/>
              </w:rPr>
              <w:t>nigran</w:t>
            </w:r>
            <w:proofErr w:type="spellEnd"/>
            <w:r w:rsidR="00A37CFD">
              <w:rPr>
                <w:color w:val="000000"/>
                <w:sz w:val="20"/>
              </w:rPr>
              <w:t xml:space="preserve"> Capital</w:t>
            </w:r>
          </w:p>
        </w:tc>
        <w:tc>
          <w:tcPr>
            <w:tcW w:w="2145" w:type="dxa"/>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Campo Grande</w:t>
            </w:r>
          </w:p>
        </w:tc>
      </w:tr>
      <w:tr w:rsidR="008470F7" w:rsidRPr="008470F7" w:rsidTr="008470F7">
        <w:tc>
          <w:tcPr>
            <w:tcW w:w="2036" w:type="dxa"/>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13</w:t>
            </w:r>
          </w:p>
        </w:tc>
        <w:tc>
          <w:tcPr>
            <w:tcW w:w="4998" w:type="dxa"/>
            <w:gridSpan w:val="3"/>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Centro Universitá</w:t>
            </w:r>
            <w:r w:rsidR="00A37CFD">
              <w:rPr>
                <w:color w:val="000000"/>
                <w:sz w:val="20"/>
              </w:rPr>
              <w:t>rio da Grande Dourados</w:t>
            </w:r>
          </w:p>
        </w:tc>
        <w:tc>
          <w:tcPr>
            <w:tcW w:w="2145" w:type="dxa"/>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Dourados</w:t>
            </w:r>
          </w:p>
        </w:tc>
      </w:tr>
      <w:tr w:rsidR="008470F7" w:rsidRPr="008470F7" w:rsidTr="008470F7">
        <w:tc>
          <w:tcPr>
            <w:tcW w:w="2036" w:type="dxa"/>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14</w:t>
            </w:r>
          </w:p>
        </w:tc>
        <w:tc>
          <w:tcPr>
            <w:tcW w:w="4998" w:type="dxa"/>
            <w:gridSpan w:val="3"/>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Universidade Estad</w:t>
            </w:r>
            <w:r w:rsidR="00A37CFD">
              <w:rPr>
                <w:color w:val="000000"/>
                <w:sz w:val="20"/>
              </w:rPr>
              <w:t>ual de Mato Grosso do Sul</w:t>
            </w:r>
          </w:p>
        </w:tc>
        <w:tc>
          <w:tcPr>
            <w:tcW w:w="2145" w:type="dxa"/>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Ponta Porã</w:t>
            </w:r>
          </w:p>
        </w:tc>
      </w:tr>
      <w:tr w:rsidR="008470F7" w:rsidRPr="008470F7" w:rsidTr="008470F7">
        <w:tc>
          <w:tcPr>
            <w:tcW w:w="2036" w:type="dxa"/>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15</w:t>
            </w:r>
          </w:p>
        </w:tc>
        <w:tc>
          <w:tcPr>
            <w:tcW w:w="4998" w:type="dxa"/>
            <w:gridSpan w:val="3"/>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Universidade F</w:t>
            </w:r>
            <w:r w:rsidR="00A37CFD">
              <w:rPr>
                <w:color w:val="000000"/>
                <w:sz w:val="20"/>
              </w:rPr>
              <w:t>ederal da Grande Dourados</w:t>
            </w:r>
          </w:p>
        </w:tc>
        <w:tc>
          <w:tcPr>
            <w:tcW w:w="2145" w:type="dxa"/>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Dourados</w:t>
            </w:r>
          </w:p>
        </w:tc>
      </w:tr>
      <w:tr w:rsidR="008470F7" w:rsidRPr="008470F7" w:rsidTr="008470F7">
        <w:tc>
          <w:tcPr>
            <w:tcW w:w="2036" w:type="dxa"/>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16</w:t>
            </w:r>
          </w:p>
        </w:tc>
        <w:tc>
          <w:tcPr>
            <w:tcW w:w="4998" w:type="dxa"/>
            <w:gridSpan w:val="3"/>
            <w:shd w:val="clear" w:color="auto" w:fill="auto"/>
            <w:vAlign w:val="center"/>
          </w:tcPr>
          <w:p w:rsidR="008470F7" w:rsidRPr="008470F7" w:rsidRDefault="008470F7" w:rsidP="00A37CFD">
            <w:pPr>
              <w:widowControl/>
              <w:suppressLineNumbers w:val="0"/>
              <w:suppressAutoHyphens w:val="0"/>
              <w:ind w:left="709" w:firstLine="0"/>
              <w:jc w:val="center"/>
              <w:rPr>
                <w:color w:val="000000"/>
                <w:sz w:val="20"/>
              </w:rPr>
            </w:pPr>
            <w:r w:rsidRPr="008470F7">
              <w:rPr>
                <w:color w:val="000000"/>
                <w:sz w:val="20"/>
              </w:rPr>
              <w:t>Universidade Federal de</w:t>
            </w:r>
            <w:r w:rsidR="00A37CFD">
              <w:rPr>
                <w:color w:val="000000"/>
                <w:sz w:val="20"/>
              </w:rPr>
              <w:t xml:space="preserve"> Mato Grosso do Sul</w:t>
            </w:r>
          </w:p>
        </w:tc>
        <w:tc>
          <w:tcPr>
            <w:tcW w:w="2145" w:type="dxa"/>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Campo Grande</w:t>
            </w:r>
          </w:p>
        </w:tc>
      </w:tr>
      <w:tr w:rsidR="008470F7" w:rsidRPr="008470F7" w:rsidTr="008470F7">
        <w:tc>
          <w:tcPr>
            <w:tcW w:w="2036" w:type="dxa"/>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17</w:t>
            </w:r>
          </w:p>
        </w:tc>
        <w:tc>
          <w:tcPr>
            <w:tcW w:w="4998" w:type="dxa"/>
            <w:gridSpan w:val="3"/>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 xml:space="preserve">Universidade Federal de </w:t>
            </w:r>
            <w:r w:rsidR="00A37CFD">
              <w:rPr>
                <w:color w:val="000000"/>
                <w:sz w:val="20"/>
              </w:rPr>
              <w:t>Mato Grosso do Sul</w:t>
            </w:r>
          </w:p>
        </w:tc>
        <w:tc>
          <w:tcPr>
            <w:tcW w:w="2145" w:type="dxa"/>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Corumbá</w:t>
            </w:r>
          </w:p>
        </w:tc>
      </w:tr>
      <w:tr w:rsidR="008470F7" w:rsidRPr="008470F7" w:rsidTr="008470F7">
        <w:tc>
          <w:tcPr>
            <w:tcW w:w="2036" w:type="dxa"/>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18</w:t>
            </w:r>
          </w:p>
        </w:tc>
        <w:tc>
          <w:tcPr>
            <w:tcW w:w="4998" w:type="dxa"/>
            <w:gridSpan w:val="3"/>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 xml:space="preserve">Universidade Federal de </w:t>
            </w:r>
            <w:r w:rsidR="00A37CFD">
              <w:rPr>
                <w:color w:val="000000"/>
                <w:sz w:val="20"/>
              </w:rPr>
              <w:t>Mato Grosso do Sul</w:t>
            </w:r>
          </w:p>
        </w:tc>
        <w:tc>
          <w:tcPr>
            <w:tcW w:w="2145" w:type="dxa"/>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Três Lagoas</w:t>
            </w:r>
          </w:p>
        </w:tc>
      </w:tr>
      <w:tr w:rsidR="008470F7" w:rsidRPr="008470F7" w:rsidTr="008470F7">
        <w:tc>
          <w:tcPr>
            <w:tcW w:w="2036" w:type="dxa"/>
            <w:tcBorders>
              <w:bottom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center"/>
              <w:rPr>
                <w:rFonts w:eastAsia="Calibri"/>
                <w:sz w:val="20"/>
              </w:rPr>
            </w:pPr>
            <w:r w:rsidRPr="008470F7">
              <w:rPr>
                <w:rFonts w:eastAsia="Calibri"/>
                <w:sz w:val="20"/>
              </w:rPr>
              <w:t>19</w:t>
            </w:r>
          </w:p>
        </w:tc>
        <w:tc>
          <w:tcPr>
            <w:tcW w:w="4998" w:type="dxa"/>
            <w:gridSpan w:val="3"/>
            <w:tcBorders>
              <w:bottom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 xml:space="preserve">Universidade Federal de Mato Grosso do </w:t>
            </w:r>
            <w:r w:rsidR="00A37CFD">
              <w:rPr>
                <w:color w:val="000000"/>
                <w:sz w:val="20"/>
              </w:rPr>
              <w:t>Sul</w:t>
            </w:r>
          </w:p>
        </w:tc>
        <w:tc>
          <w:tcPr>
            <w:tcW w:w="2145" w:type="dxa"/>
            <w:tcBorders>
              <w:bottom w:val="single" w:sz="4" w:space="0" w:color="auto"/>
            </w:tcBorders>
            <w:shd w:val="clear" w:color="auto" w:fill="auto"/>
            <w:vAlign w:val="center"/>
          </w:tcPr>
          <w:p w:rsidR="008470F7" w:rsidRPr="008470F7" w:rsidRDefault="008470F7" w:rsidP="00E63A6D">
            <w:pPr>
              <w:widowControl/>
              <w:suppressLineNumbers w:val="0"/>
              <w:suppressAutoHyphens w:val="0"/>
              <w:ind w:left="709" w:firstLine="0"/>
              <w:jc w:val="center"/>
              <w:rPr>
                <w:color w:val="000000"/>
                <w:sz w:val="20"/>
              </w:rPr>
            </w:pPr>
            <w:r w:rsidRPr="008470F7">
              <w:rPr>
                <w:color w:val="000000"/>
                <w:sz w:val="20"/>
              </w:rPr>
              <w:t>Nova Andradina</w:t>
            </w:r>
          </w:p>
        </w:tc>
      </w:tr>
      <w:tr w:rsidR="008470F7" w:rsidRPr="008470F7" w:rsidTr="008470F7">
        <w:tc>
          <w:tcPr>
            <w:tcW w:w="4625" w:type="dxa"/>
            <w:gridSpan w:val="2"/>
            <w:tcBorders>
              <w:top w:val="single" w:sz="4" w:space="0" w:color="auto"/>
            </w:tcBorders>
            <w:shd w:val="clear" w:color="auto" w:fill="auto"/>
            <w:vAlign w:val="center"/>
          </w:tcPr>
          <w:p w:rsidR="008470F7" w:rsidRPr="008470F7" w:rsidRDefault="008470F7" w:rsidP="00E63A6D">
            <w:pPr>
              <w:widowControl/>
              <w:suppressLineNumbers w:val="0"/>
              <w:suppressAutoHyphens w:val="0"/>
              <w:ind w:left="32" w:firstLine="0"/>
              <w:jc w:val="left"/>
              <w:rPr>
                <w:color w:val="000000"/>
                <w:sz w:val="20"/>
              </w:rPr>
            </w:pPr>
            <w:r w:rsidRPr="008470F7">
              <w:rPr>
                <w:color w:val="000000"/>
                <w:sz w:val="20"/>
              </w:rPr>
              <w:t>Fonte: Elaborada pelos autores.</w:t>
            </w:r>
          </w:p>
        </w:tc>
        <w:tc>
          <w:tcPr>
            <w:tcW w:w="2409" w:type="dxa"/>
            <w:gridSpan w:val="2"/>
            <w:tcBorders>
              <w:top w:val="single" w:sz="4" w:space="0" w:color="auto"/>
            </w:tcBorders>
            <w:shd w:val="clear" w:color="auto" w:fill="auto"/>
          </w:tcPr>
          <w:p w:rsidR="008470F7" w:rsidRPr="008470F7" w:rsidRDefault="008470F7" w:rsidP="00E63A6D">
            <w:pPr>
              <w:widowControl/>
              <w:suppressLineNumbers w:val="0"/>
              <w:suppressAutoHyphens w:val="0"/>
              <w:ind w:left="709" w:firstLine="0"/>
              <w:jc w:val="left"/>
              <w:rPr>
                <w:color w:val="000000"/>
                <w:sz w:val="20"/>
              </w:rPr>
            </w:pPr>
          </w:p>
        </w:tc>
        <w:tc>
          <w:tcPr>
            <w:tcW w:w="2145" w:type="dxa"/>
            <w:tcBorders>
              <w:top w:val="single" w:sz="4" w:space="0" w:color="auto"/>
            </w:tcBorders>
            <w:shd w:val="clear" w:color="auto" w:fill="auto"/>
          </w:tcPr>
          <w:p w:rsidR="008470F7" w:rsidRPr="008470F7" w:rsidRDefault="008470F7" w:rsidP="00E63A6D">
            <w:pPr>
              <w:widowControl/>
              <w:suppressLineNumbers w:val="0"/>
              <w:suppressAutoHyphens w:val="0"/>
              <w:ind w:left="709" w:firstLine="0"/>
              <w:jc w:val="left"/>
              <w:rPr>
                <w:color w:val="000000"/>
                <w:sz w:val="20"/>
              </w:rPr>
            </w:pPr>
          </w:p>
        </w:tc>
      </w:tr>
    </w:tbl>
    <w:p w:rsidR="00C1412C" w:rsidRPr="008470F7" w:rsidRDefault="00C1412C" w:rsidP="00E63A6D">
      <w:pPr>
        <w:ind w:firstLine="567"/>
        <w:rPr>
          <w:szCs w:val="24"/>
        </w:rPr>
      </w:pPr>
      <w:r w:rsidRPr="008470F7">
        <w:rPr>
          <w:szCs w:val="24"/>
        </w:rPr>
        <w:t>As disciplinas dessas estruturas curriculares foram separadas por eixo de formação conforme as propostas incluídas na Resolução CNE/CES 10 e no livro de Carneiro, Rodrigues, Silva, França, Almeida e Morais (2017) da Fundação Brasileira de Contabilidade, sendo elas: básica, profissional e teórico-prática.</w:t>
      </w:r>
    </w:p>
    <w:p w:rsidR="00C1412C" w:rsidRPr="008470F7" w:rsidRDefault="00C1412C" w:rsidP="00E63A6D">
      <w:pPr>
        <w:ind w:firstLine="567"/>
        <w:rPr>
          <w:szCs w:val="24"/>
        </w:rPr>
      </w:pPr>
      <w:r w:rsidRPr="008470F7">
        <w:rPr>
          <w:szCs w:val="24"/>
        </w:rPr>
        <w:t xml:space="preserve">Com relação à disciplina optativa de libras e outras que não têm relação com a contabilidade, </w:t>
      </w:r>
      <w:proofErr w:type="gramStart"/>
      <w:r w:rsidRPr="008470F7">
        <w:rPr>
          <w:szCs w:val="24"/>
        </w:rPr>
        <w:t>foram</w:t>
      </w:r>
      <w:proofErr w:type="gramEnd"/>
      <w:r w:rsidRPr="008470F7">
        <w:rPr>
          <w:szCs w:val="24"/>
        </w:rPr>
        <w:t xml:space="preserve"> consideradas como de formação básica nas tabelas relacionadas com a proposta da Fundação Brasileira de Contabilidade, visto que não se enquadram no eixo profissional. E, para as IES públicas com a oferta de diversas optativas, foi considerada a carga horária até completar o limite de horas total do curso registrada na respectiva grade curricular.</w:t>
      </w:r>
    </w:p>
    <w:p w:rsidR="00C1412C" w:rsidRPr="008470F7" w:rsidRDefault="00C1412C" w:rsidP="00E63A6D">
      <w:pPr>
        <w:ind w:firstLine="567"/>
        <w:rPr>
          <w:szCs w:val="24"/>
        </w:rPr>
      </w:pPr>
      <w:r w:rsidRPr="008470F7">
        <w:rPr>
          <w:szCs w:val="24"/>
        </w:rPr>
        <w:t>Para verificar os motivos e a frequência com que é alterada a grade curricular, além de informações sobre o estágio supervisionado, foi elaborado um questionário, previamente testado, com 12 questões divididas em 4 seções. A primeira compôs-se por duas questões abertas visando à identificação da instituição e do coordenador. A segunda, com quatro questões de múltipla escolha, para verificar a formação, titulação, área da maior titulação e o tempo de atuação do coordenador. Outras quatro questões referentes à estrutura curricular integraram a terceira seção do questionário, isso para que fosse possível verificar se existe uma política para revisão e alteração da estrutura curricular, qual sua periodicidade, quando foi realizada a última alteração da grade curricular e o que foi alterado. Já na quarta seção, foram feitos dois questionamentos, ambos em relação ao estágio supervisionado.</w:t>
      </w:r>
    </w:p>
    <w:p w:rsidR="00C1412C" w:rsidRPr="008470F7" w:rsidRDefault="00C1412C" w:rsidP="00E63A6D">
      <w:pPr>
        <w:ind w:firstLine="567"/>
        <w:rPr>
          <w:szCs w:val="24"/>
        </w:rPr>
      </w:pPr>
      <w:r w:rsidRPr="008470F7">
        <w:rPr>
          <w:szCs w:val="24"/>
        </w:rPr>
        <w:t xml:space="preserve">Foram enviados e-mails aos 26 coordenadores de cursos em Ciências Contábeis que estavam como ativos no portal interativo do </w:t>
      </w:r>
      <w:proofErr w:type="spellStart"/>
      <w:r w:rsidRPr="008470F7">
        <w:rPr>
          <w:szCs w:val="24"/>
        </w:rPr>
        <w:t>e-MEC</w:t>
      </w:r>
      <w:proofErr w:type="spellEnd"/>
      <w:r w:rsidRPr="008470F7">
        <w:rPr>
          <w:szCs w:val="24"/>
        </w:rPr>
        <w:t xml:space="preserve"> com o </w:t>
      </w:r>
      <w:r w:rsidRPr="008470F7">
        <w:rPr>
          <w:i/>
          <w:szCs w:val="24"/>
        </w:rPr>
        <w:t>link</w:t>
      </w:r>
      <w:r w:rsidRPr="008470F7">
        <w:rPr>
          <w:szCs w:val="24"/>
        </w:rPr>
        <w:t xml:space="preserve"> para o questionário disponibilizado no Google Docs. O questionário ficou aberto de 10 de julho a 10 de outubro de 2018 e houve um </w:t>
      </w:r>
      <w:r w:rsidRPr="008470F7">
        <w:rPr>
          <w:szCs w:val="24"/>
        </w:rPr>
        <w:lastRenderedPageBreak/>
        <w:t>retorno de 14 respostas. Dessas, nove foram de IES privadas e cinco de IES públicas. Entretanto, foram desconsideradas as respostas referentes a uma faculdade privada do interior do estado porque não foi encontrada a grade curricular em seu sítio eletrônico.</w:t>
      </w:r>
    </w:p>
    <w:p w:rsidR="00C1412C" w:rsidRPr="008470F7" w:rsidRDefault="00C1412C" w:rsidP="00E63A6D">
      <w:pPr>
        <w:jc w:val="center"/>
        <w:rPr>
          <w:szCs w:val="24"/>
        </w:rPr>
      </w:pPr>
    </w:p>
    <w:p w:rsidR="00C1412C" w:rsidRPr="008470F7" w:rsidRDefault="00C1412C" w:rsidP="00E63A6D">
      <w:pPr>
        <w:ind w:firstLine="0"/>
        <w:rPr>
          <w:b/>
          <w:szCs w:val="24"/>
        </w:rPr>
      </w:pPr>
      <w:r w:rsidRPr="008470F7">
        <w:rPr>
          <w:b/>
          <w:szCs w:val="24"/>
        </w:rPr>
        <w:t>4 Análise e Discussão dos Resultados</w:t>
      </w:r>
    </w:p>
    <w:p w:rsidR="00C1412C" w:rsidRPr="008470F7" w:rsidRDefault="00C1412C" w:rsidP="00E63A6D">
      <w:pPr>
        <w:ind w:firstLine="567"/>
        <w:rPr>
          <w:szCs w:val="24"/>
        </w:rPr>
      </w:pPr>
      <w:r w:rsidRPr="008470F7">
        <w:rPr>
          <w:szCs w:val="24"/>
        </w:rPr>
        <w:t>Na análise das respostas obtidas, referentes ao questionário aplicado aos coordenadores dos cursos presenciais de graduação em Ciências Contábeis no estado do Mato Grosso do Sul, foram consideradas as respostas de treze coordenadores, sendo que 46,15% são mulheres e 53,85% homens. Cabe salientar que, em respeito ao sigilo prometido na aplicação do questionário, não será referenciado o nome das IES no tocante às informações captadas mediante o questionário, mas apenas quando se tratar de informações públicas.</w:t>
      </w:r>
    </w:p>
    <w:p w:rsidR="00C1412C" w:rsidRPr="008470F7" w:rsidRDefault="00C1412C" w:rsidP="00E63A6D">
      <w:pPr>
        <w:ind w:firstLine="567"/>
        <w:rPr>
          <w:szCs w:val="24"/>
        </w:rPr>
      </w:pPr>
      <w:r w:rsidRPr="008470F7">
        <w:rPr>
          <w:szCs w:val="24"/>
        </w:rPr>
        <w:t>Sequencialmente, quanto ao tempo desempenhando a função de coordenação de curso, oito coordenadores (61,54%) têm até dois anos na função e os outros têm entre 3 e 5 anos. A maioria são mestres (69,23%), três são doutores (23,08%) e um é especialista (7,69%). Quanto à área de maior titulação dos coordenadores, 46,15% são em Ciências Contábeis e 30,77% em Administração de Empresas. Os outros são em Direito Econômico, Ciências Ambientais e Sustentabilidade Agropecuária e Mestrado em Desenvolvimento Regional.</w:t>
      </w:r>
    </w:p>
    <w:p w:rsidR="00C1412C" w:rsidRPr="008470F7" w:rsidRDefault="00C1412C" w:rsidP="00E63A6D">
      <w:pPr>
        <w:ind w:firstLine="567"/>
        <w:rPr>
          <w:szCs w:val="24"/>
        </w:rPr>
      </w:pPr>
      <w:r w:rsidRPr="008470F7">
        <w:rPr>
          <w:szCs w:val="24"/>
        </w:rPr>
        <w:t>Já no concernente à questão sobre a existência ou não de uma política para revisão e alteração da estrutura curricular por parte das IES, 10 coordenadores (76,92%) responderam afirmativamente. Sendo que, destas instituições, cinco revisam anualmente, uma a cada dois anos e as outras sempre que surgir nova alteração nas Diretrizes Curriculares do MEC. Uma Universidade privada também revisa e altera a estrutura curricular pel</w:t>
      </w:r>
      <w:r w:rsidR="0001338F">
        <w:rPr>
          <w:szCs w:val="24"/>
        </w:rPr>
        <w:t xml:space="preserve">a necessidade do mercado. Os três </w:t>
      </w:r>
      <w:r w:rsidRPr="008470F7">
        <w:rPr>
          <w:szCs w:val="24"/>
        </w:rPr>
        <w:t xml:space="preserve">coordenadores que </w:t>
      </w:r>
      <w:r w:rsidR="0001338F">
        <w:rPr>
          <w:szCs w:val="24"/>
        </w:rPr>
        <w:t>disseram não haver</w:t>
      </w:r>
      <w:r w:rsidRPr="008470F7">
        <w:rPr>
          <w:szCs w:val="24"/>
        </w:rPr>
        <w:t xml:space="preserve"> política de revi</w:t>
      </w:r>
      <w:r w:rsidR="0001338F">
        <w:rPr>
          <w:szCs w:val="24"/>
        </w:rPr>
        <w:t>são</w:t>
      </w:r>
      <w:r w:rsidRPr="008470F7">
        <w:rPr>
          <w:szCs w:val="24"/>
        </w:rPr>
        <w:t xml:space="preserve"> são de instituições públicas.</w:t>
      </w:r>
    </w:p>
    <w:p w:rsidR="00C1412C" w:rsidRPr="008470F7" w:rsidRDefault="00C1412C" w:rsidP="00E63A6D">
      <w:pPr>
        <w:ind w:firstLine="567"/>
        <w:rPr>
          <w:szCs w:val="24"/>
        </w:rPr>
      </w:pPr>
      <w:r w:rsidRPr="008470F7">
        <w:rPr>
          <w:szCs w:val="24"/>
        </w:rPr>
        <w:t>No que diz respeito à última alteração na estrutura curricular, oito IES (61,54%) alteraram entre 2015 e 2017; duas universidades públicas responderam que nunca alteraram, sendo que uma iniciou o curso em 2018 e outra em 2014; e três modificaram em 2018.</w:t>
      </w:r>
    </w:p>
    <w:p w:rsidR="00C1412C" w:rsidRPr="008470F7" w:rsidRDefault="00C1412C" w:rsidP="00E63A6D">
      <w:pPr>
        <w:ind w:firstLine="567"/>
        <w:rPr>
          <w:szCs w:val="24"/>
        </w:rPr>
      </w:pPr>
      <w:r w:rsidRPr="008470F7">
        <w:rPr>
          <w:szCs w:val="24"/>
        </w:rPr>
        <w:t>Sobre o que foi modificado na última vez, os coordenadores poderiam selecionar mais de uma opção, além de inserir outras. A alteração mais citada foi exclusão e inclusão de disciplinas (69,23%). A carga horária total do curso foi alterada por três IES. Foi citada também a adequação do estágio probatório por uma universidade e, em três, houve mudanças na carga horária de disciplinas.</w:t>
      </w:r>
    </w:p>
    <w:p w:rsidR="00C1412C" w:rsidRPr="008470F7" w:rsidRDefault="00C1412C" w:rsidP="00E63A6D">
      <w:pPr>
        <w:ind w:firstLine="567"/>
        <w:rPr>
          <w:szCs w:val="24"/>
        </w:rPr>
      </w:pPr>
      <w:r w:rsidRPr="008470F7">
        <w:rPr>
          <w:szCs w:val="24"/>
        </w:rPr>
        <w:t>Considerando apenas as três instituições que alteraram sua grade curricular em 2018, todas são privadas, sendo que: uma alterou disciplinas de formação teórico-prática; uma a carga horária total do curso, além da exclusão e inclusão de disciplinas; e a última realizou a alteração na carga horária, a exclusão e inclusão de disciplinas, além da alteração de disciplinas de formação teórico-prática.</w:t>
      </w:r>
    </w:p>
    <w:p w:rsidR="00C1412C" w:rsidRPr="008470F7" w:rsidRDefault="00C1412C" w:rsidP="00E63A6D">
      <w:pPr>
        <w:ind w:firstLine="567"/>
        <w:rPr>
          <w:szCs w:val="24"/>
        </w:rPr>
      </w:pPr>
      <w:r w:rsidRPr="008470F7">
        <w:rPr>
          <w:szCs w:val="24"/>
        </w:rPr>
        <w:t>Quando questionados sobre a obrigatoriedade do estágio supervisionado, dez coordenadores (76,92%) responderam ser obrigatória a realização e, ainda, informaram onde ele é realizado, se na própria IES, se em empresas, ou em ambos. Dessas IES, duas (20%) realizam na própria instituição, três (30%) em empresas e cinco (50%) em ambas.</w:t>
      </w:r>
    </w:p>
    <w:p w:rsidR="00C1412C" w:rsidRPr="008470F7" w:rsidRDefault="00C1412C" w:rsidP="00E63A6D">
      <w:pPr>
        <w:ind w:firstLine="567"/>
        <w:rPr>
          <w:szCs w:val="24"/>
        </w:rPr>
      </w:pPr>
      <w:r w:rsidRPr="008470F7">
        <w:rPr>
          <w:szCs w:val="24"/>
        </w:rPr>
        <w:t xml:space="preserve">Na continuidade desta pesquisa foram analisadas as 19 grades curriculares obtidas nos sítios eletrônicos das IES, sendo 13 de instituições privadas e 6 de instituições públicas. As disciplinas </w:t>
      </w:r>
      <w:r w:rsidRPr="008470F7">
        <w:rPr>
          <w:szCs w:val="24"/>
        </w:rPr>
        <w:lastRenderedPageBreak/>
        <w:t>dessas estruturas curriculares foram separadas por eixo de formação, básica, profissional e teórico-prática, conforme as propostas incluídas na Resolução CNE/CES 10, e no livro de Carneiro et al. (2017) da Fundação Brasileira de Contabilidade.</w:t>
      </w:r>
    </w:p>
    <w:p w:rsidR="00C1412C" w:rsidRPr="008470F7" w:rsidRDefault="00C1412C" w:rsidP="00E63A6D">
      <w:pPr>
        <w:ind w:firstLine="567"/>
        <w:rPr>
          <w:szCs w:val="24"/>
        </w:rPr>
      </w:pPr>
      <w:r w:rsidRPr="008470F7">
        <w:rPr>
          <w:szCs w:val="24"/>
        </w:rPr>
        <w:t>Se nos currículos das legislações houve um aumento da variedade de disciplinas, conforme citado pelos autores Soares et al. (2011), em análise das grades curriculares percebe-se uma lista de 444 nomes diferentes. Separando por eixo de formação, são 201 na formação básica, 195 na profissional e 48 na teórico-prática.</w:t>
      </w:r>
    </w:p>
    <w:p w:rsidR="00C1412C" w:rsidRPr="008470F7" w:rsidRDefault="00C1412C" w:rsidP="00E63A6D">
      <w:pPr>
        <w:ind w:firstLine="567"/>
        <w:rPr>
          <w:szCs w:val="24"/>
        </w:rPr>
      </w:pPr>
      <w:r w:rsidRPr="008470F7">
        <w:rPr>
          <w:szCs w:val="24"/>
        </w:rPr>
        <w:t>Numa análise buscou-se agrupar as disciplinas semelhantes. Nesse contexto, verificou-se um total de 203 disciplinas apresentadas nas estruturas curriculares das IES.  Separadas por formação, são 96 na básica, 94 na profissional e 13 na teórico-prática. Incluindo disciplinas como: Projeto de Vida, Psicologia, Fundamentos de Marketing e Comportamento Humano nas Organizações.</w:t>
      </w:r>
    </w:p>
    <w:p w:rsidR="00C1412C" w:rsidRPr="008470F7" w:rsidRDefault="00C1412C" w:rsidP="00E63A6D">
      <w:pPr>
        <w:ind w:firstLine="567"/>
        <w:rPr>
          <w:szCs w:val="24"/>
        </w:rPr>
      </w:pPr>
      <w:r w:rsidRPr="008470F7">
        <w:rPr>
          <w:szCs w:val="24"/>
        </w:rPr>
        <w:t xml:space="preserve">Na Tabela 5 foi distribuída a carga horária por eixo de formação e verificado se a carga horária da grade condiz com a registrada no portal do </w:t>
      </w:r>
      <w:proofErr w:type="spellStart"/>
      <w:r w:rsidRPr="008470F7">
        <w:rPr>
          <w:szCs w:val="24"/>
        </w:rPr>
        <w:t>e-MEC</w:t>
      </w:r>
      <w:proofErr w:type="spellEnd"/>
      <w:r w:rsidRPr="008470F7">
        <w:rPr>
          <w:szCs w:val="24"/>
        </w:rPr>
        <w:t xml:space="preserve">. Verificou-se que cinco IES apresentam na grade curricular uma carga horária menor que a cadastrada no portal </w:t>
      </w:r>
      <w:proofErr w:type="spellStart"/>
      <w:r w:rsidRPr="008470F7">
        <w:rPr>
          <w:szCs w:val="24"/>
        </w:rPr>
        <w:t>e-MEC</w:t>
      </w:r>
      <w:proofErr w:type="spellEnd"/>
      <w:r w:rsidRPr="008470F7">
        <w:rPr>
          <w:szCs w:val="24"/>
        </w:rPr>
        <w:t>, sendo que a instituição número</w:t>
      </w:r>
      <w:r w:rsidR="0001338F">
        <w:rPr>
          <w:szCs w:val="24"/>
        </w:rPr>
        <w:t xml:space="preserve"> 2 apresenta a maior diferença. Entretanto</w:t>
      </w:r>
      <w:r w:rsidRPr="008470F7">
        <w:rPr>
          <w:szCs w:val="24"/>
        </w:rPr>
        <w:t xml:space="preserve">, foram observados apenas os dados apresentados no </w:t>
      </w:r>
      <w:r w:rsidRPr="008470F7">
        <w:rPr>
          <w:i/>
          <w:szCs w:val="24"/>
        </w:rPr>
        <w:t>site</w:t>
      </w:r>
      <w:r w:rsidRPr="008470F7">
        <w:rPr>
          <w:szCs w:val="24"/>
        </w:rPr>
        <w:t xml:space="preserve"> desta IES, no qual não aparecem as atividades fora do horário de aula, como estágio supervisionado e atividades complementares.</w:t>
      </w:r>
    </w:p>
    <w:p w:rsidR="00C1412C" w:rsidRPr="008470F7" w:rsidRDefault="00C1412C" w:rsidP="00E63A6D">
      <w:pPr>
        <w:ind w:firstLine="0"/>
        <w:rPr>
          <w:szCs w:val="24"/>
        </w:rPr>
      </w:pPr>
    </w:p>
    <w:tbl>
      <w:tblPr>
        <w:tblW w:w="0" w:type="auto"/>
        <w:tblInd w:w="55" w:type="dxa"/>
        <w:tblCellMar>
          <w:left w:w="70" w:type="dxa"/>
          <w:right w:w="70" w:type="dxa"/>
        </w:tblCellMar>
        <w:tblLook w:val="04A0" w:firstRow="1" w:lastRow="0" w:firstColumn="1" w:lastColumn="0" w:noHBand="0" w:noVBand="1"/>
      </w:tblPr>
      <w:tblGrid>
        <w:gridCol w:w="464"/>
        <w:gridCol w:w="863"/>
        <w:gridCol w:w="840"/>
        <w:gridCol w:w="1125"/>
        <w:gridCol w:w="896"/>
        <w:gridCol w:w="988"/>
        <w:gridCol w:w="1145"/>
        <w:gridCol w:w="896"/>
        <w:gridCol w:w="988"/>
        <w:gridCol w:w="1145"/>
      </w:tblGrid>
      <w:tr w:rsidR="008470F7" w:rsidRPr="008470F7" w:rsidTr="008470F7">
        <w:trPr>
          <w:trHeight w:val="255"/>
        </w:trPr>
        <w:tc>
          <w:tcPr>
            <w:tcW w:w="0" w:type="auto"/>
            <w:gridSpan w:val="10"/>
            <w:tcBorders>
              <w:bottom w:val="single" w:sz="4" w:space="0" w:color="auto"/>
            </w:tcBorders>
            <w:shd w:val="clear" w:color="auto" w:fill="auto"/>
            <w:vAlign w:val="center"/>
          </w:tcPr>
          <w:p w:rsidR="008470F7" w:rsidRPr="008470F7" w:rsidRDefault="0001338F" w:rsidP="0001338F">
            <w:pPr>
              <w:keepNext/>
              <w:widowControl/>
              <w:suppressLineNumbers w:val="0"/>
              <w:suppressAutoHyphens w:val="0"/>
              <w:ind w:firstLine="0"/>
              <w:rPr>
                <w:bCs/>
                <w:sz w:val="20"/>
              </w:rPr>
            </w:pPr>
            <w:r>
              <w:rPr>
                <w:bCs/>
                <w:sz w:val="20"/>
              </w:rPr>
              <w:t xml:space="preserve">Tabela 5. </w:t>
            </w:r>
            <w:r w:rsidR="008470F7" w:rsidRPr="008470F7">
              <w:rPr>
                <w:bCs/>
                <w:sz w:val="20"/>
              </w:rPr>
              <w:t>Carga</w:t>
            </w:r>
            <w:r>
              <w:rPr>
                <w:bCs/>
                <w:sz w:val="20"/>
              </w:rPr>
              <w:t xml:space="preserve"> horária da grade curricular comparada </w:t>
            </w:r>
            <w:r w:rsidR="008470F7" w:rsidRPr="008470F7">
              <w:rPr>
                <w:bCs/>
                <w:sz w:val="20"/>
              </w:rPr>
              <w:t xml:space="preserve">a cadastrada no </w:t>
            </w:r>
            <w:proofErr w:type="spellStart"/>
            <w:r w:rsidR="008470F7" w:rsidRPr="008470F7">
              <w:rPr>
                <w:bCs/>
                <w:sz w:val="20"/>
              </w:rPr>
              <w:t>e-</w:t>
            </w:r>
            <w:r>
              <w:rPr>
                <w:bCs/>
                <w:sz w:val="20"/>
              </w:rPr>
              <w:t>MEC</w:t>
            </w:r>
            <w:proofErr w:type="spellEnd"/>
            <w:r>
              <w:rPr>
                <w:bCs/>
                <w:sz w:val="20"/>
              </w:rPr>
              <w:t xml:space="preserve"> e sua distribuição por eixo - </w:t>
            </w:r>
            <w:r w:rsidR="008470F7" w:rsidRPr="008470F7">
              <w:rPr>
                <w:bCs/>
                <w:sz w:val="20"/>
              </w:rPr>
              <w:t>formação</w:t>
            </w:r>
          </w:p>
        </w:tc>
      </w:tr>
      <w:tr w:rsidR="008470F7" w:rsidRPr="008470F7" w:rsidTr="008470F7">
        <w:trPr>
          <w:trHeight w:val="255"/>
        </w:trPr>
        <w:tc>
          <w:tcPr>
            <w:tcW w:w="0" w:type="auto"/>
            <w:tcBorders>
              <w:right w:val="single" w:sz="4" w:space="0" w:color="auto"/>
            </w:tcBorders>
            <w:shd w:val="clear" w:color="auto" w:fill="auto"/>
            <w:vAlign w:val="center"/>
            <w:hideMark/>
          </w:tcPr>
          <w:p w:rsidR="008470F7" w:rsidRPr="008470F7" w:rsidRDefault="008470F7" w:rsidP="00E63A6D">
            <w:pPr>
              <w:keepNext/>
              <w:widowControl/>
              <w:suppressLineNumbers w:val="0"/>
              <w:suppressAutoHyphens w:val="0"/>
              <w:ind w:firstLine="0"/>
              <w:jc w:val="center"/>
              <w:rPr>
                <w:b/>
                <w:bCs/>
                <w:sz w:val="20"/>
              </w:rPr>
            </w:pPr>
          </w:p>
        </w:tc>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70F7" w:rsidRPr="008470F7" w:rsidRDefault="008470F7" w:rsidP="00E63A6D">
            <w:pPr>
              <w:keepNext/>
              <w:widowControl/>
              <w:suppressLineNumbers w:val="0"/>
              <w:suppressAutoHyphens w:val="0"/>
              <w:ind w:firstLine="0"/>
              <w:jc w:val="center"/>
              <w:rPr>
                <w:b/>
                <w:bCs/>
                <w:sz w:val="20"/>
              </w:rPr>
            </w:pPr>
            <w:r w:rsidRPr="008470F7">
              <w:rPr>
                <w:b/>
                <w:bCs/>
                <w:sz w:val="20"/>
              </w:rPr>
              <w:t>CARGA HORÁRIA</w:t>
            </w:r>
          </w:p>
        </w:tc>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70F7" w:rsidRPr="008470F7" w:rsidRDefault="008470F7" w:rsidP="00E63A6D">
            <w:pPr>
              <w:keepNext/>
              <w:widowControl/>
              <w:suppressLineNumbers w:val="0"/>
              <w:suppressAutoHyphens w:val="0"/>
              <w:ind w:firstLine="0"/>
              <w:jc w:val="center"/>
              <w:rPr>
                <w:b/>
                <w:bCs/>
                <w:sz w:val="20"/>
              </w:rPr>
            </w:pPr>
            <w:r w:rsidRPr="008470F7">
              <w:rPr>
                <w:b/>
                <w:bCs/>
                <w:sz w:val="20"/>
              </w:rPr>
              <w:t>PROPOSTA FBC 2017</w:t>
            </w:r>
          </w:p>
        </w:tc>
        <w:tc>
          <w:tcPr>
            <w:tcW w:w="0" w:type="auto"/>
            <w:gridSpan w:val="3"/>
            <w:tcBorders>
              <w:top w:val="single" w:sz="4" w:space="0" w:color="auto"/>
              <w:left w:val="single" w:sz="4" w:space="0" w:color="auto"/>
              <w:bottom w:val="single" w:sz="4" w:space="0" w:color="auto"/>
            </w:tcBorders>
            <w:shd w:val="clear" w:color="auto" w:fill="auto"/>
            <w:noWrap/>
            <w:vAlign w:val="center"/>
            <w:hideMark/>
          </w:tcPr>
          <w:p w:rsidR="008470F7" w:rsidRPr="008470F7" w:rsidRDefault="008470F7" w:rsidP="00E63A6D">
            <w:pPr>
              <w:keepNext/>
              <w:widowControl/>
              <w:suppressLineNumbers w:val="0"/>
              <w:suppressAutoHyphens w:val="0"/>
              <w:ind w:firstLine="0"/>
              <w:jc w:val="center"/>
              <w:rPr>
                <w:b/>
                <w:bCs/>
                <w:sz w:val="20"/>
              </w:rPr>
            </w:pPr>
            <w:r w:rsidRPr="008470F7">
              <w:rPr>
                <w:b/>
                <w:bCs/>
                <w:sz w:val="20"/>
              </w:rPr>
              <w:t>RESOLUÇÃO CNE/CES 10</w:t>
            </w:r>
          </w:p>
        </w:tc>
      </w:tr>
      <w:tr w:rsidR="008470F7" w:rsidRPr="008470F7" w:rsidTr="008470F7">
        <w:trPr>
          <w:trHeight w:val="470"/>
        </w:trPr>
        <w:tc>
          <w:tcPr>
            <w:tcW w:w="0" w:type="auto"/>
            <w:tcBorders>
              <w:bottom w:val="single" w:sz="4" w:space="0" w:color="auto"/>
              <w:right w:val="single" w:sz="4" w:space="0" w:color="auto"/>
            </w:tcBorders>
            <w:shd w:val="clear" w:color="auto" w:fill="auto"/>
            <w:vAlign w:val="center"/>
            <w:hideMark/>
          </w:tcPr>
          <w:p w:rsidR="008470F7" w:rsidRPr="008470F7" w:rsidRDefault="008470F7" w:rsidP="00E63A6D">
            <w:pPr>
              <w:keepNext/>
              <w:widowControl/>
              <w:suppressLineNumbers w:val="0"/>
              <w:suppressAutoHyphens w:val="0"/>
              <w:ind w:firstLine="0"/>
              <w:jc w:val="center"/>
              <w:rPr>
                <w:b/>
                <w:bCs/>
                <w:sz w:val="20"/>
              </w:rPr>
            </w:pPr>
            <w:r w:rsidRPr="008470F7">
              <w:rPr>
                <w:b/>
                <w:bCs/>
                <w:sz w:val="20"/>
              </w:rPr>
              <w:t>IES</w:t>
            </w:r>
          </w:p>
        </w:tc>
        <w:tc>
          <w:tcPr>
            <w:tcW w:w="0" w:type="auto"/>
            <w:tcBorders>
              <w:top w:val="single" w:sz="4" w:space="0" w:color="auto"/>
              <w:left w:val="single" w:sz="4" w:space="0" w:color="auto"/>
              <w:bottom w:val="single" w:sz="4" w:space="0" w:color="auto"/>
            </w:tcBorders>
            <w:shd w:val="clear" w:color="auto" w:fill="auto"/>
            <w:vAlign w:val="center"/>
            <w:hideMark/>
          </w:tcPr>
          <w:p w:rsidR="008470F7" w:rsidRPr="008470F7" w:rsidRDefault="008470F7" w:rsidP="00E63A6D">
            <w:pPr>
              <w:keepNext/>
              <w:widowControl/>
              <w:suppressLineNumbers w:val="0"/>
              <w:suppressAutoHyphens w:val="0"/>
              <w:ind w:firstLine="0"/>
              <w:jc w:val="center"/>
              <w:rPr>
                <w:b/>
                <w:bCs/>
                <w:sz w:val="20"/>
              </w:rPr>
            </w:pPr>
            <w:r w:rsidRPr="008470F7">
              <w:rPr>
                <w:b/>
                <w:bCs/>
                <w:sz w:val="20"/>
              </w:rPr>
              <w:t>GRADE</w:t>
            </w:r>
          </w:p>
        </w:tc>
        <w:tc>
          <w:tcPr>
            <w:tcW w:w="0" w:type="auto"/>
            <w:tcBorders>
              <w:top w:val="single" w:sz="4" w:space="0" w:color="auto"/>
              <w:bottom w:val="single" w:sz="4" w:space="0" w:color="auto"/>
            </w:tcBorders>
            <w:shd w:val="clear" w:color="auto" w:fill="auto"/>
            <w:vAlign w:val="center"/>
            <w:hideMark/>
          </w:tcPr>
          <w:p w:rsidR="008470F7" w:rsidRPr="008470F7" w:rsidRDefault="008470F7" w:rsidP="00E63A6D">
            <w:pPr>
              <w:keepNext/>
              <w:widowControl/>
              <w:suppressLineNumbers w:val="0"/>
              <w:suppressAutoHyphens w:val="0"/>
              <w:ind w:firstLine="0"/>
              <w:jc w:val="center"/>
              <w:rPr>
                <w:b/>
                <w:bCs/>
                <w:sz w:val="20"/>
              </w:rPr>
            </w:pPr>
            <w:r w:rsidRPr="008470F7">
              <w:rPr>
                <w:b/>
                <w:bCs/>
                <w:sz w:val="20"/>
              </w:rPr>
              <w:t>E-MEC</w:t>
            </w:r>
          </w:p>
        </w:tc>
        <w:tc>
          <w:tcPr>
            <w:tcW w:w="0" w:type="auto"/>
            <w:tcBorders>
              <w:top w:val="single" w:sz="4" w:space="0" w:color="auto"/>
              <w:bottom w:val="single" w:sz="4" w:space="0" w:color="auto"/>
              <w:right w:val="single" w:sz="4" w:space="0" w:color="auto"/>
            </w:tcBorders>
            <w:shd w:val="clear" w:color="auto" w:fill="auto"/>
            <w:vAlign w:val="center"/>
            <w:hideMark/>
          </w:tcPr>
          <w:p w:rsidR="008470F7" w:rsidRPr="008470F7" w:rsidRDefault="008470F7" w:rsidP="00E63A6D">
            <w:pPr>
              <w:keepNext/>
              <w:widowControl/>
              <w:suppressLineNumbers w:val="0"/>
              <w:suppressAutoHyphens w:val="0"/>
              <w:ind w:firstLine="0"/>
              <w:jc w:val="center"/>
              <w:rPr>
                <w:b/>
                <w:bCs/>
                <w:sz w:val="20"/>
              </w:rPr>
            </w:pPr>
            <w:r w:rsidRPr="008470F7">
              <w:rPr>
                <w:b/>
                <w:bCs/>
                <w:sz w:val="20"/>
              </w:rPr>
              <w:t>DIFEREN-ÇA</w:t>
            </w:r>
          </w:p>
        </w:tc>
        <w:tc>
          <w:tcPr>
            <w:tcW w:w="0" w:type="auto"/>
            <w:tcBorders>
              <w:top w:val="single" w:sz="4" w:space="0" w:color="auto"/>
              <w:left w:val="single" w:sz="4" w:space="0" w:color="auto"/>
              <w:bottom w:val="single" w:sz="4" w:space="0" w:color="auto"/>
            </w:tcBorders>
            <w:shd w:val="clear" w:color="auto" w:fill="auto"/>
            <w:vAlign w:val="center"/>
            <w:hideMark/>
          </w:tcPr>
          <w:p w:rsidR="008470F7" w:rsidRPr="008470F7" w:rsidRDefault="008470F7" w:rsidP="00E63A6D">
            <w:pPr>
              <w:keepNext/>
              <w:widowControl/>
              <w:suppressLineNumbers w:val="0"/>
              <w:suppressAutoHyphens w:val="0"/>
              <w:ind w:firstLine="0"/>
              <w:jc w:val="center"/>
              <w:rPr>
                <w:b/>
                <w:bCs/>
                <w:sz w:val="20"/>
              </w:rPr>
            </w:pPr>
            <w:r w:rsidRPr="008470F7">
              <w:rPr>
                <w:b/>
                <w:bCs/>
                <w:sz w:val="20"/>
              </w:rPr>
              <w:t>BÁSICA</w:t>
            </w:r>
          </w:p>
        </w:tc>
        <w:tc>
          <w:tcPr>
            <w:tcW w:w="0" w:type="auto"/>
            <w:tcBorders>
              <w:top w:val="single" w:sz="4" w:space="0" w:color="auto"/>
              <w:bottom w:val="single" w:sz="4" w:space="0" w:color="auto"/>
            </w:tcBorders>
            <w:shd w:val="clear" w:color="auto" w:fill="auto"/>
            <w:vAlign w:val="center"/>
            <w:hideMark/>
          </w:tcPr>
          <w:p w:rsidR="008470F7" w:rsidRPr="008470F7" w:rsidRDefault="008470F7" w:rsidP="00E63A6D">
            <w:pPr>
              <w:keepNext/>
              <w:widowControl/>
              <w:suppressLineNumbers w:val="0"/>
              <w:suppressAutoHyphens w:val="0"/>
              <w:ind w:firstLine="0"/>
              <w:jc w:val="center"/>
              <w:rPr>
                <w:b/>
                <w:bCs/>
                <w:sz w:val="20"/>
              </w:rPr>
            </w:pPr>
            <w:r w:rsidRPr="008470F7">
              <w:rPr>
                <w:b/>
                <w:bCs/>
                <w:sz w:val="20"/>
              </w:rPr>
              <w:t>PROFIS-SIONAL</w:t>
            </w:r>
          </w:p>
        </w:tc>
        <w:tc>
          <w:tcPr>
            <w:tcW w:w="0" w:type="auto"/>
            <w:tcBorders>
              <w:top w:val="single" w:sz="4" w:space="0" w:color="auto"/>
              <w:bottom w:val="single" w:sz="4" w:space="0" w:color="auto"/>
              <w:right w:val="single" w:sz="4" w:space="0" w:color="auto"/>
            </w:tcBorders>
            <w:shd w:val="clear" w:color="auto" w:fill="auto"/>
            <w:vAlign w:val="center"/>
            <w:hideMark/>
          </w:tcPr>
          <w:p w:rsidR="008470F7" w:rsidRPr="008470F7" w:rsidRDefault="008470F7" w:rsidP="00E63A6D">
            <w:pPr>
              <w:keepNext/>
              <w:widowControl/>
              <w:suppressLineNumbers w:val="0"/>
              <w:suppressAutoHyphens w:val="0"/>
              <w:ind w:firstLine="0"/>
              <w:jc w:val="center"/>
              <w:rPr>
                <w:b/>
                <w:bCs/>
                <w:sz w:val="20"/>
              </w:rPr>
            </w:pPr>
            <w:r w:rsidRPr="008470F7">
              <w:rPr>
                <w:b/>
                <w:bCs/>
                <w:sz w:val="20"/>
              </w:rPr>
              <w:t>TEÓRICO PRÁTICA</w:t>
            </w:r>
          </w:p>
        </w:tc>
        <w:tc>
          <w:tcPr>
            <w:tcW w:w="0" w:type="auto"/>
            <w:tcBorders>
              <w:top w:val="single" w:sz="4" w:space="0" w:color="auto"/>
              <w:left w:val="single" w:sz="4" w:space="0" w:color="auto"/>
              <w:bottom w:val="single" w:sz="4" w:space="0" w:color="auto"/>
            </w:tcBorders>
            <w:shd w:val="clear" w:color="auto" w:fill="auto"/>
            <w:vAlign w:val="center"/>
            <w:hideMark/>
          </w:tcPr>
          <w:p w:rsidR="008470F7" w:rsidRPr="008470F7" w:rsidRDefault="008470F7" w:rsidP="00E63A6D">
            <w:pPr>
              <w:keepNext/>
              <w:widowControl/>
              <w:suppressLineNumbers w:val="0"/>
              <w:suppressAutoHyphens w:val="0"/>
              <w:ind w:firstLine="0"/>
              <w:jc w:val="center"/>
              <w:rPr>
                <w:b/>
                <w:bCs/>
                <w:sz w:val="20"/>
              </w:rPr>
            </w:pPr>
            <w:r w:rsidRPr="008470F7">
              <w:rPr>
                <w:b/>
                <w:bCs/>
                <w:sz w:val="20"/>
              </w:rPr>
              <w:t>BÁSICA</w:t>
            </w:r>
          </w:p>
        </w:tc>
        <w:tc>
          <w:tcPr>
            <w:tcW w:w="0" w:type="auto"/>
            <w:tcBorders>
              <w:top w:val="single" w:sz="4" w:space="0" w:color="auto"/>
              <w:bottom w:val="single" w:sz="4" w:space="0" w:color="auto"/>
            </w:tcBorders>
            <w:shd w:val="clear" w:color="auto" w:fill="auto"/>
            <w:vAlign w:val="center"/>
            <w:hideMark/>
          </w:tcPr>
          <w:p w:rsidR="008470F7" w:rsidRPr="008470F7" w:rsidRDefault="008470F7" w:rsidP="00E63A6D">
            <w:pPr>
              <w:keepNext/>
              <w:widowControl/>
              <w:suppressLineNumbers w:val="0"/>
              <w:suppressAutoHyphens w:val="0"/>
              <w:ind w:firstLine="0"/>
              <w:jc w:val="center"/>
              <w:rPr>
                <w:b/>
                <w:bCs/>
                <w:sz w:val="20"/>
              </w:rPr>
            </w:pPr>
            <w:r w:rsidRPr="008470F7">
              <w:rPr>
                <w:b/>
                <w:bCs/>
                <w:sz w:val="20"/>
              </w:rPr>
              <w:t>PROFIS-SIONAL</w:t>
            </w:r>
          </w:p>
        </w:tc>
        <w:tc>
          <w:tcPr>
            <w:tcW w:w="0" w:type="auto"/>
            <w:tcBorders>
              <w:top w:val="single" w:sz="4" w:space="0" w:color="auto"/>
              <w:bottom w:val="single" w:sz="4" w:space="0" w:color="auto"/>
            </w:tcBorders>
            <w:shd w:val="clear" w:color="auto" w:fill="auto"/>
            <w:vAlign w:val="center"/>
            <w:hideMark/>
          </w:tcPr>
          <w:p w:rsidR="008470F7" w:rsidRPr="008470F7" w:rsidRDefault="008470F7" w:rsidP="00E63A6D">
            <w:pPr>
              <w:keepNext/>
              <w:widowControl/>
              <w:suppressLineNumbers w:val="0"/>
              <w:suppressAutoHyphens w:val="0"/>
              <w:ind w:firstLine="0"/>
              <w:jc w:val="center"/>
              <w:rPr>
                <w:b/>
                <w:bCs/>
                <w:sz w:val="20"/>
              </w:rPr>
            </w:pPr>
            <w:r w:rsidRPr="008470F7">
              <w:rPr>
                <w:b/>
                <w:bCs/>
                <w:sz w:val="20"/>
              </w:rPr>
              <w:t>TEÓRICO PRÁTICA</w:t>
            </w:r>
          </w:p>
        </w:tc>
      </w:tr>
      <w:tr w:rsidR="008470F7" w:rsidRPr="008470F7" w:rsidTr="008470F7">
        <w:trPr>
          <w:trHeight w:val="255"/>
        </w:trPr>
        <w:tc>
          <w:tcPr>
            <w:tcW w:w="0" w:type="auto"/>
            <w:tcBorders>
              <w:top w:val="single" w:sz="4" w:space="0" w:color="auto"/>
              <w:right w:val="single" w:sz="4" w:space="0" w:color="auto"/>
            </w:tcBorders>
            <w:shd w:val="clear" w:color="auto" w:fill="auto"/>
            <w:noWrap/>
            <w:vAlign w:val="center"/>
            <w:hideMark/>
          </w:tcPr>
          <w:p w:rsidR="008470F7" w:rsidRPr="008470F7" w:rsidRDefault="008470F7" w:rsidP="00E63A6D">
            <w:pPr>
              <w:keepNext/>
              <w:widowControl/>
              <w:suppressLineNumbers w:val="0"/>
              <w:suppressAutoHyphens w:val="0"/>
              <w:ind w:firstLine="0"/>
              <w:jc w:val="center"/>
              <w:rPr>
                <w:sz w:val="20"/>
              </w:rPr>
            </w:pPr>
          </w:p>
        </w:tc>
        <w:tc>
          <w:tcPr>
            <w:tcW w:w="0" w:type="auto"/>
            <w:tcBorders>
              <w:top w:val="single" w:sz="4" w:space="0" w:color="auto"/>
              <w:left w:val="single" w:sz="4" w:space="0" w:color="auto"/>
            </w:tcBorders>
            <w:shd w:val="clear" w:color="auto" w:fill="auto"/>
            <w:noWrap/>
            <w:vAlign w:val="center"/>
            <w:hideMark/>
          </w:tcPr>
          <w:p w:rsidR="008470F7" w:rsidRPr="008470F7" w:rsidRDefault="008470F7" w:rsidP="00E63A6D">
            <w:pPr>
              <w:keepNext/>
              <w:widowControl/>
              <w:suppressLineNumbers w:val="0"/>
              <w:suppressAutoHyphens w:val="0"/>
              <w:ind w:firstLine="0"/>
              <w:jc w:val="right"/>
              <w:rPr>
                <w:b/>
                <w:bCs/>
                <w:sz w:val="20"/>
              </w:rPr>
            </w:pPr>
            <w:r w:rsidRPr="008470F7">
              <w:rPr>
                <w:b/>
                <w:bCs/>
                <w:sz w:val="20"/>
              </w:rPr>
              <w:t>3.000,00</w:t>
            </w:r>
          </w:p>
        </w:tc>
        <w:tc>
          <w:tcPr>
            <w:tcW w:w="0" w:type="auto"/>
            <w:tcBorders>
              <w:top w:val="single" w:sz="4" w:space="0" w:color="auto"/>
            </w:tcBorders>
            <w:shd w:val="clear" w:color="auto" w:fill="auto"/>
            <w:noWrap/>
            <w:vAlign w:val="center"/>
            <w:hideMark/>
          </w:tcPr>
          <w:p w:rsidR="008470F7" w:rsidRPr="008470F7" w:rsidRDefault="008470F7" w:rsidP="00E63A6D">
            <w:pPr>
              <w:keepNext/>
              <w:widowControl/>
              <w:suppressLineNumbers w:val="0"/>
              <w:suppressAutoHyphens w:val="0"/>
              <w:ind w:firstLine="0"/>
              <w:jc w:val="right"/>
              <w:rPr>
                <w:b/>
                <w:bCs/>
                <w:sz w:val="20"/>
              </w:rPr>
            </w:pPr>
          </w:p>
        </w:tc>
        <w:tc>
          <w:tcPr>
            <w:tcW w:w="0" w:type="auto"/>
            <w:tcBorders>
              <w:top w:val="single" w:sz="4" w:space="0" w:color="auto"/>
              <w:right w:val="single" w:sz="4" w:space="0" w:color="auto"/>
            </w:tcBorders>
            <w:shd w:val="clear" w:color="auto" w:fill="auto"/>
            <w:noWrap/>
            <w:vAlign w:val="center"/>
            <w:hideMark/>
          </w:tcPr>
          <w:p w:rsidR="008470F7" w:rsidRPr="008470F7" w:rsidRDefault="008470F7" w:rsidP="00E63A6D">
            <w:pPr>
              <w:keepNext/>
              <w:widowControl/>
              <w:suppressLineNumbers w:val="0"/>
              <w:suppressAutoHyphens w:val="0"/>
              <w:ind w:firstLine="0"/>
              <w:jc w:val="right"/>
              <w:rPr>
                <w:b/>
                <w:bCs/>
                <w:sz w:val="20"/>
              </w:rPr>
            </w:pPr>
          </w:p>
        </w:tc>
        <w:tc>
          <w:tcPr>
            <w:tcW w:w="0" w:type="auto"/>
            <w:tcBorders>
              <w:top w:val="single" w:sz="4" w:space="0" w:color="auto"/>
              <w:left w:val="single" w:sz="4" w:space="0" w:color="auto"/>
            </w:tcBorders>
            <w:shd w:val="clear" w:color="auto" w:fill="auto"/>
            <w:noWrap/>
            <w:vAlign w:val="center"/>
            <w:hideMark/>
          </w:tcPr>
          <w:p w:rsidR="008470F7" w:rsidRPr="008470F7" w:rsidRDefault="008470F7" w:rsidP="00E63A6D">
            <w:pPr>
              <w:keepNext/>
              <w:widowControl/>
              <w:suppressLineNumbers w:val="0"/>
              <w:suppressAutoHyphens w:val="0"/>
              <w:ind w:firstLine="0"/>
              <w:jc w:val="right"/>
              <w:rPr>
                <w:b/>
                <w:bCs/>
                <w:sz w:val="20"/>
              </w:rPr>
            </w:pPr>
            <w:r w:rsidRPr="008470F7">
              <w:rPr>
                <w:b/>
                <w:bCs/>
                <w:sz w:val="20"/>
              </w:rPr>
              <w:t>900,00</w:t>
            </w:r>
          </w:p>
        </w:tc>
        <w:tc>
          <w:tcPr>
            <w:tcW w:w="0" w:type="auto"/>
            <w:tcBorders>
              <w:top w:val="single" w:sz="4" w:space="0" w:color="auto"/>
            </w:tcBorders>
            <w:shd w:val="clear" w:color="auto" w:fill="auto"/>
            <w:noWrap/>
            <w:vAlign w:val="center"/>
            <w:hideMark/>
          </w:tcPr>
          <w:p w:rsidR="008470F7" w:rsidRPr="008470F7" w:rsidRDefault="008470F7" w:rsidP="00E63A6D">
            <w:pPr>
              <w:keepNext/>
              <w:widowControl/>
              <w:suppressLineNumbers w:val="0"/>
              <w:suppressAutoHyphens w:val="0"/>
              <w:ind w:firstLine="0"/>
              <w:jc w:val="right"/>
              <w:rPr>
                <w:b/>
                <w:bCs/>
                <w:sz w:val="20"/>
              </w:rPr>
            </w:pPr>
            <w:r w:rsidRPr="008470F7">
              <w:rPr>
                <w:b/>
                <w:bCs/>
                <w:sz w:val="20"/>
              </w:rPr>
              <w:t>1.620,00</w:t>
            </w:r>
          </w:p>
        </w:tc>
        <w:tc>
          <w:tcPr>
            <w:tcW w:w="0" w:type="auto"/>
            <w:tcBorders>
              <w:top w:val="single" w:sz="4" w:space="0" w:color="auto"/>
              <w:right w:val="single" w:sz="4" w:space="0" w:color="auto"/>
            </w:tcBorders>
            <w:shd w:val="clear" w:color="auto" w:fill="auto"/>
            <w:noWrap/>
            <w:vAlign w:val="center"/>
            <w:hideMark/>
          </w:tcPr>
          <w:p w:rsidR="008470F7" w:rsidRPr="008470F7" w:rsidRDefault="008470F7" w:rsidP="00E63A6D">
            <w:pPr>
              <w:keepNext/>
              <w:widowControl/>
              <w:suppressLineNumbers w:val="0"/>
              <w:suppressAutoHyphens w:val="0"/>
              <w:ind w:firstLine="0"/>
              <w:jc w:val="right"/>
              <w:rPr>
                <w:b/>
                <w:bCs/>
                <w:sz w:val="20"/>
              </w:rPr>
            </w:pPr>
            <w:r w:rsidRPr="008470F7">
              <w:rPr>
                <w:b/>
                <w:bCs/>
                <w:sz w:val="20"/>
              </w:rPr>
              <w:t>480,00</w:t>
            </w:r>
          </w:p>
        </w:tc>
        <w:tc>
          <w:tcPr>
            <w:tcW w:w="0" w:type="auto"/>
            <w:tcBorders>
              <w:top w:val="single" w:sz="4" w:space="0" w:color="auto"/>
              <w:left w:val="single" w:sz="4" w:space="0" w:color="auto"/>
            </w:tcBorders>
            <w:shd w:val="clear" w:color="auto" w:fill="auto"/>
            <w:noWrap/>
            <w:vAlign w:val="center"/>
            <w:hideMark/>
          </w:tcPr>
          <w:p w:rsidR="008470F7" w:rsidRPr="008470F7" w:rsidRDefault="008470F7" w:rsidP="00E63A6D">
            <w:pPr>
              <w:keepNext/>
              <w:widowControl/>
              <w:suppressLineNumbers w:val="0"/>
              <w:suppressAutoHyphens w:val="0"/>
              <w:ind w:firstLine="0"/>
              <w:jc w:val="right"/>
              <w:rPr>
                <w:b/>
                <w:bCs/>
                <w:sz w:val="20"/>
              </w:rPr>
            </w:pPr>
            <w:r w:rsidRPr="008470F7">
              <w:rPr>
                <w:b/>
                <w:bCs/>
                <w:sz w:val="20"/>
              </w:rPr>
              <w:t>900,00</w:t>
            </w:r>
          </w:p>
        </w:tc>
        <w:tc>
          <w:tcPr>
            <w:tcW w:w="0" w:type="auto"/>
            <w:tcBorders>
              <w:top w:val="single" w:sz="4" w:space="0" w:color="auto"/>
            </w:tcBorders>
            <w:shd w:val="clear" w:color="auto" w:fill="auto"/>
            <w:noWrap/>
            <w:vAlign w:val="center"/>
            <w:hideMark/>
          </w:tcPr>
          <w:p w:rsidR="008470F7" w:rsidRPr="008470F7" w:rsidRDefault="008470F7" w:rsidP="00E63A6D">
            <w:pPr>
              <w:keepNext/>
              <w:widowControl/>
              <w:suppressLineNumbers w:val="0"/>
              <w:suppressAutoHyphens w:val="0"/>
              <w:ind w:firstLine="0"/>
              <w:jc w:val="right"/>
              <w:rPr>
                <w:b/>
                <w:bCs/>
                <w:sz w:val="20"/>
              </w:rPr>
            </w:pPr>
            <w:r w:rsidRPr="008470F7">
              <w:rPr>
                <w:b/>
                <w:bCs/>
                <w:sz w:val="20"/>
              </w:rPr>
              <w:t>1.380,00</w:t>
            </w:r>
          </w:p>
        </w:tc>
        <w:tc>
          <w:tcPr>
            <w:tcW w:w="0" w:type="auto"/>
            <w:tcBorders>
              <w:top w:val="single" w:sz="4" w:space="0" w:color="auto"/>
            </w:tcBorders>
            <w:shd w:val="clear" w:color="auto" w:fill="auto"/>
            <w:noWrap/>
            <w:vAlign w:val="center"/>
            <w:hideMark/>
          </w:tcPr>
          <w:p w:rsidR="008470F7" w:rsidRPr="008470F7" w:rsidRDefault="008470F7" w:rsidP="00E63A6D">
            <w:pPr>
              <w:keepNext/>
              <w:widowControl/>
              <w:suppressLineNumbers w:val="0"/>
              <w:suppressAutoHyphens w:val="0"/>
              <w:ind w:firstLine="0"/>
              <w:jc w:val="right"/>
              <w:rPr>
                <w:b/>
                <w:bCs/>
                <w:sz w:val="20"/>
              </w:rPr>
            </w:pPr>
            <w:r w:rsidRPr="008470F7">
              <w:rPr>
                <w:b/>
                <w:bCs/>
                <w:sz w:val="20"/>
              </w:rPr>
              <w:t>720,00</w:t>
            </w:r>
          </w:p>
        </w:tc>
      </w:tr>
      <w:tr w:rsidR="008470F7" w:rsidRPr="008470F7" w:rsidTr="008470F7">
        <w:trPr>
          <w:trHeight w:val="255"/>
        </w:trPr>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3.000,00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3.000,00</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0,00</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1.140,00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1.440,00</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420,00</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1.140,00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1.380,00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480,00</w:t>
            </w:r>
          </w:p>
        </w:tc>
      </w:tr>
      <w:tr w:rsidR="008470F7" w:rsidRPr="008470F7" w:rsidTr="008470F7">
        <w:trPr>
          <w:trHeight w:val="255"/>
        </w:trPr>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1.987,00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3.056,00</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-1.069,00</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722,00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1.156,00</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109,00</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722,00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1.120,00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145,00</w:t>
            </w:r>
          </w:p>
        </w:tc>
      </w:tr>
      <w:tr w:rsidR="008470F7" w:rsidRPr="008470F7" w:rsidTr="008470F7">
        <w:trPr>
          <w:trHeight w:val="255"/>
        </w:trPr>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3.640,00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3.640,00</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0,00</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1.160,00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1.600,00</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880,00</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1.120,00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1.600,00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920,00</w:t>
            </w:r>
          </w:p>
        </w:tc>
      </w:tr>
      <w:tr w:rsidR="008470F7" w:rsidRPr="008470F7" w:rsidTr="008470F7">
        <w:trPr>
          <w:trHeight w:val="255"/>
        </w:trPr>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3.000,00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3.000,00</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0,00</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900,00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1.466,67</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633,33</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1.033,33</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1.266,67</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700,00</w:t>
            </w:r>
          </w:p>
        </w:tc>
      </w:tr>
      <w:tr w:rsidR="008470F7" w:rsidRPr="008470F7" w:rsidTr="008470F7">
        <w:trPr>
          <w:trHeight w:val="255"/>
        </w:trPr>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5</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3.000,00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3.000,00</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0,00</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1.140,00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1.440,00</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420,00</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1.140,00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1.380,00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480,00</w:t>
            </w:r>
          </w:p>
        </w:tc>
      </w:tr>
      <w:tr w:rsidR="008470F7" w:rsidRPr="008470F7" w:rsidTr="008470F7">
        <w:trPr>
          <w:trHeight w:val="255"/>
        </w:trPr>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6</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3.040,00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3.000,00</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40,00</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1.040,00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1.400,00</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600,00</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1.000,00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1.400,00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680,00</w:t>
            </w:r>
          </w:p>
        </w:tc>
      </w:tr>
      <w:tr w:rsidR="008470F7" w:rsidRPr="008470F7" w:rsidTr="008470F7">
        <w:trPr>
          <w:trHeight w:val="255"/>
        </w:trPr>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7</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3.000,00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3.252,00</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-252,00</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900,00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1.500,00</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600,00</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900,00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1.433,33</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666,67</w:t>
            </w:r>
          </w:p>
        </w:tc>
      </w:tr>
      <w:tr w:rsidR="008470F7" w:rsidRPr="008470F7" w:rsidTr="008470F7">
        <w:trPr>
          <w:trHeight w:val="255"/>
        </w:trPr>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8</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3.041,71</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3.000,00</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41,71</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950,01</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1.091,70</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1.000,00</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883,33</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1.091,70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1.066,70</w:t>
            </w:r>
          </w:p>
        </w:tc>
      </w:tr>
      <w:tr w:rsidR="008470F7" w:rsidRPr="008470F7" w:rsidTr="008470F7">
        <w:trPr>
          <w:trHeight w:val="255"/>
        </w:trPr>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9</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3.280,00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3.280,00</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0,00</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900,00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1.533,33</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846,67</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933,33</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1.366,67</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980,00</w:t>
            </w:r>
          </w:p>
        </w:tc>
      </w:tr>
      <w:tr w:rsidR="008470F7" w:rsidRPr="008470F7" w:rsidTr="008470F7">
        <w:trPr>
          <w:trHeight w:val="255"/>
        </w:trPr>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10</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3.000,00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3.000,00</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0,00</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866,67</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1.600,00</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533,33</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866,67</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1.600,00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533,33</w:t>
            </w:r>
          </w:p>
        </w:tc>
      </w:tr>
      <w:tr w:rsidR="008470F7" w:rsidRPr="008470F7" w:rsidTr="008470F7">
        <w:trPr>
          <w:trHeight w:val="255"/>
        </w:trPr>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11</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3.000,00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3.000,00</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0,00</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1.020,00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1.400,00</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580,00</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1.020,00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1.340,00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640,00</w:t>
            </w:r>
          </w:p>
        </w:tc>
      </w:tr>
      <w:tr w:rsidR="008470F7" w:rsidRPr="008470F7" w:rsidTr="008470F7">
        <w:trPr>
          <w:trHeight w:val="255"/>
        </w:trPr>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12</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3.360,00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3.440,00</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-80,00</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1.160,00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1.760,00</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440,00</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1.160,00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1.760,00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440,00</w:t>
            </w:r>
          </w:p>
        </w:tc>
      </w:tr>
      <w:tr w:rsidR="008470F7" w:rsidRPr="008470F7" w:rsidTr="008470F7">
        <w:trPr>
          <w:trHeight w:val="255"/>
        </w:trPr>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13</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3.540,00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3.600,00</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-60,00</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1.320,00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1.680,00</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540,00</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1.240,00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1.680,00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620,00</w:t>
            </w:r>
          </w:p>
        </w:tc>
      </w:tr>
      <w:tr w:rsidR="008470F7" w:rsidRPr="008470F7" w:rsidTr="008470F7">
        <w:trPr>
          <w:trHeight w:val="255"/>
        </w:trPr>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14</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3.150,00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3.192,00</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-42,00</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793,34</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1.756,66</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600,00</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793,34</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1.643,33</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713,33</w:t>
            </w:r>
          </w:p>
        </w:tc>
      </w:tr>
      <w:tr w:rsidR="008470F7" w:rsidRPr="008470F7" w:rsidTr="008470F7">
        <w:trPr>
          <w:trHeight w:val="255"/>
        </w:trPr>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15</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3.000,00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3.000,00</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0,00</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870,00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1.560,00</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570,00</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870,00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1.260,00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870,00</w:t>
            </w:r>
          </w:p>
        </w:tc>
      </w:tr>
      <w:tr w:rsidR="008470F7" w:rsidRPr="008470F7" w:rsidTr="008470F7">
        <w:trPr>
          <w:trHeight w:val="255"/>
        </w:trPr>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16</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3.000,00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3.000,00</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0,00</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1.088,00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1.360,00</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552,00</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1.088,00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952,00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960,00</w:t>
            </w:r>
          </w:p>
        </w:tc>
      </w:tr>
      <w:tr w:rsidR="008470F7" w:rsidRPr="008470F7" w:rsidTr="008470F7">
        <w:trPr>
          <w:trHeight w:val="255"/>
        </w:trPr>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17</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3.000,00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3.000,00</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0,00</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823,00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1.540,00</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637,00</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823,00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1.326,00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851,00</w:t>
            </w:r>
          </w:p>
        </w:tc>
      </w:tr>
      <w:tr w:rsidR="008470F7" w:rsidRPr="008470F7" w:rsidTr="008470F7">
        <w:trPr>
          <w:trHeight w:val="255"/>
        </w:trPr>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18</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3.009,00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3.009,00</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0,00</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952,00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1.632,00</w:t>
            </w:r>
          </w:p>
        </w:tc>
        <w:tc>
          <w:tcPr>
            <w:tcW w:w="0" w:type="auto"/>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425,00</w:t>
            </w:r>
          </w:p>
        </w:tc>
        <w:tc>
          <w:tcPr>
            <w:tcW w:w="0" w:type="auto"/>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952,00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1.326,00</w:t>
            </w:r>
          </w:p>
        </w:tc>
        <w:tc>
          <w:tcPr>
            <w:tcW w:w="0" w:type="auto"/>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731,00</w:t>
            </w:r>
          </w:p>
        </w:tc>
      </w:tr>
      <w:tr w:rsidR="008470F7" w:rsidRPr="008470F7" w:rsidTr="008470F7">
        <w:trPr>
          <w:trHeight w:val="270"/>
        </w:trPr>
        <w:tc>
          <w:tcPr>
            <w:tcW w:w="0" w:type="auto"/>
            <w:tcBorders>
              <w:top w:val="nil"/>
              <w:bottom w:val="single" w:sz="4" w:space="0" w:color="auto"/>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19</w:t>
            </w:r>
          </w:p>
        </w:tc>
        <w:tc>
          <w:tcPr>
            <w:tcW w:w="0" w:type="auto"/>
            <w:tcBorders>
              <w:top w:val="nil"/>
              <w:left w:val="single" w:sz="4" w:space="0" w:color="auto"/>
              <w:bottom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3.000,00</w:t>
            </w:r>
          </w:p>
        </w:tc>
        <w:tc>
          <w:tcPr>
            <w:tcW w:w="0" w:type="auto"/>
            <w:tcBorders>
              <w:top w:val="nil"/>
              <w:bottom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3.000,00</w:t>
            </w:r>
          </w:p>
        </w:tc>
        <w:tc>
          <w:tcPr>
            <w:tcW w:w="0" w:type="auto"/>
            <w:tcBorders>
              <w:top w:val="nil"/>
              <w:bottom w:val="single" w:sz="4" w:space="0" w:color="auto"/>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0,00</w:t>
            </w:r>
          </w:p>
        </w:tc>
        <w:tc>
          <w:tcPr>
            <w:tcW w:w="0" w:type="auto"/>
            <w:tcBorders>
              <w:top w:val="nil"/>
              <w:left w:val="single" w:sz="4" w:space="0" w:color="auto"/>
              <w:bottom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918,00</w:t>
            </w:r>
          </w:p>
        </w:tc>
        <w:tc>
          <w:tcPr>
            <w:tcW w:w="0" w:type="auto"/>
            <w:tcBorders>
              <w:top w:val="nil"/>
              <w:bottom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1.530,00</w:t>
            </w:r>
          </w:p>
        </w:tc>
        <w:tc>
          <w:tcPr>
            <w:tcW w:w="0" w:type="auto"/>
            <w:tcBorders>
              <w:top w:val="nil"/>
              <w:bottom w:val="single" w:sz="4" w:space="0" w:color="auto"/>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552,00</w:t>
            </w:r>
          </w:p>
        </w:tc>
        <w:tc>
          <w:tcPr>
            <w:tcW w:w="0" w:type="auto"/>
            <w:tcBorders>
              <w:top w:val="nil"/>
              <w:left w:val="single" w:sz="4" w:space="0" w:color="auto"/>
              <w:bottom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918,00</w:t>
            </w:r>
          </w:p>
        </w:tc>
        <w:tc>
          <w:tcPr>
            <w:tcW w:w="0" w:type="auto"/>
            <w:tcBorders>
              <w:top w:val="nil"/>
              <w:bottom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1.360,00</w:t>
            </w:r>
          </w:p>
        </w:tc>
        <w:tc>
          <w:tcPr>
            <w:tcW w:w="0" w:type="auto"/>
            <w:tcBorders>
              <w:top w:val="nil"/>
              <w:bottom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sz w:val="20"/>
              </w:rPr>
            </w:pPr>
            <w:r w:rsidRPr="008470F7">
              <w:rPr>
                <w:sz w:val="20"/>
              </w:rPr>
              <w:t>722,00</w:t>
            </w:r>
          </w:p>
        </w:tc>
      </w:tr>
      <w:tr w:rsidR="008470F7" w:rsidRPr="008470F7" w:rsidTr="008470F7">
        <w:trPr>
          <w:trHeight w:val="270"/>
        </w:trPr>
        <w:tc>
          <w:tcPr>
            <w:tcW w:w="0" w:type="auto"/>
            <w:gridSpan w:val="10"/>
            <w:tcBorders>
              <w:top w:val="single" w:sz="4" w:space="0" w:color="auto"/>
            </w:tcBorders>
            <w:shd w:val="clear" w:color="auto" w:fill="auto"/>
            <w:noWrap/>
            <w:vAlign w:val="center"/>
          </w:tcPr>
          <w:p w:rsidR="008470F7" w:rsidRPr="008470F7" w:rsidRDefault="008470F7" w:rsidP="00E63A6D">
            <w:pPr>
              <w:widowControl/>
              <w:suppressLineNumbers w:val="0"/>
              <w:suppressAutoHyphens w:val="0"/>
              <w:ind w:firstLine="0"/>
              <w:jc w:val="left"/>
              <w:rPr>
                <w:sz w:val="20"/>
              </w:rPr>
            </w:pPr>
            <w:r w:rsidRPr="008470F7">
              <w:rPr>
                <w:sz w:val="20"/>
              </w:rPr>
              <w:t>Fonte: Elaborada pelos autores.</w:t>
            </w:r>
          </w:p>
        </w:tc>
      </w:tr>
    </w:tbl>
    <w:p w:rsidR="00C1412C" w:rsidRPr="008470F7" w:rsidRDefault="00C1412C" w:rsidP="00E63A6D">
      <w:pPr>
        <w:ind w:firstLine="567"/>
        <w:rPr>
          <w:szCs w:val="24"/>
        </w:rPr>
      </w:pPr>
      <w:r w:rsidRPr="008470F7">
        <w:rPr>
          <w:szCs w:val="24"/>
        </w:rPr>
        <w:t xml:space="preserve">Outra instituição que apresenta divergência é a IES 7 que conta com 3.000 horas informadas </w:t>
      </w:r>
      <w:r w:rsidRPr="008470F7">
        <w:rPr>
          <w:szCs w:val="24"/>
        </w:rPr>
        <w:lastRenderedPageBreak/>
        <w:t xml:space="preserve">no Projeto Político Pedagógico publicado e 3.252 horas cadastradas no portal </w:t>
      </w:r>
      <w:proofErr w:type="spellStart"/>
      <w:r w:rsidRPr="008470F7">
        <w:rPr>
          <w:szCs w:val="24"/>
        </w:rPr>
        <w:t>e-MEC</w:t>
      </w:r>
      <w:proofErr w:type="spellEnd"/>
      <w:r w:rsidRPr="008470F7">
        <w:rPr>
          <w:szCs w:val="24"/>
        </w:rPr>
        <w:t xml:space="preserve">. Oposto a isso, a IES 8 divulga uma carga horária maior que a registrada no </w:t>
      </w:r>
      <w:proofErr w:type="spellStart"/>
      <w:r w:rsidRPr="008470F7">
        <w:rPr>
          <w:szCs w:val="24"/>
        </w:rPr>
        <w:t>e-MEC</w:t>
      </w:r>
      <w:proofErr w:type="spellEnd"/>
      <w:r w:rsidRPr="008470F7">
        <w:rPr>
          <w:szCs w:val="24"/>
        </w:rPr>
        <w:t>. Vale salientar que, quanto às universidades públicas com um grande número de disciplinas optativas, foi considerado apenas o quantitativo necessário para atingir o número de horas total cadastrado na ementa curricular.</w:t>
      </w:r>
    </w:p>
    <w:p w:rsidR="00C1412C" w:rsidRPr="008470F7" w:rsidRDefault="00C1412C" w:rsidP="00E63A6D">
      <w:pPr>
        <w:ind w:firstLine="567"/>
        <w:rPr>
          <w:szCs w:val="24"/>
        </w:rPr>
      </w:pPr>
      <w:r w:rsidRPr="008470F7">
        <w:rPr>
          <w:szCs w:val="24"/>
        </w:rPr>
        <w:t>A Resolução CNE/CES nº 2 delimita a carga horária para os estágios supervisionados e atividades complementares dos cursos de graduação, bacharelados, na modalidade presencial. Estes não deverão exceder a 20% (vinte por cento) da carga horária total do curso, a não ser em casos em que haja determinações legais fixando cargas diferenciadas. Nessa pesquisa foi constatado, através da análise das estruturas curriculares disponíveis nos sítios eletrônicos das IES, que todas atendem essa limitação conforme demonstrado na Tabela 6.</w:t>
      </w:r>
    </w:p>
    <w:p w:rsidR="00C1412C" w:rsidRPr="008470F7" w:rsidRDefault="00C1412C" w:rsidP="00E63A6D">
      <w:pPr>
        <w:rPr>
          <w:szCs w:val="24"/>
        </w:rPr>
      </w:pPr>
    </w:p>
    <w:tbl>
      <w:tblPr>
        <w:tblW w:w="0" w:type="auto"/>
        <w:tblInd w:w="55" w:type="dxa"/>
        <w:tblCellMar>
          <w:left w:w="70" w:type="dxa"/>
          <w:right w:w="70" w:type="dxa"/>
        </w:tblCellMar>
        <w:tblLook w:val="04A0" w:firstRow="1" w:lastRow="0" w:firstColumn="1" w:lastColumn="0" w:noHBand="0" w:noVBand="1"/>
      </w:tblPr>
      <w:tblGrid>
        <w:gridCol w:w="564"/>
        <w:gridCol w:w="1085"/>
        <w:gridCol w:w="1194"/>
        <w:gridCol w:w="1403"/>
        <w:gridCol w:w="1133"/>
        <w:gridCol w:w="1194"/>
        <w:gridCol w:w="1522"/>
        <w:gridCol w:w="1061"/>
      </w:tblGrid>
      <w:tr w:rsidR="008470F7" w:rsidRPr="008470F7" w:rsidTr="008470F7">
        <w:trPr>
          <w:trHeight w:val="255"/>
        </w:trPr>
        <w:tc>
          <w:tcPr>
            <w:tcW w:w="9156" w:type="dxa"/>
            <w:gridSpan w:val="8"/>
            <w:tcBorders>
              <w:bottom w:val="single" w:sz="4" w:space="0" w:color="auto"/>
            </w:tcBorders>
            <w:shd w:val="clear" w:color="auto" w:fill="auto"/>
            <w:vAlign w:val="center"/>
          </w:tcPr>
          <w:p w:rsidR="008470F7" w:rsidRPr="008470F7" w:rsidRDefault="008470F7" w:rsidP="00E63A6D">
            <w:pPr>
              <w:widowControl/>
              <w:suppressLineNumbers w:val="0"/>
              <w:suppressAutoHyphens w:val="0"/>
              <w:ind w:firstLine="0"/>
              <w:jc w:val="left"/>
              <w:rPr>
                <w:bCs/>
                <w:color w:val="000000"/>
                <w:sz w:val="20"/>
              </w:rPr>
            </w:pPr>
            <w:r w:rsidRPr="008470F7">
              <w:rPr>
                <w:bCs/>
                <w:color w:val="000000"/>
                <w:sz w:val="20"/>
              </w:rPr>
              <w:t>Tabela 6. Porcentagem de carga horária do estágio supervisionado e atividades complementares</w:t>
            </w:r>
          </w:p>
        </w:tc>
      </w:tr>
      <w:tr w:rsidR="008470F7" w:rsidRPr="008470F7" w:rsidTr="008470F7">
        <w:trPr>
          <w:trHeight w:val="255"/>
        </w:trPr>
        <w:tc>
          <w:tcPr>
            <w:tcW w:w="564" w:type="dxa"/>
            <w:tcBorders>
              <w:right w:val="single" w:sz="4" w:space="0" w:color="auto"/>
            </w:tcBorders>
            <w:shd w:val="clear" w:color="auto" w:fill="auto"/>
            <w:vAlign w:val="center"/>
          </w:tcPr>
          <w:p w:rsidR="008470F7" w:rsidRPr="008470F7" w:rsidRDefault="008470F7" w:rsidP="00E63A6D">
            <w:pPr>
              <w:widowControl/>
              <w:suppressLineNumbers w:val="0"/>
              <w:suppressAutoHyphens w:val="0"/>
              <w:ind w:firstLine="0"/>
              <w:jc w:val="left"/>
              <w:rPr>
                <w:b/>
                <w:bCs/>
                <w:color w:val="000000"/>
                <w:sz w:val="20"/>
              </w:rPr>
            </w:pPr>
          </w:p>
        </w:tc>
        <w:tc>
          <w:tcPr>
            <w:tcW w:w="481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b/>
                <w:bCs/>
                <w:color w:val="000000"/>
                <w:sz w:val="20"/>
              </w:rPr>
            </w:pPr>
            <w:r w:rsidRPr="008470F7">
              <w:rPr>
                <w:b/>
                <w:bCs/>
                <w:color w:val="000000"/>
                <w:sz w:val="20"/>
              </w:rPr>
              <w:t>CARGA HORÁRIA</w:t>
            </w:r>
          </w:p>
        </w:tc>
        <w:tc>
          <w:tcPr>
            <w:tcW w:w="3777" w:type="dxa"/>
            <w:gridSpan w:val="3"/>
            <w:tcBorders>
              <w:top w:val="single" w:sz="4" w:space="0" w:color="auto"/>
              <w:left w:val="single" w:sz="4" w:space="0" w:color="auto"/>
              <w:bottom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b/>
                <w:bCs/>
                <w:color w:val="000000"/>
                <w:sz w:val="20"/>
              </w:rPr>
            </w:pPr>
            <w:r w:rsidRPr="008470F7">
              <w:rPr>
                <w:b/>
                <w:bCs/>
                <w:color w:val="000000"/>
                <w:sz w:val="20"/>
              </w:rPr>
              <w:t>% CARGA HORÁRIA</w:t>
            </w:r>
          </w:p>
        </w:tc>
      </w:tr>
      <w:tr w:rsidR="008470F7" w:rsidRPr="008470F7" w:rsidTr="008470F7">
        <w:trPr>
          <w:trHeight w:val="512"/>
        </w:trPr>
        <w:tc>
          <w:tcPr>
            <w:tcW w:w="564" w:type="dxa"/>
            <w:tcBorders>
              <w:bottom w:val="single" w:sz="4" w:space="0" w:color="auto"/>
              <w:right w:val="single" w:sz="4" w:space="0" w:color="auto"/>
            </w:tcBorders>
            <w:shd w:val="clear" w:color="auto" w:fill="auto"/>
            <w:vAlign w:val="center"/>
            <w:hideMark/>
          </w:tcPr>
          <w:p w:rsidR="008470F7" w:rsidRPr="008470F7" w:rsidRDefault="008470F7" w:rsidP="00E63A6D">
            <w:pPr>
              <w:widowControl/>
              <w:suppressLineNumbers w:val="0"/>
              <w:suppressAutoHyphens w:val="0"/>
              <w:ind w:firstLine="0"/>
              <w:jc w:val="center"/>
              <w:rPr>
                <w:b/>
                <w:bCs/>
                <w:color w:val="000000"/>
                <w:sz w:val="20"/>
              </w:rPr>
            </w:pPr>
            <w:r w:rsidRPr="008470F7">
              <w:rPr>
                <w:b/>
                <w:bCs/>
                <w:color w:val="000000"/>
                <w:sz w:val="20"/>
              </w:rPr>
              <w:t>IES</w:t>
            </w:r>
          </w:p>
        </w:tc>
        <w:tc>
          <w:tcPr>
            <w:tcW w:w="1085" w:type="dxa"/>
            <w:tcBorders>
              <w:top w:val="single" w:sz="4" w:space="0" w:color="auto"/>
              <w:left w:val="single" w:sz="4" w:space="0" w:color="auto"/>
              <w:bottom w:val="single" w:sz="4" w:space="0" w:color="auto"/>
            </w:tcBorders>
            <w:shd w:val="clear" w:color="auto" w:fill="auto"/>
            <w:vAlign w:val="center"/>
            <w:hideMark/>
          </w:tcPr>
          <w:p w:rsidR="008470F7" w:rsidRPr="008470F7" w:rsidRDefault="008470F7" w:rsidP="00E63A6D">
            <w:pPr>
              <w:widowControl/>
              <w:suppressLineNumbers w:val="0"/>
              <w:suppressAutoHyphens w:val="0"/>
              <w:ind w:firstLine="0"/>
              <w:jc w:val="center"/>
              <w:rPr>
                <w:b/>
                <w:bCs/>
                <w:color w:val="000000"/>
                <w:sz w:val="20"/>
              </w:rPr>
            </w:pPr>
            <w:r w:rsidRPr="008470F7">
              <w:rPr>
                <w:b/>
                <w:bCs/>
                <w:color w:val="000000"/>
                <w:sz w:val="20"/>
              </w:rPr>
              <w:t>GRADE</w:t>
            </w:r>
          </w:p>
        </w:tc>
        <w:tc>
          <w:tcPr>
            <w:tcW w:w="1194" w:type="dxa"/>
            <w:tcBorders>
              <w:top w:val="single" w:sz="4" w:space="0" w:color="auto"/>
              <w:bottom w:val="single" w:sz="4" w:space="0" w:color="auto"/>
            </w:tcBorders>
            <w:shd w:val="clear" w:color="auto" w:fill="auto"/>
            <w:vAlign w:val="center"/>
            <w:hideMark/>
          </w:tcPr>
          <w:p w:rsidR="008470F7" w:rsidRPr="008470F7" w:rsidRDefault="008470F7" w:rsidP="00E63A6D">
            <w:pPr>
              <w:widowControl/>
              <w:suppressLineNumbers w:val="0"/>
              <w:suppressAutoHyphens w:val="0"/>
              <w:ind w:firstLine="0"/>
              <w:jc w:val="center"/>
              <w:rPr>
                <w:b/>
                <w:bCs/>
                <w:color w:val="000000"/>
                <w:sz w:val="20"/>
              </w:rPr>
            </w:pPr>
            <w:r w:rsidRPr="008470F7">
              <w:rPr>
                <w:b/>
                <w:bCs/>
                <w:color w:val="000000"/>
                <w:sz w:val="20"/>
              </w:rPr>
              <w:t>ESTÁGIO SUPERV.</w:t>
            </w:r>
          </w:p>
        </w:tc>
        <w:tc>
          <w:tcPr>
            <w:tcW w:w="1403" w:type="dxa"/>
            <w:tcBorders>
              <w:top w:val="single" w:sz="4" w:space="0" w:color="auto"/>
              <w:bottom w:val="single" w:sz="4" w:space="0" w:color="auto"/>
            </w:tcBorders>
            <w:shd w:val="clear" w:color="auto" w:fill="auto"/>
            <w:vAlign w:val="center"/>
            <w:hideMark/>
          </w:tcPr>
          <w:p w:rsidR="008470F7" w:rsidRPr="008470F7" w:rsidRDefault="008470F7" w:rsidP="00E63A6D">
            <w:pPr>
              <w:widowControl/>
              <w:suppressLineNumbers w:val="0"/>
              <w:suppressAutoHyphens w:val="0"/>
              <w:ind w:firstLine="0"/>
              <w:jc w:val="center"/>
              <w:rPr>
                <w:b/>
                <w:bCs/>
                <w:color w:val="000000"/>
                <w:sz w:val="20"/>
              </w:rPr>
            </w:pPr>
            <w:r w:rsidRPr="008470F7">
              <w:rPr>
                <w:b/>
                <w:bCs/>
                <w:color w:val="000000"/>
                <w:sz w:val="20"/>
              </w:rPr>
              <w:t>ATIVIDADES COMPL.</w:t>
            </w:r>
          </w:p>
        </w:tc>
        <w:tc>
          <w:tcPr>
            <w:tcW w:w="1133" w:type="dxa"/>
            <w:tcBorders>
              <w:top w:val="single" w:sz="4" w:space="0" w:color="auto"/>
              <w:bottom w:val="single" w:sz="4" w:space="0" w:color="auto"/>
              <w:right w:val="single" w:sz="4" w:space="0" w:color="auto"/>
            </w:tcBorders>
            <w:shd w:val="clear" w:color="auto" w:fill="auto"/>
            <w:vAlign w:val="center"/>
            <w:hideMark/>
          </w:tcPr>
          <w:p w:rsidR="008470F7" w:rsidRPr="008470F7" w:rsidRDefault="008470F7" w:rsidP="00E63A6D">
            <w:pPr>
              <w:widowControl/>
              <w:suppressLineNumbers w:val="0"/>
              <w:suppressAutoHyphens w:val="0"/>
              <w:ind w:firstLine="0"/>
              <w:jc w:val="right"/>
              <w:rPr>
                <w:b/>
                <w:bCs/>
                <w:color w:val="000000"/>
                <w:sz w:val="20"/>
              </w:rPr>
            </w:pPr>
            <w:r w:rsidRPr="008470F7">
              <w:rPr>
                <w:b/>
                <w:bCs/>
                <w:color w:val="000000"/>
                <w:sz w:val="20"/>
              </w:rPr>
              <w:t>TOTAL</w:t>
            </w:r>
          </w:p>
        </w:tc>
        <w:tc>
          <w:tcPr>
            <w:tcW w:w="1194" w:type="dxa"/>
            <w:tcBorders>
              <w:top w:val="single" w:sz="4" w:space="0" w:color="auto"/>
              <w:left w:val="single" w:sz="4" w:space="0" w:color="auto"/>
              <w:bottom w:val="single" w:sz="4" w:space="0" w:color="auto"/>
            </w:tcBorders>
            <w:shd w:val="clear" w:color="auto" w:fill="auto"/>
            <w:vAlign w:val="center"/>
            <w:hideMark/>
          </w:tcPr>
          <w:p w:rsidR="008470F7" w:rsidRPr="008470F7" w:rsidRDefault="008470F7" w:rsidP="00E63A6D">
            <w:pPr>
              <w:widowControl/>
              <w:suppressLineNumbers w:val="0"/>
              <w:suppressAutoHyphens w:val="0"/>
              <w:ind w:firstLine="0"/>
              <w:jc w:val="center"/>
              <w:rPr>
                <w:b/>
                <w:bCs/>
                <w:color w:val="000000"/>
                <w:sz w:val="20"/>
              </w:rPr>
            </w:pPr>
            <w:r w:rsidRPr="008470F7">
              <w:rPr>
                <w:b/>
                <w:bCs/>
                <w:color w:val="000000"/>
                <w:sz w:val="20"/>
              </w:rPr>
              <w:t>ESTÁGIO SUPERV.</w:t>
            </w:r>
          </w:p>
        </w:tc>
        <w:tc>
          <w:tcPr>
            <w:tcW w:w="1522" w:type="dxa"/>
            <w:tcBorders>
              <w:top w:val="single" w:sz="4" w:space="0" w:color="auto"/>
              <w:bottom w:val="single" w:sz="4" w:space="0" w:color="auto"/>
            </w:tcBorders>
            <w:shd w:val="clear" w:color="auto" w:fill="auto"/>
            <w:vAlign w:val="center"/>
            <w:hideMark/>
          </w:tcPr>
          <w:p w:rsidR="008470F7" w:rsidRPr="008470F7" w:rsidRDefault="008470F7" w:rsidP="00E63A6D">
            <w:pPr>
              <w:widowControl/>
              <w:suppressLineNumbers w:val="0"/>
              <w:suppressAutoHyphens w:val="0"/>
              <w:ind w:firstLine="0"/>
              <w:jc w:val="center"/>
              <w:rPr>
                <w:b/>
                <w:bCs/>
                <w:color w:val="000000"/>
                <w:sz w:val="20"/>
              </w:rPr>
            </w:pPr>
            <w:r w:rsidRPr="008470F7">
              <w:rPr>
                <w:b/>
                <w:bCs/>
                <w:color w:val="000000"/>
                <w:sz w:val="20"/>
              </w:rPr>
              <w:t>ATIVIDADES COMPL.</w:t>
            </w:r>
          </w:p>
        </w:tc>
        <w:tc>
          <w:tcPr>
            <w:tcW w:w="1061" w:type="dxa"/>
            <w:tcBorders>
              <w:top w:val="single" w:sz="4" w:space="0" w:color="auto"/>
              <w:bottom w:val="single" w:sz="4" w:space="0" w:color="auto"/>
            </w:tcBorders>
            <w:shd w:val="clear" w:color="auto" w:fill="auto"/>
            <w:vAlign w:val="center"/>
            <w:hideMark/>
          </w:tcPr>
          <w:p w:rsidR="008470F7" w:rsidRPr="008470F7" w:rsidRDefault="008470F7" w:rsidP="00E63A6D">
            <w:pPr>
              <w:widowControl/>
              <w:suppressLineNumbers w:val="0"/>
              <w:suppressAutoHyphens w:val="0"/>
              <w:ind w:firstLine="0"/>
              <w:jc w:val="right"/>
              <w:rPr>
                <w:b/>
                <w:bCs/>
                <w:color w:val="000000"/>
                <w:sz w:val="20"/>
              </w:rPr>
            </w:pPr>
            <w:r w:rsidRPr="008470F7">
              <w:rPr>
                <w:b/>
                <w:bCs/>
                <w:color w:val="000000"/>
                <w:sz w:val="20"/>
              </w:rPr>
              <w:t>TOTAL</w:t>
            </w:r>
          </w:p>
        </w:tc>
      </w:tr>
      <w:tr w:rsidR="008470F7" w:rsidRPr="008470F7" w:rsidTr="008470F7">
        <w:trPr>
          <w:trHeight w:val="255"/>
        </w:trPr>
        <w:tc>
          <w:tcPr>
            <w:tcW w:w="564" w:type="dxa"/>
            <w:tcBorders>
              <w:top w:val="single" w:sz="4" w:space="0" w:color="auto"/>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b/>
                <w:sz w:val="20"/>
              </w:rPr>
            </w:pPr>
            <w:r w:rsidRPr="008470F7">
              <w:rPr>
                <w:b/>
                <w:sz w:val="20"/>
              </w:rPr>
              <w:t>FBC</w:t>
            </w:r>
          </w:p>
        </w:tc>
        <w:tc>
          <w:tcPr>
            <w:tcW w:w="1085" w:type="dxa"/>
            <w:tcBorders>
              <w:top w:val="single" w:sz="4" w:space="0" w:color="auto"/>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b/>
                <w:bCs/>
                <w:sz w:val="20"/>
              </w:rPr>
            </w:pPr>
            <w:r w:rsidRPr="008470F7">
              <w:rPr>
                <w:b/>
                <w:bCs/>
                <w:sz w:val="20"/>
              </w:rPr>
              <w:t>3.000,00</w:t>
            </w:r>
          </w:p>
        </w:tc>
        <w:tc>
          <w:tcPr>
            <w:tcW w:w="1194" w:type="dxa"/>
            <w:tcBorders>
              <w:top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b/>
                <w:bCs/>
                <w:sz w:val="20"/>
              </w:rPr>
            </w:pPr>
            <w:r w:rsidRPr="008470F7">
              <w:rPr>
                <w:b/>
                <w:bCs/>
                <w:sz w:val="20"/>
              </w:rPr>
              <w:t>240,00</w:t>
            </w:r>
          </w:p>
        </w:tc>
        <w:tc>
          <w:tcPr>
            <w:tcW w:w="1403" w:type="dxa"/>
            <w:tcBorders>
              <w:top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b/>
                <w:bCs/>
                <w:sz w:val="20"/>
              </w:rPr>
            </w:pPr>
            <w:r w:rsidRPr="008470F7">
              <w:rPr>
                <w:b/>
                <w:bCs/>
                <w:sz w:val="20"/>
              </w:rPr>
              <w:t>120,00</w:t>
            </w:r>
          </w:p>
        </w:tc>
        <w:tc>
          <w:tcPr>
            <w:tcW w:w="1133" w:type="dxa"/>
            <w:tcBorders>
              <w:top w:val="single" w:sz="4" w:space="0" w:color="auto"/>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right="46" w:firstLine="0"/>
              <w:jc w:val="right"/>
              <w:rPr>
                <w:b/>
                <w:bCs/>
                <w:sz w:val="20"/>
              </w:rPr>
            </w:pPr>
            <w:r w:rsidRPr="008470F7">
              <w:rPr>
                <w:b/>
                <w:bCs/>
                <w:sz w:val="20"/>
              </w:rPr>
              <w:t>360,00</w:t>
            </w:r>
          </w:p>
        </w:tc>
        <w:tc>
          <w:tcPr>
            <w:tcW w:w="1194" w:type="dxa"/>
            <w:tcBorders>
              <w:top w:val="single" w:sz="4" w:space="0" w:color="auto"/>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b/>
                <w:bCs/>
                <w:sz w:val="20"/>
              </w:rPr>
            </w:pPr>
            <w:r w:rsidRPr="008470F7">
              <w:rPr>
                <w:b/>
                <w:bCs/>
                <w:sz w:val="20"/>
              </w:rPr>
              <w:t>8,00%</w:t>
            </w:r>
          </w:p>
        </w:tc>
        <w:tc>
          <w:tcPr>
            <w:tcW w:w="1522" w:type="dxa"/>
            <w:tcBorders>
              <w:top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b/>
                <w:bCs/>
                <w:sz w:val="20"/>
              </w:rPr>
            </w:pPr>
            <w:r w:rsidRPr="008470F7">
              <w:rPr>
                <w:b/>
                <w:bCs/>
                <w:sz w:val="20"/>
              </w:rPr>
              <w:t>4,00%</w:t>
            </w:r>
          </w:p>
        </w:tc>
        <w:tc>
          <w:tcPr>
            <w:tcW w:w="1061" w:type="dxa"/>
            <w:tcBorders>
              <w:top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b/>
                <w:bCs/>
                <w:sz w:val="20"/>
              </w:rPr>
            </w:pPr>
            <w:r w:rsidRPr="008470F7">
              <w:rPr>
                <w:b/>
                <w:bCs/>
                <w:sz w:val="20"/>
              </w:rPr>
              <w:t>12,00%</w:t>
            </w:r>
          </w:p>
        </w:tc>
      </w:tr>
      <w:tr w:rsidR="008470F7" w:rsidRPr="008470F7" w:rsidTr="008470F7">
        <w:trPr>
          <w:trHeight w:val="255"/>
        </w:trPr>
        <w:tc>
          <w:tcPr>
            <w:tcW w:w="564"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color w:val="000000"/>
                <w:sz w:val="20"/>
              </w:rPr>
            </w:pPr>
            <w:r w:rsidRPr="008470F7">
              <w:rPr>
                <w:color w:val="000000"/>
                <w:sz w:val="20"/>
              </w:rPr>
              <w:t>1</w:t>
            </w:r>
          </w:p>
        </w:tc>
        <w:tc>
          <w:tcPr>
            <w:tcW w:w="1085"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3.000,00</w:t>
            </w:r>
          </w:p>
        </w:tc>
        <w:tc>
          <w:tcPr>
            <w:tcW w:w="1194"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180,00</w:t>
            </w:r>
          </w:p>
        </w:tc>
        <w:tc>
          <w:tcPr>
            <w:tcW w:w="1403"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120,00</w:t>
            </w:r>
          </w:p>
        </w:tc>
        <w:tc>
          <w:tcPr>
            <w:tcW w:w="1133"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right="46" w:firstLine="0"/>
              <w:jc w:val="right"/>
              <w:rPr>
                <w:color w:val="000000"/>
                <w:sz w:val="20"/>
              </w:rPr>
            </w:pPr>
            <w:r w:rsidRPr="008470F7">
              <w:rPr>
                <w:color w:val="000000"/>
                <w:sz w:val="20"/>
              </w:rPr>
              <w:t>300,00</w:t>
            </w:r>
          </w:p>
        </w:tc>
        <w:tc>
          <w:tcPr>
            <w:tcW w:w="1194"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6,00%</w:t>
            </w:r>
          </w:p>
        </w:tc>
        <w:tc>
          <w:tcPr>
            <w:tcW w:w="1522"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4,00%</w:t>
            </w:r>
          </w:p>
        </w:tc>
        <w:tc>
          <w:tcPr>
            <w:tcW w:w="1061"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10,00%</w:t>
            </w:r>
          </w:p>
        </w:tc>
      </w:tr>
      <w:tr w:rsidR="008470F7" w:rsidRPr="008470F7" w:rsidTr="008470F7">
        <w:trPr>
          <w:trHeight w:val="255"/>
        </w:trPr>
        <w:tc>
          <w:tcPr>
            <w:tcW w:w="564"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color w:val="000000"/>
                <w:sz w:val="20"/>
              </w:rPr>
            </w:pPr>
            <w:r w:rsidRPr="008470F7">
              <w:rPr>
                <w:color w:val="000000"/>
                <w:sz w:val="20"/>
              </w:rPr>
              <w:t>2</w:t>
            </w:r>
          </w:p>
        </w:tc>
        <w:tc>
          <w:tcPr>
            <w:tcW w:w="1085"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1.987,00</w:t>
            </w:r>
          </w:p>
        </w:tc>
        <w:tc>
          <w:tcPr>
            <w:tcW w:w="1194"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36,00</w:t>
            </w:r>
          </w:p>
        </w:tc>
        <w:tc>
          <w:tcPr>
            <w:tcW w:w="1403"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p>
        </w:tc>
        <w:tc>
          <w:tcPr>
            <w:tcW w:w="1133"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right="46" w:firstLine="0"/>
              <w:jc w:val="right"/>
              <w:rPr>
                <w:color w:val="000000"/>
                <w:sz w:val="20"/>
              </w:rPr>
            </w:pPr>
            <w:r w:rsidRPr="008470F7">
              <w:rPr>
                <w:color w:val="000000"/>
                <w:sz w:val="20"/>
              </w:rPr>
              <w:t>36,00</w:t>
            </w:r>
          </w:p>
        </w:tc>
        <w:tc>
          <w:tcPr>
            <w:tcW w:w="1194"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1,81%</w:t>
            </w:r>
          </w:p>
        </w:tc>
        <w:tc>
          <w:tcPr>
            <w:tcW w:w="1522"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0,00%</w:t>
            </w:r>
          </w:p>
        </w:tc>
        <w:tc>
          <w:tcPr>
            <w:tcW w:w="1061"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1,81%</w:t>
            </w:r>
          </w:p>
        </w:tc>
      </w:tr>
      <w:tr w:rsidR="008470F7" w:rsidRPr="008470F7" w:rsidTr="008470F7">
        <w:trPr>
          <w:trHeight w:val="255"/>
        </w:trPr>
        <w:tc>
          <w:tcPr>
            <w:tcW w:w="564"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color w:val="000000"/>
                <w:sz w:val="20"/>
              </w:rPr>
            </w:pPr>
            <w:r w:rsidRPr="008470F7">
              <w:rPr>
                <w:color w:val="000000"/>
                <w:sz w:val="20"/>
              </w:rPr>
              <w:t>3</w:t>
            </w:r>
          </w:p>
        </w:tc>
        <w:tc>
          <w:tcPr>
            <w:tcW w:w="1085"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3.640,00</w:t>
            </w:r>
          </w:p>
        </w:tc>
        <w:tc>
          <w:tcPr>
            <w:tcW w:w="1194"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300,00</w:t>
            </w:r>
          </w:p>
        </w:tc>
        <w:tc>
          <w:tcPr>
            <w:tcW w:w="1403"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300,00</w:t>
            </w:r>
          </w:p>
        </w:tc>
        <w:tc>
          <w:tcPr>
            <w:tcW w:w="1133"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right="46" w:firstLine="0"/>
              <w:jc w:val="right"/>
              <w:rPr>
                <w:color w:val="000000"/>
                <w:sz w:val="20"/>
              </w:rPr>
            </w:pPr>
            <w:r w:rsidRPr="008470F7">
              <w:rPr>
                <w:color w:val="000000"/>
                <w:sz w:val="20"/>
              </w:rPr>
              <w:t>600,00</w:t>
            </w:r>
          </w:p>
        </w:tc>
        <w:tc>
          <w:tcPr>
            <w:tcW w:w="1194"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8,24%</w:t>
            </w:r>
          </w:p>
        </w:tc>
        <w:tc>
          <w:tcPr>
            <w:tcW w:w="1522"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8,24%</w:t>
            </w:r>
          </w:p>
        </w:tc>
        <w:tc>
          <w:tcPr>
            <w:tcW w:w="1061"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16,48%</w:t>
            </w:r>
          </w:p>
        </w:tc>
      </w:tr>
      <w:tr w:rsidR="008470F7" w:rsidRPr="008470F7" w:rsidTr="008470F7">
        <w:trPr>
          <w:trHeight w:val="255"/>
        </w:trPr>
        <w:tc>
          <w:tcPr>
            <w:tcW w:w="564"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color w:val="000000"/>
                <w:sz w:val="20"/>
              </w:rPr>
            </w:pPr>
            <w:r w:rsidRPr="008470F7">
              <w:rPr>
                <w:color w:val="000000"/>
                <w:sz w:val="20"/>
              </w:rPr>
              <w:t>4</w:t>
            </w:r>
          </w:p>
        </w:tc>
        <w:tc>
          <w:tcPr>
            <w:tcW w:w="1085"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3.000,00</w:t>
            </w:r>
          </w:p>
        </w:tc>
        <w:tc>
          <w:tcPr>
            <w:tcW w:w="1194"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300,00</w:t>
            </w:r>
          </w:p>
        </w:tc>
        <w:tc>
          <w:tcPr>
            <w:tcW w:w="1403"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FF0000"/>
                <w:sz w:val="20"/>
              </w:rPr>
            </w:pPr>
            <w:r w:rsidRPr="008470F7">
              <w:rPr>
                <w:sz w:val="20"/>
              </w:rPr>
              <w:t>200,00</w:t>
            </w:r>
          </w:p>
        </w:tc>
        <w:tc>
          <w:tcPr>
            <w:tcW w:w="1133"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right="46" w:firstLine="0"/>
              <w:jc w:val="right"/>
              <w:rPr>
                <w:color w:val="000000"/>
                <w:sz w:val="20"/>
              </w:rPr>
            </w:pPr>
            <w:r w:rsidRPr="008470F7">
              <w:rPr>
                <w:color w:val="000000"/>
                <w:sz w:val="20"/>
              </w:rPr>
              <w:t>500,00</w:t>
            </w:r>
          </w:p>
        </w:tc>
        <w:tc>
          <w:tcPr>
            <w:tcW w:w="1194"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10,00%</w:t>
            </w:r>
          </w:p>
        </w:tc>
        <w:tc>
          <w:tcPr>
            <w:tcW w:w="1522"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6,67%</w:t>
            </w:r>
          </w:p>
        </w:tc>
        <w:tc>
          <w:tcPr>
            <w:tcW w:w="1061"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16,67%</w:t>
            </w:r>
          </w:p>
        </w:tc>
      </w:tr>
      <w:tr w:rsidR="008470F7" w:rsidRPr="008470F7" w:rsidTr="008470F7">
        <w:trPr>
          <w:trHeight w:val="255"/>
        </w:trPr>
        <w:tc>
          <w:tcPr>
            <w:tcW w:w="564"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color w:val="000000"/>
                <w:sz w:val="20"/>
              </w:rPr>
            </w:pPr>
            <w:r w:rsidRPr="008470F7">
              <w:rPr>
                <w:color w:val="000000"/>
                <w:sz w:val="20"/>
              </w:rPr>
              <w:t>5</w:t>
            </w:r>
          </w:p>
        </w:tc>
        <w:tc>
          <w:tcPr>
            <w:tcW w:w="1085"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3.000,00</w:t>
            </w:r>
          </w:p>
        </w:tc>
        <w:tc>
          <w:tcPr>
            <w:tcW w:w="1194"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180,00</w:t>
            </w:r>
          </w:p>
        </w:tc>
        <w:tc>
          <w:tcPr>
            <w:tcW w:w="1403"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120,00</w:t>
            </w:r>
          </w:p>
        </w:tc>
        <w:tc>
          <w:tcPr>
            <w:tcW w:w="1133"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right="46" w:firstLine="0"/>
              <w:jc w:val="right"/>
              <w:rPr>
                <w:color w:val="000000"/>
                <w:sz w:val="20"/>
              </w:rPr>
            </w:pPr>
            <w:r w:rsidRPr="008470F7">
              <w:rPr>
                <w:color w:val="000000"/>
                <w:sz w:val="20"/>
              </w:rPr>
              <w:t>300,00</w:t>
            </w:r>
          </w:p>
        </w:tc>
        <w:tc>
          <w:tcPr>
            <w:tcW w:w="1194"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6,00%</w:t>
            </w:r>
          </w:p>
        </w:tc>
        <w:tc>
          <w:tcPr>
            <w:tcW w:w="1522"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4,00%</w:t>
            </w:r>
          </w:p>
        </w:tc>
        <w:tc>
          <w:tcPr>
            <w:tcW w:w="1061"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10,00%</w:t>
            </w:r>
          </w:p>
        </w:tc>
      </w:tr>
      <w:tr w:rsidR="008470F7" w:rsidRPr="008470F7" w:rsidTr="008470F7">
        <w:trPr>
          <w:trHeight w:val="255"/>
        </w:trPr>
        <w:tc>
          <w:tcPr>
            <w:tcW w:w="564"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color w:val="000000"/>
                <w:sz w:val="20"/>
              </w:rPr>
            </w:pPr>
            <w:r w:rsidRPr="008470F7">
              <w:rPr>
                <w:color w:val="000000"/>
                <w:sz w:val="20"/>
              </w:rPr>
              <w:t>6</w:t>
            </w:r>
          </w:p>
        </w:tc>
        <w:tc>
          <w:tcPr>
            <w:tcW w:w="1085"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3.040,00</w:t>
            </w:r>
          </w:p>
        </w:tc>
        <w:tc>
          <w:tcPr>
            <w:tcW w:w="1194"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300,00</w:t>
            </w:r>
          </w:p>
        </w:tc>
        <w:tc>
          <w:tcPr>
            <w:tcW w:w="1403"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300,00</w:t>
            </w:r>
          </w:p>
        </w:tc>
        <w:tc>
          <w:tcPr>
            <w:tcW w:w="1133"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right="46" w:firstLine="0"/>
              <w:jc w:val="right"/>
              <w:rPr>
                <w:color w:val="000000"/>
                <w:sz w:val="20"/>
              </w:rPr>
            </w:pPr>
            <w:r w:rsidRPr="008470F7">
              <w:rPr>
                <w:color w:val="000000"/>
                <w:sz w:val="20"/>
              </w:rPr>
              <w:t>600,00</w:t>
            </w:r>
          </w:p>
        </w:tc>
        <w:tc>
          <w:tcPr>
            <w:tcW w:w="1194"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9,87%</w:t>
            </w:r>
          </w:p>
        </w:tc>
        <w:tc>
          <w:tcPr>
            <w:tcW w:w="1522"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9,87%</w:t>
            </w:r>
          </w:p>
        </w:tc>
        <w:tc>
          <w:tcPr>
            <w:tcW w:w="1061"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19,74%</w:t>
            </w:r>
          </w:p>
        </w:tc>
      </w:tr>
      <w:tr w:rsidR="008470F7" w:rsidRPr="008470F7" w:rsidTr="008470F7">
        <w:trPr>
          <w:trHeight w:val="255"/>
        </w:trPr>
        <w:tc>
          <w:tcPr>
            <w:tcW w:w="564"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color w:val="000000"/>
                <w:sz w:val="20"/>
              </w:rPr>
            </w:pPr>
            <w:r w:rsidRPr="008470F7">
              <w:rPr>
                <w:color w:val="000000"/>
                <w:sz w:val="20"/>
              </w:rPr>
              <w:t>7</w:t>
            </w:r>
          </w:p>
        </w:tc>
        <w:tc>
          <w:tcPr>
            <w:tcW w:w="1085"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3.000,00</w:t>
            </w:r>
          </w:p>
        </w:tc>
        <w:tc>
          <w:tcPr>
            <w:tcW w:w="1194"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300,00</w:t>
            </w:r>
          </w:p>
        </w:tc>
        <w:tc>
          <w:tcPr>
            <w:tcW w:w="1403"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200,00</w:t>
            </w:r>
          </w:p>
        </w:tc>
        <w:tc>
          <w:tcPr>
            <w:tcW w:w="1133"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right="46" w:firstLine="0"/>
              <w:jc w:val="right"/>
              <w:rPr>
                <w:color w:val="000000"/>
                <w:sz w:val="20"/>
              </w:rPr>
            </w:pPr>
            <w:r w:rsidRPr="008470F7">
              <w:rPr>
                <w:color w:val="000000"/>
                <w:sz w:val="20"/>
              </w:rPr>
              <w:t>500,00</w:t>
            </w:r>
          </w:p>
        </w:tc>
        <w:tc>
          <w:tcPr>
            <w:tcW w:w="1194"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10,00%</w:t>
            </w:r>
          </w:p>
        </w:tc>
        <w:tc>
          <w:tcPr>
            <w:tcW w:w="1522"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6,67%</w:t>
            </w:r>
          </w:p>
        </w:tc>
        <w:tc>
          <w:tcPr>
            <w:tcW w:w="1061"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16,67%</w:t>
            </w:r>
          </w:p>
        </w:tc>
      </w:tr>
      <w:tr w:rsidR="008470F7" w:rsidRPr="008470F7" w:rsidTr="008470F7">
        <w:trPr>
          <w:trHeight w:val="255"/>
        </w:trPr>
        <w:tc>
          <w:tcPr>
            <w:tcW w:w="564"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color w:val="000000"/>
                <w:sz w:val="20"/>
              </w:rPr>
            </w:pPr>
            <w:r w:rsidRPr="008470F7">
              <w:rPr>
                <w:color w:val="000000"/>
                <w:sz w:val="20"/>
              </w:rPr>
              <w:t>8</w:t>
            </w:r>
          </w:p>
        </w:tc>
        <w:tc>
          <w:tcPr>
            <w:tcW w:w="1085"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3.041,71</w:t>
            </w:r>
          </w:p>
        </w:tc>
        <w:tc>
          <w:tcPr>
            <w:tcW w:w="1194"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250,00</w:t>
            </w:r>
          </w:p>
        </w:tc>
        <w:tc>
          <w:tcPr>
            <w:tcW w:w="1403"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250,00</w:t>
            </w:r>
          </w:p>
        </w:tc>
        <w:tc>
          <w:tcPr>
            <w:tcW w:w="1133"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right="46" w:firstLine="0"/>
              <w:jc w:val="right"/>
              <w:rPr>
                <w:color w:val="000000"/>
                <w:sz w:val="20"/>
              </w:rPr>
            </w:pPr>
            <w:r w:rsidRPr="008470F7">
              <w:rPr>
                <w:color w:val="000000"/>
                <w:sz w:val="20"/>
              </w:rPr>
              <w:t>500,00</w:t>
            </w:r>
          </w:p>
        </w:tc>
        <w:tc>
          <w:tcPr>
            <w:tcW w:w="1194"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8,22%</w:t>
            </w:r>
          </w:p>
        </w:tc>
        <w:tc>
          <w:tcPr>
            <w:tcW w:w="1522"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8,22%</w:t>
            </w:r>
          </w:p>
        </w:tc>
        <w:tc>
          <w:tcPr>
            <w:tcW w:w="1061"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16,44%</w:t>
            </w:r>
          </w:p>
        </w:tc>
      </w:tr>
      <w:tr w:rsidR="008470F7" w:rsidRPr="008470F7" w:rsidTr="008470F7">
        <w:trPr>
          <w:trHeight w:val="255"/>
        </w:trPr>
        <w:tc>
          <w:tcPr>
            <w:tcW w:w="564"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color w:val="000000"/>
                <w:sz w:val="20"/>
              </w:rPr>
            </w:pPr>
            <w:r w:rsidRPr="008470F7">
              <w:rPr>
                <w:color w:val="000000"/>
                <w:sz w:val="20"/>
              </w:rPr>
              <w:t>9</w:t>
            </w:r>
          </w:p>
        </w:tc>
        <w:tc>
          <w:tcPr>
            <w:tcW w:w="1085"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3.280,00</w:t>
            </w:r>
          </w:p>
        </w:tc>
        <w:tc>
          <w:tcPr>
            <w:tcW w:w="1194"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320,00</w:t>
            </w:r>
          </w:p>
        </w:tc>
        <w:tc>
          <w:tcPr>
            <w:tcW w:w="1403"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200,00</w:t>
            </w:r>
          </w:p>
        </w:tc>
        <w:tc>
          <w:tcPr>
            <w:tcW w:w="1133"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right="46" w:firstLine="0"/>
              <w:jc w:val="right"/>
              <w:rPr>
                <w:color w:val="000000"/>
                <w:sz w:val="20"/>
              </w:rPr>
            </w:pPr>
            <w:r w:rsidRPr="008470F7">
              <w:rPr>
                <w:color w:val="000000"/>
                <w:sz w:val="20"/>
              </w:rPr>
              <w:t>520,00</w:t>
            </w:r>
          </w:p>
        </w:tc>
        <w:tc>
          <w:tcPr>
            <w:tcW w:w="1194"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9,76%</w:t>
            </w:r>
          </w:p>
        </w:tc>
        <w:tc>
          <w:tcPr>
            <w:tcW w:w="1522"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6,10%</w:t>
            </w:r>
          </w:p>
        </w:tc>
        <w:tc>
          <w:tcPr>
            <w:tcW w:w="1061"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15,85%</w:t>
            </w:r>
          </w:p>
        </w:tc>
      </w:tr>
      <w:tr w:rsidR="008470F7" w:rsidRPr="008470F7" w:rsidTr="008470F7">
        <w:trPr>
          <w:trHeight w:val="255"/>
        </w:trPr>
        <w:tc>
          <w:tcPr>
            <w:tcW w:w="564"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color w:val="000000"/>
                <w:sz w:val="20"/>
              </w:rPr>
            </w:pPr>
            <w:r w:rsidRPr="008470F7">
              <w:rPr>
                <w:color w:val="000000"/>
                <w:sz w:val="20"/>
              </w:rPr>
              <w:t>10</w:t>
            </w:r>
          </w:p>
        </w:tc>
        <w:tc>
          <w:tcPr>
            <w:tcW w:w="1085"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3.360,00</w:t>
            </w:r>
          </w:p>
        </w:tc>
        <w:tc>
          <w:tcPr>
            <w:tcW w:w="1194"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280,00</w:t>
            </w:r>
          </w:p>
        </w:tc>
        <w:tc>
          <w:tcPr>
            <w:tcW w:w="1403"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0,00</w:t>
            </w:r>
          </w:p>
        </w:tc>
        <w:tc>
          <w:tcPr>
            <w:tcW w:w="1133"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right="46" w:firstLine="0"/>
              <w:jc w:val="right"/>
              <w:rPr>
                <w:color w:val="000000"/>
                <w:sz w:val="20"/>
              </w:rPr>
            </w:pPr>
            <w:r w:rsidRPr="008470F7">
              <w:rPr>
                <w:color w:val="000000"/>
                <w:sz w:val="20"/>
              </w:rPr>
              <w:t>280,00</w:t>
            </w:r>
          </w:p>
        </w:tc>
        <w:tc>
          <w:tcPr>
            <w:tcW w:w="1194"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8,33%</w:t>
            </w:r>
          </w:p>
        </w:tc>
        <w:tc>
          <w:tcPr>
            <w:tcW w:w="1522"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0,00%</w:t>
            </w:r>
          </w:p>
        </w:tc>
        <w:tc>
          <w:tcPr>
            <w:tcW w:w="1061"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8,33%</w:t>
            </w:r>
          </w:p>
        </w:tc>
      </w:tr>
      <w:tr w:rsidR="008470F7" w:rsidRPr="008470F7" w:rsidTr="008470F7">
        <w:trPr>
          <w:trHeight w:val="255"/>
        </w:trPr>
        <w:tc>
          <w:tcPr>
            <w:tcW w:w="564"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color w:val="000000"/>
                <w:sz w:val="20"/>
              </w:rPr>
            </w:pPr>
            <w:r w:rsidRPr="008470F7">
              <w:rPr>
                <w:color w:val="000000"/>
                <w:sz w:val="20"/>
              </w:rPr>
              <w:t>11</w:t>
            </w:r>
          </w:p>
        </w:tc>
        <w:tc>
          <w:tcPr>
            <w:tcW w:w="1085"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3.000,00</w:t>
            </w:r>
          </w:p>
        </w:tc>
        <w:tc>
          <w:tcPr>
            <w:tcW w:w="1194"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180,00</w:t>
            </w:r>
          </w:p>
        </w:tc>
        <w:tc>
          <w:tcPr>
            <w:tcW w:w="1403"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280,00</w:t>
            </w:r>
          </w:p>
        </w:tc>
        <w:tc>
          <w:tcPr>
            <w:tcW w:w="1133"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right="46" w:firstLine="0"/>
              <w:jc w:val="right"/>
              <w:rPr>
                <w:color w:val="000000"/>
                <w:sz w:val="20"/>
              </w:rPr>
            </w:pPr>
            <w:r w:rsidRPr="008470F7">
              <w:rPr>
                <w:color w:val="000000"/>
                <w:sz w:val="20"/>
              </w:rPr>
              <w:t>460,00</w:t>
            </w:r>
          </w:p>
        </w:tc>
        <w:tc>
          <w:tcPr>
            <w:tcW w:w="1194"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6,00%</w:t>
            </w:r>
          </w:p>
        </w:tc>
        <w:tc>
          <w:tcPr>
            <w:tcW w:w="1522"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9,33%</w:t>
            </w:r>
          </w:p>
        </w:tc>
        <w:tc>
          <w:tcPr>
            <w:tcW w:w="1061"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15,33%</w:t>
            </w:r>
          </w:p>
        </w:tc>
      </w:tr>
      <w:tr w:rsidR="008470F7" w:rsidRPr="008470F7" w:rsidTr="008470F7">
        <w:trPr>
          <w:trHeight w:val="255"/>
        </w:trPr>
        <w:tc>
          <w:tcPr>
            <w:tcW w:w="564"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color w:val="000000"/>
                <w:sz w:val="20"/>
              </w:rPr>
            </w:pPr>
            <w:r w:rsidRPr="008470F7">
              <w:rPr>
                <w:color w:val="000000"/>
                <w:sz w:val="20"/>
              </w:rPr>
              <w:t>12</w:t>
            </w:r>
          </w:p>
        </w:tc>
        <w:tc>
          <w:tcPr>
            <w:tcW w:w="1085"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3.360,00</w:t>
            </w:r>
          </w:p>
        </w:tc>
        <w:tc>
          <w:tcPr>
            <w:tcW w:w="1194"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320,00</w:t>
            </w:r>
          </w:p>
        </w:tc>
        <w:tc>
          <w:tcPr>
            <w:tcW w:w="1403"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40,00</w:t>
            </w:r>
          </w:p>
        </w:tc>
        <w:tc>
          <w:tcPr>
            <w:tcW w:w="1133"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right="46" w:firstLine="0"/>
              <w:jc w:val="right"/>
              <w:rPr>
                <w:color w:val="000000"/>
                <w:sz w:val="20"/>
              </w:rPr>
            </w:pPr>
            <w:r w:rsidRPr="008470F7">
              <w:rPr>
                <w:color w:val="000000"/>
                <w:sz w:val="20"/>
              </w:rPr>
              <w:t>360,00</w:t>
            </w:r>
          </w:p>
        </w:tc>
        <w:tc>
          <w:tcPr>
            <w:tcW w:w="1194"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9,52%</w:t>
            </w:r>
          </w:p>
        </w:tc>
        <w:tc>
          <w:tcPr>
            <w:tcW w:w="1522"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1,19%</w:t>
            </w:r>
          </w:p>
        </w:tc>
        <w:tc>
          <w:tcPr>
            <w:tcW w:w="1061"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10,71%</w:t>
            </w:r>
          </w:p>
        </w:tc>
      </w:tr>
      <w:tr w:rsidR="008470F7" w:rsidRPr="008470F7" w:rsidTr="008470F7">
        <w:trPr>
          <w:trHeight w:val="255"/>
        </w:trPr>
        <w:tc>
          <w:tcPr>
            <w:tcW w:w="564"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color w:val="000000"/>
                <w:sz w:val="20"/>
              </w:rPr>
            </w:pPr>
            <w:r w:rsidRPr="008470F7">
              <w:rPr>
                <w:color w:val="000000"/>
                <w:sz w:val="20"/>
              </w:rPr>
              <w:t>13</w:t>
            </w:r>
          </w:p>
        </w:tc>
        <w:tc>
          <w:tcPr>
            <w:tcW w:w="1085"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3.540,00</w:t>
            </w:r>
          </w:p>
        </w:tc>
        <w:tc>
          <w:tcPr>
            <w:tcW w:w="1194"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360,00</w:t>
            </w:r>
          </w:p>
        </w:tc>
        <w:tc>
          <w:tcPr>
            <w:tcW w:w="1403"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100,00</w:t>
            </w:r>
          </w:p>
        </w:tc>
        <w:tc>
          <w:tcPr>
            <w:tcW w:w="1133"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right="46" w:firstLine="0"/>
              <w:jc w:val="right"/>
              <w:rPr>
                <w:color w:val="000000"/>
                <w:sz w:val="20"/>
              </w:rPr>
            </w:pPr>
            <w:r w:rsidRPr="008470F7">
              <w:rPr>
                <w:color w:val="000000"/>
                <w:sz w:val="20"/>
              </w:rPr>
              <w:t>460,00</w:t>
            </w:r>
          </w:p>
        </w:tc>
        <w:tc>
          <w:tcPr>
            <w:tcW w:w="1194"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10,17%</w:t>
            </w:r>
          </w:p>
        </w:tc>
        <w:tc>
          <w:tcPr>
            <w:tcW w:w="1522"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2,82%</w:t>
            </w:r>
          </w:p>
        </w:tc>
        <w:tc>
          <w:tcPr>
            <w:tcW w:w="1061"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12,99%</w:t>
            </w:r>
          </w:p>
        </w:tc>
      </w:tr>
      <w:tr w:rsidR="008470F7" w:rsidRPr="008470F7" w:rsidTr="008470F7">
        <w:trPr>
          <w:trHeight w:val="255"/>
        </w:trPr>
        <w:tc>
          <w:tcPr>
            <w:tcW w:w="564"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color w:val="000000"/>
                <w:sz w:val="20"/>
              </w:rPr>
            </w:pPr>
            <w:r w:rsidRPr="008470F7">
              <w:rPr>
                <w:color w:val="000000"/>
                <w:sz w:val="20"/>
              </w:rPr>
              <w:t>14</w:t>
            </w:r>
          </w:p>
        </w:tc>
        <w:tc>
          <w:tcPr>
            <w:tcW w:w="1085"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3.150,00</w:t>
            </w:r>
          </w:p>
        </w:tc>
        <w:tc>
          <w:tcPr>
            <w:tcW w:w="1194"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272,00</w:t>
            </w:r>
          </w:p>
        </w:tc>
        <w:tc>
          <w:tcPr>
            <w:tcW w:w="1403"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200,00</w:t>
            </w:r>
          </w:p>
        </w:tc>
        <w:tc>
          <w:tcPr>
            <w:tcW w:w="1133"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right="46" w:firstLine="0"/>
              <w:jc w:val="right"/>
              <w:rPr>
                <w:color w:val="000000"/>
                <w:sz w:val="20"/>
              </w:rPr>
            </w:pPr>
            <w:r w:rsidRPr="008470F7">
              <w:rPr>
                <w:color w:val="000000"/>
                <w:sz w:val="20"/>
              </w:rPr>
              <w:t>472,00</w:t>
            </w:r>
          </w:p>
        </w:tc>
        <w:tc>
          <w:tcPr>
            <w:tcW w:w="1194"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8,63%</w:t>
            </w:r>
          </w:p>
        </w:tc>
        <w:tc>
          <w:tcPr>
            <w:tcW w:w="1522"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6,35%</w:t>
            </w:r>
          </w:p>
        </w:tc>
        <w:tc>
          <w:tcPr>
            <w:tcW w:w="1061"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14,98%</w:t>
            </w:r>
          </w:p>
        </w:tc>
      </w:tr>
      <w:tr w:rsidR="008470F7" w:rsidRPr="008470F7" w:rsidTr="008470F7">
        <w:trPr>
          <w:trHeight w:val="255"/>
        </w:trPr>
        <w:tc>
          <w:tcPr>
            <w:tcW w:w="564"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color w:val="000000"/>
                <w:sz w:val="20"/>
              </w:rPr>
            </w:pPr>
            <w:r w:rsidRPr="008470F7">
              <w:rPr>
                <w:color w:val="000000"/>
                <w:sz w:val="20"/>
              </w:rPr>
              <w:t>15</w:t>
            </w:r>
          </w:p>
        </w:tc>
        <w:tc>
          <w:tcPr>
            <w:tcW w:w="1085"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3.000,00</w:t>
            </w:r>
          </w:p>
        </w:tc>
        <w:tc>
          <w:tcPr>
            <w:tcW w:w="1194"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0,00</w:t>
            </w:r>
          </w:p>
        </w:tc>
        <w:tc>
          <w:tcPr>
            <w:tcW w:w="1403"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150,00</w:t>
            </w:r>
          </w:p>
        </w:tc>
        <w:tc>
          <w:tcPr>
            <w:tcW w:w="1133"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right="46" w:firstLine="0"/>
              <w:jc w:val="right"/>
              <w:rPr>
                <w:color w:val="000000"/>
                <w:sz w:val="20"/>
              </w:rPr>
            </w:pPr>
            <w:r w:rsidRPr="008470F7">
              <w:rPr>
                <w:color w:val="000000"/>
                <w:sz w:val="20"/>
              </w:rPr>
              <w:t>150,00</w:t>
            </w:r>
          </w:p>
        </w:tc>
        <w:tc>
          <w:tcPr>
            <w:tcW w:w="1194"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0,00%</w:t>
            </w:r>
          </w:p>
        </w:tc>
        <w:tc>
          <w:tcPr>
            <w:tcW w:w="1522"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5,00%</w:t>
            </w:r>
          </w:p>
        </w:tc>
        <w:tc>
          <w:tcPr>
            <w:tcW w:w="1061"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5,00%</w:t>
            </w:r>
          </w:p>
        </w:tc>
      </w:tr>
      <w:tr w:rsidR="008470F7" w:rsidRPr="008470F7" w:rsidTr="008470F7">
        <w:trPr>
          <w:trHeight w:val="255"/>
        </w:trPr>
        <w:tc>
          <w:tcPr>
            <w:tcW w:w="564"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color w:val="000000"/>
                <w:sz w:val="20"/>
              </w:rPr>
            </w:pPr>
            <w:r w:rsidRPr="008470F7">
              <w:rPr>
                <w:color w:val="000000"/>
                <w:sz w:val="20"/>
              </w:rPr>
              <w:t>16</w:t>
            </w:r>
          </w:p>
        </w:tc>
        <w:tc>
          <w:tcPr>
            <w:tcW w:w="1085"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3.000,00</w:t>
            </w:r>
          </w:p>
        </w:tc>
        <w:tc>
          <w:tcPr>
            <w:tcW w:w="1194"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0,00</w:t>
            </w:r>
          </w:p>
        </w:tc>
        <w:tc>
          <w:tcPr>
            <w:tcW w:w="1403"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348,00</w:t>
            </w:r>
          </w:p>
        </w:tc>
        <w:tc>
          <w:tcPr>
            <w:tcW w:w="1133"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right="46" w:firstLine="0"/>
              <w:jc w:val="right"/>
              <w:rPr>
                <w:color w:val="000000"/>
                <w:sz w:val="20"/>
              </w:rPr>
            </w:pPr>
            <w:r w:rsidRPr="008470F7">
              <w:rPr>
                <w:color w:val="000000"/>
                <w:sz w:val="20"/>
              </w:rPr>
              <w:t>348,00</w:t>
            </w:r>
          </w:p>
        </w:tc>
        <w:tc>
          <w:tcPr>
            <w:tcW w:w="1194"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0,00%</w:t>
            </w:r>
          </w:p>
        </w:tc>
        <w:tc>
          <w:tcPr>
            <w:tcW w:w="1522"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11,60%</w:t>
            </w:r>
          </w:p>
        </w:tc>
        <w:tc>
          <w:tcPr>
            <w:tcW w:w="1061"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11,60%</w:t>
            </w:r>
          </w:p>
        </w:tc>
      </w:tr>
      <w:tr w:rsidR="008470F7" w:rsidRPr="008470F7" w:rsidTr="008470F7">
        <w:trPr>
          <w:trHeight w:val="255"/>
        </w:trPr>
        <w:tc>
          <w:tcPr>
            <w:tcW w:w="564"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color w:val="000000"/>
                <w:sz w:val="20"/>
              </w:rPr>
            </w:pPr>
            <w:r w:rsidRPr="008470F7">
              <w:rPr>
                <w:color w:val="000000"/>
                <w:sz w:val="20"/>
              </w:rPr>
              <w:t>17</w:t>
            </w:r>
          </w:p>
        </w:tc>
        <w:tc>
          <w:tcPr>
            <w:tcW w:w="1085"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3.000,00</w:t>
            </w:r>
          </w:p>
        </w:tc>
        <w:tc>
          <w:tcPr>
            <w:tcW w:w="1194"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204,00</w:t>
            </w:r>
          </w:p>
        </w:tc>
        <w:tc>
          <w:tcPr>
            <w:tcW w:w="1403"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195,00</w:t>
            </w:r>
          </w:p>
        </w:tc>
        <w:tc>
          <w:tcPr>
            <w:tcW w:w="1133"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right="46" w:firstLine="0"/>
              <w:jc w:val="right"/>
              <w:rPr>
                <w:color w:val="000000"/>
                <w:sz w:val="20"/>
              </w:rPr>
            </w:pPr>
            <w:r w:rsidRPr="008470F7">
              <w:rPr>
                <w:color w:val="000000"/>
                <w:sz w:val="20"/>
              </w:rPr>
              <w:t>399,00</w:t>
            </w:r>
          </w:p>
        </w:tc>
        <w:tc>
          <w:tcPr>
            <w:tcW w:w="1194"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6,80%</w:t>
            </w:r>
          </w:p>
        </w:tc>
        <w:tc>
          <w:tcPr>
            <w:tcW w:w="1522"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6,50%</w:t>
            </w:r>
          </w:p>
        </w:tc>
        <w:tc>
          <w:tcPr>
            <w:tcW w:w="1061"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13,30%</w:t>
            </w:r>
          </w:p>
        </w:tc>
      </w:tr>
      <w:tr w:rsidR="008470F7" w:rsidRPr="008470F7" w:rsidTr="008470F7">
        <w:trPr>
          <w:trHeight w:val="255"/>
        </w:trPr>
        <w:tc>
          <w:tcPr>
            <w:tcW w:w="564"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color w:val="000000"/>
                <w:sz w:val="20"/>
              </w:rPr>
            </w:pPr>
            <w:r w:rsidRPr="008470F7">
              <w:rPr>
                <w:color w:val="000000"/>
                <w:sz w:val="20"/>
              </w:rPr>
              <w:t>18</w:t>
            </w:r>
          </w:p>
        </w:tc>
        <w:tc>
          <w:tcPr>
            <w:tcW w:w="1085"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3.009,00</w:t>
            </w:r>
          </w:p>
        </w:tc>
        <w:tc>
          <w:tcPr>
            <w:tcW w:w="1194"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136,00</w:t>
            </w:r>
          </w:p>
        </w:tc>
        <w:tc>
          <w:tcPr>
            <w:tcW w:w="1403"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153,00</w:t>
            </w:r>
          </w:p>
        </w:tc>
        <w:tc>
          <w:tcPr>
            <w:tcW w:w="1133" w:type="dxa"/>
            <w:tcBorders>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right="46" w:firstLine="0"/>
              <w:jc w:val="right"/>
              <w:rPr>
                <w:color w:val="000000"/>
                <w:sz w:val="20"/>
              </w:rPr>
            </w:pPr>
            <w:r w:rsidRPr="008470F7">
              <w:rPr>
                <w:color w:val="000000"/>
                <w:sz w:val="20"/>
              </w:rPr>
              <w:t>289,00</w:t>
            </w:r>
          </w:p>
        </w:tc>
        <w:tc>
          <w:tcPr>
            <w:tcW w:w="1194" w:type="dxa"/>
            <w:tcBorders>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4,52%</w:t>
            </w:r>
          </w:p>
        </w:tc>
        <w:tc>
          <w:tcPr>
            <w:tcW w:w="1522"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5,08%</w:t>
            </w:r>
          </w:p>
        </w:tc>
        <w:tc>
          <w:tcPr>
            <w:tcW w:w="1061" w:type="dxa"/>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9,60%</w:t>
            </w:r>
          </w:p>
        </w:tc>
      </w:tr>
      <w:tr w:rsidR="008470F7" w:rsidRPr="008470F7" w:rsidTr="008470F7">
        <w:trPr>
          <w:trHeight w:val="270"/>
        </w:trPr>
        <w:tc>
          <w:tcPr>
            <w:tcW w:w="564" w:type="dxa"/>
            <w:tcBorders>
              <w:bottom w:val="single" w:sz="4" w:space="0" w:color="auto"/>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color w:val="000000"/>
                <w:sz w:val="20"/>
              </w:rPr>
            </w:pPr>
            <w:r w:rsidRPr="008470F7">
              <w:rPr>
                <w:color w:val="000000"/>
                <w:sz w:val="20"/>
              </w:rPr>
              <w:t>19</w:t>
            </w:r>
          </w:p>
        </w:tc>
        <w:tc>
          <w:tcPr>
            <w:tcW w:w="1085" w:type="dxa"/>
            <w:tcBorders>
              <w:left w:val="single" w:sz="4" w:space="0" w:color="auto"/>
              <w:bottom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3.000,00</w:t>
            </w:r>
          </w:p>
        </w:tc>
        <w:tc>
          <w:tcPr>
            <w:tcW w:w="1194" w:type="dxa"/>
            <w:tcBorders>
              <w:bottom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68,00</w:t>
            </w:r>
          </w:p>
        </w:tc>
        <w:tc>
          <w:tcPr>
            <w:tcW w:w="1403" w:type="dxa"/>
            <w:tcBorders>
              <w:bottom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280,00</w:t>
            </w:r>
          </w:p>
        </w:tc>
        <w:tc>
          <w:tcPr>
            <w:tcW w:w="1133" w:type="dxa"/>
            <w:tcBorders>
              <w:bottom w:val="single" w:sz="4" w:space="0" w:color="auto"/>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right="46" w:firstLine="0"/>
              <w:jc w:val="right"/>
              <w:rPr>
                <w:color w:val="000000"/>
                <w:sz w:val="20"/>
              </w:rPr>
            </w:pPr>
            <w:r w:rsidRPr="008470F7">
              <w:rPr>
                <w:color w:val="000000"/>
                <w:sz w:val="20"/>
              </w:rPr>
              <w:t>348,00</w:t>
            </w:r>
          </w:p>
        </w:tc>
        <w:tc>
          <w:tcPr>
            <w:tcW w:w="1194" w:type="dxa"/>
            <w:tcBorders>
              <w:left w:val="single" w:sz="4" w:space="0" w:color="auto"/>
              <w:bottom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2,27%</w:t>
            </w:r>
          </w:p>
        </w:tc>
        <w:tc>
          <w:tcPr>
            <w:tcW w:w="1522" w:type="dxa"/>
            <w:tcBorders>
              <w:bottom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9,33%</w:t>
            </w:r>
          </w:p>
        </w:tc>
        <w:tc>
          <w:tcPr>
            <w:tcW w:w="1061" w:type="dxa"/>
            <w:tcBorders>
              <w:bottom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right"/>
              <w:rPr>
                <w:color w:val="000000"/>
                <w:sz w:val="20"/>
              </w:rPr>
            </w:pPr>
            <w:r w:rsidRPr="008470F7">
              <w:rPr>
                <w:color w:val="000000"/>
                <w:sz w:val="20"/>
              </w:rPr>
              <w:t>11,60%</w:t>
            </w:r>
          </w:p>
        </w:tc>
      </w:tr>
      <w:tr w:rsidR="008470F7" w:rsidRPr="008470F7" w:rsidTr="008470F7">
        <w:trPr>
          <w:trHeight w:val="270"/>
        </w:trPr>
        <w:tc>
          <w:tcPr>
            <w:tcW w:w="9156" w:type="dxa"/>
            <w:gridSpan w:val="8"/>
            <w:tcBorders>
              <w:top w:val="single" w:sz="4" w:space="0" w:color="auto"/>
            </w:tcBorders>
            <w:shd w:val="clear" w:color="auto" w:fill="auto"/>
            <w:noWrap/>
            <w:vAlign w:val="center"/>
          </w:tcPr>
          <w:p w:rsidR="008470F7" w:rsidRPr="008470F7" w:rsidRDefault="008470F7" w:rsidP="00E63A6D">
            <w:pPr>
              <w:widowControl/>
              <w:suppressLineNumbers w:val="0"/>
              <w:suppressAutoHyphens w:val="0"/>
              <w:ind w:firstLine="0"/>
              <w:jc w:val="left"/>
              <w:rPr>
                <w:color w:val="000000"/>
                <w:sz w:val="20"/>
              </w:rPr>
            </w:pPr>
            <w:r w:rsidRPr="008470F7">
              <w:rPr>
                <w:color w:val="000000"/>
                <w:sz w:val="20"/>
              </w:rPr>
              <w:t>Fonte: Elaborada pelos autores.</w:t>
            </w:r>
          </w:p>
        </w:tc>
      </w:tr>
    </w:tbl>
    <w:p w:rsidR="00C1412C" w:rsidRPr="008470F7" w:rsidRDefault="00C1412C" w:rsidP="00E63A6D">
      <w:pPr>
        <w:ind w:firstLine="567"/>
        <w:rPr>
          <w:szCs w:val="24"/>
        </w:rPr>
      </w:pPr>
      <w:r w:rsidRPr="008470F7">
        <w:rPr>
          <w:szCs w:val="24"/>
        </w:rPr>
        <w:t>Ressalta-se que a IES 2 não apresenta a carga horária referente a atividades complementares no seu sítio eletrônico e divulga apenas 36 horas como Estágio Supervisionado - Práticas de Gestão Contábeis. Por esse motivo, os números por ela apresentados destoam das demais.</w:t>
      </w:r>
    </w:p>
    <w:p w:rsidR="00C1412C" w:rsidRPr="008470F7" w:rsidRDefault="00C1412C" w:rsidP="00E63A6D">
      <w:pPr>
        <w:ind w:firstLine="567"/>
        <w:rPr>
          <w:szCs w:val="24"/>
        </w:rPr>
      </w:pPr>
      <w:r w:rsidRPr="008470F7">
        <w:rPr>
          <w:szCs w:val="24"/>
        </w:rPr>
        <w:t>Cabe salientar que o ISAR, embora não estabeleça uma quantidade mínima de horas, também encoraja que as IES formalizem o estágio supervisionado em seus currículos (</w:t>
      </w:r>
      <w:bookmarkStart w:id="10" w:name="_Hlk1230431"/>
      <w:proofErr w:type="spellStart"/>
      <w:r w:rsidRPr="008470F7">
        <w:rPr>
          <w:i/>
          <w:szCs w:val="24"/>
        </w:rPr>
        <w:t>Revised</w:t>
      </w:r>
      <w:proofErr w:type="spellEnd"/>
      <w:r w:rsidRPr="008470F7">
        <w:rPr>
          <w:i/>
          <w:szCs w:val="24"/>
        </w:rPr>
        <w:t xml:space="preserve"> </w:t>
      </w:r>
      <w:proofErr w:type="spellStart"/>
      <w:r w:rsidRPr="008470F7">
        <w:rPr>
          <w:i/>
          <w:szCs w:val="24"/>
        </w:rPr>
        <w:t>model</w:t>
      </w:r>
      <w:proofErr w:type="spellEnd"/>
      <w:r w:rsidRPr="008470F7">
        <w:rPr>
          <w:i/>
          <w:szCs w:val="24"/>
        </w:rPr>
        <w:t xml:space="preserve"> </w:t>
      </w:r>
      <w:proofErr w:type="spellStart"/>
      <w:r w:rsidRPr="008470F7">
        <w:rPr>
          <w:i/>
          <w:szCs w:val="24"/>
        </w:rPr>
        <w:t>accounting</w:t>
      </w:r>
      <w:proofErr w:type="spellEnd"/>
      <w:r w:rsidRPr="008470F7">
        <w:rPr>
          <w:i/>
          <w:szCs w:val="24"/>
        </w:rPr>
        <w:t xml:space="preserve"> curriculum (MC)</w:t>
      </w:r>
      <w:r w:rsidRPr="008470F7">
        <w:rPr>
          <w:szCs w:val="24"/>
        </w:rPr>
        <w:t>, 2011</w:t>
      </w:r>
      <w:bookmarkEnd w:id="10"/>
      <w:r w:rsidRPr="008470F7">
        <w:rPr>
          <w:szCs w:val="24"/>
        </w:rPr>
        <w:t>).</w:t>
      </w:r>
    </w:p>
    <w:p w:rsidR="00C1412C" w:rsidRPr="008470F7" w:rsidRDefault="00C1412C" w:rsidP="00E63A6D">
      <w:pPr>
        <w:ind w:firstLine="567"/>
        <w:rPr>
          <w:szCs w:val="24"/>
        </w:rPr>
      </w:pPr>
      <w:r w:rsidRPr="008470F7">
        <w:rPr>
          <w:szCs w:val="24"/>
        </w:rPr>
        <w:t xml:space="preserve">Tanto a proposta da Fundação Brasileira de Contabilidade, como as diretrizes instituídas pela </w:t>
      </w:r>
      <w:r w:rsidRPr="008470F7">
        <w:rPr>
          <w:szCs w:val="24"/>
        </w:rPr>
        <w:lastRenderedPageBreak/>
        <w:t>Resolução CNE/CES nº 10 e o modelo de currículo da ISAR visam servir como parâmetro, mas não engessam a grade curricular, que pode ser adaptada conforme a necessidade do mercado, da sociedade e da legislação.</w:t>
      </w:r>
    </w:p>
    <w:p w:rsidR="00C1412C" w:rsidRPr="008470F7" w:rsidRDefault="00C1412C" w:rsidP="00E63A6D">
      <w:pPr>
        <w:ind w:firstLine="567"/>
        <w:rPr>
          <w:szCs w:val="24"/>
        </w:rPr>
      </w:pPr>
      <w:r w:rsidRPr="008470F7">
        <w:rPr>
          <w:szCs w:val="24"/>
        </w:rPr>
        <w:t xml:space="preserve">A Tabela 7 apresenta as porcentagens da carga horária destinada pelas IES para cada eixo de formação comparativamente com as porcentagens da proposta da </w:t>
      </w:r>
      <w:bookmarkStart w:id="11" w:name="_Hlk1230488"/>
      <w:r w:rsidRPr="008470F7">
        <w:rPr>
          <w:szCs w:val="24"/>
        </w:rPr>
        <w:t>FBC 2017</w:t>
      </w:r>
      <w:bookmarkEnd w:id="11"/>
      <w:r w:rsidRPr="008470F7">
        <w:rPr>
          <w:szCs w:val="24"/>
        </w:rPr>
        <w:t>. Para isso, a tabela foi dividida em duas partes, sendo a primeira relativa à carga horária total constante na grade curricular divulgada nos sítios eletrônicos e a outra sobre a carga horária de 3.000 horas, conforme estabelecido na Resolução CNE/CES nº 2. Isso causa uma variação nos dados daquelas IES com carga horária maior ou menor que o estabelecido pelo CNE.</w:t>
      </w:r>
    </w:p>
    <w:p w:rsidR="00C1412C" w:rsidRDefault="00C1412C" w:rsidP="00E63A6D">
      <w:pPr>
        <w:ind w:firstLine="567"/>
        <w:rPr>
          <w:szCs w:val="24"/>
        </w:rPr>
      </w:pPr>
      <w:r w:rsidRPr="008470F7">
        <w:rPr>
          <w:szCs w:val="24"/>
        </w:rPr>
        <w:t>Percebe-se que o percentual mínimo observado nas disciplinas do eixo de formação básica é de 25,19% e o máximo é 38%, sendo que o proposto pela FBC é de 30%; já nas disciplinas do eixo profissional, a variação é entre 35,89% e 58,18%, e o padrão do FBC é de 54%; e de 5,49% a 32,88% na teórico-prática, sendo 16% o parâmetro. A IES 8 apresenta a menor porcentagem de carga horária das disciplinas de formação profissional com 1.091,7 horas e maior porcentagem das de formação teórico-prática, sendo 250 horas de atividades complementares, 500 horas de atividades práticas supervisionadas e 2</w:t>
      </w:r>
      <w:r w:rsidR="00E63A6D">
        <w:rPr>
          <w:szCs w:val="24"/>
        </w:rPr>
        <w:t>50 horas de estágio curricular.</w:t>
      </w:r>
    </w:p>
    <w:p w:rsidR="00E63A6D" w:rsidRPr="008470F7" w:rsidRDefault="00E63A6D" w:rsidP="00E63A6D">
      <w:pPr>
        <w:ind w:firstLine="567"/>
        <w:rPr>
          <w:szCs w:val="24"/>
        </w:rPr>
      </w:pPr>
    </w:p>
    <w:tbl>
      <w:tblPr>
        <w:tblW w:w="9156" w:type="dxa"/>
        <w:tblInd w:w="55" w:type="dxa"/>
        <w:tblCellMar>
          <w:left w:w="70" w:type="dxa"/>
          <w:right w:w="70" w:type="dxa"/>
        </w:tblCellMar>
        <w:tblLook w:val="04A0" w:firstRow="1" w:lastRow="0" w:firstColumn="1" w:lastColumn="0" w:noHBand="0" w:noVBand="1"/>
      </w:tblPr>
      <w:tblGrid>
        <w:gridCol w:w="582"/>
        <w:gridCol w:w="1359"/>
        <w:gridCol w:w="1443"/>
        <w:gridCol w:w="1443"/>
        <w:gridCol w:w="1443"/>
        <w:gridCol w:w="1443"/>
        <w:gridCol w:w="1443"/>
      </w:tblGrid>
      <w:tr w:rsidR="008470F7" w:rsidRPr="008470F7" w:rsidTr="008470F7">
        <w:trPr>
          <w:trHeight w:val="255"/>
        </w:trPr>
        <w:tc>
          <w:tcPr>
            <w:tcW w:w="9156" w:type="dxa"/>
            <w:gridSpan w:val="7"/>
            <w:tcBorders>
              <w:bottom w:val="single" w:sz="4" w:space="0" w:color="auto"/>
            </w:tcBorders>
            <w:shd w:val="clear" w:color="auto" w:fill="auto"/>
            <w:vAlign w:val="center"/>
          </w:tcPr>
          <w:p w:rsidR="008470F7" w:rsidRPr="008470F7" w:rsidRDefault="0001338F" w:rsidP="00E63A6D">
            <w:pPr>
              <w:keepNext/>
              <w:widowControl/>
              <w:suppressLineNumbers w:val="0"/>
              <w:suppressAutoHyphens w:val="0"/>
              <w:ind w:firstLine="0"/>
              <w:jc w:val="left"/>
              <w:rPr>
                <w:bCs/>
                <w:sz w:val="20"/>
              </w:rPr>
            </w:pPr>
            <w:r>
              <w:rPr>
                <w:bCs/>
                <w:sz w:val="20"/>
              </w:rPr>
              <w:t xml:space="preserve">Tabela 7. </w:t>
            </w:r>
            <w:r w:rsidR="008470F7" w:rsidRPr="008470F7">
              <w:rPr>
                <w:bCs/>
                <w:sz w:val="20"/>
              </w:rPr>
              <w:t>Porcentagens da carga horária por eixo temático baseada na proposta FBC 2017</w:t>
            </w:r>
          </w:p>
        </w:tc>
      </w:tr>
      <w:tr w:rsidR="008470F7" w:rsidRPr="008470F7" w:rsidTr="008470F7">
        <w:trPr>
          <w:trHeight w:val="255"/>
        </w:trPr>
        <w:tc>
          <w:tcPr>
            <w:tcW w:w="582" w:type="dxa"/>
            <w:tcBorders>
              <w:top w:val="single" w:sz="4" w:space="0" w:color="auto"/>
              <w:bottom w:val="single" w:sz="4" w:space="0" w:color="auto"/>
            </w:tcBorders>
            <w:shd w:val="clear" w:color="auto" w:fill="auto"/>
            <w:vAlign w:val="bottom"/>
            <w:hideMark/>
          </w:tcPr>
          <w:p w:rsidR="008470F7" w:rsidRPr="008470F7" w:rsidRDefault="008470F7" w:rsidP="00E63A6D">
            <w:pPr>
              <w:keepNext/>
              <w:widowControl/>
              <w:suppressLineNumbers w:val="0"/>
              <w:suppressAutoHyphens w:val="0"/>
              <w:ind w:firstLine="0"/>
              <w:jc w:val="center"/>
              <w:rPr>
                <w:b/>
                <w:bCs/>
                <w:sz w:val="20"/>
              </w:rPr>
            </w:pPr>
          </w:p>
        </w:tc>
        <w:tc>
          <w:tcPr>
            <w:tcW w:w="4245" w:type="dxa"/>
            <w:gridSpan w:val="3"/>
            <w:tcBorders>
              <w:top w:val="single" w:sz="4" w:space="0" w:color="auto"/>
              <w:bottom w:val="single" w:sz="4" w:space="0" w:color="auto"/>
              <w:right w:val="single" w:sz="4" w:space="0" w:color="auto"/>
            </w:tcBorders>
            <w:shd w:val="clear" w:color="auto" w:fill="auto"/>
            <w:noWrap/>
            <w:vAlign w:val="center"/>
            <w:hideMark/>
          </w:tcPr>
          <w:p w:rsidR="008470F7" w:rsidRPr="008470F7" w:rsidRDefault="008470F7" w:rsidP="00E63A6D">
            <w:pPr>
              <w:keepNext/>
              <w:widowControl/>
              <w:suppressLineNumbers w:val="0"/>
              <w:suppressAutoHyphens w:val="0"/>
              <w:ind w:firstLine="0"/>
              <w:jc w:val="center"/>
              <w:rPr>
                <w:b/>
                <w:bCs/>
                <w:sz w:val="20"/>
              </w:rPr>
            </w:pPr>
            <w:r w:rsidRPr="008470F7">
              <w:rPr>
                <w:b/>
                <w:bCs/>
                <w:sz w:val="20"/>
              </w:rPr>
              <w:t>% CARGA HORÁRIA POR FORMAÇÃO</w:t>
            </w:r>
          </w:p>
        </w:tc>
        <w:tc>
          <w:tcPr>
            <w:tcW w:w="4329" w:type="dxa"/>
            <w:gridSpan w:val="3"/>
            <w:tcBorders>
              <w:top w:val="single" w:sz="4" w:space="0" w:color="auto"/>
              <w:left w:val="single" w:sz="4" w:space="0" w:color="auto"/>
              <w:bottom w:val="single" w:sz="4" w:space="0" w:color="auto"/>
            </w:tcBorders>
            <w:shd w:val="clear" w:color="auto" w:fill="auto"/>
            <w:noWrap/>
            <w:vAlign w:val="center"/>
            <w:hideMark/>
          </w:tcPr>
          <w:p w:rsidR="008470F7" w:rsidRPr="008470F7" w:rsidRDefault="008470F7" w:rsidP="00E63A6D">
            <w:pPr>
              <w:keepNext/>
              <w:widowControl/>
              <w:suppressLineNumbers w:val="0"/>
              <w:suppressAutoHyphens w:val="0"/>
              <w:ind w:firstLine="0"/>
              <w:jc w:val="center"/>
              <w:rPr>
                <w:b/>
                <w:bCs/>
                <w:sz w:val="20"/>
              </w:rPr>
            </w:pPr>
            <w:r w:rsidRPr="008470F7">
              <w:rPr>
                <w:b/>
                <w:bCs/>
                <w:sz w:val="20"/>
              </w:rPr>
              <w:t>% POR FORMAÇÃO SOBRE 3.000 HORAS</w:t>
            </w:r>
          </w:p>
        </w:tc>
      </w:tr>
      <w:tr w:rsidR="008470F7" w:rsidRPr="008470F7" w:rsidTr="008470F7">
        <w:trPr>
          <w:trHeight w:val="540"/>
        </w:trPr>
        <w:tc>
          <w:tcPr>
            <w:tcW w:w="582" w:type="dxa"/>
            <w:tcBorders>
              <w:top w:val="single" w:sz="4" w:space="0" w:color="auto"/>
              <w:bottom w:val="single" w:sz="4" w:space="0" w:color="auto"/>
            </w:tcBorders>
            <w:shd w:val="clear" w:color="auto" w:fill="auto"/>
            <w:vAlign w:val="center"/>
            <w:hideMark/>
          </w:tcPr>
          <w:p w:rsidR="008470F7" w:rsidRPr="008470F7" w:rsidRDefault="008470F7" w:rsidP="00E63A6D">
            <w:pPr>
              <w:keepNext/>
              <w:widowControl/>
              <w:suppressLineNumbers w:val="0"/>
              <w:suppressAutoHyphens w:val="0"/>
              <w:ind w:firstLine="0"/>
              <w:jc w:val="center"/>
              <w:rPr>
                <w:b/>
                <w:bCs/>
                <w:sz w:val="20"/>
              </w:rPr>
            </w:pPr>
            <w:r w:rsidRPr="008470F7">
              <w:rPr>
                <w:b/>
                <w:bCs/>
                <w:sz w:val="20"/>
              </w:rPr>
              <w:t>IES</w:t>
            </w:r>
          </w:p>
        </w:tc>
        <w:tc>
          <w:tcPr>
            <w:tcW w:w="1359" w:type="dxa"/>
            <w:tcBorders>
              <w:bottom w:val="single" w:sz="4" w:space="0" w:color="auto"/>
            </w:tcBorders>
            <w:shd w:val="clear" w:color="auto" w:fill="auto"/>
            <w:vAlign w:val="center"/>
            <w:hideMark/>
          </w:tcPr>
          <w:p w:rsidR="008470F7" w:rsidRPr="008470F7" w:rsidRDefault="008470F7" w:rsidP="00E63A6D">
            <w:pPr>
              <w:keepNext/>
              <w:widowControl/>
              <w:suppressLineNumbers w:val="0"/>
              <w:suppressAutoHyphens w:val="0"/>
              <w:ind w:firstLine="0"/>
              <w:jc w:val="center"/>
              <w:rPr>
                <w:b/>
                <w:bCs/>
                <w:sz w:val="20"/>
              </w:rPr>
            </w:pPr>
            <w:r w:rsidRPr="008470F7">
              <w:rPr>
                <w:b/>
                <w:bCs/>
                <w:sz w:val="20"/>
              </w:rPr>
              <w:t>BÁSICA</w:t>
            </w:r>
          </w:p>
        </w:tc>
        <w:tc>
          <w:tcPr>
            <w:tcW w:w="1443" w:type="dxa"/>
            <w:tcBorders>
              <w:bottom w:val="single" w:sz="4" w:space="0" w:color="auto"/>
            </w:tcBorders>
            <w:shd w:val="clear" w:color="auto" w:fill="auto"/>
            <w:vAlign w:val="center"/>
            <w:hideMark/>
          </w:tcPr>
          <w:p w:rsidR="008470F7" w:rsidRPr="008470F7" w:rsidRDefault="008470F7" w:rsidP="00E63A6D">
            <w:pPr>
              <w:keepNext/>
              <w:widowControl/>
              <w:suppressLineNumbers w:val="0"/>
              <w:suppressAutoHyphens w:val="0"/>
              <w:ind w:firstLine="0"/>
              <w:jc w:val="center"/>
              <w:rPr>
                <w:b/>
                <w:bCs/>
                <w:sz w:val="20"/>
              </w:rPr>
            </w:pPr>
            <w:r w:rsidRPr="008470F7">
              <w:rPr>
                <w:b/>
                <w:bCs/>
                <w:sz w:val="20"/>
              </w:rPr>
              <w:t>PROFIS-SIONAL</w:t>
            </w:r>
          </w:p>
        </w:tc>
        <w:tc>
          <w:tcPr>
            <w:tcW w:w="1443" w:type="dxa"/>
            <w:tcBorders>
              <w:bottom w:val="single" w:sz="4" w:space="0" w:color="auto"/>
              <w:right w:val="single" w:sz="4" w:space="0" w:color="auto"/>
            </w:tcBorders>
            <w:shd w:val="clear" w:color="auto" w:fill="auto"/>
            <w:vAlign w:val="center"/>
            <w:hideMark/>
          </w:tcPr>
          <w:p w:rsidR="008470F7" w:rsidRPr="008470F7" w:rsidRDefault="008470F7" w:rsidP="00E63A6D">
            <w:pPr>
              <w:keepNext/>
              <w:widowControl/>
              <w:suppressLineNumbers w:val="0"/>
              <w:suppressAutoHyphens w:val="0"/>
              <w:ind w:firstLine="0"/>
              <w:jc w:val="center"/>
              <w:rPr>
                <w:b/>
                <w:bCs/>
                <w:sz w:val="20"/>
              </w:rPr>
            </w:pPr>
            <w:r w:rsidRPr="008470F7">
              <w:rPr>
                <w:b/>
                <w:bCs/>
                <w:sz w:val="20"/>
              </w:rPr>
              <w:t>TEÓRICO- PRÁTICA</w:t>
            </w:r>
          </w:p>
        </w:tc>
        <w:tc>
          <w:tcPr>
            <w:tcW w:w="1443" w:type="dxa"/>
            <w:tcBorders>
              <w:left w:val="single" w:sz="4" w:space="0" w:color="auto"/>
              <w:bottom w:val="single" w:sz="4" w:space="0" w:color="auto"/>
            </w:tcBorders>
            <w:shd w:val="clear" w:color="auto" w:fill="auto"/>
            <w:vAlign w:val="center"/>
            <w:hideMark/>
          </w:tcPr>
          <w:p w:rsidR="008470F7" w:rsidRPr="008470F7" w:rsidRDefault="008470F7" w:rsidP="00E63A6D">
            <w:pPr>
              <w:keepNext/>
              <w:widowControl/>
              <w:suppressLineNumbers w:val="0"/>
              <w:suppressAutoHyphens w:val="0"/>
              <w:ind w:firstLine="0"/>
              <w:jc w:val="center"/>
              <w:rPr>
                <w:b/>
                <w:bCs/>
                <w:sz w:val="20"/>
              </w:rPr>
            </w:pPr>
            <w:r w:rsidRPr="008470F7">
              <w:rPr>
                <w:b/>
                <w:bCs/>
                <w:sz w:val="20"/>
              </w:rPr>
              <w:t>BÁSICA</w:t>
            </w:r>
          </w:p>
        </w:tc>
        <w:tc>
          <w:tcPr>
            <w:tcW w:w="1443" w:type="dxa"/>
            <w:tcBorders>
              <w:bottom w:val="single" w:sz="4" w:space="0" w:color="auto"/>
            </w:tcBorders>
            <w:shd w:val="clear" w:color="auto" w:fill="auto"/>
            <w:vAlign w:val="center"/>
            <w:hideMark/>
          </w:tcPr>
          <w:p w:rsidR="008470F7" w:rsidRPr="008470F7" w:rsidRDefault="008470F7" w:rsidP="00E63A6D">
            <w:pPr>
              <w:keepNext/>
              <w:widowControl/>
              <w:suppressLineNumbers w:val="0"/>
              <w:suppressAutoHyphens w:val="0"/>
              <w:ind w:firstLine="0"/>
              <w:jc w:val="center"/>
              <w:rPr>
                <w:b/>
                <w:bCs/>
                <w:sz w:val="20"/>
              </w:rPr>
            </w:pPr>
            <w:r w:rsidRPr="008470F7">
              <w:rPr>
                <w:b/>
                <w:bCs/>
                <w:sz w:val="20"/>
              </w:rPr>
              <w:t>PROFIS-SIONAL</w:t>
            </w:r>
          </w:p>
        </w:tc>
        <w:tc>
          <w:tcPr>
            <w:tcW w:w="1443" w:type="dxa"/>
            <w:tcBorders>
              <w:bottom w:val="single" w:sz="4" w:space="0" w:color="auto"/>
            </w:tcBorders>
            <w:shd w:val="clear" w:color="auto" w:fill="auto"/>
            <w:vAlign w:val="center"/>
            <w:hideMark/>
          </w:tcPr>
          <w:p w:rsidR="008470F7" w:rsidRPr="008470F7" w:rsidRDefault="008470F7" w:rsidP="00E63A6D">
            <w:pPr>
              <w:keepNext/>
              <w:widowControl/>
              <w:suppressLineNumbers w:val="0"/>
              <w:suppressAutoHyphens w:val="0"/>
              <w:ind w:firstLine="0"/>
              <w:jc w:val="center"/>
              <w:rPr>
                <w:b/>
                <w:bCs/>
                <w:sz w:val="20"/>
              </w:rPr>
            </w:pPr>
            <w:r w:rsidRPr="008470F7">
              <w:rPr>
                <w:b/>
                <w:bCs/>
                <w:sz w:val="20"/>
              </w:rPr>
              <w:t>TEÓRICO- PRÁTICA</w:t>
            </w:r>
          </w:p>
        </w:tc>
      </w:tr>
      <w:tr w:rsidR="008470F7" w:rsidRPr="008470F7" w:rsidTr="008470F7">
        <w:trPr>
          <w:trHeight w:val="255"/>
        </w:trPr>
        <w:tc>
          <w:tcPr>
            <w:tcW w:w="582" w:type="dxa"/>
            <w:tcBorders>
              <w:top w:val="single" w:sz="4" w:space="0" w:color="auto"/>
            </w:tcBorders>
            <w:shd w:val="clear" w:color="auto" w:fill="auto"/>
            <w:noWrap/>
            <w:vAlign w:val="center"/>
            <w:hideMark/>
          </w:tcPr>
          <w:p w:rsidR="008470F7" w:rsidRPr="008470F7" w:rsidRDefault="008470F7" w:rsidP="00E63A6D">
            <w:pPr>
              <w:keepNext/>
              <w:widowControl/>
              <w:suppressLineNumbers w:val="0"/>
              <w:suppressAutoHyphens w:val="0"/>
              <w:ind w:firstLine="0"/>
              <w:jc w:val="center"/>
              <w:rPr>
                <w:b/>
                <w:sz w:val="20"/>
              </w:rPr>
            </w:pPr>
            <w:r w:rsidRPr="008470F7">
              <w:rPr>
                <w:b/>
                <w:sz w:val="20"/>
              </w:rPr>
              <w:t>FBC</w:t>
            </w:r>
          </w:p>
        </w:tc>
        <w:tc>
          <w:tcPr>
            <w:tcW w:w="1359" w:type="dxa"/>
            <w:tcBorders>
              <w:top w:val="single" w:sz="4" w:space="0" w:color="auto"/>
            </w:tcBorders>
            <w:shd w:val="clear" w:color="auto" w:fill="auto"/>
            <w:noWrap/>
            <w:vAlign w:val="center"/>
            <w:hideMark/>
          </w:tcPr>
          <w:p w:rsidR="008470F7" w:rsidRPr="008470F7" w:rsidRDefault="008470F7" w:rsidP="00E63A6D">
            <w:pPr>
              <w:keepNext/>
              <w:widowControl/>
              <w:suppressLineNumbers w:val="0"/>
              <w:suppressAutoHyphens w:val="0"/>
              <w:ind w:firstLine="0"/>
              <w:jc w:val="center"/>
              <w:rPr>
                <w:b/>
                <w:bCs/>
                <w:sz w:val="20"/>
              </w:rPr>
            </w:pPr>
            <w:r w:rsidRPr="008470F7">
              <w:rPr>
                <w:b/>
                <w:bCs/>
                <w:sz w:val="20"/>
              </w:rPr>
              <w:t>30,00%</w:t>
            </w:r>
          </w:p>
        </w:tc>
        <w:tc>
          <w:tcPr>
            <w:tcW w:w="1443" w:type="dxa"/>
            <w:tcBorders>
              <w:top w:val="single" w:sz="4" w:space="0" w:color="auto"/>
            </w:tcBorders>
            <w:shd w:val="clear" w:color="auto" w:fill="auto"/>
            <w:noWrap/>
            <w:vAlign w:val="center"/>
            <w:hideMark/>
          </w:tcPr>
          <w:p w:rsidR="008470F7" w:rsidRPr="008470F7" w:rsidRDefault="008470F7" w:rsidP="00E63A6D">
            <w:pPr>
              <w:keepNext/>
              <w:widowControl/>
              <w:suppressLineNumbers w:val="0"/>
              <w:suppressAutoHyphens w:val="0"/>
              <w:ind w:firstLine="0"/>
              <w:jc w:val="center"/>
              <w:rPr>
                <w:b/>
                <w:bCs/>
                <w:sz w:val="20"/>
              </w:rPr>
            </w:pPr>
            <w:r w:rsidRPr="008470F7">
              <w:rPr>
                <w:b/>
                <w:bCs/>
                <w:sz w:val="20"/>
              </w:rPr>
              <w:t>54,00%</w:t>
            </w:r>
          </w:p>
        </w:tc>
        <w:tc>
          <w:tcPr>
            <w:tcW w:w="1443" w:type="dxa"/>
            <w:tcBorders>
              <w:top w:val="single" w:sz="4" w:space="0" w:color="auto"/>
              <w:right w:val="single" w:sz="4" w:space="0" w:color="auto"/>
            </w:tcBorders>
            <w:shd w:val="clear" w:color="auto" w:fill="auto"/>
            <w:noWrap/>
            <w:vAlign w:val="center"/>
            <w:hideMark/>
          </w:tcPr>
          <w:p w:rsidR="008470F7" w:rsidRPr="008470F7" w:rsidRDefault="008470F7" w:rsidP="00E63A6D">
            <w:pPr>
              <w:keepNext/>
              <w:widowControl/>
              <w:suppressLineNumbers w:val="0"/>
              <w:suppressAutoHyphens w:val="0"/>
              <w:ind w:firstLine="0"/>
              <w:jc w:val="center"/>
              <w:rPr>
                <w:b/>
                <w:bCs/>
                <w:sz w:val="20"/>
              </w:rPr>
            </w:pPr>
            <w:r w:rsidRPr="008470F7">
              <w:rPr>
                <w:b/>
                <w:bCs/>
                <w:sz w:val="20"/>
              </w:rPr>
              <w:t>16,00%</w:t>
            </w:r>
          </w:p>
        </w:tc>
        <w:tc>
          <w:tcPr>
            <w:tcW w:w="1443" w:type="dxa"/>
            <w:tcBorders>
              <w:top w:val="single" w:sz="4" w:space="0" w:color="auto"/>
              <w:left w:val="single" w:sz="4" w:space="0" w:color="auto"/>
            </w:tcBorders>
            <w:shd w:val="clear" w:color="auto" w:fill="auto"/>
            <w:noWrap/>
            <w:vAlign w:val="center"/>
            <w:hideMark/>
          </w:tcPr>
          <w:p w:rsidR="008470F7" w:rsidRPr="008470F7" w:rsidRDefault="008470F7" w:rsidP="00E63A6D">
            <w:pPr>
              <w:keepNext/>
              <w:widowControl/>
              <w:suppressLineNumbers w:val="0"/>
              <w:suppressAutoHyphens w:val="0"/>
              <w:ind w:firstLine="0"/>
              <w:jc w:val="center"/>
              <w:rPr>
                <w:b/>
                <w:bCs/>
                <w:sz w:val="20"/>
              </w:rPr>
            </w:pPr>
            <w:r w:rsidRPr="008470F7">
              <w:rPr>
                <w:b/>
                <w:bCs/>
                <w:sz w:val="20"/>
              </w:rPr>
              <w:t>30,00%</w:t>
            </w:r>
          </w:p>
        </w:tc>
        <w:tc>
          <w:tcPr>
            <w:tcW w:w="1443" w:type="dxa"/>
            <w:tcBorders>
              <w:top w:val="single" w:sz="4" w:space="0" w:color="auto"/>
            </w:tcBorders>
            <w:shd w:val="clear" w:color="auto" w:fill="auto"/>
            <w:noWrap/>
            <w:vAlign w:val="center"/>
            <w:hideMark/>
          </w:tcPr>
          <w:p w:rsidR="008470F7" w:rsidRPr="008470F7" w:rsidRDefault="008470F7" w:rsidP="00E63A6D">
            <w:pPr>
              <w:keepNext/>
              <w:widowControl/>
              <w:suppressLineNumbers w:val="0"/>
              <w:suppressAutoHyphens w:val="0"/>
              <w:ind w:firstLine="0"/>
              <w:jc w:val="center"/>
              <w:rPr>
                <w:b/>
                <w:bCs/>
                <w:sz w:val="20"/>
              </w:rPr>
            </w:pPr>
            <w:r w:rsidRPr="008470F7">
              <w:rPr>
                <w:b/>
                <w:bCs/>
                <w:sz w:val="20"/>
              </w:rPr>
              <w:t>54,00%</w:t>
            </w:r>
          </w:p>
        </w:tc>
        <w:tc>
          <w:tcPr>
            <w:tcW w:w="1443" w:type="dxa"/>
            <w:tcBorders>
              <w:top w:val="single" w:sz="4" w:space="0" w:color="auto"/>
            </w:tcBorders>
            <w:shd w:val="clear" w:color="auto" w:fill="auto"/>
            <w:noWrap/>
            <w:vAlign w:val="center"/>
            <w:hideMark/>
          </w:tcPr>
          <w:p w:rsidR="008470F7" w:rsidRPr="008470F7" w:rsidRDefault="008470F7" w:rsidP="00E63A6D">
            <w:pPr>
              <w:keepNext/>
              <w:widowControl/>
              <w:suppressLineNumbers w:val="0"/>
              <w:suppressAutoHyphens w:val="0"/>
              <w:ind w:firstLine="0"/>
              <w:jc w:val="center"/>
              <w:rPr>
                <w:b/>
                <w:bCs/>
                <w:sz w:val="20"/>
              </w:rPr>
            </w:pPr>
            <w:r w:rsidRPr="008470F7">
              <w:rPr>
                <w:b/>
                <w:bCs/>
                <w:sz w:val="20"/>
              </w:rPr>
              <w:t>16,00%</w:t>
            </w:r>
          </w:p>
        </w:tc>
      </w:tr>
      <w:tr w:rsidR="008470F7" w:rsidRPr="008470F7" w:rsidTr="008470F7">
        <w:trPr>
          <w:trHeight w:val="255"/>
        </w:trPr>
        <w:tc>
          <w:tcPr>
            <w:tcW w:w="58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w:t>
            </w:r>
          </w:p>
        </w:tc>
        <w:tc>
          <w:tcPr>
            <w:tcW w:w="1359"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38,00%</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48,00%</w:t>
            </w:r>
          </w:p>
        </w:tc>
        <w:tc>
          <w:tcPr>
            <w:tcW w:w="1443"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14,00%</w:t>
            </w:r>
          </w:p>
        </w:tc>
        <w:tc>
          <w:tcPr>
            <w:tcW w:w="1443"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38,00%</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48,00%</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14,00%</w:t>
            </w:r>
          </w:p>
        </w:tc>
      </w:tr>
      <w:tr w:rsidR="008470F7" w:rsidRPr="008470F7" w:rsidTr="008470F7">
        <w:trPr>
          <w:trHeight w:val="255"/>
        </w:trPr>
        <w:tc>
          <w:tcPr>
            <w:tcW w:w="58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w:t>
            </w:r>
          </w:p>
        </w:tc>
        <w:tc>
          <w:tcPr>
            <w:tcW w:w="1359"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36,34%</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58,18%</w:t>
            </w:r>
          </w:p>
        </w:tc>
        <w:tc>
          <w:tcPr>
            <w:tcW w:w="1443"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5,49%</w:t>
            </w:r>
          </w:p>
        </w:tc>
        <w:tc>
          <w:tcPr>
            <w:tcW w:w="1443"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24,07%</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38,53%</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3,63%</w:t>
            </w:r>
          </w:p>
        </w:tc>
      </w:tr>
      <w:tr w:rsidR="008470F7" w:rsidRPr="008470F7" w:rsidTr="008470F7">
        <w:trPr>
          <w:trHeight w:val="255"/>
        </w:trPr>
        <w:tc>
          <w:tcPr>
            <w:tcW w:w="58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w:t>
            </w:r>
          </w:p>
        </w:tc>
        <w:tc>
          <w:tcPr>
            <w:tcW w:w="1359"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31,87%</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43,96%</w:t>
            </w:r>
          </w:p>
        </w:tc>
        <w:tc>
          <w:tcPr>
            <w:tcW w:w="1443"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24,18%</w:t>
            </w:r>
          </w:p>
        </w:tc>
        <w:tc>
          <w:tcPr>
            <w:tcW w:w="1443"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38,67%</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53,33%</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29,33%</w:t>
            </w:r>
          </w:p>
        </w:tc>
      </w:tr>
      <w:tr w:rsidR="008470F7" w:rsidRPr="008470F7" w:rsidTr="008470F7">
        <w:trPr>
          <w:trHeight w:val="255"/>
        </w:trPr>
        <w:tc>
          <w:tcPr>
            <w:tcW w:w="58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w:t>
            </w:r>
          </w:p>
        </w:tc>
        <w:tc>
          <w:tcPr>
            <w:tcW w:w="1359"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30,00%</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48,89%</w:t>
            </w:r>
          </w:p>
        </w:tc>
        <w:tc>
          <w:tcPr>
            <w:tcW w:w="1443"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21,11%</w:t>
            </w:r>
          </w:p>
        </w:tc>
        <w:tc>
          <w:tcPr>
            <w:tcW w:w="1443"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30,00%</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48,89%</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21,11%</w:t>
            </w:r>
          </w:p>
        </w:tc>
      </w:tr>
      <w:tr w:rsidR="008470F7" w:rsidRPr="008470F7" w:rsidTr="008470F7">
        <w:trPr>
          <w:trHeight w:val="255"/>
        </w:trPr>
        <w:tc>
          <w:tcPr>
            <w:tcW w:w="58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5</w:t>
            </w:r>
          </w:p>
        </w:tc>
        <w:tc>
          <w:tcPr>
            <w:tcW w:w="1359"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38,00%</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48,00%</w:t>
            </w:r>
          </w:p>
        </w:tc>
        <w:tc>
          <w:tcPr>
            <w:tcW w:w="1443"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14,00%</w:t>
            </w:r>
          </w:p>
        </w:tc>
        <w:tc>
          <w:tcPr>
            <w:tcW w:w="1443"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38,00%</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48,00%</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14,00%</w:t>
            </w:r>
          </w:p>
        </w:tc>
      </w:tr>
      <w:tr w:rsidR="008470F7" w:rsidRPr="008470F7" w:rsidTr="008470F7">
        <w:trPr>
          <w:trHeight w:val="255"/>
        </w:trPr>
        <w:tc>
          <w:tcPr>
            <w:tcW w:w="58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6</w:t>
            </w:r>
          </w:p>
        </w:tc>
        <w:tc>
          <w:tcPr>
            <w:tcW w:w="1359"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34,21%</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46,05%</w:t>
            </w:r>
          </w:p>
        </w:tc>
        <w:tc>
          <w:tcPr>
            <w:tcW w:w="1443"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19,74%</w:t>
            </w:r>
          </w:p>
        </w:tc>
        <w:tc>
          <w:tcPr>
            <w:tcW w:w="1443"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34,67%</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46,67%</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20,00%</w:t>
            </w:r>
          </w:p>
        </w:tc>
      </w:tr>
      <w:tr w:rsidR="008470F7" w:rsidRPr="008470F7" w:rsidTr="008470F7">
        <w:trPr>
          <w:trHeight w:val="255"/>
        </w:trPr>
        <w:tc>
          <w:tcPr>
            <w:tcW w:w="58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7</w:t>
            </w:r>
          </w:p>
        </w:tc>
        <w:tc>
          <w:tcPr>
            <w:tcW w:w="1359"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30,00%</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50,00%</w:t>
            </w:r>
          </w:p>
        </w:tc>
        <w:tc>
          <w:tcPr>
            <w:tcW w:w="1443"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20,00%</w:t>
            </w:r>
          </w:p>
        </w:tc>
        <w:tc>
          <w:tcPr>
            <w:tcW w:w="1443"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30,00%</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50,00%</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20,00%</w:t>
            </w:r>
          </w:p>
        </w:tc>
      </w:tr>
      <w:tr w:rsidR="008470F7" w:rsidRPr="008470F7" w:rsidTr="008470F7">
        <w:trPr>
          <w:trHeight w:val="255"/>
        </w:trPr>
        <w:tc>
          <w:tcPr>
            <w:tcW w:w="58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8</w:t>
            </w:r>
          </w:p>
        </w:tc>
        <w:tc>
          <w:tcPr>
            <w:tcW w:w="1359"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31,23%</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35,89%</w:t>
            </w:r>
          </w:p>
        </w:tc>
        <w:tc>
          <w:tcPr>
            <w:tcW w:w="1443"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32,88%</w:t>
            </w:r>
          </w:p>
        </w:tc>
        <w:tc>
          <w:tcPr>
            <w:tcW w:w="1443"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31,67%</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36,39%</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33,33%</w:t>
            </w:r>
          </w:p>
        </w:tc>
      </w:tr>
      <w:tr w:rsidR="008470F7" w:rsidRPr="008470F7" w:rsidTr="008470F7">
        <w:trPr>
          <w:trHeight w:val="255"/>
        </w:trPr>
        <w:tc>
          <w:tcPr>
            <w:tcW w:w="58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9</w:t>
            </w:r>
          </w:p>
        </w:tc>
        <w:tc>
          <w:tcPr>
            <w:tcW w:w="1359"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27,44%</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46,75%</w:t>
            </w:r>
          </w:p>
        </w:tc>
        <w:tc>
          <w:tcPr>
            <w:tcW w:w="1443"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25,81%</w:t>
            </w:r>
          </w:p>
        </w:tc>
        <w:tc>
          <w:tcPr>
            <w:tcW w:w="1443"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30,00%</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51,11%</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28,22%</w:t>
            </w:r>
          </w:p>
        </w:tc>
      </w:tr>
      <w:tr w:rsidR="008470F7" w:rsidRPr="008470F7" w:rsidTr="008470F7">
        <w:trPr>
          <w:trHeight w:val="255"/>
        </w:trPr>
        <w:tc>
          <w:tcPr>
            <w:tcW w:w="58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10</w:t>
            </w:r>
          </w:p>
        </w:tc>
        <w:tc>
          <w:tcPr>
            <w:tcW w:w="1359"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28,89%</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53,33%</w:t>
            </w:r>
          </w:p>
        </w:tc>
        <w:tc>
          <w:tcPr>
            <w:tcW w:w="1443"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17,78%</w:t>
            </w:r>
          </w:p>
        </w:tc>
        <w:tc>
          <w:tcPr>
            <w:tcW w:w="1443"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28,89%</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53,33%</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17,78%</w:t>
            </w:r>
          </w:p>
        </w:tc>
      </w:tr>
      <w:tr w:rsidR="008470F7" w:rsidRPr="008470F7" w:rsidTr="008470F7">
        <w:trPr>
          <w:trHeight w:val="255"/>
        </w:trPr>
        <w:tc>
          <w:tcPr>
            <w:tcW w:w="58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11</w:t>
            </w:r>
          </w:p>
        </w:tc>
        <w:tc>
          <w:tcPr>
            <w:tcW w:w="1359"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34,00%</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46,67%</w:t>
            </w:r>
          </w:p>
        </w:tc>
        <w:tc>
          <w:tcPr>
            <w:tcW w:w="1443"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19,33%</w:t>
            </w:r>
          </w:p>
        </w:tc>
        <w:tc>
          <w:tcPr>
            <w:tcW w:w="1443"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34,00%</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46,67%</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19,33%</w:t>
            </w:r>
          </w:p>
        </w:tc>
      </w:tr>
      <w:tr w:rsidR="008470F7" w:rsidRPr="008470F7" w:rsidTr="008470F7">
        <w:trPr>
          <w:trHeight w:val="255"/>
        </w:trPr>
        <w:tc>
          <w:tcPr>
            <w:tcW w:w="58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12</w:t>
            </w:r>
          </w:p>
        </w:tc>
        <w:tc>
          <w:tcPr>
            <w:tcW w:w="1359"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34,52%</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52,38%</w:t>
            </w:r>
          </w:p>
        </w:tc>
        <w:tc>
          <w:tcPr>
            <w:tcW w:w="1443"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13,10%</w:t>
            </w:r>
          </w:p>
        </w:tc>
        <w:tc>
          <w:tcPr>
            <w:tcW w:w="1443"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38,67%</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58,67%</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14,67%</w:t>
            </w:r>
          </w:p>
        </w:tc>
      </w:tr>
      <w:tr w:rsidR="008470F7" w:rsidRPr="008470F7" w:rsidTr="008470F7">
        <w:trPr>
          <w:trHeight w:val="255"/>
        </w:trPr>
        <w:tc>
          <w:tcPr>
            <w:tcW w:w="58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13</w:t>
            </w:r>
          </w:p>
        </w:tc>
        <w:tc>
          <w:tcPr>
            <w:tcW w:w="1359"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37,29%</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47,46%</w:t>
            </w:r>
          </w:p>
        </w:tc>
        <w:tc>
          <w:tcPr>
            <w:tcW w:w="1443"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15,25%</w:t>
            </w:r>
          </w:p>
        </w:tc>
        <w:tc>
          <w:tcPr>
            <w:tcW w:w="1443"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44,00%</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56,00%</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18,00%</w:t>
            </w:r>
          </w:p>
        </w:tc>
      </w:tr>
      <w:tr w:rsidR="008470F7" w:rsidRPr="008470F7" w:rsidTr="008470F7">
        <w:trPr>
          <w:trHeight w:val="255"/>
        </w:trPr>
        <w:tc>
          <w:tcPr>
            <w:tcW w:w="58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14</w:t>
            </w:r>
          </w:p>
        </w:tc>
        <w:tc>
          <w:tcPr>
            <w:tcW w:w="1359"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25,19%</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55,77%</w:t>
            </w:r>
          </w:p>
        </w:tc>
        <w:tc>
          <w:tcPr>
            <w:tcW w:w="1443"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19,05%</w:t>
            </w:r>
          </w:p>
        </w:tc>
        <w:tc>
          <w:tcPr>
            <w:tcW w:w="1443"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26,44%</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58,56%</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20,00%</w:t>
            </w:r>
          </w:p>
        </w:tc>
      </w:tr>
      <w:tr w:rsidR="008470F7" w:rsidRPr="008470F7" w:rsidTr="008470F7">
        <w:trPr>
          <w:trHeight w:val="255"/>
        </w:trPr>
        <w:tc>
          <w:tcPr>
            <w:tcW w:w="58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15</w:t>
            </w:r>
          </w:p>
        </w:tc>
        <w:tc>
          <w:tcPr>
            <w:tcW w:w="1359"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29,00%</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52,00%</w:t>
            </w:r>
          </w:p>
        </w:tc>
        <w:tc>
          <w:tcPr>
            <w:tcW w:w="1443"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19,00%</w:t>
            </w:r>
          </w:p>
        </w:tc>
        <w:tc>
          <w:tcPr>
            <w:tcW w:w="1443"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29,00%</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52,00%</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19,00%</w:t>
            </w:r>
          </w:p>
        </w:tc>
      </w:tr>
      <w:tr w:rsidR="008470F7" w:rsidRPr="008470F7" w:rsidTr="008470F7">
        <w:trPr>
          <w:trHeight w:val="255"/>
        </w:trPr>
        <w:tc>
          <w:tcPr>
            <w:tcW w:w="58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16</w:t>
            </w:r>
          </w:p>
        </w:tc>
        <w:tc>
          <w:tcPr>
            <w:tcW w:w="1359"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36,27%</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45,33%</w:t>
            </w:r>
          </w:p>
        </w:tc>
        <w:tc>
          <w:tcPr>
            <w:tcW w:w="1443"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18,40%</w:t>
            </w:r>
          </w:p>
        </w:tc>
        <w:tc>
          <w:tcPr>
            <w:tcW w:w="1443"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36,27%</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45,33%</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18,40%</w:t>
            </w:r>
          </w:p>
        </w:tc>
      </w:tr>
      <w:tr w:rsidR="008470F7" w:rsidRPr="008470F7" w:rsidTr="008470F7">
        <w:trPr>
          <w:trHeight w:val="255"/>
        </w:trPr>
        <w:tc>
          <w:tcPr>
            <w:tcW w:w="58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17</w:t>
            </w:r>
          </w:p>
        </w:tc>
        <w:tc>
          <w:tcPr>
            <w:tcW w:w="1359"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27,43%</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51,33%</w:t>
            </w:r>
          </w:p>
        </w:tc>
        <w:tc>
          <w:tcPr>
            <w:tcW w:w="1443"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21,23%</w:t>
            </w:r>
          </w:p>
        </w:tc>
        <w:tc>
          <w:tcPr>
            <w:tcW w:w="1443"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27,43%</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51,33%</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21,23%</w:t>
            </w:r>
          </w:p>
        </w:tc>
      </w:tr>
      <w:tr w:rsidR="008470F7" w:rsidRPr="008470F7" w:rsidTr="008470F7">
        <w:trPr>
          <w:trHeight w:val="255"/>
        </w:trPr>
        <w:tc>
          <w:tcPr>
            <w:tcW w:w="58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18</w:t>
            </w:r>
          </w:p>
        </w:tc>
        <w:tc>
          <w:tcPr>
            <w:tcW w:w="1359"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31,64%</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54,24%</w:t>
            </w:r>
          </w:p>
        </w:tc>
        <w:tc>
          <w:tcPr>
            <w:tcW w:w="1443"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14,12%</w:t>
            </w:r>
          </w:p>
        </w:tc>
        <w:tc>
          <w:tcPr>
            <w:tcW w:w="1443"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31,73%</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54,40%</w:t>
            </w:r>
          </w:p>
        </w:tc>
        <w:tc>
          <w:tcPr>
            <w:tcW w:w="1443"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14,17%</w:t>
            </w:r>
          </w:p>
        </w:tc>
      </w:tr>
      <w:tr w:rsidR="008470F7" w:rsidRPr="008470F7" w:rsidTr="008470F7">
        <w:trPr>
          <w:trHeight w:val="270"/>
        </w:trPr>
        <w:tc>
          <w:tcPr>
            <w:tcW w:w="582" w:type="dxa"/>
            <w:tcBorders>
              <w:top w:val="nil"/>
              <w:bottom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19</w:t>
            </w:r>
          </w:p>
        </w:tc>
        <w:tc>
          <w:tcPr>
            <w:tcW w:w="1359" w:type="dxa"/>
            <w:tcBorders>
              <w:top w:val="nil"/>
              <w:bottom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30,60%</w:t>
            </w:r>
          </w:p>
        </w:tc>
        <w:tc>
          <w:tcPr>
            <w:tcW w:w="1443" w:type="dxa"/>
            <w:tcBorders>
              <w:top w:val="nil"/>
              <w:bottom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51,00%</w:t>
            </w:r>
          </w:p>
        </w:tc>
        <w:tc>
          <w:tcPr>
            <w:tcW w:w="1443" w:type="dxa"/>
            <w:tcBorders>
              <w:top w:val="nil"/>
              <w:bottom w:val="single" w:sz="4" w:space="0" w:color="auto"/>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18,40%</w:t>
            </w:r>
          </w:p>
        </w:tc>
        <w:tc>
          <w:tcPr>
            <w:tcW w:w="1443" w:type="dxa"/>
            <w:tcBorders>
              <w:top w:val="nil"/>
              <w:left w:val="single" w:sz="4" w:space="0" w:color="auto"/>
              <w:bottom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30,60%</w:t>
            </w:r>
          </w:p>
        </w:tc>
        <w:tc>
          <w:tcPr>
            <w:tcW w:w="1443" w:type="dxa"/>
            <w:tcBorders>
              <w:top w:val="nil"/>
              <w:bottom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51,00%</w:t>
            </w:r>
          </w:p>
        </w:tc>
        <w:tc>
          <w:tcPr>
            <w:tcW w:w="1443" w:type="dxa"/>
            <w:tcBorders>
              <w:top w:val="nil"/>
              <w:bottom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18,40%</w:t>
            </w:r>
          </w:p>
        </w:tc>
      </w:tr>
      <w:tr w:rsidR="008470F7" w:rsidRPr="008470F7" w:rsidTr="008470F7">
        <w:trPr>
          <w:trHeight w:val="270"/>
        </w:trPr>
        <w:tc>
          <w:tcPr>
            <w:tcW w:w="9156" w:type="dxa"/>
            <w:gridSpan w:val="7"/>
            <w:tcBorders>
              <w:top w:val="single" w:sz="4" w:space="0" w:color="auto"/>
            </w:tcBorders>
            <w:shd w:val="clear" w:color="auto" w:fill="auto"/>
            <w:noWrap/>
            <w:vAlign w:val="center"/>
          </w:tcPr>
          <w:p w:rsidR="008470F7" w:rsidRPr="008470F7" w:rsidRDefault="008470F7" w:rsidP="00E63A6D">
            <w:pPr>
              <w:widowControl/>
              <w:suppressLineNumbers w:val="0"/>
              <w:suppressAutoHyphens w:val="0"/>
              <w:ind w:firstLine="0"/>
              <w:jc w:val="left"/>
              <w:rPr>
                <w:sz w:val="20"/>
              </w:rPr>
            </w:pPr>
            <w:r w:rsidRPr="008470F7">
              <w:rPr>
                <w:sz w:val="20"/>
              </w:rPr>
              <w:t>Fonte: Elaborada pelos autores.</w:t>
            </w:r>
          </w:p>
        </w:tc>
      </w:tr>
    </w:tbl>
    <w:p w:rsidR="00C1412C" w:rsidRPr="008470F7" w:rsidRDefault="00C1412C" w:rsidP="00E63A6D">
      <w:pPr>
        <w:ind w:firstLine="567"/>
        <w:rPr>
          <w:szCs w:val="24"/>
        </w:rPr>
      </w:pPr>
      <w:r w:rsidRPr="008470F7">
        <w:rPr>
          <w:szCs w:val="24"/>
        </w:rPr>
        <w:t xml:space="preserve">As porcentagens da carga horária destinada pelas IES para cada eixo de formação comparada com as porcentagens das diretrizes instituídas pela Resolução CNE/CES 10 estão apresentadas na </w:t>
      </w:r>
      <w:r w:rsidRPr="008470F7">
        <w:rPr>
          <w:szCs w:val="24"/>
        </w:rPr>
        <w:lastRenderedPageBreak/>
        <w:t>Tabela 8. Essa tabela também foi dividida em duas partes, como a Tabela 7. As alterações nas porcentagens apresentadas são resultantes da distribuição das disciplinas optativas que, na Resolução, aparecem como do eixo de formação teórico-prática.</w:t>
      </w:r>
    </w:p>
    <w:p w:rsidR="00C1412C" w:rsidRPr="008470F7" w:rsidRDefault="00C1412C" w:rsidP="00E63A6D">
      <w:pPr>
        <w:ind w:firstLine="567"/>
        <w:rPr>
          <w:szCs w:val="24"/>
        </w:rPr>
      </w:pPr>
    </w:p>
    <w:tbl>
      <w:tblPr>
        <w:tblW w:w="9156" w:type="dxa"/>
        <w:tblInd w:w="55" w:type="dxa"/>
        <w:tblCellMar>
          <w:left w:w="70" w:type="dxa"/>
          <w:right w:w="70" w:type="dxa"/>
        </w:tblCellMar>
        <w:tblLook w:val="04A0" w:firstRow="1" w:lastRow="0" w:firstColumn="1" w:lastColumn="0" w:noHBand="0" w:noVBand="1"/>
      </w:tblPr>
      <w:tblGrid>
        <w:gridCol w:w="582"/>
        <w:gridCol w:w="1364"/>
        <w:gridCol w:w="1442"/>
        <w:gridCol w:w="1442"/>
        <w:gridCol w:w="1442"/>
        <w:gridCol w:w="1442"/>
        <w:gridCol w:w="1442"/>
      </w:tblGrid>
      <w:tr w:rsidR="008470F7" w:rsidRPr="008470F7" w:rsidTr="008470F7">
        <w:trPr>
          <w:trHeight w:val="255"/>
        </w:trPr>
        <w:tc>
          <w:tcPr>
            <w:tcW w:w="9156" w:type="dxa"/>
            <w:gridSpan w:val="7"/>
            <w:tcBorders>
              <w:bottom w:val="single" w:sz="4" w:space="0" w:color="auto"/>
            </w:tcBorders>
            <w:shd w:val="clear" w:color="auto" w:fill="auto"/>
            <w:vAlign w:val="center"/>
          </w:tcPr>
          <w:p w:rsidR="008470F7" w:rsidRPr="008470F7" w:rsidRDefault="0001338F" w:rsidP="00E63A6D">
            <w:pPr>
              <w:widowControl/>
              <w:suppressLineNumbers w:val="0"/>
              <w:suppressAutoHyphens w:val="0"/>
              <w:ind w:firstLine="0"/>
              <w:jc w:val="left"/>
              <w:rPr>
                <w:bCs/>
                <w:sz w:val="20"/>
              </w:rPr>
            </w:pPr>
            <w:r>
              <w:rPr>
                <w:bCs/>
                <w:sz w:val="20"/>
              </w:rPr>
              <w:t xml:space="preserve">Tabela 8. </w:t>
            </w:r>
            <w:r w:rsidR="008470F7" w:rsidRPr="008470F7">
              <w:rPr>
                <w:bCs/>
                <w:sz w:val="20"/>
              </w:rPr>
              <w:t>Porcentagem de carga horária por eixo de formação baseada na Resolução CNE/CES 10</w:t>
            </w:r>
          </w:p>
        </w:tc>
      </w:tr>
      <w:tr w:rsidR="008470F7" w:rsidRPr="008470F7" w:rsidTr="008470F7">
        <w:trPr>
          <w:trHeight w:val="255"/>
        </w:trPr>
        <w:tc>
          <w:tcPr>
            <w:tcW w:w="582" w:type="dxa"/>
            <w:tcBorders>
              <w:right w:val="single" w:sz="4" w:space="0" w:color="auto"/>
            </w:tcBorders>
            <w:shd w:val="clear" w:color="auto" w:fill="auto"/>
            <w:vAlign w:val="center"/>
            <w:hideMark/>
          </w:tcPr>
          <w:p w:rsidR="008470F7" w:rsidRPr="008470F7" w:rsidRDefault="008470F7" w:rsidP="00E63A6D">
            <w:pPr>
              <w:widowControl/>
              <w:suppressLineNumbers w:val="0"/>
              <w:suppressAutoHyphens w:val="0"/>
              <w:ind w:firstLine="0"/>
              <w:jc w:val="center"/>
              <w:rPr>
                <w:b/>
                <w:bCs/>
                <w:sz w:val="20"/>
              </w:rPr>
            </w:pPr>
          </w:p>
        </w:tc>
        <w:tc>
          <w:tcPr>
            <w:tcW w:w="424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b/>
                <w:bCs/>
                <w:sz w:val="20"/>
              </w:rPr>
            </w:pPr>
            <w:r w:rsidRPr="008470F7">
              <w:rPr>
                <w:b/>
                <w:bCs/>
                <w:sz w:val="20"/>
              </w:rPr>
              <w:t>% sobre carga horária total</w:t>
            </w:r>
          </w:p>
        </w:tc>
        <w:tc>
          <w:tcPr>
            <w:tcW w:w="4326" w:type="dxa"/>
            <w:gridSpan w:val="3"/>
            <w:tcBorders>
              <w:top w:val="single" w:sz="4" w:space="0" w:color="auto"/>
              <w:left w:val="single" w:sz="4" w:space="0" w:color="auto"/>
              <w:bottom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b/>
                <w:bCs/>
                <w:sz w:val="20"/>
              </w:rPr>
            </w:pPr>
            <w:r w:rsidRPr="008470F7">
              <w:rPr>
                <w:b/>
                <w:bCs/>
                <w:sz w:val="20"/>
              </w:rPr>
              <w:t>% sobre 3.000 horas</w:t>
            </w:r>
          </w:p>
        </w:tc>
      </w:tr>
      <w:tr w:rsidR="008470F7" w:rsidRPr="008470F7" w:rsidTr="008470F7">
        <w:trPr>
          <w:trHeight w:val="540"/>
        </w:trPr>
        <w:tc>
          <w:tcPr>
            <w:tcW w:w="582" w:type="dxa"/>
            <w:tcBorders>
              <w:bottom w:val="single" w:sz="4" w:space="0" w:color="auto"/>
              <w:right w:val="single" w:sz="4" w:space="0" w:color="auto"/>
            </w:tcBorders>
            <w:shd w:val="clear" w:color="auto" w:fill="auto"/>
            <w:vAlign w:val="center"/>
            <w:hideMark/>
          </w:tcPr>
          <w:p w:rsidR="008470F7" w:rsidRPr="008470F7" w:rsidRDefault="008470F7" w:rsidP="00E63A6D">
            <w:pPr>
              <w:widowControl/>
              <w:suppressLineNumbers w:val="0"/>
              <w:suppressAutoHyphens w:val="0"/>
              <w:ind w:firstLine="0"/>
              <w:jc w:val="center"/>
              <w:rPr>
                <w:b/>
                <w:bCs/>
                <w:sz w:val="20"/>
              </w:rPr>
            </w:pPr>
            <w:r w:rsidRPr="008470F7">
              <w:rPr>
                <w:b/>
                <w:bCs/>
                <w:sz w:val="20"/>
              </w:rPr>
              <w:t>IES</w:t>
            </w:r>
          </w:p>
        </w:tc>
        <w:tc>
          <w:tcPr>
            <w:tcW w:w="1364" w:type="dxa"/>
            <w:tcBorders>
              <w:top w:val="single" w:sz="4" w:space="0" w:color="auto"/>
              <w:left w:val="single" w:sz="4" w:space="0" w:color="auto"/>
              <w:bottom w:val="single" w:sz="4" w:space="0" w:color="auto"/>
            </w:tcBorders>
            <w:shd w:val="clear" w:color="auto" w:fill="auto"/>
            <w:vAlign w:val="center"/>
            <w:hideMark/>
          </w:tcPr>
          <w:p w:rsidR="008470F7" w:rsidRPr="008470F7" w:rsidRDefault="008470F7" w:rsidP="00E63A6D">
            <w:pPr>
              <w:widowControl/>
              <w:suppressLineNumbers w:val="0"/>
              <w:suppressAutoHyphens w:val="0"/>
              <w:ind w:firstLine="0"/>
              <w:jc w:val="center"/>
              <w:rPr>
                <w:b/>
                <w:bCs/>
                <w:sz w:val="20"/>
              </w:rPr>
            </w:pPr>
            <w:r w:rsidRPr="008470F7">
              <w:rPr>
                <w:b/>
                <w:bCs/>
                <w:sz w:val="20"/>
              </w:rPr>
              <w:t>BÁSICA</w:t>
            </w:r>
          </w:p>
        </w:tc>
        <w:tc>
          <w:tcPr>
            <w:tcW w:w="1442" w:type="dxa"/>
            <w:tcBorders>
              <w:top w:val="single" w:sz="4" w:space="0" w:color="auto"/>
              <w:bottom w:val="single" w:sz="4" w:space="0" w:color="auto"/>
            </w:tcBorders>
            <w:shd w:val="clear" w:color="auto" w:fill="auto"/>
            <w:vAlign w:val="center"/>
            <w:hideMark/>
          </w:tcPr>
          <w:p w:rsidR="008470F7" w:rsidRPr="008470F7" w:rsidRDefault="008470F7" w:rsidP="00E63A6D">
            <w:pPr>
              <w:widowControl/>
              <w:suppressLineNumbers w:val="0"/>
              <w:suppressAutoHyphens w:val="0"/>
              <w:ind w:firstLine="0"/>
              <w:jc w:val="center"/>
              <w:rPr>
                <w:b/>
                <w:bCs/>
                <w:sz w:val="20"/>
              </w:rPr>
            </w:pPr>
            <w:r w:rsidRPr="008470F7">
              <w:rPr>
                <w:b/>
                <w:bCs/>
                <w:sz w:val="20"/>
              </w:rPr>
              <w:t>PROFIS-SIONAL</w:t>
            </w:r>
          </w:p>
        </w:tc>
        <w:tc>
          <w:tcPr>
            <w:tcW w:w="1442" w:type="dxa"/>
            <w:tcBorders>
              <w:top w:val="single" w:sz="4" w:space="0" w:color="auto"/>
              <w:bottom w:val="single" w:sz="4" w:space="0" w:color="auto"/>
              <w:right w:val="single" w:sz="4" w:space="0" w:color="auto"/>
            </w:tcBorders>
            <w:shd w:val="clear" w:color="auto" w:fill="auto"/>
            <w:vAlign w:val="center"/>
            <w:hideMark/>
          </w:tcPr>
          <w:p w:rsidR="008470F7" w:rsidRPr="008470F7" w:rsidRDefault="008470F7" w:rsidP="00E63A6D">
            <w:pPr>
              <w:widowControl/>
              <w:suppressLineNumbers w:val="0"/>
              <w:suppressAutoHyphens w:val="0"/>
              <w:ind w:firstLine="0"/>
              <w:jc w:val="center"/>
              <w:rPr>
                <w:b/>
                <w:bCs/>
                <w:sz w:val="20"/>
              </w:rPr>
            </w:pPr>
            <w:r w:rsidRPr="008470F7">
              <w:rPr>
                <w:b/>
                <w:bCs/>
                <w:sz w:val="20"/>
              </w:rPr>
              <w:t>TEÓRICO- PRÁTICA</w:t>
            </w:r>
          </w:p>
        </w:tc>
        <w:tc>
          <w:tcPr>
            <w:tcW w:w="1442" w:type="dxa"/>
            <w:tcBorders>
              <w:top w:val="single" w:sz="4" w:space="0" w:color="auto"/>
              <w:left w:val="single" w:sz="4" w:space="0" w:color="auto"/>
              <w:bottom w:val="single" w:sz="4" w:space="0" w:color="auto"/>
            </w:tcBorders>
            <w:shd w:val="clear" w:color="auto" w:fill="auto"/>
            <w:vAlign w:val="center"/>
            <w:hideMark/>
          </w:tcPr>
          <w:p w:rsidR="008470F7" w:rsidRPr="008470F7" w:rsidRDefault="008470F7" w:rsidP="00E63A6D">
            <w:pPr>
              <w:widowControl/>
              <w:suppressLineNumbers w:val="0"/>
              <w:suppressAutoHyphens w:val="0"/>
              <w:ind w:firstLine="0"/>
              <w:jc w:val="center"/>
              <w:rPr>
                <w:b/>
                <w:bCs/>
                <w:sz w:val="20"/>
              </w:rPr>
            </w:pPr>
            <w:r w:rsidRPr="008470F7">
              <w:rPr>
                <w:b/>
                <w:bCs/>
                <w:sz w:val="20"/>
              </w:rPr>
              <w:t>BÁSICA</w:t>
            </w:r>
          </w:p>
        </w:tc>
        <w:tc>
          <w:tcPr>
            <w:tcW w:w="1442" w:type="dxa"/>
            <w:tcBorders>
              <w:top w:val="single" w:sz="4" w:space="0" w:color="auto"/>
              <w:bottom w:val="single" w:sz="4" w:space="0" w:color="auto"/>
            </w:tcBorders>
            <w:shd w:val="clear" w:color="auto" w:fill="auto"/>
            <w:vAlign w:val="center"/>
            <w:hideMark/>
          </w:tcPr>
          <w:p w:rsidR="008470F7" w:rsidRPr="008470F7" w:rsidRDefault="008470F7" w:rsidP="00E63A6D">
            <w:pPr>
              <w:widowControl/>
              <w:suppressLineNumbers w:val="0"/>
              <w:suppressAutoHyphens w:val="0"/>
              <w:ind w:firstLine="0"/>
              <w:jc w:val="center"/>
              <w:rPr>
                <w:b/>
                <w:bCs/>
                <w:sz w:val="20"/>
              </w:rPr>
            </w:pPr>
            <w:r w:rsidRPr="008470F7">
              <w:rPr>
                <w:b/>
                <w:bCs/>
                <w:sz w:val="20"/>
              </w:rPr>
              <w:t>PROFIS-SIONAL</w:t>
            </w:r>
          </w:p>
        </w:tc>
        <w:tc>
          <w:tcPr>
            <w:tcW w:w="1442" w:type="dxa"/>
            <w:tcBorders>
              <w:top w:val="single" w:sz="4" w:space="0" w:color="auto"/>
              <w:bottom w:val="single" w:sz="4" w:space="0" w:color="auto"/>
            </w:tcBorders>
            <w:shd w:val="clear" w:color="auto" w:fill="auto"/>
            <w:vAlign w:val="center"/>
            <w:hideMark/>
          </w:tcPr>
          <w:p w:rsidR="008470F7" w:rsidRPr="008470F7" w:rsidRDefault="008470F7" w:rsidP="00E63A6D">
            <w:pPr>
              <w:widowControl/>
              <w:suppressLineNumbers w:val="0"/>
              <w:suppressAutoHyphens w:val="0"/>
              <w:ind w:firstLine="0"/>
              <w:jc w:val="center"/>
              <w:rPr>
                <w:b/>
                <w:bCs/>
                <w:sz w:val="20"/>
              </w:rPr>
            </w:pPr>
            <w:r w:rsidRPr="008470F7">
              <w:rPr>
                <w:b/>
                <w:bCs/>
                <w:sz w:val="20"/>
              </w:rPr>
              <w:t>TEÓRICO- PRÁTICA</w:t>
            </w:r>
          </w:p>
        </w:tc>
      </w:tr>
      <w:tr w:rsidR="008470F7" w:rsidRPr="008470F7" w:rsidTr="008470F7">
        <w:trPr>
          <w:trHeight w:val="255"/>
        </w:trPr>
        <w:tc>
          <w:tcPr>
            <w:tcW w:w="582" w:type="dxa"/>
            <w:tcBorders>
              <w:top w:val="single" w:sz="4" w:space="0" w:color="auto"/>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left"/>
              <w:rPr>
                <w:b/>
                <w:sz w:val="20"/>
              </w:rPr>
            </w:pPr>
            <w:r w:rsidRPr="008470F7">
              <w:rPr>
                <w:b/>
                <w:sz w:val="20"/>
              </w:rPr>
              <w:t>CNE</w:t>
            </w:r>
          </w:p>
        </w:tc>
        <w:tc>
          <w:tcPr>
            <w:tcW w:w="1364" w:type="dxa"/>
            <w:tcBorders>
              <w:top w:val="single" w:sz="4" w:space="0" w:color="auto"/>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b/>
                <w:bCs/>
                <w:sz w:val="20"/>
              </w:rPr>
            </w:pPr>
            <w:r w:rsidRPr="008470F7">
              <w:rPr>
                <w:b/>
                <w:bCs/>
                <w:sz w:val="20"/>
              </w:rPr>
              <w:t>30,00%</w:t>
            </w:r>
          </w:p>
        </w:tc>
        <w:tc>
          <w:tcPr>
            <w:tcW w:w="1442" w:type="dxa"/>
            <w:tcBorders>
              <w:top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b/>
                <w:bCs/>
                <w:sz w:val="20"/>
              </w:rPr>
            </w:pPr>
            <w:r w:rsidRPr="008470F7">
              <w:rPr>
                <w:b/>
                <w:bCs/>
                <w:sz w:val="20"/>
              </w:rPr>
              <w:t>46,00%</w:t>
            </w:r>
          </w:p>
        </w:tc>
        <w:tc>
          <w:tcPr>
            <w:tcW w:w="1442" w:type="dxa"/>
            <w:tcBorders>
              <w:top w:val="single" w:sz="4" w:space="0" w:color="auto"/>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b/>
                <w:bCs/>
                <w:sz w:val="20"/>
              </w:rPr>
            </w:pPr>
            <w:r w:rsidRPr="008470F7">
              <w:rPr>
                <w:b/>
                <w:bCs/>
                <w:sz w:val="20"/>
              </w:rPr>
              <w:t>24,00%</w:t>
            </w:r>
          </w:p>
        </w:tc>
        <w:tc>
          <w:tcPr>
            <w:tcW w:w="1442" w:type="dxa"/>
            <w:tcBorders>
              <w:top w:val="single" w:sz="4" w:space="0" w:color="auto"/>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b/>
                <w:bCs/>
                <w:sz w:val="20"/>
              </w:rPr>
            </w:pPr>
            <w:r w:rsidRPr="008470F7">
              <w:rPr>
                <w:b/>
                <w:bCs/>
                <w:sz w:val="20"/>
              </w:rPr>
              <w:t>30,00%</w:t>
            </w:r>
          </w:p>
        </w:tc>
        <w:tc>
          <w:tcPr>
            <w:tcW w:w="1442" w:type="dxa"/>
            <w:tcBorders>
              <w:top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b/>
                <w:bCs/>
                <w:sz w:val="20"/>
              </w:rPr>
            </w:pPr>
            <w:r w:rsidRPr="008470F7">
              <w:rPr>
                <w:b/>
                <w:bCs/>
                <w:sz w:val="20"/>
              </w:rPr>
              <w:t>46,00%</w:t>
            </w:r>
          </w:p>
        </w:tc>
        <w:tc>
          <w:tcPr>
            <w:tcW w:w="1442" w:type="dxa"/>
            <w:tcBorders>
              <w:top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b/>
                <w:bCs/>
                <w:sz w:val="20"/>
              </w:rPr>
            </w:pPr>
            <w:r w:rsidRPr="008470F7">
              <w:rPr>
                <w:b/>
                <w:bCs/>
                <w:sz w:val="20"/>
              </w:rPr>
              <w:t>24,00%</w:t>
            </w:r>
          </w:p>
        </w:tc>
      </w:tr>
      <w:tr w:rsidR="008470F7" w:rsidRPr="008470F7" w:rsidTr="008470F7">
        <w:trPr>
          <w:trHeight w:val="255"/>
        </w:trPr>
        <w:tc>
          <w:tcPr>
            <w:tcW w:w="58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w:t>
            </w:r>
          </w:p>
        </w:tc>
        <w:tc>
          <w:tcPr>
            <w:tcW w:w="1364"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38,00%</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46,00%</w:t>
            </w:r>
          </w:p>
        </w:tc>
        <w:tc>
          <w:tcPr>
            <w:tcW w:w="144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16,00%</w:t>
            </w:r>
          </w:p>
        </w:tc>
        <w:tc>
          <w:tcPr>
            <w:tcW w:w="1442"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38,00%</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46,00%</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16,00%</w:t>
            </w:r>
          </w:p>
        </w:tc>
      </w:tr>
      <w:tr w:rsidR="008470F7" w:rsidRPr="008470F7" w:rsidTr="008470F7">
        <w:trPr>
          <w:trHeight w:val="255"/>
        </w:trPr>
        <w:tc>
          <w:tcPr>
            <w:tcW w:w="58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w:t>
            </w:r>
          </w:p>
        </w:tc>
        <w:tc>
          <w:tcPr>
            <w:tcW w:w="1364"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36,34%</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56,37%</w:t>
            </w:r>
          </w:p>
        </w:tc>
        <w:tc>
          <w:tcPr>
            <w:tcW w:w="144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7,30%</w:t>
            </w:r>
          </w:p>
        </w:tc>
        <w:tc>
          <w:tcPr>
            <w:tcW w:w="1442"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24,07%</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37,33%</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4,83%</w:t>
            </w:r>
          </w:p>
        </w:tc>
      </w:tr>
      <w:tr w:rsidR="008470F7" w:rsidRPr="008470F7" w:rsidTr="008470F7">
        <w:trPr>
          <w:trHeight w:val="255"/>
        </w:trPr>
        <w:tc>
          <w:tcPr>
            <w:tcW w:w="58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w:t>
            </w:r>
          </w:p>
        </w:tc>
        <w:tc>
          <w:tcPr>
            <w:tcW w:w="1364"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30,77%</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43,96%</w:t>
            </w:r>
          </w:p>
        </w:tc>
        <w:tc>
          <w:tcPr>
            <w:tcW w:w="144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25,27%</w:t>
            </w:r>
          </w:p>
        </w:tc>
        <w:tc>
          <w:tcPr>
            <w:tcW w:w="1442"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37,33%</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53,33%</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30,67%</w:t>
            </w:r>
          </w:p>
        </w:tc>
      </w:tr>
      <w:tr w:rsidR="008470F7" w:rsidRPr="008470F7" w:rsidTr="008470F7">
        <w:trPr>
          <w:trHeight w:val="255"/>
        </w:trPr>
        <w:tc>
          <w:tcPr>
            <w:tcW w:w="58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w:t>
            </w:r>
          </w:p>
        </w:tc>
        <w:tc>
          <w:tcPr>
            <w:tcW w:w="1364"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34,44%</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42,22%</w:t>
            </w:r>
          </w:p>
        </w:tc>
        <w:tc>
          <w:tcPr>
            <w:tcW w:w="144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23,33%</w:t>
            </w:r>
          </w:p>
        </w:tc>
        <w:tc>
          <w:tcPr>
            <w:tcW w:w="1442"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34,44%</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42,22%</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23,33%</w:t>
            </w:r>
          </w:p>
        </w:tc>
      </w:tr>
      <w:tr w:rsidR="008470F7" w:rsidRPr="008470F7" w:rsidTr="008470F7">
        <w:trPr>
          <w:trHeight w:val="255"/>
        </w:trPr>
        <w:tc>
          <w:tcPr>
            <w:tcW w:w="58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5</w:t>
            </w:r>
          </w:p>
        </w:tc>
        <w:tc>
          <w:tcPr>
            <w:tcW w:w="1364"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38,00%</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46,00%</w:t>
            </w:r>
          </w:p>
        </w:tc>
        <w:tc>
          <w:tcPr>
            <w:tcW w:w="144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16,00%</w:t>
            </w:r>
          </w:p>
        </w:tc>
        <w:tc>
          <w:tcPr>
            <w:tcW w:w="1442"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38,00%</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46,00%</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16,00%</w:t>
            </w:r>
          </w:p>
        </w:tc>
      </w:tr>
      <w:tr w:rsidR="008470F7" w:rsidRPr="008470F7" w:rsidTr="008470F7">
        <w:trPr>
          <w:trHeight w:val="255"/>
        </w:trPr>
        <w:tc>
          <w:tcPr>
            <w:tcW w:w="58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6</w:t>
            </w:r>
          </w:p>
        </w:tc>
        <w:tc>
          <w:tcPr>
            <w:tcW w:w="1364"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32,47%</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45,45%</w:t>
            </w:r>
          </w:p>
        </w:tc>
        <w:tc>
          <w:tcPr>
            <w:tcW w:w="144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22,08%</w:t>
            </w:r>
          </w:p>
        </w:tc>
        <w:tc>
          <w:tcPr>
            <w:tcW w:w="1442"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33,33%</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46,67%</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22,67%</w:t>
            </w:r>
          </w:p>
        </w:tc>
      </w:tr>
      <w:tr w:rsidR="008470F7" w:rsidRPr="008470F7" w:rsidTr="008470F7">
        <w:trPr>
          <w:trHeight w:val="255"/>
        </w:trPr>
        <w:tc>
          <w:tcPr>
            <w:tcW w:w="58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7</w:t>
            </w:r>
          </w:p>
        </w:tc>
        <w:tc>
          <w:tcPr>
            <w:tcW w:w="1364"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30,00%</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47,78%</w:t>
            </w:r>
          </w:p>
        </w:tc>
        <w:tc>
          <w:tcPr>
            <w:tcW w:w="144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22,22%</w:t>
            </w:r>
          </w:p>
        </w:tc>
        <w:tc>
          <w:tcPr>
            <w:tcW w:w="1442"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30,00%</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47,78%</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22,22%</w:t>
            </w:r>
          </w:p>
        </w:tc>
      </w:tr>
      <w:tr w:rsidR="008470F7" w:rsidRPr="008470F7" w:rsidTr="008470F7">
        <w:trPr>
          <w:trHeight w:val="255"/>
        </w:trPr>
        <w:tc>
          <w:tcPr>
            <w:tcW w:w="58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8</w:t>
            </w:r>
          </w:p>
        </w:tc>
        <w:tc>
          <w:tcPr>
            <w:tcW w:w="1364"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29,04%</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35,89%</w:t>
            </w:r>
          </w:p>
        </w:tc>
        <w:tc>
          <w:tcPr>
            <w:tcW w:w="144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35,07%</w:t>
            </w:r>
          </w:p>
        </w:tc>
        <w:tc>
          <w:tcPr>
            <w:tcW w:w="1442"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29,44%</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36,39%</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35,56%</w:t>
            </w:r>
          </w:p>
        </w:tc>
      </w:tr>
      <w:tr w:rsidR="008470F7" w:rsidRPr="008470F7" w:rsidTr="008470F7">
        <w:trPr>
          <w:trHeight w:val="255"/>
        </w:trPr>
        <w:tc>
          <w:tcPr>
            <w:tcW w:w="58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9</w:t>
            </w:r>
          </w:p>
        </w:tc>
        <w:tc>
          <w:tcPr>
            <w:tcW w:w="1364"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28,46%</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41,67%</w:t>
            </w:r>
          </w:p>
        </w:tc>
        <w:tc>
          <w:tcPr>
            <w:tcW w:w="144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29,88%</w:t>
            </w:r>
          </w:p>
        </w:tc>
        <w:tc>
          <w:tcPr>
            <w:tcW w:w="1442"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31,11%</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45,56%</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32,67%</w:t>
            </w:r>
          </w:p>
        </w:tc>
      </w:tr>
      <w:tr w:rsidR="008470F7" w:rsidRPr="008470F7" w:rsidTr="008470F7">
        <w:trPr>
          <w:trHeight w:val="255"/>
        </w:trPr>
        <w:tc>
          <w:tcPr>
            <w:tcW w:w="58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10</w:t>
            </w:r>
          </w:p>
        </w:tc>
        <w:tc>
          <w:tcPr>
            <w:tcW w:w="1364"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28,89%</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53,33%</w:t>
            </w:r>
          </w:p>
        </w:tc>
        <w:tc>
          <w:tcPr>
            <w:tcW w:w="144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17,78%</w:t>
            </w:r>
          </w:p>
        </w:tc>
        <w:tc>
          <w:tcPr>
            <w:tcW w:w="1442"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28,89%</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53,33%</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17,78%</w:t>
            </w:r>
          </w:p>
        </w:tc>
      </w:tr>
      <w:tr w:rsidR="008470F7" w:rsidRPr="008470F7" w:rsidTr="008470F7">
        <w:trPr>
          <w:trHeight w:val="255"/>
        </w:trPr>
        <w:tc>
          <w:tcPr>
            <w:tcW w:w="58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11</w:t>
            </w:r>
          </w:p>
        </w:tc>
        <w:tc>
          <w:tcPr>
            <w:tcW w:w="1364"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34,00%</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44,67%</w:t>
            </w:r>
          </w:p>
        </w:tc>
        <w:tc>
          <w:tcPr>
            <w:tcW w:w="144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21,33%</w:t>
            </w:r>
          </w:p>
        </w:tc>
        <w:tc>
          <w:tcPr>
            <w:tcW w:w="1442"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34,00%</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44,67%</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21,33%</w:t>
            </w:r>
          </w:p>
        </w:tc>
      </w:tr>
      <w:tr w:rsidR="008470F7" w:rsidRPr="008470F7" w:rsidTr="008470F7">
        <w:trPr>
          <w:trHeight w:val="255"/>
        </w:trPr>
        <w:tc>
          <w:tcPr>
            <w:tcW w:w="58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12</w:t>
            </w:r>
          </w:p>
        </w:tc>
        <w:tc>
          <w:tcPr>
            <w:tcW w:w="1364"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34,52%</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52,38%</w:t>
            </w:r>
          </w:p>
        </w:tc>
        <w:tc>
          <w:tcPr>
            <w:tcW w:w="144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13,10%</w:t>
            </w:r>
          </w:p>
        </w:tc>
        <w:tc>
          <w:tcPr>
            <w:tcW w:w="1442"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38,67%</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58,67%</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14,67%</w:t>
            </w:r>
          </w:p>
        </w:tc>
      </w:tr>
      <w:tr w:rsidR="008470F7" w:rsidRPr="008470F7" w:rsidTr="008470F7">
        <w:trPr>
          <w:trHeight w:val="255"/>
        </w:trPr>
        <w:tc>
          <w:tcPr>
            <w:tcW w:w="58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13</w:t>
            </w:r>
          </w:p>
        </w:tc>
        <w:tc>
          <w:tcPr>
            <w:tcW w:w="1364"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35,03%</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47,46%</w:t>
            </w:r>
          </w:p>
        </w:tc>
        <w:tc>
          <w:tcPr>
            <w:tcW w:w="144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17,51%</w:t>
            </w:r>
          </w:p>
        </w:tc>
        <w:tc>
          <w:tcPr>
            <w:tcW w:w="1442"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41,33%</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56,00%</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20,67%</w:t>
            </w:r>
          </w:p>
        </w:tc>
      </w:tr>
      <w:tr w:rsidR="008470F7" w:rsidRPr="008470F7" w:rsidTr="008470F7">
        <w:trPr>
          <w:trHeight w:val="255"/>
        </w:trPr>
        <w:tc>
          <w:tcPr>
            <w:tcW w:w="58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14</w:t>
            </w:r>
          </w:p>
        </w:tc>
        <w:tc>
          <w:tcPr>
            <w:tcW w:w="1364"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25,19%</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52,17%</w:t>
            </w:r>
          </w:p>
        </w:tc>
        <w:tc>
          <w:tcPr>
            <w:tcW w:w="144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22,65%</w:t>
            </w:r>
          </w:p>
        </w:tc>
        <w:tc>
          <w:tcPr>
            <w:tcW w:w="1442"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26,44%</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54,78%</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23,78%</w:t>
            </w:r>
          </w:p>
        </w:tc>
      </w:tr>
      <w:tr w:rsidR="008470F7" w:rsidRPr="008470F7" w:rsidTr="008470F7">
        <w:trPr>
          <w:trHeight w:val="255"/>
        </w:trPr>
        <w:tc>
          <w:tcPr>
            <w:tcW w:w="58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15</w:t>
            </w:r>
          </w:p>
        </w:tc>
        <w:tc>
          <w:tcPr>
            <w:tcW w:w="1364"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29,00%</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42,00%</w:t>
            </w:r>
          </w:p>
        </w:tc>
        <w:tc>
          <w:tcPr>
            <w:tcW w:w="144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29,00%</w:t>
            </w:r>
          </w:p>
        </w:tc>
        <w:tc>
          <w:tcPr>
            <w:tcW w:w="1442"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29,00%</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42,00%</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29,00%</w:t>
            </w:r>
          </w:p>
        </w:tc>
      </w:tr>
      <w:tr w:rsidR="008470F7" w:rsidRPr="008470F7" w:rsidTr="008470F7">
        <w:trPr>
          <w:trHeight w:val="255"/>
        </w:trPr>
        <w:tc>
          <w:tcPr>
            <w:tcW w:w="58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16</w:t>
            </w:r>
          </w:p>
        </w:tc>
        <w:tc>
          <w:tcPr>
            <w:tcW w:w="1364"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36,27%</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31,73%</w:t>
            </w:r>
          </w:p>
        </w:tc>
        <w:tc>
          <w:tcPr>
            <w:tcW w:w="144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32,00%</w:t>
            </w:r>
          </w:p>
        </w:tc>
        <w:tc>
          <w:tcPr>
            <w:tcW w:w="1442"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36,27%</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31,73%</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32,00%</w:t>
            </w:r>
          </w:p>
        </w:tc>
      </w:tr>
      <w:tr w:rsidR="008470F7" w:rsidRPr="008470F7" w:rsidTr="008470F7">
        <w:trPr>
          <w:trHeight w:val="255"/>
        </w:trPr>
        <w:tc>
          <w:tcPr>
            <w:tcW w:w="58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17</w:t>
            </w:r>
          </w:p>
        </w:tc>
        <w:tc>
          <w:tcPr>
            <w:tcW w:w="1364"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27,43%</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44,20%</w:t>
            </w:r>
          </w:p>
        </w:tc>
        <w:tc>
          <w:tcPr>
            <w:tcW w:w="144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28,37%</w:t>
            </w:r>
          </w:p>
        </w:tc>
        <w:tc>
          <w:tcPr>
            <w:tcW w:w="1442"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27,43%</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44,20%</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28,37%</w:t>
            </w:r>
          </w:p>
        </w:tc>
      </w:tr>
      <w:tr w:rsidR="008470F7" w:rsidRPr="008470F7" w:rsidTr="008470F7">
        <w:trPr>
          <w:trHeight w:val="255"/>
        </w:trPr>
        <w:tc>
          <w:tcPr>
            <w:tcW w:w="58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18</w:t>
            </w:r>
          </w:p>
        </w:tc>
        <w:tc>
          <w:tcPr>
            <w:tcW w:w="1364"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31,64%</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44,07%</w:t>
            </w:r>
          </w:p>
        </w:tc>
        <w:tc>
          <w:tcPr>
            <w:tcW w:w="1442" w:type="dxa"/>
            <w:tcBorders>
              <w:top w:val="nil"/>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24,29%</w:t>
            </w:r>
          </w:p>
        </w:tc>
        <w:tc>
          <w:tcPr>
            <w:tcW w:w="1442" w:type="dxa"/>
            <w:tcBorders>
              <w:top w:val="nil"/>
              <w:lef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31,73%</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44,20%</w:t>
            </w:r>
          </w:p>
        </w:tc>
        <w:tc>
          <w:tcPr>
            <w:tcW w:w="1442" w:type="dxa"/>
            <w:tcBorders>
              <w:top w:val="nil"/>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24,37%</w:t>
            </w:r>
          </w:p>
        </w:tc>
      </w:tr>
      <w:tr w:rsidR="008470F7" w:rsidRPr="008470F7" w:rsidTr="008470F7">
        <w:trPr>
          <w:trHeight w:val="270"/>
        </w:trPr>
        <w:tc>
          <w:tcPr>
            <w:tcW w:w="582" w:type="dxa"/>
            <w:tcBorders>
              <w:top w:val="nil"/>
              <w:bottom w:val="single" w:sz="4" w:space="0" w:color="auto"/>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19</w:t>
            </w:r>
          </w:p>
        </w:tc>
        <w:tc>
          <w:tcPr>
            <w:tcW w:w="1364" w:type="dxa"/>
            <w:tcBorders>
              <w:top w:val="nil"/>
              <w:left w:val="single" w:sz="4" w:space="0" w:color="auto"/>
              <w:bottom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30,60%</w:t>
            </w:r>
          </w:p>
        </w:tc>
        <w:tc>
          <w:tcPr>
            <w:tcW w:w="1442" w:type="dxa"/>
            <w:tcBorders>
              <w:top w:val="nil"/>
              <w:bottom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45,33%</w:t>
            </w:r>
          </w:p>
        </w:tc>
        <w:tc>
          <w:tcPr>
            <w:tcW w:w="1442" w:type="dxa"/>
            <w:tcBorders>
              <w:top w:val="nil"/>
              <w:bottom w:val="single" w:sz="4" w:space="0" w:color="auto"/>
              <w:right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24,07%</w:t>
            </w:r>
          </w:p>
        </w:tc>
        <w:tc>
          <w:tcPr>
            <w:tcW w:w="1442" w:type="dxa"/>
            <w:tcBorders>
              <w:top w:val="nil"/>
              <w:left w:val="single" w:sz="4" w:space="0" w:color="auto"/>
              <w:bottom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30,60%</w:t>
            </w:r>
          </w:p>
        </w:tc>
        <w:tc>
          <w:tcPr>
            <w:tcW w:w="1442" w:type="dxa"/>
            <w:tcBorders>
              <w:top w:val="nil"/>
              <w:bottom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45,33%</w:t>
            </w:r>
          </w:p>
        </w:tc>
        <w:tc>
          <w:tcPr>
            <w:tcW w:w="1442" w:type="dxa"/>
            <w:tcBorders>
              <w:top w:val="nil"/>
              <w:bottom w:val="single" w:sz="4" w:space="0" w:color="auto"/>
            </w:tcBorders>
            <w:shd w:val="clear" w:color="auto" w:fill="auto"/>
            <w:noWrap/>
            <w:vAlign w:val="center"/>
            <w:hideMark/>
          </w:tcPr>
          <w:p w:rsidR="008470F7" w:rsidRPr="008470F7" w:rsidRDefault="008470F7" w:rsidP="00E63A6D">
            <w:pPr>
              <w:widowControl/>
              <w:suppressLineNumbers w:val="0"/>
              <w:suppressAutoHyphens w:val="0"/>
              <w:ind w:firstLine="0"/>
              <w:jc w:val="center"/>
              <w:rPr>
                <w:sz w:val="20"/>
              </w:rPr>
            </w:pPr>
            <w:r w:rsidRPr="008470F7">
              <w:rPr>
                <w:sz w:val="20"/>
              </w:rPr>
              <w:t>24,07%</w:t>
            </w:r>
          </w:p>
        </w:tc>
      </w:tr>
      <w:tr w:rsidR="008470F7" w:rsidRPr="008470F7" w:rsidTr="008470F7">
        <w:trPr>
          <w:trHeight w:val="270"/>
        </w:trPr>
        <w:tc>
          <w:tcPr>
            <w:tcW w:w="9156" w:type="dxa"/>
            <w:gridSpan w:val="7"/>
            <w:tcBorders>
              <w:top w:val="single" w:sz="4" w:space="0" w:color="auto"/>
            </w:tcBorders>
            <w:shd w:val="clear" w:color="auto" w:fill="auto"/>
            <w:noWrap/>
            <w:vAlign w:val="center"/>
          </w:tcPr>
          <w:p w:rsidR="008470F7" w:rsidRPr="008470F7" w:rsidRDefault="008470F7" w:rsidP="00E63A6D">
            <w:pPr>
              <w:widowControl/>
              <w:suppressLineNumbers w:val="0"/>
              <w:suppressAutoHyphens w:val="0"/>
              <w:ind w:firstLine="0"/>
              <w:jc w:val="left"/>
              <w:rPr>
                <w:sz w:val="20"/>
              </w:rPr>
            </w:pPr>
            <w:r w:rsidRPr="008470F7">
              <w:rPr>
                <w:sz w:val="20"/>
              </w:rPr>
              <w:t>Fonte: Elaborada pelos autores.</w:t>
            </w:r>
          </w:p>
        </w:tc>
      </w:tr>
    </w:tbl>
    <w:p w:rsidR="00C1412C" w:rsidRPr="008470F7" w:rsidRDefault="00C1412C" w:rsidP="00E63A6D">
      <w:pPr>
        <w:ind w:firstLine="567"/>
        <w:rPr>
          <w:szCs w:val="24"/>
        </w:rPr>
      </w:pPr>
      <w:r w:rsidRPr="008470F7">
        <w:rPr>
          <w:szCs w:val="24"/>
        </w:rPr>
        <w:t>Nota-se na Tabela 8, baseada na porcentagem sobre 3.000 horas apresentadas como carga horária mínima no curso de Ciências Contábeis na Resolução CES/CNE nº 2 de 2007 e na divisão por eixo apresentada na Resolução CES/CNE nº 10 de 2004, que apenas a IES 3 supera todas as porcentagens previstas na resolução por ter uma carga horária total do curso de 3.640 horas. As IES 9 e 19 chegam próximas ao proposto, apresentando diferença percentual de menos de 1% em algum dos três eixos de formação. Novamente as informações apresentadas pela IES 2 destoam das demais pelo motivo exposto anteriormente.</w:t>
      </w:r>
    </w:p>
    <w:p w:rsidR="00C1412C" w:rsidRPr="008470F7" w:rsidRDefault="00C1412C" w:rsidP="00E63A6D">
      <w:pPr>
        <w:rPr>
          <w:b/>
          <w:szCs w:val="24"/>
        </w:rPr>
      </w:pPr>
    </w:p>
    <w:p w:rsidR="00C1412C" w:rsidRPr="008470F7" w:rsidRDefault="00C1412C" w:rsidP="00E63A6D">
      <w:pPr>
        <w:ind w:firstLine="0"/>
        <w:rPr>
          <w:b/>
          <w:szCs w:val="24"/>
        </w:rPr>
      </w:pPr>
      <w:r w:rsidRPr="008470F7">
        <w:rPr>
          <w:b/>
          <w:szCs w:val="24"/>
        </w:rPr>
        <w:t>5 Considerações Finais</w:t>
      </w:r>
    </w:p>
    <w:p w:rsidR="00C1412C" w:rsidRPr="008470F7" w:rsidRDefault="00A37CFD" w:rsidP="00E63A6D">
      <w:pPr>
        <w:ind w:firstLine="567"/>
        <w:rPr>
          <w:szCs w:val="24"/>
        </w:rPr>
      </w:pPr>
      <w:r>
        <w:rPr>
          <w:szCs w:val="24"/>
        </w:rPr>
        <w:t>E</w:t>
      </w:r>
      <w:r w:rsidR="00C1412C" w:rsidRPr="008470F7">
        <w:rPr>
          <w:szCs w:val="24"/>
        </w:rPr>
        <w:t>ste trabalho se propôs analisar se a estrutura curricular dos cursos de ciências contábeis ofertados pelas IES do estado do Mato Grosso do Sul atende as exigências estabelecidas pelo MEC, bem como realizar uma comparação com as estruturas propostas pela FBC e ISAR.</w:t>
      </w:r>
    </w:p>
    <w:p w:rsidR="00C1412C" w:rsidRPr="008470F7" w:rsidRDefault="00C1412C" w:rsidP="00E63A6D">
      <w:pPr>
        <w:ind w:firstLine="567"/>
        <w:rPr>
          <w:szCs w:val="24"/>
        </w:rPr>
      </w:pPr>
      <w:r w:rsidRPr="008470F7">
        <w:rPr>
          <w:szCs w:val="24"/>
        </w:rPr>
        <w:t xml:space="preserve">Conforme proposição do CNE, 30% das disciplinas constantes nas grades curriculares devem ser do eixo de formação básica, 46% do eixo profissional e 24% de formação teórico-prática. Contudo, pode-se observar que 63,16% das dezenove IES integrantes da amostra incluem um </w:t>
      </w:r>
      <w:r w:rsidRPr="008470F7">
        <w:rPr>
          <w:szCs w:val="24"/>
        </w:rPr>
        <w:lastRenderedPageBreak/>
        <w:t>percentual de disciplinas maior que os 30% sugerido no eixo de formação básica, enquanto na formação profissional e teórico-prática, 57,89% das universidades apresentam um percentual de disciplina menor que os 46% e 24% sugeridos, respectivamente.</w:t>
      </w:r>
    </w:p>
    <w:p w:rsidR="00C1412C" w:rsidRPr="008470F7" w:rsidRDefault="00C1412C" w:rsidP="00E63A6D">
      <w:pPr>
        <w:ind w:firstLine="567"/>
        <w:rPr>
          <w:szCs w:val="24"/>
        </w:rPr>
      </w:pPr>
      <w:r w:rsidRPr="008470F7">
        <w:rPr>
          <w:szCs w:val="24"/>
        </w:rPr>
        <w:t xml:space="preserve">Já em uma análise comparativa com a FBC, pode-se observar que apenas 10,53% das instituições cumpriram exatamente o percentual proposto pela fundação na formação básica. Já na formação profissional, 84,21% das organizações apresentam um percentual menor que os 54% recomendado pela FBC, enquanto no eixo de formação teórico-prática, 68,42% das IES incluem um percentual de disciplinas maior que os 16% sugeridos. </w:t>
      </w:r>
    </w:p>
    <w:p w:rsidR="00C1412C" w:rsidRPr="008470F7" w:rsidRDefault="00C1412C" w:rsidP="00E63A6D">
      <w:pPr>
        <w:ind w:firstLine="567"/>
        <w:rPr>
          <w:szCs w:val="24"/>
        </w:rPr>
      </w:pPr>
      <w:r w:rsidRPr="008470F7">
        <w:rPr>
          <w:szCs w:val="24"/>
        </w:rPr>
        <w:t>Ainda, observa-se que a Resolução CNE/CES nº 2 delimita a carga horária para os estágios supervisionados e atividades complementares dos cursos de graduação, bacharelados, na modalidade presencial. Estes não deverão exceder a 20% (vinte por cento) da carga horária total do curso, a não ser em casos em que haja determinações legais fixando cargas diferenciadas. Nesta pesquisa foi constatado, através da análise das estruturas curriculares disponíveis nos sítios eletrônicos das IES, que todas atendem essa limitação.</w:t>
      </w:r>
    </w:p>
    <w:p w:rsidR="00C1412C" w:rsidRPr="008470F7" w:rsidRDefault="00C1412C" w:rsidP="00E63A6D">
      <w:pPr>
        <w:ind w:firstLine="567"/>
        <w:rPr>
          <w:szCs w:val="24"/>
        </w:rPr>
      </w:pPr>
      <w:r w:rsidRPr="008470F7">
        <w:rPr>
          <w:szCs w:val="24"/>
        </w:rPr>
        <w:t>No que diz respeito ao projeto pedagógico - um dos fatores que impacta o ensino-aprendizagem - observou-se que a maioria dos cursos de instituições particulares possuem política de revisão e alteração do projeto, em função de mudanças nas legislações e necessidades do mercado. Por outro lado, observou-se que a maioria dos cursos de instituições públicas responderam não possuir política para revisão</w:t>
      </w:r>
      <w:r w:rsidR="00A46E54">
        <w:rPr>
          <w:szCs w:val="24"/>
        </w:rPr>
        <w:t xml:space="preserve"> e alteração</w:t>
      </w:r>
      <w:r w:rsidRPr="008470F7">
        <w:rPr>
          <w:szCs w:val="24"/>
        </w:rPr>
        <w:t xml:space="preserve">, </w:t>
      </w:r>
      <w:proofErr w:type="gramStart"/>
      <w:r w:rsidRPr="008470F7">
        <w:rPr>
          <w:szCs w:val="24"/>
        </w:rPr>
        <w:t xml:space="preserve">podendo, </w:t>
      </w:r>
      <w:r w:rsidR="00A46E54">
        <w:rPr>
          <w:szCs w:val="24"/>
        </w:rPr>
        <w:t xml:space="preserve"> </w:t>
      </w:r>
      <w:r w:rsidRPr="008470F7">
        <w:rPr>
          <w:szCs w:val="24"/>
        </w:rPr>
        <w:t>comprometer</w:t>
      </w:r>
      <w:proofErr w:type="gramEnd"/>
      <w:r w:rsidRPr="008470F7">
        <w:rPr>
          <w:szCs w:val="24"/>
        </w:rPr>
        <w:t xml:space="preserve"> os resultados.</w:t>
      </w:r>
      <w:r w:rsidR="00A37CFD">
        <w:rPr>
          <w:szCs w:val="24"/>
        </w:rPr>
        <w:t xml:space="preserve"> </w:t>
      </w:r>
    </w:p>
    <w:p w:rsidR="00A37CFD" w:rsidRDefault="00C1412C" w:rsidP="0001338F">
      <w:pPr>
        <w:ind w:firstLine="567"/>
        <w:rPr>
          <w:szCs w:val="24"/>
        </w:rPr>
      </w:pPr>
      <w:r w:rsidRPr="008470F7">
        <w:rPr>
          <w:szCs w:val="24"/>
        </w:rPr>
        <w:t xml:space="preserve">Este estudo limitou-se às Instituições de Ensino Superior com cursos presenciais e que disponibilizam o Projeto Político Pedagógico com a respectiva matriz curricular em seu sítio eletrônico. Além disso, o número de respostas obtidas dos 26 coordenadores dos cursos cadastrados no portal </w:t>
      </w:r>
      <w:proofErr w:type="spellStart"/>
      <w:r w:rsidRPr="008470F7">
        <w:rPr>
          <w:szCs w:val="24"/>
        </w:rPr>
        <w:t>e-MEC</w:t>
      </w:r>
      <w:proofErr w:type="spellEnd"/>
      <w:r w:rsidRPr="008470F7">
        <w:rPr>
          <w:szCs w:val="24"/>
        </w:rPr>
        <w:t xml:space="preserve"> foi considerado baixo, pois apenas quatorze instituições (53,85%) responderam.</w:t>
      </w:r>
      <w:r w:rsidR="005A752E">
        <w:rPr>
          <w:szCs w:val="24"/>
        </w:rPr>
        <w:t xml:space="preserve"> </w:t>
      </w:r>
    </w:p>
    <w:p w:rsidR="0001338F" w:rsidRPr="00E63A6D" w:rsidRDefault="0001338F" w:rsidP="0001338F">
      <w:pPr>
        <w:ind w:firstLine="567"/>
        <w:rPr>
          <w:szCs w:val="24"/>
        </w:rPr>
      </w:pPr>
    </w:p>
    <w:p w:rsidR="00C1412C" w:rsidRPr="008470F7" w:rsidRDefault="00C1412C" w:rsidP="00E63A6D">
      <w:pPr>
        <w:ind w:firstLine="0"/>
        <w:rPr>
          <w:b/>
          <w:szCs w:val="24"/>
        </w:rPr>
      </w:pPr>
      <w:r w:rsidRPr="008470F7">
        <w:rPr>
          <w:b/>
          <w:szCs w:val="24"/>
        </w:rPr>
        <w:t>Referências</w:t>
      </w:r>
    </w:p>
    <w:p w:rsidR="00C1412C" w:rsidRPr="008470F7" w:rsidRDefault="00C1412C" w:rsidP="00E63A6D">
      <w:pPr>
        <w:ind w:left="426" w:hanging="426"/>
        <w:rPr>
          <w:color w:val="222222"/>
          <w:szCs w:val="24"/>
          <w:shd w:val="clear" w:color="auto" w:fill="FFFFFF"/>
          <w:lang w:val="de-DE"/>
        </w:rPr>
      </w:pPr>
      <w:r w:rsidRPr="008470F7">
        <w:rPr>
          <w:color w:val="222222"/>
          <w:szCs w:val="24"/>
          <w:shd w:val="clear" w:color="auto" w:fill="FFFFFF"/>
        </w:rPr>
        <w:t xml:space="preserve">Araújo, A. M. P., Santana, A. L. A., &amp; Ribeiro, E. M. S. (2009). </w:t>
      </w:r>
      <w:r w:rsidRPr="008470F7">
        <w:rPr>
          <w:i/>
          <w:color w:val="222222"/>
          <w:szCs w:val="24"/>
          <w:shd w:val="clear" w:color="auto" w:fill="FFFFFF"/>
        </w:rPr>
        <w:t>Fatores que afetam o processo de ensino no curso de Ciências Contábeis: um estudo baseado na percepção dos professores</w:t>
      </w:r>
      <w:r w:rsidRPr="008470F7">
        <w:rPr>
          <w:color w:val="222222"/>
          <w:szCs w:val="24"/>
          <w:shd w:val="clear" w:color="auto" w:fill="FFFFFF"/>
        </w:rPr>
        <w:t xml:space="preserve">. In Congresso ANPCONT-Associação Nacional dos Programas de Pós-Graduação em Ciências Contábeis. </w:t>
      </w:r>
      <w:r w:rsidRPr="008470F7">
        <w:rPr>
          <w:color w:val="222222"/>
          <w:szCs w:val="24"/>
          <w:shd w:val="clear" w:color="auto" w:fill="FFFFFF"/>
          <w:lang w:val="de-DE"/>
        </w:rPr>
        <w:t>São Paulo.</w:t>
      </w:r>
    </w:p>
    <w:p w:rsidR="00C1412C" w:rsidRPr="008470F7" w:rsidRDefault="00C1412C" w:rsidP="00E63A6D">
      <w:pPr>
        <w:ind w:left="426" w:hanging="426"/>
        <w:rPr>
          <w:szCs w:val="24"/>
        </w:rPr>
      </w:pPr>
      <w:r w:rsidRPr="008470F7">
        <w:rPr>
          <w:color w:val="222222"/>
          <w:szCs w:val="24"/>
          <w:shd w:val="clear" w:color="auto" w:fill="FFFFFF"/>
          <w:lang w:val="de-DE"/>
        </w:rPr>
        <w:t xml:space="preserve">Beck, F., &amp; Rausch, R. B. (2014). </w:t>
      </w:r>
      <w:r w:rsidRPr="008470F7">
        <w:rPr>
          <w:color w:val="222222"/>
          <w:szCs w:val="24"/>
          <w:shd w:val="clear" w:color="auto" w:fill="FFFFFF"/>
        </w:rPr>
        <w:t xml:space="preserve">Fatores que influenciam o processo ensino-aprendizagem na percepção de discentes do curso de ciências contábeis. </w:t>
      </w:r>
      <w:r w:rsidRPr="008470F7">
        <w:rPr>
          <w:i/>
          <w:iCs/>
          <w:color w:val="222222"/>
          <w:szCs w:val="24"/>
          <w:shd w:val="clear" w:color="auto" w:fill="FFFFFF"/>
        </w:rPr>
        <w:t>Contabilidade Vista</w:t>
      </w:r>
      <w:r w:rsidR="0001338F">
        <w:rPr>
          <w:i/>
          <w:iCs/>
          <w:color w:val="222222"/>
          <w:szCs w:val="24"/>
          <w:shd w:val="clear" w:color="auto" w:fill="FFFFFF"/>
        </w:rPr>
        <w:t xml:space="preserve"> </w:t>
      </w:r>
      <w:r w:rsidRPr="008470F7">
        <w:rPr>
          <w:i/>
          <w:iCs/>
          <w:color w:val="222222"/>
          <w:szCs w:val="24"/>
          <w:shd w:val="clear" w:color="auto" w:fill="FFFFFF"/>
        </w:rPr>
        <w:t>&amp;</w:t>
      </w:r>
      <w:r w:rsidR="0001338F">
        <w:rPr>
          <w:i/>
          <w:iCs/>
          <w:color w:val="222222"/>
          <w:szCs w:val="24"/>
          <w:shd w:val="clear" w:color="auto" w:fill="FFFFFF"/>
        </w:rPr>
        <w:t xml:space="preserve"> </w:t>
      </w:r>
      <w:r w:rsidRPr="008470F7">
        <w:rPr>
          <w:i/>
          <w:iCs/>
          <w:color w:val="222222"/>
          <w:szCs w:val="24"/>
          <w:shd w:val="clear" w:color="auto" w:fill="FFFFFF"/>
        </w:rPr>
        <w:t>Revista</w:t>
      </w:r>
      <w:r w:rsidRPr="008470F7">
        <w:rPr>
          <w:color w:val="222222"/>
          <w:szCs w:val="24"/>
          <w:shd w:val="clear" w:color="auto" w:fill="FFFFFF"/>
        </w:rPr>
        <w:t xml:space="preserve">, </w:t>
      </w:r>
      <w:r w:rsidRPr="008470F7">
        <w:rPr>
          <w:i/>
          <w:iCs/>
          <w:color w:val="222222"/>
          <w:szCs w:val="24"/>
          <w:shd w:val="clear" w:color="auto" w:fill="FFFFFF"/>
        </w:rPr>
        <w:t>25</w:t>
      </w:r>
      <w:r w:rsidRPr="008470F7">
        <w:rPr>
          <w:color w:val="222222"/>
          <w:szCs w:val="24"/>
          <w:shd w:val="clear" w:color="auto" w:fill="FFFFFF"/>
        </w:rPr>
        <w:t>(2), 38-58.</w:t>
      </w:r>
    </w:p>
    <w:p w:rsidR="00C1412C" w:rsidRPr="008470F7" w:rsidRDefault="00C1412C" w:rsidP="00E63A6D">
      <w:pPr>
        <w:ind w:left="426" w:hanging="426"/>
        <w:rPr>
          <w:szCs w:val="24"/>
        </w:rPr>
      </w:pPr>
      <w:proofErr w:type="spellStart"/>
      <w:r w:rsidRPr="008470F7">
        <w:rPr>
          <w:color w:val="222222"/>
          <w:szCs w:val="24"/>
          <w:shd w:val="clear" w:color="auto" w:fill="FFFFFF"/>
        </w:rPr>
        <w:t>Bordenave</w:t>
      </w:r>
      <w:proofErr w:type="spellEnd"/>
      <w:r w:rsidRPr="008470F7">
        <w:rPr>
          <w:color w:val="222222"/>
          <w:szCs w:val="24"/>
          <w:shd w:val="clear" w:color="auto" w:fill="FFFFFF"/>
        </w:rPr>
        <w:t xml:space="preserve">, J. D., &amp; Pereira, A. M. (2002). </w:t>
      </w:r>
      <w:r w:rsidRPr="008470F7">
        <w:rPr>
          <w:i/>
          <w:color w:val="222222"/>
          <w:szCs w:val="24"/>
          <w:shd w:val="clear" w:color="auto" w:fill="FFFFFF"/>
        </w:rPr>
        <w:t>Estratégias de Ensino-Aprendizagem.</w:t>
      </w:r>
      <w:r w:rsidRPr="008470F7">
        <w:rPr>
          <w:color w:val="222222"/>
          <w:szCs w:val="24"/>
          <w:shd w:val="clear" w:color="auto" w:fill="FFFFFF"/>
        </w:rPr>
        <w:t xml:space="preserve"> (</w:t>
      </w:r>
      <w:proofErr w:type="gramStart"/>
      <w:r w:rsidRPr="008470F7">
        <w:rPr>
          <w:color w:val="222222"/>
          <w:szCs w:val="24"/>
          <w:shd w:val="clear" w:color="auto" w:fill="FFFFFF"/>
        </w:rPr>
        <w:t>24 ed.</w:t>
      </w:r>
      <w:proofErr w:type="gramEnd"/>
      <w:r w:rsidRPr="008470F7">
        <w:rPr>
          <w:color w:val="222222"/>
          <w:szCs w:val="24"/>
          <w:shd w:val="clear" w:color="auto" w:fill="FFFFFF"/>
        </w:rPr>
        <w:t xml:space="preserve">, 312 p.). Petrópolis: Vozes. </w:t>
      </w:r>
    </w:p>
    <w:p w:rsidR="00C1412C" w:rsidRPr="008470F7" w:rsidRDefault="00C1412C" w:rsidP="00E63A6D">
      <w:pPr>
        <w:ind w:left="426" w:hanging="426"/>
        <w:rPr>
          <w:szCs w:val="24"/>
        </w:rPr>
      </w:pPr>
      <w:bookmarkStart w:id="12" w:name="_Hlk1225748"/>
      <w:r w:rsidRPr="008470F7">
        <w:rPr>
          <w:color w:val="000000"/>
          <w:szCs w:val="24"/>
        </w:rPr>
        <w:t xml:space="preserve">Carneiro, J. D. (Coordenador), Rodrigues, A. T. L., </w:t>
      </w:r>
      <w:proofErr w:type="spellStart"/>
      <w:r w:rsidRPr="008470F7">
        <w:rPr>
          <w:color w:val="000000"/>
          <w:szCs w:val="24"/>
        </w:rPr>
        <w:t>Bugarim</w:t>
      </w:r>
      <w:proofErr w:type="spellEnd"/>
      <w:r w:rsidRPr="008470F7">
        <w:rPr>
          <w:color w:val="000000"/>
          <w:szCs w:val="24"/>
        </w:rPr>
        <w:t xml:space="preserve">, M. C. C., França, J. A., </w:t>
      </w:r>
      <w:proofErr w:type="spellStart"/>
      <w:r w:rsidRPr="008470F7">
        <w:rPr>
          <w:color w:val="000000"/>
          <w:szCs w:val="24"/>
        </w:rPr>
        <w:t>Boarin</w:t>
      </w:r>
      <w:proofErr w:type="spellEnd"/>
      <w:r w:rsidRPr="008470F7">
        <w:rPr>
          <w:color w:val="000000"/>
          <w:szCs w:val="24"/>
        </w:rPr>
        <w:t xml:space="preserve">, </w:t>
      </w:r>
      <w:r w:rsidRPr="008470F7">
        <w:rPr>
          <w:szCs w:val="24"/>
        </w:rPr>
        <w:t xml:space="preserve">J. J., Coelho, J. M. A., et al. (2009). </w:t>
      </w:r>
      <w:r w:rsidRPr="008470F7">
        <w:rPr>
          <w:i/>
          <w:iCs/>
          <w:szCs w:val="24"/>
        </w:rPr>
        <w:t>Proposta nacional de conteúdo de graduação em</w:t>
      </w:r>
      <w:r w:rsidRPr="008470F7">
        <w:rPr>
          <w:i/>
          <w:iCs/>
          <w:color w:val="000000"/>
          <w:szCs w:val="24"/>
        </w:rPr>
        <w:t xml:space="preserve"> Ciências Contábeis.</w:t>
      </w:r>
      <w:r w:rsidRPr="008470F7">
        <w:rPr>
          <w:color w:val="000000"/>
          <w:szCs w:val="24"/>
        </w:rPr>
        <w:t xml:space="preserve"> (</w:t>
      </w:r>
      <w:proofErr w:type="gramStart"/>
      <w:r w:rsidRPr="008470F7">
        <w:rPr>
          <w:color w:val="000000"/>
          <w:szCs w:val="24"/>
        </w:rPr>
        <w:t>2 ed.</w:t>
      </w:r>
      <w:proofErr w:type="gramEnd"/>
      <w:r w:rsidRPr="008470F7">
        <w:rPr>
          <w:color w:val="000000"/>
          <w:szCs w:val="24"/>
        </w:rPr>
        <w:t>, 187 p.). Brasília: Fundação Brasileira de Contabilidade.</w:t>
      </w:r>
    </w:p>
    <w:p w:rsidR="00C1412C" w:rsidRPr="008470F7" w:rsidRDefault="00C1412C" w:rsidP="00E63A6D">
      <w:pPr>
        <w:ind w:left="426" w:hanging="426"/>
        <w:rPr>
          <w:color w:val="000000"/>
          <w:szCs w:val="24"/>
        </w:rPr>
      </w:pPr>
      <w:r w:rsidRPr="008470F7">
        <w:rPr>
          <w:szCs w:val="24"/>
        </w:rPr>
        <w:t xml:space="preserve">Carneiro, J. D. (Coordenador), Rodrigues, A. T., Silva, A. C. R., França, J. A., Almeida, J. E. F., &amp; Morais, M. L. S. (2017). </w:t>
      </w:r>
      <w:r w:rsidRPr="008470F7">
        <w:rPr>
          <w:i/>
          <w:iCs/>
          <w:szCs w:val="24"/>
        </w:rPr>
        <w:t>Matriz Curricular para Cursos de Ciências Contábeis: uma proposta da Fundação Brasileira de Contabilidade.</w:t>
      </w:r>
      <w:r w:rsidRPr="008470F7">
        <w:rPr>
          <w:szCs w:val="24"/>
        </w:rPr>
        <w:t xml:space="preserve"> (1 ed., 208 p.). Brasília:</w:t>
      </w:r>
      <w:r w:rsidR="0001338F">
        <w:rPr>
          <w:color w:val="000000"/>
          <w:szCs w:val="24"/>
        </w:rPr>
        <w:t xml:space="preserve"> FBC</w:t>
      </w:r>
    </w:p>
    <w:bookmarkEnd w:id="12"/>
    <w:p w:rsidR="00C1412C" w:rsidRPr="008470F7" w:rsidRDefault="00C1412C" w:rsidP="00E63A6D">
      <w:pPr>
        <w:ind w:left="426" w:hanging="426"/>
        <w:rPr>
          <w:szCs w:val="24"/>
        </w:rPr>
      </w:pPr>
      <w:r w:rsidRPr="008470F7">
        <w:rPr>
          <w:i/>
          <w:szCs w:val="24"/>
        </w:rPr>
        <w:t>Constituição da República Federativa do Brasil de 1988.</w:t>
      </w:r>
      <w:r w:rsidRPr="008470F7">
        <w:rPr>
          <w:szCs w:val="24"/>
        </w:rPr>
        <w:t xml:space="preserve"> (1988). Brasília. Recuperado em 18 julho, 2018, de http://www.planalto.gov.br/ccivil_03/constituicao/constituicao.htm.</w:t>
      </w:r>
    </w:p>
    <w:p w:rsidR="00C1412C" w:rsidRPr="008470F7" w:rsidRDefault="00C1412C" w:rsidP="00E63A6D">
      <w:pPr>
        <w:ind w:left="426" w:hanging="426"/>
        <w:rPr>
          <w:color w:val="000000"/>
          <w:szCs w:val="24"/>
        </w:rPr>
      </w:pPr>
      <w:proofErr w:type="spellStart"/>
      <w:r w:rsidRPr="008470F7">
        <w:rPr>
          <w:color w:val="000000"/>
          <w:szCs w:val="24"/>
        </w:rPr>
        <w:lastRenderedPageBreak/>
        <w:t>Czesnat</w:t>
      </w:r>
      <w:proofErr w:type="spellEnd"/>
      <w:r w:rsidRPr="008470F7">
        <w:rPr>
          <w:color w:val="000000"/>
          <w:szCs w:val="24"/>
        </w:rPr>
        <w:t xml:space="preserve">, A. O., Cunha, J. V. A. da, &amp; Domingues, M. J. C. de S. (2009). Análise comparativa entre os currículos dos cursos de Ciências Contábeis das universidades do estado de Santa Catarina listadas pelo MEC e o currículo mundial proposto pela ONU/UNCTAD/ISAR. </w:t>
      </w:r>
      <w:r w:rsidRPr="008470F7">
        <w:rPr>
          <w:i/>
          <w:color w:val="000000"/>
          <w:szCs w:val="24"/>
        </w:rPr>
        <w:t>Gestão &amp; Regionalidade</w:t>
      </w:r>
      <w:r w:rsidRPr="008470F7">
        <w:rPr>
          <w:color w:val="000000"/>
          <w:szCs w:val="24"/>
        </w:rPr>
        <w:t xml:space="preserve">, </w:t>
      </w:r>
      <w:r w:rsidRPr="008470F7">
        <w:rPr>
          <w:i/>
          <w:color w:val="000000"/>
          <w:szCs w:val="24"/>
        </w:rPr>
        <w:t>25</w:t>
      </w:r>
      <w:r w:rsidRPr="008470F7">
        <w:rPr>
          <w:color w:val="000000"/>
          <w:szCs w:val="24"/>
        </w:rPr>
        <w:t>(75).</w:t>
      </w:r>
    </w:p>
    <w:p w:rsidR="00C1412C" w:rsidRPr="008470F7" w:rsidRDefault="00C1412C" w:rsidP="00E63A6D">
      <w:pPr>
        <w:ind w:left="426" w:hanging="426"/>
        <w:rPr>
          <w:szCs w:val="24"/>
        </w:rPr>
      </w:pPr>
      <w:proofErr w:type="spellStart"/>
      <w:proofErr w:type="gramStart"/>
      <w:r w:rsidRPr="008470F7">
        <w:rPr>
          <w:color w:val="000000"/>
          <w:szCs w:val="24"/>
        </w:rPr>
        <w:t>e</w:t>
      </w:r>
      <w:proofErr w:type="gramEnd"/>
      <w:r w:rsidRPr="008470F7">
        <w:rPr>
          <w:color w:val="000000"/>
          <w:szCs w:val="24"/>
        </w:rPr>
        <w:t>-MEC</w:t>
      </w:r>
      <w:proofErr w:type="spellEnd"/>
      <w:r w:rsidRPr="008470F7">
        <w:rPr>
          <w:color w:val="000000"/>
          <w:szCs w:val="24"/>
        </w:rPr>
        <w:t xml:space="preserve">. (2018). </w:t>
      </w:r>
      <w:r w:rsidRPr="008470F7">
        <w:rPr>
          <w:i/>
          <w:iCs/>
          <w:color w:val="000000"/>
          <w:szCs w:val="24"/>
        </w:rPr>
        <w:t>Instituições de Educação Superior e cursos cadastrados.</w:t>
      </w:r>
      <w:r w:rsidRPr="008470F7">
        <w:rPr>
          <w:color w:val="000000"/>
          <w:szCs w:val="24"/>
        </w:rPr>
        <w:t xml:space="preserve"> Recuperado em 26 julho, 2018, de http://emec.mec.gov.br/.</w:t>
      </w:r>
    </w:p>
    <w:p w:rsidR="00C1412C" w:rsidRPr="008470F7" w:rsidRDefault="00C1412C" w:rsidP="00E63A6D">
      <w:pPr>
        <w:ind w:left="426" w:hanging="426"/>
        <w:rPr>
          <w:szCs w:val="24"/>
        </w:rPr>
      </w:pPr>
      <w:r w:rsidRPr="008470F7">
        <w:rPr>
          <w:szCs w:val="24"/>
          <w:shd w:val="clear" w:color="auto" w:fill="FFFFFF"/>
        </w:rPr>
        <w:t xml:space="preserve">Gil, A. C. (2008). </w:t>
      </w:r>
      <w:r w:rsidRPr="008470F7">
        <w:rPr>
          <w:i/>
          <w:iCs/>
          <w:szCs w:val="24"/>
          <w:shd w:val="clear" w:color="auto" w:fill="FFFFFF"/>
        </w:rPr>
        <w:t>Métodos e técnicas de pesquisa social</w:t>
      </w:r>
      <w:r w:rsidRPr="008470F7">
        <w:rPr>
          <w:szCs w:val="24"/>
          <w:shd w:val="clear" w:color="auto" w:fill="FFFFFF"/>
        </w:rPr>
        <w:t>. (6. ed.). São Paulo: Atlas.</w:t>
      </w:r>
    </w:p>
    <w:p w:rsidR="00C1412C" w:rsidRPr="008470F7" w:rsidRDefault="00C1412C" w:rsidP="00E63A6D">
      <w:pPr>
        <w:ind w:left="426" w:hanging="426"/>
        <w:rPr>
          <w:szCs w:val="24"/>
        </w:rPr>
      </w:pPr>
      <w:proofErr w:type="spellStart"/>
      <w:r w:rsidRPr="008470F7">
        <w:rPr>
          <w:color w:val="000000"/>
          <w:szCs w:val="24"/>
        </w:rPr>
        <w:t>Kruger</w:t>
      </w:r>
      <w:proofErr w:type="spellEnd"/>
      <w:r w:rsidRPr="008470F7">
        <w:rPr>
          <w:color w:val="000000"/>
          <w:szCs w:val="24"/>
        </w:rPr>
        <w:t xml:space="preserve">, S. D., </w:t>
      </w:r>
      <w:proofErr w:type="spellStart"/>
      <w:r w:rsidRPr="008470F7">
        <w:rPr>
          <w:color w:val="000000"/>
          <w:szCs w:val="24"/>
        </w:rPr>
        <w:t>Mazzioni</w:t>
      </w:r>
      <w:proofErr w:type="spellEnd"/>
      <w:r w:rsidRPr="008470F7">
        <w:rPr>
          <w:color w:val="000000"/>
          <w:szCs w:val="24"/>
        </w:rPr>
        <w:t xml:space="preserve">, M., Resende, A., </w:t>
      </w:r>
      <w:proofErr w:type="spellStart"/>
      <w:r w:rsidRPr="008470F7">
        <w:rPr>
          <w:color w:val="000000"/>
          <w:szCs w:val="24"/>
        </w:rPr>
        <w:t>Gubiani</w:t>
      </w:r>
      <w:proofErr w:type="spellEnd"/>
      <w:r w:rsidRPr="008470F7">
        <w:rPr>
          <w:color w:val="000000"/>
          <w:szCs w:val="24"/>
        </w:rPr>
        <w:t xml:space="preserve">, C. A., &amp; Zanin, A. (2013). O perfil desejado de egresso dos cursos de Ciências Contábeis das universidades de Santa Catarina. </w:t>
      </w:r>
      <w:r w:rsidRPr="008470F7">
        <w:rPr>
          <w:i/>
          <w:iCs/>
          <w:color w:val="000000"/>
          <w:szCs w:val="24"/>
        </w:rPr>
        <w:t>Revista Catarinense da Ciência Contábil – CRCSC, 12</w:t>
      </w:r>
      <w:r w:rsidRPr="008470F7">
        <w:rPr>
          <w:color w:val="000000"/>
          <w:szCs w:val="24"/>
        </w:rPr>
        <w:t>(34), 40-52.</w:t>
      </w:r>
    </w:p>
    <w:p w:rsidR="00C1412C" w:rsidRPr="008470F7" w:rsidRDefault="00C1412C" w:rsidP="00E63A6D">
      <w:pPr>
        <w:ind w:left="426" w:hanging="426"/>
        <w:rPr>
          <w:szCs w:val="24"/>
        </w:rPr>
      </w:pPr>
      <w:proofErr w:type="spellStart"/>
      <w:r w:rsidRPr="008470F7">
        <w:rPr>
          <w:color w:val="000000"/>
          <w:szCs w:val="24"/>
        </w:rPr>
        <w:t>Marroni</w:t>
      </w:r>
      <w:proofErr w:type="spellEnd"/>
      <w:r w:rsidRPr="008470F7">
        <w:rPr>
          <w:color w:val="000000"/>
          <w:szCs w:val="24"/>
        </w:rPr>
        <w:t xml:space="preserve">, C. H., Rodrigues, A. F., &amp; </w:t>
      </w:r>
      <w:proofErr w:type="spellStart"/>
      <w:r w:rsidRPr="008470F7">
        <w:rPr>
          <w:color w:val="000000"/>
          <w:szCs w:val="24"/>
        </w:rPr>
        <w:t>Panosso</w:t>
      </w:r>
      <w:proofErr w:type="spellEnd"/>
      <w:r w:rsidRPr="008470F7">
        <w:rPr>
          <w:color w:val="000000"/>
          <w:szCs w:val="24"/>
        </w:rPr>
        <w:t xml:space="preserve">, A. (2013). Panorama histórico do ensino superior da graduação em contabilidade no Brasil - sob a égide normativa. </w:t>
      </w:r>
      <w:r w:rsidRPr="008470F7">
        <w:rPr>
          <w:i/>
          <w:iCs/>
          <w:color w:val="000000"/>
          <w:szCs w:val="24"/>
        </w:rPr>
        <w:t>Enfoque: Reflexão Contábil - UEM – PR, 32</w:t>
      </w:r>
      <w:r w:rsidRPr="008470F7">
        <w:rPr>
          <w:color w:val="000000"/>
          <w:szCs w:val="24"/>
        </w:rPr>
        <w:t>(3), 01-17.</w:t>
      </w:r>
    </w:p>
    <w:p w:rsidR="00C1412C" w:rsidRPr="008470F7" w:rsidRDefault="00C1412C" w:rsidP="00E63A6D">
      <w:pPr>
        <w:ind w:left="426" w:hanging="426"/>
        <w:rPr>
          <w:szCs w:val="24"/>
        </w:rPr>
      </w:pPr>
      <w:r w:rsidRPr="008470F7">
        <w:rPr>
          <w:color w:val="000000"/>
          <w:szCs w:val="24"/>
        </w:rPr>
        <w:t xml:space="preserve">Miranda, G. J., Nova, S. P. C. C., &amp; Leal, E. A. (2018). </w:t>
      </w:r>
      <w:r w:rsidRPr="008470F7">
        <w:rPr>
          <w:i/>
          <w:color w:val="000000"/>
          <w:szCs w:val="24"/>
        </w:rPr>
        <w:t>Revolucionando o desempenho acadêmico: o desafio de Isa</w:t>
      </w:r>
      <w:r w:rsidRPr="008470F7">
        <w:rPr>
          <w:color w:val="000000"/>
          <w:szCs w:val="24"/>
        </w:rPr>
        <w:t>. São Paulo: Atlas.</w:t>
      </w:r>
    </w:p>
    <w:p w:rsidR="00C1412C" w:rsidRPr="008470F7" w:rsidRDefault="00C1412C" w:rsidP="00E63A6D">
      <w:pPr>
        <w:ind w:left="426" w:hanging="426"/>
        <w:rPr>
          <w:szCs w:val="24"/>
        </w:rPr>
      </w:pPr>
      <w:r w:rsidRPr="008470F7">
        <w:rPr>
          <w:i/>
          <w:iCs/>
          <w:color w:val="000000"/>
          <w:szCs w:val="24"/>
        </w:rPr>
        <w:t>Resolução CNE/CES nº 2, de 18 de junho de 2007.</w:t>
      </w:r>
      <w:r w:rsidRPr="008470F7">
        <w:rPr>
          <w:color w:val="000000"/>
          <w:szCs w:val="24"/>
        </w:rPr>
        <w:t xml:space="preserve"> (2007). Dispõe sobre carga horária mínima e procedimentos relativos à integralização e duração dos cursos de graduação, bacharelados, na modalidade presencial. Brasília, DF. Recuperado em 28 janeiro, 2018, de http://portal.mec.gov.br/index.php?option=com_docman&amp;view=download&amp;alias=16872-res-cne-ces-002-18062007&amp;category_slug=janeiro-2015-pdf&amp;Itemid=30192.</w:t>
      </w:r>
    </w:p>
    <w:p w:rsidR="00C1412C" w:rsidRPr="008470F7" w:rsidRDefault="00C1412C" w:rsidP="00E63A6D">
      <w:pPr>
        <w:ind w:left="426" w:hanging="426"/>
        <w:rPr>
          <w:szCs w:val="24"/>
        </w:rPr>
      </w:pPr>
      <w:r w:rsidRPr="008470F7">
        <w:rPr>
          <w:i/>
          <w:iCs/>
          <w:color w:val="000000"/>
          <w:szCs w:val="24"/>
        </w:rPr>
        <w:t>Resolução CNE/CES nº 10, de 16 de dezembro de 2004.</w:t>
      </w:r>
      <w:r w:rsidRPr="008470F7">
        <w:rPr>
          <w:color w:val="000000"/>
          <w:szCs w:val="24"/>
        </w:rPr>
        <w:t xml:space="preserve"> (2004). Institui as Diretrizes Curriculares Nacionais para o Curso de Graduação em Ciências Contábeis, bacharelado, e dá outras providências. Brasília, DF. Recuperado em 27 janeiro, 2018, de http://portal.mec.gov.br/cne/arquivos/pdf/rces10_04.pdf.</w:t>
      </w:r>
    </w:p>
    <w:p w:rsidR="00C1412C" w:rsidRPr="008470F7" w:rsidRDefault="00C1412C" w:rsidP="00E63A6D">
      <w:pPr>
        <w:ind w:left="426" w:hanging="426"/>
        <w:rPr>
          <w:szCs w:val="24"/>
        </w:rPr>
      </w:pPr>
      <w:r w:rsidRPr="008470F7">
        <w:rPr>
          <w:i/>
          <w:iCs/>
          <w:szCs w:val="24"/>
          <w:lang w:val="en-US"/>
        </w:rPr>
        <w:t>Revised model accounting curriculum (MC)</w:t>
      </w:r>
      <w:r w:rsidRPr="008470F7">
        <w:rPr>
          <w:szCs w:val="24"/>
          <w:lang w:val="en-US"/>
        </w:rPr>
        <w:t xml:space="preserve">. </w:t>
      </w:r>
      <w:r w:rsidRPr="008470F7">
        <w:rPr>
          <w:szCs w:val="24"/>
        </w:rPr>
        <w:t xml:space="preserve">(2011). Recuperado em 30 janeiro, 2019, de </w:t>
      </w:r>
      <w:hyperlink r:id="rId11" w:history="1">
        <w:r w:rsidRPr="008470F7">
          <w:rPr>
            <w:rStyle w:val="Hyperlink"/>
            <w:szCs w:val="24"/>
            <w:u w:val="none"/>
          </w:rPr>
          <w:t>https://unctad.org/en/PublicationsLibrary/diaemisc2011d1_en.pdf</w:t>
        </w:r>
      </w:hyperlink>
      <w:r w:rsidRPr="008470F7">
        <w:rPr>
          <w:szCs w:val="24"/>
        </w:rPr>
        <w:t xml:space="preserve">. </w:t>
      </w:r>
    </w:p>
    <w:p w:rsidR="00C1412C" w:rsidRPr="008470F7" w:rsidRDefault="00C1412C" w:rsidP="00E63A6D">
      <w:pPr>
        <w:ind w:left="426" w:hanging="426"/>
        <w:rPr>
          <w:szCs w:val="24"/>
        </w:rPr>
      </w:pPr>
      <w:r w:rsidRPr="008470F7">
        <w:rPr>
          <w:color w:val="222222"/>
          <w:szCs w:val="24"/>
          <w:shd w:val="clear" w:color="auto" w:fill="FFFFFF"/>
        </w:rPr>
        <w:t xml:space="preserve">Santos, S.C. (2001). </w:t>
      </w:r>
      <w:r w:rsidRPr="008470F7">
        <w:rPr>
          <w:color w:val="000000"/>
          <w:szCs w:val="24"/>
        </w:rPr>
        <w:t xml:space="preserve">O processo ensino-aprendizagem e a relação do professor-aluno: aplicação dos “sete princípios para a boa prática na educação de ensino superior”. </w:t>
      </w:r>
      <w:r w:rsidRPr="008470F7">
        <w:rPr>
          <w:i/>
          <w:iCs/>
          <w:color w:val="000000"/>
          <w:szCs w:val="24"/>
        </w:rPr>
        <w:t>Caderno de Pesquisa em Administração, 8</w:t>
      </w:r>
      <w:r w:rsidRPr="008470F7">
        <w:rPr>
          <w:color w:val="000000"/>
          <w:szCs w:val="24"/>
        </w:rPr>
        <w:t>(1), 69-82.</w:t>
      </w:r>
    </w:p>
    <w:p w:rsidR="00C1412C" w:rsidRPr="008470F7" w:rsidRDefault="00C1412C" w:rsidP="00E63A6D">
      <w:pPr>
        <w:ind w:left="426" w:hanging="426"/>
        <w:rPr>
          <w:color w:val="000000"/>
          <w:szCs w:val="24"/>
        </w:rPr>
      </w:pPr>
      <w:r w:rsidRPr="008470F7">
        <w:rPr>
          <w:color w:val="000000"/>
          <w:szCs w:val="24"/>
        </w:rPr>
        <w:t>Silva, C. L., Melo, L. S. A., &amp; Delfino, I. A. L. (2017). Fatores que influenciam o processo de ensino-aprendizagem sob a perspectiva de alunos do curso de ciências contábeis: uma análise comparativa entre instituições de ensino superior públicas e privadas.</w:t>
      </w:r>
      <w:r w:rsidRPr="008470F7">
        <w:rPr>
          <w:i/>
          <w:iCs/>
          <w:color w:val="000000"/>
          <w:szCs w:val="24"/>
        </w:rPr>
        <w:t xml:space="preserve"> Revista de Pesquisa Interdisciplinar, 2 </w:t>
      </w:r>
      <w:r w:rsidRPr="008470F7">
        <w:rPr>
          <w:color w:val="000000"/>
          <w:szCs w:val="24"/>
        </w:rPr>
        <w:t xml:space="preserve">(Edição Especial II), 248-263. </w:t>
      </w:r>
    </w:p>
    <w:p w:rsidR="00C1412C" w:rsidRPr="008470F7" w:rsidRDefault="00C1412C" w:rsidP="00E63A6D">
      <w:pPr>
        <w:ind w:left="426" w:hanging="426"/>
        <w:rPr>
          <w:szCs w:val="24"/>
        </w:rPr>
      </w:pPr>
      <w:r w:rsidRPr="008470F7">
        <w:rPr>
          <w:color w:val="000000"/>
          <w:szCs w:val="24"/>
        </w:rPr>
        <w:t>Silva, V. R., Miranda, G. J., &amp; Pereira, J. M. (2017). ENADE e proposta curricular do CFC: um estudo em cursos brasileiros de Ciências Contábeis</w:t>
      </w:r>
      <w:r w:rsidRPr="008470F7">
        <w:rPr>
          <w:i/>
          <w:iCs/>
          <w:color w:val="000000"/>
          <w:szCs w:val="24"/>
        </w:rPr>
        <w:t xml:space="preserve">. Revista de Educação e Pesquisa em Contabilidade - </w:t>
      </w:r>
      <w:proofErr w:type="spellStart"/>
      <w:r w:rsidRPr="008470F7">
        <w:rPr>
          <w:i/>
          <w:iCs/>
          <w:color w:val="000000"/>
          <w:szCs w:val="24"/>
        </w:rPr>
        <w:t>REPeC</w:t>
      </w:r>
      <w:proofErr w:type="spellEnd"/>
      <w:r w:rsidRPr="008470F7">
        <w:rPr>
          <w:i/>
          <w:iCs/>
          <w:color w:val="000000"/>
          <w:szCs w:val="24"/>
        </w:rPr>
        <w:t>, 11</w:t>
      </w:r>
      <w:r w:rsidRPr="008470F7">
        <w:rPr>
          <w:color w:val="000000"/>
          <w:szCs w:val="24"/>
        </w:rPr>
        <w:t xml:space="preserve"> (3), art. 1, 261-275.</w:t>
      </w:r>
    </w:p>
    <w:p w:rsidR="00C1412C" w:rsidRPr="008470F7" w:rsidRDefault="00C1412C" w:rsidP="00E63A6D">
      <w:pPr>
        <w:ind w:left="426" w:hanging="426"/>
        <w:rPr>
          <w:color w:val="000000"/>
          <w:szCs w:val="24"/>
        </w:rPr>
      </w:pPr>
      <w:r w:rsidRPr="008470F7">
        <w:rPr>
          <w:color w:val="000000"/>
          <w:szCs w:val="24"/>
          <w:lang w:val="de-DE"/>
        </w:rPr>
        <w:t xml:space="preserve">Soares, S. V., Borgert, A., Pfitscher, E. D., &amp; Will, A. R. (2012). </w:t>
      </w:r>
      <w:r w:rsidRPr="008470F7">
        <w:rPr>
          <w:color w:val="000000"/>
          <w:szCs w:val="24"/>
        </w:rPr>
        <w:t xml:space="preserve">O Currículo dos cursos de Ciências Contábeis das Universidades Federais da Região Sul do Brasil: formação especialista ou generalista? </w:t>
      </w:r>
      <w:r w:rsidRPr="008470F7">
        <w:rPr>
          <w:i/>
          <w:iCs/>
          <w:color w:val="000000"/>
          <w:szCs w:val="24"/>
        </w:rPr>
        <w:t>Enfoque: Reflexão Contábil, 31</w:t>
      </w:r>
      <w:r w:rsidRPr="008470F7">
        <w:rPr>
          <w:color w:val="000000"/>
          <w:szCs w:val="24"/>
        </w:rPr>
        <w:t>(2), 07-21.</w:t>
      </w:r>
    </w:p>
    <w:p w:rsidR="00EC6EDB" w:rsidRPr="008470F7" w:rsidRDefault="00C1412C" w:rsidP="00A46E54">
      <w:pPr>
        <w:ind w:left="426" w:hanging="426"/>
      </w:pPr>
      <w:r w:rsidRPr="008470F7">
        <w:rPr>
          <w:color w:val="000000"/>
          <w:szCs w:val="24"/>
        </w:rPr>
        <w:t xml:space="preserve">Soares S. V., </w:t>
      </w:r>
      <w:proofErr w:type="spellStart"/>
      <w:r w:rsidRPr="008470F7">
        <w:rPr>
          <w:color w:val="000000"/>
          <w:szCs w:val="24"/>
        </w:rPr>
        <w:t>Richartz</w:t>
      </w:r>
      <w:proofErr w:type="spellEnd"/>
      <w:r w:rsidRPr="008470F7">
        <w:rPr>
          <w:color w:val="000000"/>
          <w:szCs w:val="24"/>
        </w:rPr>
        <w:t xml:space="preserve"> F., </w:t>
      </w:r>
      <w:proofErr w:type="spellStart"/>
      <w:r w:rsidRPr="008470F7">
        <w:rPr>
          <w:color w:val="000000"/>
          <w:szCs w:val="24"/>
        </w:rPr>
        <w:t>Voss</w:t>
      </w:r>
      <w:proofErr w:type="spellEnd"/>
      <w:r w:rsidRPr="008470F7">
        <w:rPr>
          <w:color w:val="000000"/>
          <w:szCs w:val="24"/>
        </w:rPr>
        <w:t xml:space="preserve"> B. L., &amp; Freitas C. L. (2011). Evolução do currículo de Contabilidade no Brasil desde 1809. </w:t>
      </w:r>
      <w:r w:rsidRPr="008470F7">
        <w:rPr>
          <w:i/>
          <w:iCs/>
          <w:color w:val="000000"/>
          <w:szCs w:val="24"/>
        </w:rPr>
        <w:t>Revista Catarinense da Ciência Contábil – CRCSC, 10</w:t>
      </w:r>
      <w:r w:rsidRPr="008470F7">
        <w:rPr>
          <w:color w:val="000000"/>
          <w:szCs w:val="24"/>
        </w:rPr>
        <w:t>(30), 27-42.</w:t>
      </w:r>
    </w:p>
    <w:sectPr w:rsidR="00EC6EDB" w:rsidRPr="008470F7" w:rsidSect="00E63A6D">
      <w:headerReference w:type="default" r:id="rId12"/>
      <w:footerReference w:type="default" r:id="rId13"/>
      <w:pgSz w:w="12240" w:h="15840" w:code="119"/>
      <w:pgMar w:top="1701" w:right="1134" w:bottom="1701" w:left="1701"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86D" w:rsidRDefault="00E5386D" w:rsidP="005840EF">
      <w:r>
        <w:separator/>
      </w:r>
    </w:p>
  </w:endnote>
  <w:endnote w:type="continuationSeparator" w:id="0">
    <w:p w:rsidR="00E5386D" w:rsidRDefault="00E5386D"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CFD" w:rsidRPr="00F05FBB" w:rsidRDefault="00A37CFD"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9D003A">
      <w:rPr>
        <w:noProof/>
        <w:sz w:val="20"/>
      </w:rPr>
      <w:t>17</w:t>
    </w:r>
    <w:r w:rsidRPr="00F05FBB">
      <w:rPr>
        <w:sz w:val="20"/>
      </w:rPr>
      <w:fldChar w:fldCharType="end"/>
    </w:r>
  </w:p>
  <w:p w:rsidR="00A37CFD" w:rsidRPr="00862FD2" w:rsidRDefault="00A37CFD" w:rsidP="004E0B39">
    <w:pPr>
      <w:pStyle w:val="Rodap"/>
      <w:ind w:firstLine="0"/>
      <w:jc w:val="center"/>
    </w:pPr>
    <w:r>
      <w:rPr>
        <w:noProof/>
        <w:lang w:val="pt-BR" w:eastAsia="pt-BR"/>
      </w:rPr>
      <w:drawing>
        <wp:inline distT="0" distB="0" distL="0" distR="0">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86D" w:rsidRDefault="00E5386D" w:rsidP="005840EF">
      <w:r>
        <w:separator/>
      </w:r>
    </w:p>
  </w:footnote>
  <w:footnote w:type="continuationSeparator" w:id="0">
    <w:p w:rsidR="00E5386D" w:rsidRDefault="00E5386D" w:rsidP="005840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CFD" w:rsidRPr="004E0B39" w:rsidRDefault="00A37CFD" w:rsidP="004E0B39">
    <w:pPr>
      <w:pStyle w:val="Cabealho"/>
      <w:ind w:firstLine="0"/>
      <w:jc w:val="center"/>
    </w:pPr>
    <w:r>
      <w:rPr>
        <w:noProof/>
      </w:rPr>
      <w:drawing>
        <wp:inline distT="0" distB="0" distL="0" distR="0">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6"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6"/>
  </w:num>
  <w:num w:numId="4">
    <w:abstractNumId w:val="10"/>
  </w:num>
  <w:num w:numId="5">
    <w:abstractNumId w:val="4"/>
  </w:num>
  <w:num w:numId="6">
    <w:abstractNumId w:val="1"/>
  </w:num>
  <w:num w:numId="7">
    <w:abstractNumId w:val="0"/>
  </w:num>
  <w:num w:numId="8">
    <w:abstractNumId w:val="2"/>
  </w:num>
  <w:num w:numId="9">
    <w:abstractNumId w:val="2"/>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40F"/>
    <w:rsid w:val="000011A2"/>
    <w:rsid w:val="000103E0"/>
    <w:rsid w:val="0001338F"/>
    <w:rsid w:val="00021054"/>
    <w:rsid w:val="0006261D"/>
    <w:rsid w:val="000720BF"/>
    <w:rsid w:val="000D7722"/>
    <w:rsid w:val="000F0530"/>
    <w:rsid w:val="001457BE"/>
    <w:rsid w:val="00160E08"/>
    <w:rsid w:val="001E2E6C"/>
    <w:rsid w:val="0020354A"/>
    <w:rsid w:val="002056D7"/>
    <w:rsid w:val="002136AE"/>
    <w:rsid w:val="00244401"/>
    <w:rsid w:val="00244C0A"/>
    <w:rsid w:val="002566DC"/>
    <w:rsid w:val="00263CEF"/>
    <w:rsid w:val="002826C0"/>
    <w:rsid w:val="002B78FC"/>
    <w:rsid w:val="002C7235"/>
    <w:rsid w:val="00303C6F"/>
    <w:rsid w:val="00371DFF"/>
    <w:rsid w:val="003923C3"/>
    <w:rsid w:val="00395244"/>
    <w:rsid w:val="003A3639"/>
    <w:rsid w:val="00406C08"/>
    <w:rsid w:val="00423365"/>
    <w:rsid w:val="004251EF"/>
    <w:rsid w:val="00472EE1"/>
    <w:rsid w:val="0048579A"/>
    <w:rsid w:val="0049262F"/>
    <w:rsid w:val="004E0B39"/>
    <w:rsid w:val="00523BAB"/>
    <w:rsid w:val="00531A76"/>
    <w:rsid w:val="0055088A"/>
    <w:rsid w:val="005840EF"/>
    <w:rsid w:val="005A752E"/>
    <w:rsid w:val="005D0785"/>
    <w:rsid w:val="005D711E"/>
    <w:rsid w:val="00606F36"/>
    <w:rsid w:val="0063432D"/>
    <w:rsid w:val="006750E6"/>
    <w:rsid w:val="00683BE5"/>
    <w:rsid w:val="006C284A"/>
    <w:rsid w:val="006D02CA"/>
    <w:rsid w:val="006D340F"/>
    <w:rsid w:val="00710D8D"/>
    <w:rsid w:val="00714245"/>
    <w:rsid w:val="007610C6"/>
    <w:rsid w:val="007C0C2C"/>
    <w:rsid w:val="007F1447"/>
    <w:rsid w:val="008470F7"/>
    <w:rsid w:val="00862FD2"/>
    <w:rsid w:val="00865A23"/>
    <w:rsid w:val="00866591"/>
    <w:rsid w:val="008902BE"/>
    <w:rsid w:val="008A1488"/>
    <w:rsid w:val="008B21BE"/>
    <w:rsid w:val="008F1B7C"/>
    <w:rsid w:val="008F67F7"/>
    <w:rsid w:val="0092413C"/>
    <w:rsid w:val="00943459"/>
    <w:rsid w:val="00952306"/>
    <w:rsid w:val="009724D8"/>
    <w:rsid w:val="009976D2"/>
    <w:rsid w:val="009B11E7"/>
    <w:rsid w:val="009B3488"/>
    <w:rsid w:val="009C7DFA"/>
    <w:rsid w:val="009D003A"/>
    <w:rsid w:val="009D68AF"/>
    <w:rsid w:val="009E1589"/>
    <w:rsid w:val="00A01395"/>
    <w:rsid w:val="00A16D53"/>
    <w:rsid w:val="00A37CFD"/>
    <w:rsid w:val="00A46E54"/>
    <w:rsid w:val="00A80641"/>
    <w:rsid w:val="00AB5527"/>
    <w:rsid w:val="00AC61AF"/>
    <w:rsid w:val="00AC7E25"/>
    <w:rsid w:val="00B12485"/>
    <w:rsid w:val="00B169EE"/>
    <w:rsid w:val="00B25FFE"/>
    <w:rsid w:val="00B801AB"/>
    <w:rsid w:val="00BC4277"/>
    <w:rsid w:val="00C01F1F"/>
    <w:rsid w:val="00C1412C"/>
    <w:rsid w:val="00C22A7A"/>
    <w:rsid w:val="00C271A6"/>
    <w:rsid w:val="00C671EC"/>
    <w:rsid w:val="00C84F71"/>
    <w:rsid w:val="00CF0D35"/>
    <w:rsid w:val="00D2342D"/>
    <w:rsid w:val="00D86B5F"/>
    <w:rsid w:val="00D94E67"/>
    <w:rsid w:val="00DA5E5B"/>
    <w:rsid w:val="00DE1E14"/>
    <w:rsid w:val="00DE631D"/>
    <w:rsid w:val="00DE75F7"/>
    <w:rsid w:val="00E1786F"/>
    <w:rsid w:val="00E24E18"/>
    <w:rsid w:val="00E5386D"/>
    <w:rsid w:val="00E63A6D"/>
    <w:rsid w:val="00E94A5E"/>
    <w:rsid w:val="00EC6EDB"/>
    <w:rsid w:val="00ED6578"/>
    <w:rsid w:val="00EF213A"/>
    <w:rsid w:val="00F05FBB"/>
    <w:rsid w:val="00F70D09"/>
    <w:rsid w:val="00F84CF6"/>
    <w:rsid w:val="00FC1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3E6AE8F5"/>
  <w15:docId w15:val="{E9B6ED62-5CB2-45F0-9897-4D839877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qFormat/>
    <w:rsid w:val="002056D7"/>
    <w:pPr>
      <w:keepNext/>
      <w:numPr>
        <w:ilvl w:val="1"/>
        <w:numId w:val="8"/>
      </w:numPr>
      <w:outlineLvl w:val="1"/>
    </w:pPr>
    <w:rPr>
      <w:caps/>
      <w:lang w:val="x-none" w:eastAsia="x-none"/>
    </w:rPr>
  </w:style>
  <w:style w:type="paragraph" w:styleId="Ttulo3">
    <w:name w:val="heading 3"/>
    <w:basedOn w:val="Normal"/>
    <w:next w:val="Normal"/>
    <w:link w:val="Ttulo3Char"/>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rsid w:val="002056D7"/>
    <w:rPr>
      <w:caps/>
      <w:sz w:val="24"/>
    </w:rPr>
  </w:style>
  <w:style w:type="character" w:customStyle="1" w:styleId="Ttulo3Char">
    <w:name w:val="Título 3 Char"/>
    <w:link w:val="Ttulo3"/>
    <w:rsid w:val="00E24E18"/>
    <w:rPr>
      <w:b/>
      <w:sz w:val="22"/>
      <w:u w:val="single"/>
    </w:rPr>
  </w:style>
  <w:style w:type="character" w:customStyle="1" w:styleId="Ttulo4Char">
    <w:name w:val="Título 4 Char"/>
    <w:link w:val="Ttulo4"/>
    <w:rsid w:val="00E24E18"/>
    <w:rPr>
      <w:rFonts w:ascii="Arial" w:hAnsi="Arial" w:cs="Arial"/>
      <w:sz w:val="24"/>
      <w:szCs w:val="24"/>
    </w:rPr>
  </w:style>
  <w:style w:type="character" w:customStyle="1" w:styleId="Ttulo5Char">
    <w:name w:val="Título 5 Char"/>
    <w:link w:val="Ttulo5"/>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numbering" w:customStyle="1" w:styleId="Semlista1">
    <w:name w:val="Sem lista1"/>
    <w:next w:val="Semlista"/>
    <w:uiPriority w:val="99"/>
    <w:semiHidden/>
    <w:unhideWhenUsed/>
    <w:rsid w:val="00C1412C"/>
  </w:style>
  <w:style w:type="table" w:customStyle="1" w:styleId="TableNormal">
    <w:name w:val="Table Normal"/>
    <w:rsid w:val="00C1412C"/>
    <w:pPr>
      <w:ind w:left="709"/>
    </w:pPr>
    <w:rPr>
      <w:rFonts w:ascii="Calibri" w:eastAsia="Calibri" w:hAnsi="Calibri" w:cs="Calibri"/>
      <w:sz w:val="22"/>
      <w:szCs w:val="22"/>
    </w:rPr>
    <w:tblPr>
      <w:tblCellMar>
        <w:top w:w="0" w:type="dxa"/>
        <w:left w:w="0" w:type="dxa"/>
        <w:bottom w:w="0" w:type="dxa"/>
        <w:right w:w="0" w:type="dxa"/>
      </w:tblCellMar>
    </w:tblPr>
  </w:style>
  <w:style w:type="paragraph" w:styleId="Ttulo">
    <w:name w:val="Title"/>
    <w:basedOn w:val="Normal"/>
    <w:next w:val="Normal"/>
    <w:link w:val="TtuloChar"/>
    <w:rsid w:val="00C1412C"/>
    <w:pPr>
      <w:keepNext/>
      <w:keepLines/>
      <w:widowControl/>
      <w:suppressLineNumbers w:val="0"/>
      <w:suppressAutoHyphens w:val="0"/>
      <w:spacing w:before="480" w:after="120"/>
      <w:ind w:left="709" w:firstLine="0"/>
      <w:jc w:val="left"/>
    </w:pPr>
    <w:rPr>
      <w:rFonts w:ascii="Calibri" w:eastAsia="Calibri" w:hAnsi="Calibri" w:cs="Calibri"/>
      <w:b/>
      <w:sz w:val="72"/>
      <w:szCs w:val="72"/>
    </w:rPr>
  </w:style>
  <w:style w:type="character" w:customStyle="1" w:styleId="TtuloChar">
    <w:name w:val="Título Char"/>
    <w:basedOn w:val="Fontepargpadro"/>
    <w:link w:val="Ttulo"/>
    <w:rsid w:val="00C1412C"/>
    <w:rPr>
      <w:rFonts w:ascii="Calibri" w:eastAsia="Calibri" w:hAnsi="Calibri" w:cs="Calibri"/>
      <w:b/>
      <w:sz w:val="72"/>
      <w:szCs w:val="72"/>
    </w:rPr>
  </w:style>
  <w:style w:type="paragraph" w:styleId="Subttulo">
    <w:name w:val="Subtitle"/>
    <w:basedOn w:val="Normal"/>
    <w:next w:val="Normal"/>
    <w:link w:val="SubttuloChar"/>
    <w:rsid w:val="00C1412C"/>
    <w:pPr>
      <w:keepNext/>
      <w:keepLines/>
      <w:widowControl/>
      <w:suppressLineNumbers w:val="0"/>
      <w:suppressAutoHyphens w:val="0"/>
      <w:spacing w:before="360" w:after="80"/>
      <w:ind w:left="709" w:firstLine="0"/>
      <w:jc w:val="left"/>
    </w:pPr>
    <w:rPr>
      <w:rFonts w:ascii="Georgia" w:eastAsia="Georgia" w:hAnsi="Georgia" w:cs="Georgia"/>
      <w:i/>
      <w:color w:val="666666"/>
      <w:sz w:val="48"/>
      <w:szCs w:val="48"/>
    </w:rPr>
  </w:style>
  <w:style w:type="character" w:customStyle="1" w:styleId="SubttuloChar">
    <w:name w:val="Subtítulo Char"/>
    <w:basedOn w:val="Fontepargpadro"/>
    <w:link w:val="Subttulo"/>
    <w:rsid w:val="00C1412C"/>
    <w:rPr>
      <w:rFonts w:ascii="Georgia" w:eastAsia="Georgia" w:hAnsi="Georgia" w:cs="Georgia"/>
      <w:i/>
      <w:color w:val="666666"/>
      <w:sz w:val="48"/>
      <w:szCs w:val="48"/>
    </w:rPr>
  </w:style>
  <w:style w:type="character" w:customStyle="1" w:styleId="Hyperlink1">
    <w:name w:val="Hyperlink1"/>
    <w:uiPriority w:val="99"/>
    <w:unhideWhenUsed/>
    <w:rsid w:val="00C1412C"/>
    <w:rPr>
      <w:color w:val="0000FF"/>
      <w:u w:val="single"/>
    </w:rPr>
  </w:style>
  <w:style w:type="character" w:customStyle="1" w:styleId="MenoPendente">
    <w:name w:val="Menção Pendente"/>
    <w:uiPriority w:val="99"/>
    <w:semiHidden/>
    <w:unhideWhenUsed/>
    <w:rsid w:val="00C141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isa_ln@hot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ctad.org/en/PublicationsLibrary/diaemisc2011d1_en.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manoel.lima@ufms.br" TargetMode="External"/><Relationship Id="rId4" Type="http://schemas.openxmlformats.org/officeDocument/2006/relationships/settings" Target="settings.xml"/><Relationship Id="rId9" Type="http://schemas.openxmlformats.org/officeDocument/2006/relationships/hyperlink" Target="mailto:vanderleimatieli@gmail.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5825F-69BF-4B3E-972E-13D904F34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17</Pages>
  <Words>7998</Words>
  <Characters>43195</Characters>
  <Application>Microsoft Office Word</Application>
  <DocSecurity>0</DocSecurity>
  <Lines>359</Lines>
  <Paragraphs>102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51091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Laísa</cp:lastModifiedBy>
  <cp:revision>5</cp:revision>
  <cp:lastPrinted>2016-08-30T16:57:00Z</cp:lastPrinted>
  <dcterms:created xsi:type="dcterms:W3CDTF">2019-07-15T01:35:00Z</dcterms:created>
  <dcterms:modified xsi:type="dcterms:W3CDTF">2019-07-15T02:06:00Z</dcterms:modified>
</cp:coreProperties>
</file>