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15" w:rsidRDefault="005E414E" w:rsidP="00C73AE8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Despesas Administrativas</w:t>
      </w:r>
      <w:r w:rsidR="006E00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FC9">
        <w:rPr>
          <w:rFonts w:ascii="Times New Roman" w:hAnsi="Times New Roman" w:cs="Times New Roman"/>
          <w:b/>
          <w:sz w:val="24"/>
          <w:szCs w:val="24"/>
        </w:rPr>
        <w:t>na</w:t>
      </w:r>
      <w:r w:rsidR="003413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4C7">
        <w:rPr>
          <w:rFonts w:ascii="Times New Roman" w:hAnsi="Times New Roman" w:cs="Times New Roman"/>
          <w:b/>
          <w:sz w:val="24"/>
          <w:szCs w:val="24"/>
        </w:rPr>
        <w:t>Previ</w:t>
      </w:r>
      <w:r w:rsidR="003413AB">
        <w:rPr>
          <w:rFonts w:ascii="Times New Roman" w:hAnsi="Times New Roman" w:cs="Times New Roman"/>
          <w:b/>
          <w:sz w:val="24"/>
          <w:szCs w:val="24"/>
        </w:rPr>
        <w:t>dência Fechada Brasileira</w:t>
      </w:r>
      <w:r w:rsidR="00EE6FC9">
        <w:rPr>
          <w:rFonts w:ascii="Times New Roman" w:hAnsi="Times New Roman" w:cs="Times New Roman"/>
          <w:b/>
          <w:sz w:val="24"/>
          <w:szCs w:val="24"/>
        </w:rPr>
        <w:t>: Economias de Escala e Escopo</w:t>
      </w:r>
      <w:r w:rsidR="00A82E05">
        <w:rPr>
          <w:rFonts w:ascii="Times New Roman" w:hAnsi="Times New Roman" w:cs="Times New Roman"/>
          <w:b/>
          <w:sz w:val="24"/>
          <w:szCs w:val="24"/>
        </w:rPr>
        <w:t xml:space="preserve"> sob a ótica do Ciclo de Vida de Modigliani</w:t>
      </w:r>
      <w:bookmarkStart w:id="0" w:name="_GoBack"/>
      <w:bookmarkEnd w:id="0"/>
    </w:p>
    <w:p w:rsidR="009F24FE" w:rsidRDefault="009F24FE" w:rsidP="00C73AE8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7A39" w:rsidRDefault="00647A39" w:rsidP="00C73AE8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4FE" w:rsidRPr="009F24FE" w:rsidRDefault="009F24FE" w:rsidP="009F24FE">
      <w:pPr>
        <w:spacing w:before="0"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24FE">
        <w:rPr>
          <w:rFonts w:ascii="Times New Roman" w:hAnsi="Times New Roman" w:cs="Times New Roman"/>
          <w:b/>
          <w:sz w:val="24"/>
          <w:szCs w:val="24"/>
        </w:rPr>
        <w:t xml:space="preserve">Rudolph Fabiano Alves </w:t>
      </w:r>
      <w:proofErr w:type="spellStart"/>
      <w:r w:rsidRPr="009F24FE">
        <w:rPr>
          <w:rFonts w:ascii="Times New Roman" w:hAnsi="Times New Roman" w:cs="Times New Roman"/>
          <w:b/>
          <w:sz w:val="24"/>
          <w:szCs w:val="24"/>
        </w:rPr>
        <w:t>Pedroza</w:t>
      </w:r>
      <w:proofErr w:type="spellEnd"/>
      <w:r w:rsidRPr="009F24FE">
        <w:rPr>
          <w:rFonts w:ascii="Times New Roman" w:hAnsi="Times New Roman" w:cs="Times New Roman"/>
          <w:b/>
          <w:sz w:val="24"/>
          <w:szCs w:val="24"/>
        </w:rPr>
        <w:t xml:space="preserve"> Teixeira</w:t>
      </w:r>
    </w:p>
    <w:p w:rsidR="009F24FE" w:rsidRPr="009F24FE" w:rsidRDefault="009F24FE" w:rsidP="009F24FE">
      <w:pPr>
        <w:spacing w:before="0" w:after="0" w:line="240" w:lineRule="auto"/>
        <w:ind w:left="0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9F24FE">
        <w:rPr>
          <w:rFonts w:ascii="Times New Roman" w:hAnsi="Times New Roman" w:cs="Times New Roman"/>
          <w:b/>
          <w:sz w:val="24"/>
          <w:szCs w:val="24"/>
        </w:rPr>
        <w:t>Universidade Federal do Rio de Janeiro (UFRJ)</w:t>
      </w:r>
    </w:p>
    <w:p w:rsidR="009F24FE" w:rsidRPr="009F24FE" w:rsidRDefault="009F24FE" w:rsidP="009F24FE">
      <w:pPr>
        <w:spacing w:before="0"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24FE">
        <w:rPr>
          <w:rFonts w:ascii="Times New Roman" w:hAnsi="Times New Roman" w:cs="Times New Roman"/>
          <w:b/>
          <w:i/>
          <w:sz w:val="24"/>
          <w:szCs w:val="24"/>
        </w:rPr>
        <w:t>E-mail:</w:t>
      </w:r>
      <w:r w:rsidRPr="009F24FE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9F2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rudolphteixeira@gmail.com</w:t>
        </w:r>
      </w:hyperlink>
    </w:p>
    <w:p w:rsidR="009F24FE" w:rsidRPr="009F24FE" w:rsidRDefault="009F24FE" w:rsidP="009F24FE">
      <w:pPr>
        <w:spacing w:before="0"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F24FE" w:rsidRPr="009F24FE" w:rsidRDefault="009F24FE" w:rsidP="009F24FE">
      <w:pPr>
        <w:spacing w:before="0"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24FE">
        <w:rPr>
          <w:rFonts w:ascii="Times New Roman" w:hAnsi="Times New Roman" w:cs="Times New Roman"/>
          <w:b/>
          <w:sz w:val="24"/>
          <w:szCs w:val="24"/>
        </w:rPr>
        <w:t>Adriano Rodrigues</w:t>
      </w:r>
    </w:p>
    <w:p w:rsidR="009F24FE" w:rsidRPr="009F24FE" w:rsidRDefault="009F24FE" w:rsidP="009F24FE">
      <w:pPr>
        <w:spacing w:before="0"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24FE">
        <w:rPr>
          <w:rFonts w:ascii="Times New Roman" w:hAnsi="Times New Roman" w:cs="Times New Roman"/>
          <w:b/>
          <w:sz w:val="24"/>
          <w:szCs w:val="24"/>
        </w:rPr>
        <w:t>Universidade Federal do Rio de Janeiro (UFRJ)</w:t>
      </w:r>
    </w:p>
    <w:p w:rsidR="009F24FE" w:rsidRDefault="009F24FE" w:rsidP="009F24FE">
      <w:pPr>
        <w:spacing w:before="0" w:after="0" w:line="240" w:lineRule="auto"/>
        <w:ind w:left="0" w:firstLine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24FE">
        <w:rPr>
          <w:rFonts w:ascii="Times New Roman" w:hAnsi="Times New Roman" w:cs="Times New Roman"/>
          <w:b/>
          <w:i/>
          <w:sz w:val="24"/>
          <w:szCs w:val="24"/>
        </w:rPr>
        <w:t>E-mail:</w:t>
      </w:r>
      <w:r w:rsidRPr="009F24FE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Pr="009F2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adriano@facc.ufrj.br</w:t>
        </w:r>
      </w:hyperlink>
    </w:p>
    <w:p w:rsidR="00A7386D" w:rsidRDefault="00A7386D" w:rsidP="00D5741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967AD" w:rsidRPr="00266157" w:rsidRDefault="007000BA" w:rsidP="007000BA">
      <w:pPr>
        <w:spacing w:before="0"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Resumo: </w:t>
      </w:r>
      <w:r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O pres</w:t>
      </w:r>
      <w:r w:rsidR="00991FF8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 trabalho </w:t>
      </w:r>
      <w:r w:rsidR="00C967AD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investigou </w:t>
      </w:r>
      <w:r w:rsidR="00991FF8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existência de economias de escala e escopo nas </w:t>
      </w:r>
      <w:r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Entidades Fechada</w:t>
      </w:r>
      <w:r w:rsidR="004B283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de Previdência </w:t>
      </w:r>
      <w:proofErr w:type="gramStart"/>
      <w:r w:rsidR="004B283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Complementar (</w:t>
      </w:r>
      <w:r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EFPC</w:t>
      </w:r>
      <w:r w:rsidR="004B283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brasileiras, durante o período 2010</w:t>
      </w:r>
      <w:proofErr w:type="gramEnd"/>
      <w:r w:rsidR="00A82E0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2014, por intermédio</w:t>
      </w:r>
      <w:r w:rsidR="00C967AD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 w:rsidR="00F15D67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econometria de dados em painel</w:t>
      </w:r>
      <w:r w:rsidR="00A82E0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2E0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pano de fundo foi </w:t>
      </w:r>
      <w:proofErr w:type="gramStart"/>
      <w:r w:rsidR="00A82E0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utilizada</w:t>
      </w:r>
      <w:proofErr w:type="gramEnd"/>
      <w:r w:rsidR="00A82E0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Teoria do Ciclo de Vida de Modigliani (TCV), que explica o comportamento poupador dos indivíduos vinculados a essas entidades.</w:t>
      </w:r>
      <w:r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026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construídos </w:t>
      </w:r>
      <w:r w:rsidR="00F15D67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três model</w:t>
      </w:r>
      <w:r w:rsidR="00276026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com </w:t>
      </w:r>
      <w:r w:rsidR="00224FAC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as duas principais variáveis explicativas destacadas pela literatura, ou seja</w:t>
      </w:r>
      <w:r w:rsidR="00C967AD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, o total de participantes</w:t>
      </w:r>
      <w:r w:rsidR="005E414E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total de ativos</w:t>
      </w:r>
      <w:r w:rsidR="00276026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. Os coeficientes encontrados foram</w:t>
      </w:r>
      <w:r w:rsidR="00A82E05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positivos e significativos</w:t>
      </w:r>
      <w:r w:rsidR="006A5420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, confirmando que o aumento do número de participantes e do volume de ativos possui a capacidade de reduzir as despesas administrativas unitárias, já que essas passariam a ser rateadas por um número maior de pessoas e de ativos. Por sua vez, não foram encontrados ind</w:t>
      </w:r>
      <w:r w:rsidR="00276026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ícios de que exista</w:t>
      </w:r>
      <w:r w:rsidR="006A5420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m economias de escopo nas EFPC.</w:t>
      </w:r>
      <w:r w:rsidR="004377D3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poss</w:t>
      </w:r>
      <w:r w:rsidR="00266157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e dos resultados pode-se concluir que</w:t>
      </w:r>
      <w:r w:rsidR="004377D3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as EFPC</w:t>
      </w:r>
      <w:r w:rsidR="008C4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brasileiras</w:t>
      </w:r>
      <w:r w:rsidR="004377D3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="00266157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ão utilizare</w:t>
      </w:r>
      <w:r w:rsidR="004377D3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seu potencial para reduzir suas despesas administrativas via efeito escala, seus participantes poderão </w:t>
      </w:r>
      <w:r w:rsidR="00266157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 incentivos a </w:t>
      </w:r>
      <w:r w:rsidR="004377D3" w:rsidRPr="00266157">
        <w:rPr>
          <w:rFonts w:ascii="Times New Roman" w:hAnsi="Times New Roman" w:cs="Times New Roman"/>
          <w:color w:val="000000" w:themeColor="text1"/>
          <w:sz w:val="24"/>
          <w:szCs w:val="24"/>
        </w:rPr>
        <w:t>buscar outras formas de poupança previdenciária.</w:t>
      </w:r>
    </w:p>
    <w:p w:rsidR="00D9325C" w:rsidRPr="007000BA" w:rsidRDefault="00991FF8" w:rsidP="007000BA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8BB" w:rsidRDefault="000A7C2D" w:rsidP="00D9325C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266157">
        <w:rPr>
          <w:rFonts w:ascii="Times New Roman" w:hAnsi="Times New Roman" w:cs="Times New Roman"/>
          <w:sz w:val="24"/>
          <w:szCs w:val="24"/>
        </w:rPr>
        <w:t>EFPC;</w:t>
      </w:r>
      <w:r w:rsidR="006B064F">
        <w:rPr>
          <w:rFonts w:ascii="Times New Roman" w:hAnsi="Times New Roman" w:cs="Times New Roman"/>
          <w:sz w:val="24"/>
          <w:szCs w:val="24"/>
        </w:rPr>
        <w:t xml:space="preserve"> </w:t>
      </w:r>
      <w:r w:rsidR="00266157">
        <w:rPr>
          <w:rFonts w:ascii="Times New Roman" w:hAnsi="Times New Roman" w:cs="Times New Roman"/>
          <w:sz w:val="24"/>
          <w:szCs w:val="24"/>
        </w:rPr>
        <w:t>Despesas Administrativas;</w:t>
      </w:r>
      <w:r w:rsidR="00D560A8">
        <w:rPr>
          <w:rFonts w:ascii="Times New Roman" w:hAnsi="Times New Roman" w:cs="Times New Roman"/>
          <w:sz w:val="24"/>
          <w:szCs w:val="24"/>
        </w:rPr>
        <w:t xml:space="preserve"> </w:t>
      </w:r>
      <w:r w:rsidR="00A82E05">
        <w:rPr>
          <w:rFonts w:ascii="Times New Roman" w:hAnsi="Times New Roman" w:cs="Times New Roman"/>
          <w:sz w:val="24"/>
          <w:szCs w:val="24"/>
        </w:rPr>
        <w:t>Teoria</w:t>
      </w:r>
      <w:r w:rsidR="00266157">
        <w:rPr>
          <w:rFonts w:ascii="Times New Roman" w:hAnsi="Times New Roman" w:cs="Times New Roman"/>
          <w:sz w:val="24"/>
          <w:szCs w:val="24"/>
        </w:rPr>
        <w:t xml:space="preserve"> do Ciclo de Vida de Modigliani;</w:t>
      </w:r>
      <w:r w:rsidR="00A82E05">
        <w:rPr>
          <w:rFonts w:ascii="Times New Roman" w:hAnsi="Times New Roman" w:cs="Times New Roman"/>
          <w:sz w:val="24"/>
          <w:szCs w:val="24"/>
        </w:rPr>
        <w:t xml:space="preserve"> </w:t>
      </w:r>
      <w:r w:rsidR="00266157">
        <w:rPr>
          <w:rFonts w:ascii="Times New Roman" w:hAnsi="Times New Roman" w:cs="Times New Roman"/>
          <w:sz w:val="24"/>
          <w:szCs w:val="24"/>
        </w:rPr>
        <w:t>Economias de Escala;</w:t>
      </w:r>
      <w:r w:rsidR="006B064F">
        <w:rPr>
          <w:rFonts w:ascii="Times New Roman" w:hAnsi="Times New Roman" w:cs="Times New Roman"/>
          <w:sz w:val="24"/>
          <w:szCs w:val="24"/>
        </w:rPr>
        <w:t xml:space="preserve"> E</w:t>
      </w:r>
      <w:r w:rsidRPr="000A7C2D">
        <w:rPr>
          <w:rFonts w:ascii="Times New Roman" w:hAnsi="Times New Roman" w:cs="Times New Roman"/>
          <w:sz w:val="24"/>
          <w:szCs w:val="24"/>
        </w:rPr>
        <w:t>con</w:t>
      </w:r>
      <w:r w:rsidR="006B064F">
        <w:rPr>
          <w:rFonts w:ascii="Times New Roman" w:hAnsi="Times New Roman" w:cs="Times New Roman"/>
          <w:sz w:val="24"/>
          <w:szCs w:val="24"/>
        </w:rPr>
        <w:t>omias de E</w:t>
      </w:r>
      <w:r w:rsidRPr="000A7C2D">
        <w:rPr>
          <w:rFonts w:ascii="Times New Roman" w:hAnsi="Times New Roman" w:cs="Times New Roman"/>
          <w:sz w:val="24"/>
          <w:szCs w:val="24"/>
        </w:rPr>
        <w:t>scopo</w:t>
      </w:r>
      <w:r w:rsidR="00D560A8">
        <w:rPr>
          <w:rFonts w:ascii="Times New Roman" w:hAnsi="Times New Roman" w:cs="Times New Roman"/>
          <w:sz w:val="24"/>
          <w:szCs w:val="24"/>
        </w:rPr>
        <w:t>.</w:t>
      </w:r>
    </w:p>
    <w:p w:rsidR="00D9325C" w:rsidRDefault="00D9325C" w:rsidP="00A76085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76085" w:rsidRPr="00E6463F" w:rsidRDefault="00BA7D34" w:rsidP="00A76085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Linha</w:t>
      </w:r>
      <w:r w:rsidR="00A76085" w:rsidRPr="00E6463F">
        <w:rPr>
          <w:rFonts w:ascii="Times New Roman" w:hAnsi="Times New Roman" w:cs="Times New Roman"/>
          <w:b/>
          <w:sz w:val="24"/>
          <w:szCs w:val="24"/>
        </w:rPr>
        <w:t xml:space="preserve"> Temática:</w:t>
      </w:r>
      <w:r w:rsidR="00A76085">
        <w:rPr>
          <w:rFonts w:ascii="Times New Roman" w:hAnsi="Times New Roman" w:cs="Times New Roman"/>
          <w:sz w:val="24"/>
          <w:szCs w:val="24"/>
        </w:rPr>
        <w:t xml:space="preserve"> </w:t>
      </w:r>
      <w:r w:rsidRPr="00BA7D34">
        <w:rPr>
          <w:rFonts w:ascii="Times New Roman" w:hAnsi="Times New Roman" w:cs="Times New Roman"/>
          <w:bCs/>
          <w:sz w:val="24"/>
          <w:szCs w:val="24"/>
        </w:rPr>
        <w:t>Outros temas relevantes em contabilidade</w:t>
      </w:r>
    </w:p>
    <w:p w:rsidR="00AD5827" w:rsidRPr="00C967AD" w:rsidRDefault="00AD5827" w:rsidP="00EE627A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  <w:sectPr w:rsidR="00AD5827" w:rsidRPr="00C967AD" w:rsidSect="00DA4FF7">
          <w:headerReference w:type="default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6F4340" w:rsidRPr="00213D0C" w:rsidRDefault="00213D0C" w:rsidP="00213D0C">
      <w:p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DB0650" w:rsidRPr="00213D0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705D87" w:rsidRDefault="00705D87" w:rsidP="00EE627A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05D87" w:rsidRDefault="00705D87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entidades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fechadas de </w:t>
      </w:r>
      <w:r w:rsidR="004B2835">
        <w:rPr>
          <w:rFonts w:ascii="Times New Roman" w:hAnsi="Times New Roman" w:cs="Times New Roman"/>
          <w:sz w:val="24"/>
          <w:szCs w:val="24"/>
        </w:rPr>
        <w:t>previdência complementar (EFPC)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C27FC3">
        <w:rPr>
          <w:rFonts w:ascii="Times New Roman" w:hAnsi="Times New Roman" w:cs="Times New Roman"/>
          <w:sz w:val="24"/>
          <w:szCs w:val="24"/>
        </w:rPr>
        <w:t>u fundos de pensão</w:t>
      </w:r>
      <w:proofErr w:type="gramEnd"/>
      <w:r w:rsidR="00C27FC3">
        <w:rPr>
          <w:rFonts w:ascii="Times New Roman" w:hAnsi="Times New Roman" w:cs="Times New Roman"/>
          <w:sz w:val="24"/>
          <w:szCs w:val="24"/>
        </w:rPr>
        <w:t xml:space="preserve"> são organizações</w:t>
      </w:r>
      <w:r>
        <w:rPr>
          <w:rFonts w:ascii="Times New Roman" w:hAnsi="Times New Roman" w:cs="Times New Roman"/>
          <w:sz w:val="24"/>
          <w:szCs w:val="24"/>
        </w:rPr>
        <w:t xml:space="preserve"> constituídas na forma de fundação ou sociedade civil, sem fins lucrativos, que possuem a função de administrar planos previdenciários coletivos</w:t>
      </w:r>
      <w:r w:rsidR="00D51F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acessíveis somente a empregados\servidores de uma patrocinadora ou a pessoas que tenham vinculo associativo com um instituidor (</w:t>
      </w:r>
      <w:r w:rsidR="009E7C13" w:rsidRPr="009E7C13">
        <w:rPr>
          <w:rFonts w:ascii="Times New Roman" w:hAnsi="Times New Roman" w:cs="Times New Roman"/>
          <w:sz w:val="24"/>
          <w:szCs w:val="24"/>
        </w:rPr>
        <w:t>Lei n. 109, 2001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0186D" w:rsidRDefault="0070186D" w:rsidP="00AD5827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0186D">
        <w:rPr>
          <w:rFonts w:ascii="Times New Roman" w:hAnsi="Times New Roman" w:cs="Times New Roman"/>
          <w:sz w:val="24"/>
          <w:szCs w:val="24"/>
        </w:rPr>
        <w:t>Essas entidades possuem uma enorme responsabilidade social, pois, além de terem a guarda dos recursos de</w:t>
      </w:r>
      <w:r w:rsidR="009E7C13">
        <w:rPr>
          <w:rFonts w:ascii="Times New Roman" w:hAnsi="Times New Roman" w:cs="Times New Roman"/>
          <w:sz w:val="24"/>
          <w:szCs w:val="24"/>
        </w:rPr>
        <w:t xml:space="preserve"> mais de 3,5</w:t>
      </w:r>
      <w:r w:rsidRPr="0070186D">
        <w:rPr>
          <w:rFonts w:ascii="Times New Roman" w:hAnsi="Times New Roman" w:cs="Times New Roman"/>
          <w:sz w:val="24"/>
          <w:szCs w:val="24"/>
        </w:rPr>
        <w:t xml:space="preserve"> milhões de pessoas</w:t>
      </w:r>
      <w:r w:rsidR="009E7C13">
        <w:rPr>
          <w:rFonts w:ascii="Times New Roman" w:hAnsi="Times New Roman" w:cs="Times New Roman"/>
          <w:sz w:val="24"/>
          <w:szCs w:val="24"/>
        </w:rPr>
        <w:t xml:space="preserve"> no Brasil (ABRAPP, 2019)</w:t>
      </w:r>
      <w:r w:rsidRPr="0070186D">
        <w:rPr>
          <w:rFonts w:ascii="Times New Roman" w:hAnsi="Times New Roman" w:cs="Times New Roman"/>
          <w:sz w:val="24"/>
          <w:szCs w:val="24"/>
        </w:rPr>
        <w:t>, elas também são responsáveis por gerir a aplicar esses recursos de forma eficiente e eficaz, buscando um equilíbrio entre risco e retorno, conforme as diretrizes da Resolução nº 4.661, de 25 de maio de 2018, editada pel</w:t>
      </w:r>
      <w:r w:rsidR="009E7C13">
        <w:rPr>
          <w:rFonts w:ascii="Times New Roman" w:hAnsi="Times New Roman" w:cs="Times New Roman"/>
          <w:sz w:val="24"/>
          <w:szCs w:val="24"/>
        </w:rPr>
        <w:t>o Conselho Monetário Nacio</w:t>
      </w:r>
      <w:r w:rsidR="004B2835">
        <w:rPr>
          <w:rFonts w:ascii="Times New Roman" w:hAnsi="Times New Roman" w:cs="Times New Roman"/>
          <w:sz w:val="24"/>
          <w:szCs w:val="24"/>
        </w:rPr>
        <w:t>nal (</w:t>
      </w:r>
      <w:r w:rsidRPr="0070186D">
        <w:rPr>
          <w:rFonts w:ascii="Times New Roman" w:hAnsi="Times New Roman" w:cs="Times New Roman"/>
          <w:sz w:val="24"/>
          <w:szCs w:val="24"/>
        </w:rPr>
        <w:t>CMN</w:t>
      </w:r>
      <w:r w:rsidR="004B2835">
        <w:rPr>
          <w:rFonts w:ascii="Times New Roman" w:hAnsi="Times New Roman" w:cs="Times New Roman"/>
          <w:sz w:val="24"/>
          <w:szCs w:val="24"/>
        </w:rPr>
        <w:t>)</w:t>
      </w:r>
      <w:r w:rsidRPr="0070186D">
        <w:rPr>
          <w:rFonts w:ascii="Times New Roman" w:hAnsi="Times New Roman" w:cs="Times New Roman"/>
          <w:sz w:val="24"/>
          <w:szCs w:val="24"/>
        </w:rPr>
        <w:t>.</w:t>
      </w:r>
    </w:p>
    <w:p w:rsidR="0070186D" w:rsidRDefault="0070186D" w:rsidP="0070186D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0186D">
        <w:rPr>
          <w:rFonts w:ascii="Times New Roman" w:hAnsi="Times New Roman" w:cs="Times New Roman"/>
          <w:sz w:val="24"/>
          <w:szCs w:val="24"/>
        </w:rPr>
        <w:t>Entretanto, a constituição e manutenção de uma EFPC demandam recursos para cobrir despesas administrativas diversas com seus planos de benefícios; carteira de investimentos; salários de funcionários; serviços advocatícios; consultoria atuarial e financeira; serviços de tecnologia da informação; entre outros (</w:t>
      </w:r>
      <w:proofErr w:type="spellStart"/>
      <w:r w:rsidRPr="0070186D">
        <w:rPr>
          <w:rFonts w:ascii="Times New Roman" w:hAnsi="Times New Roman" w:cs="Times New Roman"/>
          <w:sz w:val="24"/>
          <w:szCs w:val="24"/>
        </w:rPr>
        <w:t>Bateman</w:t>
      </w:r>
      <w:proofErr w:type="spellEnd"/>
      <w:r w:rsidRPr="0070186D">
        <w:rPr>
          <w:rFonts w:ascii="Times New Roman" w:hAnsi="Times New Roman" w:cs="Times New Roman"/>
          <w:sz w:val="24"/>
          <w:szCs w:val="24"/>
        </w:rPr>
        <w:t xml:space="preserve"> &amp; Mitchell, 2004).</w:t>
      </w:r>
    </w:p>
    <w:p w:rsidR="004A479F" w:rsidRDefault="004A479F" w:rsidP="004A479F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0186D">
        <w:rPr>
          <w:rFonts w:ascii="Times New Roman" w:hAnsi="Times New Roman" w:cs="Times New Roman"/>
          <w:sz w:val="24"/>
          <w:szCs w:val="24"/>
        </w:rPr>
        <w:t>A questão chave repousa no montante dessas despesas administrativas. Isto é, quanto maior a qu</w:t>
      </w:r>
      <w:r w:rsidR="00E276C7">
        <w:rPr>
          <w:rFonts w:ascii="Times New Roman" w:hAnsi="Times New Roman" w:cs="Times New Roman"/>
          <w:sz w:val="24"/>
          <w:szCs w:val="24"/>
        </w:rPr>
        <w:t>antidade de recursos necessária</w:t>
      </w:r>
      <w:r w:rsidRPr="0070186D">
        <w:rPr>
          <w:rFonts w:ascii="Times New Roman" w:hAnsi="Times New Roman" w:cs="Times New Roman"/>
          <w:sz w:val="24"/>
          <w:szCs w:val="24"/>
        </w:rPr>
        <w:t xml:space="preserve"> à manutenção de uma EFPC, menor será a quantia que sobrará para a composição das reservas dos participantes.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6C7">
        <w:rPr>
          <w:rFonts w:ascii="Times New Roman" w:hAnsi="Times New Roman" w:cs="Times New Roman"/>
          <w:color w:val="000000" w:themeColor="text1"/>
          <w:sz w:val="24"/>
          <w:szCs w:val="24"/>
        </w:rPr>
        <w:t>Nesse aspecto, como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taxas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 carregamento e administração financiam as despesas administrativas das EFPC, essas últimas devem ser prudentes e módicas, de modo a minimizar as primeiras.</w:t>
      </w:r>
    </w:p>
    <w:p w:rsidR="004A479F" w:rsidRDefault="004A479F" w:rsidP="004A479F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0186D">
        <w:rPr>
          <w:rFonts w:ascii="Times New Roman" w:hAnsi="Times New Roman" w:cs="Times New Roman"/>
          <w:sz w:val="24"/>
          <w:szCs w:val="24"/>
        </w:rPr>
        <w:t xml:space="preserve">Só para se </w:t>
      </w:r>
      <w:proofErr w:type="gramStart"/>
      <w:r w:rsidRPr="0070186D">
        <w:rPr>
          <w:rFonts w:ascii="Times New Roman" w:hAnsi="Times New Roman" w:cs="Times New Roman"/>
          <w:sz w:val="24"/>
          <w:szCs w:val="24"/>
        </w:rPr>
        <w:t>ter</w:t>
      </w:r>
      <w:proofErr w:type="gramEnd"/>
      <w:r w:rsidRPr="0070186D">
        <w:rPr>
          <w:rFonts w:ascii="Times New Roman" w:hAnsi="Times New Roman" w:cs="Times New Roman"/>
          <w:sz w:val="24"/>
          <w:szCs w:val="24"/>
        </w:rPr>
        <w:t xml:space="preserve"> uma ideia da magnitude do impacto das despesas administrativas sobre as reservas dos participantes, </w:t>
      </w:r>
      <w:proofErr w:type="spellStart"/>
      <w:r w:rsidRPr="0070186D">
        <w:rPr>
          <w:rFonts w:ascii="Times New Roman" w:hAnsi="Times New Roman" w:cs="Times New Roman"/>
          <w:sz w:val="24"/>
          <w:szCs w:val="24"/>
        </w:rPr>
        <w:t>Bikker</w:t>
      </w:r>
      <w:proofErr w:type="spellEnd"/>
      <w:r w:rsidRPr="0070186D">
        <w:rPr>
          <w:rFonts w:ascii="Times New Roman" w:hAnsi="Times New Roman" w:cs="Times New Roman"/>
          <w:sz w:val="24"/>
          <w:szCs w:val="24"/>
        </w:rPr>
        <w:t xml:space="preserve"> e De </w:t>
      </w:r>
      <w:proofErr w:type="spellStart"/>
      <w:r w:rsidRPr="0070186D">
        <w:rPr>
          <w:rFonts w:ascii="Times New Roman" w:hAnsi="Times New Roman" w:cs="Times New Roman"/>
          <w:sz w:val="24"/>
          <w:szCs w:val="24"/>
        </w:rPr>
        <w:t>Dreu</w:t>
      </w:r>
      <w:proofErr w:type="spellEnd"/>
      <w:r w:rsidRPr="0070186D">
        <w:rPr>
          <w:rFonts w:ascii="Times New Roman" w:hAnsi="Times New Roman" w:cs="Times New Roman"/>
          <w:sz w:val="24"/>
          <w:szCs w:val="24"/>
        </w:rPr>
        <w:t xml:space="preserve"> (2006) calcula</w:t>
      </w:r>
      <w:r w:rsidR="00E276C7">
        <w:rPr>
          <w:rFonts w:ascii="Times New Roman" w:hAnsi="Times New Roman" w:cs="Times New Roman"/>
          <w:sz w:val="24"/>
          <w:szCs w:val="24"/>
        </w:rPr>
        <w:t xml:space="preserve">ram que </w:t>
      </w:r>
      <w:r w:rsidR="00D0395B">
        <w:rPr>
          <w:rFonts w:ascii="Times New Roman" w:hAnsi="Times New Roman" w:cs="Times New Roman"/>
          <w:sz w:val="24"/>
          <w:szCs w:val="24"/>
        </w:rPr>
        <w:t>um incremento na</w:t>
      </w:r>
      <w:r w:rsidR="00E276C7">
        <w:rPr>
          <w:rFonts w:ascii="Times New Roman" w:hAnsi="Times New Roman" w:cs="Times New Roman"/>
          <w:sz w:val="24"/>
          <w:szCs w:val="24"/>
        </w:rPr>
        <w:t xml:space="preserve"> taxa de administração</w:t>
      </w:r>
      <w:r w:rsidRPr="0070186D">
        <w:rPr>
          <w:rFonts w:ascii="Times New Roman" w:hAnsi="Times New Roman" w:cs="Times New Roman"/>
          <w:sz w:val="24"/>
          <w:szCs w:val="24"/>
        </w:rPr>
        <w:t xml:space="preserve"> da ordem de 1% pode ser capaz de corroer até 27% dos ativos de uma pessoa, dependendo do nível salarial, da i</w:t>
      </w:r>
      <w:r w:rsidR="008E2E50">
        <w:rPr>
          <w:rFonts w:ascii="Times New Roman" w:hAnsi="Times New Roman" w:cs="Times New Roman"/>
          <w:sz w:val="24"/>
          <w:szCs w:val="24"/>
        </w:rPr>
        <w:t>nflação e da taxa de retorno desses</w:t>
      </w:r>
      <w:r w:rsidRPr="0070186D">
        <w:rPr>
          <w:rFonts w:ascii="Times New Roman" w:hAnsi="Times New Roman" w:cs="Times New Roman"/>
          <w:sz w:val="24"/>
          <w:szCs w:val="24"/>
        </w:rPr>
        <w:t xml:space="preserve"> ativos.</w:t>
      </w:r>
    </w:p>
    <w:p w:rsidR="0070186D" w:rsidRPr="0070186D" w:rsidRDefault="004A479F" w:rsidP="004A479F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0186D">
        <w:rPr>
          <w:rFonts w:ascii="Times New Roman" w:hAnsi="Times New Roman" w:cs="Times New Roman"/>
          <w:sz w:val="24"/>
          <w:szCs w:val="24"/>
        </w:rPr>
        <w:t xml:space="preserve">Assim, investigar a existência de economias de escala e escopo nas EFPC </w:t>
      </w:r>
      <w:r w:rsidR="008E2E50">
        <w:rPr>
          <w:rFonts w:ascii="Times New Roman" w:hAnsi="Times New Roman" w:cs="Times New Roman"/>
          <w:sz w:val="24"/>
          <w:szCs w:val="24"/>
        </w:rPr>
        <w:t xml:space="preserve">é fundamental para que essas entidades possam </w:t>
      </w:r>
      <w:r w:rsidRPr="0070186D">
        <w:rPr>
          <w:rFonts w:ascii="Times New Roman" w:hAnsi="Times New Roman" w:cs="Times New Roman"/>
          <w:sz w:val="24"/>
          <w:szCs w:val="24"/>
        </w:rPr>
        <w:t xml:space="preserve">buscar a redução do custeio administrativo, permitindo a cobrança de menores taxas de carregamento e administração, o que ensejaria no aumento das aposentadorias e pensões dos participantes ativos, inativos e pensionistas (Caetano, </w:t>
      </w:r>
      <w:proofErr w:type="spellStart"/>
      <w:r w:rsidRPr="0070186D">
        <w:rPr>
          <w:rFonts w:ascii="Times New Roman" w:hAnsi="Times New Roman" w:cs="Times New Roman"/>
          <w:sz w:val="24"/>
          <w:szCs w:val="24"/>
        </w:rPr>
        <w:t>Boueri</w:t>
      </w:r>
      <w:proofErr w:type="spellEnd"/>
      <w:r w:rsidRPr="0070186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0186D">
        <w:rPr>
          <w:rFonts w:ascii="Times New Roman" w:hAnsi="Times New Roman" w:cs="Times New Roman"/>
          <w:sz w:val="24"/>
          <w:szCs w:val="24"/>
        </w:rPr>
        <w:t>Sachsida</w:t>
      </w:r>
      <w:proofErr w:type="spellEnd"/>
      <w:r w:rsidRPr="0070186D">
        <w:rPr>
          <w:rFonts w:ascii="Times New Roman" w:hAnsi="Times New Roman" w:cs="Times New Roman"/>
          <w:sz w:val="24"/>
          <w:szCs w:val="24"/>
        </w:rPr>
        <w:t>, 2015).</w:t>
      </w:r>
    </w:p>
    <w:p w:rsidR="006D452E" w:rsidRDefault="000423A6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F65A66">
        <w:rPr>
          <w:rFonts w:ascii="Times New Roman" w:hAnsi="Times New Roman" w:cs="Times New Roman"/>
          <w:sz w:val="24"/>
          <w:szCs w:val="24"/>
        </w:rPr>
        <w:t>O objetivo desse trabalho é investigar a existência de economias de escala e escopo nas EFPC bra</w:t>
      </w:r>
      <w:r w:rsidR="00FB3499">
        <w:rPr>
          <w:rFonts w:ascii="Times New Roman" w:hAnsi="Times New Roman" w:cs="Times New Roman"/>
          <w:sz w:val="24"/>
          <w:szCs w:val="24"/>
        </w:rPr>
        <w:t>sileiras durante o período 2010-</w:t>
      </w:r>
      <w:r w:rsidRPr="00F65A66">
        <w:rPr>
          <w:rFonts w:ascii="Times New Roman" w:hAnsi="Times New Roman" w:cs="Times New Roman"/>
          <w:sz w:val="24"/>
          <w:szCs w:val="24"/>
        </w:rPr>
        <w:t>2014</w:t>
      </w:r>
      <w:r w:rsidR="00167CE2">
        <w:rPr>
          <w:rFonts w:ascii="Times New Roman" w:hAnsi="Times New Roman" w:cs="Times New Roman"/>
          <w:sz w:val="24"/>
          <w:szCs w:val="24"/>
        </w:rPr>
        <w:t>, que é o maior período</w:t>
      </w:r>
      <w:r w:rsidR="005D69C1">
        <w:rPr>
          <w:rFonts w:ascii="Times New Roman" w:hAnsi="Times New Roman" w:cs="Times New Roman"/>
          <w:sz w:val="24"/>
          <w:szCs w:val="24"/>
        </w:rPr>
        <w:t xml:space="preserve"> da base de dados disponibilizado pela </w:t>
      </w:r>
      <w:r w:rsidR="00922634">
        <w:rPr>
          <w:rFonts w:ascii="Times New Roman" w:hAnsi="Times New Roman" w:cs="Times New Roman"/>
          <w:bCs/>
          <w:sz w:val="24"/>
          <w:szCs w:val="24"/>
        </w:rPr>
        <w:t>S</w:t>
      </w:r>
      <w:r w:rsidR="00922634" w:rsidRPr="00173684">
        <w:rPr>
          <w:rFonts w:ascii="Times New Roman" w:hAnsi="Times New Roman" w:cs="Times New Roman"/>
          <w:bCs/>
          <w:sz w:val="24"/>
          <w:szCs w:val="24"/>
        </w:rPr>
        <w:t>uperintendênci</w:t>
      </w:r>
      <w:r w:rsidR="00922634">
        <w:rPr>
          <w:rFonts w:ascii="Times New Roman" w:hAnsi="Times New Roman" w:cs="Times New Roman"/>
          <w:bCs/>
          <w:sz w:val="24"/>
          <w:szCs w:val="24"/>
        </w:rPr>
        <w:t>a Nacional de Previdência C</w:t>
      </w:r>
      <w:r w:rsidR="00922634" w:rsidRPr="001D399E">
        <w:rPr>
          <w:rFonts w:ascii="Times New Roman" w:hAnsi="Times New Roman" w:cs="Times New Roman"/>
          <w:bCs/>
          <w:sz w:val="24"/>
          <w:szCs w:val="24"/>
        </w:rPr>
        <w:t>omplementar</w:t>
      </w:r>
      <w:r w:rsidR="00EF088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5D69C1">
        <w:rPr>
          <w:rFonts w:ascii="Times New Roman" w:hAnsi="Times New Roman" w:cs="Times New Roman"/>
          <w:bCs/>
          <w:sz w:val="24"/>
          <w:szCs w:val="24"/>
        </w:rPr>
        <w:t>PREVIC</w:t>
      </w:r>
      <w:r w:rsidR="00EF0885">
        <w:rPr>
          <w:rFonts w:ascii="Times New Roman" w:hAnsi="Times New Roman" w:cs="Times New Roman"/>
          <w:bCs/>
          <w:sz w:val="24"/>
          <w:szCs w:val="24"/>
        </w:rPr>
        <w:t>)</w:t>
      </w:r>
      <w:r w:rsidR="00167CE2">
        <w:rPr>
          <w:rFonts w:ascii="Times New Roman" w:hAnsi="Times New Roman" w:cs="Times New Roman"/>
          <w:bCs/>
          <w:sz w:val="24"/>
          <w:szCs w:val="24"/>
        </w:rPr>
        <w:t>, até então</w:t>
      </w:r>
      <w:r w:rsidRPr="00F65A66">
        <w:rPr>
          <w:rFonts w:ascii="Times New Roman" w:hAnsi="Times New Roman" w:cs="Times New Roman"/>
          <w:sz w:val="24"/>
          <w:szCs w:val="24"/>
        </w:rPr>
        <w:t>. Caso existam tais economias, pode-se considerar</w:t>
      </w:r>
      <w:r>
        <w:rPr>
          <w:rFonts w:ascii="Times New Roman" w:hAnsi="Times New Roman" w:cs="Times New Roman"/>
          <w:sz w:val="24"/>
          <w:szCs w:val="24"/>
        </w:rPr>
        <w:t xml:space="preserve"> que as EFPC do Brasil </w:t>
      </w:r>
      <w:r w:rsidRPr="00F65A66">
        <w:rPr>
          <w:rFonts w:ascii="Times New Roman" w:hAnsi="Times New Roman" w:cs="Times New Roman"/>
          <w:sz w:val="24"/>
          <w:szCs w:val="24"/>
        </w:rPr>
        <w:t xml:space="preserve">possuem margem para redução de suas despesas administrativas, beneficiando diretamente seus </w:t>
      </w:r>
      <w:r w:rsidR="00591421" w:rsidRPr="00591421">
        <w:rPr>
          <w:rFonts w:ascii="Times New Roman" w:hAnsi="Times New Roman" w:cs="Times New Roman"/>
          <w:i/>
          <w:sz w:val="24"/>
          <w:szCs w:val="24"/>
        </w:rPr>
        <w:t>stakeholders</w:t>
      </w:r>
      <w:r w:rsidRPr="00F65A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2634" w:rsidRDefault="00922634" w:rsidP="00922634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22634">
        <w:rPr>
          <w:rFonts w:ascii="Times New Roman" w:hAnsi="Times New Roman" w:cs="Times New Roman"/>
          <w:sz w:val="24"/>
          <w:szCs w:val="24"/>
        </w:rPr>
        <w:t xml:space="preserve">Como contribuições secundárias </w:t>
      </w:r>
      <w:proofErr w:type="gramStart"/>
      <w:r w:rsidRPr="00922634">
        <w:rPr>
          <w:rFonts w:ascii="Times New Roman" w:hAnsi="Times New Roman" w:cs="Times New Roman"/>
          <w:sz w:val="24"/>
          <w:szCs w:val="24"/>
        </w:rPr>
        <w:t>pode-se destacar</w:t>
      </w:r>
      <w:proofErr w:type="gramEnd"/>
      <w:r w:rsidRPr="00922634">
        <w:rPr>
          <w:rFonts w:ascii="Times New Roman" w:hAnsi="Times New Roman" w:cs="Times New Roman"/>
          <w:sz w:val="24"/>
          <w:szCs w:val="24"/>
        </w:rPr>
        <w:t>: a) a proposição da variável “relação de planos d</w:t>
      </w:r>
      <w:r w:rsidR="004B2835">
        <w:rPr>
          <w:rFonts w:ascii="Times New Roman" w:hAnsi="Times New Roman" w:cs="Times New Roman"/>
          <w:sz w:val="24"/>
          <w:szCs w:val="24"/>
        </w:rPr>
        <w:t>e benefício definido (BD)</w:t>
      </w:r>
      <w:r w:rsidRPr="00922634">
        <w:rPr>
          <w:rFonts w:ascii="Times New Roman" w:hAnsi="Times New Roman" w:cs="Times New Roman"/>
          <w:sz w:val="24"/>
          <w:szCs w:val="24"/>
        </w:rPr>
        <w:t xml:space="preserve"> sobre a s</w:t>
      </w:r>
      <w:r w:rsidR="004B2835">
        <w:rPr>
          <w:rFonts w:ascii="Times New Roman" w:hAnsi="Times New Roman" w:cs="Times New Roman"/>
          <w:sz w:val="24"/>
          <w:szCs w:val="24"/>
        </w:rPr>
        <w:t>oma dos demais tipos de planos [contribuição definida (CD) e contribuição variável (CV)]</w:t>
      </w:r>
      <w:r w:rsidRPr="00922634">
        <w:rPr>
          <w:rFonts w:ascii="Times New Roman" w:hAnsi="Times New Roman" w:cs="Times New Roman"/>
          <w:sz w:val="24"/>
          <w:szCs w:val="24"/>
        </w:rPr>
        <w:t>” inédita nesse tipo de estudo até onde se sabe e que foi construída com inspiração no Comit</w:t>
      </w:r>
      <w:r w:rsidR="004B2835">
        <w:rPr>
          <w:rFonts w:ascii="Times New Roman" w:hAnsi="Times New Roman" w:cs="Times New Roman"/>
          <w:sz w:val="24"/>
          <w:szCs w:val="24"/>
        </w:rPr>
        <w:t>ê de Pronunciamentos Contábeis (CPC)</w:t>
      </w:r>
      <w:r w:rsidRPr="00922634">
        <w:rPr>
          <w:rFonts w:ascii="Times New Roman" w:hAnsi="Times New Roman" w:cs="Times New Roman"/>
          <w:sz w:val="24"/>
          <w:szCs w:val="24"/>
        </w:rPr>
        <w:t xml:space="preserve"> 49 – </w:t>
      </w:r>
      <w:r w:rsidRPr="00922634">
        <w:rPr>
          <w:rFonts w:ascii="Times New Roman" w:hAnsi="Times New Roman" w:cs="Times New Roman"/>
          <w:bCs/>
          <w:sz w:val="24"/>
          <w:szCs w:val="24"/>
        </w:rPr>
        <w:t>Contabilização e Relatório Contábil de Planos de Benefícios de Aposentadoria</w:t>
      </w:r>
      <w:r w:rsidRPr="00922634">
        <w:rPr>
          <w:rFonts w:ascii="Times New Roman" w:hAnsi="Times New Roman" w:cs="Times New Roman"/>
          <w:sz w:val="24"/>
          <w:szCs w:val="24"/>
        </w:rPr>
        <w:t xml:space="preserve"> e; b) ajudar a ampliar a incipiente literatura existente sobre o tema, principalmente</w:t>
      </w:r>
      <w:r w:rsidR="00EF0885">
        <w:rPr>
          <w:rFonts w:ascii="Times New Roman" w:hAnsi="Times New Roman" w:cs="Times New Roman"/>
          <w:sz w:val="24"/>
          <w:szCs w:val="24"/>
        </w:rPr>
        <w:t>,</w:t>
      </w:r>
      <w:r w:rsidRPr="00922634">
        <w:rPr>
          <w:rFonts w:ascii="Times New Roman" w:hAnsi="Times New Roman" w:cs="Times New Roman"/>
          <w:sz w:val="24"/>
          <w:szCs w:val="24"/>
        </w:rPr>
        <w:t xml:space="preserve"> no Brasil.</w:t>
      </w:r>
    </w:p>
    <w:p w:rsidR="003A696E" w:rsidRDefault="000423A6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F65A66">
        <w:rPr>
          <w:rFonts w:ascii="Times New Roman" w:hAnsi="Times New Roman" w:cs="Times New Roman"/>
          <w:sz w:val="24"/>
          <w:szCs w:val="24"/>
        </w:rPr>
        <w:t xml:space="preserve">Além dessa introdução, a seção seguinte apresenta a </w:t>
      </w:r>
      <w:r w:rsidR="00922634">
        <w:rPr>
          <w:rFonts w:ascii="Times New Roman" w:hAnsi="Times New Roman" w:cs="Times New Roman"/>
          <w:sz w:val="24"/>
          <w:szCs w:val="24"/>
        </w:rPr>
        <w:t>fundamentação teórica sobre a</w:t>
      </w:r>
      <w:r w:rsidR="00EF0885">
        <w:rPr>
          <w:rFonts w:ascii="Times New Roman" w:hAnsi="Times New Roman" w:cs="Times New Roman"/>
          <w:sz w:val="24"/>
          <w:szCs w:val="24"/>
        </w:rPr>
        <w:t xml:space="preserve"> formação de poupança previdenciária c</w:t>
      </w:r>
      <w:r w:rsidR="00895ED2">
        <w:rPr>
          <w:rFonts w:ascii="Times New Roman" w:hAnsi="Times New Roman" w:cs="Times New Roman"/>
          <w:sz w:val="24"/>
          <w:szCs w:val="24"/>
        </w:rPr>
        <w:t>om base no Ciclo de Vida de Modi</w:t>
      </w:r>
      <w:r w:rsidR="00EF0885">
        <w:rPr>
          <w:rFonts w:ascii="Times New Roman" w:hAnsi="Times New Roman" w:cs="Times New Roman"/>
          <w:sz w:val="24"/>
          <w:szCs w:val="24"/>
        </w:rPr>
        <w:t>gliani</w:t>
      </w:r>
      <w:r w:rsidRPr="00F65A66">
        <w:rPr>
          <w:rFonts w:ascii="Times New Roman" w:hAnsi="Times New Roman" w:cs="Times New Roman"/>
          <w:sz w:val="24"/>
          <w:szCs w:val="24"/>
        </w:rPr>
        <w:t xml:space="preserve">; a seção </w:t>
      </w:r>
      <w:r w:rsidR="00EA3018">
        <w:rPr>
          <w:rFonts w:ascii="Times New Roman" w:hAnsi="Times New Roman" w:cs="Times New Roman"/>
          <w:sz w:val="24"/>
          <w:szCs w:val="24"/>
        </w:rPr>
        <w:t>três</w:t>
      </w:r>
      <w:r w:rsidRPr="00F65A66">
        <w:rPr>
          <w:rFonts w:ascii="Times New Roman" w:hAnsi="Times New Roman" w:cs="Times New Roman"/>
          <w:sz w:val="24"/>
          <w:szCs w:val="24"/>
        </w:rPr>
        <w:t xml:space="preserve"> </w:t>
      </w:r>
      <w:r w:rsidR="00D0395B">
        <w:rPr>
          <w:rFonts w:ascii="Times New Roman" w:hAnsi="Times New Roman" w:cs="Times New Roman"/>
          <w:sz w:val="24"/>
          <w:szCs w:val="24"/>
        </w:rPr>
        <w:t>traz as evidências empíricas</w:t>
      </w:r>
      <w:r w:rsidR="00922634" w:rsidRPr="00F65A66">
        <w:rPr>
          <w:rFonts w:ascii="Times New Roman" w:hAnsi="Times New Roman" w:cs="Times New Roman"/>
          <w:sz w:val="24"/>
          <w:szCs w:val="24"/>
        </w:rPr>
        <w:t xml:space="preserve"> sobre </w:t>
      </w:r>
      <w:r w:rsidR="00922634">
        <w:rPr>
          <w:rFonts w:ascii="Times New Roman" w:hAnsi="Times New Roman" w:cs="Times New Roman"/>
          <w:sz w:val="24"/>
          <w:szCs w:val="24"/>
        </w:rPr>
        <w:t xml:space="preserve">as </w:t>
      </w:r>
      <w:r w:rsidR="00922634" w:rsidRPr="00F65A66">
        <w:rPr>
          <w:rFonts w:ascii="Times New Roman" w:hAnsi="Times New Roman" w:cs="Times New Roman"/>
          <w:sz w:val="24"/>
          <w:szCs w:val="24"/>
        </w:rPr>
        <w:t>economias de escala e escopo na previdência complementar fechada no Brasil e no mundo</w:t>
      </w:r>
      <w:r w:rsidR="00922634">
        <w:rPr>
          <w:rFonts w:ascii="Times New Roman" w:hAnsi="Times New Roman" w:cs="Times New Roman"/>
          <w:sz w:val="24"/>
          <w:szCs w:val="24"/>
        </w:rPr>
        <w:t xml:space="preserve"> e</w:t>
      </w:r>
      <w:r w:rsidR="00895ED2">
        <w:rPr>
          <w:rFonts w:ascii="Times New Roman" w:hAnsi="Times New Roman" w:cs="Times New Roman"/>
          <w:sz w:val="24"/>
          <w:szCs w:val="24"/>
        </w:rPr>
        <w:t>;</w:t>
      </w:r>
      <w:r w:rsidR="00922634">
        <w:rPr>
          <w:rFonts w:ascii="Times New Roman" w:hAnsi="Times New Roman" w:cs="Times New Roman"/>
          <w:sz w:val="24"/>
          <w:szCs w:val="24"/>
        </w:rPr>
        <w:t xml:space="preserve"> a seção quatro</w:t>
      </w:r>
      <w:r w:rsidR="00922634" w:rsidRPr="00F65A66">
        <w:rPr>
          <w:rFonts w:ascii="Times New Roman" w:hAnsi="Times New Roman" w:cs="Times New Roman"/>
          <w:sz w:val="24"/>
          <w:szCs w:val="24"/>
        </w:rPr>
        <w:t xml:space="preserve"> </w:t>
      </w:r>
      <w:r w:rsidRPr="00F65A66">
        <w:rPr>
          <w:rFonts w:ascii="Times New Roman" w:hAnsi="Times New Roman" w:cs="Times New Roman"/>
          <w:sz w:val="24"/>
          <w:szCs w:val="24"/>
        </w:rPr>
        <w:t>trata</w:t>
      </w:r>
      <w:r w:rsidR="00591421">
        <w:rPr>
          <w:rFonts w:ascii="Times New Roman" w:hAnsi="Times New Roman" w:cs="Times New Roman"/>
          <w:sz w:val="24"/>
          <w:szCs w:val="24"/>
        </w:rPr>
        <w:t xml:space="preserve"> </w:t>
      </w:r>
      <w:r w:rsidR="00EA3018">
        <w:rPr>
          <w:rFonts w:ascii="Times New Roman" w:hAnsi="Times New Roman" w:cs="Times New Roman"/>
          <w:sz w:val="24"/>
          <w:szCs w:val="24"/>
        </w:rPr>
        <w:t>d</w:t>
      </w:r>
      <w:r w:rsidR="00D12EED">
        <w:rPr>
          <w:rFonts w:ascii="Times New Roman" w:hAnsi="Times New Roman" w:cs="Times New Roman"/>
          <w:sz w:val="24"/>
          <w:szCs w:val="24"/>
        </w:rPr>
        <w:t xml:space="preserve">a </w:t>
      </w:r>
      <w:r w:rsidR="00627871">
        <w:rPr>
          <w:rFonts w:ascii="Times New Roman" w:hAnsi="Times New Roman" w:cs="Times New Roman"/>
          <w:sz w:val="24"/>
          <w:szCs w:val="24"/>
        </w:rPr>
        <w:t>metodologia</w:t>
      </w:r>
      <w:r w:rsidR="00922634">
        <w:rPr>
          <w:rFonts w:ascii="Times New Roman" w:hAnsi="Times New Roman" w:cs="Times New Roman"/>
          <w:sz w:val="24"/>
          <w:szCs w:val="24"/>
        </w:rPr>
        <w:t>, da</w:t>
      </w:r>
      <w:r w:rsidRPr="00F65A66">
        <w:rPr>
          <w:rFonts w:ascii="Times New Roman" w:hAnsi="Times New Roman" w:cs="Times New Roman"/>
          <w:sz w:val="24"/>
          <w:szCs w:val="24"/>
        </w:rPr>
        <w:t xml:space="preserve"> </w:t>
      </w:r>
      <w:r w:rsidR="00922634">
        <w:rPr>
          <w:rFonts w:ascii="Times New Roman" w:hAnsi="Times New Roman" w:cs="Times New Roman"/>
          <w:sz w:val="24"/>
          <w:szCs w:val="24"/>
        </w:rPr>
        <w:t>base de dados e do</w:t>
      </w:r>
      <w:r w:rsidR="00EA3018">
        <w:rPr>
          <w:rFonts w:ascii="Times New Roman" w:hAnsi="Times New Roman" w:cs="Times New Roman"/>
          <w:sz w:val="24"/>
          <w:szCs w:val="24"/>
        </w:rPr>
        <w:t xml:space="preserve"> modelo empírico. A </w:t>
      </w:r>
      <w:r w:rsidR="00922634">
        <w:rPr>
          <w:rFonts w:ascii="Times New Roman" w:hAnsi="Times New Roman" w:cs="Times New Roman"/>
          <w:sz w:val="24"/>
          <w:szCs w:val="24"/>
        </w:rPr>
        <w:t xml:space="preserve">seção </w:t>
      </w:r>
      <w:r w:rsidR="00EA3018">
        <w:rPr>
          <w:rFonts w:ascii="Times New Roman" w:hAnsi="Times New Roman" w:cs="Times New Roman"/>
          <w:sz w:val="24"/>
          <w:szCs w:val="24"/>
        </w:rPr>
        <w:t>cinco</w:t>
      </w:r>
      <w:r w:rsidR="00922634">
        <w:rPr>
          <w:rFonts w:ascii="Times New Roman" w:hAnsi="Times New Roman" w:cs="Times New Roman"/>
          <w:sz w:val="24"/>
          <w:szCs w:val="24"/>
        </w:rPr>
        <w:t xml:space="preserve"> </w:t>
      </w:r>
      <w:r w:rsidR="00627871">
        <w:rPr>
          <w:rFonts w:ascii="Times New Roman" w:hAnsi="Times New Roman" w:cs="Times New Roman"/>
          <w:sz w:val="24"/>
          <w:szCs w:val="24"/>
        </w:rPr>
        <w:t xml:space="preserve">se ocupa da </w:t>
      </w:r>
      <w:r w:rsidR="003A696E">
        <w:rPr>
          <w:rFonts w:ascii="Times New Roman" w:hAnsi="Times New Roman" w:cs="Times New Roman"/>
          <w:sz w:val="24"/>
          <w:szCs w:val="24"/>
        </w:rPr>
        <w:t xml:space="preserve">análise dos resultados e </w:t>
      </w:r>
      <w:r w:rsidR="00627871">
        <w:rPr>
          <w:rFonts w:ascii="Times New Roman" w:hAnsi="Times New Roman" w:cs="Times New Roman"/>
          <w:sz w:val="24"/>
          <w:szCs w:val="24"/>
        </w:rPr>
        <w:t>a última seção</w:t>
      </w:r>
      <w:r w:rsidRPr="00F65A66">
        <w:rPr>
          <w:rFonts w:ascii="Times New Roman" w:hAnsi="Times New Roman" w:cs="Times New Roman"/>
          <w:sz w:val="24"/>
          <w:szCs w:val="24"/>
        </w:rPr>
        <w:t xml:space="preserve"> </w:t>
      </w:r>
      <w:r w:rsidR="00627871">
        <w:rPr>
          <w:rFonts w:ascii="Times New Roman" w:hAnsi="Times New Roman" w:cs="Times New Roman"/>
          <w:sz w:val="24"/>
          <w:szCs w:val="24"/>
        </w:rPr>
        <w:t xml:space="preserve">se atem as </w:t>
      </w:r>
      <w:r w:rsidRPr="00F65A66">
        <w:rPr>
          <w:rFonts w:ascii="Times New Roman" w:hAnsi="Times New Roman" w:cs="Times New Roman"/>
          <w:sz w:val="24"/>
          <w:szCs w:val="24"/>
        </w:rPr>
        <w:t>considerações finais.</w:t>
      </w:r>
    </w:p>
    <w:p w:rsidR="00B75383" w:rsidRDefault="00B75383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47A39" w:rsidRPr="00516EEA" w:rsidRDefault="00647A39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F837B6" w:rsidRDefault="00B66534" w:rsidP="00B66534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B0650"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:rsidR="00F837B6" w:rsidRDefault="00F837B6" w:rsidP="00B66534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6534" w:rsidRDefault="00F837B6" w:rsidP="00B66534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895ED2">
        <w:rPr>
          <w:rFonts w:ascii="Times New Roman" w:hAnsi="Times New Roman" w:cs="Times New Roman"/>
          <w:b/>
          <w:sz w:val="24"/>
          <w:szCs w:val="24"/>
        </w:rPr>
        <w:t>A teoria do ciclo de v</w:t>
      </w:r>
      <w:r w:rsidR="00DB0650">
        <w:rPr>
          <w:rFonts w:ascii="Times New Roman" w:hAnsi="Times New Roman" w:cs="Times New Roman"/>
          <w:b/>
          <w:sz w:val="24"/>
          <w:szCs w:val="24"/>
        </w:rPr>
        <w:t>ida de Modigliani</w:t>
      </w:r>
    </w:p>
    <w:p w:rsidR="00B66534" w:rsidRPr="00EC2265" w:rsidRDefault="00B66534" w:rsidP="00EC2265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EC2265" w:rsidRPr="00EC2265" w:rsidRDefault="00EC2265" w:rsidP="00EC2265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C2265">
        <w:rPr>
          <w:rFonts w:ascii="Times New Roman" w:hAnsi="Times New Roman" w:cs="Times New Roman"/>
          <w:sz w:val="24"/>
          <w:szCs w:val="24"/>
        </w:rPr>
        <w:t>Durante sua vida, os indivíduos alocam seus recursos entre uma gama de produtos e serviços de modo a maximizar seu bem-estar. Entretanto, as pessoas estão sujeitas a uma restrição orçamentária em sua renda e não podem consumir todos os bens e serviços que desejam (</w:t>
      </w:r>
      <w:proofErr w:type="spellStart"/>
      <w:r w:rsidR="0018093E">
        <w:rPr>
          <w:rFonts w:ascii="Times New Roman" w:hAnsi="Times New Roman" w:cs="Times New Roman"/>
          <w:sz w:val="24"/>
          <w:szCs w:val="24"/>
        </w:rPr>
        <w:t>V</w:t>
      </w:r>
      <w:r w:rsidR="0018093E" w:rsidRPr="00EC2265">
        <w:rPr>
          <w:rFonts w:ascii="Times New Roman" w:hAnsi="Times New Roman" w:cs="Times New Roman"/>
          <w:sz w:val="24"/>
          <w:szCs w:val="24"/>
        </w:rPr>
        <w:t>arian</w:t>
      </w:r>
      <w:proofErr w:type="spellEnd"/>
      <w:r w:rsidRPr="00EC2265">
        <w:rPr>
          <w:rFonts w:ascii="Times New Roman" w:hAnsi="Times New Roman" w:cs="Times New Roman"/>
          <w:sz w:val="24"/>
          <w:szCs w:val="24"/>
        </w:rPr>
        <w:t xml:space="preserve">, 1992). </w:t>
      </w:r>
    </w:p>
    <w:p w:rsidR="00EC2265" w:rsidRPr="00EC2265" w:rsidRDefault="00EC2265" w:rsidP="00EC2265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C2265">
        <w:rPr>
          <w:rFonts w:ascii="Times New Roman" w:hAnsi="Times New Roman" w:cs="Times New Roman"/>
          <w:sz w:val="24"/>
          <w:szCs w:val="24"/>
        </w:rPr>
        <w:t xml:space="preserve">Alguns desses bens e serviços são dotados de </w:t>
      </w:r>
      <w:proofErr w:type="spellStart"/>
      <w:r w:rsidRPr="00EC2265">
        <w:rPr>
          <w:rFonts w:ascii="Times New Roman" w:hAnsi="Times New Roman" w:cs="Times New Roman"/>
          <w:sz w:val="24"/>
          <w:szCs w:val="24"/>
        </w:rPr>
        <w:t>intertemporalidade</w:t>
      </w:r>
      <w:proofErr w:type="spellEnd"/>
      <w:r w:rsidRPr="00EC2265">
        <w:rPr>
          <w:rFonts w:ascii="Times New Roman" w:hAnsi="Times New Roman" w:cs="Times New Roman"/>
          <w:sz w:val="24"/>
          <w:szCs w:val="24"/>
        </w:rPr>
        <w:t xml:space="preserve"> e os indivíduos os utilizam para antecipar ou retardar seu</w:t>
      </w:r>
      <w:r w:rsidR="00C15D15">
        <w:rPr>
          <w:rFonts w:ascii="Times New Roman" w:hAnsi="Times New Roman" w:cs="Times New Roman"/>
          <w:sz w:val="24"/>
          <w:szCs w:val="24"/>
        </w:rPr>
        <w:t xml:space="preserve"> consumo. Os</w:t>
      </w:r>
      <w:r w:rsidRPr="00EC2265">
        <w:rPr>
          <w:rFonts w:ascii="Times New Roman" w:hAnsi="Times New Roman" w:cs="Times New Roman"/>
          <w:sz w:val="24"/>
          <w:szCs w:val="24"/>
        </w:rPr>
        <w:t xml:space="preserve"> empréstimos auxiliam a</w:t>
      </w:r>
      <w:r w:rsidR="00FC409A">
        <w:rPr>
          <w:rFonts w:ascii="Times New Roman" w:hAnsi="Times New Roman" w:cs="Times New Roman"/>
          <w:sz w:val="24"/>
          <w:szCs w:val="24"/>
        </w:rPr>
        <w:t xml:space="preserve">s pessoas a ampliar </w:t>
      </w:r>
      <w:r w:rsidRPr="00EC2265">
        <w:rPr>
          <w:rFonts w:ascii="Times New Roman" w:hAnsi="Times New Roman" w:cs="Times New Roman"/>
          <w:sz w:val="24"/>
          <w:szCs w:val="24"/>
        </w:rPr>
        <w:t xml:space="preserve">seu consumo presente, mas isso gera impactos negativos em seu consumo futuro, já que </w:t>
      </w:r>
      <w:r w:rsidR="008E2E50">
        <w:rPr>
          <w:rFonts w:ascii="Times New Roman" w:hAnsi="Times New Roman" w:cs="Times New Roman"/>
          <w:sz w:val="24"/>
          <w:szCs w:val="24"/>
        </w:rPr>
        <w:t>elas</w:t>
      </w:r>
      <w:r w:rsidRPr="00EC2265">
        <w:rPr>
          <w:rFonts w:ascii="Times New Roman" w:hAnsi="Times New Roman" w:cs="Times New Roman"/>
          <w:sz w:val="24"/>
          <w:szCs w:val="24"/>
        </w:rPr>
        <w:t xml:space="preserve"> terão que consumir menos para poder pagar suas dívidas. Por outro lado, ao poupar </w:t>
      </w:r>
      <w:r w:rsidRPr="00EC2265">
        <w:rPr>
          <w:rFonts w:ascii="Times New Roman" w:hAnsi="Times New Roman" w:cs="Times New Roman"/>
          <w:sz w:val="24"/>
          <w:szCs w:val="24"/>
        </w:rPr>
        <w:lastRenderedPageBreak/>
        <w:t>recursos as pessoas deixam de consumir uma parte de sua renda no presente com o intuito de utilizá-la no futuro (</w:t>
      </w:r>
      <w:r w:rsidR="0018093E">
        <w:rPr>
          <w:rFonts w:ascii="Times New Roman" w:hAnsi="Times New Roman" w:cs="Times New Roman"/>
          <w:sz w:val="24"/>
          <w:szCs w:val="24"/>
        </w:rPr>
        <w:t xml:space="preserve">Modigliani &amp; </w:t>
      </w:r>
      <w:proofErr w:type="spellStart"/>
      <w:r w:rsidR="0018093E">
        <w:rPr>
          <w:rFonts w:ascii="Times New Roman" w:hAnsi="Times New Roman" w:cs="Times New Roman"/>
          <w:sz w:val="24"/>
          <w:szCs w:val="24"/>
        </w:rPr>
        <w:t>Br</w:t>
      </w:r>
      <w:r w:rsidR="0018093E" w:rsidRPr="00EC2265">
        <w:rPr>
          <w:rFonts w:ascii="Times New Roman" w:hAnsi="Times New Roman" w:cs="Times New Roman"/>
          <w:sz w:val="24"/>
          <w:szCs w:val="24"/>
        </w:rPr>
        <w:t>umberg</w:t>
      </w:r>
      <w:proofErr w:type="spellEnd"/>
      <w:r w:rsidRPr="00EC2265">
        <w:rPr>
          <w:rFonts w:ascii="Times New Roman" w:hAnsi="Times New Roman" w:cs="Times New Roman"/>
          <w:sz w:val="24"/>
          <w:szCs w:val="24"/>
        </w:rPr>
        <w:t>, 1954).</w:t>
      </w:r>
    </w:p>
    <w:p w:rsidR="00B66534" w:rsidRDefault="00AC459E" w:rsidP="008460C2">
      <w:pPr>
        <w:spacing w:before="0"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Teoria do Ciclo de Vida (TCV</w:t>
      </w:r>
      <w:r w:rsidR="008460C2">
        <w:rPr>
          <w:rFonts w:ascii="Times New Roman" w:hAnsi="Times New Roman" w:cs="Times New Roman"/>
          <w:sz w:val="24"/>
          <w:szCs w:val="24"/>
        </w:rPr>
        <w:t>) considera que a poupança para apos</w:t>
      </w:r>
      <w:r w:rsidR="00067D2D">
        <w:rPr>
          <w:rFonts w:ascii="Times New Roman" w:hAnsi="Times New Roman" w:cs="Times New Roman"/>
          <w:sz w:val="24"/>
          <w:szCs w:val="24"/>
        </w:rPr>
        <w:t>entadoria vem do desejo das pessoas</w:t>
      </w:r>
      <w:r w:rsidR="00595D5E">
        <w:rPr>
          <w:rFonts w:ascii="Times New Roman" w:hAnsi="Times New Roman" w:cs="Times New Roman"/>
          <w:sz w:val="24"/>
          <w:szCs w:val="24"/>
        </w:rPr>
        <w:t xml:space="preserve"> em manter</w:t>
      </w:r>
      <w:r w:rsidR="008460C2">
        <w:rPr>
          <w:rFonts w:ascii="Times New Roman" w:hAnsi="Times New Roman" w:cs="Times New Roman"/>
          <w:sz w:val="24"/>
          <w:szCs w:val="24"/>
        </w:rPr>
        <w:t xml:space="preserve"> um padrão de consumo estável ao longo de seu ciclo de vida. </w:t>
      </w:r>
      <w:r w:rsidR="008460C2" w:rsidRPr="008460C2">
        <w:rPr>
          <w:rFonts w:ascii="Times New Roman" w:hAnsi="Times New Roman" w:cs="Times New Roman"/>
          <w:sz w:val="24"/>
          <w:szCs w:val="24"/>
        </w:rPr>
        <w:t xml:space="preserve">Em função disso, os indivíduos abrem mão de uma parcela de </w:t>
      </w:r>
      <w:r w:rsidR="008460C2">
        <w:rPr>
          <w:rFonts w:ascii="Times New Roman" w:hAnsi="Times New Roman" w:cs="Times New Roman"/>
          <w:sz w:val="24"/>
          <w:szCs w:val="24"/>
        </w:rPr>
        <w:t xml:space="preserve">consumo </w:t>
      </w:r>
      <w:r w:rsidR="008460C2" w:rsidRPr="008460C2">
        <w:rPr>
          <w:rFonts w:ascii="Times New Roman" w:hAnsi="Times New Roman" w:cs="Times New Roman"/>
          <w:sz w:val="24"/>
          <w:szCs w:val="24"/>
        </w:rPr>
        <w:t>durante</w:t>
      </w:r>
      <w:r w:rsidR="008460C2">
        <w:rPr>
          <w:rFonts w:ascii="Times New Roman" w:hAnsi="Times New Roman" w:cs="Times New Roman"/>
          <w:sz w:val="24"/>
          <w:szCs w:val="24"/>
        </w:rPr>
        <w:t xml:space="preserve"> sua </w:t>
      </w:r>
      <w:r w:rsidR="008460C2" w:rsidRPr="008460C2">
        <w:rPr>
          <w:rFonts w:ascii="Times New Roman" w:hAnsi="Times New Roman" w:cs="Times New Roman"/>
          <w:sz w:val="24"/>
          <w:szCs w:val="24"/>
        </w:rPr>
        <w:t>vida ativa para poder estabilizar</w:t>
      </w:r>
      <w:r w:rsidR="00067D2D">
        <w:rPr>
          <w:rFonts w:ascii="Times New Roman" w:hAnsi="Times New Roman" w:cs="Times New Roman"/>
          <w:sz w:val="24"/>
          <w:szCs w:val="24"/>
        </w:rPr>
        <w:t xml:space="preserve"> o padrão de consumo na velhice</w:t>
      </w:r>
      <w:r w:rsidR="008460C2">
        <w:rPr>
          <w:rFonts w:ascii="Times New Roman" w:hAnsi="Times New Roman" w:cs="Times New Roman"/>
          <w:sz w:val="24"/>
          <w:szCs w:val="24"/>
        </w:rPr>
        <w:t xml:space="preserve"> </w:t>
      </w:r>
      <w:r w:rsidR="008460C2" w:rsidRPr="008460C2">
        <w:rPr>
          <w:rFonts w:ascii="Times New Roman" w:hAnsi="Times New Roman" w:cs="Times New Roman"/>
          <w:sz w:val="24"/>
          <w:szCs w:val="24"/>
        </w:rPr>
        <w:t>quando</w:t>
      </w:r>
      <w:r w:rsidR="00067D2D">
        <w:rPr>
          <w:rFonts w:ascii="Times New Roman" w:hAnsi="Times New Roman" w:cs="Times New Roman"/>
          <w:sz w:val="24"/>
          <w:szCs w:val="24"/>
        </w:rPr>
        <w:t>,</w:t>
      </w:r>
      <w:r w:rsidR="008460C2" w:rsidRPr="008460C2">
        <w:rPr>
          <w:rFonts w:ascii="Times New Roman" w:hAnsi="Times New Roman" w:cs="Times New Roman"/>
          <w:sz w:val="24"/>
          <w:szCs w:val="24"/>
        </w:rPr>
        <w:t xml:space="preserve"> em geral</w:t>
      </w:r>
      <w:r w:rsidR="00067D2D">
        <w:rPr>
          <w:rFonts w:ascii="Times New Roman" w:hAnsi="Times New Roman" w:cs="Times New Roman"/>
          <w:sz w:val="24"/>
          <w:szCs w:val="24"/>
        </w:rPr>
        <w:t>,</w:t>
      </w:r>
      <w:r w:rsidR="008460C2" w:rsidRPr="008460C2">
        <w:rPr>
          <w:rFonts w:ascii="Times New Roman" w:hAnsi="Times New Roman" w:cs="Times New Roman"/>
          <w:sz w:val="24"/>
          <w:szCs w:val="24"/>
        </w:rPr>
        <w:t xml:space="preserve"> oc</w:t>
      </w:r>
      <w:r w:rsidR="00067D2D">
        <w:rPr>
          <w:rFonts w:ascii="Times New Roman" w:hAnsi="Times New Roman" w:cs="Times New Roman"/>
          <w:sz w:val="24"/>
          <w:szCs w:val="24"/>
        </w:rPr>
        <w:t xml:space="preserve">orre uma queda no rendimento advindo do fator </w:t>
      </w:r>
      <w:r w:rsidR="008460C2" w:rsidRPr="008460C2">
        <w:rPr>
          <w:rFonts w:ascii="Times New Roman" w:hAnsi="Times New Roman" w:cs="Times New Roman"/>
          <w:sz w:val="24"/>
          <w:szCs w:val="24"/>
        </w:rPr>
        <w:t>trabalho</w:t>
      </w:r>
      <w:r w:rsidR="008460C2">
        <w:rPr>
          <w:rFonts w:ascii="Times New Roman" w:hAnsi="Times New Roman" w:cs="Times New Roman"/>
          <w:sz w:val="24"/>
          <w:szCs w:val="24"/>
        </w:rPr>
        <w:t xml:space="preserve"> (M</w:t>
      </w:r>
      <w:r w:rsidR="0018093E">
        <w:rPr>
          <w:rFonts w:ascii="Times New Roman" w:hAnsi="Times New Roman" w:cs="Times New Roman"/>
          <w:sz w:val="24"/>
          <w:szCs w:val="24"/>
        </w:rPr>
        <w:t>odigliani</w:t>
      </w:r>
      <w:r w:rsidR="008460C2">
        <w:rPr>
          <w:rFonts w:ascii="Times New Roman" w:hAnsi="Times New Roman" w:cs="Times New Roman"/>
          <w:sz w:val="24"/>
          <w:szCs w:val="24"/>
        </w:rPr>
        <w:t>, 1986).</w:t>
      </w:r>
    </w:p>
    <w:p w:rsidR="007C5A7E" w:rsidRDefault="00EF273D" w:rsidP="008460C2">
      <w:pPr>
        <w:spacing w:before="0"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fator importante para a for</w:t>
      </w:r>
      <w:r w:rsidR="00F4120B">
        <w:rPr>
          <w:rFonts w:ascii="Times New Roman" w:hAnsi="Times New Roman" w:cs="Times New Roman"/>
          <w:sz w:val="24"/>
          <w:szCs w:val="24"/>
        </w:rPr>
        <w:t>mação da poupança</w:t>
      </w:r>
      <w:r w:rsidR="008E2E50">
        <w:rPr>
          <w:rFonts w:ascii="Times New Roman" w:hAnsi="Times New Roman" w:cs="Times New Roman"/>
          <w:sz w:val="24"/>
          <w:szCs w:val="24"/>
        </w:rPr>
        <w:t xml:space="preserve"> recai no motivo precaução</w:t>
      </w:r>
      <w:r>
        <w:rPr>
          <w:rFonts w:ascii="Times New Roman" w:hAnsi="Times New Roman" w:cs="Times New Roman"/>
          <w:sz w:val="24"/>
          <w:szCs w:val="24"/>
        </w:rPr>
        <w:t xml:space="preserve"> de Ke</w:t>
      </w:r>
      <w:r w:rsidR="00F4120B">
        <w:rPr>
          <w:rFonts w:ascii="Times New Roman" w:hAnsi="Times New Roman" w:cs="Times New Roman"/>
          <w:sz w:val="24"/>
          <w:szCs w:val="24"/>
        </w:rPr>
        <w:t>ynes</w:t>
      </w:r>
      <w:r w:rsidR="0067239D">
        <w:rPr>
          <w:rFonts w:ascii="Times New Roman" w:hAnsi="Times New Roman" w:cs="Times New Roman"/>
          <w:sz w:val="24"/>
          <w:szCs w:val="24"/>
        </w:rPr>
        <w:t xml:space="preserve"> (1985</w:t>
      </w:r>
      <w:r w:rsidR="008E2E50">
        <w:rPr>
          <w:rFonts w:ascii="Times New Roman" w:hAnsi="Times New Roman" w:cs="Times New Roman"/>
          <w:sz w:val="24"/>
          <w:szCs w:val="24"/>
        </w:rPr>
        <w:t xml:space="preserve">), também enfatizado por Modigliani (1986). Esse </w:t>
      </w:r>
      <w:r w:rsidR="00F4120B">
        <w:rPr>
          <w:rFonts w:ascii="Times New Roman" w:hAnsi="Times New Roman" w:cs="Times New Roman"/>
          <w:sz w:val="24"/>
          <w:szCs w:val="24"/>
        </w:rPr>
        <w:t>ensina que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="008E58FE">
        <w:rPr>
          <w:rFonts w:ascii="Times New Roman" w:hAnsi="Times New Roman" w:cs="Times New Roman"/>
          <w:sz w:val="24"/>
          <w:szCs w:val="24"/>
        </w:rPr>
        <w:t xml:space="preserve"> incertezas da vida </w:t>
      </w:r>
      <w:r w:rsidR="008E2E50">
        <w:rPr>
          <w:rFonts w:ascii="Times New Roman" w:hAnsi="Times New Roman" w:cs="Times New Roman"/>
          <w:sz w:val="24"/>
          <w:szCs w:val="24"/>
        </w:rPr>
        <w:t>motivam</w:t>
      </w:r>
      <w:r>
        <w:rPr>
          <w:rFonts w:ascii="Times New Roman" w:hAnsi="Times New Roman" w:cs="Times New Roman"/>
          <w:sz w:val="24"/>
          <w:szCs w:val="24"/>
        </w:rPr>
        <w:t xml:space="preserve"> as pessoas a postergar </w:t>
      </w:r>
      <w:r w:rsidR="00F4120B">
        <w:rPr>
          <w:rFonts w:ascii="Times New Roman" w:hAnsi="Times New Roman" w:cs="Times New Roman"/>
          <w:sz w:val="24"/>
          <w:szCs w:val="24"/>
        </w:rPr>
        <w:t>parte d</w:t>
      </w:r>
      <w:r>
        <w:rPr>
          <w:rFonts w:ascii="Times New Roman" w:hAnsi="Times New Roman" w:cs="Times New Roman"/>
          <w:sz w:val="24"/>
          <w:szCs w:val="24"/>
        </w:rPr>
        <w:t>o consumo no presente</w:t>
      </w:r>
      <w:r w:rsidR="00F4120B">
        <w:rPr>
          <w:rFonts w:ascii="Times New Roman" w:hAnsi="Times New Roman" w:cs="Times New Roman"/>
          <w:sz w:val="24"/>
          <w:szCs w:val="24"/>
        </w:rPr>
        <w:t xml:space="preserve">, com o objetivo de </w:t>
      </w:r>
      <w:r w:rsidR="008E58FE">
        <w:rPr>
          <w:rFonts w:ascii="Times New Roman" w:hAnsi="Times New Roman" w:cs="Times New Roman"/>
          <w:sz w:val="24"/>
          <w:szCs w:val="24"/>
        </w:rPr>
        <w:t>formar uma poupança para seu futuro</w:t>
      </w:r>
      <w:r w:rsidR="00F4120B">
        <w:rPr>
          <w:rFonts w:ascii="Times New Roman" w:hAnsi="Times New Roman" w:cs="Times New Roman"/>
          <w:sz w:val="24"/>
          <w:szCs w:val="24"/>
        </w:rPr>
        <w:t xml:space="preserve"> (Neri, Carvalho &amp; Nascimento, 1999)</w:t>
      </w:r>
      <w:r w:rsidR="008E58FE">
        <w:rPr>
          <w:rFonts w:ascii="Times New Roman" w:hAnsi="Times New Roman" w:cs="Times New Roman"/>
          <w:sz w:val="24"/>
          <w:szCs w:val="24"/>
        </w:rPr>
        <w:t>.</w:t>
      </w:r>
    </w:p>
    <w:p w:rsidR="004A4B24" w:rsidRDefault="00EC2265" w:rsidP="008460C2">
      <w:pPr>
        <w:spacing w:before="0"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figura 1 ilustra </w:t>
      </w:r>
      <w:r w:rsidR="00AC459E">
        <w:rPr>
          <w:rFonts w:ascii="Times New Roman" w:hAnsi="Times New Roman" w:cs="Times New Roman"/>
          <w:sz w:val="24"/>
          <w:szCs w:val="24"/>
        </w:rPr>
        <w:t>a TCV</w:t>
      </w:r>
      <w:r>
        <w:rPr>
          <w:rFonts w:ascii="Times New Roman" w:hAnsi="Times New Roman" w:cs="Times New Roman"/>
          <w:sz w:val="24"/>
          <w:szCs w:val="24"/>
        </w:rPr>
        <w:t xml:space="preserve"> em sua versão simplificada (</w:t>
      </w:r>
      <w:proofErr w:type="spellStart"/>
      <w:r w:rsidRPr="00EC2265">
        <w:rPr>
          <w:rFonts w:ascii="Times New Roman" w:hAnsi="Times New Roman" w:cs="Times New Roman"/>
          <w:i/>
          <w:sz w:val="24"/>
          <w:szCs w:val="24"/>
        </w:rPr>
        <w:t>stripped</w:t>
      </w:r>
      <w:proofErr w:type="spellEnd"/>
      <w:r w:rsidRPr="00EC226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C2265">
        <w:rPr>
          <w:rFonts w:ascii="Times New Roman" w:hAnsi="Times New Roman" w:cs="Times New Roman"/>
          <w:i/>
          <w:sz w:val="24"/>
          <w:szCs w:val="24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>), com a renda sendo constante durante L anos da vida de trabalho</w:t>
      </w:r>
      <w:r w:rsidR="00C15D15">
        <w:rPr>
          <w:rFonts w:ascii="Times New Roman" w:hAnsi="Times New Roman" w:cs="Times New Roman"/>
          <w:sz w:val="24"/>
          <w:szCs w:val="24"/>
        </w:rPr>
        <w:t xml:space="preserve"> (L = 40 anos, por exemplo) e igual a uma unidade, até cair </w:t>
      </w:r>
      <w:proofErr w:type="gramStart"/>
      <w:r w:rsidR="00C15D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15D15">
        <w:rPr>
          <w:rFonts w:ascii="Times New Roman" w:hAnsi="Times New Roman" w:cs="Times New Roman"/>
          <w:sz w:val="24"/>
          <w:szCs w:val="24"/>
        </w:rPr>
        <w:t xml:space="preserve"> zero, no espaço temporal de R anos de aposentadoria (R = 10 anos, por exemplo). O consumo então é constante e passa a ser dado por L/(L+R) por período ou 80% da renda disponível durante a vida de trabalho, com a poupança sendo formada por R/(L+R) ou 20% da renda de período. Nesse cenário</w:t>
      </w:r>
      <w:r w:rsidR="00595D5E">
        <w:rPr>
          <w:rFonts w:ascii="Times New Roman" w:hAnsi="Times New Roman" w:cs="Times New Roman"/>
          <w:sz w:val="24"/>
          <w:szCs w:val="24"/>
        </w:rPr>
        <w:t>,</w:t>
      </w:r>
      <w:r w:rsidR="00C15D15">
        <w:rPr>
          <w:rFonts w:ascii="Times New Roman" w:hAnsi="Times New Roman" w:cs="Times New Roman"/>
          <w:sz w:val="24"/>
          <w:szCs w:val="24"/>
        </w:rPr>
        <w:t xml:space="preserve"> o total de recursos (ativos)</w:t>
      </w:r>
      <w:r w:rsidR="004A4B24">
        <w:rPr>
          <w:rFonts w:ascii="Times New Roman" w:hAnsi="Times New Roman" w:cs="Times New Roman"/>
          <w:sz w:val="24"/>
          <w:szCs w:val="24"/>
        </w:rPr>
        <w:t xml:space="preserve"> acumulados durante a vida laboral</w:t>
      </w:r>
      <w:r w:rsidR="00C15D15">
        <w:rPr>
          <w:rFonts w:ascii="Times New Roman" w:hAnsi="Times New Roman" w:cs="Times New Roman"/>
          <w:sz w:val="24"/>
          <w:szCs w:val="24"/>
        </w:rPr>
        <w:t xml:space="preserve"> do indivíduo corresponderia a </w:t>
      </w:r>
      <w:proofErr w:type="gramStart"/>
      <w:r w:rsidR="00C15D15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AC459E">
        <w:rPr>
          <w:rFonts w:ascii="Times New Roman" w:hAnsi="Times New Roman" w:cs="Times New Roman"/>
          <w:sz w:val="24"/>
          <w:szCs w:val="24"/>
        </w:rPr>
        <w:t xml:space="preserve"> (oito)</w:t>
      </w:r>
      <w:r w:rsidR="00C15D15">
        <w:rPr>
          <w:rFonts w:ascii="Times New Roman" w:hAnsi="Times New Roman" w:cs="Times New Roman"/>
          <w:sz w:val="24"/>
          <w:szCs w:val="24"/>
        </w:rPr>
        <w:t xml:space="preserve"> vezes</w:t>
      </w:r>
      <w:r w:rsidR="004A4B24">
        <w:rPr>
          <w:rFonts w:ascii="Times New Roman" w:hAnsi="Times New Roman" w:cs="Times New Roman"/>
          <w:sz w:val="24"/>
          <w:szCs w:val="24"/>
        </w:rPr>
        <w:t xml:space="preserve"> sua re</w:t>
      </w:r>
      <w:r w:rsidR="00895ED2">
        <w:rPr>
          <w:rFonts w:ascii="Times New Roman" w:hAnsi="Times New Roman" w:cs="Times New Roman"/>
          <w:sz w:val="24"/>
          <w:szCs w:val="24"/>
        </w:rPr>
        <w:t>nda anual de trabalho (40 anos X 20% ao</w:t>
      </w:r>
      <w:r w:rsidR="004A4B24">
        <w:rPr>
          <w:rFonts w:ascii="Times New Roman" w:hAnsi="Times New Roman" w:cs="Times New Roman"/>
          <w:sz w:val="24"/>
          <w:szCs w:val="24"/>
        </w:rPr>
        <w:t xml:space="preserve"> ano) até o período imediatamente anterior a sua aposentadoria</w:t>
      </w:r>
      <w:r w:rsidR="00F4120B">
        <w:rPr>
          <w:rFonts w:ascii="Times New Roman" w:hAnsi="Times New Roman" w:cs="Times New Roman"/>
          <w:sz w:val="24"/>
          <w:szCs w:val="24"/>
        </w:rPr>
        <w:t>, quando este passaria a “</w:t>
      </w:r>
      <w:proofErr w:type="spellStart"/>
      <w:r w:rsidR="00F4120B">
        <w:rPr>
          <w:rFonts w:ascii="Times New Roman" w:hAnsi="Times New Roman" w:cs="Times New Roman"/>
          <w:sz w:val="24"/>
          <w:szCs w:val="24"/>
        </w:rPr>
        <w:t>despoupar</w:t>
      </w:r>
      <w:proofErr w:type="spellEnd"/>
      <w:r w:rsidR="00F4120B">
        <w:rPr>
          <w:rFonts w:ascii="Times New Roman" w:hAnsi="Times New Roman" w:cs="Times New Roman"/>
          <w:sz w:val="24"/>
          <w:szCs w:val="24"/>
        </w:rPr>
        <w:t>” até o fim de sua vida</w:t>
      </w:r>
      <w:r w:rsidR="004A4B24">
        <w:rPr>
          <w:rFonts w:ascii="Times New Roman" w:hAnsi="Times New Roman" w:cs="Times New Roman"/>
          <w:sz w:val="24"/>
          <w:szCs w:val="24"/>
        </w:rPr>
        <w:t xml:space="preserve"> (N</w:t>
      </w:r>
      <w:r w:rsidR="0018093E">
        <w:rPr>
          <w:rFonts w:ascii="Times New Roman" w:hAnsi="Times New Roman" w:cs="Times New Roman"/>
          <w:sz w:val="24"/>
          <w:szCs w:val="24"/>
        </w:rPr>
        <w:t>eri</w:t>
      </w:r>
      <w:r w:rsidR="004A4B24">
        <w:rPr>
          <w:rFonts w:ascii="Times New Roman" w:hAnsi="Times New Roman" w:cs="Times New Roman"/>
          <w:sz w:val="24"/>
          <w:szCs w:val="24"/>
        </w:rPr>
        <w:t>, 2007).</w:t>
      </w:r>
    </w:p>
    <w:p w:rsidR="00B10ADD" w:rsidRPr="00B10ADD" w:rsidRDefault="00B10ADD" w:rsidP="004B2835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EC2265" w:rsidRDefault="0027260B" w:rsidP="00A11A26">
      <w:pPr>
        <w:spacing w:before="0" w:after="0" w:line="240" w:lineRule="auto"/>
        <w:ind w:left="0" w:firstLine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89600" cy="3049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35" w:rsidRDefault="004B2835" w:rsidP="004A6E91">
      <w:pPr>
        <w:spacing w:before="0" w:after="0" w:line="240" w:lineRule="auto"/>
        <w:ind w:left="0" w:firstLine="3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1D1C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58C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B2835">
        <w:rPr>
          <w:rFonts w:ascii="Times New Roman" w:hAnsi="Times New Roman" w:cs="Times New Roman"/>
          <w:b/>
          <w:sz w:val="20"/>
          <w:szCs w:val="20"/>
        </w:rPr>
        <w:t>Figura 1. Versão simplificada da Teoria do Ciclo de Vida de Modigliani</w:t>
      </w:r>
    </w:p>
    <w:p w:rsidR="004B2835" w:rsidRDefault="004B2835" w:rsidP="004A6E91">
      <w:pPr>
        <w:spacing w:before="0" w:after="0" w:line="240" w:lineRule="auto"/>
        <w:ind w:left="0" w:firstLine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1D1C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58C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B2835">
        <w:rPr>
          <w:rFonts w:ascii="Times New Roman" w:hAnsi="Times New Roman" w:cs="Times New Roman"/>
          <w:sz w:val="20"/>
          <w:szCs w:val="20"/>
        </w:rPr>
        <w:t>Fonte: Adap</w:t>
      </w:r>
      <w:r w:rsidR="00CD5DC0">
        <w:rPr>
          <w:rFonts w:ascii="Times New Roman" w:hAnsi="Times New Roman" w:cs="Times New Roman"/>
          <w:sz w:val="20"/>
          <w:szCs w:val="20"/>
        </w:rPr>
        <w:t>tado pelos autores de Neri (1999</w:t>
      </w:r>
      <w:r w:rsidRPr="004B2835">
        <w:rPr>
          <w:rFonts w:ascii="Times New Roman" w:hAnsi="Times New Roman" w:cs="Times New Roman"/>
          <w:sz w:val="20"/>
          <w:szCs w:val="20"/>
        </w:rPr>
        <w:t>)</w:t>
      </w:r>
    </w:p>
    <w:p w:rsidR="001D1C41" w:rsidRPr="001D1C41" w:rsidRDefault="004B2835" w:rsidP="000258CA">
      <w:pPr>
        <w:spacing w:before="0" w:after="0" w:line="240" w:lineRule="auto"/>
        <w:ind w:left="1644" w:right="1361" w:firstLine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Nota Fonte:</w:t>
      </w:r>
      <w:r w:rsidR="001D1C41">
        <w:rPr>
          <w:rFonts w:ascii="Times New Roman" w:hAnsi="Times New Roman" w:cs="Times New Roman"/>
          <w:sz w:val="20"/>
          <w:szCs w:val="20"/>
        </w:rPr>
        <w:t xml:space="preserve"> </w:t>
      </w:r>
      <w:r w:rsidR="001D1C41" w:rsidRPr="001D1C41">
        <w:rPr>
          <w:rFonts w:ascii="Times New Roman" w:hAnsi="Times New Roman" w:cs="Times New Roman"/>
          <w:bCs/>
          <w:sz w:val="20"/>
          <w:szCs w:val="20"/>
        </w:rPr>
        <w:t>Neri, M. C.; Carvalho, K; Nascimento, M. Ciclo de Vida e Motivações Financeiras (com especial atenção aos idosos brasileiros). Brasília DF: IPEA, 1999. 21 p. (Texto para discussão nº 691), 1999.</w:t>
      </w:r>
    </w:p>
    <w:p w:rsidR="004B2835" w:rsidRPr="00F4120B" w:rsidRDefault="004B2835" w:rsidP="00F4120B">
      <w:pPr>
        <w:spacing w:before="0" w:after="0" w:line="240" w:lineRule="auto"/>
        <w:ind w:left="0" w:firstLine="357"/>
        <w:rPr>
          <w:rFonts w:ascii="Times New Roman" w:hAnsi="Times New Roman" w:cs="Times New Roman"/>
          <w:sz w:val="20"/>
          <w:szCs w:val="20"/>
        </w:rPr>
      </w:pPr>
    </w:p>
    <w:p w:rsidR="004A6E91" w:rsidRDefault="00AC459E" w:rsidP="004A6E91">
      <w:pPr>
        <w:spacing w:before="0"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</w:t>
      </w:r>
      <w:r w:rsidR="00B10ADD" w:rsidRPr="00B10ADD">
        <w:rPr>
          <w:rFonts w:ascii="Times New Roman" w:hAnsi="Times New Roman" w:cs="Times New Roman"/>
          <w:sz w:val="24"/>
          <w:szCs w:val="24"/>
        </w:rPr>
        <w:t xml:space="preserve">aracterística poupadora </w:t>
      </w:r>
      <w:r>
        <w:rPr>
          <w:rFonts w:ascii="Times New Roman" w:hAnsi="Times New Roman" w:cs="Times New Roman"/>
          <w:sz w:val="24"/>
          <w:szCs w:val="24"/>
        </w:rPr>
        <w:t>segundo o padrão da TCV é particularmente evidente em</w:t>
      </w:r>
      <w:r w:rsidR="00B10ADD" w:rsidRPr="00B10ADD">
        <w:rPr>
          <w:rFonts w:ascii="Times New Roman" w:hAnsi="Times New Roman" w:cs="Times New Roman"/>
          <w:sz w:val="24"/>
          <w:szCs w:val="24"/>
        </w:rPr>
        <w:t xml:space="preserve"> indivíduos vinculados a alguma empresa ou órgão que patro</w:t>
      </w:r>
      <w:r>
        <w:rPr>
          <w:rFonts w:ascii="Times New Roman" w:hAnsi="Times New Roman" w:cs="Times New Roman"/>
          <w:sz w:val="24"/>
          <w:szCs w:val="24"/>
        </w:rPr>
        <w:t>cine um determinado fundo de pensão (M</w:t>
      </w:r>
      <w:r w:rsidR="0018093E">
        <w:rPr>
          <w:rFonts w:ascii="Times New Roman" w:hAnsi="Times New Roman" w:cs="Times New Roman"/>
          <w:sz w:val="24"/>
          <w:szCs w:val="24"/>
        </w:rPr>
        <w:t>odigliani</w:t>
      </w:r>
      <w:r>
        <w:rPr>
          <w:rFonts w:ascii="Times New Roman" w:hAnsi="Times New Roman" w:cs="Times New Roman"/>
          <w:sz w:val="24"/>
          <w:szCs w:val="24"/>
        </w:rPr>
        <w:t xml:space="preserve">, 1986), pois, nesses casos, uma parcela da renda </w:t>
      </w:r>
      <w:r w:rsidR="0036551B">
        <w:rPr>
          <w:rFonts w:ascii="Times New Roman" w:hAnsi="Times New Roman" w:cs="Times New Roman"/>
          <w:sz w:val="24"/>
          <w:szCs w:val="24"/>
        </w:rPr>
        <w:t>do trabalho dessas p</w:t>
      </w:r>
      <w:r w:rsidR="00595D5E">
        <w:rPr>
          <w:rFonts w:ascii="Times New Roman" w:hAnsi="Times New Roman" w:cs="Times New Roman"/>
          <w:sz w:val="24"/>
          <w:szCs w:val="24"/>
        </w:rPr>
        <w:t>essoas é descontada mensalmente</w:t>
      </w:r>
      <w:r w:rsidR="0036551B">
        <w:rPr>
          <w:rFonts w:ascii="Times New Roman" w:hAnsi="Times New Roman" w:cs="Times New Roman"/>
          <w:sz w:val="24"/>
          <w:szCs w:val="24"/>
        </w:rPr>
        <w:t xml:space="preserve"> </w:t>
      </w:r>
      <w:r w:rsidR="00595D5E">
        <w:rPr>
          <w:rFonts w:ascii="Times New Roman" w:hAnsi="Times New Roman" w:cs="Times New Roman"/>
          <w:sz w:val="24"/>
          <w:szCs w:val="24"/>
        </w:rPr>
        <w:t xml:space="preserve">em folha, </w:t>
      </w:r>
      <w:r w:rsidR="0036551B">
        <w:rPr>
          <w:rFonts w:ascii="Times New Roman" w:hAnsi="Times New Roman" w:cs="Times New Roman"/>
          <w:sz w:val="24"/>
          <w:szCs w:val="24"/>
        </w:rPr>
        <w:t>sendo direcionada para sua poupança previdenciária na EFPC (</w:t>
      </w:r>
      <w:r w:rsidR="0018093E">
        <w:rPr>
          <w:rFonts w:ascii="Times New Roman" w:hAnsi="Times New Roman" w:cs="Times New Roman"/>
          <w:sz w:val="24"/>
          <w:szCs w:val="24"/>
        </w:rPr>
        <w:t xml:space="preserve">Caetano, </w:t>
      </w:r>
      <w:proofErr w:type="spellStart"/>
      <w:r w:rsidR="0018093E">
        <w:rPr>
          <w:rFonts w:ascii="Times New Roman" w:hAnsi="Times New Roman" w:cs="Times New Roman"/>
          <w:sz w:val="24"/>
          <w:szCs w:val="24"/>
        </w:rPr>
        <w:t>Boueri</w:t>
      </w:r>
      <w:proofErr w:type="spellEnd"/>
      <w:r w:rsidR="0018093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18093E">
        <w:rPr>
          <w:rFonts w:ascii="Times New Roman" w:hAnsi="Times New Roman" w:cs="Times New Roman"/>
          <w:sz w:val="24"/>
          <w:szCs w:val="24"/>
        </w:rPr>
        <w:t>S</w:t>
      </w:r>
      <w:r w:rsidR="0018093E" w:rsidRPr="000C0E02">
        <w:rPr>
          <w:rFonts w:ascii="Times New Roman" w:hAnsi="Times New Roman" w:cs="Times New Roman"/>
          <w:sz w:val="24"/>
          <w:szCs w:val="24"/>
        </w:rPr>
        <w:t>achsida</w:t>
      </w:r>
      <w:proofErr w:type="spellEnd"/>
      <w:r w:rsidR="0036551B">
        <w:rPr>
          <w:rFonts w:ascii="Times New Roman" w:hAnsi="Times New Roman" w:cs="Times New Roman"/>
          <w:sz w:val="24"/>
          <w:szCs w:val="24"/>
        </w:rPr>
        <w:t>, 2015).</w:t>
      </w:r>
    </w:p>
    <w:p w:rsidR="002574C6" w:rsidRDefault="002574C6" w:rsidP="004A6E91">
      <w:pPr>
        <w:spacing w:before="0"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</w:p>
    <w:p w:rsidR="00F837B6" w:rsidRPr="00F837B6" w:rsidRDefault="00F837B6" w:rsidP="00F837B6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F837B6">
        <w:rPr>
          <w:rFonts w:ascii="Times New Roman" w:hAnsi="Times New Roman" w:cs="Times New Roman"/>
          <w:b/>
          <w:sz w:val="24"/>
          <w:szCs w:val="24"/>
        </w:rPr>
        <w:t xml:space="preserve">2.2. A </w:t>
      </w:r>
      <w:r w:rsidR="00DB0650" w:rsidRPr="00F837B6">
        <w:rPr>
          <w:rFonts w:ascii="Times New Roman" w:hAnsi="Times New Roman" w:cs="Times New Roman"/>
          <w:b/>
          <w:sz w:val="24"/>
          <w:szCs w:val="24"/>
        </w:rPr>
        <w:t>acumulação de poupança previdenciária</w:t>
      </w:r>
      <w:r w:rsidR="00DB0650">
        <w:rPr>
          <w:rFonts w:ascii="Times New Roman" w:hAnsi="Times New Roman" w:cs="Times New Roman"/>
          <w:b/>
          <w:sz w:val="24"/>
          <w:szCs w:val="24"/>
        </w:rPr>
        <w:t xml:space="preserve"> nas </w:t>
      </w:r>
      <w:r>
        <w:rPr>
          <w:rFonts w:ascii="Times New Roman" w:hAnsi="Times New Roman" w:cs="Times New Roman"/>
          <w:b/>
          <w:sz w:val="24"/>
          <w:szCs w:val="24"/>
        </w:rPr>
        <w:t>EFPC</w:t>
      </w:r>
    </w:p>
    <w:p w:rsidR="002574C6" w:rsidRDefault="002574C6" w:rsidP="004A6E91">
      <w:pPr>
        <w:spacing w:before="0"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</w:p>
    <w:p w:rsidR="00511FE6" w:rsidRDefault="0093766C" w:rsidP="00B10ADD">
      <w:pPr>
        <w:spacing w:before="0"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 contribuir com parte de seus salários, </w:t>
      </w:r>
      <w:r w:rsidR="00404394">
        <w:rPr>
          <w:rFonts w:ascii="Times New Roman" w:hAnsi="Times New Roman" w:cs="Times New Roman"/>
          <w:sz w:val="24"/>
          <w:szCs w:val="24"/>
        </w:rPr>
        <w:t>os indiv</w:t>
      </w:r>
      <w:r w:rsidR="00511FE6">
        <w:rPr>
          <w:rFonts w:ascii="Times New Roman" w:hAnsi="Times New Roman" w:cs="Times New Roman"/>
          <w:sz w:val="24"/>
          <w:szCs w:val="24"/>
        </w:rPr>
        <w:t>íduos possuem dois</w:t>
      </w:r>
      <w:r w:rsidR="00404394">
        <w:rPr>
          <w:rFonts w:ascii="Times New Roman" w:hAnsi="Times New Roman" w:cs="Times New Roman"/>
          <w:sz w:val="24"/>
          <w:szCs w:val="24"/>
        </w:rPr>
        <w:t xml:space="preserve"> incentivo</w:t>
      </w:r>
      <w:r w:rsidR="00511FE6">
        <w:rPr>
          <w:rFonts w:ascii="Times New Roman" w:hAnsi="Times New Roman" w:cs="Times New Roman"/>
          <w:sz w:val="24"/>
          <w:szCs w:val="24"/>
        </w:rPr>
        <w:t>s</w:t>
      </w:r>
      <w:r w:rsidR="00404394">
        <w:rPr>
          <w:rFonts w:ascii="Times New Roman" w:hAnsi="Times New Roman" w:cs="Times New Roman"/>
          <w:sz w:val="24"/>
          <w:szCs w:val="24"/>
        </w:rPr>
        <w:t xml:space="preserve"> extra</w:t>
      </w:r>
      <w:r w:rsidR="00511FE6">
        <w:rPr>
          <w:rFonts w:ascii="Times New Roman" w:hAnsi="Times New Roman" w:cs="Times New Roman"/>
          <w:sz w:val="24"/>
          <w:szCs w:val="24"/>
        </w:rPr>
        <w:t>s para participar de uma EFPC. O primeiro é</w:t>
      </w:r>
      <w:r w:rsidR="00404394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10ADD" w:rsidRPr="00B10ADD">
        <w:rPr>
          <w:rFonts w:ascii="Times New Roman" w:hAnsi="Times New Roman" w:cs="Times New Roman"/>
          <w:sz w:val="24"/>
          <w:szCs w:val="24"/>
        </w:rPr>
        <w:t xml:space="preserve"> na maio</w:t>
      </w:r>
      <w:r w:rsidR="00595D5E">
        <w:rPr>
          <w:rFonts w:ascii="Times New Roman" w:hAnsi="Times New Roman" w:cs="Times New Roman"/>
          <w:sz w:val="24"/>
          <w:szCs w:val="24"/>
        </w:rPr>
        <w:t>r parte dos casos, os participantes desses fundos</w:t>
      </w:r>
      <w:r w:rsidR="00B10ADD" w:rsidRPr="00B10ADD">
        <w:rPr>
          <w:rFonts w:ascii="Times New Roman" w:hAnsi="Times New Roman" w:cs="Times New Roman"/>
          <w:sz w:val="24"/>
          <w:szCs w:val="24"/>
        </w:rPr>
        <w:t xml:space="preserve"> são agraciados co</w:t>
      </w:r>
      <w:r w:rsidR="00404394">
        <w:rPr>
          <w:rFonts w:ascii="Times New Roman" w:hAnsi="Times New Roman" w:cs="Times New Roman"/>
          <w:sz w:val="24"/>
          <w:szCs w:val="24"/>
        </w:rPr>
        <w:t xml:space="preserve">m contribuições </w:t>
      </w:r>
      <w:r w:rsidR="00595D5E">
        <w:rPr>
          <w:rFonts w:ascii="Times New Roman" w:hAnsi="Times New Roman" w:cs="Times New Roman"/>
          <w:sz w:val="24"/>
          <w:szCs w:val="24"/>
        </w:rPr>
        <w:t xml:space="preserve">mensais extras </w:t>
      </w:r>
      <w:r w:rsidR="00404394">
        <w:rPr>
          <w:rFonts w:ascii="Times New Roman" w:hAnsi="Times New Roman" w:cs="Times New Roman"/>
          <w:sz w:val="24"/>
          <w:szCs w:val="24"/>
        </w:rPr>
        <w:t>da empresa</w:t>
      </w:r>
      <w:r w:rsidR="00824858">
        <w:rPr>
          <w:rFonts w:ascii="Times New Roman" w:hAnsi="Times New Roman" w:cs="Times New Roman"/>
          <w:sz w:val="24"/>
          <w:szCs w:val="24"/>
        </w:rPr>
        <w:t xml:space="preserve"> ou órgão</w:t>
      </w:r>
      <w:r w:rsidR="00404394">
        <w:rPr>
          <w:rFonts w:ascii="Times New Roman" w:hAnsi="Times New Roman" w:cs="Times New Roman"/>
          <w:sz w:val="24"/>
          <w:szCs w:val="24"/>
        </w:rPr>
        <w:t xml:space="preserve"> em que trabalha</w:t>
      </w:r>
      <w:r w:rsidR="00824858">
        <w:rPr>
          <w:rFonts w:ascii="Times New Roman" w:hAnsi="Times New Roman" w:cs="Times New Roman"/>
          <w:sz w:val="24"/>
          <w:szCs w:val="24"/>
        </w:rPr>
        <w:t>m</w:t>
      </w:r>
      <w:r w:rsidR="00404394">
        <w:rPr>
          <w:rFonts w:ascii="Times New Roman" w:hAnsi="Times New Roman" w:cs="Times New Roman"/>
          <w:sz w:val="24"/>
          <w:szCs w:val="24"/>
        </w:rPr>
        <w:t xml:space="preserve"> (patrocinadora)</w:t>
      </w:r>
      <w:r w:rsidR="00595D5E">
        <w:rPr>
          <w:rFonts w:ascii="Times New Roman" w:hAnsi="Times New Roman" w:cs="Times New Roman"/>
          <w:sz w:val="24"/>
          <w:szCs w:val="24"/>
        </w:rPr>
        <w:t xml:space="preserve"> p</w:t>
      </w:r>
      <w:r w:rsidR="00824858">
        <w:rPr>
          <w:rFonts w:ascii="Times New Roman" w:hAnsi="Times New Roman" w:cs="Times New Roman"/>
          <w:sz w:val="24"/>
          <w:szCs w:val="24"/>
        </w:rPr>
        <w:t>ara sua poupança previdenciária</w:t>
      </w:r>
      <w:r w:rsidR="00B10ADD" w:rsidRPr="00B10ADD">
        <w:rPr>
          <w:rFonts w:ascii="Times New Roman" w:hAnsi="Times New Roman" w:cs="Times New Roman"/>
          <w:sz w:val="24"/>
          <w:szCs w:val="24"/>
        </w:rPr>
        <w:t xml:space="preserve"> (</w:t>
      </w:r>
      <w:r w:rsidR="0018093E" w:rsidRPr="009E7C13">
        <w:rPr>
          <w:rFonts w:ascii="Times New Roman" w:hAnsi="Times New Roman" w:cs="Times New Roman"/>
          <w:sz w:val="24"/>
          <w:szCs w:val="24"/>
        </w:rPr>
        <w:t>Lei n. 109, 2001</w:t>
      </w:r>
      <w:r w:rsidR="001809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8093E">
        <w:rPr>
          <w:rFonts w:ascii="Times New Roman" w:hAnsi="Times New Roman" w:cs="Times New Roman"/>
          <w:sz w:val="24"/>
          <w:szCs w:val="24"/>
        </w:rPr>
        <w:t>Bateman</w:t>
      </w:r>
      <w:proofErr w:type="spellEnd"/>
      <w:r w:rsidR="0018093E">
        <w:rPr>
          <w:rFonts w:ascii="Times New Roman" w:hAnsi="Times New Roman" w:cs="Times New Roman"/>
          <w:sz w:val="24"/>
          <w:szCs w:val="24"/>
        </w:rPr>
        <w:t xml:space="preserve"> &amp;</w:t>
      </w:r>
      <w:r w:rsidR="00B10ADD" w:rsidRPr="00B10ADD">
        <w:rPr>
          <w:rFonts w:ascii="Times New Roman" w:hAnsi="Times New Roman" w:cs="Times New Roman"/>
          <w:sz w:val="24"/>
          <w:szCs w:val="24"/>
        </w:rPr>
        <w:t xml:space="preserve"> M</w:t>
      </w:r>
      <w:r w:rsidR="0018093E" w:rsidRPr="00B10ADD">
        <w:rPr>
          <w:rFonts w:ascii="Times New Roman" w:hAnsi="Times New Roman" w:cs="Times New Roman"/>
          <w:sz w:val="24"/>
          <w:szCs w:val="24"/>
        </w:rPr>
        <w:t>itchell</w:t>
      </w:r>
      <w:r w:rsidR="00B10ADD" w:rsidRPr="00B10ADD">
        <w:rPr>
          <w:rFonts w:ascii="Times New Roman" w:hAnsi="Times New Roman" w:cs="Times New Roman"/>
          <w:sz w:val="24"/>
          <w:szCs w:val="24"/>
        </w:rPr>
        <w:t>, 2004).</w:t>
      </w:r>
    </w:p>
    <w:p w:rsidR="008836A2" w:rsidRDefault="00511FE6" w:rsidP="00824858">
      <w:pPr>
        <w:spacing w:before="0" w:after="0" w:line="240" w:lineRule="auto"/>
        <w:ind w:left="0"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segundo incentivo diz respeito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ao retorno dos investimentos</w:t>
      </w:r>
      <w:r w:rsidR="006107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ativos dos participante</w:t>
      </w:r>
      <w:r w:rsidR="009E1A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s. No caso brasileiro, esses </w:t>
      </w:r>
      <w:r w:rsidR="006107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ativos </w:t>
      </w:r>
      <w:r w:rsidR="009E1A4C">
        <w:rPr>
          <w:rFonts w:ascii="Times New Roman" w:hAnsi="Times New Roman" w:cs="Times New Roman"/>
          <w:color w:val="000000" w:themeColor="text1"/>
          <w:sz w:val="24"/>
          <w:szCs w:val="24"/>
        </w:rPr>
        <w:t>podem ser</w:t>
      </w:r>
      <w:r w:rsidR="006107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alocados nas seguintes formas de investimento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renda fixa, renda variável, investimentos estruturados, imóveis, empréstimos com os próprios participantes e aplicações no exterior (CMN, 2018).</w:t>
      </w:r>
      <w:r w:rsidR="00824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36A2">
        <w:rPr>
          <w:rFonts w:ascii="Times New Roman" w:hAnsi="Times New Roman" w:cs="Times New Roman"/>
          <w:color w:val="000000" w:themeColor="text1"/>
          <w:sz w:val="24"/>
          <w:szCs w:val="24"/>
        </w:rPr>
        <w:t>A Figura 2 mostra como ocorre o fluxo de ingressos de recursos na poupança previdenci</w:t>
      </w:r>
      <w:r w:rsidR="00595D5E">
        <w:rPr>
          <w:rFonts w:ascii="Times New Roman" w:hAnsi="Times New Roman" w:cs="Times New Roman"/>
          <w:color w:val="000000" w:themeColor="text1"/>
          <w:sz w:val="24"/>
          <w:szCs w:val="24"/>
        </w:rPr>
        <w:t>ária de cada</w:t>
      </w:r>
      <w:r w:rsidR="00ED6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participante</w:t>
      </w:r>
      <w:r w:rsidR="00883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8836A2" w:rsidRDefault="008836A2" w:rsidP="008836A2">
      <w:pPr>
        <w:spacing w:before="0"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6A2" w:rsidRDefault="0027260B" w:rsidP="008836A2">
      <w:pPr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924800" cy="2628000"/>
            <wp:effectExtent l="19050" t="19050" r="9525" b="203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00" cy="26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59A" w:rsidRPr="001D1C41" w:rsidRDefault="001D1C41" w:rsidP="0073259A">
      <w:pPr>
        <w:spacing w:before="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3476E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3259A" w:rsidRPr="001D1C41">
        <w:rPr>
          <w:rFonts w:ascii="Times New Roman" w:hAnsi="Times New Roman" w:cs="Times New Roman"/>
          <w:b/>
          <w:sz w:val="20"/>
          <w:szCs w:val="20"/>
        </w:rPr>
        <w:t>Figura 2. Representação da Poupança Previdenciária em uma EFPC</w:t>
      </w:r>
      <w:r w:rsidR="008836A2" w:rsidRPr="001D1C41">
        <w:rPr>
          <w:rFonts w:ascii="Times New Roman" w:hAnsi="Times New Roman" w:cs="Times New Roman"/>
          <w:b/>
          <w:sz w:val="20"/>
          <w:szCs w:val="20"/>
        </w:rPr>
        <w:t xml:space="preserve">           </w:t>
      </w:r>
    </w:p>
    <w:p w:rsidR="008836A2" w:rsidRDefault="001D1C41" w:rsidP="008836A2">
      <w:pPr>
        <w:spacing w:before="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3476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836A2" w:rsidRPr="004A01C2">
        <w:rPr>
          <w:rFonts w:ascii="Times New Roman" w:hAnsi="Times New Roman" w:cs="Times New Roman"/>
          <w:sz w:val="20"/>
          <w:szCs w:val="20"/>
        </w:rPr>
        <w:t>Fonte: Elaboração dos autores.</w:t>
      </w:r>
    </w:p>
    <w:p w:rsidR="008836A2" w:rsidRDefault="008836A2" w:rsidP="0027260B">
      <w:pPr>
        <w:spacing w:before="0"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B19" w:rsidRDefault="00ED6B19" w:rsidP="00ED6B19">
      <w:pPr>
        <w:spacing w:before="0" w:after="0" w:line="240" w:lineRule="auto"/>
        <w:ind w:left="0"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Durante a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vida laboral ativa as válvulas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contribuições do participante e da patrocinadora se encontram a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bertas, bem como,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torneira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taxa de carregamento e a da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taxa de administração. Ao mesmo tempo 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os recursos acumulados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(ativos) são investidos, com a válvula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pagamento dos benefícios 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sua torneira com a taxa de carregamento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mantendo fechada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6B19" w:rsidRDefault="00ED6B19" w:rsidP="00ED6B19">
      <w:pPr>
        <w:spacing w:before="0" w:after="0" w:line="240" w:lineRule="auto"/>
        <w:ind w:left="0"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sua vez, quando o indivíduo entra na fas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e de aposentadoria, as válvulas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contribuições se fecham, enq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uanto a válvula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do pagamento dos benefícios e sua torneira 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taxa de carregamento se abrem, com as demais permanecendo em funcionamento, isto é, a taxa de administração e o retorno dos investimentos.</w:t>
      </w:r>
    </w:p>
    <w:p w:rsidR="00ED6B19" w:rsidRDefault="00ED6B19" w:rsidP="00ED6B19">
      <w:pPr>
        <w:spacing w:before="0" w:after="0" w:line="240" w:lineRule="auto"/>
        <w:ind w:left="0"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40A0">
        <w:rPr>
          <w:rFonts w:ascii="Times New Roman" w:hAnsi="Times New Roman" w:cs="Times New Roman"/>
          <w:color w:val="000000" w:themeColor="text1"/>
          <w:sz w:val="24"/>
          <w:szCs w:val="24"/>
        </w:rPr>
        <w:t>Apesar de todas as vantagens elencadas para os participantes dos fundos de pensão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>, levando-os a reduzir seu consumo</w:t>
      </w:r>
      <w:r w:rsidRPr="002E4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 em busca de maior segurança no futuro, 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Modigliani (1986), </w:t>
      </w:r>
      <w:r w:rsidRPr="002E40A0">
        <w:rPr>
          <w:rFonts w:ascii="Times New Roman" w:hAnsi="Times New Roman" w:cs="Times New Roman"/>
          <w:color w:val="000000" w:themeColor="text1"/>
          <w:sz w:val="24"/>
          <w:szCs w:val="24"/>
        </w:rPr>
        <w:t>pouco se discute na literatura sobre os impactos trazidos pelas despesas administrativas das EFPC na poupança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previdenciária dessas pessoas</w:t>
      </w:r>
      <w:r w:rsidRPr="002E40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6B19" w:rsidRDefault="00845CCE" w:rsidP="00ED6B19">
      <w:pPr>
        <w:spacing w:before="0" w:after="0" w:line="240" w:lineRule="auto"/>
        <w:ind w:left="0"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 outra forma</w:t>
      </w:r>
      <w:r w:rsidR="00ED6B19" w:rsidRPr="00C72F53">
        <w:rPr>
          <w:rFonts w:ascii="Times New Roman" w:hAnsi="Times New Roman" w:cs="Times New Roman"/>
          <w:color w:val="000000" w:themeColor="text1"/>
          <w:sz w:val="24"/>
          <w:szCs w:val="24"/>
        </w:rPr>
        <w:t>, para manter toda sua estrutura organizacional em func</w:t>
      </w:r>
      <w:r w:rsidR="008E2E50">
        <w:rPr>
          <w:rFonts w:ascii="Times New Roman" w:hAnsi="Times New Roman" w:cs="Times New Roman"/>
          <w:color w:val="000000" w:themeColor="text1"/>
          <w:sz w:val="24"/>
          <w:szCs w:val="24"/>
        </w:rPr>
        <w:t>ionamento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EFPC cobram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duas</w:t>
      </w:r>
      <w:r w:rsidR="00ED6B19" w:rsidRPr="00C72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taxa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a de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carregamento e </w:t>
      </w:r>
      <w:r w:rsidR="008E2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D6B19" w:rsidRPr="00C72F53">
        <w:rPr>
          <w:rFonts w:ascii="Times New Roman" w:hAnsi="Times New Roman" w:cs="Times New Roman"/>
          <w:color w:val="000000" w:themeColor="text1"/>
          <w:sz w:val="24"/>
          <w:szCs w:val="24"/>
        </w:rPr>
        <w:t>de administração. A primeira é um vazamento que incide sobre os aportes mensais de recursos realizados pelo participante e pela patrocinadora à EFPC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, bem como, sobre o pagamento dos benefícios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período pós-laboral</w:t>
      </w:r>
      <w:r w:rsidR="003C2C1D">
        <w:rPr>
          <w:rFonts w:ascii="Times New Roman" w:hAnsi="Times New Roman" w:cs="Times New Roman"/>
          <w:color w:val="000000" w:themeColor="text1"/>
          <w:sz w:val="24"/>
          <w:szCs w:val="24"/>
        </w:rPr>
        <w:t>. Já a segunda é uma taxa anual</w:t>
      </w:r>
      <w:r w:rsidR="00ED6B19" w:rsidRPr="00C72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possui como base de cál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>culo os ativos acumulados pelo</w:t>
      </w:r>
      <w:r w:rsidR="00ED6B19" w:rsidRPr="00C72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participa</w:t>
      </w:r>
      <w:r w:rsidR="00586815">
        <w:rPr>
          <w:rFonts w:ascii="Times New Roman" w:hAnsi="Times New Roman" w:cs="Times New Roman"/>
          <w:color w:val="000000" w:themeColor="text1"/>
          <w:sz w:val="24"/>
          <w:szCs w:val="24"/>
        </w:rPr>
        <w:t>nte ao longo de sua vida</w:t>
      </w:r>
      <w:r w:rsidR="00ED6B19" w:rsidRPr="00C72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(SUSEP, 2017).</w:t>
      </w:r>
      <w:r w:rsidR="00ED6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D6B19" w:rsidRDefault="00ED6B19" w:rsidP="00ED6B19">
      <w:pPr>
        <w:spacing w:before="0" w:after="0" w:line="240" w:lineRule="auto"/>
        <w:ind w:left="0"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4C6">
        <w:rPr>
          <w:rFonts w:ascii="Times New Roman" w:hAnsi="Times New Roman" w:cs="Times New Roman"/>
          <w:color w:val="000000" w:themeColor="text1"/>
          <w:sz w:val="24"/>
          <w:szCs w:val="24"/>
        </w:rPr>
        <w:t>No caso brasileiro, a resolução CGPC nº 29, de 31 de agosto de 2009, em seu artigo 6º dá os limites máximos para essas duas taxas:</w:t>
      </w:r>
    </w:p>
    <w:p w:rsidR="00ED6B19" w:rsidRPr="002574C6" w:rsidRDefault="00ED6B19" w:rsidP="00ED6B19">
      <w:pPr>
        <w:spacing w:before="0" w:after="0" w:line="240" w:lineRule="auto"/>
        <w:ind w:left="0"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B19" w:rsidRPr="006C6F0C" w:rsidRDefault="00ED6B19" w:rsidP="00ED6B19">
      <w:pPr>
        <w:autoSpaceDE w:val="0"/>
        <w:autoSpaceDN w:val="0"/>
        <w:adjustRightInd w:val="0"/>
        <w:spacing w:before="0" w:after="0" w:line="240" w:lineRule="auto"/>
        <w:ind w:left="2268" w:firstLine="0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“</w:t>
      </w:r>
      <w:r w:rsidRPr="006C6F0C">
        <w:rPr>
          <w:rFonts w:ascii="Times New Roman" w:hAnsi="Times New Roman" w:cs="Times New Roman"/>
          <w:i/>
          <w:sz w:val="20"/>
          <w:szCs w:val="20"/>
        </w:rPr>
        <w:t>Art.</w:t>
      </w:r>
      <w:proofErr w:type="gramEnd"/>
      <w:r w:rsidRPr="006C6F0C">
        <w:rPr>
          <w:rFonts w:ascii="Times New Roman" w:hAnsi="Times New Roman" w:cs="Times New Roman"/>
          <w:i/>
          <w:sz w:val="20"/>
          <w:szCs w:val="20"/>
        </w:rPr>
        <w:t xml:space="preserve"> 6º O limite anual de recursos destinados pelo conjunto dos planos de benefícios executados pela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C6F0C">
        <w:rPr>
          <w:rFonts w:ascii="Times New Roman" w:hAnsi="Times New Roman" w:cs="Times New Roman"/>
          <w:i/>
          <w:sz w:val="20"/>
          <w:szCs w:val="20"/>
        </w:rPr>
        <w:t>EFPC de que trata a Lei Complementar nº 108, de 2001, para o plano de ges</w:t>
      </w:r>
      <w:r>
        <w:rPr>
          <w:rFonts w:ascii="Times New Roman" w:hAnsi="Times New Roman" w:cs="Times New Roman"/>
          <w:i/>
          <w:sz w:val="20"/>
          <w:szCs w:val="20"/>
        </w:rPr>
        <w:t xml:space="preserve">tão administrativa, observado o </w:t>
      </w:r>
      <w:r w:rsidRPr="006C6F0C">
        <w:rPr>
          <w:rFonts w:ascii="Times New Roman" w:hAnsi="Times New Roman" w:cs="Times New Roman"/>
          <w:i/>
          <w:sz w:val="20"/>
          <w:szCs w:val="20"/>
        </w:rPr>
        <w:t>custeio pelo patrocinador, participantes e assistidos, é um entre os seguintes:</w:t>
      </w:r>
    </w:p>
    <w:p w:rsidR="00ED6B19" w:rsidRPr="006C6F0C" w:rsidRDefault="00ED6B19" w:rsidP="00ED6B19">
      <w:pPr>
        <w:autoSpaceDE w:val="0"/>
        <w:autoSpaceDN w:val="0"/>
        <w:adjustRightInd w:val="0"/>
        <w:spacing w:before="0" w:after="0" w:line="240" w:lineRule="auto"/>
        <w:ind w:left="2268" w:firstLine="0"/>
        <w:rPr>
          <w:rFonts w:ascii="Times New Roman" w:hAnsi="Times New Roman" w:cs="Times New Roman"/>
          <w:i/>
          <w:sz w:val="20"/>
          <w:szCs w:val="20"/>
        </w:rPr>
      </w:pPr>
      <w:r w:rsidRPr="006C6F0C">
        <w:rPr>
          <w:rFonts w:ascii="Times New Roman" w:hAnsi="Times New Roman" w:cs="Times New Roman"/>
          <w:i/>
          <w:sz w:val="20"/>
          <w:szCs w:val="20"/>
        </w:rPr>
        <w:t xml:space="preserve">I – taxa de administração de até 1% (um por cento); </w:t>
      </w:r>
      <w:proofErr w:type="gramStart"/>
      <w:r w:rsidRPr="006C6F0C">
        <w:rPr>
          <w:rFonts w:ascii="Times New Roman" w:hAnsi="Times New Roman" w:cs="Times New Roman"/>
          <w:i/>
          <w:sz w:val="20"/>
          <w:szCs w:val="20"/>
        </w:rPr>
        <w:t>ou</w:t>
      </w:r>
      <w:proofErr w:type="gramEnd"/>
    </w:p>
    <w:p w:rsidR="00ED6B19" w:rsidRDefault="00ED6B19" w:rsidP="00ED6B19">
      <w:pPr>
        <w:spacing w:before="0" w:after="0" w:line="240" w:lineRule="auto"/>
        <w:ind w:left="2268" w:firstLine="0"/>
        <w:rPr>
          <w:rFonts w:ascii="Times New Roman" w:hAnsi="Times New Roman" w:cs="Times New Roman"/>
          <w:i/>
          <w:sz w:val="20"/>
          <w:szCs w:val="20"/>
        </w:rPr>
      </w:pPr>
      <w:r w:rsidRPr="006C6F0C">
        <w:rPr>
          <w:rFonts w:ascii="Times New Roman" w:hAnsi="Times New Roman" w:cs="Times New Roman"/>
          <w:i/>
          <w:sz w:val="20"/>
          <w:szCs w:val="20"/>
        </w:rPr>
        <w:t>II – taxa de carregamento de até 9</w:t>
      </w:r>
      <w:proofErr w:type="gramStart"/>
      <w:r w:rsidRPr="006C6F0C">
        <w:rPr>
          <w:rFonts w:ascii="Times New Roman" w:hAnsi="Times New Roman" w:cs="Times New Roman"/>
          <w:i/>
          <w:sz w:val="20"/>
          <w:szCs w:val="20"/>
        </w:rPr>
        <w:t>% (nove por cento)</w:t>
      </w:r>
      <w:r>
        <w:rPr>
          <w:rFonts w:ascii="Times New Roman" w:hAnsi="Times New Roman" w:cs="Times New Roman"/>
          <w:i/>
          <w:sz w:val="20"/>
          <w:szCs w:val="20"/>
        </w:rPr>
        <w:t>”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B2760">
        <w:rPr>
          <w:rFonts w:ascii="Times New Roman" w:hAnsi="Times New Roman" w:cs="Times New Roman"/>
          <w:sz w:val="20"/>
          <w:szCs w:val="20"/>
        </w:rPr>
        <w:t>(CGPC, 2009).</w:t>
      </w:r>
    </w:p>
    <w:p w:rsidR="00ED6B19" w:rsidRDefault="00ED6B19" w:rsidP="00ED6B19">
      <w:pPr>
        <w:spacing w:before="0" w:after="0" w:line="240" w:lineRule="auto"/>
        <w:ind w:left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ED6B19" w:rsidRDefault="00ED6B19" w:rsidP="00ED6B19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8A20CF">
        <w:rPr>
          <w:rFonts w:ascii="Times New Roman" w:hAnsi="Times New Roman" w:cs="Times New Roman"/>
          <w:sz w:val="24"/>
          <w:szCs w:val="24"/>
        </w:rPr>
        <w:t>Entretanto, mesmo a resolução CGPC nº 29 de 2009 fornecendo os limites máximos para essas duas taxas, não se sabe até que ponto as EFPC gerenciam de forma eficiente</w:t>
      </w:r>
      <w:r w:rsidR="00845CCE">
        <w:rPr>
          <w:rFonts w:ascii="Times New Roman" w:hAnsi="Times New Roman" w:cs="Times New Roman"/>
          <w:sz w:val="24"/>
          <w:szCs w:val="24"/>
        </w:rPr>
        <w:t xml:space="preserve"> e eficaz</w:t>
      </w:r>
      <w:r w:rsidRPr="008A20CF">
        <w:rPr>
          <w:rFonts w:ascii="Times New Roman" w:hAnsi="Times New Roman" w:cs="Times New Roman"/>
          <w:sz w:val="24"/>
          <w:szCs w:val="24"/>
        </w:rPr>
        <w:t xml:space="preserve"> suas despesas administrativas. Em</w:t>
      </w:r>
      <w:r w:rsidR="00F068E1">
        <w:rPr>
          <w:rFonts w:ascii="Times New Roman" w:hAnsi="Times New Roman" w:cs="Times New Roman"/>
          <w:sz w:val="24"/>
          <w:szCs w:val="24"/>
        </w:rPr>
        <w:t xml:space="preserve"> outras palavras, se</w:t>
      </w:r>
      <w:r w:rsidRPr="008A20CF">
        <w:rPr>
          <w:rFonts w:ascii="Times New Roman" w:hAnsi="Times New Roman" w:cs="Times New Roman"/>
          <w:sz w:val="24"/>
          <w:szCs w:val="24"/>
        </w:rPr>
        <w:t xml:space="preserve"> </w:t>
      </w:r>
      <w:r w:rsidR="00F068E1">
        <w:rPr>
          <w:rFonts w:ascii="Times New Roman" w:hAnsi="Times New Roman" w:cs="Times New Roman"/>
          <w:sz w:val="24"/>
          <w:szCs w:val="24"/>
        </w:rPr>
        <w:t xml:space="preserve">os </w:t>
      </w:r>
      <w:r w:rsidRPr="008A20CF">
        <w:rPr>
          <w:rFonts w:ascii="Times New Roman" w:hAnsi="Times New Roman" w:cs="Times New Roman"/>
          <w:sz w:val="24"/>
          <w:szCs w:val="24"/>
        </w:rPr>
        <w:t xml:space="preserve">percentuais aplicados às taxas de carregamento e administração </w:t>
      </w:r>
      <w:r w:rsidR="00F068E1">
        <w:rPr>
          <w:rFonts w:ascii="Times New Roman" w:hAnsi="Times New Roman" w:cs="Times New Roman"/>
          <w:sz w:val="24"/>
          <w:szCs w:val="24"/>
        </w:rPr>
        <w:t xml:space="preserve">forem muito elevados, mesmo dentro dos limites, </w:t>
      </w:r>
      <w:r w:rsidRPr="008A20CF">
        <w:rPr>
          <w:rFonts w:ascii="Times New Roman" w:hAnsi="Times New Roman" w:cs="Times New Roman"/>
          <w:sz w:val="24"/>
          <w:szCs w:val="24"/>
        </w:rPr>
        <w:t>os participantes das EFPC poderiam ter incentivos a deixar de contribui</w:t>
      </w:r>
      <w:r w:rsidR="008E2E50">
        <w:rPr>
          <w:rFonts w:ascii="Times New Roman" w:hAnsi="Times New Roman" w:cs="Times New Roman"/>
          <w:sz w:val="24"/>
          <w:szCs w:val="24"/>
        </w:rPr>
        <w:t xml:space="preserve">r com essas entidades, passando a buscar </w:t>
      </w:r>
      <w:proofErr w:type="gramStart"/>
      <w:r w:rsidR="008E2E50">
        <w:rPr>
          <w:rFonts w:ascii="Times New Roman" w:hAnsi="Times New Roman" w:cs="Times New Roman"/>
          <w:sz w:val="24"/>
          <w:szCs w:val="24"/>
        </w:rPr>
        <w:t>outras alternativas</w:t>
      </w:r>
      <w:proofErr w:type="gramEnd"/>
      <w:r w:rsidR="008E2E50">
        <w:rPr>
          <w:rFonts w:ascii="Times New Roman" w:hAnsi="Times New Roman" w:cs="Times New Roman"/>
          <w:sz w:val="24"/>
          <w:szCs w:val="24"/>
        </w:rPr>
        <w:t xml:space="preserve"> de poupança para o futuro.</w:t>
      </w:r>
    </w:p>
    <w:p w:rsidR="007C5A7E" w:rsidRDefault="007C5A7E" w:rsidP="00ED6B19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7C5A7E" w:rsidRPr="007C5A7E" w:rsidRDefault="00952428" w:rsidP="007C5A7E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Evidências empíricas das</w:t>
      </w:r>
      <w:r w:rsidR="007C5A7E" w:rsidRPr="007C5A7E">
        <w:rPr>
          <w:rFonts w:ascii="Times New Roman" w:hAnsi="Times New Roman" w:cs="Times New Roman"/>
          <w:b/>
          <w:sz w:val="24"/>
          <w:szCs w:val="24"/>
        </w:rPr>
        <w:t xml:space="preserve"> economias de escala e escopo nas EFPC</w:t>
      </w:r>
    </w:p>
    <w:p w:rsidR="007C5A7E" w:rsidRDefault="007C5A7E" w:rsidP="007C5A7E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C5A7E" w:rsidRPr="007C5A7E" w:rsidRDefault="00952428" w:rsidP="007C5A7E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al. (2009)</w:t>
      </w:r>
      <w:r w:rsidR="007C5A7E" w:rsidRPr="007C5A7E">
        <w:rPr>
          <w:rFonts w:ascii="Times New Roman" w:hAnsi="Times New Roman" w:cs="Times New Roman"/>
          <w:sz w:val="24"/>
          <w:szCs w:val="24"/>
        </w:rPr>
        <w:t xml:space="preserve"> o custo médio (ou custo unitário) de um bem ou serviço é obtido pelo quociente dos custos totais pela quantidade produzida. Assim, caso o custo unitário se reduza à medida que a produção aumente, têm-se a ocorrência de </w:t>
      </w:r>
      <w:r w:rsidR="005F63D6">
        <w:rPr>
          <w:rFonts w:ascii="Times New Roman" w:hAnsi="Times New Roman" w:cs="Times New Roman"/>
          <w:sz w:val="24"/>
          <w:szCs w:val="24"/>
        </w:rPr>
        <w:t>economias de escala (Mas-</w:t>
      </w:r>
      <w:proofErr w:type="spellStart"/>
      <w:r w:rsidR="005F63D6">
        <w:rPr>
          <w:rFonts w:ascii="Times New Roman" w:hAnsi="Times New Roman" w:cs="Times New Roman"/>
          <w:sz w:val="24"/>
          <w:szCs w:val="24"/>
        </w:rPr>
        <w:t>colell</w:t>
      </w:r>
      <w:proofErr w:type="spellEnd"/>
      <w:r w:rsidR="005F6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3D6">
        <w:rPr>
          <w:rFonts w:ascii="Times New Roman" w:hAnsi="Times New Roman" w:cs="Times New Roman"/>
          <w:sz w:val="24"/>
          <w:szCs w:val="24"/>
        </w:rPr>
        <w:t>Whinston</w:t>
      </w:r>
      <w:proofErr w:type="spellEnd"/>
      <w:r w:rsidR="005F63D6">
        <w:rPr>
          <w:rFonts w:ascii="Times New Roman" w:hAnsi="Times New Roman" w:cs="Times New Roman"/>
          <w:sz w:val="24"/>
          <w:szCs w:val="24"/>
        </w:rPr>
        <w:t xml:space="preserve"> &amp; G</w:t>
      </w:r>
      <w:r w:rsidR="005F63D6" w:rsidRPr="007C5A7E">
        <w:rPr>
          <w:rFonts w:ascii="Times New Roman" w:hAnsi="Times New Roman" w:cs="Times New Roman"/>
          <w:sz w:val="24"/>
          <w:szCs w:val="24"/>
        </w:rPr>
        <w:t xml:space="preserve">reen </w:t>
      </w:r>
      <w:r w:rsidR="007C5A7E" w:rsidRPr="007C5A7E">
        <w:rPr>
          <w:rFonts w:ascii="Times New Roman" w:hAnsi="Times New Roman" w:cs="Times New Roman"/>
          <w:sz w:val="24"/>
          <w:szCs w:val="24"/>
        </w:rPr>
        <w:t xml:space="preserve">1995; </w:t>
      </w:r>
      <w:proofErr w:type="spellStart"/>
      <w:r w:rsidR="007C5A7E" w:rsidRPr="007C5A7E">
        <w:rPr>
          <w:rFonts w:ascii="Times New Roman" w:hAnsi="Times New Roman" w:cs="Times New Roman"/>
          <w:sz w:val="24"/>
          <w:szCs w:val="24"/>
        </w:rPr>
        <w:t>V</w:t>
      </w:r>
      <w:r w:rsidR="005F63D6" w:rsidRPr="007C5A7E">
        <w:rPr>
          <w:rFonts w:ascii="Times New Roman" w:hAnsi="Times New Roman" w:cs="Times New Roman"/>
          <w:sz w:val="24"/>
          <w:szCs w:val="24"/>
        </w:rPr>
        <w:t>arian</w:t>
      </w:r>
      <w:proofErr w:type="spellEnd"/>
      <w:r w:rsidR="007C5A7E" w:rsidRPr="007C5A7E">
        <w:rPr>
          <w:rFonts w:ascii="Times New Roman" w:hAnsi="Times New Roman" w:cs="Times New Roman"/>
          <w:sz w:val="24"/>
          <w:szCs w:val="24"/>
        </w:rPr>
        <w:t>, 1992).</w:t>
      </w:r>
    </w:p>
    <w:p w:rsidR="007C5A7E" w:rsidRPr="007C5A7E" w:rsidRDefault="007C5A7E" w:rsidP="007C5A7E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A7E">
        <w:rPr>
          <w:rFonts w:ascii="Times New Roman" w:hAnsi="Times New Roman" w:cs="Times New Roman"/>
          <w:sz w:val="24"/>
          <w:szCs w:val="24"/>
        </w:rPr>
        <w:t>Por sua vez, quando as empresas conseguem fazer economias aumentando a variedade de bens ou serviços produzidos ocorrem às chamadas economias de escopo (</w:t>
      </w:r>
      <w:proofErr w:type="spellStart"/>
      <w:r w:rsidRPr="007C5A7E">
        <w:rPr>
          <w:rFonts w:ascii="Times New Roman" w:hAnsi="Times New Roman" w:cs="Times New Roman"/>
          <w:sz w:val="24"/>
          <w:szCs w:val="24"/>
        </w:rPr>
        <w:t>B</w:t>
      </w:r>
      <w:r w:rsidR="005F63D6" w:rsidRPr="005F63D6">
        <w:rPr>
          <w:rFonts w:ascii="Times New Roman" w:hAnsi="Times New Roman" w:cs="Times New Roman"/>
          <w:sz w:val="24"/>
          <w:szCs w:val="24"/>
        </w:rPr>
        <w:t>esanko</w:t>
      </w:r>
      <w:proofErr w:type="spellEnd"/>
      <w:r w:rsidRPr="007C5A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5A7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7C5A7E">
        <w:rPr>
          <w:rFonts w:ascii="Times New Roman" w:hAnsi="Times New Roman" w:cs="Times New Roman"/>
          <w:sz w:val="24"/>
          <w:szCs w:val="24"/>
        </w:rPr>
        <w:t xml:space="preserve"> al. 2009). Segundo Mas-</w:t>
      </w:r>
      <w:proofErr w:type="spellStart"/>
      <w:r w:rsidRPr="007C5A7E">
        <w:rPr>
          <w:rFonts w:ascii="Times New Roman" w:hAnsi="Times New Roman" w:cs="Times New Roman"/>
          <w:sz w:val="24"/>
          <w:szCs w:val="24"/>
        </w:rPr>
        <w:t>Colell</w:t>
      </w:r>
      <w:proofErr w:type="spellEnd"/>
      <w:r w:rsidRPr="007C5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A7E">
        <w:rPr>
          <w:rFonts w:ascii="Times New Roman" w:hAnsi="Times New Roman" w:cs="Times New Roman"/>
          <w:sz w:val="24"/>
          <w:szCs w:val="24"/>
        </w:rPr>
        <w:t>Whinston</w:t>
      </w:r>
      <w:proofErr w:type="spellEnd"/>
      <w:r w:rsidRPr="007C5A7E">
        <w:rPr>
          <w:rFonts w:ascii="Times New Roman" w:hAnsi="Times New Roman" w:cs="Times New Roman"/>
          <w:sz w:val="24"/>
          <w:szCs w:val="24"/>
        </w:rPr>
        <w:t xml:space="preserve"> e Green (1995), </w:t>
      </w:r>
      <w:r w:rsidR="0095240F">
        <w:rPr>
          <w:rFonts w:ascii="Times New Roman" w:hAnsi="Times New Roman" w:cs="Times New Roman"/>
          <w:sz w:val="24"/>
          <w:szCs w:val="24"/>
        </w:rPr>
        <w:t xml:space="preserve">as economias de escopo residem no fato de </w:t>
      </w:r>
      <w:r w:rsidRPr="007C5A7E">
        <w:rPr>
          <w:rFonts w:ascii="Times New Roman" w:hAnsi="Times New Roman" w:cs="Times New Roman"/>
          <w:sz w:val="24"/>
          <w:szCs w:val="24"/>
        </w:rPr>
        <w:t>o custo em se ofertar dois ou mais produtos\serviços</w:t>
      </w:r>
      <w:r w:rsidR="008E2E50">
        <w:rPr>
          <w:rFonts w:ascii="Times New Roman" w:hAnsi="Times New Roman" w:cs="Times New Roman"/>
          <w:sz w:val="24"/>
          <w:szCs w:val="24"/>
        </w:rPr>
        <w:t xml:space="preserve"> distintos por uma mesma firma ser</w:t>
      </w:r>
      <w:r w:rsidRPr="007C5A7E">
        <w:rPr>
          <w:rFonts w:ascii="Times New Roman" w:hAnsi="Times New Roman" w:cs="Times New Roman"/>
          <w:sz w:val="24"/>
          <w:szCs w:val="24"/>
        </w:rPr>
        <w:t xml:space="preserve"> inferior ao custo desses mesmos produtos\serviços serem oferecidos individualmente por firmas diferentes.</w:t>
      </w:r>
    </w:p>
    <w:p w:rsidR="007C5A7E" w:rsidRPr="007C5A7E" w:rsidRDefault="007C5A7E" w:rsidP="007C5A7E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A7E">
        <w:rPr>
          <w:rFonts w:ascii="Times New Roman" w:hAnsi="Times New Roman" w:cs="Times New Roman"/>
          <w:sz w:val="24"/>
          <w:szCs w:val="24"/>
        </w:rPr>
        <w:t>Considerando o mercado das EFPC,</w:t>
      </w:r>
      <w:r w:rsidRPr="007C5A7E">
        <w:rPr>
          <w:rFonts w:ascii="Times New Roman" w:hAnsi="Times New Roman" w:cs="Times New Roman"/>
          <w:sz w:val="24"/>
          <w:szCs w:val="24"/>
        </w:rPr>
        <w:tab/>
        <w:t xml:space="preserve"> a redução em termos unitários das despesas administrativas pode proporcionar maior bem estar aos participantes ativos,</w:t>
      </w:r>
      <w:r w:rsidR="008E2E50">
        <w:rPr>
          <w:rFonts w:ascii="Times New Roman" w:hAnsi="Times New Roman" w:cs="Times New Roman"/>
          <w:sz w:val="24"/>
          <w:szCs w:val="24"/>
        </w:rPr>
        <w:t xml:space="preserve"> inativos e </w:t>
      </w:r>
      <w:r w:rsidR="008E2E50">
        <w:rPr>
          <w:rFonts w:ascii="Times New Roman" w:hAnsi="Times New Roman" w:cs="Times New Roman"/>
          <w:sz w:val="24"/>
          <w:szCs w:val="24"/>
        </w:rPr>
        <w:lastRenderedPageBreak/>
        <w:t>pensionistas, pois</w:t>
      </w:r>
      <w:r w:rsidRPr="007C5A7E">
        <w:rPr>
          <w:rFonts w:ascii="Times New Roman" w:hAnsi="Times New Roman" w:cs="Times New Roman"/>
          <w:sz w:val="24"/>
          <w:szCs w:val="24"/>
        </w:rPr>
        <w:t xml:space="preserve"> uma parcela maior de recursos será destinada a constituição de ativos previdenciários, </w:t>
      </w:r>
      <w:r w:rsidRPr="007C5A7E">
        <w:rPr>
          <w:rFonts w:ascii="Times New Roman" w:hAnsi="Times New Roman" w:cs="Times New Roman"/>
          <w:i/>
          <w:sz w:val="24"/>
          <w:szCs w:val="24"/>
        </w:rPr>
        <w:t>vis-à-vis</w:t>
      </w:r>
      <w:r w:rsidRPr="007C5A7E">
        <w:rPr>
          <w:rFonts w:ascii="Times New Roman" w:hAnsi="Times New Roman" w:cs="Times New Roman"/>
          <w:sz w:val="24"/>
          <w:szCs w:val="24"/>
        </w:rPr>
        <w:t xml:space="preserve"> a manutenção das EFPC (</w:t>
      </w:r>
      <w:proofErr w:type="spellStart"/>
      <w:r w:rsidRPr="007C5A7E">
        <w:rPr>
          <w:rFonts w:ascii="Times New Roman" w:hAnsi="Times New Roman" w:cs="Times New Roman"/>
          <w:sz w:val="24"/>
          <w:szCs w:val="24"/>
        </w:rPr>
        <w:t>B</w:t>
      </w:r>
      <w:r w:rsidR="005F63D6" w:rsidRPr="007C5A7E">
        <w:rPr>
          <w:rFonts w:ascii="Times New Roman" w:hAnsi="Times New Roman" w:cs="Times New Roman"/>
          <w:sz w:val="24"/>
          <w:szCs w:val="24"/>
        </w:rPr>
        <w:t>ateman</w:t>
      </w:r>
      <w:proofErr w:type="spellEnd"/>
      <w:r w:rsidR="005F63D6">
        <w:rPr>
          <w:rFonts w:ascii="Times New Roman" w:hAnsi="Times New Roman" w:cs="Times New Roman"/>
          <w:sz w:val="24"/>
          <w:szCs w:val="24"/>
        </w:rPr>
        <w:t xml:space="preserve"> &amp;</w:t>
      </w:r>
      <w:r w:rsidRPr="007C5A7E">
        <w:rPr>
          <w:rFonts w:ascii="Times New Roman" w:hAnsi="Times New Roman" w:cs="Times New Roman"/>
          <w:sz w:val="24"/>
          <w:szCs w:val="24"/>
        </w:rPr>
        <w:t xml:space="preserve"> M</w:t>
      </w:r>
      <w:r w:rsidR="005F63D6" w:rsidRPr="007C5A7E">
        <w:rPr>
          <w:rFonts w:ascii="Times New Roman" w:hAnsi="Times New Roman" w:cs="Times New Roman"/>
          <w:sz w:val="24"/>
          <w:szCs w:val="24"/>
        </w:rPr>
        <w:t>itchell</w:t>
      </w:r>
      <w:r w:rsidRPr="007C5A7E">
        <w:rPr>
          <w:rFonts w:ascii="Times New Roman" w:hAnsi="Times New Roman" w:cs="Times New Roman"/>
          <w:sz w:val="24"/>
          <w:szCs w:val="24"/>
        </w:rPr>
        <w:t xml:space="preserve">, 2004). </w:t>
      </w:r>
    </w:p>
    <w:p w:rsidR="007C5A7E" w:rsidRPr="007C5A7E" w:rsidRDefault="007C5A7E" w:rsidP="00952428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A7E">
        <w:rPr>
          <w:rFonts w:ascii="Times New Roman" w:hAnsi="Times New Roman" w:cs="Times New Roman"/>
          <w:sz w:val="24"/>
          <w:szCs w:val="24"/>
        </w:rPr>
        <w:t xml:space="preserve">Por outro lado, quando uma mesma entidade possui um custo inferior em ofertar dois serviços, por exemplo, planos previdenciários e empréstimos consignados, se comparado ao custo desses serviços serem oferecidos individualmente por EFPC distintas, as possibilidades dos </w:t>
      </w:r>
      <w:r w:rsidR="0095240F">
        <w:rPr>
          <w:rFonts w:ascii="Times New Roman" w:hAnsi="Times New Roman" w:cs="Times New Roman"/>
          <w:sz w:val="24"/>
          <w:szCs w:val="24"/>
        </w:rPr>
        <w:t>participantes aumentam, já que esses</w:t>
      </w:r>
      <w:r w:rsidRPr="007C5A7E">
        <w:rPr>
          <w:rFonts w:ascii="Times New Roman" w:hAnsi="Times New Roman" w:cs="Times New Roman"/>
          <w:sz w:val="24"/>
          <w:szCs w:val="24"/>
        </w:rPr>
        <w:t xml:space="preserve"> estarão pagando proporcionalmente menos por uma cesta maior de serviços.</w:t>
      </w:r>
    </w:p>
    <w:p w:rsidR="00B50E3A" w:rsidRDefault="007C5A7E" w:rsidP="007C5A7E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A7E">
        <w:rPr>
          <w:rFonts w:ascii="Times New Roman" w:hAnsi="Times New Roman" w:cs="Times New Roman"/>
          <w:sz w:val="24"/>
          <w:szCs w:val="24"/>
        </w:rPr>
        <w:t xml:space="preserve">Os dois principais serviços ofertados pelas EFPC são a gestão previdenciária e a gestão dos ativos (investimentos). De forma geral, os estudos econométricos realizados utilizam duas </w:t>
      </w:r>
      <w:r w:rsidRPr="007C5A7E">
        <w:rPr>
          <w:rFonts w:ascii="Times New Roman" w:hAnsi="Times New Roman" w:cs="Times New Roman"/>
          <w:i/>
          <w:sz w:val="24"/>
          <w:szCs w:val="24"/>
        </w:rPr>
        <w:t>proxies</w:t>
      </w:r>
      <w:r w:rsidRPr="007C5A7E">
        <w:rPr>
          <w:rFonts w:ascii="Times New Roman" w:hAnsi="Times New Roman" w:cs="Times New Roman"/>
          <w:sz w:val="24"/>
          <w:szCs w:val="24"/>
        </w:rPr>
        <w:t xml:space="preserve"> para representar esses serviços em seus modelos, isto é, a quantidade de participantes e o volume total de ativos de uma EFPC, respectivamente (</w:t>
      </w:r>
      <w:proofErr w:type="spellStart"/>
      <w:r w:rsidRPr="007C5A7E">
        <w:rPr>
          <w:rFonts w:ascii="Times New Roman" w:hAnsi="Times New Roman" w:cs="Times New Roman"/>
          <w:sz w:val="24"/>
          <w:szCs w:val="24"/>
        </w:rPr>
        <w:t>B</w:t>
      </w:r>
      <w:r w:rsidR="005F63D6" w:rsidRPr="007C5A7E">
        <w:rPr>
          <w:rFonts w:ascii="Times New Roman" w:hAnsi="Times New Roman" w:cs="Times New Roman"/>
          <w:sz w:val="24"/>
          <w:szCs w:val="24"/>
        </w:rPr>
        <w:t>ikker</w:t>
      </w:r>
      <w:proofErr w:type="spellEnd"/>
      <w:r w:rsidRPr="007C5A7E">
        <w:rPr>
          <w:rFonts w:ascii="Times New Roman" w:hAnsi="Times New Roman" w:cs="Times New Roman"/>
          <w:sz w:val="24"/>
          <w:szCs w:val="24"/>
        </w:rPr>
        <w:t>, 2013).</w:t>
      </w:r>
    </w:p>
    <w:p w:rsidR="007C5A7E" w:rsidRPr="007C5A7E" w:rsidRDefault="007C5A7E" w:rsidP="007C5A7E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A7E">
        <w:rPr>
          <w:rFonts w:ascii="Times New Roman" w:hAnsi="Times New Roman" w:cs="Times New Roman"/>
          <w:sz w:val="24"/>
          <w:szCs w:val="24"/>
        </w:rPr>
        <w:t>Essas duas variáveis possuem a capacidade de mensurar as economias de escala, se os custos unitários declinarem com o aumento do número de participantes e do volu</w:t>
      </w:r>
      <w:r w:rsidR="005F63D6">
        <w:rPr>
          <w:rFonts w:ascii="Times New Roman" w:hAnsi="Times New Roman" w:cs="Times New Roman"/>
          <w:sz w:val="24"/>
          <w:szCs w:val="24"/>
        </w:rPr>
        <w:t>me de ativos das EFPC (</w:t>
      </w:r>
      <w:proofErr w:type="spellStart"/>
      <w:r w:rsidR="005F63D6">
        <w:rPr>
          <w:rFonts w:ascii="Times New Roman" w:hAnsi="Times New Roman" w:cs="Times New Roman"/>
          <w:sz w:val="24"/>
          <w:szCs w:val="24"/>
        </w:rPr>
        <w:t>Bikker</w:t>
      </w:r>
      <w:proofErr w:type="spellEnd"/>
      <w:r w:rsidR="005F63D6">
        <w:rPr>
          <w:rFonts w:ascii="Times New Roman" w:hAnsi="Times New Roman" w:cs="Times New Roman"/>
          <w:sz w:val="24"/>
          <w:szCs w:val="24"/>
        </w:rPr>
        <w:t xml:space="preserve"> &amp; De </w:t>
      </w:r>
      <w:proofErr w:type="spellStart"/>
      <w:r w:rsidR="005F63D6">
        <w:rPr>
          <w:rFonts w:ascii="Times New Roman" w:hAnsi="Times New Roman" w:cs="Times New Roman"/>
          <w:sz w:val="24"/>
          <w:szCs w:val="24"/>
        </w:rPr>
        <w:t>D</w:t>
      </w:r>
      <w:r w:rsidR="005F63D6" w:rsidRPr="007C5A7E">
        <w:rPr>
          <w:rFonts w:ascii="Times New Roman" w:hAnsi="Times New Roman" w:cs="Times New Roman"/>
          <w:sz w:val="24"/>
          <w:szCs w:val="24"/>
        </w:rPr>
        <w:t>reu</w:t>
      </w:r>
      <w:proofErr w:type="spellEnd"/>
      <w:r w:rsidRPr="007C5A7E">
        <w:rPr>
          <w:rFonts w:ascii="Times New Roman" w:hAnsi="Times New Roman" w:cs="Times New Roman"/>
          <w:sz w:val="24"/>
          <w:szCs w:val="24"/>
        </w:rPr>
        <w:t>, 2006).</w:t>
      </w:r>
      <w:r w:rsidR="008E2E50">
        <w:rPr>
          <w:rFonts w:ascii="Times New Roman" w:hAnsi="Times New Roman" w:cs="Times New Roman"/>
          <w:sz w:val="24"/>
          <w:szCs w:val="24"/>
        </w:rPr>
        <w:t xml:space="preserve"> Ou, em</w:t>
      </w:r>
      <w:r w:rsidR="00B50E3A">
        <w:rPr>
          <w:rFonts w:ascii="Times New Roman" w:hAnsi="Times New Roman" w:cs="Times New Roman"/>
          <w:sz w:val="24"/>
          <w:szCs w:val="24"/>
        </w:rPr>
        <w:t xml:space="preserve"> termos estat</w:t>
      </w:r>
      <w:r w:rsidR="008E2E50">
        <w:rPr>
          <w:rFonts w:ascii="Times New Roman" w:hAnsi="Times New Roman" w:cs="Times New Roman"/>
          <w:sz w:val="24"/>
          <w:szCs w:val="24"/>
        </w:rPr>
        <w:t>ísticos, caso a soma dos</w:t>
      </w:r>
      <w:r w:rsidR="00B50E3A">
        <w:rPr>
          <w:rFonts w:ascii="Times New Roman" w:hAnsi="Times New Roman" w:cs="Times New Roman"/>
          <w:sz w:val="24"/>
          <w:szCs w:val="24"/>
        </w:rPr>
        <w:t xml:space="preserve"> coeficientes </w:t>
      </w:r>
      <w:r w:rsidR="008E2E50">
        <w:rPr>
          <w:rFonts w:ascii="Times New Roman" w:hAnsi="Times New Roman" w:cs="Times New Roman"/>
          <w:sz w:val="24"/>
          <w:szCs w:val="24"/>
        </w:rPr>
        <w:t xml:space="preserve">da quantidade de participantes e do volume de ativos </w:t>
      </w:r>
      <w:r w:rsidR="00B50E3A">
        <w:rPr>
          <w:rFonts w:ascii="Times New Roman" w:hAnsi="Times New Roman" w:cs="Times New Roman"/>
          <w:sz w:val="24"/>
          <w:szCs w:val="24"/>
        </w:rPr>
        <w:t xml:space="preserve">seja inferior a </w:t>
      </w:r>
      <w:proofErr w:type="gramStart"/>
      <w:r w:rsidR="00B50E3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50E3A">
        <w:rPr>
          <w:rFonts w:ascii="Times New Roman" w:hAnsi="Times New Roman" w:cs="Times New Roman"/>
          <w:sz w:val="24"/>
          <w:szCs w:val="24"/>
        </w:rPr>
        <w:t xml:space="preserve"> (um), observa-se a presença de economias de escala nas despesas administrativas das EFPC (</w:t>
      </w:r>
      <w:proofErr w:type="spellStart"/>
      <w:r w:rsidR="009D7395">
        <w:rPr>
          <w:rFonts w:ascii="Times New Roman" w:hAnsi="Times New Roman" w:cs="Times New Roman"/>
          <w:sz w:val="24"/>
          <w:szCs w:val="24"/>
        </w:rPr>
        <w:t>Malhotra</w:t>
      </w:r>
      <w:proofErr w:type="spellEnd"/>
      <w:r w:rsidR="009D7395">
        <w:rPr>
          <w:rFonts w:ascii="Times New Roman" w:hAnsi="Times New Roman" w:cs="Times New Roman"/>
          <w:sz w:val="24"/>
          <w:szCs w:val="24"/>
        </w:rPr>
        <w:t xml:space="preserve">, Martin &amp; </w:t>
      </w:r>
      <w:proofErr w:type="spellStart"/>
      <w:r w:rsidR="009D7395">
        <w:rPr>
          <w:rFonts w:ascii="Times New Roman" w:hAnsi="Times New Roman" w:cs="Times New Roman"/>
          <w:sz w:val="24"/>
          <w:szCs w:val="24"/>
        </w:rPr>
        <w:t>McLeod</w:t>
      </w:r>
      <w:proofErr w:type="spellEnd"/>
      <w:r w:rsidR="009D7395">
        <w:rPr>
          <w:rFonts w:ascii="Times New Roman" w:hAnsi="Times New Roman" w:cs="Times New Roman"/>
          <w:sz w:val="24"/>
          <w:szCs w:val="24"/>
        </w:rPr>
        <w:t xml:space="preserve">, </w:t>
      </w:r>
      <w:r w:rsidR="00B50E3A" w:rsidRPr="00952428">
        <w:rPr>
          <w:rFonts w:ascii="Times New Roman" w:hAnsi="Times New Roman" w:cs="Times New Roman"/>
          <w:sz w:val="24"/>
          <w:szCs w:val="24"/>
        </w:rPr>
        <w:t>2009)</w:t>
      </w:r>
      <w:r w:rsidR="009D7395">
        <w:rPr>
          <w:rFonts w:ascii="Times New Roman" w:hAnsi="Times New Roman" w:cs="Times New Roman"/>
          <w:sz w:val="24"/>
          <w:szCs w:val="24"/>
        </w:rPr>
        <w:t>.</w:t>
      </w:r>
    </w:p>
    <w:p w:rsidR="00952428" w:rsidRPr="00952428" w:rsidRDefault="00952428" w:rsidP="00952428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52428">
        <w:rPr>
          <w:rFonts w:ascii="Times New Roman" w:hAnsi="Times New Roman" w:cs="Times New Roman"/>
          <w:bCs/>
          <w:sz w:val="24"/>
          <w:szCs w:val="24"/>
        </w:rPr>
        <w:t xml:space="preserve">O trabalho de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Caswell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(1976) foi o primeiro a procurar explicar os determinantes das despesas administrativas nas EFPC fazendo uso de dados em corte cruzado (</w:t>
      </w:r>
      <w:proofErr w:type="spellStart"/>
      <w:r w:rsidRPr="00952428">
        <w:rPr>
          <w:rFonts w:ascii="Times New Roman" w:hAnsi="Times New Roman" w:cs="Times New Roman"/>
          <w:i/>
          <w:sz w:val="24"/>
          <w:szCs w:val="24"/>
        </w:rPr>
        <w:t>cross-section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), dos planos previdenciários da indústria de construção civil norte americana no biênio 1969-1970. O autor descobriu que o número de participantes era uma variável relevante para explicar </w:t>
      </w:r>
      <w:r w:rsidR="005F7998">
        <w:rPr>
          <w:rFonts w:ascii="Times New Roman" w:hAnsi="Times New Roman" w:cs="Times New Roman"/>
          <w:sz w:val="24"/>
          <w:szCs w:val="24"/>
        </w:rPr>
        <w:t>as economias de escala das EFPC, obtendo o coeficiente de 0,8 para essa variável.</w:t>
      </w:r>
    </w:p>
    <w:p w:rsidR="00952428" w:rsidRPr="00952428" w:rsidRDefault="00952428" w:rsidP="00952428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52428">
        <w:rPr>
          <w:rFonts w:ascii="Times New Roman" w:hAnsi="Times New Roman" w:cs="Times New Roman"/>
          <w:sz w:val="24"/>
          <w:szCs w:val="24"/>
        </w:rPr>
        <w:t xml:space="preserve">Mitchell e Andrews (1981) ao aplicarem uma regressão </w:t>
      </w:r>
      <w:proofErr w:type="spellStart"/>
      <w:r w:rsidRPr="00952428">
        <w:rPr>
          <w:rFonts w:ascii="Times New Roman" w:hAnsi="Times New Roman" w:cs="Times New Roman"/>
          <w:i/>
          <w:sz w:val="24"/>
          <w:szCs w:val="24"/>
        </w:rPr>
        <w:t>cross-section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com dados sobre EFPC patrocinadas por empresas do setor privado dos EUA para o ano de 1975 verificaram que além do número de participantes, outra importante variável para ocorrência de economias de escala nas EFPC se tratava do total de ativos dessas entidades.</w:t>
      </w:r>
      <w:r w:rsidR="005F7998">
        <w:rPr>
          <w:rFonts w:ascii="Times New Roman" w:hAnsi="Times New Roman" w:cs="Times New Roman"/>
          <w:sz w:val="24"/>
          <w:szCs w:val="24"/>
        </w:rPr>
        <w:t xml:space="preserve"> Em seu modelo esses autores encontram os coeficientes de 0,56 e 0,27 para o número de participantes e o total de ativos, respectivamente.</w:t>
      </w:r>
    </w:p>
    <w:p w:rsidR="005F7998" w:rsidRDefault="00952428" w:rsidP="00952428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52428">
        <w:rPr>
          <w:rFonts w:ascii="Times New Roman" w:hAnsi="Times New Roman" w:cs="Times New Roman"/>
          <w:sz w:val="24"/>
          <w:szCs w:val="24"/>
        </w:rPr>
        <w:t xml:space="preserve"> Posteriormente, todos os demais trabalhos sobre a ocorrência de economias de escala nas EFPC passaram a incorporar o número de participantes e o total de ativos como determinantes das despesas administrativas. Por exemplo,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Bateman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e Mitchell (2004) </w:t>
      </w:r>
      <w:r w:rsidR="005F7998">
        <w:rPr>
          <w:rFonts w:ascii="Times New Roman" w:hAnsi="Times New Roman" w:cs="Times New Roman"/>
          <w:sz w:val="24"/>
          <w:szCs w:val="24"/>
        </w:rPr>
        <w:t xml:space="preserve">acharam os coeficientes de 0,4 e 0,5 </w:t>
      </w:r>
      <w:r w:rsidRPr="00952428">
        <w:rPr>
          <w:rFonts w:ascii="Times New Roman" w:hAnsi="Times New Roman" w:cs="Times New Roman"/>
          <w:sz w:val="24"/>
          <w:szCs w:val="24"/>
        </w:rPr>
        <w:t xml:space="preserve">para </w:t>
      </w:r>
      <w:r w:rsidR="005F7998">
        <w:rPr>
          <w:rFonts w:ascii="Times New Roman" w:hAnsi="Times New Roman" w:cs="Times New Roman"/>
          <w:sz w:val="24"/>
          <w:szCs w:val="24"/>
        </w:rPr>
        <w:t>a quantidade de participantes e o total de ativos das EFPC australianas.</w:t>
      </w:r>
    </w:p>
    <w:p w:rsidR="00952428" w:rsidRDefault="00952428" w:rsidP="00952428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52428">
        <w:rPr>
          <w:rFonts w:ascii="Times New Roman" w:hAnsi="Times New Roman" w:cs="Times New Roman"/>
          <w:sz w:val="24"/>
          <w:szCs w:val="24"/>
        </w:rPr>
        <w:t>Bikker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e De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Dreu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(2006) </w:t>
      </w:r>
      <w:r w:rsidR="005F7998">
        <w:rPr>
          <w:rFonts w:ascii="Times New Roman" w:hAnsi="Times New Roman" w:cs="Times New Roman"/>
          <w:sz w:val="24"/>
          <w:szCs w:val="24"/>
        </w:rPr>
        <w:t>estimaram os coeficientes de 0,59 e 0,09 para o número de participantes e o total de ativos das</w:t>
      </w:r>
      <w:r w:rsidR="00B50E3A">
        <w:rPr>
          <w:rFonts w:ascii="Times New Roman" w:hAnsi="Times New Roman" w:cs="Times New Roman"/>
          <w:sz w:val="24"/>
          <w:szCs w:val="24"/>
        </w:rPr>
        <w:t xml:space="preserve"> EFPC holandesas;</w:t>
      </w:r>
      <w:r w:rsidRPr="0095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Malhotra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, Martin e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McLeod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(2009) </w:t>
      </w:r>
      <w:r w:rsidR="00B50E3A">
        <w:rPr>
          <w:rFonts w:ascii="Times New Roman" w:hAnsi="Times New Roman" w:cs="Times New Roman"/>
          <w:sz w:val="24"/>
          <w:szCs w:val="24"/>
        </w:rPr>
        <w:t xml:space="preserve">encontraram o coeficiente de 0,78 para o </w:t>
      </w:r>
      <w:r w:rsidR="005F7998">
        <w:rPr>
          <w:rFonts w:ascii="Times New Roman" w:hAnsi="Times New Roman" w:cs="Times New Roman"/>
          <w:sz w:val="24"/>
          <w:szCs w:val="24"/>
        </w:rPr>
        <w:t>total de ativos das</w:t>
      </w:r>
      <w:r w:rsidR="005F7998" w:rsidRPr="00952428">
        <w:rPr>
          <w:rFonts w:ascii="Times New Roman" w:hAnsi="Times New Roman" w:cs="Times New Roman"/>
          <w:sz w:val="24"/>
          <w:szCs w:val="24"/>
        </w:rPr>
        <w:t xml:space="preserve"> EFPC </w:t>
      </w:r>
      <w:r w:rsidRPr="00952428">
        <w:rPr>
          <w:rFonts w:ascii="Times New Roman" w:hAnsi="Times New Roman" w:cs="Times New Roman"/>
          <w:sz w:val="24"/>
          <w:szCs w:val="24"/>
        </w:rPr>
        <w:t xml:space="preserve">americanas;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Bikker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Steenbeek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Torracchi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(2012), </w:t>
      </w:r>
      <w:r w:rsidR="009D7395">
        <w:rPr>
          <w:rFonts w:ascii="Times New Roman" w:hAnsi="Times New Roman" w:cs="Times New Roman"/>
          <w:sz w:val="24"/>
          <w:szCs w:val="24"/>
        </w:rPr>
        <w:t>obtiveram</w:t>
      </w:r>
      <w:r w:rsidR="00B50E3A">
        <w:rPr>
          <w:rFonts w:ascii="Times New Roman" w:hAnsi="Times New Roman" w:cs="Times New Roman"/>
          <w:sz w:val="24"/>
          <w:szCs w:val="24"/>
        </w:rPr>
        <w:t xml:space="preserve"> os coeficientes de 0,67 para o número de participantes e </w:t>
      </w:r>
      <w:proofErr w:type="gramStart"/>
      <w:r w:rsidR="00B50E3A">
        <w:rPr>
          <w:rFonts w:ascii="Times New Roman" w:hAnsi="Times New Roman" w:cs="Times New Roman"/>
          <w:sz w:val="24"/>
          <w:szCs w:val="24"/>
        </w:rPr>
        <w:t>0,19 para o total de ativos das</w:t>
      </w:r>
      <w:r w:rsidRPr="00952428">
        <w:rPr>
          <w:rFonts w:ascii="Times New Roman" w:hAnsi="Times New Roman" w:cs="Times New Roman"/>
          <w:sz w:val="24"/>
          <w:szCs w:val="24"/>
        </w:rPr>
        <w:t xml:space="preserve"> EFPC da Austrália, Canadá</w:t>
      </w:r>
      <w:proofErr w:type="gramEnd"/>
      <w:r w:rsidRPr="00952428">
        <w:rPr>
          <w:rFonts w:ascii="Times New Roman" w:hAnsi="Times New Roman" w:cs="Times New Roman"/>
          <w:sz w:val="24"/>
          <w:szCs w:val="24"/>
        </w:rPr>
        <w:t xml:space="preserve">, EUA e Holanda, simultaneamente e; Pereira,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Niyama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Sallaberry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(2013) </w:t>
      </w:r>
      <w:r w:rsidR="00CD6BDB">
        <w:rPr>
          <w:rFonts w:ascii="Times New Roman" w:hAnsi="Times New Roman" w:cs="Times New Roman"/>
          <w:sz w:val="24"/>
          <w:szCs w:val="24"/>
        </w:rPr>
        <w:t>calcularam</w:t>
      </w:r>
      <w:r w:rsidR="00B50E3A">
        <w:rPr>
          <w:rFonts w:ascii="Times New Roman" w:hAnsi="Times New Roman" w:cs="Times New Roman"/>
          <w:sz w:val="24"/>
          <w:szCs w:val="24"/>
        </w:rPr>
        <w:t xml:space="preserve"> os coeficientes de 0,05 e 0,60 para o número de participantes e o total de ativos das</w:t>
      </w:r>
      <w:r w:rsidR="00B50E3A" w:rsidRPr="00952428">
        <w:rPr>
          <w:rFonts w:ascii="Times New Roman" w:hAnsi="Times New Roman" w:cs="Times New Roman"/>
          <w:sz w:val="24"/>
          <w:szCs w:val="24"/>
        </w:rPr>
        <w:t xml:space="preserve"> EFPC </w:t>
      </w:r>
      <w:r w:rsidRPr="00952428">
        <w:rPr>
          <w:rFonts w:ascii="Times New Roman" w:hAnsi="Times New Roman" w:cs="Times New Roman"/>
          <w:sz w:val="24"/>
          <w:szCs w:val="24"/>
        </w:rPr>
        <w:t>brasileiras</w:t>
      </w:r>
      <w:r w:rsidR="00B50E3A">
        <w:rPr>
          <w:rFonts w:ascii="Times New Roman" w:hAnsi="Times New Roman" w:cs="Times New Roman"/>
          <w:sz w:val="24"/>
          <w:szCs w:val="24"/>
        </w:rPr>
        <w:t>, respectivamente</w:t>
      </w:r>
      <w:r w:rsidRPr="00952428">
        <w:rPr>
          <w:rFonts w:ascii="Times New Roman" w:hAnsi="Times New Roman" w:cs="Times New Roman"/>
          <w:sz w:val="24"/>
          <w:szCs w:val="24"/>
        </w:rPr>
        <w:t>.</w:t>
      </w:r>
    </w:p>
    <w:p w:rsidR="00CD6BDB" w:rsidRDefault="00CD6BDB" w:rsidP="00CD6BDB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C5A7E">
        <w:rPr>
          <w:rFonts w:ascii="Times New Roman" w:hAnsi="Times New Roman" w:cs="Times New Roman"/>
          <w:sz w:val="24"/>
          <w:szCs w:val="24"/>
        </w:rPr>
        <w:t>Já as economias de escopo ainda não foram muito exploradas pela literatura, tendo sido utilizadas basicamente as variáveis: quantidade de planos previdenciário</w:t>
      </w:r>
      <w:r>
        <w:rPr>
          <w:rFonts w:ascii="Times New Roman" w:hAnsi="Times New Roman" w:cs="Times New Roman"/>
          <w:sz w:val="24"/>
          <w:szCs w:val="24"/>
        </w:rPr>
        <w:t>s e quantidade de patrocinadoras das EFPC</w:t>
      </w:r>
      <w:r w:rsidRPr="007C5A7E">
        <w:rPr>
          <w:rFonts w:ascii="Times New Roman" w:hAnsi="Times New Roman" w:cs="Times New Roman"/>
          <w:sz w:val="24"/>
          <w:szCs w:val="24"/>
        </w:rPr>
        <w:t>. De acordo c</w:t>
      </w:r>
      <w:r>
        <w:rPr>
          <w:rFonts w:ascii="Times New Roman" w:hAnsi="Times New Roman" w:cs="Times New Roman"/>
          <w:sz w:val="24"/>
          <w:szCs w:val="24"/>
        </w:rPr>
        <w:t xml:space="preserve">om Caetano,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Boueri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Sachsida</w:t>
      </w:r>
      <w:proofErr w:type="spellEnd"/>
      <w:r w:rsidRPr="007C5A7E">
        <w:rPr>
          <w:rFonts w:ascii="Times New Roman" w:hAnsi="Times New Roman" w:cs="Times New Roman"/>
          <w:sz w:val="24"/>
          <w:szCs w:val="24"/>
        </w:rPr>
        <w:t xml:space="preserve"> (2015), a não </w:t>
      </w:r>
      <w:r w:rsidRPr="007C5A7E">
        <w:rPr>
          <w:rFonts w:ascii="Times New Roman" w:hAnsi="Times New Roman" w:cs="Times New Roman"/>
          <w:sz w:val="24"/>
          <w:szCs w:val="24"/>
        </w:rPr>
        <w:lastRenderedPageBreak/>
        <w:t xml:space="preserve">significância dessas duas variáveis </w:t>
      </w:r>
      <w:r>
        <w:rPr>
          <w:rFonts w:ascii="Times New Roman" w:hAnsi="Times New Roman" w:cs="Times New Roman"/>
          <w:sz w:val="24"/>
          <w:szCs w:val="24"/>
        </w:rPr>
        <w:t>remete a economias de escopo, porque</w:t>
      </w:r>
      <w:r w:rsidRPr="007C5A7E">
        <w:rPr>
          <w:rFonts w:ascii="Times New Roman" w:hAnsi="Times New Roman" w:cs="Times New Roman"/>
          <w:sz w:val="24"/>
          <w:szCs w:val="24"/>
        </w:rPr>
        <w:t xml:space="preserve"> o custo de uma EFPC não seria afetado pel</w:t>
      </w:r>
      <w:r>
        <w:rPr>
          <w:rFonts w:ascii="Times New Roman" w:hAnsi="Times New Roman" w:cs="Times New Roman"/>
          <w:sz w:val="24"/>
          <w:szCs w:val="24"/>
        </w:rPr>
        <w:t>o incremento na quantidade</w:t>
      </w:r>
      <w:r w:rsidRPr="007C5A7E">
        <w:rPr>
          <w:rFonts w:ascii="Times New Roman" w:hAnsi="Times New Roman" w:cs="Times New Roman"/>
          <w:sz w:val="24"/>
          <w:szCs w:val="24"/>
        </w:rPr>
        <w:t xml:space="preserve"> de planos pr</w:t>
      </w:r>
      <w:r>
        <w:rPr>
          <w:rFonts w:ascii="Times New Roman" w:hAnsi="Times New Roman" w:cs="Times New Roman"/>
          <w:sz w:val="24"/>
          <w:szCs w:val="24"/>
        </w:rPr>
        <w:t>evidenciários e de patrocinadoras.</w:t>
      </w:r>
    </w:p>
    <w:p w:rsidR="00952428" w:rsidRDefault="00952428" w:rsidP="00952428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52428">
        <w:rPr>
          <w:rFonts w:ascii="Times New Roman" w:hAnsi="Times New Roman" w:cs="Times New Roman"/>
          <w:sz w:val="24"/>
          <w:szCs w:val="24"/>
        </w:rPr>
        <w:t>Hsin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e Mitchell (1997)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EB5">
        <w:rPr>
          <w:rFonts w:ascii="Times New Roman" w:hAnsi="Times New Roman" w:cs="Times New Roman"/>
          <w:sz w:val="24"/>
          <w:szCs w:val="24"/>
        </w:rPr>
        <w:t xml:space="preserve">além de se utilizarem das variáveis clássicas para explicar as economias de escala das EFPC americanas do setor privado </w:t>
      </w:r>
      <w:r>
        <w:rPr>
          <w:rFonts w:ascii="Times New Roman" w:hAnsi="Times New Roman" w:cs="Times New Roman"/>
          <w:sz w:val="24"/>
          <w:szCs w:val="24"/>
        </w:rPr>
        <w:t xml:space="preserve">foram os primeiros a </w:t>
      </w:r>
      <w:r w:rsidR="00707EB5">
        <w:rPr>
          <w:rFonts w:ascii="Times New Roman" w:hAnsi="Times New Roman" w:cs="Times New Roman"/>
          <w:sz w:val="24"/>
          <w:szCs w:val="24"/>
        </w:rPr>
        <w:t>adotar</w:t>
      </w:r>
      <w:r w:rsidR="0095240F">
        <w:rPr>
          <w:rFonts w:ascii="Times New Roman" w:hAnsi="Times New Roman" w:cs="Times New Roman"/>
          <w:sz w:val="24"/>
          <w:szCs w:val="24"/>
        </w:rPr>
        <w:t xml:space="preserve"> em seu modelo</w:t>
      </w:r>
      <w:r w:rsidRPr="00952428">
        <w:rPr>
          <w:rFonts w:ascii="Times New Roman" w:hAnsi="Times New Roman" w:cs="Times New Roman"/>
          <w:sz w:val="24"/>
          <w:szCs w:val="24"/>
        </w:rPr>
        <w:t xml:space="preserve"> quantidade de planos ofertados por uma EFPC</w:t>
      </w:r>
      <w:r w:rsidR="00707EB5">
        <w:rPr>
          <w:rFonts w:ascii="Times New Roman" w:hAnsi="Times New Roman" w:cs="Times New Roman"/>
          <w:sz w:val="24"/>
          <w:szCs w:val="24"/>
        </w:rPr>
        <w:t>,</w:t>
      </w:r>
      <w:r w:rsidR="0095240F">
        <w:rPr>
          <w:rFonts w:ascii="Times New Roman" w:hAnsi="Times New Roman" w:cs="Times New Roman"/>
          <w:sz w:val="24"/>
          <w:szCs w:val="24"/>
        </w:rPr>
        <w:t xml:space="preserve"> como uma das variáveis de controle</w:t>
      </w:r>
      <w:r w:rsidRPr="00952428">
        <w:rPr>
          <w:rFonts w:ascii="Times New Roman" w:hAnsi="Times New Roman" w:cs="Times New Roman"/>
          <w:sz w:val="24"/>
          <w:szCs w:val="24"/>
        </w:rPr>
        <w:t>. Como resultado, a não significância para o coeficiente dessa variável revelou a presen</w:t>
      </w:r>
      <w:r w:rsidR="00707EB5">
        <w:rPr>
          <w:rFonts w:ascii="Times New Roman" w:hAnsi="Times New Roman" w:cs="Times New Roman"/>
          <w:sz w:val="24"/>
          <w:szCs w:val="24"/>
        </w:rPr>
        <w:t xml:space="preserve">ça de economias de escopo, pois a oferta de um novo plano previdenciário em uma </w:t>
      </w:r>
      <w:r w:rsidR="003B1606">
        <w:rPr>
          <w:rFonts w:ascii="Times New Roman" w:hAnsi="Times New Roman" w:cs="Times New Roman"/>
          <w:sz w:val="24"/>
          <w:szCs w:val="24"/>
        </w:rPr>
        <w:t>mesma EFPC não causaria aumento</w:t>
      </w:r>
      <w:r w:rsidR="00707EB5">
        <w:rPr>
          <w:rFonts w:ascii="Times New Roman" w:hAnsi="Times New Roman" w:cs="Times New Roman"/>
          <w:sz w:val="24"/>
          <w:szCs w:val="24"/>
        </w:rPr>
        <w:t xml:space="preserve"> em suas despesas administrativas.</w:t>
      </w:r>
    </w:p>
    <w:p w:rsidR="00952428" w:rsidRPr="00952428" w:rsidRDefault="00952428" w:rsidP="00EF273D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52428">
        <w:rPr>
          <w:rFonts w:ascii="Times New Roman" w:hAnsi="Times New Roman" w:cs="Times New Roman"/>
          <w:sz w:val="24"/>
          <w:szCs w:val="24"/>
        </w:rPr>
        <w:t xml:space="preserve">No Brasil,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Pasqualeto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428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Pr="00952428">
        <w:rPr>
          <w:rFonts w:ascii="Times New Roman" w:hAnsi="Times New Roman" w:cs="Times New Roman"/>
          <w:i/>
          <w:sz w:val="24"/>
          <w:szCs w:val="24"/>
        </w:rPr>
        <w:t xml:space="preserve"> al</w:t>
      </w:r>
      <w:r w:rsidRPr="00952428">
        <w:rPr>
          <w:rFonts w:ascii="Times New Roman" w:hAnsi="Times New Roman" w:cs="Times New Roman"/>
          <w:sz w:val="24"/>
          <w:szCs w:val="24"/>
        </w:rPr>
        <w:t>. (2014) ao procurarem explicar as economias de escala nas despesas administra</w:t>
      </w:r>
      <w:r>
        <w:rPr>
          <w:rFonts w:ascii="Times New Roman" w:hAnsi="Times New Roman" w:cs="Times New Roman"/>
          <w:sz w:val="24"/>
          <w:szCs w:val="24"/>
        </w:rPr>
        <w:t>tivas das EFPC também adotaram</w:t>
      </w:r>
      <w:r w:rsidRPr="00952428">
        <w:rPr>
          <w:rFonts w:ascii="Times New Roman" w:hAnsi="Times New Roman" w:cs="Times New Roman"/>
          <w:sz w:val="24"/>
          <w:szCs w:val="24"/>
        </w:rPr>
        <w:t xml:space="preserve"> a quantidade de planos como variável de controle no modelo funcional. No entanto, nos modelos elaborados essa variável apresentou significância do ponto de v</w:t>
      </w:r>
      <w:r w:rsidR="00707EB5">
        <w:rPr>
          <w:rFonts w:ascii="Times New Roman" w:hAnsi="Times New Roman" w:cs="Times New Roman"/>
          <w:sz w:val="24"/>
          <w:szCs w:val="24"/>
        </w:rPr>
        <w:t xml:space="preserve">ista estatístico, sugerindo a </w:t>
      </w:r>
      <w:r w:rsidR="009D7395">
        <w:rPr>
          <w:rFonts w:ascii="Times New Roman" w:hAnsi="Times New Roman" w:cs="Times New Roman"/>
          <w:sz w:val="24"/>
          <w:szCs w:val="24"/>
        </w:rPr>
        <w:t>não existência de</w:t>
      </w:r>
      <w:r w:rsidRPr="00952428">
        <w:rPr>
          <w:rFonts w:ascii="Times New Roman" w:hAnsi="Times New Roman" w:cs="Times New Roman"/>
          <w:sz w:val="24"/>
          <w:szCs w:val="24"/>
        </w:rPr>
        <w:t xml:space="preserve"> economias de escopo nas EFPC brasileiras no período investigado (2010 – 2012). </w:t>
      </w:r>
    </w:p>
    <w:p w:rsidR="00952428" w:rsidRPr="00952428" w:rsidRDefault="00952428" w:rsidP="00952428">
      <w:p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52428">
        <w:rPr>
          <w:rFonts w:ascii="Times New Roman" w:hAnsi="Times New Roman" w:cs="Times New Roman"/>
          <w:sz w:val="24"/>
          <w:szCs w:val="24"/>
        </w:rPr>
        <w:t xml:space="preserve">Ao contrário dos autores anteriores, Caetano,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Boueri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52428">
        <w:rPr>
          <w:rFonts w:ascii="Times New Roman" w:hAnsi="Times New Roman" w:cs="Times New Roman"/>
          <w:sz w:val="24"/>
          <w:szCs w:val="24"/>
        </w:rPr>
        <w:t>Sachsida</w:t>
      </w:r>
      <w:proofErr w:type="spellEnd"/>
      <w:r w:rsidRPr="00952428">
        <w:rPr>
          <w:rFonts w:ascii="Times New Roman" w:hAnsi="Times New Roman" w:cs="Times New Roman"/>
          <w:sz w:val="24"/>
          <w:szCs w:val="24"/>
        </w:rPr>
        <w:t xml:space="preserve"> (2015) procuraram incorporar explicitamente a questão do efeito escopo em seus modelos que trataram das despesas administrativas nas EFP</w:t>
      </w:r>
      <w:r w:rsidR="00707EB5">
        <w:rPr>
          <w:rFonts w:ascii="Times New Roman" w:hAnsi="Times New Roman" w:cs="Times New Roman"/>
          <w:sz w:val="24"/>
          <w:szCs w:val="24"/>
        </w:rPr>
        <w:t xml:space="preserve">C. Além das variáveis </w:t>
      </w:r>
      <w:r w:rsidRPr="00952428">
        <w:rPr>
          <w:rFonts w:ascii="Times New Roman" w:hAnsi="Times New Roman" w:cs="Times New Roman"/>
          <w:sz w:val="24"/>
          <w:szCs w:val="24"/>
        </w:rPr>
        <w:t>para mensurar as economias de escala, ou seja, o número de participantes e o total de ativos, esses autores consideraram a quantidade de planos e de patrocinadoras para mensurar as economias de escopo. Como resultado, os coeficientes dessas variáveis não foram significantes em seu modelo mais representativo, confirmando a existência de economias de escopo.</w:t>
      </w:r>
    </w:p>
    <w:p w:rsidR="00D3729F" w:rsidRPr="00952428" w:rsidRDefault="00D3729F" w:rsidP="00EF273D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E35011" w:rsidRPr="00235D34" w:rsidRDefault="00E35011" w:rsidP="0060102F">
      <w:pPr>
        <w:widowControl w:val="0"/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  <w:sectPr w:rsidR="00E35011" w:rsidRPr="00235D34" w:rsidSect="00EE627A">
          <w:headerReference w:type="first" r:id="rId17"/>
          <w:endnotePr>
            <w:numFmt w:val="decimal"/>
          </w:endnotePr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7D2CC8" w:rsidRPr="00653DBA" w:rsidRDefault="00DB0650" w:rsidP="00E35011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7D2C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41CB0">
        <w:rPr>
          <w:rFonts w:ascii="Times New Roman" w:hAnsi="Times New Roman" w:cs="Times New Roman"/>
          <w:b/>
          <w:sz w:val="24"/>
          <w:szCs w:val="24"/>
        </w:rPr>
        <w:t>Base de dados e m</w:t>
      </w:r>
      <w:r w:rsidRPr="00653DBA">
        <w:rPr>
          <w:rFonts w:ascii="Times New Roman" w:hAnsi="Times New Roman" w:cs="Times New Roman"/>
          <w:b/>
          <w:sz w:val="24"/>
          <w:szCs w:val="24"/>
        </w:rPr>
        <w:t>etodologia</w:t>
      </w:r>
    </w:p>
    <w:p w:rsidR="007D2CC8" w:rsidRDefault="007D2CC8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07EB5" w:rsidRDefault="00707EB5" w:rsidP="00707EB5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 w:rsidRPr="002A2BE6">
        <w:rPr>
          <w:rFonts w:ascii="Times New Roman" w:hAnsi="Times New Roman" w:cs="Times New Roman"/>
          <w:bCs/>
          <w:sz w:val="24"/>
          <w:szCs w:val="24"/>
        </w:rPr>
        <w:t xml:space="preserve">Os dados obtidos referem-se </w:t>
      </w:r>
      <w:r>
        <w:rPr>
          <w:rFonts w:ascii="Times New Roman" w:hAnsi="Times New Roman" w:cs="Times New Roman"/>
          <w:bCs/>
          <w:sz w:val="24"/>
          <w:szCs w:val="24"/>
        </w:rPr>
        <w:t xml:space="preserve">inicialmente 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a um total de </w:t>
      </w:r>
      <w:r w:rsidRPr="00FC7F2B">
        <w:rPr>
          <w:rFonts w:ascii="Times New Roman" w:hAnsi="Times New Roman" w:cs="Times New Roman"/>
          <w:bCs/>
          <w:sz w:val="24"/>
          <w:szCs w:val="24"/>
        </w:rPr>
        <w:t>1.396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observações para o período 2010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2014. A maior parte dos dados foi coletada no </w:t>
      </w:r>
      <w:r w:rsidRPr="00472BE0">
        <w:rPr>
          <w:rFonts w:ascii="Times New Roman" w:hAnsi="Times New Roman" w:cs="Times New Roman"/>
          <w:bCs/>
          <w:i/>
          <w:sz w:val="24"/>
          <w:szCs w:val="24"/>
        </w:rPr>
        <w:t>site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da PREVIC, através das Séries de Estudos “</w:t>
      </w:r>
      <w:r w:rsidRPr="002A2BE6">
        <w:rPr>
          <w:rFonts w:ascii="Times New Roman" w:hAnsi="Times New Roman" w:cs="Times New Roman"/>
          <w:sz w:val="24"/>
          <w:szCs w:val="24"/>
        </w:rPr>
        <w:t>Divulgação das Despesas Administrativas</w:t>
      </w:r>
      <w:r>
        <w:rPr>
          <w:rFonts w:ascii="Times New Roman" w:hAnsi="Times New Roman" w:cs="Times New Roman"/>
          <w:sz w:val="24"/>
          <w:szCs w:val="24"/>
        </w:rPr>
        <w:t xml:space="preserve"> nº 1, nº 3, nº 4, nº 5 e nº 6</w:t>
      </w:r>
      <w:r w:rsidRPr="002A2BE6">
        <w:rPr>
          <w:rFonts w:ascii="Times New Roman" w:hAnsi="Times New Roman" w:cs="Times New Roman"/>
          <w:sz w:val="24"/>
          <w:szCs w:val="24"/>
        </w:rPr>
        <w:t>”</w:t>
      </w:r>
      <w:r w:rsidRPr="002A2BE6">
        <w:rPr>
          <w:rFonts w:ascii="Times New Roman" w:hAnsi="Times New Roman" w:cs="Times New Roman"/>
          <w:bCs/>
          <w:sz w:val="24"/>
          <w:szCs w:val="24"/>
        </w:rPr>
        <w:t>. Por sua vez, os dados sobre a quantidade de assist</w:t>
      </w:r>
      <w:r>
        <w:rPr>
          <w:rFonts w:ascii="Times New Roman" w:hAnsi="Times New Roman" w:cs="Times New Roman"/>
          <w:bCs/>
          <w:sz w:val="24"/>
          <w:szCs w:val="24"/>
        </w:rPr>
        <w:t>idos aposentados e pensionistas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; participantes ativos e; quantidade de planos BD, CD e CV por EFPC tiveram que ser solicitados formalmente </w:t>
      </w:r>
      <w:r>
        <w:rPr>
          <w:rFonts w:ascii="Times New Roman" w:hAnsi="Times New Roman" w:cs="Times New Roman"/>
          <w:bCs/>
          <w:sz w:val="24"/>
          <w:szCs w:val="24"/>
        </w:rPr>
        <w:t>à PREVIC, por intermédio do Serviço de Informação ao C</w:t>
      </w:r>
      <w:r w:rsidR="00222750">
        <w:rPr>
          <w:rFonts w:ascii="Times New Roman" w:hAnsi="Times New Roman" w:cs="Times New Roman"/>
          <w:bCs/>
          <w:sz w:val="24"/>
          <w:szCs w:val="24"/>
        </w:rPr>
        <w:t>idadão (</w:t>
      </w:r>
      <w:r w:rsidRPr="002A2BE6">
        <w:rPr>
          <w:rFonts w:ascii="Times New Roman" w:hAnsi="Times New Roman" w:cs="Times New Roman"/>
          <w:bCs/>
          <w:sz w:val="24"/>
          <w:szCs w:val="24"/>
        </w:rPr>
        <w:t>SIC</w:t>
      </w:r>
      <w:r w:rsidR="00222750">
        <w:rPr>
          <w:rFonts w:ascii="Times New Roman" w:hAnsi="Times New Roman" w:cs="Times New Roman"/>
          <w:bCs/>
          <w:sz w:val="24"/>
          <w:szCs w:val="24"/>
        </w:rPr>
        <w:t>)</w:t>
      </w:r>
      <w:r w:rsidRPr="002A2BE6">
        <w:rPr>
          <w:rFonts w:ascii="Times New Roman" w:hAnsi="Times New Roman" w:cs="Times New Roman"/>
          <w:bCs/>
          <w:sz w:val="24"/>
          <w:szCs w:val="24"/>
        </w:rPr>
        <w:t>, vinculado ao Ministério da Transparência</w:t>
      </w:r>
      <w:r w:rsidR="00B84486">
        <w:rPr>
          <w:rFonts w:ascii="Times New Roman" w:hAnsi="Times New Roman" w:cs="Times New Roman"/>
          <w:bCs/>
          <w:sz w:val="24"/>
          <w:szCs w:val="24"/>
        </w:rPr>
        <w:t xml:space="preserve"> (MT)</w:t>
      </w:r>
      <w:r w:rsidRPr="002A2BE6">
        <w:rPr>
          <w:rFonts w:ascii="Times New Roman" w:hAnsi="Times New Roman" w:cs="Times New Roman"/>
          <w:bCs/>
          <w:sz w:val="24"/>
          <w:szCs w:val="24"/>
        </w:rPr>
        <w:t>.</w:t>
      </w:r>
    </w:p>
    <w:p w:rsidR="00B84486" w:rsidRPr="002A2BE6" w:rsidRDefault="00B84486" w:rsidP="00707EB5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Seguindo os demais estudos sobre o tema foram estimadas regressões para explicar as despesas administrativas</w:t>
      </w:r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das EFPC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. Como os dados coletados combinam</w:t>
      </w:r>
      <w:r w:rsidRPr="0039545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observações de corte transversal e séries de tempo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, optou-se pela metodologia </w:t>
      </w:r>
      <w:r w:rsidR="0022275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da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econom</w:t>
      </w:r>
      <w:r w:rsidR="0022275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etria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dos dados em painel, </w:t>
      </w:r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que </w:t>
      </w:r>
      <w:r w:rsidR="0022275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considera</w:t>
      </w:r>
      <w:r w:rsidR="00C76C6B" w:rsidRPr="0039545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explicitamente a questão da heterogen</w:t>
      </w:r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eidade da base de dados, com </w:t>
      </w:r>
      <w:r w:rsidR="00C76C6B" w:rsidRPr="0039545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as diferenças individuais</w:t>
      </w:r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entre as unidades estudadas sendo</w:t>
      </w:r>
      <w:r w:rsidR="00C76C6B" w:rsidRPr="0039545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formalmente capturadas</w:t>
      </w:r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(</w:t>
      </w:r>
      <w:proofErr w:type="spellStart"/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Gujar</w:t>
      </w:r>
      <w:r w:rsidR="0022275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at</w:t>
      </w:r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i</w:t>
      </w:r>
      <w:proofErr w:type="spellEnd"/>
      <w:r w:rsidR="00C76C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 xml:space="preserve"> &amp; Porter, 2011).</w:t>
      </w:r>
    </w:p>
    <w:p w:rsidR="00BB61D5" w:rsidRDefault="00BB61D5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 w:rsidRPr="002A2BE6">
        <w:rPr>
          <w:rFonts w:ascii="Times New Roman" w:hAnsi="Times New Roman" w:cs="Times New Roman"/>
          <w:bCs/>
          <w:sz w:val="24"/>
          <w:szCs w:val="24"/>
        </w:rPr>
        <w:t>É im</w:t>
      </w:r>
      <w:r>
        <w:rPr>
          <w:rFonts w:ascii="Times New Roman" w:hAnsi="Times New Roman" w:cs="Times New Roman"/>
          <w:bCs/>
          <w:sz w:val="24"/>
          <w:szCs w:val="24"/>
        </w:rPr>
        <w:t xml:space="preserve">portante frisar que não </w:t>
      </w:r>
      <w:r w:rsidR="00222750">
        <w:rPr>
          <w:rFonts w:ascii="Times New Roman" w:hAnsi="Times New Roman" w:cs="Times New Roman"/>
          <w:bCs/>
          <w:sz w:val="24"/>
          <w:szCs w:val="24"/>
        </w:rPr>
        <w:t xml:space="preserve">existiam na base de dados 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informações </w:t>
      </w:r>
      <w:r w:rsidR="00995E65">
        <w:rPr>
          <w:rFonts w:ascii="Times New Roman" w:hAnsi="Times New Roman" w:cs="Times New Roman"/>
          <w:bCs/>
          <w:sz w:val="24"/>
          <w:szCs w:val="24"/>
        </w:rPr>
        <w:t xml:space="preserve">completas 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sobre todas </w:t>
      </w:r>
      <w:r w:rsidR="00F41CB0">
        <w:rPr>
          <w:rFonts w:ascii="Times New Roman" w:hAnsi="Times New Roman" w:cs="Times New Roman"/>
          <w:bCs/>
          <w:sz w:val="24"/>
          <w:szCs w:val="24"/>
        </w:rPr>
        <w:t xml:space="preserve">as </w:t>
      </w:r>
      <w:r w:rsidR="00222750">
        <w:rPr>
          <w:rFonts w:ascii="Times New Roman" w:hAnsi="Times New Roman" w:cs="Times New Roman"/>
          <w:bCs/>
          <w:sz w:val="24"/>
          <w:szCs w:val="24"/>
        </w:rPr>
        <w:t>EFPC para o período investigado, o que fez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2750">
        <w:rPr>
          <w:rFonts w:ascii="Times New Roman" w:hAnsi="Times New Roman" w:cs="Times New Roman"/>
          <w:bCs/>
          <w:sz w:val="24"/>
          <w:szCs w:val="24"/>
        </w:rPr>
        <w:t xml:space="preserve">com </w:t>
      </w:r>
      <w:r>
        <w:rPr>
          <w:rFonts w:ascii="Times New Roman" w:hAnsi="Times New Roman" w:cs="Times New Roman"/>
          <w:bCs/>
          <w:sz w:val="24"/>
          <w:szCs w:val="24"/>
        </w:rPr>
        <w:t xml:space="preserve">que </w:t>
      </w:r>
      <w:r w:rsidRPr="002A2BE6">
        <w:rPr>
          <w:rFonts w:ascii="Times New Roman" w:hAnsi="Times New Roman" w:cs="Times New Roman"/>
          <w:bCs/>
          <w:sz w:val="24"/>
          <w:szCs w:val="24"/>
        </w:rPr>
        <w:t>os modelos de dados em painel con</w:t>
      </w:r>
      <w:r w:rsidR="00995E65">
        <w:rPr>
          <w:rFonts w:ascii="Times New Roman" w:hAnsi="Times New Roman" w:cs="Times New Roman"/>
          <w:bCs/>
          <w:sz w:val="24"/>
          <w:szCs w:val="24"/>
        </w:rPr>
        <w:t xml:space="preserve">struídos fossem não balanceados.  Todavia, de acordo com </w:t>
      </w:r>
      <w:proofErr w:type="spellStart"/>
      <w:r w:rsidR="00995E65">
        <w:rPr>
          <w:rFonts w:ascii="Times New Roman" w:hAnsi="Times New Roman" w:cs="Times New Roman"/>
          <w:bCs/>
          <w:sz w:val="24"/>
          <w:szCs w:val="24"/>
        </w:rPr>
        <w:t>Baltagi</w:t>
      </w:r>
      <w:proofErr w:type="spellEnd"/>
      <w:r w:rsidR="00995E65">
        <w:rPr>
          <w:rFonts w:ascii="Times New Roman" w:hAnsi="Times New Roman" w:cs="Times New Roman"/>
          <w:bCs/>
          <w:sz w:val="24"/>
          <w:szCs w:val="24"/>
        </w:rPr>
        <w:t xml:space="preserve"> (1995) tal situação não compromete a qualidade das estimações.</w:t>
      </w:r>
    </w:p>
    <w:p w:rsidR="000423A6" w:rsidRPr="002A2BE6" w:rsidRDefault="000423A6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 w:rsidRPr="002A2BE6">
        <w:rPr>
          <w:rFonts w:ascii="Times New Roman" w:hAnsi="Times New Roman" w:cs="Times New Roman"/>
          <w:bCs/>
          <w:sz w:val="24"/>
          <w:szCs w:val="24"/>
        </w:rPr>
        <w:t>O modelo empírico proposto segue a tradição dos</w:t>
      </w:r>
      <w:r w:rsidR="002E5CC5">
        <w:rPr>
          <w:rFonts w:ascii="Times New Roman" w:hAnsi="Times New Roman" w:cs="Times New Roman"/>
          <w:bCs/>
          <w:sz w:val="24"/>
          <w:szCs w:val="24"/>
        </w:rPr>
        <w:t xml:space="preserve"> trabalhos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considerand</w:t>
      </w:r>
      <w:r>
        <w:rPr>
          <w:rFonts w:ascii="Times New Roman" w:hAnsi="Times New Roman" w:cs="Times New Roman"/>
          <w:bCs/>
          <w:sz w:val="24"/>
          <w:szCs w:val="24"/>
        </w:rPr>
        <w:t xml:space="preserve">o a formulação de uma função </w:t>
      </w:r>
      <w:r w:rsidR="009D614B">
        <w:rPr>
          <w:rFonts w:ascii="Times New Roman" w:hAnsi="Times New Roman" w:cs="Times New Roman"/>
          <w:bCs/>
          <w:sz w:val="24"/>
          <w:szCs w:val="24"/>
        </w:rPr>
        <w:t>custo, com</w:t>
      </w:r>
      <w:r>
        <w:rPr>
          <w:rFonts w:ascii="Times New Roman" w:hAnsi="Times New Roman" w:cs="Times New Roman"/>
          <w:bCs/>
          <w:sz w:val="24"/>
          <w:szCs w:val="24"/>
        </w:rPr>
        <w:t xml:space="preserve"> as despesas administrativas como produto</w:t>
      </w:r>
      <w:r w:rsidR="009D614B">
        <w:rPr>
          <w:rFonts w:ascii="Times New Roman" w:hAnsi="Times New Roman" w:cs="Times New Roman"/>
          <w:bCs/>
          <w:sz w:val="24"/>
          <w:szCs w:val="24"/>
        </w:rPr>
        <w:t xml:space="preserve"> e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os insumos </w:t>
      </w:r>
      <w:r w:rsidR="009D614B">
        <w:rPr>
          <w:rFonts w:ascii="Times New Roman" w:hAnsi="Times New Roman" w:cs="Times New Roman"/>
          <w:bCs/>
          <w:sz w:val="24"/>
          <w:szCs w:val="24"/>
        </w:rPr>
        <w:t xml:space="preserve">sendo </w:t>
      </w:r>
      <w:r w:rsidRPr="002A2B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dados </w:t>
      </w:r>
      <w:r>
        <w:rPr>
          <w:rFonts w:ascii="Times New Roman" w:hAnsi="Times New Roman" w:cs="Times New Roman"/>
          <w:bCs/>
          <w:sz w:val="24"/>
          <w:szCs w:val="24"/>
        </w:rPr>
        <w:t xml:space="preserve">pelo total de participantes, o total de ativos 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Cs/>
          <w:sz w:val="24"/>
          <w:szCs w:val="24"/>
        </w:rPr>
        <w:t xml:space="preserve">as </w:t>
      </w:r>
      <w:r w:rsidRPr="002A2BE6">
        <w:rPr>
          <w:rFonts w:ascii="Times New Roman" w:hAnsi="Times New Roman" w:cs="Times New Roman"/>
          <w:bCs/>
          <w:sz w:val="24"/>
          <w:szCs w:val="24"/>
        </w:rPr>
        <w:t>demais variáveis de controle de acordo com a equação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6750">
        <w:rPr>
          <w:rFonts w:ascii="Times New Roman" w:hAnsi="Times New Roman" w:cs="Times New Roman"/>
          <w:bCs/>
          <w:sz w:val="24"/>
          <w:szCs w:val="24"/>
        </w:rPr>
        <w:t>(</w:t>
      </w:r>
      <w:r w:rsidR="00F41CB0">
        <w:rPr>
          <w:rFonts w:ascii="Times New Roman" w:hAnsi="Times New Roman" w:cs="Times New Roman"/>
          <w:bCs/>
          <w:sz w:val="24"/>
          <w:szCs w:val="24"/>
        </w:rPr>
        <w:t>1</w:t>
      </w:r>
      <w:r w:rsidR="00346750">
        <w:rPr>
          <w:rFonts w:ascii="Times New Roman" w:hAnsi="Times New Roman" w:cs="Times New Roman"/>
          <w:bCs/>
          <w:sz w:val="24"/>
          <w:szCs w:val="24"/>
        </w:rPr>
        <w:t>)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a seguir:</w:t>
      </w:r>
    </w:p>
    <w:p w:rsidR="000423A6" w:rsidRPr="002A2BE6" w:rsidRDefault="000423A6" w:rsidP="00605E7E">
      <w:pPr>
        <w:spacing w:before="0"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</w:p>
    <w:p w:rsidR="000423A6" w:rsidRPr="00BF194A" w:rsidRDefault="00CE0680" w:rsidP="00346750">
      <w:pPr>
        <w:spacing w:before="0" w:after="0" w:line="240" w:lineRule="auto"/>
        <w:ind w:left="0" w:firstLine="0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lnD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lnPart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lnAtivos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</m:sSub>
      </m:oMath>
      <w:r w:rsidR="001B500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   (</w:t>
      </w:r>
      <w:r w:rsidR="00F41CB0">
        <w:rPr>
          <w:rFonts w:ascii="Times New Roman" w:eastAsiaTheme="minorEastAsia" w:hAnsi="Times New Roman" w:cs="Times New Roman"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) </w:t>
      </w:r>
    </w:p>
    <w:p w:rsidR="000423A6" w:rsidRPr="002A2BE6" w:rsidRDefault="000423A6" w:rsidP="00D243A5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0423A6" w:rsidRDefault="000423A6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m que </w:t>
      </w:r>
      <w:r w:rsidRPr="002A2BE6">
        <w:rPr>
          <w:rFonts w:ascii="Times New Roman" w:hAnsi="Times New Roman" w:cs="Times New Roman"/>
          <w:bCs/>
          <w:i/>
          <w:sz w:val="24"/>
          <w:szCs w:val="24"/>
        </w:rPr>
        <w:t>i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refere-se a EFPC e </w:t>
      </w:r>
      <w:r w:rsidRPr="002A2BE6">
        <w:rPr>
          <w:rFonts w:ascii="Times New Roman" w:hAnsi="Times New Roman" w:cs="Times New Roman"/>
          <w:bCs/>
          <w:i/>
          <w:sz w:val="24"/>
          <w:szCs w:val="24"/>
        </w:rPr>
        <w:t>t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ao tempo. A variável dependente é </w:t>
      </w:r>
      <w:proofErr w:type="spellStart"/>
      <w:proofErr w:type="gramStart"/>
      <w:r w:rsidR="00346750">
        <w:rPr>
          <w:rFonts w:ascii="Times New Roman" w:hAnsi="Times New Roman" w:cs="Times New Roman"/>
          <w:bCs/>
          <w:i/>
          <w:sz w:val="24"/>
          <w:szCs w:val="24"/>
        </w:rPr>
        <w:t>lnD</w:t>
      </w:r>
      <w:proofErr w:type="spellEnd"/>
      <w:proofErr w:type="gramEnd"/>
      <w:r w:rsidR="004456B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A2BE6">
        <w:rPr>
          <w:rFonts w:ascii="Times New Roman" w:hAnsi="Times New Roman" w:cs="Times New Roman"/>
          <w:bCs/>
          <w:sz w:val="24"/>
          <w:szCs w:val="24"/>
        </w:rPr>
        <w:t>diz respeito ao logaritmo natural das despesas administrativas e a</w:t>
      </w:r>
      <w:r w:rsidR="007653C2">
        <w:rPr>
          <w:rFonts w:ascii="Times New Roman" w:hAnsi="Times New Roman" w:cs="Times New Roman"/>
          <w:bCs/>
          <w:sz w:val="24"/>
          <w:szCs w:val="24"/>
        </w:rPr>
        <w:t>s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variáveis explanatórias são, respectivamente, o logaritmo natural do total de participantes (</w:t>
      </w:r>
      <w:r w:rsidRPr="002A2BE6">
        <w:rPr>
          <w:rFonts w:ascii="Times New Roman" w:hAnsi="Times New Roman" w:cs="Times New Roman"/>
          <w:bCs/>
          <w:i/>
          <w:sz w:val="24"/>
          <w:szCs w:val="24"/>
        </w:rPr>
        <w:t>lnPart</w:t>
      </w:r>
      <w:r w:rsidRPr="002A2BE6">
        <w:rPr>
          <w:rFonts w:ascii="Times New Roman" w:hAnsi="Times New Roman" w:cs="Times New Roman"/>
          <w:bCs/>
          <w:sz w:val="24"/>
          <w:szCs w:val="24"/>
        </w:rPr>
        <w:t>) e o logaritm</w:t>
      </w:r>
      <w:r>
        <w:rPr>
          <w:rFonts w:ascii="Times New Roman" w:hAnsi="Times New Roman" w:cs="Times New Roman"/>
          <w:bCs/>
          <w:sz w:val="24"/>
          <w:szCs w:val="24"/>
        </w:rPr>
        <w:t>o natural do total de ativos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A2BE6">
        <w:rPr>
          <w:rFonts w:ascii="Times New Roman" w:hAnsi="Times New Roman" w:cs="Times New Roman"/>
          <w:bCs/>
          <w:i/>
          <w:sz w:val="24"/>
          <w:szCs w:val="24"/>
        </w:rPr>
        <w:t>lnAtivos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). As demais variáveis </w:t>
      </w:r>
      <w:r>
        <w:rPr>
          <w:rFonts w:ascii="Times New Roman" w:hAnsi="Times New Roman" w:cs="Times New Roman"/>
          <w:bCs/>
          <w:sz w:val="24"/>
          <w:szCs w:val="24"/>
        </w:rPr>
        <w:t xml:space="preserve">de controle 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são: a relação de beneficiários sobre os participantes ativos; </w:t>
      </w:r>
      <w:r w:rsidRPr="002A2BE6">
        <w:rPr>
          <w:rFonts w:ascii="Times New Roman" w:hAnsi="Times New Roman" w:cs="Times New Roman"/>
          <w:bCs/>
          <w:i/>
          <w:sz w:val="24"/>
          <w:szCs w:val="24"/>
        </w:rPr>
        <w:t>dummy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 para patrocinador privado; </w:t>
      </w:r>
      <w:r w:rsidRPr="002A2BE6">
        <w:rPr>
          <w:rFonts w:ascii="Times New Roman" w:hAnsi="Times New Roman" w:cs="Times New Roman"/>
          <w:bCs/>
          <w:i/>
          <w:sz w:val="24"/>
          <w:szCs w:val="24"/>
        </w:rPr>
        <w:t>dummy</w:t>
      </w:r>
      <w:r w:rsidR="0034675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A2BE6">
        <w:rPr>
          <w:rFonts w:ascii="Times New Roman" w:hAnsi="Times New Roman" w:cs="Times New Roman"/>
          <w:bCs/>
          <w:sz w:val="24"/>
          <w:szCs w:val="24"/>
        </w:rPr>
        <w:t>para instituidor; a quantidade de planos</w:t>
      </w:r>
      <w:r w:rsidR="003467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das EFPC e; a relação de planos BD sobre </w:t>
      </w:r>
      <w:r>
        <w:rPr>
          <w:rFonts w:ascii="Times New Roman" w:hAnsi="Times New Roman" w:cs="Times New Roman"/>
          <w:bCs/>
          <w:sz w:val="24"/>
          <w:szCs w:val="24"/>
        </w:rPr>
        <w:t>a soma d</w:t>
      </w:r>
      <w:r w:rsidRPr="002A2BE6">
        <w:rPr>
          <w:rFonts w:ascii="Times New Roman" w:hAnsi="Times New Roman" w:cs="Times New Roman"/>
          <w:bCs/>
          <w:sz w:val="24"/>
          <w:szCs w:val="24"/>
        </w:rPr>
        <w:t>os demais tipos de planos (CD e CV).</w:t>
      </w:r>
      <w:r w:rsidR="00D372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7127">
        <w:rPr>
          <w:rFonts w:ascii="Times New Roman" w:hAnsi="Times New Roman" w:cs="Times New Roman"/>
          <w:bCs/>
          <w:sz w:val="24"/>
          <w:szCs w:val="24"/>
        </w:rPr>
        <w:t>A Tabela</w:t>
      </w:r>
      <w:r w:rsidR="00D3729F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391292">
        <w:rPr>
          <w:rFonts w:ascii="Times New Roman" w:hAnsi="Times New Roman" w:cs="Times New Roman"/>
          <w:bCs/>
          <w:sz w:val="24"/>
          <w:szCs w:val="24"/>
        </w:rPr>
        <w:t xml:space="preserve"> faz uma síntese das variáveis utilizadas.</w:t>
      </w:r>
    </w:p>
    <w:p w:rsidR="00D3729F" w:rsidRDefault="00D3729F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647A39" w:rsidRDefault="00647A39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1D1C41" w:rsidRDefault="00877127" w:rsidP="001D1C41">
      <w:pPr>
        <w:pStyle w:val="Legenda"/>
        <w:spacing w:after="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bookmarkStart w:id="1" w:name="_Toc519845389"/>
      <w:r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Tabela</w:t>
      </w:r>
      <w:r w:rsidR="002E7EB9"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D3729F"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2E7EB9"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</w:p>
    <w:p w:rsidR="002E7EB9" w:rsidRPr="001D1C41" w:rsidRDefault="002E7EB9" w:rsidP="001D1C41">
      <w:pPr>
        <w:pStyle w:val="Legenda"/>
        <w:spacing w:after="0"/>
        <w:rPr>
          <w:rFonts w:ascii="Times New Roman" w:eastAsia="Times New Roman" w:hAnsi="Times New Roman" w:cs="Times New Roman"/>
          <w:bCs w:val="0"/>
          <w:color w:val="000000" w:themeColor="text1"/>
          <w:sz w:val="20"/>
          <w:szCs w:val="20"/>
          <w:lang w:eastAsia="pt-BR"/>
        </w:rPr>
      </w:pPr>
      <w:r w:rsidRPr="001D1C41">
        <w:rPr>
          <w:rFonts w:ascii="Times New Roman" w:hAnsi="Times New Roman" w:cs="Times New Roman"/>
          <w:color w:val="000000" w:themeColor="text1"/>
          <w:sz w:val="20"/>
          <w:szCs w:val="20"/>
        </w:rPr>
        <w:t>Descrição das Variáveis Utilizadas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4"/>
        <w:gridCol w:w="3225"/>
        <w:gridCol w:w="1183"/>
        <w:gridCol w:w="3455"/>
      </w:tblGrid>
      <w:tr w:rsidR="002E7EB9" w:rsidTr="002B0E9C">
        <w:tc>
          <w:tcPr>
            <w:tcW w:w="1300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2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Sinal Esperado</w:t>
            </w:r>
          </w:p>
        </w:tc>
        <w:tc>
          <w:tcPr>
            <w:tcW w:w="3611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Referencial Empírico</w:t>
            </w:r>
          </w:p>
        </w:tc>
      </w:tr>
      <w:tr w:rsidR="002E7EB9" w:rsidRPr="000258CA" w:rsidTr="002B0E9C">
        <w:trPr>
          <w:trHeight w:val="585"/>
        </w:trPr>
        <w:tc>
          <w:tcPr>
            <w:tcW w:w="1300" w:type="dxa"/>
            <w:vAlign w:val="center"/>
          </w:tcPr>
          <w:p w:rsidR="002E7EB9" w:rsidRPr="00EB4CBF" w:rsidRDefault="003F0487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lnD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Logaritmo natural das despesas administrativas</w:t>
            </w:r>
          </w:p>
        </w:tc>
        <w:tc>
          <w:tcPr>
            <w:tcW w:w="1028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3611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</w:pPr>
            <w:r w:rsidRPr="00BB4B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Caswell (1976)</w:t>
            </w:r>
            <w:r w:rsidRPr="00BB4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Mitchell e Andrews (1981);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Bikker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De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Dreu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(2006);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Bikker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Steenbeek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Torracchi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(2012);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Bikker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(2013)</w:t>
            </w:r>
          </w:p>
        </w:tc>
      </w:tr>
      <w:tr w:rsidR="002E7EB9" w:rsidRPr="000258CA" w:rsidTr="002B0E9C">
        <w:tc>
          <w:tcPr>
            <w:tcW w:w="1300" w:type="dxa"/>
            <w:vAlign w:val="center"/>
          </w:tcPr>
          <w:p w:rsidR="002E7EB9" w:rsidRPr="006F23EC" w:rsidRDefault="003F0487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lnPart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Logaritmo natural da quantidade total de participantes</w:t>
            </w:r>
          </w:p>
        </w:tc>
        <w:tc>
          <w:tcPr>
            <w:tcW w:w="1028" w:type="dxa"/>
            <w:vAlign w:val="center"/>
          </w:tcPr>
          <w:p w:rsidR="002E7EB9" w:rsidRPr="002E5CC5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2E5CC5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+</w:t>
            </w:r>
          </w:p>
        </w:tc>
        <w:tc>
          <w:tcPr>
            <w:tcW w:w="3611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Mitchell e Andrews (1981); </w:t>
            </w:r>
            <w:proofErr w:type="spellStart"/>
            <w:r w:rsidRPr="00B87E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Hsin</w:t>
            </w:r>
            <w:proofErr w:type="spellEnd"/>
            <w:r w:rsidRPr="00B87E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e Mitchell (1997)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;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Bikker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De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Dreu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(2006);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Bikker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(2013)</w:t>
            </w:r>
          </w:p>
        </w:tc>
      </w:tr>
      <w:tr w:rsidR="002E7EB9" w:rsidRPr="000258CA" w:rsidTr="002B0E9C">
        <w:tc>
          <w:tcPr>
            <w:tcW w:w="1300" w:type="dxa"/>
            <w:vAlign w:val="center"/>
          </w:tcPr>
          <w:p w:rsidR="002E7EB9" w:rsidRPr="006F23EC" w:rsidRDefault="003F0487" w:rsidP="002E7EB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lnAtivos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162C32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Logaritmo natural do total de ativos</w:t>
            </w:r>
          </w:p>
        </w:tc>
        <w:tc>
          <w:tcPr>
            <w:tcW w:w="1028" w:type="dxa"/>
            <w:vAlign w:val="center"/>
          </w:tcPr>
          <w:p w:rsidR="002E7EB9" w:rsidRPr="002E5CC5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2E5CC5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+</w:t>
            </w:r>
          </w:p>
        </w:tc>
        <w:tc>
          <w:tcPr>
            <w:tcW w:w="3611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Mitchell e Andrews (1981); </w:t>
            </w:r>
            <w:r w:rsidRPr="00B87E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Bateman e Mitchell (2004)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; </w:t>
            </w: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Malhotra, Marin 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McLaod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(2009);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Bikker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Steenbeek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>Torracchi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pt-BR"/>
              </w:rPr>
              <w:t xml:space="preserve"> (2012)</w:t>
            </w:r>
          </w:p>
        </w:tc>
      </w:tr>
      <w:tr w:rsidR="002E7EB9" w:rsidRPr="00EB4CBF" w:rsidTr="002B0E9C">
        <w:tc>
          <w:tcPr>
            <w:tcW w:w="1300" w:type="dxa"/>
            <w:vAlign w:val="center"/>
          </w:tcPr>
          <w:p w:rsidR="002E7EB9" w:rsidRPr="006F23EC" w:rsidRDefault="003F0487" w:rsidP="002E7EB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pt-BR"/>
                              </w:rPr>
                              <m:t>Benef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pt-BR"/>
                              </w:rPr>
                              <m:t>Ativos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Relação de beneficiários sobre participantes ativos</w:t>
            </w:r>
          </w:p>
        </w:tc>
        <w:tc>
          <w:tcPr>
            <w:tcW w:w="1028" w:type="dxa"/>
            <w:vAlign w:val="center"/>
          </w:tcPr>
          <w:p w:rsidR="002E7EB9" w:rsidRPr="002E5CC5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2E5CC5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+</w:t>
            </w:r>
          </w:p>
        </w:tc>
        <w:tc>
          <w:tcPr>
            <w:tcW w:w="3611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Caetano,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Boueri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Sachsida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(2015</w:t>
            </w:r>
            <w:proofErr w:type="gram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2E7EB9" w:rsidRPr="00EB4CBF" w:rsidTr="002B0E9C">
        <w:tc>
          <w:tcPr>
            <w:tcW w:w="1300" w:type="dxa"/>
            <w:vAlign w:val="center"/>
          </w:tcPr>
          <w:p w:rsidR="002E7EB9" w:rsidRPr="006F23EC" w:rsidRDefault="003F0487" w:rsidP="002E7EB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Privado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pt-BR"/>
              </w:rPr>
              <w:t>Dummy</w:t>
            </w: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para patrocínio privado</w:t>
            </w:r>
          </w:p>
        </w:tc>
        <w:tc>
          <w:tcPr>
            <w:tcW w:w="1028" w:type="dxa"/>
            <w:vAlign w:val="center"/>
          </w:tcPr>
          <w:p w:rsidR="002E7EB9" w:rsidRPr="002E5CC5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lang w:eastAsia="pt-BR"/>
              </w:rPr>
            </w:pPr>
            <w:r w:rsidRPr="002E5CC5">
              <w:rPr>
                <w:rFonts w:ascii="Times New Roman" w:eastAsia="Times New Roman" w:hAnsi="Times New Roman" w:cs="Times New Roman"/>
                <w:bCs/>
                <w:lang w:eastAsia="pt-BR"/>
              </w:rPr>
              <w:t>-</w:t>
            </w:r>
          </w:p>
        </w:tc>
        <w:tc>
          <w:tcPr>
            <w:tcW w:w="3611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Caetano,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Boueri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Sachsida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(2015); Pasqualeto (2015</w:t>
            </w:r>
            <w:proofErr w:type="gram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2E7EB9" w:rsidRPr="00EB4CBF" w:rsidTr="002B0E9C">
        <w:tc>
          <w:tcPr>
            <w:tcW w:w="1300" w:type="dxa"/>
            <w:vAlign w:val="center"/>
          </w:tcPr>
          <w:p w:rsidR="002E7EB9" w:rsidRPr="006F23EC" w:rsidRDefault="003F0487" w:rsidP="002E7EB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Instituidor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pt-BR"/>
              </w:rPr>
              <w:t>Dummy</w:t>
            </w: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para instituidor</w:t>
            </w:r>
          </w:p>
        </w:tc>
        <w:tc>
          <w:tcPr>
            <w:tcW w:w="1028" w:type="dxa"/>
            <w:vAlign w:val="center"/>
          </w:tcPr>
          <w:p w:rsidR="002E7EB9" w:rsidRPr="00D04039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lang w:eastAsia="pt-BR"/>
              </w:rPr>
            </w:pPr>
            <w:r w:rsidRPr="00D04039">
              <w:rPr>
                <w:rFonts w:ascii="Times New Roman" w:eastAsia="Times New Roman" w:hAnsi="Times New Roman" w:cs="Times New Roman"/>
                <w:bCs/>
                <w:lang w:eastAsia="pt-BR"/>
              </w:rPr>
              <w:t>-</w:t>
            </w:r>
          </w:p>
        </w:tc>
        <w:tc>
          <w:tcPr>
            <w:tcW w:w="3611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Pereira, Niyama e Sallaberry (2013); Caetano (2014); Caetano, Boueri e Sachsida (2015)</w:t>
            </w:r>
          </w:p>
        </w:tc>
      </w:tr>
      <w:tr w:rsidR="002E7EB9" w:rsidRPr="00EB4CBF" w:rsidTr="002B0E9C">
        <w:tc>
          <w:tcPr>
            <w:tcW w:w="1300" w:type="dxa"/>
            <w:vAlign w:val="center"/>
          </w:tcPr>
          <w:p w:rsidR="002E7EB9" w:rsidRPr="006F23EC" w:rsidRDefault="003F0487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Qtde Planos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Quantidade total de planos das EFPC</w:t>
            </w:r>
          </w:p>
        </w:tc>
        <w:tc>
          <w:tcPr>
            <w:tcW w:w="1028" w:type="dxa"/>
            <w:vAlign w:val="center"/>
          </w:tcPr>
          <w:p w:rsidR="002E7EB9" w:rsidRPr="009B6517" w:rsidRDefault="009B6517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Não Significante</w:t>
            </w:r>
          </w:p>
        </w:tc>
        <w:tc>
          <w:tcPr>
            <w:tcW w:w="3611" w:type="dxa"/>
          </w:tcPr>
          <w:p w:rsidR="002E7EB9" w:rsidRPr="00EB4CBF" w:rsidRDefault="002E7EB9" w:rsidP="002E7EB9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Pasqualeto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B4CBF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pt-BR"/>
              </w:rPr>
              <w:t>et</w:t>
            </w:r>
            <w:proofErr w:type="gramEnd"/>
            <w:r w:rsidRPr="00EB4CBF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pt-BR"/>
              </w:rPr>
              <w:t xml:space="preserve"> al</w:t>
            </w: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. (2014); Caetano, Boueri e Sachsida (2015)</w:t>
            </w:r>
          </w:p>
        </w:tc>
      </w:tr>
      <w:tr w:rsidR="002E7EB9" w:rsidRPr="00AE7CF8" w:rsidTr="002B0E9C">
        <w:tc>
          <w:tcPr>
            <w:tcW w:w="1300" w:type="dxa"/>
            <w:vAlign w:val="center"/>
          </w:tcPr>
          <w:p w:rsidR="002E7EB9" w:rsidRPr="00EB4CBF" w:rsidRDefault="003F0487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pt-BR"/>
                              </w:rPr>
                              <m:t>BD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pt-BR"/>
                              </w:rPr>
                              <m:t>CD+CV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pt-BR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348" w:type="dxa"/>
            <w:vAlign w:val="center"/>
          </w:tcPr>
          <w:p w:rsidR="002E7EB9" w:rsidRPr="00EB4CBF" w:rsidRDefault="002E7EB9" w:rsidP="002E7EB9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Relação de planos </w:t>
            </w:r>
            <w:r w:rsidR="00D44D1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BD sobre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o somatório dos planos CD e CV</w:t>
            </w:r>
          </w:p>
        </w:tc>
        <w:tc>
          <w:tcPr>
            <w:tcW w:w="1028" w:type="dxa"/>
            <w:vAlign w:val="center"/>
          </w:tcPr>
          <w:p w:rsidR="002E7EB9" w:rsidRPr="002E5CC5" w:rsidRDefault="002E7EB9" w:rsidP="002E7E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2E5CC5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+</w:t>
            </w:r>
          </w:p>
        </w:tc>
        <w:tc>
          <w:tcPr>
            <w:tcW w:w="3611" w:type="dxa"/>
            <w:vAlign w:val="center"/>
          </w:tcPr>
          <w:p w:rsidR="002E7EB9" w:rsidRPr="00D04039" w:rsidRDefault="002E7EB9" w:rsidP="00F41CB0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</w:pPr>
            <w:r w:rsidRPr="00D0403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Bateman e Mitchell (2004); </w:t>
            </w:r>
            <w:proofErr w:type="spellStart"/>
            <w:r w:rsidRPr="00D0403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Bikker</w:t>
            </w:r>
            <w:proofErr w:type="spellEnd"/>
            <w:r w:rsidRPr="00D0403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</w:t>
            </w:r>
            <w:r w:rsidR="00F41C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e De </w:t>
            </w:r>
            <w:proofErr w:type="spellStart"/>
            <w:r w:rsidR="00F41C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Dreu</w:t>
            </w:r>
            <w:proofErr w:type="spellEnd"/>
            <w:r w:rsidR="00F41C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(2006); </w:t>
            </w:r>
            <w:proofErr w:type="spellStart"/>
            <w:r w:rsidR="00F41C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Bikker</w:t>
            </w:r>
            <w:proofErr w:type="spellEnd"/>
            <w:r w:rsidR="00F41C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(2013)</w:t>
            </w:r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; Caetano,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Boueri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Sachsida</w:t>
            </w:r>
            <w:proofErr w:type="spellEnd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(2015</w:t>
            </w:r>
            <w:proofErr w:type="gramStart"/>
            <w:r w:rsidRPr="00EB4C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</w:tbl>
    <w:p w:rsidR="002E7EB9" w:rsidRDefault="00E27E60" w:rsidP="008B202D">
      <w:pPr>
        <w:spacing w:before="0" w:after="0" w:line="360" w:lineRule="auto"/>
        <w:ind w:left="0" w:firstLine="0"/>
        <w:rPr>
          <w:rFonts w:ascii="Times New Roman" w:hAnsi="Times New Roman" w:cs="Times New Roman"/>
          <w:bCs/>
          <w:sz w:val="20"/>
          <w:szCs w:val="20"/>
        </w:rPr>
      </w:pPr>
      <w:r w:rsidRPr="00E27E60">
        <w:rPr>
          <w:rFonts w:ascii="Times New Roman" w:hAnsi="Times New Roman" w:cs="Times New Roman"/>
          <w:bCs/>
          <w:sz w:val="20"/>
          <w:szCs w:val="20"/>
        </w:rPr>
        <w:t>Fonte: Elaboração do</w:t>
      </w:r>
      <w:r w:rsidR="00CE0680">
        <w:rPr>
          <w:rFonts w:ascii="Times New Roman" w:hAnsi="Times New Roman" w:cs="Times New Roman"/>
          <w:bCs/>
          <w:sz w:val="20"/>
          <w:szCs w:val="20"/>
        </w:rPr>
        <w:t>s</w:t>
      </w:r>
      <w:r w:rsidRPr="00E27E60">
        <w:rPr>
          <w:rFonts w:ascii="Times New Roman" w:hAnsi="Times New Roman" w:cs="Times New Roman"/>
          <w:bCs/>
          <w:sz w:val="20"/>
          <w:szCs w:val="20"/>
        </w:rPr>
        <w:t xml:space="preserve"> autor</w:t>
      </w:r>
      <w:r w:rsidR="00CE0680">
        <w:rPr>
          <w:rFonts w:ascii="Times New Roman" w:hAnsi="Times New Roman" w:cs="Times New Roman"/>
          <w:bCs/>
          <w:sz w:val="20"/>
          <w:szCs w:val="20"/>
        </w:rPr>
        <w:t>es</w:t>
      </w:r>
      <w:r w:rsidRPr="00E27E60">
        <w:rPr>
          <w:rFonts w:ascii="Times New Roman" w:hAnsi="Times New Roman" w:cs="Times New Roman"/>
          <w:bCs/>
          <w:sz w:val="20"/>
          <w:szCs w:val="20"/>
        </w:rPr>
        <w:t>.</w:t>
      </w:r>
    </w:p>
    <w:p w:rsidR="0092793A" w:rsidRPr="00E27E60" w:rsidRDefault="0092793A" w:rsidP="00D243A5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0"/>
          <w:szCs w:val="20"/>
        </w:rPr>
      </w:pPr>
    </w:p>
    <w:p w:rsidR="000423A6" w:rsidRDefault="000423A6" w:rsidP="00605E7E">
      <w:pPr>
        <w:spacing w:before="0" w:after="0" w:line="240" w:lineRule="auto"/>
        <w:ind w:left="0" w:firstLine="567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Caso a soma dos coeficientes do logaritmo natural do total de participantes e do logaritmo natural do total de ativos seja inferior </w:t>
      </w:r>
      <w:r w:rsidR="007653C2">
        <w:rPr>
          <w:rFonts w:ascii="Times New Roman" w:hAnsi="Times New Roman" w:cs="Times New Roman"/>
          <w:bCs/>
          <w:sz w:val="24"/>
          <w:szCs w:val="24"/>
        </w:rPr>
        <w:t>à</w:t>
      </w:r>
      <w:r>
        <w:rPr>
          <w:rFonts w:ascii="Times New Roman" w:hAnsi="Times New Roman" w:cs="Times New Roman"/>
          <w:bCs/>
          <w:sz w:val="24"/>
          <w:szCs w:val="24"/>
        </w:rPr>
        <w:t xml:space="preserve"> unidade, isto é,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&lt; 1, pode-se afirmar que existem economias crescentes de escala nas EFPC brasileiras, indicando que estas possuem margem para reduzir suas despesas administrativas por meio de políticas de incentivo à captação de novos participantes, com consequente aumento da base de ativos.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Nesse cenário, a despesa média por participante cairia, com o mesmo raciocínio sendo válido</w:t>
      </w:r>
      <w:r w:rsidR="00F41CB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para a despesa média atrelada ao gerenciamento</w:t>
      </w:r>
      <w:r w:rsidR="000861E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do</w:t>
      </w:r>
      <w:r w:rsidR="001B5006">
        <w:rPr>
          <w:rFonts w:ascii="Times New Roman" w:eastAsiaTheme="minorEastAsia" w:hAnsi="Times New Roman" w:cs="Times New Roman"/>
          <w:bCs/>
          <w:sz w:val="24"/>
          <w:szCs w:val="24"/>
        </w:rPr>
        <w:t>s</w:t>
      </w:r>
      <w:r w:rsidR="000861E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ativo</w:t>
      </w:r>
      <w:r w:rsidR="001B5006">
        <w:rPr>
          <w:rFonts w:ascii="Times New Roman" w:eastAsiaTheme="minorEastAsia" w:hAnsi="Times New Roman" w:cs="Times New Roman"/>
          <w:bCs/>
          <w:sz w:val="24"/>
          <w:szCs w:val="24"/>
        </w:rPr>
        <w:t>s</w:t>
      </w:r>
      <w:r w:rsidR="000861E5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F41CB0" w:rsidRDefault="00F41CB0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</w:t>
      </w:r>
      <w:r w:rsidR="000423A6">
        <w:rPr>
          <w:rFonts w:ascii="Times New Roman" w:hAnsi="Times New Roman" w:cs="Times New Roman"/>
          <w:sz w:val="24"/>
          <w:szCs w:val="24"/>
        </w:rPr>
        <w:t xml:space="preserve">variável </w:t>
      </w:r>
      <w:r w:rsidR="000423A6" w:rsidRPr="002A2BE6">
        <w:rPr>
          <w:rFonts w:ascii="Times New Roman" w:hAnsi="Times New Roman" w:cs="Times New Roman"/>
          <w:bCs/>
          <w:sz w:val="24"/>
          <w:szCs w:val="24"/>
        </w:rPr>
        <w:t>relação de beneficiários sobre os participantes ativos</w:t>
      </w:r>
      <w:r>
        <w:rPr>
          <w:rFonts w:ascii="Times New Roman" w:hAnsi="Times New Roman" w:cs="Times New Roman"/>
          <w:bCs/>
          <w:sz w:val="24"/>
          <w:szCs w:val="24"/>
        </w:rPr>
        <w:t>, espera-se que seu coeficiente seja significante e apresente</w:t>
      </w:r>
      <w:r w:rsidR="000423A6">
        <w:rPr>
          <w:rFonts w:ascii="Times New Roman" w:hAnsi="Times New Roman" w:cs="Times New Roman"/>
          <w:bCs/>
          <w:sz w:val="24"/>
          <w:szCs w:val="24"/>
        </w:rPr>
        <w:t xml:space="preserve"> valor inferior a </w:t>
      </w:r>
      <w:proofErr w:type="gramStart"/>
      <w:r w:rsidR="000423A6">
        <w:rPr>
          <w:rFonts w:ascii="Times New Roman" w:hAnsi="Times New Roman" w:cs="Times New Roman"/>
          <w:bCs/>
          <w:sz w:val="24"/>
          <w:szCs w:val="24"/>
        </w:rPr>
        <w:t>1</w:t>
      </w:r>
      <w:proofErr w:type="gramEnd"/>
      <w:r w:rsidR="000423A6">
        <w:rPr>
          <w:rFonts w:ascii="Times New Roman" w:hAnsi="Times New Roman" w:cs="Times New Roman"/>
          <w:bCs/>
          <w:sz w:val="24"/>
          <w:szCs w:val="24"/>
        </w:rPr>
        <w:t xml:space="preserve"> (um) e maior que 0 (zero)</w:t>
      </w:r>
      <w:r w:rsidR="00FA05FD">
        <w:rPr>
          <w:rFonts w:ascii="Times New Roman" w:hAnsi="Times New Roman" w:cs="Times New Roman"/>
          <w:bCs/>
          <w:sz w:val="24"/>
          <w:szCs w:val="24"/>
        </w:rPr>
        <w:t xml:space="preserve">, pois entende-se que os </w:t>
      </w:r>
      <w:r w:rsidR="000423A6">
        <w:rPr>
          <w:rFonts w:ascii="Times New Roman" w:hAnsi="Times New Roman" w:cs="Times New Roman"/>
          <w:bCs/>
          <w:sz w:val="24"/>
          <w:szCs w:val="24"/>
        </w:rPr>
        <w:t xml:space="preserve">beneficiários </w:t>
      </w:r>
      <w:r w:rsidR="00FA05FD">
        <w:rPr>
          <w:rFonts w:ascii="Times New Roman" w:hAnsi="Times New Roman" w:cs="Times New Roman"/>
          <w:bCs/>
          <w:sz w:val="24"/>
          <w:szCs w:val="24"/>
        </w:rPr>
        <w:t xml:space="preserve">possuem um custo de manutenção superior </w:t>
      </w:r>
      <w:r w:rsidR="000423A6">
        <w:rPr>
          <w:rFonts w:ascii="Times New Roman" w:hAnsi="Times New Roman" w:cs="Times New Roman"/>
          <w:bCs/>
          <w:sz w:val="24"/>
          <w:szCs w:val="24"/>
        </w:rPr>
        <w:t xml:space="preserve">aos participantes ativos, já que os primeiros tendem a utilizar mais a rede de atendimento e serviços das EFPC, bem como, </w:t>
      </w:r>
      <w:r w:rsidR="002E5CC5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0423A6">
        <w:rPr>
          <w:rFonts w:ascii="Times New Roman" w:hAnsi="Times New Roman" w:cs="Times New Roman"/>
          <w:bCs/>
          <w:sz w:val="24"/>
          <w:szCs w:val="24"/>
        </w:rPr>
        <w:t xml:space="preserve">ingressar com ações judiciais contra essas. </w:t>
      </w:r>
    </w:p>
    <w:p w:rsidR="000423A6" w:rsidRDefault="000423A6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 relação às variáveis </w:t>
      </w:r>
      <w:r w:rsidRPr="00E238B4">
        <w:rPr>
          <w:rFonts w:ascii="Times New Roman" w:hAnsi="Times New Roman" w:cs="Times New Roman"/>
          <w:bCs/>
          <w:i/>
          <w:sz w:val="24"/>
          <w:szCs w:val="24"/>
        </w:rPr>
        <w:t>dummies</w:t>
      </w:r>
      <w:r>
        <w:rPr>
          <w:rFonts w:ascii="Times New Roman" w:hAnsi="Times New Roman" w:cs="Times New Roman"/>
          <w:bCs/>
          <w:sz w:val="24"/>
          <w:szCs w:val="24"/>
        </w:rPr>
        <w:t xml:space="preserve"> para patrocinador privado e instituidor, caso apresente</w:t>
      </w:r>
      <w:r w:rsidR="000861E5">
        <w:rPr>
          <w:rFonts w:ascii="Times New Roman" w:hAnsi="Times New Roman" w:cs="Times New Roman"/>
          <w:bCs/>
          <w:sz w:val="24"/>
          <w:szCs w:val="24"/>
        </w:rPr>
        <w:t>m coeficientes negativos</w:t>
      </w:r>
      <w:r w:rsidR="002E63BC">
        <w:rPr>
          <w:rFonts w:ascii="Times New Roman" w:hAnsi="Times New Roman" w:cs="Times New Roman"/>
          <w:bCs/>
          <w:sz w:val="24"/>
          <w:szCs w:val="24"/>
        </w:rPr>
        <w:t xml:space="preserve">, isso demonstrará que as </w:t>
      </w:r>
      <w:r>
        <w:rPr>
          <w:rFonts w:ascii="Times New Roman" w:hAnsi="Times New Roman" w:cs="Times New Roman"/>
          <w:bCs/>
          <w:sz w:val="24"/>
          <w:szCs w:val="24"/>
        </w:rPr>
        <w:t xml:space="preserve">EFPC </w:t>
      </w:r>
      <w:r w:rsidR="002E63BC">
        <w:rPr>
          <w:rFonts w:ascii="Times New Roman" w:hAnsi="Times New Roman" w:cs="Times New Roman"/>
          <w:bCs/>
          <w:sz w:val="24"/>
          <w:szCs w:val="24"/>
        </w:rPr>
        <w:t xml:space="preserve">mantidas por empresas </w:t>
      </w:r>
      <w:proofErr w:type="gramStart"/>
      <w:r w:rsidR="002E63BC">
        <w:rPr>
          <w:rFonts w:ascii="Times New Roman" w:hAnsi="Times New Roman" w:cs="Times New Roman"/>
          <w:bCs/>
          <w:sz w:val="24"/>
          <w:szCs w:val="24"/>
        </w:rPr>
        <w:t>privadas e instituidores</w:t>
      </w:r>
      <w:proofErr w:type="gramEnd"/>
      <w:r w:rsidR="002E63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861E5">
        <w:rPr>
          <w:rFonts w:ascii="Times New Roman" w:hAnsi="Times New Roman" w:cs="Times New Roman"/>
          <w:bCs/>
          <w:sz w:val="24"/>
          <w:szCs w:val="24"/>
        </w:rPr>
        <w:t>possuem menores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despesas administrativas se comparadas as EFPC patrocinadas por entes públicos</w:t>
      </w:r>
      <w:r w:rsidR="000861E5">
        <w:rPr>
          <w:rFonts w:ascii="Times New Roman" w:hAnsi="Times New Roman" w:cs="Times New Roman"/>
          <w:bCs/>
          <w:sz w:val="24"/>
          <w:szCs w:val="24"/>
        </w:rPr>
        <w:t>. Tal hipótese é baseada nos achados de</w:t>
      </w:r>
      <w:r w:rsidR="001412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1242" w:rsidRPr="00B35E2C">
        <w:rPr>
          <w:rFonts w:ascii="Times New Roman" w:hAnsi="Times New Roman" w:cs="Times New Roman"/>
          <w:bCs/>
          <w:sz w:val="24"/>
          <w:szCs w:val="24"/>
        </w:rPr>
        <w:t>Bikker, Steenbeek e Torracchi (2012)</w:t>
      </w:r>
      <w:r w:rsidR="00141242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141242" w:rsidRPr="00B35E2C">
        <w:rPr>
          <w:rFonts w:ascii="Times New Roman" w:hAnsi="Times New Roman" w:cs="Times New Roman"/>
          <w:bCs/>
          <w:sz w:val="24"/>
          <w:szCs w:val="24"/>
        </w:rPr>
        <w:t>Pereira, Niyama e Sallaberry (2013); Ca</w:t>
      </w:r>
      <w:r w:rsidR="00141242">
        <w:rPr>
          <w:rFonts w:ascii="Times New Roman" w:hAnsi="Times New Roman" w:cs="Times New Roman"/>
          <w:bCs/>
          <w:sz w:val="24"/>
          <w:szCs w:val="24"/>
        </w:rPr>
        <w:t xml:space="preserve">etano, Boueri e Sachsida (2015) e; </w:t>
      </w:r>
      <w:r w:rsidR="00141242" w:rsidRPr="00B35E2C">
        <w:rPr>
          <w:rFonts w:ascii="Times New Roman" w:hAnsi="Times New Roman" w:cs="Times New Roman"/>
          <w:bCs/>
          <w:sz w:val="24"/>
          <w:szCs w:val="24"/>
        </w:rPr>
        <w:t>Pasqualeto (2015)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423A6" w:rsidRDefault="00F41CB0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mensurar as </w:t>
      </w:r>
      <w:r w:rsidR="000423A6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conomias de escopo nas EFPC foi utilizada a </w:t>
      </w:r>
      <w:r w:rsidR="000423A6">
        <w:rPr>
          <w:rFonts w:ascii="Times New Roman" w:hAnsi="Times New Roman" w:cs="Times New Roman"/>
          <w:bCs/>
          <w:sz w:val="24"/>
          <w:szCs w:val="24"/>
        </w:rPr>
        <w:t>quantidade de planos previdenciá</w:t>
      </w:r>
      <w:r w:rsidR="00215592">
        <w:rPr>
          <w:rFonts w:ascii="Times New Roman" w:hAnsi="Times New Roman" w:cs="Times New Roman"/>
          <w:bCs/>
          <w:sz w:val="24"/>
          <w:szCs w:val="24"/>
        </w:rPr>
        <w:t xml:space="preserve">rios dessas entidades. Conforme </w:t>
      </w:r>
      <w:r w:rsidR="00215592" w:rsidRPr="00B35E2C">
        <w:rPr>
          <w:rFonts w:ascii="Times New Roman" w:hAnsi="Times New Roman" w:cs="Times New Roman"/>
          <w:bCs/>
          <w:sz w:val="24"/>
          <w:szCs w:val="24"/>
        </w:rPr>
        <w:t>Ca</w:t>
      </w:r>
      <w:r w:rsidR="00215592">
        <w:rPr>
          <w:rFonts w:ascii="Times New Roman" w:hAnsi="Times New Roman" w:cs="Times New Roman"/>
          <w:bCs/>
          <w:sz w:val="24"/>
          <w:szCs w:val="24"/>
        </w:rPr>
        <w:t xml:space="preserve">etano, </w:t>
      </w:r>
      <w:proofErr w:type="spellStart"/>
      <w:r w:rsidR="00215592">
        <w:rPr>
          <w:rFonts w:ascii="Times New Roman" w:hAnsi="Times New Roman" w:cs="Times New Roman"/>
          <w:bCs/>
          <w:sz w:val="24"/>
          <w:szCs w:val="24"/>
        </w:rPr>
        <w:t>Boueri</w:t>
      </w:r>
      <w:proofErr w:type="spellEnd"/>
      <w:r w:rsidR="00215592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215592">
        <w:rPr>
          <w:rFonts w:ascii="Times New Roman" w:hAnsi="Times New Roman" w:cs="Times New Roman"/>
          <w:bCs/>
          <w:sz w:val="24"/>
          <w:szCs w:val="24"/>
        </w:rPr>
        <w:t>Sachsida</w:t>
      </w:r>
      <w:proofErr w:type="spellEnd"/>
      <w:r w:rsidR="00215592">
        <w:rPr>
          <w:rFonts w:ascii="Times New Roman" w:hAnsi="Times New Roman" w:cs="Times New Roman"/>
          <w:bCs/>
          <w:sz w:val="24"/>
          <w:szCs w:val="24"/>
        </w:rPr>
        <w:t xml:space="preserve"> (2015) é esperado que o</w:t>
      </w:r>
      <w:r w:rsidR="002E5CC5">
        <w:rPr>
          <w:rFonts w:ascii="Times New Roman" w:hAnsi="Times New Roman" w:cs="Times New Roman"/>
          <w:bCs/>
          <w:sz w:val="24"/>
          <w:szCs w:val="24"/>
        </w:rPr>
        <w:t xml:space="preserve"> coeficiente dessa variável </w:t>
      </w:r>
      <w:r w:rsidR="00215592">
        <w:rPr>
          <w:rFonts w:ascii="Times New Roman" w:hAnsi="Times New Roman" w:cs="Times New Roman"/>
          <w:bCs/>
          <w:sz w:val="24"/>
          <w:szCs w:val="24"/>
        </w:rPr>
        <w:t xml:space="preserve">não </w:t>
      </w:r>
      <w:proofErr w:type="gramStart"/>
      <w:r w:rsidR="002E5CC5">
        <w:rPr>
          <w:rFonts w:ascii="Times New Roman" w:hAnsi="Times New Roman" w:cs="Times New Roman"/>
          <w:bCs/>
          <w:sz w:val="24"/>
          <w:szCs w:val="24"/>
        </w:rPr>
        <w:t>seja</w:t>
      </w:r>
      <w:proofErr w:type="gramEnd"/>
      <w:r w:rsidR="002E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5592">
        <w:rPr>
          <w:rFonts w:ascii="Times New Roman" w:hAnsi="Times New Roman" w:cs="Times New Roman"/>
          <w:bCs/>
          <w:sz w:val="24"/>
          <w:szCs w:val="24"/>
        </w:rPr>
        <w:t>significante, indicando que as despesas administrativas das EFPC não sofreriam incrementos com a oferta de um novo plano previdenciário</w:t>
      </w:r>
      <w:r w:rsidR="000423A6">
        <w:rPr>
          <w:rFonts w:ascii="Times New Roman" w:hAnsi="Times New Roman" w:cs="Times New Roman"/>
          <w:bCs/>
          <w:sz w:val="24"/>
          <w:szCs w:val="24"/>
        </w:rPr>
        <w:t>.</w:t>
      </w:r>
    </w:p>
    <w:p w:rsidR="00A863C6" w:rsidRDefault="000423A6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Por fim, a variável </w:t>
      </w:r>
      <w:r w:rsidRPr="002A2BE6">
        <w:rPr>
          <w:rFonts w:ascii="Times New Roman" w:hAnsi="Times New Roman" w:cs="Times New Roman"/>
          <w:bCs/>
          <w:sz w:val="24"/>
          <w:szCs w:val="24"/>
        </w:rPr>
        <w:t xml:space="preserve">relação de planos BD sobre </w:t>
      </w:r>
      <w:r>
        <w:rPr>
          <w:rFonts w:ascii="Times New Roman" w:hAnsi="Times New Roman" w:cs="Times New Roman"/>
          <w:bCs/>
          <w:sz w:val="24"/>
          <w:szCs w:val="24"/>
        </w:rPr>
        <w:t>a soma d</w:t>
      </w:r>
      <w:r w:rsidRPr="002A2BE6">
        <w:rPr>
          <w:rFonts w:ascii="Times New Roman" w:hAnsi="Times New Roman" w:cs="Times New Roman"/>
          <w:bCs/>
          <w:sz w:val="24"/>
          <w:szCs w:val="24"/>
        </w:rPr>
        <w:t>os demais tipos de planos (CD e CV)</w:t>
      </w:r>
      <w:r>
        <w:rPr>
          <w:rFonts w:ascii="Times New Roman" w:hAnsi="Times New Roman" w:cs="Times New Roman"/>
          <w:bCs/>
          <w:sz w:val="24"/>
          <w:szCs w:val="24"/>
        </w:rPr>
        <w:t xml:space="preserve"> possui a capacidade de mensurar a existência simultânea de econom</w:t>
      </w:r>
      <w:r w:rsidR="002E63BC">
        <w:rPr>
          <w:rFonts w:ascii="Times New Roman" w:hAnsi="Times New Roman" w:cs="Times New Roman"/>
          <w:bCs/>
          <w:sz w:val="24"/>
          <w:szCs w:val="24"/>
        </w:rPr>
        <w:t>ias de escala e escopo nas EFPC</w:t>
      </w:r>
      <w:r>
        <w:rPr>
          <w:rFonts w:ascii="Times New Roman" w:hAnsi="Times New Roman" w:cs="Times New Roman"/>
          <w:bCs/>
          <w:sz w:val="24"/>
          <w:szCs w:val="24"/>
        </w:rPr>
        <w:t xml:space="preserve"> caso essa seja estatisticamente menor que a unidade</w:t>
      </w:r>
      <w:r w:rsidR="000861E5">
        <w:rPr>
          <w:rFonts w:ascii="Times New Roman" w:hAnsi="Times New Roman" w:cs="Times New Roman"/>
          <w:bCs/>
          <w:sz w:val="24"/>
          <w:szCs w:val="24"/>
        </w:rPr>
        <w:t xml:space="preserve"> e maior que zero</w:t>
      </w:r>
      <w:r>
        <w:rPr>
          <w:rFonts w:ascii="Times New Roman" w:hAnsi="Times New Roman" w:cs="Times New Roman"/>
          <w:bCs/>
          <w:sz w:val="24"/>
          <w:szCs w:val="24"/>
        </w:rPr>
        <w:t>. Para tal variável</w:t>
      </w:r>
      <w:r w:rsidR="0005734A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as economias de escala estariam atreladas a u</w:t>
      </w:r>
      <w:r w:rsidR="00A863C6">
        <w:rPr>
          <w:rFonts w:ascii="Times New Roman" w:hAnsi="Times New Roman" w:cs="Times New Roman"/>
          <w:bCs/>
          <w:sz w:val="24"/>
          <w:szCs w:val="24"/>
        </w:rPr>
        <w:t>ma menor proporção de planos BD</w:t>
      </w:r>
      <w:r>
        <w:rPr>
          <w:rFonts w:ascii="Times New Roman" w:hAnsi="Times New Roman" w:cs="Times New Roman"/>
          <w:bCs/>
          <w:sz w:val="24"/>
          <w:szCs w:val="24"/>
        </w:rPr>
        <w:t xml:space="preserve"> em relação aos demais tipos de planos (CD e CV), tendo em vista que os primeiros ensejam maiores pa</w:t>
      </w:r>
      <w:r w:rsidR="002E63BC">
        <w:rPr>
          <w:rFonts w:ascii="Times New Roman" w:hAnsi="Times New Roman" w:cs="Times New Roman"/>
          <w:bCs/>
          <w:sz w:val="24"/>
          <w:szCs w:val="24"/>
        </w:rPr>
        <w:t>ssivos atuariais que os demais</w:t>
      </w:r>
      <w:r w:rsidR="00D076EE">
        <w:rPr>
          <w:rFonts w:ascii="Times New Roman" w:hAnsi="Times New Roman" w:cs="Times New Roman"/>
          <w:bCs/>
          <w:sz w:val="24"/>
          <w:szCs w:val="24"/>
        </w:rPr>
        <w:t>.</w:t>
      </w:r>
    </w:p>
    <w:p w:rsidR="004178D6" w:rsidRDefault="00A863C6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</w:t>
      </w:r>
      <w:r w:rsidR="00215592">
        <w:rPr>
          <w:rFonts w:ascii="Times New Roman" w:hAnsi="Times New Roman" w:cs="Times New Roman"/>
          <w:bCs/>
          <w:sz w:val="24"/>
          <w:szCs w:val="24"/>
        </w:rPr>
        <w:t xml:space="preserve"> acordo com o </w:t>
      </w:r>
      <w:r w:rsidR="000861E5">
        <w:rPr>
          <w:rFonts w:ascii="Times New Roman" w:hAnsi="Times New Roman" w:cs="Times New Roman"/>
          <w:bCs/>
          <w:sz w:val="24"/>
          <w:szCs w:val="24"/>
        </w:rPr>
        <w:t xml:space="preserve">CPC 49 – </w:t>
      </w:r>
      <w:r w:rsidR="000861E5" w:rsidRPr="006304A3">
        <w:rPr>
          <w:rFonts w:ascii="Times New Roman" w:hAnsi="Times New Roman" w:cs="Times New Roman"/>
          <w:bCs/>
          <w:sz w:val="24"/>
          <w:szCs w:val="24"/>
        </w:rPr>
        <w:t>Contabilização e Relatório Contábil de Planos de Benefícios de Aposentadoria</w:t>
      </w:r>
      <w:r w:rsidRPr="00A863C6">
        <w:rPr>
          <w:rFonts w:ascii="Times New Roman" w:hAnsi="Times New Roman" w:cs="Times New Roman"/>
          <w:bCs/>
          <w:sz w:val="24"/>
          <w:szCs w:val="24"/>
        </w:rPr>
        <w:t xml:space="preserve">, nos planos BD, as patrocinadoras possuem obrigação legal ou construtiva de fazer contribuições adicionais se o fundo de pensão não possuir ativos suficientes para pagar todos os benefícios, não ocorrendo o mesmo para os outros dois tipos de planos. </w:t>
      </w:r>
    </w:p>
    <w:p w:rsidR="008C4914" w:rsidRDefault="00A21197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 w:rsidRPr="00A21197">
        <w:rPr>
          <w:rFonts w:ascii="Times New Roman" w:hAnsi="Times New Roman" w:cs="Times New Roman"/>
          <w:bCs/>
          <w:sz w:val="24"/>
          <w:szCs w:val="24"/>
        </w:rPr>
        <w:t>Dessa forma, se as EFPC possuírem proporcionalmente mais planos CD e CV em suas carteiras, suas despesas administrativas serão menores, já que esses planos são mais baratos de serem mantidos do que os planos BD, redundando em econ</w:t>
      </w:r>
      <w:r>
        <w:rPr>
          <w:rFonts w:ascii="Times New Roman" w:hAnsi="Times New Roman" w:cs="Times New Roman"/>
          <w:bCs/>
          <w:sz w:val="24"/>
          <w:szCs w:val="24"/>
        </w:rPr>
        <w:t xml:space="preserve">omias de escala. </w:t>
      </w:r>
      <w:r w:rsidR="000423A6">
        <w:rPr>
          <w:rFonts w:ascii="Times New Roman" w:hAnsi="Times New Roman" w:cs="Times New Roman"/>
          <w:bCs/>
          <w:sz w:val="24"/>
          <w:szCs w:val="24"/>
        </w:rPr>
        <w:t xml:space="preserve">Por sua vez, as economias de escopo seriam decorrência das menores despesas atreladas </w:t>
      </w:r>
      <w:r w:rsidR="0005734A">
        <w:rPr>
          <w:rFonts w:ascii="Times New Roman" w:hAnsi="Times New Roman" w:cs="Times New Roman"/>
          <w:bCs/>
          <w:sz w:val="24"/>
          <w:szCs w:val="24"/>
        </w:rPr>
        <w:t>à</w:t>
      </w:r>
      <w:r w:rsidR="000423A6">
        <w:rPr>
          <w:rFonts w:ascii="Times New Roman" w:hAnsi="Times New Roman" w:cs="Times New Roman"/>
          <w:bCs/>
          <w:sz w:val="24"/>
          <w:szCs w:val="24"/>
        </w:rPr>
        <w:t xml:space="preserve"> oferta de dois ou mais produtos (planos BD e demais tipo</w:t>
      </w:r>
      <w:r w:rsidR="00215592">
        <w:rPr>
          <w:rFonts w:ascii="Times New Roman" w:hAnsi="Times New Roman" w:cs="Times New Roman"/>
          <w:bCs/>
          <w:sz w:val="24"/>
          <w:szCs w:val="24"/>
        </w:rPr>
        <w:t>s de planos) por uma mesma EFPC</w:t>
      </w:r>
      <w:r w:rsidR="000423A6">
        <w:rPr>
          <w:rFonts w:ascii="Times New Roman" w:hAnsi="Times New Roman" w:cs="Times New Roman"/>
          <w:bCs/>
          <w:sz w:val="24"/>
          <w:szCs w:val="24"/>
        </w:rPr>
        <w:t>.</w:t>
      </w:r>
    </w:p>
    <w:p w:rsidR="001D1C41" w:rsidRPr="002F3D90" w:rsidRDefault="00321212" w:rsidP="005F63D6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423A6" w:rsidRPr="00D243A5" w:rsidRDefault="000056DE" w:rsidP="00D243A5">
      <w:pPr>
        <w:spacing w:before="0"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62787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0650">
        <w:rPr>
          <w:rFonts w:ascii="Times New Roman" w:hAnsi="Times New Roman" w:cs="Times New Roman"/>
          <w:b/>
          <w:sz w:val="24"/>
          <w:szCs w:val="24"/>
        </w:rPr>
        <w:t>Análise dos resultados</w:t>
      </w:r>
    </w:p>
    <w:p w:rsidR="005A143D" w:rsidRDefault="00215592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equação (1</w:t>
      </w:r>
      <w:r w:rsidR="000423A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) foi estimada na </w:t>
      </w:r>
      <w:r w:rsidR="00C9751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forma de uma função </w:t>
      </w:r>
      <w:r w:rsidR="00BD10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</w:t>
      </w:r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custo do tipo </w:t>
      </w:r>
      <w:proofErr w:type="spellStart"/>
      <w:r w:rsidR="00C9751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Translog</w:t>
      </w:r>
      <w:proofErr w:type="spellEnd"/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(transformação logarítmica)</w:t>
      </w:r>
      <w:r w:rsidR="00BD10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possui a propriedade de mensurar o ponto ótimo de cada variável, isto é, sua fronteira de p</w:t>
      </w:r>
      <w:r w:rsidR="003729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ossibilidades de produção. 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Assim</w:t>
      </w:r>
      <w:r w:rsidR="00BD10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 w:rsidR="000423A6" w:rsidRPr="00FF2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D10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todas as 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variá</w:t>
      </w:r>
      <w:r w:rsidR="009C189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veis foram logariti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mizadas</w:t>
      </w:r>
      <w:r w:rsidR="00BD10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 exceção das </w:t>
      </w:r>
      <w:r w:rsidR="00BD1016" w:rsidRPr="00BD1016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dummies</w:t>
      </w:r>
      <w:r w:rsidR="000423A6" w:rsidRPr="00FF2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 </w:t>
      </w:r>
    </w:p>
    <w:p w:rsidR="000423A6" w:rsidRDefault="000423A6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F2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decorrência </w:t>
      </w:r>
      <w:r w:rsidR="003729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processo de transformação logarítmica e </w:t>
      </w:r>
      <w:r w:rsidRPr="00FF2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da construção das variáveis: “relação de beneficiários sobre participantes ativos” e “relação de planos BD sobre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a soma do</w:t>
      </w:r>
      <w:r w:rsidRPr="00FF2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demais tipos </w:t>
      </w:r>
      <w:r w:rsidR="003729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planos”, a maior parte dos dados precisou ser descartada</w:t>
      </w:r>
      <w:r w:rsidRPr="00FF2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 a</w:t>
      </w:r>
      <w:r w:rsidR="00016A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mostra passou a contar com 566</w:t>
      </w:r>
      <w:r w:rsidR="003729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observações. </w:t>
      </w:r>
    </w:p>
    <w:p w:rsidR="00016A52" w:rsidRDefault="00016A52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primeiro modelo estimado para a função custo das despesas administrativas 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foi o modelo </w:t>
      </w:r>
      <w:proofErr w:type="gramStart"/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por Mínimos Quadrados Ordinários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(MQO). Este apresentou um R² ajustado = 0,8436 revelando um ótimo grau de ajuste da reta de regressão. Além disso, o teste F = 436,29 indicou que o modelo de forma geral é representativo. </w:t>
      </w:r>
    </w:p>
    <w:p w:rsidR="006B3A0D" w:rsidRDefault="00997590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sua vez 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foi estimado o modelo </w:t>
      </w:r>
      <w:proofErr w:type="gramStart"/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</w:t>
      </w:r>
      <w:proofErr w:type="gramEnd"/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de Efeitos Fixos (</w:t>
      </w:r>
      <w:r w:rsidR="00016A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</w:t>
      </w:r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</w:t>
      </w:r>
      <w:r w:rsidR="00016A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considerando um intercepto para cada EFPC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revelou um</w:t>
      </w:r>
      <w:r w:rsidR="00016A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R² geral = 0,7958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 Esse resultado mostra que o modelo de efeitos fixos também consegue explicar de forma </w:t>
      </w:r>
      <w:r w:rsidR="005D248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bastante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relevante às despesas administrativas</w:t>
      </w:r>
      <w:r w:rsidR="009B67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016A52" w:rsidRDefault="009B6780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</w:t>
      </w:r>
      <w:r w:rsidR="004B5B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ssim</w:t>
      </w:r>
      <w:r w:rsidR="009975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como forma de verificar qual o melhor modelo entre o </w:t>
      </w:r>
      <w:proofErr w:type="gramStart"/>
      <w:r w:rsidR="009975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 w:rsidR="009975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(MQO) </w:t>
      </w:r>
      <w:r w:rsidR="009975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o 2</w:t>
      </w:r>
      <w:r w:rsidR="004B5B6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(EF) foi realizado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teste de Chow, que apresentou uma</w:t>
      </w:r>
      <w:r w:rsidR="00016A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estatística 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 = 48,84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indicando</w:t>
      </w:r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que o modelo 2 (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</w:t>
      </w:r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</w:t>
      </w:r>
      <w:r w:rsidR="0099766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é preferível ao modelo 1</w:t>
      </w:r>
      <w:r w:rsidR="00016A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(MQO), pois a hipótese nula </w:t>
      </w:r>
      <w:r w:rsidR="006B3A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que todos os interceptos são iguais </w:t>
      </w:r>
      <w:r w:rsidR="005D248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pôde ser </w:t>
      </w:r>
      <w:r w:rsidR="00016A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rejeitada ao nível de 5% de significância.</w:t>
      </w:r>
    </w:p>
    <w:p w:rsidR="00321212" w:rsidRDefault="00321212" w:rsidP="00321212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próximo passo foi estimar o modelo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Efeitos Aleatórios (EA), que resultou num R² geral = 0,837</w:t>
      </w:r>
      <w:r w:rsidR="002E5C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5 também bastante significante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 Desse modo, executou-se o teste LM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Breusch-Pagan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avaliar qual o melhor modelo entre o por MQO e o de EA. O resultado apresentou um χ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²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799,24 indicando a rejeita a hipótese nula de que a variância do termo de erro é constante ao nível de 5% de significância. Em outras palavras, o resultado é favorável ao modelo de efeitos aleatórios </w:t>
      </w:r>
      <w:r w:rsidRPr="0066465F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vis-à-vis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ao modelo por MQO.</w:t>
      </w:r>
    </w:p>
    <w:p w:rsidR="00321212" w:rsidRDefault="00321212" w:rsidP="00321212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Como ambos os modelos, EF e EA, mostraram-se preferíveis ao modelo por MQO foi realizado o teste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Hausman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verificar qual é o mais adequado entre os dois primeiros. Tal teste relevou um χ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²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6,98, o que não permite a rejeição da hipótese nula a 5% de significância. Ou seja, os coeficientes de efeitos aleatórios e efeitos fixos não são estatisticamente diferentes, o que é um argumento favorável ao primeiro. Em síntese tem-se a seguinte ordem </w:t>
      </w:r>
      <w:r w:rsidR="002E5C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preferência entre os modelos,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dada pelas estatísticas de teste: modelo 3 </w:t>
      </w:r>
      <w:r w:rsidRPr="006C23F1"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DBB659B" wp14:editId="3935B21E">
            <wp:extent cx="143140" cy="151075"/>
            <wp:effectExtent l="19050" t="0" r="9260" b="0"/>
            <wp:docPr id="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59" cy="15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modelo 2 </w:t>
      </w:r>
      <w:r w:rsidRPr="006C23F1"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BFEF553" wp14:editId="5F16557B">
            <wp:extent cx="143140" cy="151075"/>
            <wp:effectExtent l="19050" t="0" r="926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59" cy="15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1C4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modelo </w:t>
      </w:r>
      <w:proofErr w:type="gramStart"/>
      <w:r w:rsidR="001D1C4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 w:rsidR="001D1C4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 A tabela 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apresenta os resultados.</w:t>
      </w:r>
    </w:p>
    <w:p w:rsidR="00321212" w:rsidRDefault="00321212" w:rsidP="00321212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 relação às variáveis explicativas verifica-se que o coeficiente</w:t>
      </w:r>
      <w:r w:rsidR="001D6D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do logaritmo natural do total de participantes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apresentou o sinal esperado, sendo estatisticamente significante nos modelos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3. Já o coeficiente do logaritmo natural do total de ativos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também revelou resultados positivos e foi altamente significante nos três modelos. Além disso, a soma de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foi inferior à unidade na função custo da equação (1) </w:t>
      </w:r>
      <w:r w:rsidR="002E5C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todos os modelos,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confirmando que as EFPC brasileiras podem reduzir suas des</w:t>
      </w:r>
      <w:r w:rsidR="001D6D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pesas administrativas por meio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do efeito escala ao captar novos participantes e ampliar sua base de ativos.</w:t>
      </w:r>
    </w:p>
    <w:p w:rsidR="005F63D6" w:rsidRDefault="005F63D6" w:rsidP="005F63D6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variável relação de beneficiários sobre participantes ativos foi significante para os modelos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3, com coeficientes positivos, conforme Caetano,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Boueri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Sachsida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(2015). Tal resultado reforça que as EFPC com um percentual maior de beneficiários sobre participantes ativos possuem maiores despesas administrativas.</w:t>
      </w:r>
    </w:p>
    <w:p w:rsidR="00C3476E" w:rsidRDefault="00C3476E" w:rsidP="00C3476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variável </w:t>
      </w:r>
      <w:proofErr w:type="spellStart"/>
      <w:r w:rsidRPr="00691AA4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dummy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patrocinador privado apresentou coeficientes negativos e estatisticamente significantes para os modelos aplicáveis, isto é, por MQO e efeitos aleatórios. Esses resultados confirmam os achados de autores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Pasqualeto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2EE8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Pr="00052EE8">
        <w:rPr>
          <w:rFonts w:ascii="Times New Roman" w:hAnsi="Times New Roman" w:cs="Times New Roman"/>
          <w:i/>
          <w:sz w:val="24"/>
          <w:szCs w:val="24"/>
        </w:rPr>
        <w:t xml:space="preserve"> al</w:t>
      </w:r>
      <w:r>
        <w:rPr>
          <w:rFonts w:ascii="Times New Roman" w:hAnsi="Times New Roman" w:cs="Times New Roman"/>
          <w:sz w:val="24"/>
          <w:szCs w:val="24"/>
        </w:rPr>
        <w:t xml:space="preserve">. (2014); </w:t>
      </w:r>
      <w:r w:rsidRPr="00BA707E">
        <w:rPr>
          <w:rFonts w:ascii="Times New Roman" w:hAnsi="Times New Roman" w:cs="Times New Roman"/>
          <w:bCs/>
          <w:sz w:val="24"/>
          <w:szCs w:val="24"/>
        </w:rPr>
        <w:t xml:space="preserve">Caetano, </w:t>
      </w:r>
      <w:proofErr w:type="spellStart"/>
      <w:r w:rsidRPr="00BA707E">
        <w:rPr>
          <w:rFonts w:ascii="Times New Roman" w:hAnsi="Times New Roman" w:cs="Times New Roman"/>
          <w:bCs/>
          <w:sz w:val="24"/>
          <w:szCs w:val="24"/>
        </w:rPr>
        <w:t>Boueri</w:t>
      </w:r>
      <w:proofErr w:type="spellEnd"/>
      <w:r w:rsidRPr="00BA707E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BA707E">
        <w:rPr>
          <w:rFonts w:ascii="Times New Roman" w:hAnsi="Times New Roman" w:cs="Times New Roman"/>
          <w:bCs/>
          <w:sz w:val="24"/>
          <w:szCs w:val="24"/>
        </w:rPr>
        <w:t>Sachsida</w:t>
      </w:r>
      <w:proofErr w:type="spellEnd"/>
      <w:r w:rsidRPr="00BA707E">
        <w:rPr>
          <w:rFonts w:ascii="Times New Roman" w:hAnsi="Times New Roman" w:cs="Times New Roman"/>
          <w:bCs/>
          <w:sz w:val="24"/>
          <w:szCs w:val="24"/>
        </w:rPr>
        <w:t xml:space="preserve"> (2015)</w:t>
      </w:r>
      <w:r>
        <w:rPr>
          <w:rFonts w:ascii="Times New Roman" w:hAnsi="Times New Roman" w:cs="Times New Roman"/>
          <w:bCs/>
          <w:sz w:val="24"/>
          <w:szCs w:val="24"/>
        </w:rPr>
        <w:t xml:space="preserve"> e;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Pasqualeto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(2015), evidenciando</w:t>
      </w:r>
      <w:r w:rsidRPr="00232F57">
        <w:rPr>
          <w:rFonts w:ascii="Times New Roman" w:hAnsi="Times New Roman" w:cs="Times New Roman"/>
          <w:bCs/>
          <w:sz w:val="24"/>
          <w:szCs w:val="24"/>
        </w:rPr>
        <w:t xml:space="preserve"> que as EFPC com patrocínio predominantemente privado são mais eficientes que as EFPC com patrocínio de predomínio </w:t>
      </w:r>
      <w:r w:rsidRPr="00232F5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estatal. Ou seja, considerando o modelo </w:t>
      </w:r>
      <w:proofErr w:type="gramStart"/>
      <w:r w:rsidRPr="00232F57">
        <w:rPr>
          <w:rFonts w:ascii="Times New Roman" w:hAnsi="Times New Roman" w:cs="Times New Roman"/>
          <w:bCs/>
          <w:sz w:val="24"/>
          <w:szCs w:val="24"/>
        </w:rPr>
        <w:t>3</w:t>
      </w:r>
      <w:proofErr w:type="gramEnd"/>
      <w:r w:rsidRPr="00232F57">
        <w:rPr>
          <w:rFonts w:ascii="Times New Roman" w:hAnsi="Times New Roman" w:cs="Times New Roman"/>
          <w:bCs/>
          <w:sz w:val="24"/>
          <w:szCs w:val="24"/>
        </w:rPr>
        <w:t>, em termos comparativos, para cada R$ 1</w:t>
      </w:r>
      <w:r>
        <w:rPr>
          <w:rFonts w:ascii="Times New Roman" w:hAnsi="Times New Roman" w:cs="Times New Roman"/>
          <w:bCs/>
          <w:sz w:val="24"/>
          <w:szCs w:val="24"/>
        </w:rPr>
        <w:t>.000</w:t>
      </w:r>
      <w:r w:rsidRPr="00232F57">
        <w:rPr>
          <w:rFonts w:ascii="Times New Roman" w:hAnsi="Times New Roman" w:cs="Times New Roman"/>
          <w:bCs/>
          <w:sz w:val="24"/>
          <w:szCs w:val="24"/>
        </w:rPr>
        <w:t>,00 gasto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232F57">
        <w:rPr>
          <w:rFonts w:ascii="Times New Roman" w:hAnsi="Times New Roman" w:cs="Times New Roman"/>
          <w:bCs/>
          <w:sz w:val="24"/>
          <w:szCs w:val="24"/>
        </w:rPr>
        <w:t xml:space="preserve"> com a manutenção de uma EFPC de patrocínio público, </w:t>
      </w:r>
      <w:r>
        <w:rPr>
          <w:rFonts w:ascii="Times New Roman" w:hAnsi="Times New Roman" w:cs="Times New Roman"/>
          <w:bCs/>
          <w:sz w:val="24"/>
          <w:szCs w:val="24"/>
        </w:rPr>
        <w:t>as EFPC com patrocínio privado gastam</w:t>
      </w:r>
      <w:r w:rsidRPr="00232F57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2F57">
        <w:rPr>
          <w:rFonts w:ascii="Times New Roman" w:hAnsi="Times New Roman" w:cs="Times New Roman"/>
          <w:bCs/>
          <w:sz w:val="24"/>
          <w:szCs w:val="24"/>
        </w:rPr>
        <w:t>em média</w:t>
      </w:r>
      <w:r w:rsidR="003F0487">
        <w:rPr>
          <w:rFonts w:ascii="Times New Roman" w:hAnsi="Times New Roman" w:cs="Times New Roman"/>
          <w:bCs/>
          <w:sz w:val="24"/>
          <w:szCs w:val="24"/>
        </w:rPr>
        <w:t xml:space="preserve"> R$ 626,00 (R$ 374</w:t>
      </w:r>
      <w:r>
        <w:rPr>
          <w:rFonts w:ascii="Times New Roman" w:hAnsi="Times New Roman" w:cs="Times New Roman"/>
          <w:bCs/>
          <w:sz w:val="24"/>
          <w:szCs w:val="24"/>
        </w:rPr>
        <w:t>,00 a menos).</w:t>
      </w:r>
    </w:p>
    <w:p w:rsidR="00C3476E" w:rsidRDefault="00C3476E" w:rsidP="009D7D1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9D7D1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9D7D1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9D7D1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9D7D1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9D7D1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9D7D1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1D1C41" w:rsidRPr="001D1C41" w:rsidRDefault="001D1C41" w:rsidP="001D1C41">
      <w:pPr>
        <w:pStyle w:val="Legenda"/>
        <w:spacing w:after="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bookmarkStart w:id="2" w:name="_Toc515460593"/>
      <w:r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        </w:t>
      </w:r>
      <w:r w:rsidR="00FF26FC"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Tabela</w:t>
      </w:r>
      <w:r w:rsidR="00D3729F"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77127"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="00FF26FC" w:rsidRPr="001D1C41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</w:p>
    <w:p w:rsidR="00FF26FC" w:rsidRPr="00BF194A" w:rsidRDefault="001D1C41" w:rsidP="001D1C41">
      <w:pPr>
        <w:pStyle w:val="Legenda"/>
        <w:spacing w:after="0"/>
        <w:rPr>
          <w:rFonts w:ascii="Times New Roman" w:eastAsia="Times New Roman" w:hAnsi="Times New Roman" w:cs="Times New Roman"/>
          <w:bCs w:val="0"/>
          <w:color w:val="000000" w:themeColor="text1"/>
          <w:sz w:val="20"/>
          <w:szCs w:val="20"/>
          <w:lang w:eastAsia="pt-B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FF26FC" w:rsidRPr="00BF194A">
        <w:rPr>
          <w:rFonts w:ascii="Times New Roman" w:hAnsi="Times New Roman" w:cs="Times New Roman"/>
          <w:color w:val="000000" w:themeColor="text1"/>
          <w:sz w:val="20"/>
          <w:szCs w:val="20"/>
        </w:rPr>
        <w:t>Regressões para a</w:t>
      </w:r>
      <w:bookmarkEnd w:id="2"/>
      <w:r>
        <w:rPr>
          <w:rFonts w:ascii="Times New Roman" w:hAnsi="Times New Roman" w:cs="Times New Roman"/>
          <w:color w:val="000000" w:themeColor="text1"/>
          <w:sz w:val="20"/>
          <w:szCs w:val="20"/>
        </w:rPr>
        <w:t>s Despesas Administrativas das EFPC</w:t>
      </w:r>
    </w:p>
    <w:tbl>
      <w:tblPr>
        <w:tblW w:w="8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1760"/>
        <w:gridCol w:w="1760"/>
        <w:gridCol w:w="1760"/>
      </w:tblGrid>
      <w:tr w:rsidR="00C97518" w:rsidRPr="00AE7CF8" w:rsidTr="002B0E9C">
        <w:trPr>
          <w:trHeight w:val="462"/>
          <w:jc w:val="center"/>
        </w:trPr>
        <w:tc>
          <w:tcPr>
            <w:tcW w:w="81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 dependente = Ln (Despesas Administrativas)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 Independentes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</w:t>
            </w:r>
            <w:r w:rsidR="00655C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delo 1</w:t>
            </w:r>
            <w:r w:rsidRPr="00AE7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(MQO)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655CFF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 2</w:t>
            </w:r>
            <w:r w:rsidR="00C97518" w:rsidRPr="00AE7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(FE)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655CFF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 3</w:t>
            </w:r>
            <w:r w:rsidR="00C97518" w:rsidRPr="00AE7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(RE)</w:t>
            </w:r>
          </w:p>
        </w:tc>
      </w:tr>
      <w:tr w:rsidR="00C97518" w:rsidRPr="00AE7CF8" w:rsidTr="00F36623">
        <w:trPr>
          <w:trHeight w:val="23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Ln dos Participantes e Pensionistas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0,0955297*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0,0218857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0,032637****</w:t>
            </w:r>
          </w:p>
        </w:tc>
      </w:tr>
      <w:tr w:rsidR="00C97518" w:rsidRPr="00AE7CF8" w:rsidTr="002B0E9C">
        <w:trPr>
          <w:trHeight w:val="24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(0,0295004)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(0,0194222)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(0,0186089)</w:t>
            </w: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Ln dos Ativos Financeiros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0,5470294*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0,5859505*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0,5930754*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(0,0255994)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(0,0627809)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(0,0273078)</w:t>
            </w: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655CFF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Ln </w:t>
            </w:r>
            <w:r w:rsidR="003678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da </w:t>
            </w:r>
            <w:r w:rsidR="00C97518"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Relação de Beneficiários sobre Participantes Ativos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0,0895195**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0,0295721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0,0435215**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(0,0189743)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(0,0265293)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(0,0184537)</w:t>
            </w: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Dummy Patrocinador Privado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-0,5582324**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N.A.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-0,3741123**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(0,0462698)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(0,0737825)</w:t>
            </w: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Dummy Instituidor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-0,9136016**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N.A.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-0,7234615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5979FB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</w:t>
            </w:r>
            <w:r w:rsidR="00C97518"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0,2325072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(0,5026618)</w:t>
            </w: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Ln da Quantidade de Planos da EFPC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0,1614149**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0,1504165***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0,1702002**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(0,0315452)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(0,0829382)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(0,0480759)</w:t>
            </w: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Ln da Relação dos Planos BD sobre os Demais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-0,0744938**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0,0204627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0,0166855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(0,0326814)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(0,0309054)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(0,0282464)</w:t>
            </w:r>
          </w:p>
        </w:tc>
      </w:tr>
      <w:tr w:rsidR="00C97518" w:rsidRPr="00AE7CF8" w:rsidTr="002B0E9C">
        <w:trPr>
          <w:trHeight w:val="462"/>
          <w:jc w:val="center"/>
        </w:trPr>
        <w:tc>
          <w:tcPr>
            <w:tcW w:w="29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Constante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3,642407**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3,072815**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3,077075**</w:t>
            </w:r>
          </w:p>
        </w:tc>
      </w:tr>
      <w:tr w:rsidR="00C97518" w:rsidRPr="00AE7CF8" w:rsidTr="002B0E9C">
        <w:trPr>
          <w:trHeight w:val="300"/>
          <w:jc w:val="center"/>
        </w:trPr>
        <w:tc>
          <w:tcPr>
            <w:tcW w:w="29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97518" w:rsidRPr="00AE7CF8" w:rsidRDefault="00C97518" w:rsidP="00C975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(0,3776846)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(1,25796)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(0,5293719)</w:t>
            </w:r>
          </w:p>
        </w:tc>
      </w:tr>
      <w:tr w:rsidR="00C97518" w:rsidRPr="00AE7CF8" w:rsidTr="002B0E9C">
        <w:trPr>
          <w:trHeight w:val="315"/>
          <w:jc w:val="center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 de EFPC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566</w:t>
            </w:r>
          </w:p>
        </w:tc>
      </w:tr>
      <w:tr w:rsidR="00C97518" w:rsidRPr="00AE7CF8" w:rsidTr="002B0E9C">
        <w:trPr>
          <w:trHeight w:val="315"/>
          <w:jc w:val="center"/>
        </w:trPr>
        <w:tc>
          <w:tcPr>
            <w:tcW w:w="2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R²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0,8436</w:t>
            </w:r>
            <w:r w:rsidRPr="00E12A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ᵃ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0,7958</w:t>
            </w:r>
            <w:r w:rsidRPr="00E12A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7518" w:rsidRPr="00AE7CF8" w:rsidRDefault="00C97518" w:rsidP="00C97518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E7C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0,8375</w:t>
            </w:r>
            <w:r w:rsidRPr="00E12A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ᵇ</w:t>
            </w:r>
          </w:p>
        </w:tc>
      </w:tr>
    </w:tbl>
    <w:p w:rsidR="00FF26FC" w:rsidRPr="00FF26FC" w:rsidRDefault="00C97518" w:rsidP="00FF26FC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           </w:t>
      </w:r>
      <w:r w:rsidR="00FF26FC" w:rsidRPr="00FF26FC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*Coeficiente estatisticamente diferente de 0 e 1 ao nível de 5%.</w:t>
      </w:r>
    </w:p>
    <w:p w:rsidR="00FF26FC" w:rsidRPr="00FF26FC" w:rsidRDefault="00FF26FC" w:rsidP="00FF26FC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FF26FC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           **Coeficiente estatisticamente significante ao nível de 5%.</w:t>
      </w:r>
    </w:p>
    <w:p w:rsidR="00FF26FC" w:rsidRDefault="00FF26FC" w:rsidP="00FF26FC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FF26FC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           ***Coeficiente estatisticamente significante ao nível de 10%.</w:t>
      </w:r>
    </w:p>
    <w:p w:rsidR="00C97518" w:rsidRPr="00FF26FC" w:rsidRDefault="00C97518" w:rsidP="00FF26FC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           ****Coeficiente estatisticamente diferente de 0 e1 ao nível de 10%</w:t>
      </w:r>
    </w:p>
    <w:p w:rsidR="00FF26FC" w:rsidRPr="00FF26FC" w:rsidRDefault="00FF26FC" w:rsidP="00FF26FC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FF26FC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           N.A.: Não se aplica.</w:t>
      </w:r>
    </w:p>
    <w:p w:rsidR="00FF26FC" w:rsidRPr="00FF26FC" w:rsidRDefault="00E27E1C" w:rsidP="00FF26FC">
      <w:pPr>
        <w:spacing w:before="0" w:after="0" w:line="240" w:lineRule="auto"/>
        <w:ind w:left="0" w:firstLine="0"/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           </w:t>
      </w:r>
      <w:r w:rsidR="001D6D9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="00FF26FC" w:rsidRPr="00FF26FC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ᵃ: </w:t>
      </w:r>
      <w:r w:rsidR="00FF26FC" w:rsidRPr="00FF26FC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R² ajustado.</w:t>
      </w:r>
    </w:p>
    <w:p w:rsidR="00FF26FC" w:rsidRDefault="00E27E1C" w:rsidP="00FF26FC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           </w:t>
      </w:r>
      <w:r w:rsidR="00FF26FC" w:rsidRPr="00FF26F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ᵇ: R² overall.</w:t>
      </w:r>
    </w:p>
    <w:p w:rsidR="001D1C41" w:rsidRPr="00FF26FC" w:rsidRDefault="001D1C41" w:rsidP="00FF26FC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           Fonte: Elaboração dos autores.</w:t>
      </w:r>
    </w:p>
    <w:p w:rsidR="005F63D6" w:rsidRDefault="005F63D6" w:rsidP="005F63D6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232F57" w:rsidRDefault="00232F57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Já a variável </w:t>
      </w:r>
      <w:proofErr w:type="spellStart"/>
      <w:r w:rsidRPr="00FF26FC">
        <w:rPr>
          <w:rFonts w:ascii="Times New Roman" w:hAnsi="Times New Roman" w:cs="Times New Roman"/>
          <w:bCs/>
          <w:i/>
          <w:sz w:val="24"/>
          <w:szCs w:val="24"/>
        </w:rPr>
        <w:t>dummy</w:t>
      </w:r>
      <w:proofErr w:type="spellEnd"/>
      <w:r w:rsidRPr="00FF26FC">
        <w:rPr>
          <w:rFonts w:ascii="Times New Roman" w:hAnsi="Times New Roman" w:cs="Times New Roman"/>
          <w:bCs/>
          <w:sz w:val="24"/>
          <w:szCs w:val="24"/>
        </w:rPr>
        <w:t xml:space="preserve"> pa</w:t>
      </w:r>
      <w:r>
        <w:rPr>
          <w:rFonts w:ascii="Times New Roman" w:hAnsi="Times New Roman" w:cs="Times New Roman"/>
          <w:bCs/>
          <w:sz w:val="24"/>
          <w:szCs w:val="24"/>
        </w:rPr>
        <w:t xml:space="preserve">ra instituidor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apresentou coeficiente com o sinal esperado e significância estatística</w:t>
      </w:r>
      <w:r w:rsidR="001D6D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5% somente para o modelo </w:t>
      </w:r>
      <w:proofErr w:type="gramStart"/>
      <w:r w:rsidR="001D6D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 w:rsidR="001D6D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ugerindo que </w:t>
      </w:r>
      <w:r>
        <w:rPr>
          <w:rFonts w:ascii="Times New Roman" w:hAnsi="Times New Roman" w:cs="Times New Roman"/>
          <w:bCs/>
          <w:sz w:val="24"/>
          <w:szCs w:val="24"/>
        </w:rPr>
        <w:t xml:space="preserve">as EFPC instituídas por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pessoas jurídicas de caráter profissional, classista ou setorial possuem menores despesas administrativas que as EFPC de patrocínio público</w:t>
      </w:r>
      <w:r w:rsidRPr="00FF26FC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Isto é, com base no modelo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é possível concluir que para cada R$ 1</w:t>
      </w:r>
      <w:r w:rsidR="00CB07EA">
        <w:rPr>
          <w:rFonts w:ascii="Times New Roman" w:hAnsi="Times New Roman" w:cs="Times New Roman"/>
          <w:bCs/>
          <w:sz w:val="24"/>
          <w:szCs w:val="24"/>
        </w:rPr>
        <w:t>.000</w:t>
      </w:r>
      <w:r>
        <w:rPr>
          <w:rFonts w:ascii="Times New Roman" w:hAnsi="Times New Roman" w:cs="Times New Roman"/>
          <w:bCs/>
          <w:sz w:val="24"/>
          <w:szCs w:val="24"/>
        </w:rPr>
        <w:t>,00 gasto</w:t>
      </w:r>
      <w:r w:rsidR="00CB07EA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pelas EFPC públicas com suas despesas administrativas, as EFPC mantidas por ins</w:t>
      </w:r>
      <w:r w:rsidR="00CB07EA">
        <w:rPr>
          <w:rFonts w:ascii="Times New Roman" w:hAnsi="Times New Roman" w:cs="Times New Roman"/>
          <w:bCs/>
          <w:sz w:val="24"/>
          <w:szCs w:val="24"/>
        </w:rPr>
        <w:t xml:space="preserve">tituidores gastam em média </w:t>
      </w:r>
      <w:r w:rsidR="003F0487">
        <w:rPr>
          <w:rFonts w:ascii="Times New Roman" w:hAnsi="Times New Roman" w:cs="Times New Roman"/>
          <w:bCs/>
          <w:sz w:val="24"/>
          <w:szCs w:val="24"/>
        </w:rPr>
        <w:t>somente R$ 87</w:t>
      </w:r>
      <w:r w:rsidR="001D6D91">
        <w:rPr>
          <w:rFonts w:ascii="Times New Roman" w:hAnsi="Times New Roman" w:cs="Times New Roman"/>
          <w:bCs/>
          <w:sz w:val="24"/>
          <w:szCs w:val="24"/>
        </w:rPr>
        <w:t>,00 (</w:t>
      </w:r>
      <w:r w:rsidR="00CB07EA">
        <w:rPr>
          <w:rFonts w:ascii="Times New Roman" w:hAnsi="Times New Roman" w:cs="Times New Roman"/>
          <w:bCs/>
          <w:sz w:val="24"/>
          <w:szCs w:val="24"/>
        </w:rPr>
        <w:t xml:space="preserve">R$ </w:t>
      </w:r>
      <w:r>
        <w:rPr>
          <w:rFonts w:ascii="Times New Roman" w:hAnsi="Times New Roman" w:cs="Times New Roman"/>
          <w:bCs/>
          <w:sz w:val="24"/>
          <w:szCs w:val="24"/>
        </w:rPr>
        <w:t>91</w:t>
      </w:r>
      <w:r w:rsidR="003F0487">
        <w:rPr>
          <w:rFonts w:ascii="Times New Roman" w:hAnsi="Times New Roman" w:cs="Times New Roman"/>
          <w:bCs/>
          <w:sz w:val="24"/>
          <w:szCs w:val="24"/>
        </w:rPr>
        <w:t>3</w:t>
      </w:r>
      <w:r w:rsidR="00CB07EA">
        <w:rPr>
          <w:rFonts w:ascii="Times New Roman" w:hAnsi="Times New Roman" w:cs="Times New Roman"/>
          <w:bCs/>
          <w:sz w:val="24"/>
          <w:szCs w:val="24"/>
        </w:rPr>
        <w:t>,00</w:t>
      </w:r>
      <w:r>
        <w:rPr>
          <w:rFonts w:ascii="Times New Roman" w:hAnsi="Times New Roman" w:cs="Times New Roman"/>
          <w:bCs/>
          <w:sz w:val="24"/>
          <w:szCs w:val="24"/>
        </w:rPr>
        <w:t xml:space="preserve"> a menos</w:t>
      </w:r>
      <w:r w:rsidR="001D6D9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95BEA" w:rsidRPr="00713DF9" w:rsidRDefault="00232F57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Tais</w:t>
      </w:r>
      <w:r w:rsidR="00C95BEA" w:rsidRPr="008D7F51">
        <w:rPr>
          <w:rFonts w:ascii="Times New Roman" w:hAnsi="Times New Roman" w:cs="Times New Roman"/>
          <w:bCs/>
          <w:sz w:val="24"/>
          <w:szCs w:val="24"/>
        </w:rPr>
        <w:t xml:space="preserve"> resultados</w:t>
      </w:r>
      <w:r w:rsidR="00C95BEA" w:rsidRPr="00713DF9">
        <w:rPr>
          <w:rFonts w:ascii="Times New Roman" w:hAnsi="Times New Roman" w:cs="Times New Roman"/>
          <w:bCs/>
          <w:sz w:val="24"/>
          <w:szCs w:val="24"/>
        </w:rPr>
        <w:t xml:space="preserve"> podem ser </w:t>
      </w:r>
      <w:r w:rsidR="0069095E">
        <w:rPr>
          <w:rFonts w:ascii="Times New Roman" w:hAnsi="Times New Roman" w:cs="Times New Roman"/>
          <w:bCs/>
          <w:sz w:val="24"/>
          <w:szCs w:val="24"/>
        </w:rPr>
        <w:t>explicados por dois</w:t>
      </w:r>
      <w:r w:rsidR="00C95BEA" w:rsidRPr="00713DF9">
        <w:rPr>
          <w:rFonts w:ascii="Times New Roman" w:hAnsi="Times New Roman" w:cs="Times New Roman"/>
          <w:bCs/>
          <w:sz w:val="24"/>
          <w:szCs w:val="24"/>
        </w:rPr>
        <w:t xml:space="preserve"> fatores. O primeiro decorre da estrutura organizacional </w:t>
      </w:r>
      <w:r w:rsidR="00C95BEA">
        <w:rPr>
          <w:rFonts w:ascii="Times New Roman" w:hAnsi="Times New Roman" w:cs="Times New Roman"/>
          <w:bCs/>
          <w:sz w:val="24"/>
          <w:szCs w:val="24"/>
        </w:rPr>
        <w:t>das EFPC públicas</w:t>
      </w:r>
      <w:r w:rsidR="00C95BEA" w:rsidRPr="00713DF9">
        <w:rPr>
          <w:rFonts w:ascii="Times New Roman" w:hAnsi="Times New Roman" w:cs="Times New Roman"/>
          <w:bCs/>
          <w:sz w:val="24"/>
          <w:szCs w:val="24"/>
        </w:rPr>
        <w:t xml:space="preserve"> que</w:t>
      </w:r>
      <w:r w:rsidR="00C95BE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95BEA" w:rsidRPr="00713DF9">
        <w:rPr>
          <w:rFonts w:ascii="Times New Roman" w:hAnsi="Times New Roman" w:cs="Times New Roman"/>
          <w:bCs/>
          <w:sz w:val="24"/>
          <w:szCs w:val="24"/>
        </w:rPr>
        <w:t>pela Lei Complementar nº 108</w:t>
      </w:r>
      <w:r w:rsidR="001D6D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5BEA" w:rsidRPr="00713DF9">
        <w:rPr>
          <w:rFonts w:ascii="Times New Roman" w:hAnsi="Times New Roman" w:cs="Times New Roman"/>
          <w:bCs/>
          <w:sz w:val="24"/>
          <w:szCs w:val="24"/>
        </w:rPr>
        <w:t>de 2009 devem obrigatoriamente ter uma Diretoria Executiva e um Conselho Deliberativo</w:t>
      </w:r>
      <w:r w:rsidR="00C95BEA">
        <w:rPr>
          <w:rFonts w:ascii="Times New Roman" w:hAnsi="Times New Roman" w:cs="Times New Roman"/>
          <w:bCs/>
          <w:sz w:val="24"/>
          <w:szCs w:val="24"/>
        </w:rPr>
        <w:t xml:space="preserve"> com </w:t>
      </w:r>
      <w:proofErr w:type="gramStart"/>
      <w:r w:rsidR="00C95BEA">
        <w:rPr>
          <w:rFonts w:ascii="Times New Roman" w:hAnsi="Times New Roman" w:cs="Times New Roman"/>
          <w:bCs/>
          <w:sz w:val="24"/>
          <w:szCs w:val="24"/>
        </w:rPr>
        <w:t>6</w:t>
      </w:r>
      <w:proofErr w:type="gramEnd"/>
      <w:r w:rsidR="00C95BEA">
        <w:rPr>
          <w:rFonts w:ascii="Times New Roman" w:hAnsi="Times New Roman" w:cs="Times New Roman"/>
          <w:bCs/>
          <w:sz w:val="24"/>
          <w:szCs w:val="24"/>
        </w:rPr>
        <w:t xml:space="preserve"> (seis) membros, e</w:t>
      </w:r>
      <w:r w:rsidR="00C95BEA" w:rsidRPr="00713DF9">
        <w:rPr>
          <w:rFonts w:ascii="Times New Roman" w:hAnsi="Times New Roman" w:cs="Times New Roman"/>
          <w:bCs/>
          <w:sz w:val="24"/>
          <w:szCs w:val="24"/>
        </w:rPr>
        <w:t xml:space="preserve"> um Conselho Fiscal com 4 (quatro) membros, o que não ocorre com as EFPC de pa</w:t>
      </w:r>
      <w:r w:rsidR="00CB07EA">
        <w:rPr>
          <w:rFonts w:ascii="Times New Roman" w:hAnsi="Times New Roman" w:cs="Times New Roman"/>
          <w:bCs/>
          <w:sz w:val="24"/>
          <w:szCs w:val="24"/>
        </w:rPr>
        <w:t>trocínio privado e instituídas.</w:t>
      </w:r>
    </w:p>
    <w:p w:rsidR="00C95BEA" w:rsidRPr="000E4499" w:rsidRDefault="00C95BEA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 w:rsidRPr="00713DF9">
        <w:rPr>
          <w:rFonts w:ascii="Times New Roman" w:hAnsi="Times New Roman" w:cs="Times New Roman"/>
          <w:bCs/>
          <w:sz w:val="24"/>
          <w:szCs w:val="24"/>
        </w:rPr>
        <w:t>O seg</w:t>
      </w:r>
      <w:r w:rsidR="00D67840">
        <w:rPr>
          <w:rFonts w:ascii="Times New Roman" w:hAnsi="Times New Roman" w:cs="Times New Roman"/>
          <w:bCs/>
          <w:sz w:val="24"/>
          <w:szCs w:val="24"/>
        </w:rPr>
        <w:t>undo fator é que os empregados</w:t>
      </w:r>
      <w:r w:rsidRPr="00713DF9">
        <w:rPr>
          <w:rFonts w:ascii="Times New Roman" w:hAnsi="Times New Roman" w:cs="Times New Roman"/>
          <w:bCs/>
          <w:sz w:val="24"/>
          <w:szCs w:val="24"/>
        </w:rPr>
        <w:t xml:space="preserve"> das EFPC públicas geralmente também fazem parte do fundo de pensão, o que significa que a própria EFPC </w:t>
      </w:r>
      <w:r>
        <w:rPr>
          <w:rFonts w:ascii="Times New Roman" w:hAnsi="Times New Roman" w:cs="Times New Roman"/>
          <w:bCs/>
          <w:sz w:val="24"/>
          <w:szCs w:val="24"/>
        </w:rPr>
        <w:t xml:space="preserve">é </w:t>
      </w:r>
      <w:r w:rsidRPr="00713DF9">
        <w:rPr>
          <w:rFonts w:ascii="Times New Roman" w:hAnsi="Times New Roman" w:cs="Times New Roman"/>
          <w:bCs/>
          <w:sz w:val="24"/>
          <w:szCs w:val="24"/>
        </w:rPr>
        <w:t xml:space="preserve">patrocinadora dos seus empregados. Assim, como </w:t>
      </w:r>
      <w:r>
        <w:rPr>
          <w:rFonts w:ascii="Times New Roman" w:hAnsi="Times New Roman" w:cs="Times New Roman"/>
          <w:bCs/>
          <w:sz w:val="24"/>
          <w:szCs w:val="24"/>
        </w:rPr>
        <w:t>a maior parte dos recursos para custeio</w:t>
      </w:r>
      <w:r w:rsidRPr="00713DF9">
        <w:rPr>
          <w:rFonts w:ascii="Times New Roman" w:hAnsi="Times New Roman" w:cs="Times New Roman"/>
          <w:bCs/>
          <w:sz w:val="24"/>
          <w:szCs w:val="24"/>
        </w:rPr>
        <w:t xml:space="preserve"> das despesas administrativas prov</w:t>
      </w:r>
      <w:r>
        <w:rPr>
          <w:rFonts w:ascii="Times New Roman" w:hAnsi="Times New Roman" w:cs="Times New Roman"/>
          <w:bCs/>
          <w:sz w:val="24"/>
          <w:szCs w:val="24"/>
        </w:rPr>
        <w:t>ém dos patrocinadores e dos</w:t>
      </w:r>
      <w:r w:rsidR="000A079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713DF9">
        <w:rPr>
          <w:rFonts w:ascii="Times New Roman" w:hAnsi="Times New Roman" w:cs="Times New Roman"/>
          <w:bCs/>
          <w:sz w:val="24"/>
          <w:szCs w:val="24"/>
        </w:rPr>
        <w:t>articipantes externos à EFPC, isso significa que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713DF9">
        <w:rPr>
          <w:rFonts w:ascii="Times New Roman" w:hAnsi="Times New Roman" w:cs="Times New Roman"/>
          <w:bCs/>
          <w:sz w:val="24"/>
          <w:szCs w:val="24"/>
        </w:rPr>
        <w:t xml:space="preserve"> além de suas reservas, estes </w:t>
      </w:r>
      <w:r w:rsidR="001D6D91">
        <w:rPr>
          <w:rFonts w:ascii="Times New Roman" w:hAnsi="Times New Roman" w:cs="Times New Roman"/>
          <w:bCs/>
          <w:sz w:val="24"/>
          <w:szCs w:val="24"/>
        </w:rPr>
        <w:t xml:space="preserve">últimos </w:t>
      </w:r>
      <w:r w:rsidRPr="00713DF9">
        <w:rPr>
          <w:rFonts w:ascii="Times New Roman" w:hAnsi="Times New Roman" w:cs="Times New Roman"/>
          <w:bCs/>
          <w:sz w:val="24"/>
          <w:szCs w:val="24"/>
        </w:rPr>
        <w:t>também ajudam a compor a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713DF9">
        <w:rPr>
          <w:rFonts w:ascii="Times New Roman" w:hAnsi="Times New Roman" w:cs="Times New Roman"/>
          <w:bCs/>
          <w:sz w:val="24"/>
          <w:szCs w:val="24"/>
        </w:rPr>
        <w:t xml:space="preserve"> reserva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713DF9">
        <w:rPr>
          <w:rFonts w:ascii="Times New Roman" w:hAnsi="Times New Roman" w:cs="Times New Roman"/>
          <w:bCs/>
          <w:sz w:val="24"/>
          <w:szCs w:val="24"/>
        </w:rPr>
        <w:t xml:space="preserve"> dos funcionários das EFPC</w:t>
      </w:r>
      <w:r w:rsidR="000A0792">
        <w:rPr>
          <w:rFonts w:ascii="Times New Roman" w:hAnsi="Times New Roman" w:cs="Times New Roman"/>
          <w:bCs/>
          <w:sz w:val="24"/>
          <w:szCs w:val="24"/>
        </w:rPr>
        <w:t>, implicando no aumento das despesas administrativas</w:t>
      </w:r>
      <w:r w:rsidR="000E4499">
        <w:rPr>
          <w:rFonts w:ascii="Times New Roman" w:hAnsi="Times New Roman" w:cs="Times New Roman"/>
          <w:bCs/>
          <w:sz w:val="24"/>
          <w:szCs w:val="24"/>
        </w:rPr>
        <w:t>.</w:t>
      </w:r>
    </w:p>
    <w:p w:rsidR="00C95BEA" w:rsidRPr="00606E81" w:rsidRDefault="00C95BEA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 que tange ao logaritmo da quantidade de planos da</w:t>
      </w:r>
      <w:r w:rsidR="00D678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EFPC, os três modelos a</w:t>
      </w:r>
      <w:r w:rsidR="00D678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presentaram coeficientes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positivos e significativos, o que não sugere a existência de </w:t>
      </w:r>
      <w:r w:rsidR="00122E5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economias de escopo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 Em outras palavras, a oferta de um novo plano a ser gerenciado por uma EFPC não pode ser considerada desprezível sobre suas despesas administrativas, mesmo com essas crescendo menos que proporcionalmente.</w:t>
      </w:r>
    </w:p>
    <w:p w:rsidR="00D67840" w:rsidRDefault="000E4499" w:rsidP="00605E7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 fim, a</w:t>
      </w:r>
      <w:r w:rsidR="00C95BEA"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variável proposta no presente trabalho, ou seja, o logaritmo da r</w:t>
      </w:r>
      <w:r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elação de planos BD sobre a soma dos</w:t>
      </w:r>
      <w:r w:rsidR="00C95BEA"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demais tipos de planos gerou resultad</w:t>
      </w:r>
      <w:r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os ambíguos. Somente no modelo </w:t>
      </w:r>
      <w:proofErr w:type="gramStart"/>
      <w:r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 w:rsidR="00C95BEA"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essa variável foi significativa, mas </w:t>
      </w:r>
      <w:r w:rsidR="001D6D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seu coeficiente revelou sinal</w:t>
      </w:r>
      <w:r w:rsidRP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oposto ao esperado</w:t>
      </w:r>
      <w:r w:rsidR="001D6D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sugerindo</w:t>
      </w:r>
      <w:r w:rsidR="00CB07E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que </w:t>
      </w:r>
      <w:r w:rsid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simples fato das EFPC po</w:t>
      </w:r>
      <w:r w:rsidR="00BF30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ssuírem </w:t>
      </w:r>
      <w:r w:rsidR="00106C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mais </w:t>
      </w:r>
      <w:r w:rsidR="00BF30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planos BD,</w:t>
      </w:r>
      <w:r w:rsidR="00106C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do que </w:t>
      </w:r>
      <w:r w:rsidR="00BF30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CD e CV é algo que atuaria reduzindo suas</w:t>
      </w:r>
      <w:r w:rsidR="0030174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despesas administrativas.</w:t>
      </w:r>
    </w:p>
    <w:p w:rsidR="009F44D0" w:rsidRDefault="009F44D0" w:rsidP="009F44D0">
      <w:pPr>
        <w:spacing w:before="0" w:after="0" w:line="240" w:lineRule="auto"/>
        <w:ind w:left="0" w:firstLine="567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Uma explicação para essa situação pode estar no fato de que os planos CD e CV são gerenciados individualmente, ou seja, por participante, o que os tornaria mais custosos, não ocorrendo o mesmo para os planos BD que são administrados de forma coletiva, em um grande fundo mútuo.</w:t>
      </w:r>
    </w:p>
    <w:p w:rsidR="00122E54" w:rsidRDefault="00962C72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Como forma de verificar se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os coeficientes</w:t>
      </w:r>
      <w:r w:rsidR="00CB07EA">
        <w:rPr>
          <w:rFonts w:ascii="Times New Roman" w:hAnsi="Times New Roman" w:cs="Times New Roman"/>
          <w:bCs/>
          <w:sz w:val="24"/>
          <w:szCs w:val="24"/>
        </w:rPr>
        <w:t xml:space="preserve"> encontrados no presente estudo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para as duas principais variáveis explicativas sobre as despesas administrativas, ou seja, o logaritmo natural do total de participantes e o logaritmo natural do total de ativos estão em linha com os achados na lite</w:t>
      </w:r>
      <w:r w:rsidR="00D3729F">
        <w:rPr>
          <w:rFonts w:ascii="Times New Roman" w:hAnsi="Times New Roman" w:cs="Times New Roman"/>
          <w:bCs/>
          <w:sz w:val="24"/>
          <w:szCs w:val="24"/>
        </w:rPr>
        <w:t>ratura foi constru</w:t>
      </w:r>
      <w:r w:rsidR="00BF302B">
        <w:rPr>
          <w:rFonts w:ascii="Times New Roman" w:hAnsi="Times New Roman" w:cs="Times New Roman"/>
          <w:bCs/>
          <w:sz w:val="24"/>
          <w:szCs w:val="24"/>
        </w:rPr>
        <w:t>ída</w:t>
      </w:r>
      <w:r w:rsidR="005F63D6">
        <w:rPr>
          <w:rFonts w:ascii="Times New Roman" w:hAnsi="Times New Roman" w:cs="Times New Roman"/>
          <w:bCs/>
          <w:sz w:val="24"/>
          <w:szCs w:val="24"/>
        </w:rPr>
        <w:t xml:space="preserve"> a Tabela 3</w:t>
      </w:r>
      <w:r>
        <w:rPr>
          <w:rFonts w:ascii="Times New Roman" w:hAnsi="Times New Roman" w:cs="Times New Roman"/>
          <w:bCs/>
          <w:sz w:val="24"/>
          <w:szCs w:val="24"/>
        </w:rPr>
        <w:t>, que sintetiza os resultados.</w:t>
      </w:r>
    </w:p>
    <w:p w:rsidR="001D1C41" w:rsidRDefault="005F63D6" w:rsidP="005F63D6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possível visualizar que para a variável logaritmo natural do total de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participantes, os modelos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apresentaram coeficientes relativamente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próximos aos encontrados por Perei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Niyama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Sallaberry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(2013),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Pasqualeto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433C4C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et 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 (2014) e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Pasqualeto</w:t>
      </w:r>
      <w:proofErr w:type="spellEnd"/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(2015)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o caso brasileiro.</w:t>
      </w:r>
    </w:p>
    <w:p w:rsidR="00C3476E" w:rsidRDefault="005F63D6" w:rsidP="00C3476E">
      <w:pPr>
        <w:spacing w:before="0" w:after="0" w:line="240" w:lineRule="auto"/>
        <w:ind w:left="0" w:firstLine="567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 caso do logaritmo natural do t</w:t>
      </w:r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otal de ativos, os coeficientes dos modelos 1, 2 e 3 revelaram valores comparáveis aos trabalhos de </w:t>
      </w:r>
      <w:proofErr w:type="spellStart"/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Hsing</w:t>
      </w:r>
      <w:proofErr w:type="spellEnd"/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Mitchell </w:t>
      </w:r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(1997), para as EFPC americanas, </w:t>
      </w:r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Batman e Mitchell (2004)</w:t>
      </w:r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</w:t>
      </w:r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as EFPC da </w:t>
      </w:r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Austrália</w:t>
      </w:r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Pasqualeto</w:t>
      </w:r>
      <w:proofErr w:type="spellEnd"/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gramStart"/>
      <w:r w:rsidR="00C3476E" w:rsidRPr="0028549B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et</w:t>
      </w:r>
      <w:proofErr w:type="gramEnd"/>
      <w:r w:rsidR="00C3476E" w:rsidRPr="0028549B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al</w:t>
      </w:r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 (2014) para </w:t>
      </w:r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essas mesmas entidades n</w:t>
      </w:r>
      <w:r w:rsidR="00C3476E" w:rsidRPr="00606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Brasil</w:t>
      </w:r>
      <w:r w:rsidR="00C347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C3476E" w:rsidRDefault="00C3476E" w:rsidP="00C3476E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3F0487" w:rsidRDefault="003F0487" w:rsidP="00C3476E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C3476E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Default="00647A39" w:rsidP="00C3476E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647A39" w:rsidRPr="005F63D6" w:rsidRDefault="00647A39" w:rsidP="00C3476E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1D1C41" w:rsidRDefault="001D1C41" w:rsidP="0027260B">
      <w:pPr>
        <w:spacing w:before="0"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" w:name="_Toc517188615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2726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Tabela 3. </w:t>
      </w:r>
    </w:p>
    <w:p w:rsidR="00116FDF" w:rsidRPr="001D1C41" w:rsidRDefault="0027260B" w:rsidP="001D1C41">
      <w:pPr>
        <w:spacing w:before="0" w:after="0" w:line="240" w:lineRule="auto"/>
        <w:ind w:left="907" w:right="907" w:firstLine="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D1C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Aderência dos Coeficientes Encontrados </w:t>
      </w:r>
      <w:bookmarkEnd w:id="3"/>
      <w:r w:rsidRPr="001D1C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para o Total de Participantes e o Total de Ativos em Comparação com a Literatura</w:t>
      </w:r>
    </w:p>
    <w:tbl>
      <w:tblPr>
        <w:tblW w:w="7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3320"/>
        <w:gridCol w:w="1300"/>
        <w:gridCol w:w="1140"/>
      </w:tblGrid>
      <w:tr w:rsidR="00FC0D84" w:rsidRPr="009E6D19" w:rsidTr="002B0E9C">
        <w:trPr>
          <w:trHeight w:val="300"/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Referêncial Teórico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País</w:t>
            </w:r>
          </w:p>
        </w:tc>
      </w:tr>
      <w:tr w:rsidR="00FC0D84" w:rsidRPr="009E6D19" w:rsidTr="0030174F">
        <w:trPr>
          <w:trHeight w:val="336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Logaritmo natural do total de participantes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Pereira, Niyama e Sallaberry (2013)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Pasqualeto (2015)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E96A62" w:rsidP="00E96A62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617C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Pasqualeto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</w:t>
            </w:r>
            <w:r w:rsidRPr="00433C4C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pt-BR"/>
              </w:rPr>
              <w:t>et al.</w:t>
            </w:r>
            <w:r w:rsidRPr="006617C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 xml:space="preserve"> </w:t>
            </w:r>
            <w:r w:rsidRPr="00802CC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(2014)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t-BR"/>
              </w:rPr>
              <w:t>: EFPC Públicas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E96A62" w:rsidRDefault="00E96A62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0,080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E96A62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E96A6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28342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Modelo </w:t>
            </w:r>
            <w:r w:rsidR="00E96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E96A62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28342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Modelo </w:t>
            </w:r>
            <w:r w:rsidR="00E96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E96A62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Logaritmo natural do total de ativos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Hsing e Mitchell (1997)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EUA</w:t>
            </w: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Batman e Mitchell (2004)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Austrália</w:t>
            </w:r>
          </w:p>
        </w:tc>
      </w:tr>
      <w:tr w:rsidR="00FC0D84" w:rsidRPr="009E6D19" w:rsidTr="002B0E9C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E96A62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Pasqualeto et al</w:t>
            </w:r>
            <w:r w:rsidR="00E96A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(2014)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84" w:rsidRPr="00606E81" w:rsidRDefault="00FC0D84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E96A62" w:rsidRPr="009E6D19" w:rsidTr="00E96A62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62" w:rsidRPr="00606E81" w:rsidRDefault="00E96A62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6A62" w:rsidRPr="00606E81" w:rsidRDefault="00E96A62" w:rsidP="00DA2CA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6A62" w:rsidRPr="00606E81" w:rsidRDefault="00E96A62" w:rsidP="00DA2CA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62" w:rsidRPr="00E96A62" w:rsidRDefault="00E96A62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E96A6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E96A62" w:rsidRPr="009E6D19" w:rsidTr="002B0E9C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62" w:rsidRPr="00606E81" w:rsidRDefault="00E96A62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62" w:rsidRPr="00606E81" w:rsidRDefault="00E96A62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62" w:rsidRPr="00606E81" w:rsidRDefault="00E96A62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62" w:rsidRPr="00606E81" w:rsidRDefault="00E96A62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  <w:tr w:rsidR="00E96A62" w:rsidRPr="009E6D19" w:rsidTr="00E96A62">
        <w:trPr>
          <w:trHeight w:val="462"/>
          <w:jc w:val="center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62" w:rsidRPr="00606E81" w:rsidRDefault="00E96A62" w:rsidP="00FC0D8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6A62" w:rsidRPr="00606E81" w:rsidRDefault="00E96A62" w:rsidP="00DA2CA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6A62" w:rsidRPr="00606E81" w:rsidRDefault="00E96A62" w:rsidP="00DA2CA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62" w:rsidRPr="00606E81" w:rsidRDefault="00E96A62" w:rsidP="00FC0D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06E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Brasil</w:t>
            </w:r>
          </w:p>
        </w:tc>
      </w:tr>
    </w:tbl>
    <w:p w:rsidR="00116FDF" w:rsidRDefault="001D1C41" w:rsidP="00116FDF">
      <w:pPr>
        <w:spacing w:before="0" w:after="0" w:line="240" w:lineRule="auto"/>
        <w:ind w:left="0" w:firstLine="709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   </w:t>
      </w:r>
      <w:r w:rsidR="00116FDF" w:rsidRPr="008B393F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Fonte: Elaboração do</w:t>
      </w:r>
      <w:r w:rsidR="0030174F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s</w:t>
      </w:r>
      <w:r w:rsidR="00116FDF" w:rsidRPr="008B393F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autor</w:t>
      </w:r>
      <w:r w:rsidR="0030174F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es</w:t>
      </w:r>
      <w:r w:rsidR="00116FDF" w:rsidRPr="008B393F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</w:t>
      </w:r>
    </w:p>
    <w:p w:rsidR="00FF26FC" w:rsidRDefault="00FF26FC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1747B" w:rsidRPr="00F65A66" w:rsidRDefault="00DB0650" w:rsidP="00605E7E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Considerações finais</w:t>
      </w:r>
    </w:p>
    <w:p w:rsidR="006B12A5" w:rsidRDefault="006B12A5" w:rsidP="007D2FA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F43AC5" w:rsidRPr="006B12A5" w:rsidRDefault="0091111D" w:rsidP="006B12A5">
      <w:pPr>
        <w:spacing w:before="0"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presente trabalho</w:t>
      </w:r>
      <w:r w:rsidR="003305AB">
        <w:rPr>
          <w:rFonts w:ascii="Times New Roman" w:hAnsi="Times New Roman" w:cs="Times New Roman"/>
          <w:bCs/>
          <w:sz w:val="24"/>
          <w:szCs w:val="24"/>
        </w:rPr>
        <w:t xml:space="preserve"> procuro</w:t>
      </w:r>
      <w:r w:rsidR="00427433">
        <w:rPr>
          <w:rFonts w:ascii="Times New Roman" w:hAnsi="Times New Roman" w:cs="Times New Roman"/>
          <w:bCs/>
          <w:sz w:val="24"/>
          <w:szCs w:val="24"/>
        </w:rPr>
        <w:t>u</w:t>
      </w:r>
      <w:r w:rsidR="003305AB">
        <w:rPr>
          <w:rFonts w:ascii="Times New Roman" w:hAnsi="Times New Roman" w:cs="Times New Roman"/>
          <w:bCs/>
          <w:sz w:val="24"/>
          <w:szCs w:val="24"/>
        </w:rPr>
        <w:t xml:space="preserve"> investigar </w:t>
      </w:r>
      <w:r w:rsidR="003305AB" w:rsidRPr="00F65A66">
        <w:rPr>
          <w:rFonts w:ascii="Times New Roman" w:hAnsi="Times New Roman" w:cs="Times New Roman"/>
          <w:sz w:val="24"/>
          <w:szCs w:val="24"/>
        </w:rPr>
        <w:t>a existência de economias de escala e escopo nas EFPC brasileiras durante o período 2010</w:t>
      </w:r>
      <w:r w:rsidR="00427433">
        <w:rPr>
          <w:rFonts w:ascii="Times New Roman" w:hAnsi="Times New Roman" w:cs="Times New Roman"/>
          <w:sz w:val="24"/>
          <w:szCs w:val="24"/>
        </w:rPr>
        <w:t>-</w:t>
      </w:r>
      <w:r w:rsidR="003305AB" w:rsidRPr="00F65A66">
        <w:rPr>
          <w:rFonts w:ascii="Times New Roman" w:hAnsi="Times New Roman" w:cs="Times New Roman"/>
          <w:sz w:val="24"/>
          <w:szCs w:val="24"/>
        </w:rPr>
        <w:t>2014</w:t>
      </w:r>
      <w:r w:rsidR="00853FEB">
        <w:rPr>
          <w:rFonts w:ascii="Times New Roman" w:hAnsi="Times New Roman" w:cs="Times New Roman"/>
          <w:sz w:val="24"/>
          <w:szCs w:val="24"/>
        </w:rPr>
        <w:t xml:space="preserve">, </w:t>
      </w:r>
      <w:r w:rsidR="004F4DF2">
        <w:rPr>
          <w:rFonts w:ascii="Times New Roman" w:hAnsi="Times New Roman" w:cs="Times New Roman"/>
          <w:sz w:val="24"/>
          <w:szCs w:val="24"/>
        </w:rPr>
        <w:t>por meio</w:t>
      </w:r>
      <w:r w:rsidR="00EF6AB7">
        <w:rPr>
          <w:rFonts w:ascii="Times New Roman" w:hAnsi="Times New Roman" w:cs="Times New Roman"/>
          <w:sz w:val="24"/>
          <w:szCs w:val="24"/>
        </w:rPr>
        <w:t xml:space="preserve"> de uma</w:t>
      </w:r>
      <w:r w:rsidR="00853FEB" w:rsidRPr="003E6B27">
        <w:rPr>
          <w:rFonts w:ascii="Times New Roman" w:hAnsi="Times New Roman" w:cs="Times New Roman"/>
          <w:sz w:val="24"/>
          <w:szCs w:val="24"/>
        </w:rPr>
        <w:t xml:space="preserve"> </w:t>
      </w:r>
      <w:r w:rsidR="00427433" w:rsidRPr="003E6B27">
        <w:rPr>
          <w:rFonts w:ascii="Times New Roman" w:hAnsi="Times New Roman" w:cs="Times New Roman"/>
          <w:sz w:val="24"/>
          <w:szCs w:val="24"/>
        </w:rPr>
        <w:t>análise</w:t>
      </w:r>
      <w:r w:rsidR="00853FEB" w:rsidRPr="003E6B27">
        <w:rPr>
          <w:rFonts w:ascii="Times New Roman" w:hAnsi="Times New Roman" w:cs="Times New Roman"/>
          <w:sz w:val="24"/>
          <w:szCs w:val="24"/>
        </w:rPr>
        <w:t xml:space="preserve"> de dados em painel</w:t>
      </w:r>
      <w:r w:rsidR="006B12A5">
        <w:rPr>
          <w:rFonts w:ascii="Times New Roman" w:hAnsi="Times New Roman" w:cs="Times New Roman"/>
          <w:sz w:val="24"/>
          <w:szCs w:val="24"/>
        </w:rPr>
        <w:t xml:space="preserve">. </w:t>
      </w:r>
      <w:r w:rsidR="00F64B6E">
        <w:rPr>
          <w:rFonts w:ascii="Times New Roman" w:hAnsi="Times New Roman" w:cs="Times New Roman"/>
          <w:bCs/>
          <w:sz w:val="24"/>
          <w:szCs w:val="24"/>
        </w:rPr>
        <w:t>De maneira geral</w:t>
      </w:r>
      <w:r w:rsidR="003316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6AFC">
        <w:rPr>
          <w:rFonts w:ascii="Times New Roman" w:hAnsi="Times New Roman" w:cs="Times New Roman"/>
          <w:bCs/>
          <w:sz w:val="24"/>
          <w:szCs w:val="24"/>
        </w:rPr>
        <w:t xml:space="preserve">verificou-se </w:t>
      </w:r>
      <w:r w:rsidR="00F43AC5" w:rsidRPr="00F43AC5">
        <w:rPr>
          <w:rFonts w:ascii="Times New Roman" w:hAnsi="Times New Roman" w:cs="Times New Roman"/>
          <w:bCs/>
          <w:sz w:val="24"/>
          <w:szCs w:val="24"/>
        </w:rPr>
        <w:t>que as variáveis clássicas propostas pela lite</w:t>
      </w:r>
      <w:r w:rsidR="002F2414">
        <w:rPr>
          <w:rFonts w:ascii="Times New Roman" w:hAnsi="Times New Roman" w:cs="Times New Roman"/>
          <w:bCs/>
          <w:sz w:val="24"/>
          <w:szCs w:val="24"/>
        </w:rPr>
        <w:t xml:space="preserve">ratura, ou seja, o logaritmo </w:t>
      </w:r>
      <w:r w:rsidR="00783672">
        <w:rPr>
          <w:rFonts w:ascii="Times New Roman" w:hAnsi="Times New Roman" w:cs="Times New Roman"/>
          <w:bCs/>
          <w:sz w:val="24"/>
          <w:szCs w:val="24"/>
        </w:rPr>
        <w:t xml:space="preserve">natural </w:t>
      </w:r>
      <w:r w:rsidR="002F2414">
        <w:rPr>
          <w:rFonts w:ascii="Times New Roman" w:hAnsi="Times New Roman" w:cs="Times New Roman"/>
          <w:bCs/>
          <w:sz w:val="24"/>
          <w:szCs w:val="24"/>
        </w:rPr>
        <w:t>do total de</w:t>
      </w:r>
      <w:r w:rsidR="00F43AC5" w:rsidRPr="00F43AC5">
        <w:rPr>
          <w:rFonts w:ascii="Times New Roman" w:hAnsi="Times New Roman" w:cs="Times New Roman"/>
          <w:bCs/>
          <w:sz w:val="24"/>
          <w:szCs w:val="24"/>
        </w:rPr>
        <w:t xml:space="preserve"> par</w:t>
      </w:r>
      <w:r w:rsidR="002F2414">
        <w:rPr>
          <w:rFonts w:ascii="Times New Roman" w:hAnsi="Times New Roman" w:cs="Times New Roman"/>
          <w:bCs/>
          <w:sz w:val="24"/>
          <w:szCs w:val="24"/>
        </w:rPr>
        <w:t>ticipantes</w:t>
      </w:r>
      <w:r w:rsidR="00F43AC5" w:rsidRPr="00F43AC5">
        <w:rPr>
          <w:rFonts w:ascii="Times New Roman" w:hAnsi="Times New Roman" w:cs="Times New Roman"/>
          <w:bCs/>
          <w:sz w:val="24"/>
          <w:szCs w:val="24"/>
        </w:rPr>
        <w:t xml:space="preserve"> e o logaritmo</w:t>
      </w:r>
      <w:r w:rsidR="001932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3672">
        <w:rPr>
          <w:rFonts w:ascii="Times New Roman" w:hAnsi="Times New Roman" w:cs="Times New Roman"/>
          <w:bCs/>
          <w:sz w:val="24"/>
          <w:szCs w:val="24"/>
        </w:rPr>
        <w:t xml:space="preserve">natural </w:t>
      </w:r>
      <w:r w:rsidR="00193207">
        <w:rPr>
          <w:rFonts w:ascii="Times New Roman" w:hAnsi="Times New Roman" w:cs="Times New Roman"/>
          <w:bCs/>
          <w:sz w:val="24"/>
          <w:szCs w:val="24"/>
        </w:rPr>
        <w:t>do total de</w:t>
      </w:r>
      <w:r w:rsidR="002F2414">
        <w:rPr>
          <w:rFonts w:ascii="Times New Roman" w:hAnsi="Times New Roman" w:cs="Times New Roman"/>
          <w:bCs/>
          <w:sz w:val="24"/>
          <w:szCs w:val="24"/>
        </w:rPr>
        <w:t xml:space="preserve"> ativos são </w:t>
      </w:r>
      <w:r w:rsidR="004F4DF2">
        <w:rPr>
          <w:rFonts w:ascii="Times New Roman" w:hAnsi="Times New Roman" w:cs="Times New Roman"/>
          <w:bCs/>
          <w:sz w:val="24"/>
          <w:szCs w:val="24"/>
        </w:rPr>
        <w:t>relevantes para explicar as despesas administrativas nas EFPC brasileiras.</w:t>
      </w:r>
    </w:p>
    <w:p w:rsidR="004F4DF2" w:rsidRDefault="004F4DF2" w:rsidP="00605E7E">
      <w:pPr>
        <w:spacing w:before="0" w:after="0" w:line="240" w:lineRule="auto"/>
        <w:ind w:left="0" w:firstLine="567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Somado a isso, </w:t>
      </w:r>
      <w:r w:rsidR="00F330C5">
        <w:rPr>
          <w:rFonts w:ascii="Times New Roman" w:hAnsi="Times New Roman" w:cs="Times New Roman"/>
          <w:bCs/>
          <w:sz w:val="24"/>
          <w:szCs w:val="24"/>
        </w:rPr>
        <w:t>o fato 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&lt; 1</w:t>
      </w:r>
      <w:r w:rsidR="00F330C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em todos os modelos revela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que o aumento no número de participantes possui o poder de reduzir as despesas administrativas </w:t>
      </w:r>
      <w:r w:rsidRPr="004F4DF2">
        <w:rPr>
          <w:rFonts w:ascii="Times New Roman" w:eastAsiaTheme="minorEastAsia" w:hAnsi="Times New Roman" w:cs="Times New Roman"/>
          <w:bCs/>
          <w:i/>
          <w:sz w:val="24"/>
          <w:szCs w:val="24"/>
        </w:rPr>
        <w:t>per capita</w:t>
      </w:r>
      <w:r w:rsidR="00F330C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das EFPC brasileiras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, já que essas passam a ser diluídas por um número maior de pessoas</w:t>
      </w:r>
      <w:r w:rsidR="00BF302B">
        <w:rPr>
          <w:rFonts w:ascii="Times New Roman" w:eastAsiaTheme="minorEastAsia" w:hAnsi="Times New Roman" w:cs="Times New Roman"/>
          <w:bCs/>
          <w:sz w:val="24"/>
          <w:szCs w:val="24"/>
        </w:rPr>
        <w:t>, com o mesmo raciocínio sendo válido para</w:t>
      </w:r>
      <w:r w:rsidR="00F330C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 incremento no volume de ativos dessas entidades.</w:t>
      </w:r>
    </w:p>
    <w:p w:rsidR="00F330C5" w:rsidRDefault="00F330C5" w:rsidP="00605E7E">
      <w:pPr>
        <w:spacing w:before="0" w:after="0" w:line="240" w:lineRule="auto"/>
        <w:ind w:left="0" w:firstLine="567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Por sua vez, a princípio não se pode afirmar que ocorrem economias de escopo nas EFPC brasileiras, pois o coeficiente da variável quantidade de planos em todos os modelos obteve significância estatística, o que indica que a oferta de um novo tipo de plano previdenciário aumenta as despesas administrativas das EFPC.</w:t>
      </w:r>
    </w:p>
    <w:p w:rsidR="006B12A5" w:rsidRDefault="00F330C5" w:rsidP="006B12A5">
      <w:pPr>
        <w:spacing w:before="0" w:after="0" w:line="240" w:lineRule="auto"/>
        <w:ind w:left="0" w:firstLine="567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Al</w:t>
      </w:r>
      <w:r w:rsidR="00116B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ém disso, a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variável proposta na pesquisa, relação de planos BD sobre a soma dos demais tipos de planos (CD e CV)</w:t>
      </w:r>
      <w:r w:rsidR="006B12A5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B12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se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mostrou signif</w:t>
      </w:r>
      <w:r w:rsidR="00BF302B">
        <w:rPr>
          <w:rFonts w:ascii="Times New Roman" w:eastAsiaTheme="minorEastAsia" w:hAnsi="Times New Roman" w:cs="Times New Roman"/>
          <w:bCs/>
          <w:sz w:val="24"/>
          <w:szCs w:val="24"/>
        </w:rPr>
        <w:t>icante apenas no modelo por MQO</w:t>
      </w:r>
      <w:r w:rsidR="00783672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apresentando si</w:t>
      </w:r>
      <w:r w:rsidR="006B12A5">
        <w:rPr>
          <w:rFonts w:ascii="Times New Roman" w:eastAsiaTheme="minorEastAsia" w:hAnsi="Times New Roman" w:cs="Times New Roman"/>
          <w:bCs/>
          <w:sz w:val="24"/>
          <w:szCs w:val="24"/>
        </w:rPr>
        <w:t>nal oposto ao esperado,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o que</w:t>
      </w:r>
      <w:r w:rsidR="006B12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 princípio indicaria que </w:t>
      </w:r>
      <w:r w:rsidR="009F44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os planos BD por serem gerenciados de forma coletiva são mais baratos que os planos CD e CV, que são administrados de forma individualizada. </w:t>
      </w:r>
    </w:p>
    <w:p w:rsidR="00FF5B93" w:rsidRPr="00FF5B93" w:rsidRDefault="00FF5B93" w:rsidP="003F0487">
      <w:pPr>
        <w:spacing w:before="0" w:after="0" w:line="240" w:lineRule="auto"/>
        <w:ind w:left="0" w:firstLine="567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De maneira ge</w:t>
      </w:r>
      <w:r w:rsidR="003F0487">
        <w:rPr>
          <w:rFonts w:ascii="Times New Roman" w:eastAsiaTheme="minorEastAsia" w:hAnsi="Times New Roman" w:cs="Times New Roman"/>
          <w:bCs/>
          <w:sz w:val="24"/>
          <w:szCs w:val="24"/>
        </w:rPr>
        <w:t>ral, a TCV de Modigliani (1986)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considera que as pessoas procuram estabilizar seu consumo ao longo da vida, poupando parte da renda presente para poder manter seu padrão de cons</w:t>
      </w:r>
      <w:r w:rsidR="003F04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umo no futuro. Nesse sentido, verifica-se que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as EFPC </w:t>
      </w:r>
      <w:r w:rsidR="003F0487">
        <w:rPr>
          <w:rFonts w:ascii="Times New Roman" w:eastAsiaTheme="minorEastAsia" w:hAnsi="Times New Roman" w:cs="Times New Roman"/>
          <w:bCs/>
          <w:sz w:val="24"/>
          <w:szCs w:val="24"/>
        </w:rPr>
        <w:t>brasileiras deveriam buscar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783672">
        <w:rPr>
          <w:rFonts w:ascii="Times New Roman" w:eastAsiaTheme="minorEastAsia" w:hAnsi="Times New Roman" w:cs="Times New Roman"/>
          <w:bCs/>
          <w:sz w:val="24"/>
          <w:szCs w:val="24"/>
        </w:rPr>
        <w:t xml:space="preserve">a redução de suas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despesas administra</w:t>
      </w:r>
      <w:r w:rsidR="003F04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tivas pelas economias de escala, pois, do contrário, seus participantes teriam incentivos </w:t>
      </w:r>
      <w:r w:rsidR="009F44D0">
        <w:rPr>
          <w:rFonts w:ascii="Times New Roman" w:eastAsiaTheme="minorEastAsia" w:hAnsi="Times New Roman" w:cs="Times New Roman"/>
          <w:bCs/>
          <w:sz w:val="24"/>
          <w:szCs w:val="24"/>
        </w:rPr>
        <w:t>a procurar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uma outra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forma de poupança</w:t>
      </w:r>
      <w:r w:rsidR="003F04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menos custosa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(investimento pessoal em títulos públicos, ações, fundos de investimento, aquisições de imóveis,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etc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  <w:r w:rsidR="009F44D0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B75644" w:rsidRDefault="00116BCE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Tendo em vista que</w:t>
      </w:r>
      <w:r w:rsidR="00A054D0">
        <w:rPr>
          <w:rFonts w:ascii="Times New Roman" w:hAnsi="Times New Roman" w:cs="Times New Roman"/>
          <w:bCs/>
          <w:sz w:val="24"/>
          <w:szCs w:val="24"/>
        </w:rPr>
        <w:t xml:space="preserve"> as EFPC não possuem a liberdade de captar novos participantes no mercado aberto, uma sugestão para a redução das despesas administrativas </w:t>
      </w:r>
      <w:r w:rsidR="00FF5B93">
        <w:rPr>
          <w:rFonts w:ascii="Times New Roman" w:hAnsi="Times New Roman" w:cs="Times New Roman"/>
          <w:bCs/>
          <w:sz w:val="24"/>
          <w:szCs w:val="24"/>
        </w:rPr>
        <w:t xml:space="preserve">pelo efeito escala </w:t>
      </w:r>
      <w:r w:rsidR="00A054D0">
        <w:rPr>
          <w:rFonts w:ascii="Times New Roman" w:hAnsi="Times New Roman" w:cs="Times New Roman"/>
          <w:bCs/>
          <w:sz w:val="24"/>
          <w:szCs w:val="24"/>
        </w:rPr>
        <w:t>recai na fusão de algumas dessas entidades. Ao contrário do que ocorre num mercado competitivo, no mercado das EFPC a concen</w:t>
      </w:r>
      <w:r w:rsidR="00077A6F">
        <w:rPr>
          <w:rFonts w:ascii="Times New Roman" w:hAnsi="Times New Roman" w:cs="Times New Roman"/>
          <w:bCs/>
          <w:sz w:val="24"/>
          <w:szCs w:val="24"/>
        </w:rPr>
        <w:t>tração é preferível, porque</w:t>
      </w:r>
      <w:r w:rsidR="00FF5B93">
        <w:rPr>
          <w:rFonts w:ascii="Times New Roman" w:hAnsi="Times New Roman" w:cs="Times New Roman"/>
          <w:bCs/>
          <w:sz w:val="24"/>
          <w:szCs w:val="24"/>
        </w:rPr>
        <w:t xml:space="preserve"> as despesas administrativas passariam a ser rateadas por um número maior de pessoas e ativos, beneficiando o comportamento poupador do participante.</w:t>
      </w:r>
    </w:p>
    <w:p w:rsidR="00FF5B93" w:rsidRDefault="00FF5B93" w:rsidP="00605E7E">
      <w:pPr>
        <w:spacing w:before="0" w:after="0" w:line="240" w:lineRule="auto"/>
        <w:ind w:left="0"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Como sugest</w:t>
      </w:r>
      <w:r w:rsidR="00116BCE">
        <w:rPr>
          <w:rFonts w:ascii="Times New Roman" w:hAnsi="Times New Roman" w:cs="Times New Roman"/>
          <w:bCs/>
          <w:sz w:val="24"/>
          <w:szCs w:val="24"/>
        </w:rPr>
        <w:t>ões para</w:t>
      </w:r>
      <w:r>
        <w:rPr>
          <w:rFonts w:ascii="Times New Roman" w:hAnsi="Times New Roman" w:cs="Times New Roman"/>
          <w:bCs/>
          <w:sz w:val="24"/>
          <w:szCs w:val="24"/>
        </w:rPr>
        <w:t xml:space="preserve"> trabalhos futuros</w:t>
      </w:r>
      <w:r w:rsidR="00116BCE">
        <w:rPr>
          <w:rFonts w:ascii="Times New Roman" w:hAnsi="Times New Roman" w:cs="Times New Roman"/>
          <w:bCs/>
          <w:sz w:val="24"/>
          <w:szCs w:val="24"/>
        </w:rPr>
        <w:t xml:space="preserve"> propõe-se que se</w:t>
      </w:r>
      <w:r w:rsidR="002818EF">
        <w:rPr>
          <w:rFonts w:ascii="Times New Roman" w:hAnsi="Times New Roman" w:cs="Times New Roman"/>
          <w:bCs/>
          <w:sz w:val="24"/>
          <w:szCs w:val="24"/>
        </w:rPr>
        <w:t>ja calculado o tamanho ótimo do mercado brasileiro das</w:t>
      </w:r>
      <w:r w:rsidR="00116BCE">
        <w:rPr>
          <w:rFonts w:ascii="Times New Roman" w:hAnsi="Times New Roman" w:cs="Times New Roman"/>
          <w:bCs/>
          <w:sz w:val="24"/>
          <w:szCs w:val="24"/>
        </w:rPr>
        <w:t xml:space="preserve"> EFPC em termos do número de participantes e da quantidade de ativos, de forma a minimizar as despesas administr</w:t>
      </w:r>
      <w:r w:rsidR="002818EF">
        <w:rPr>
          <w:rFonts w:ascii="Times New Roman" w:hAnsi="Times New Roman" w:cs="Times New Roman"/>
          <w:bCs/>
          <w:sz w:val="24"/>
          <w:szCs w:val="24"/>
        </w:rPr>
        <w:t>ativas. De posse de tal informação</w:t>
      </w:r>
      <w:r w:rsidR="00116BCE">
        <w:rPr>
          <w:rFonts w:ascii="Times New Roman" w:hAnsi="Times New Roman" w:cs="Times New Roman"/>
          <w:bCs/>
          <w:sz w:val="24"/>
          <w:szCs w:val="24"/>
        </w:rPr>
        <w:t xml:space="preserve"> os </w:t>
      </w:r>
      <w:proofErr w:type="spellStart"/>
      <w:r w:rsidR="00116BCE" w:rsidRPr="004476C5">
        <w:rPr>
          <w:rFonts w:ascii="Times New Roman" w:hAnsi="Times New Roman" w:cs="Times New Roman"/>
          <w:bCs/>
          <w:i/>
          <w:sz w:val="24"/>
          <w:szCs w:val="24"/>
        </w:rPr>
        <w:t>stakeholders</w:t>
      </w:r>
      <w:proofErr w:type="spellEnd"/>
      <w:r w:rsidR="00116BCE" w:rsidRPr="004476C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16BCE">
        <w:rPr>
          <w:rFonts w:ascii="Times New Roman" w:hAnsi="Times New Roman" w:cs="Times New Roman"/>
          <w:bCs/>
          <w:sz w:val="24"/>
          <w:szCs w:val="24"/>
        </w:rPr>
        <w:t>conse</w:t>
      </w:r>
      <w:r w:rsidR="00077A6F">
        <w:rPr>
          <w:rFonts w:ascii="Times New Roman" w:hAnsi="Times New Roman" w:cs="Times New Roman"/>
          <w:bCs/>
          <w:sz w:val="24"/>
          <w:szCs w:val="24"/>
        </w:rPr>
        <w:t>guiriam saber o quão distante a</w:t>
      </w:r>
      <w:r w:rsidR="00116BCE">
        <w:rPr>
          <w:rFonts w:ascii="Times New Roman" w:hAnsi="Times New Roman" w:cs="Times New Roman"/>
          <w:bCs/>
          <w:sz w:val="24"/>
          <w:szCs w:val="24"/>
        </w:rPr>
        <w:t xml:space="preserve"> EFPC do seu interesse</w:t>
      </w:r>
      <w:r w:rsidR="00077A6F">
        <w:rPr>
          <w:rFonts w:ascii="Times New Roman" w:hAnsi="Times New Roman" w:cs="Times New Roman"/>
          <w:bCs/>
          <w:sz w:val="24"/>
          <w:szCs w:val="24"/>
        </w:rPr>
        <w:t xml:space="preserve"> estaria</w:t>
      </w:r>
      <w:r w:rsidR="002818EF">
        <w:rPr>
          <w:rFonts w:ascii="Times New Roman" w:hAnsi="Times New Roman" w:cs="Times New Roman"/>
          <w:bCs/>
          <w:sz w:val="24"/>
          <w:szCs w:val="24"/>
        </w:rPr>
        <w:t xml:space="preserve"> operando da média do mercado em termos de gastos com </w:t>
      </w:r>
      <w:r w:rsidR="004476C5">
        <w:rPr>
          <w:rFonts w:ascii="Times New Roman" w:hAnsi="Times New Roman" w:cs="Times New Roman"/>
          <w:bCs/>
          <w:sz w:val="24"/>
          <w:szCs w:val="24"/>
        </w:rPr>
        <w:t xml:space="preserve">as despesas administrativas. </w:t>
      </w:r>
      <w:r w:rsidR="00116BCE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117256" w:rsidRDefault="00117256" w:rsidP="00605E7E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F43AC5" w:rsidRPr="0073259A" w:rsidRDefault="00F43AC5" w:rsidP="00D341B0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59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77A6F" w:rsidRPr="0073259A">
        <w:rPr>
          <w:rFonts w:ascii="Times New Roman" w:hAnsi="Times New Roman" w:cs="Times New Roman"/>
          <w:b/>
          <w:bCs/>
          <w:sz w:val="24"/>
          <w:szCs w:val="24"/>
        </w:rPr>
        <w:t>eferências</w:t>
      </w:r>
    </w:p>
    <w:p w:rsidR="006304A3" w:rsidRPr="0073259A" w:rsidRDefault="006304A3" w:rsidP="000056DE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9E7C13" w:rsidRPr="009E7C13" w:rsidRDefault="00E80637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Associação Brasileira das Entidades Fechadas de Previdência C</w:t>
      </w:r>
      <w:r w:rsidRPr="009E7C13">
        <w:rPr>
          <w:rFonts w:ascii="Times New Roman" w:hAnsi="Times New Roman" w:cs="Times New Roman"/>
          <w:bCs/>
          <w:sz w:val="24"/>
          <w:szCs w:val="24"/>
        </w:rPr>
        <w:t>omplementar</w:t>
      </w:r>
      <w:r w:rsidR="009E7C13" w:rsidRPr="009E7C13">
        <w:rPr>
          <w:rFonts w:ascii="Times New Roman" w:hAnsi="Times New Roman" w:cs="Times New Roman"/>
          <w:bCs/>
          <w:sz w:val="24"/>
          <w:szCs w:val="24"/>
        </w:rPr>
        <w:t xml:space="preserve"> – ABRAPP. </w:t>
      </w:r>
      <w:r w:rsidR="009E7C13" w:rsidRPr="0073259A">
        <w:rPr>
          <w:rFonts w:ascii="Times New Roman" w:hAnsi="Times New Roman" w:cs="Times New Roman"/>
          <w:bCs/>
          <w:sz w:val="24"/>
          <w:szCs w:val="24"/>
        </w:rPr>
        <w:t>Consolidado Estatístico. Disponível em:</w:t>
      </w:r>
      <w:r w:rsidR="009E7C13" w:rsidRPr="009E7C13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9E7C13" w:rsidRPr="009E7C13">
          <w:rPr>
            <w:rStyle w:val="Hyperlink"/>
            <w:rFonts w:ascii="Times New Roman" w:hAnsi="Times New Roman" w:cs="Times New Roman"/>
            <w:sz w:val="24"/>
            <w:szCs w:val="24"/>
          </w:rPr>
          <w:t>http://www.abrapp.org.br/Consolidados/Consolidado%20Estat%C3%ADstico_12.2018.pdf</w:t>
        </w:r>
      </w:hyperlink>
      <w:r w:rsidR="009E7C13" w:rsidRPr="009E7C13">
        <w:rPr>
          <w:rFonts w:ascii="Times New Roman" w:hAnsi="Times New Roman" w:cs="Times New Roman"/>
          <w:sz w:val="24"/>
          <w:szCs w:val="24"/>
        </w:rPr>
        <w:t>. Acesso em 12 de julho de 2019.</w:t>
      </w:r>
    </w:p>
    <w:p w:rsidR="009E7C13" w:rsidRPr="009E7C13" w:rsidRDefault="009E7C13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E80637" w:rsidRPr="00E80637" w:rsidRDefault="00E80637" w:rsidP="00E80637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Baltagi</w:t>
      </w:r>
      <w:proofErr w:type="spellEnd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B. H (1995). </w:t>
      </w:r>
      <w:proofErr w:type="gramStart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Econometric Analysis of Panel Data.</w:t>
      </w:r>
      <w:proofErr w:type="gramEnd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80637">
        <w:rPr>
          <w:rFonts w:ascii="Times New Roman" w:hAnsi="Times New Roman" w:cs="Times New Roman"/>
          <w:bCs/>
          <w:i/>
          <w:sz w:val="24"/>
          <w:szCs w:val="24"/>
          <w:lang w:val="en-US"/>
        </w:rPr>
        <w:t>Econometric Theory</w:t>
      </w:r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, Cambridge University Press, vol. 13 (05), pages 747-754, October.</w:t>
      </w:r>
      <w:proofErr w:type="gramEnd"/>
    </w:p>
    <w:p w:rsidR="00E80637" w:rsidRPr="00E80637" w:rsidRDefault="00E80637" w:rsidP="00E80637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80637" w:rsidRDefault="00E80637" w:rsidP="00E80637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Bateman, H.; Mitchell, O. (2004).</w:t>
      </w:r>
      <w:proofErr w:type="gramEnd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New evidence on pension plan design and administrative expenses: the Australian experience. </w:t>
      </w:r>
      <w:proofErr w:type="gramStart"/>
      <w:r w:rsidRPr="00E80637">
        <w:rPr>
          <w:rFonts w:ascii="Times New Roman" w:hAnsi="Times New Roman" w:cs="Times New Roman"/>
          <w:bCs/>
          <w:i/>
          <w:sz w:val="24"/>
          <w:szCs w:val="24"/>
          <w:lang w:val="en-US"/>
        </w:rPr>
        <w:t>Journal of pension economics and finance</w:t>
      </w:r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, v. 3, p. 63-76.</w:t>
      </w:r>
      <w:proofErr w:type="gramEnd"/>
    </w:p>
    <w:p w:rsidR="00723087" w:rsidRDefault="00723087" w:rsidP="00E80637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23087" w:rsidRPr="00723087" w:rsidRDefault="00723087" w:rsidP="00723087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Besanko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D.;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723087">
        <w:rPr>
          <w:rFonts w:ascii="Times New Roman" w:hAnsi="Times New Roman" w:cs="Times New Roman"/>
          <w:bCs/>
          <w:sz w:val="24"/>
          <w:szCs w:val="24"/>
          <w:lang w:val="en-US"/>
        </w:rPr>
        <w:t>ranove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D.;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Shanley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M.; S</w:t>
      </w:r>
      <w:r w:rsidRPr="00723087">
        <w:rPr>
          <w:rFonts w:ascii="Times New Roman" w:hAnsi="Times New Roman" w:cs="Times New Roman"/>
          <w:bCs/>
          <w:sz w:val="24"/>
          <w:szCs w:val="24"/>
          <w:lang w:val="en-US"/>
        </w:rPr>
        <w:t>chaefer, S (2009).</w:t>
      </w:r>
      <w:proofErr w:type="gramEnd"/>
      <w:r w:rsidRPr="007230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2308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Economia da Estratégia, </w:t>
      </w:r>
      <w:r w:rsidRPr="00723087">
        <w:rPr>
          <w:rFonts w:ascii="Times New Roman" w:hAnsi="Times New Roman" w:cs="Times New Roman"/>
          <w:bCs/>
          <w:iCs/>
          <w:sz w:val="24"/>
          <w:szCs w:val="24"/>
        </w:rPr>
        <w:t>3ª ed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Bookman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Editora</w:t>
      </w:r>
      <w:r w:rsidRPr="00723087">
        <w:rPr>
          <w:rFonts w:ascii="Times New Roman" w:hAnsi="Times New Roman" w:cs="Times New Roman"/>
          <w:bCs/>
          <w:sz w:val="24"/>
          <w:szCs w:val="24"/>
        </w:rPr>
        <w:t>.</w:t>
      </w:r>
    </w:p>
    <w:p w:rsidR="00B64C7A" w:rsidRPr="00F4539C" w:rsidRDefault="00B64C7A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Bikker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J. A. (2013). </w:t>
      </w:r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Is there an optimal pension fund size? </w:t>
      </w:r>
      <w:proofErr w:type="gramStart"/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>A scale-economy analysis of administrative and investment costs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Utrecht, Netherlands: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Tjalling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C. Koopmans Research Institute – DNB. </w:t>
      </w:r>
      <w:proofErr w:type="gram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(Discussion paper series 13-06).</w:t>
      </w:r>
      <w:proofErr w:type="gramEnd"/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lastRenderedPageBreak/>
        <w:t>Bikker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J. A.; De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Dreu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J. (2006). </w:t>
      </w:r>
      <w:proofErr w:type="gram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Operating costs of pension funds.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Journal of pension economics and finance, 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v. 8, p. 63-89.</w:t>
      </w:r>
      <w:proofErr w:type="gramEnd"/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Bikker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J. A.;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Steenbeek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O.;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Torracchi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, F. (2012).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impact of scale, complexity, and service quality on the administrative costs of pension funds: a cross-country comparison. </w:t>
      </w:r>
      <w:proofErr w:type="gramStart"/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>Journal of risk and insurance</w:t>
      </w:r>
      <w:r w:rsidRPr="00803FA3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v. 79, p. 477-514.</w:t>
      </w:r>
      <w:proofErr w:type="gramEnd"/>
    </w:p>
    <w:p w:rsidR="001D399E" w:rsidRPr="00E73867" w:rsidRDefault="001D399E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39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Caetano, M. </w:t>
      </w:r>
      <w:proofErr w:type="gramStart"/>
      <w:r w:rsidRPr="00D039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A; </w:t>
      </w:r>
      <w:proofErr w:type="spellStart"/>
      <w:r w:rsidRPr="00D0395B">
        <w:rPr>
          <w:rFonts w:ascii="Times New Roman" w:hAnsi="Times New Roman" w:cs="Times New Roman"/>
          <w:bCs/>
          <w:sz w:val="24"/>
          <w:szCs w:val="24"/>
          <w:lang w:val="en-US"/>
        </w:rPr>
        <w:t>Boueri</w:t>
      </w:r>
      <w:proofErr w:type="spellEnd"/>
      <w:r w:rsidRPr="00D039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R; </w:t>
      </w:r>
      <w:proofErr w:type="spellStart"/>
      <w:r w:rsidRPr="00D0395B">
        <w:rPr>
          <w:rFonts w:ascii="Times New Roman" w:hAnsi="Times New Roman" w:cs="Times New Roman"/>
          <w:bCs/>
          <w:sz w:val="24"/>
          <w:szCs w:val="24"/>
          <w:lang w:val="en-US"/>
        </w:rPr>
        <w:t>Sachsida</w:t>
      </w:r>
      <w:proofErr w:type="spellEnd"/>
      <w:r w:rsidRPr="00D0395B">
        <w:rPr>
          <w:rFonts w:ascii="Times New Roman" w:hAnsi="Times New Roman" w:cs="Times New Roman"/>
          <w:bCs/>
          <w:sz w:val="24"/>
          <w:szCs w:val="24"/>
          <w:lang w:val="en-US"/>
        </w:rPr>
        <w:t>, A. (2015).</w:t>
      </w:r>
      <w:proofErr w:type="gramEnd"/>
      <w:r w:rsidRPr="00D039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03FA3">
        <w:rPr>
          <w:rFonts w:ascii="Times New Roman" w:hAnsi="Times New Roman" w:cs="Times New Roman"/>
          <w:bCs/>
          <w:sz w:val="24"/>
          <w:szCs w:val="24"/>
        </w:rPr>
        <w:t xml:space="preserve">Economias de escala e escopo na previdência complementar fechada brasileira. </w:t>
      </w:r>
      <w:proofErr w:type="spellStart"/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>Economia</w:t>
      </w:r>
      <w:proofErr w:type="spellEnd"/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>Aplicada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, v. 19, p. 481-505.</w:t>
      </w: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Caswell, J. (1976). Economic efficiency in the pension plan administration: a study of the construction industry. </w:t>
      </w:r>
      <w:proofErr w:type="spellStart"/>
      <w:r w:rsidRPr="00803FA3">
        <w:rPr>
          <w:rFonts w:ascii="Times New Roman" w:hAnsi="Times New Roman" w:cs="Times New Roman"/>
          <w:bCs/>
          <w:i/>
          <w:sz w:val="24"/>
          <w:szCs w:val="24"/>
        </w:rPr>
        <w:t>Journal</w:t>
      </w:r>
      <w:proofErr w:type="spellEnd"/>
      <w:r w:rsidRPr="00803FA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803FA3">
        <w:rPr>
          <w:rFonts w:ascii="Times New Roman" w:hAnsi="Times New Roman" w:cs="Times New Roman"/>
          <w:bCs/>
          <w:i/>
          <w:sz w:val="24"/>
          <w:szCs w:val="24"/>
        </w:rPr>
        <w:t>of</w:t>
      </w:r>
      <w:proofErr w:type="spellEnd"/>
      <w:r w:rsidRPr="00803FA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803FA3">
        <w:rPr>
          <w:rFonts w:ascii="Times New Roman" w:hAnsi="Times New Roman" w:cs="Times New Roman"/>
          <w:bCs/>
          <w:i/>
          <w:sz w:val="24"/>
          <w:szCs w:val="24"/>
        </w:rPr>
        <w:t>risk</w:t>
      </w:r>
      <w:proofErr w:type="spellEnd"/>
      <w:r w:rsidRPr="00803FA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803FA3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803FA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803FA3">
        <w:rPr>
          <w:rFonts w:ascii="Times New Roman" w:hAnsi="Times New Roman" w:cs="Times New Roman"/>
          <w:bCs/>
          <w:i/>
          <w:sz w:val="24"/>
          <w:szCs w:val="24"/>
        </w:rPr>
        <w:t>insurance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>, v. 43, p. 257-273.</w:t>
      </w: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03FA3">
        <w:rPr>
          <w:rFonts w:ascii="Times New Roman" w:hAnsi="Times New Roman" w:cs="Times New Roman"/>
          <w:bCs/>
          <w:sz w:val="24"/>
          <w:szCs w:val="24"/>
        </w:rPr>
        <w:t xml:space="preserve">Comitê de Pronunciamentos Contábeis 49 – Contabilização e Relatório Contábil de Planos de Benefícios de Aposentadoria, 2018. Disponível em: </w:t>
      </w:r>
      <w:hyperlink r:id="rId20" w:history="1">
        <w:r w:rsidRPr="00803FA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www.cpc.org.br</w:t>
        </w:r>
      </w:hyperlink>
      <w:r w:rsidRPr="00803FA3">
        <w:rPr>
          <w:rFonts w:ascii="Times New Roman" w:hAnsi="Times New Roman" w:cs="Times New Roman"/>
          <w:bCs/>
          <w:sz w:val="24"/>
          <w:szCs w:val="24"/>
        </w:rPr>
        <w:t>. Acesso em: 10 out. 2018.</w:t>
      </w:r>
    </w:p>
    <w:p w:rsidR="006304A3" w:rsidRPr="006304A3" w:rsidRDefault="006304A3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03FA3">
        <w:rPr>
          <w:rFonts w:ascii="Times New Roman" w:hAnsi="Times New Roman" w:cs="Times New Roman"/>
          <w:bCs/>
          <w:sz w:val="24"/>
          <w:szCs w:val="24"/>
        </w:rPr>
        <w:t xml:space="preserve">Conselho de Gestão da Previdência Complementar (2009). Resolução CGPC nº 29, de 31 de agosto de 2009. </w:t>
      </w:r>
      <w:r w:rsidRPr="00803FA3">
        <w:rPr>
          <w:rFonts w:ascii="Times New Roman" w:hAnsi="Times New Roman" w:cs="Times New Roman"/>
          <w:bCs/>
          <w:i/>
          <w:sz w:val="24"/>
          <w:szCs w:val="24"/>
        </w:rPr>
        <w:t>Diário Oficial [da] República Federativa do Brasil</w:t>
      </w:r>
      <w:r w:rsidRPr="00803FA3">
        <w:rPr>
          <w:rFonts w:ascii="Times New Roman" w:hAnsi="Times New Roman" w:cs="Times New Roman"/>
          <w:bCs/>
          <w:sz w:val="24"/>
          <w:szCs w:val="24"/>
        </w:rPr>
        <w:t>, Poder Executivo, Brasília, DF, 10 set. 2009. Seção 1, p.51-52.</w:t>
      </w:r>
    </w:p>
    <w:p w:rsid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A0102A" w:rsidRPr="00A0102A" w:rsidRDefault="00A0102A" w:rsidP="00A0102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Conselho Monetário N</w:t>
      </w:r>
      <w:r w:rsidRPr="00A0102A">
        <w:rPr>
          <w:rFonts w:ascii="Times New Roman" w:hAnsi="Times New Roman" w:cs="Times New Roman"/>
          <w:bCs/>
          <w:sz w:val="24"/>
          <w:szCs w:val="24"/>
        </w:rPr>
        <w:t xml:space="preserve">acional </w:t>
      </w:r>
      <w:r>
        <w:rPr>
          <w:rFonts w:ascii="Times New Roman" w:hAnsi="Times New Roman" w:cs="Times New Roman"/>
          <w:bCs/>
          <w:sz w:val="24"/>
          <w:szCs w:val="24"/>
        </w:rPr>
        <w:t>(2018).</w:t>
      </w:r>
      <w:r w:rsidRPr="00A0102A">
        <w:rPr>
          <w:rFonts w:ascii="Times New Roman" w:hAnsi="Times New Roman" w:cs="Times New Roman"/>
          <w:bCs/>
          <w:sz w:val="24"/>
          <w:szCs w:val="24"/>
        </w:rPr>
        <w:t xml:space="preserve"> Resolução nº 4.661, de 25 de maio de 2018. </w:t>
      </w:r>
      <w:r w:rsidRPr="00A0102A">
        <w:rPr>
          <w:rFonts w:ascii="Times New Roman" w:hAnsi="Times New Roman" w:cs="Times New Roman"/>
          <w:bCs/>
          <w:i/>
          <w:sz w:val="24"/>
          <w:szCs w:val="24"/>
        </w:rPr>
        <w:t>Diário Oficial [da] República Federativa do Brasil</w:t>
      </w:r>
      <w:r w:rsidRPr="00A0102A">
        <w:rPr>
          <w:rFonts w:ascii="Times New Roman" w:hAnsi="Times New Roman" w:cs="Times New Roman"/>
          <w:bCs/>
          <w:sz w:val="24"/>
          <w:szCs w:val="24"/>
        </w:rPr>
        <w:t>, Poder Executivo, Brasília, DF, 29 mai. 2018. Seção 1, p.22-24.</w:t>
      </w:r>
    </w:p>
    <w:p w:rsidR="00A0102A" w:rsidRPr="00803FA3" w:rsidRDefault="00A0102A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Gujarati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D. N; Porter, D. C. (2011). </w:t>
      </w:r>
      <w:r w:rsidRPr="00803FA3">
        <w:rPr>
          <w:rFonts w:ascii="Times New Roman" w:hAnsi="Times New Roman" w:cs="Times New Roman"/>
          <w:bCs/>
          <w:i/>
          <w:sz w:val="24"/>
          <w:szCs w:val="24"/>
        </w:rPr>
        <w:t>Econometria Básica</w:t>
      </w:r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5ª ed. 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Porto Alegre: AMGH Ed.</w:t>
      </w:r>
    </w:p>
    <w:p w:rsidR="0080597D" w:rsidRPr="00803FA3" w:rsidRDefault="0080597D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:rsid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Hsin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, P. &amp; Mitchell, O. (1997).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Public pension plan efficiency, </w:t>
      </w:r>
      <w:r w:rsidRPr="00803FA3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</w:t>
      </w:r>
      <w:r w:rsidRPr="00803FA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: 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M. Gordon, O. Mitchell &amp; M.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Twinney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(Org.), </w:t>
      </w:r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>Positioning Pensions for the 21st Century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, University of Pennsylvania Press, p. 187-205.</w:t>
      </w:r>
    </w:p>
    <w:p w:rsidR="00A0102A" w:rsidRDefault="00A0102A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0102A" w:rsidRPr="00A0102A" w:rsidRDefault="00A0102A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A0102A">
        <w:rPr>
          <w:rFonts w:ascii="Times New Roman" w:hAnsi="Times New Roman" w:cs="Times New Roman"/>
          <w:bCs/>
          <w:sz w:val="24"/>
          <w:szCs w:val="24"/>
        </w:rPr>
        <w:t xml:space="preserve">Keynes, </w:t>
      </w:r>
      <w:r>
        <w:rPr>
          <w:rFonts w:ascii="Times New Roman" w:hAnsi="Times New Roman" w:cs="Times New Roman"/>
          <w:bCs/>
          <w:sz w:val="24"/>
          <w:szCs w:val="24"/>
        </w:rPr>
        <w:t xml:space="preserve">J, M. </w:t>
      </w:r>
      <w:r w:rsidR="0067239D">
        <w:rPr>
          <w:rFonts w:ascii="Times New Roman" w:hAnsi="Times New Roman" w:cs="Times New Roman"/>
          <w:bCs/>
          <w:sz w:val="24"/>
          <w:szCs w:val="24"/>
        </w:rPr>
        <w:t xml:space="preserve">(1985). </w:t>
      </w: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67239D">
        <w:rPr>
          <w:rFonts w:ascii="Times New Roman" w:hAnsi="Times New Roman" w:cs="Times New Roman"/>
          <w:bCs/>
          <w:i/>
          <w:sz w:val="24"/>
          <w:szCs w:val="24"/>
        </w:rPr>
        <w:t>Teoria Geral do Emprego do Juro e da Moeda</w:t>
      </w:r>
      <w:r w:rsidRPr="00A0102A">
        <w:rPr>
          <w:rFonts w:ascii="Times New Roman" w:hAnsi="Times New Roman" w:cs="Times New Roman"/>
          <w:bCs/>
          <w:sz w:val="24"/>
          <w:szCs w:val="24"/>
        </w:rPr>
        <w:t>.</w:t>
      </w:r>
      <w:r w:rsidR="0067239D">
        <w:rPr>
          <w:rFonts w:ascii="Times New Roman" w:hAnsi="Times New Roman" w:cs="Times New Roman"/>
          <w:bCs/>
          <w:sz w:val="24"/>
          <w:szCs w:val="24"/>
        </w:rPr>
        <w:t xml:space="preserve"> Nova Cultura.</w:t>
      </w:r>
    </w:p>
    <w:p w:rsidR="00803FA3" w:rsidRPr="00A0102A" w:rsidRDefault="00803FA3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5F63D6" w:rsidRPr="00803FA3" w:rsidRDefault="005F63D6" w:rsidP="005F63D6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03FA3">
        <w:rPr>
          <w:rFonts w:ascii="Times New Roman" w:hAnsi="Times New Roman" w:cs="Times New Roman"/>
          <w:bCs/>
          <w:i/>
          <w:sz w:val="24"/>
          <w:szCs w:val="24"/>
        </w:rPr>
        <w:t>Le</w:t>
      </w:r>
      <w:r>
        <w:rPr>
          <w:rFonts w:ascii="Times New Roman" w:hAnsi="Times New Roman" w:cs="Times New Roman"/>
          <w:bCs/>
          <w:i/>
          <w:sz w:val="24"/>
          <w:szCs w:val="24"/>
        </w:rPr>
        <w:t>i Complementar nº 108</w:t>
      </w:r>
      <w:r w:rsidRPr="00803FA3">
        <w:rPr>
          <w:rFonts w:ascii="Times New Roman" w:hAnsi="Times New Roman" w:cs="Times New Roman"/>
          <w:bCs/>
          <w:i/>
          <w:sz w:val="24"/>
          <w:szCs w:val="24"/>
        </w:rPr>
        <w:t>, de 29 de maio de 2001</w:t>
      </w:r>
      <w:r w:rsidRPr="00803FA3">
        <w:rPr>
          <w:rFonts w:ascii="Times New Roman" w:hAnsi="Times New Roman" w:cs="Times New Roman"/>
          <w:bCs/>
          <w:sz w:val="24"/>
          <w:szCs w:val="24"/>
        </w:rPr>
        <w:t>. Diário Oficial [da] República Federativa do Brasil, Poder Executivo, Brasília, DF, 30 mai. 2001. Seção 1, p. 3.</w:t>
      </w:r>
    </w:p>
    <w:p w:rsidR="005F63D6" w:rsidRPr="008E2E50" w:rsidRDefault="005F63D6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03FA3">
        <w:rPr>
          <w:rFonts w:ascii="Times New Roman" w:hAnsi="Times New Roman" w:cs="Times New Roman"/>
          <w:bCs/>
          <w:i/>
          <w:sz w:val="24"/>
          <w:szCs w:val="24"/>
        </w:rPr>
        <w:t>Lei Complementar nº 109, de 29 de maio de 2001</w:t>
      </w:r>
      <w:r w:rsidRPr="00803FA3">
        <w:rPr>
          <w:rFonts w:ascii="Times New Roman" w:hAnsi="Times New Roman" w:cs="Times New Roman"/>
          <w:bCs/>
          <w:sz w:val="24"/>
          <w:szCs w:val="24"/>
        </w:rPr>
        <w:t>. Diário Oficial [da] República Federativa do Brasil, Poder Executivo, Brasília, DF, 30 mai. 2001. Seção 1, p. 3.</w:t>
      </w:r>
    </w:p>
    <w:p w:rsidR="009A4ADE" w:rsidRPr="005F63D6" w:rsidRDefault="009A4ADE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Malhotra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>, D. K</w:t>
      </w:r>
      <w:proofErr w:type="gramStart"/>
      <w:r w:rsidRPr="00803FA3">
        <w:rPr>
          <w:rFonts w:ascii="Times New Roman" w:hAnsi="Times New Roman" w:cs="Times New Roman"/>
          <w:bCs/>
          <w:sz w:val="24"/>
          <w:szCs w:val="24"/>
        </w:rPr>
        <w:t>.,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 Martin, R.,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McLeod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 R. W. (2009). 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Cost efficiencies and the selection of closed-end funds. </w:t>
      </w:r>
      <w:hyperlink r:id="rId21" w:history="1">
        <w:r w:rsidRPr="00803FA3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  <w:lang w:val="en-US"/>
          </w:rPr>
          <w:t>Financial Services Review</w:t>
        </w:r>
      </w:hyperlink>
      <w:r w:rsidRPr="00803FA3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v. 18, p. 105-122.</w:t>
      </w:r>
    </w:p>
    <w:p w:rsidR="00BB61D5" w:rsidRDefault="00BB61D5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:rsidR="00BB61D5" w:rsidRPr="00BB61D5" w:rsidRDefault="008066BA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="00803FA3">
        <w:rPr>
          <w:rFonts w:ascii="Times New Roman" w:hAnsi="Times New Roman" w:cs="Times New Roman"/>
          <w:bCs/>
          <w:sz w:val="24"/>
          <w:szCs w:val="24"/>
          <w:lang w:val="en-US"/>
        </w:rPr>
        <w:t>as-</w:t>
      </w:r>
      <w:proofErr w:type="spellStart"/>
      <w:r w:rsidR="00803FA3">
        <w:rPr>
          <w:rFonts w:ascii="Times New Roman" w:hAnsi="Times New Roman" w:cs="Times New Roman"/>
          <w:bCs/>
          <w:sz w:val="24"/>
          <w:szCs w:val="24"/>
          <w:lang w:val="en-US"/>
        </w:rPr>
        <w:t>colell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A.;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</w:t>
      </w:r>
      <w:r w:rsidR="00803FA3">
        <w:rPr>
          <w:rFonts w:ascii="Times New Roman" w:hAnsi="Times New Roman" w:cs="Times New Roman"/>
          <w:bCs/>
          <w:sz w:val="24"/>
          <w:szCs w:val="24"/>
          <w:lang w:val="en-US"/>
        </w:rPr>
        <w:t>hinston</w:t>
      </w:r>
      <w:proofErr w:type="spellEnd"/>
      <w:r w:rsidR="00BB61D5" w:rsidRPr="00BB61D5">
        <w:rPr>
          <w:rFonts w:ascii="Times New Roman" w:hAnsi="Times New Roman" w:cs="Times New Roman"/>
          <w:bCs/>
          <w:sz w:val="24"/>
          <w:szCs w:val="24"/>
          <w:lang w:val="en-US"/>
        </w:rPr>
        <w:t>, M.; G</w:t>
      </w:r>
      <w:r w:rsidR="00803FA3" w:rsidRPr="00BB61D5">
        <w:rPr>
          <w:rFonts w:ascii="Times New Roman" w:hAnsi="Times New Roman" w:cs="Times New Roman"/>
          <w:bCs/>
          <w:sz w:val="24"/>
          <w:szCs w:val="24"/>
          <w:lang w:val="en-US"/>
        </w:rPr>
        <w:t>reen</w:t>
      </w:r>
      <w:r w:rsidR="00BB61D5" w:rsidRPr="00BB61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J. </w:t>
      </w:r>
      <w:r w:rsidR="0092001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162C11">
        <w:rPr>
          <w:rFonts w:ascii="Times New Roman" w:hAnsi="Times New Roman" w:cs="Times New Roman"/>
          <w:bCs/>
          <w:sz w:val="24"/>
          <w:szCs w:val="24"/>
          <w:lang w:val="en-US"/>
        </w:rPr>
        <w:t>1995</w:t>
      </w:r>
      <w:r w:rsidR="0092001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162C1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  <w:r w:rsidR="00162C1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B61D5" w:rsidRPr="00920015">
        <w:rPr>
          <w:rFonts w:ascii="Times New Roman" w:hAnsi="Times New Roman" w:cs="Times New Roman"/>
          <w:bCs/>
          <w:i/>
          <w:sz w:val="24"/>
          <w:szCs w:val="24"/>
          <w:lang w:val="en-US"/>
        </w:rPr>
        <w:t>Microeconomic theory</w:t>
      </w:r>
      <w:r w:rsidR="00BB61D5" w:rsidRPr="00BB61D5">
        <w:rPr>
          <w:rFonts w:ascii="Times New Roman" w:hAnsi="Times New Roman" w:cs="Times New Roman"/>
          <w:bCs/>
          <w:sz w:val="24"/>
          <w:szCs w:val="24"/>
          <w:lang w:val="en-US"/>
        </w:rPr>
        <w:t>. Oxford University</w:t>
      </w:r>
      <w:r w:rsidR="00162C1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Press</w:t>
      </w:r>
      <w:r w:rsidR="00173684">
        <w:rPr>
          <w:rFonts w:ascii="Times New Roman" w:hAnsi="Times New Roman" w:cs="Times New Roman"/>
          <w:bCs/>
          <w:sz w:val="24"/>
          <w:szCs w:val="24"/>
          <w:lang w:val="en-US"/>
        </w:rPr>
        <w:t>, 1008 p.</w:t>
      </w:r>
    </w:p>
    <w:p w:rsidR="002417AA" w:rsidRPr="00E73867" w:rsidRDefault="002417AA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Mitchell, O.; Andrews, E. (1981).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Scale economies in private multi-employer pension systems. </w:t>
      </w:r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>Industrial and Labor Relations Review</w:t>
      </w:r>
      <w:r w:rsidRPr="00803FA3">
        <w:rPr>
          <w:rFonts w:ascii="Times New Roman" w:hAnsi="Times New Roman" w:cs="Times New Roman"/>
          <w:bCs/>
          <w:sz w:val="24"/>
          <w:szCs w:val="24"/>
          <w:lang w:val="en-US"/>
        </w:rPr>
        <w:t>, v. 34, p. 522-530.</w:t>
      </w:r>
    </w:p>
    <w:p w:rsidR="0018093E" w:rsidRPr="00803FA3" w:rsidRDefault="0018093E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8093E" w:rsidRPr="0018093E" w:rsidRDefault="0018093E" w:rsidP="0018093E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="00803FA3" w:rsidRPr="0018093E">
        <w:rPr>
          <w:rFonts w:ascii="Times New Roman" w:hAnsi="Times New Roman" w:cs="Times New Roman"/>
          <w:bCs/>
          <w:sz w:val="24"/>
          <w:szCs w:val="24"/>
          <w:lang w:val="en-US"/>
        </w:rPr>
        <w:t>odigliani</w:t>
      </w:r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>, F. Life cycle, individual thrift and the wealth of nations.</w:t>
      </w:r>
      <w:proofErr w:type="gramEnd"/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03FA3">
        <w:rPr>
          <w:rFonts w:ascii="Times New Roman" w:hAnsi="Times New Roman" w:cs="Times New Roman"/>
          <w:bCs/>
          <w:i/>
          <w:sz w:val="24"/>
          <w:szCs w:val="24"/>
          <w:lang w:val="en-US"/>
        </w:rPr>
        <w:t>The American Economic Review</w:t>
      </w:r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>, n. 76, p. 297-313, 1986.</w:t>
      </w:r>
      <w:proofErr w:type="gramEnd"/>
    </w:p>
    <w:p w:rsidR="0018093E" w:rsidRPr="0018093E" w:rsidRDefault="0018093E" w:rsidP="0018093E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8093E" w:rsidRPr="00EF0885" w:rsidRDefault="0018093E" w:rsidP="0018093E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="00803FA3" w:rsidRPr="0018093E">
        <w:rPr>
          <w:rFonts w:ascii="Times New Roman" w:hAnsi="Times New Roman" w:cs="Times New Roman"/>
          <w:bCs/>
          <w:sz w:val="24"/>
          <w:szCs w:val="24"/>
          <w:lang w:val="en-US"/>
        </w:rPr>
        <w:t>odigliani</w:t>
      </w:r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F.; </w:t>
      </w:r>
      <w:proofErr w:type="spellStart"/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803FA3" w:rsidRPr="0018093E">
        <w:rPr>
          <w:rFonts w:ascii="Times New Roman" w:hAnsi="Times New Roman" w:cs="Times New Roman"/>
          <w:bCs/>
          <w:sz w:val="24"/>
          <w:szCs w:val="24"/>
          <w:lang w:val="en-US"/>
        </w:rPr>
        <w:t>rumberg</w:t>
      </w:r>
      <w:proofErr w:type="spellEnd"/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Richard H. Utility analysis and the consumption function: an interpretation of cross-section data, In: Kenneth K. </w:t>
      </w:r>
      <w:proofErr w:type="spellStart"/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>Kurihara</w:t>
      </w:r>
      <w:proofErr w:type="spellEnd"/>
      <w:r w:rsidRPr="0018093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(ed.) </w:t>
      </w:r>
      <w:proofErr w:type="spellStart"/>
      <w:r w:rsidRPr="00EF0885">
        <w:rPr>
          <w:rFonts w:ascii="Times New Roman" w:hAnsi="Times New Roman" w:cs="Times New Roman"/>
          <w:bCs/>
          <w:i/>
          <w:sz w:val="24"/>
          <w:szCs w:val="24"/>
        </w:rPr>
        <w:t>PostKeynesian</w:t>
      </w:r>
      <w:proofErr w:type="spellEnd"/>
      <w:r w:rsidRPr="00EF088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EF0885">
        <w:rPr>
          <w:rFonts w:ascii="Times New Roman" w:hAnsi="Times New Roman" w:cs="Times New Roman"/>
          <w:bCs/>
          <w:i/>
          <w:sz w:val="24"/>
          <w:szCs w:val="24"/>
        </w:rPr>
        <w:t>Economics</w:t>
      </w:r>
      <w:proofErr w:type="spellEnd"/>
      <w:r w:rsidRPr="00EF0885">
        <w:rPr>
          <w:rFonts w:ascii="Times New Roman" w:hAnsi="Times New Roman" w:cs="Times New Roman"/>
          <w:bCs/>
          <w:sz w:val="24"/>
          <w:szCs w:val="24"/>
        </w:rPr>
        <w:t xml:space="preserve">, New </w:t>
      </w:r>
      <w:proofErr w:type="spellStart"/>
      <w:r w:rsidRPr="00EF0885">
        <w:rPr>
          <w:rFonts w:ascii="Times New Roman" w:hAnsi="Times New Roman" w:cs="Times New Roman"/>
          <w:bCs/>
          <w:sz w:val="24"/>
          <w:szCs w:val="24"/>
        </w:rPr>
        <w:t>Brunswick</w:t>
      </w:r>
      <w:proofErr w:type="spellEnd"/>
      <w:r w:rsidRPr="00EF0885">
        <w:rPr>
          <w:rFonts w:ascii="Times New Roman" w:hAnsi="Times New Roman" w:cs="Times New Roman"/>
          <w:bCs/>
          <w:sz w:val="24"/>
          <w:szCs w:val="24"/>
        </w:rPr>
        <w:t xml:space="preserve">, NJ. </w:t>
      </w:r>
      <w:proofErr w:type="spellStart"/>
      <w:r w:rsidRPr="00EF0885">
        <w:rPr>
          <w:rFonts w:ascii="Times New Roman" w:hAnsi="Times New Roman" w:cs="Times New Roman"/>
          <w:bCs/>
          <w:sz w:val="24"/>
          <w:szCs w:val="24"/>
        </w:rPr>
        <w:t>Rutgers</w:t>
      </w:r>
      <w:proofErr w:type="spellEnd"/>
      <w:r w:rsidRPr="00EF08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F0885">
        <w:rPr>
          <w:rFonts w:ascii="Times New Roman" w:hAnsi="Times New Roman" w:cs="Times New Roman"/>
          <w:bCs/>
          <w:sz w:val="24"/>
          <w:szCs w:val="24"/>
        </w:rPr>
        <w:t>University</w:t>
      </w:r>
      <w:proofErr w:type="spellEnd"/>
      <w:r w:rsidRPr="00EF0885">
        <w:rPr>
          <w:rFonts w:ascii="Times New Roman" w:hAnsi="Times New Roman" w:cs="Times New Roman"/>
          <w:bCs/>
          <w:sz w:val="24"/>
          <w:szCs w:val="24"/>
        </w:rPr>
        <w:t xml:space="preserve"> Press, 1954.</w:t>
      </w:r>
    </w:p>
    <w:p w:rsidR="0027260B" w:rsidRPr="00EF0885" w:rsidRDefault="0027260B" w:rsidP="0018093E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CD5DC0" w:rsidRDefault="004B2835" w:rsidP="00CD5DC0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4B2835">
        <w:rPr>
          <w:rFonts w:ascii="Times New Roman" w:hAnsi="Times New Roman" w:cs="Times New Roman"/>
          <w:bCs/>
          <w:sz w:val="24"/>
          <w:szCs w:val="24"/>
        </w:rPr>
        <w:t>N</w:t>
      </w:r>
      <w:r w:rsidR="00E80637" w:rsidRPr="004B2835">
        <w:rPr>
          <w:rFonts w:ascii="Times New Roman" w:hAnsi="Times New Roman" w:cs="Times New Roman"/>
          <w:bCs/>
          <w:sz w:val="24"/>
          <w:szCs w:val="24"/>
        </w:rPr>
        <w:t>eri</w:t>
      </w:r>
      <w:r w:rsidRPr="004B2835">
        <w:rPr>
          <w:rFonts w:ascii="Times New Roman" w:hAnsi="Times New Roman" w:cs="Times New Roman"/>
          <w:bCs/>
          <w:sz w:val="24"/>
          <w:szCs w:val="24"/>
        </w:rPr>
        <w:t>, M</w:t>
      </w:r>
      <w:r w:rsidR="0027260B">
        <w:rPr>
          <w:rFonts w:ascii="Times New Roman" w:hAnsi="Times New Roman" w:cs="Times New Roman"/>
          <w:bCs/>
          <w:sz w:val="24"/>
          <w:szCs w:val="24"/>
        </w:rPr>
        <w:t>. C.</w:t>
      </w:r>
      <w:r w:rsidRPr="004B2835">
        <w:rPr>
          <w:rFonts w:ascii="Times New Roman" w:hAnsi="Times New Roman" w:cs="Times New Roman"/>
          <w:bCs/>
          <w:sz w:val="24"/>
          <w:szCs w:val="24"/>
        </w:rPr>
        <w:t>; C</w:t>
      </w:r>
      <w:r w:rsidR="00E80637" w:rsidRPr="004B2835">
        <w:rPr>
          <w:rFonts w:ascii="Times New Roman" w:hAnsi="Times New Roman" w:cs="Times New Roman"/>
          <w:bCs/>
          <w:sz w:val="24"/>
          <w:szCs w:val="24"/>
        </w:rPr>
        <w:t>arvalho</w:t>
      </w:r>
      <w:r w:rsidRPr="004B2835">
        <w:rPr>
          <w:rFonts w:ascii="Times New Roman" w:hAnsi="Times New Roman" w:cs="Times New Roman"/>
          <w:bCs/>
          <w:sz w:val="24"/>
          <w:szCs w:val="24"/>
        </w:rPr>
        <w:t>, K; N</w:t>
      </w:r>
      <w:r w:rsidR="00E80637" w:rsidRPr="004B2835">
        <w:rPr>
          <w:rFonts w:ascii="Times New Roman" w:hAnsi="Times New Roman" w:cs="Times New Roman"/>
          <w:bCs/>
          <w:sz w:val="24"/>
          <w:szCs w:val="24"/>
        </w:rPr>
        <w:t>ascimento</w:t>
      </w:r>
      <w:r w:rsidRPr="004B2835">
        <w:rPr>
          <w:rFonts w:ascii="Times New Roman" w:hAnsi="Times New Roman" w:cs="Times New Roman"/>
          <w:bCs/>
          <w:sz w:val="24"/>
          <w:szCs w:val="24"/>
        </w:rPr>
        <w:t>, M.</w:t>
      </w:r>
      <w:r>
        <w:rPr>
          <w:rFonts w:ascii="Times New Roman" w:hAnsi="Times New Roman" w:cs="Times New Roman"/>
          <w:bCs/>
          <w:sz w:val="24"/>
          <w:szCs w:val="24"/>
        </w:rPr>
        <w:t xml:space="preserve"> Ciclo de Vida e</w:t>
      </w:r>
      <w:r w:rsidR="00CD5DC0">
        <w:rPr>
          <w:rFonts w:ascii="Times New Roman" w:hAnsi="Times New Roman" w:cs="Times New Roman"/>
          <w:bCs/>
          <w:sz w:val="24"/>
          <w:szCs w:val="24"/>
        </w:rPr>
        <w:t xml:space="preserve"> Motivações Financeiras (com especial atenção aos idosos brasileiros). Brasília DF: IPEA, 1999. 21</w:t>
      </w:r>
      <w:r w:rsidR="00CD5DC0" w:rsidRPr="00CD5D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5DC0">
        <w:rPr>
          <w:rFonts w:ascii="Times New Roman" w:hAnsi="Times New Roman" w:cs="Times New Roman"/>
          <w:bCs/>
          <w:sz w:val="24"/>
          <w:szCs w:val="24"/>
        </w:rPr>
        <w:t>p. (Texto para discussão nº 691</w:t>
      </w:r>
      <w:r w:rsidR="00CD5DC0" w:rsidRPr="00CD5DC0">
        <w:rPr>
          <w:rFonts w:ascii="Times New Roman" w:hAnsi="Times New Roman" w:cs="Times New Roman"/>
          <w:bCs/>
          <w:sz w:val="24"/>
          <w:szCs w:val="24"/>
        </w:rPr>
        <w:t>)</w:t>
      </w:r>
      <w:r w:rsidR="00CD5DC0">
        <w:rPr>
          <w:rFonts w:ascii="Times New Roman" w:hAnsi="Times New Roman" w:cs="Times New Roman"/>
          <w:bCs/>
          <w:sz w:val="24"/>
          <w:szCs w:val="24"/>
        </w:rPr>
        <w:t>, 1999</w:t>
      </w:r>
      <w:r w:rsidR="00CD5DC0" w:rsidRPr="00CD5DC0">
        <w:rPr>
          <w:rFonts w:ascii="Times New Roman" w:hAnsi="Times New Roman" w:cs="Times New Roman"/>
          <w:bCs/>
          <w:sz w:val="24"/>
          <w:szCs w:val="24"/>
        </w:rPr>
        <w:t>.</w:t>
      </w:r>
    </w:p>
    <w:p w:rsidR="00CD5DC0" w:rsidRDefault="00CD5DC0" w:rsidP="00CD5DC0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4765BF" w:rsidRDefault="00CD5DC0" w:rsidP="004765BF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Neri, M. </w:t>
      </w:r>
      <w:r w:rsidR="0027260B">
        <w:rPr>
          <w:rFonts w:ascii="Times New Roman" w:hAnsi="Times New Roman" w:cs="Times New Roman"/>
          <w:bCs/>
          <w:sz w:val="24"/>
          <w:szCs w:val="24"/>
        </w:rPr>
        <w:t>C. Renda, Consumo e Aposentadoria: evidências, atitudes e percepções. Rio de janeiro RJ: FGV</w:t>
      </w:r>
      <w:r w:rsidR="004765BF">
        <w:rPr>
          <w:rFonts w:ascii="Times New Roman" w:hAnsi="Times New Roman" w:cs="Times New Roman"/>
          <w:bCs/>
          <w:sz w:val="24"/>
          <w:szCs w:val="24"/>
        </w:rPr>
        <w:t>, 2007, 27</w:t>
      </w:r>
      <w:r w:rsidR="004765BF" w:rsidRPr="00CD5D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65BF">
        <w:rPr>
          <w:rFonts w:ascii="Times New Roman" w:hAnsi="Times New Roman" w:cs="Times New Roman"/>
          <w:bCs/>
          <w:sz w:val="24"/>
          <w:szCs w:val="24"/>
        </w:rPr>
        <w:t>p. (Texto para discussão nº 663</w:t>
      </w:r>
      <w:r w:rsidR="004765BF" w:rsidRPr="00CD5DC0">
        <w:rPr>
          <w:rFonts w:ascii="Times New Roman" w:hAnsi="Times New Roman" w:cs="Times New Roman"/>
          <w:bCs/>
          <w:sz w:val="24"/>
          <w:szCs w:val="24"/>
        </w:rPr>
        <w:t>)</w:t>
      </w:r>
      <w:r w:rsidR="004765BF">
        <w:rPr>
          <w:rFonts w:ascii="Times New Roman" w:hAnsi="Times New Roman" w:cs="Times New Roman"/>
          <w:bCs/>
          <w:sz w:val="24"/>
          <w:szCs w:val="24"/>
        </w:rPr>
        <w:t>, 2007</w:t>
      </w:r>
      <w:r w:rsidR="004765BF" w:rsidRPr="00CD5DC0">
        <w:rPr>
          <w:rFonts w:ascii="Times New Roman" w:hAnsi="Times New Roman" w:cs="Times New Roman"/>
          <w:bCs/>
          <w:sz w:val="24"/>
          <w:szCs w:val="24"/>
        </w:rPr>
        <w:t>.</w:t>
      </w:r>
    </w:p>
    <w:p w:rsidR="004B2835" w:rsidRPr="004B2835" w:rsidRDefault="004B2835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Pasqualeto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J. C. M. (2015). </w:t>
      </w:r>
      <w:r w:rsidRPr="00803FA3">
        <w:rPr>
          <w:rFonts w:ascii="Times New Roman" w:hAnsi="Times New Roman" w:cs="Times New Roman"/>
          <w:bCs/>
          <w:i/>
          <w:sz w:val="24"/>
          <w:szCs w:val="24"/>
        </w:rPr>
        <w:t>Os Fatores Impactantes dos Custos Administrativos nos Fundos de Pensão Brasileiros</w:t>
      </w:r>
      <w:r w:rsidRPr="00803FA3">
        <w:rPr>
          <w:rFonts w:ascii="Times New Roman" w:hAnsi="Times New Roman" w:cs="Times New Roman"/>
          <w:bCs/>
          <w:sz w:val="24"/>
          <w:szCs w:val="24"/>
        </w:rPr>
        <w:t>. 2015. 79 f. Dissertação (Mestrado em Ciências Contábeis) – Escola de Gestão e Negócios da Universidade do Vale do Rio dos Sinos (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Unisinos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>), São Leopoldo.</w:t>
      </w: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Pasqualeto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J. C. M.; Costa, A. B.;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Etchebest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L. C.; Silva, M. P.; Padilha, R. T. L. (2014). Custos administrativos dos fundos de pensão brasileiros: uma análise entre os patrocínios públicos e privados. </w:t>
      </w:r>
      <w:r w:rsidRPr="00803FA3">
        <w:rPr>
          <w:rFonts w:ascii="Times New Roman" w:hAnsi="Times New Roman" w:cs="Times New Roman"/>
          <w:bCs/>
          <w:i/>
          <w:sz w:val="24"/>
          <w:szCs w:val="24"/>
        </w:rPr>
        <w:t>Revista de Administração e Contabilidade</w:t>
      </w:r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v. 6, n. 3, p. 38-50. </w:t>
      </w: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03FA3" w:rsidRPr="00803FA3" w:rsidRDefault="00803FA3" w:rsidP="00803FA3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03FA3">
        <w:rPr>
          <w:rFonts w:ascii="Times New Roman" w:hAnsi="Times New Roman" w:cs="Times New Roman"/>
          <w:bCs/>
          <w:sz w:val="24"/>
          <w:szCs w:val="24"/>
        </w:rPr>
        <w:t xml:space="preserve">Pereira, C. A. P.;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Niyama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>, J. K</w:t>
      </w:r>
      <w:proofErr w:type="gramStart"/>
      <w:r w:rsidRPr="00803FA3">
        <w:rPr>
          <w:rFonts w:ascii="Times New Roman" w:hAnsi="Times New Roman" w:cs="Times New Roman"/>
          <w:bCs/>
          <w:sz w:val="24"/>
          <w:szCs w:val="24"/>
        </w:rPr>
        <w:t>.;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3FA3">
        <w:rPr>
          <w:rFonts w:ascii="Times New Roman" w:hAnsi="Times New Roman" w:cs="Times New Roman"/>
          <w:bCs/>
          <w:sz w:val="24"/>
          <w:szCs w:val="24"/>
        </w:rPr>
        <w:t>Sallaberry</w:t>
      </w:r>
      <w:proofErr w:type="spell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, J. </w:t>
      </w:r>
      <w:proofErr w:type="gramStart"/>
      <w:r w:rsidRPr="00803FA3">
        <w:rPr>
          <w:rFonts w:ascii="Times New Roman" w:hAnsi="Times New Roman" w:cs="Times New Roman"/>
          <w:bCs/>
          <w:sz w:val="24"/>
          <w:szCs w:val="24"/>
        </w:rPr>
        <w:t>D.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</w:rPr>
        <w:t xml:space="preserve"> (2013). A economia de escala no custo administrativo dos fundos de pensão brasileiros. </w:t>
      </w:r>
      <w:r w:rsidRPr="00803FA3">
        <w:rPr>
          <w:rFonts w:ascii="Times New Roman" w:hAnsi="Times New Roman" w:cs="Times New Roman"/>
          <w:bCs/>
          <w:i/>
          <w:sz w:val="24"/>
          <w:szCs w:val="24"/>
        </w:rPr>
        <w:t>In</w:t>
      </w:r>
      <w:r w:rsidRPr="00803FA3">
        <w:rPr>
          <w:rFonts w:ascii="Times New Roman" w:hAnsi="Times New Roman" w:cs="Times New Roman"/>
          <w:bCs/>
          <w:sz w:val="24"/>
          <w:szCs w:val="24"/>
        </w:rPr>
        <w:t xml:space="preserve">: Congresso Brasileiro de Custos, 2013, Uberlândia. </w:t>
      </w:r>
      <w:proofErr w:type="gramStart"/>
      <w:r w:rsidRPr="00803FA3">
        <w:rPr>
          <w:rFonts w:ascii="Times New Roman" w:hAnsi="Times New Roman" w:cs="Times New Roman"/>
          <w:bCs/>
          <w:i/>
          <w:sz w:val="24"/>
          <w:szCs w:val="24"/>
        </w:rPr>
        <w:t>Anais</w:t>
      </w:r>
      <w:r w:rsidRPr="00803FA3">
        <w:rPr>
          <w:rFonts w:ascii="Times New Roman" w:hAnsi="Times New Roman" w:cs="Times New Roman"/>
          <w:bCs/>
          <w:sz w:val="24"/>
          <w:szCs w:val="24"/>
        </w:rPr>
        <w:t>...</w:t>
      </w:r>
      <w:proofErr w:type="gramEnd"/>
      <w:r w:rsidRPr="00803FA3">
        <w:rPr>
          <w:rFonts w:ascii="Times New Roman" w:hAnsi="Times New Roman" w:cs="Times New Roman"/>
          <w:bCs/>
          <w:sz w:val="24"/>
          <w:szCs w:val="24"/>
        </w:rPr>
        <w:t>Uberlândia: Center Shopping Uberlândia.</w:t>
      </w:r>
    </w:p>
    <w:p w:rsidR="001D399E" w:rsidRPr="00147BD3" w:rsidRDefault="001D399E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0"/>
          <w:szCs w:val="20"/>
        </w:rPr>
      </w:pPr>
    </w:p>
    <w:p w:rsidR="00A0102A" w:rsidRPr="00A0102A" w:rsidRDefault="00A0102A" w:rsidP="00A0102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Superintendência de Seguros P</w:t>
      </w:r>
      <w:r w:rsidRPr="00A0102A">
        <w:rPr>
          <w:rFonts w:ascii="Times New Roman" w:hAnsi="Times New Roman" w:cs="Times New Roman"/>
          <w:bCs/>
          <w:sz w:val="24"/>
          <w:szCs w:val="24"/>
        </w:rPr>
        <w:t xml:space="preserve">rivado </w:t>
      </w:r>
      <w:r>
        <w:rPr>
          <w:rFonts w:ascii="Times New Roman" w:hAnsi="Times New Roman" w:cs="Times New Roman"/>
          <w:bCs/>
          <w:sz w:val="24"/>
          <w:szCs w:val="24"/>
        </w:rPr>
        <w:t>(2017)</w:t>
      </w:r>
      <w:r w:rsidRPr="00A0102A">
        <w:rPr>
          <w:rFonts w:ascii="Times New Roman" w:hAnsi="Times New Roman" w:cs="Times New Roman"/>
          <w:bCs/>
          <w:sz w:val="24"/>
          <w:szCs w:val="24"/>
        </w:rPr>
        <w:t xml:space="preserve">. Disponível em: </w:t>
      </w:r>
      <w:hyperlink r:id="rId22" w:anchor="duvidasfaq" w:history="1">
        <w:r w:rsidRPr="00A0102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http://www.susep.gov.br/menu/informacoes-ao-publico/planos-e-produtos/previdencia-complementar-aberta#duvidasfaq</w:t>
        </w:r>
      </w:hyperlink>
      <w:r w:rsidRPr="00A0102A">
        <w:rPr>
          <w:rFonts w:ascii="Times New Roman" w:hAnsi="Times New Roman" w:cs="Times New Roman"/>
          <w:bCs/>
          <w:sz w:val="24"/>
          <w:szCs w:val="24"/>
        </w:rPr>
        <w:t>. Acesso em: 24 de janeiro de 2017.</w:t>
      </w:r>
    </w:p>
    <w:p w:rsidR="00A0102A" w:rsidRDefault="00A0102A" w:rsidP="00E80637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E80637" w:rsidRPr="00E80637" w:rsidRDefault="00E80637" w:rsidP="00E80637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0637">
        <w:rPr>
          <w:rFonts w:ascii="Times New Roman" w:hAnsi="Times New Roman" w:cs="Times New Roman"/>
          <w:bCs/>
          <w:sz w:val="24"/>
          <w:szCs w:val="24"/>
        </w:rPr>
        <w:t xml:space="preserve">Superintendência Nacional de Previdência Complementar (2017). </w:t>
      </w:r>
      <w:r w:rsidRPr="00E80637">
        <w:rPr>
          <w:rFonts w:ascii="Times New Roman" w:hAnsi="Times New Roman" w:cs="Times New Roman"/>
          <w:bCs/>
          <w:i/>
          <w:sz w:val="24"/>
          <w:szCs w:val="24"/>
        </w:rPr>
        <w:t>Divulgação das Despesas Administrativas do Exercício de 2010 das Entidades Fechadas de Previdência Complementar</w:t>
      </w:r>
      <w:r w:rsidRPr="00E80637">
        <w:rPr>
          <w:rFonts w:ascii="Times New Roman" w:hAnsi="Times New Roman" w:cs="Times New Roman"/>
          <w:bCs/>
          <w:sz w:val="24"/>
          <w:szCs w:val="24"/>
        </w:rPr>
        <w:t xml:space="preserve">. Brasília, DF: PREVIC, 2010. (Série de Estudos, nº 1, nº 3, nº 4, nº 5 e nº 6). Disponível em: </w:t>
      </w:r>
      <w:hyperlink r:id="rId23" w:history="1">
        <w:r w:rsidRPr="00E8063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http://www.previc.gov.br//central-de-conteudos/publicacoes/series-de-estudo/serie-de-estudos-1</w:t>
        </w:r>
      </w:hyperlink>
      <w:r w:rsidRPr="00E8063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Acesso</w:t>
      </w:r>
      <w:proofErr w:type="spellEnd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>em</w:t>
      </w:r>
      <w:proofErr w:type="spellEnd"/>
      <w:r w:rsidRPr="00E806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08 jun. 2017.</w:t>
      </w:r>
      <w:proofErr w:type="gramEnd"/>
    </w:p>
    <w:p w:rsidR="00BB61D5" w:rsidRPr="00532E36" w:rsidRDefault="00BB61D5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61D5" w:rsidRPr="00532E36" w:rsidRDefault="00BB61D5" w:rsidP="008066BA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2D0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03FA3" w:rsidRPr="00A72D08">
        <w:rPr>
          <w:rFonts w:ascii="Times New Roman" w:hAnsi="Times New Roman" w:cs="Times New Roman"/>
          <w:sz w:val="24"/>
          <w:szCs w:val="24"/>
          <w:lang w:val="en-US"/>
        </w:rPr>
        <w:t>arian</w:t>
      </w:r>
      <w:r w:rsidRPr="00A72D08">
        <w:rPr>
          <w:rFonts w:ascii="Times New Roman" w:hAnsi="Times New Roman" w:cs="Times New Roman"/>
          <w:sz w:val="24"/>
          <w:szCs w:val="24"/>
          <w:lang w:val="en-US"/>
        </w:rPr>
        <w:t xml:space="preserve">, H. </w:t>
      </w:r>
      <w:r w:rsidR="001E2F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32E36">
        <w:rPr>
          <w:rFonts w:ascii="Times New Roman" w:hAnsi="Times New Roman" w:cs="Times New Roman"/>
          <w:sz w:val="24"/>
          <w:szCs w:val="24"/>
          <w:lang w:val="en-US"/>
        </w:rPr>
        <w:t>1992</w:t>
      </w:r>
      <w:r w:rsidR="001E2F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32E3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32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2FBA">
        <w:rPr>
          <w:rFonts w:ascii="Times New Roman" w:hAnsi="Times New Roman" w:cs="Times New Roman"/>
          <w:bCs/>
          <w:i/>
          <w:sz w:val="24"/>
          <w:szCs w:val="24"/>
          <w:lang w:val="en-US"/>
        </w:rPr>
        <w:t>Microeconomic analysis</w:t>
      </w:r>
      <w:r w:rsidRPr="00A72D08">
        <w:rPr>
          <w:rFonts w:ascii="Times New Roman" w:hAnsi="Times New Roman" w:cs="Times New Roman"/>
          <w:sz w:val="24"/>
          <w:szCs w:val="24"/>
          <w:lang w:val="en-US"/>
        </w:rPr>
        <w:t xml:space="preserve">. 3rd ed. </w:t>
      </w:r>
      <w:r w:rsidR="00532E36">
        <w:rPr>
          <w:rFonts w:ascii="Times New Roman" w:hAnsi="Times New Roman" w:cs="Times New Roman"/>
          <w:sz w:val="24"/>
          <w:szCs w:val="24"/>
          <w:lang w:val="en-US"/>
        </w:rPr>
        <w:t>W.W. Norton &amp;Company</w:t>
      </w:r>
      <w:r w:rsidR="00173684">
        <w:rPr>
          <w:rFonts w:ascii="Times New Roman" w:hAnsi="Times New Roman" w:cs="Times New Roman"/>
          <w:sz w:val="24"/>
          <w:szCs w:val="24"/>
          <w:lang w:val="en-US"/>
        </w:rPr>
        <w:t>, 563 p.</w:t>
      </w:r>
    </w:p>
    <w:p w:rsidR="00BB61D5" w:rsidRPr="00532E36" w:rsidRDefault="00BB61D5" w:rsidP="008066BA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73867" w:rsidRPr="00532E36" w:rsidRDefault="00E73867" w:rsidP="0080597D">
      <w:pPr>
        <w:spacing w:before="0" w:after="0" w:line="240" w:lineRule="auto"/>
        <w:ind w:left="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E73867" w:rsidRPr="00532E36" w:rsidSect="00EE627A">
      <w:endnotePr>
        <w:numFmt w:val="decimal"/>
      </w:endnotePr>
      <w:type w:val="continuous"/>
      <w:pgSz w:w="11906" w:h="16838" w:code="9"/>
      <w:pgMar w:top="1701" w:right="1134" w:bottom="1134" w:left="1701" w:header="709" w:footer="709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87" w:rsidRDefault="003F0487" w:rsidP="0011747B">
      <w:pPr>
        <w:spacing w:before="0" w:after="0" w:line="240" w:lineRule="auto"/>
      </w:pPr>
      <w:r>
        <w:separator/>
      </w:r>
    </w:p>
  </w:endnote>
  <w:endnote w:type="continuationSeparator" w:id="0">
    <w:p w:rsidR="003F0487" w:rsidRDefault="003F0487" w:rsidP="001174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763791"/>
      <w:docPartObj>
        <w:docPartGallery w:val="Page Numbers (Bottom of Page)"/>
        <w:docPartUnique/>
      </w:docPartObj>
    </w:sdtPr>
    <w:sdtContent>
      <w:p w:rsidR="003F0487" w:rsidRDefault="003F04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A39">
          <w:rPr>
            <w:noProof/>
          </w:rPr>
          <w:t>1</w:t>
        </w:r>
        <w:r>
          <w:fldChar w:fldCharType="end"/>
        </w:r>
      </w:p>
    </w:sdtContent>
  </w:sdt>
  <w:p w:rsidR="003F0487" w:rsidRDefault="003F0487" w:rsidP="00346E15">
    <w:pPr>
      <w:pStyle w:val="Rodap"/>
      <w:jc w:val="center"/>
    </w:pPr>
    <w:r>
      <w:rPr>
        <w:noProof/>
        <w:lang w:eastAsia="pt-BR"/>
      </w:rPr>
      <w:drawing>
        <wp:inline distT="0" distB="0" distL="0" distR="0" wp14:anchorId="1B8EC31E" wp14:editId="4EE00866">
          <wp:extent cx="3334114" cy="701062"/>
          <wp:effectExtent l="0" t="0" r="0" b="3810"/>
          <wp:docPr id="4" name="Imagem 4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0518" cy="704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487" w:rsidRDefault="003F0487">
    <w:pPr>
      <w:pStyle w:val="Rodap"/>
      <w:jc w:val="right"/>
    </w:pPr>
  </w:p>
  <w:p w:rsidR="003F0487" w:rsidRDefault="003F04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87" w:rsidRDefault="003F0487" w:rsidP="0011747B">
      <w:pPr>
        <w:spacing w:before="0" w:after="0" w:line="240" w:lineRule="auto"/>
      </w:pPr>
      <w:r>
        <w:separator/>
      </w:r>
    </w:p>
  </w:footnote>
  <w:footnote w:type="continuationSeparator" w:id="0">
    <w:p w:rsidR="003F0487" w:rsidRDefault="003F0487" w:rsidP="001174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487" w:rsidRDefault="003F0487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044657B" wp14:editId="0AF6079D">
          <wp:extent cx="5760085" cy="1040649"/>
          <wp:effectExtent l="0" t="0" r="0" b="7620"/>
          <wp:docPr id="3" name="Imagem 3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040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0487" w:rsidRDefault="003F0487" w:rsidP="003A2C8A">
    <w:pPr>
      <w:pStyle w:val="Cabealho"/>
      <w:tabs>
        <w:tab w:val="clear" w:pos="4252"/>
        <w:tab w:val="left" w:pos="850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487" w:rsidRDefault="003F0487">
    <w:pPr>
      <w:pStyle w:val="Cabealho"/>
      <w:jc w:val="right"/>
    </w:pPr>
  </w:p>
  <w:p w:rsidR="003F0487" w:rsidRDefault="003F048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487" w:rsidRPr="0019571C" w:rsidRDefault="003F0487" w:rsidP="00035C08">
    <w:pPr>
      <w:pStyle w:val="Cabealho"/>
      <w:jc w:val="center"/>
      <w:rPr>
        <w:rFonts w:ascii="Times New Roman" w:hAnsi="Times New Roman" w:cs="Times New Roman"/>
      </w:rPr>
    </w:pPr>
  </w:p>
  <w:p w:rsidR="003F0487" w:rsidRDefault="003F04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20B"/>
    <w:multiLevelType w:val="hybridMultilevel"/>
    <w:tmpl w:val="98D6CB26"/>
    <w:lvl w:ilvl="0" w:tplc="D0A85BC8">
      <w:start w:val="1"/>
      <w:numFmt w:val="lowerLetter"/>
      <w:lvlText w:val="%1)"/>
      <w:lvlJc w:val="left"/>
      <w:pPr>
        <w:ind w:left="178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">
    <w:nsid w:val="16EA52C5"/>
    <w:multiLevelType w:val="hybridMultilevel"/>
    <w:tmpl w:val="9B601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A08CB"/>
    <w:multiLevelType w:val="hybridMultilevel"/>
    <w:tmpl w:val="DF80B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42D5A"/>
    <w:multiLevelType w:val="hybridMultilevel"/>
    <w:tmpl w:val="BC06E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633F6"/>
    <w:multiLevelType w:val="hybridMultilevel"/>
    <w:tmpl w:val="5686E4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84522"/>
    <w:multiLevelType w:val="hybridMultilevel"/>
    <w:tmpl w:val="327076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C0F30"/>
    <w:multiLevelType w:val="hybridMultilevel"/>
    <w:tmpl w:val="BADC2B4C"/>
    <w:lvl w:ilvl="0" w:tplc="0416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41">
      <o:colormenu v:ext="edit" strokecolor="non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7B"/>
    <w:rsid w:val="00000C36"/>
    <w:rsid w:val="000032DD"/>
    <w:rsid w:val="000038FE"/>
    <w:rsid w:val="000056DE"/>
    <w:rsid w:val="00005E97"/>
    <w:rsid w:val="000103E6"/>
    <w:rsid w:val="00012B2B"/>
    <w:rsid w:val="00016A52"/>
    <w:rsid w:val="000175A3"/>
    <w:rsid w:val="00017B1B"/>
    <w:rsid w:val="00021B9D"/>
    <w:rsid w:val="000225ED"/>
    <w:rsid w:val="00025826"/>
    <w:rsid w:val="000258CA"/>
    <w:rsid w:val="00025E63"/>
    <w:rsid w:val="00026C9B"/>
    <w:rsid w:val="00034368"/>
    <w:rsid w:val="00035C08"/>
    <w:rsid w:val="00037EF9"/>
    <w:rsid w:val="000423A6"/>
    <w:rsid w:val="0004674A"/>
    <w:rsid w:val="00055896"/>
    <w:rsid w:val="0005734A"/>
    <w:rsid w:val="00060822"/>
    <w:rsid w:val="00067D2D"/>
    <w:rsid w:val="00075301"/>
    <w:rsid w:val="00077A6F"/>
    <w:rsid w:val="00077E23"/>
    <w:rsid w:val="00083D31"/>
    <w:rsid w:val="000861E5"/>
    <w:rsid w:val="00086F3A"/>
    <w:rsid w:val="00091A12"/>
    <w:rsid w:val="00094BCC"/>
    <w:rsid w:val="00097211"/>
    <w:rsid w:val="000A0792"/>
    <w:rsid w:val="000A437B"/>
    <w:rsid w:val="000A7272"/>
    <w:rsid w:val="000A7C2D"/>
    <w:rsid w:val="000B0EB3"/>
    <w:rsid w:val="000B1D67"/>
    <w:rsid w:val="000B49C0"/>
    <w:rsid w:val="000C0E02"/>
    <w:rsid w:val="000C36E5"/>
    <w:rsid w:val="000E1DA3"/>
    <w:rsid w:val="000E2EDF"/>
    <w:rsid w:val="000E4499"/>
    <w:rsid w:val="000F6D7E"/>
    <w:rsid w:val="000F7C78"/>
    <w:rsid w:val="00103441"/>
    <w:rsid w:val="00106C1D"/>
    <w:rsid w:val="001107AC"/>
    <w:rsid w:val="00110CE3"/>
    <w:rsid w:val="00110F48"/>
    <w:rsid w:val="00112C7C"/>
    <w:rsid w:val="00113674"/>
    <w:rsid w:val="00116558"/>
    <w:rsid w:val="00116BCE"/>
    <w:rsid w:val="00116FDF"/>
    <w:rsid w:val="00117256"/>
    <w:rsid w:val="0011747B"/>
    <w:rsid w:val="001204AB"/>
    <w:rsid w:val="00122874"/>
    <w:rsid w:val="00122E54"/>
    <w:rsid w:val="00125C7A"/>
    <w:rsid w:val="001272B5"/>
    <w:rsid w:val="001311EB"/>
    <w:rsid w:val="00133DF2"/>
    <w:rsid w:val="00135336"/>
    <w:rsid w:val="00135473"/>
    <w:rsid w:val="00135CF4"/>
    <w:rsid w:val="00141242"/>
    <w:rsid w:val="001425D0"/>
    <w:rsid w:val="00146D32"/>
    <w:rsid w:val="00147BD3"/>
    <w:rsid w:val="00162C11"/>
    <w:rsid w:val="00162C32"/>
    <w:rsid w:val="0016380A"/>
    <w:rsid w:val="00166CF4"/>
    <w:rsid w:val="00167CE2"/>
    <w:rsid w:val="00171B60"/>
    <w:rsid w:val="0017279C"/>
    <w:rsid w:val="00173684"/>
    <w:rsid w:val="00175970"/>
    <w:rsid w:val="001778B2"/>
    <w:rsid w:val="00180605"/>
    <w:rsid w:val="0018093E"/>
    <w:rsid w:val="0018150D"/>
    <w:rsid w:val="00190A37"/>
    <w:rsid w:val="0019115B"/>
    <w:rsid w:val="00191ADD"/>
    <w:rsid w:val="00192C02"/>
    <w:rsid w:val="00193207"/>
    <w:rsid w:val="001938CD"/>
    <w:rsid w:val="0019571C"/>
    <w:rsid w:val="001A1CBE"/>
    <w:rsid w:val="001A456B"/>
    <w:rsid w:val="001B5006"/>
    <w:rsid w:val="001C7182"/>
    <w:rsid w:val="001D1C41"/>
    <w:rsid w:val="001D399E"/>
    <w:rsid w:val="001D4E4F"/>
    <w:rsid w:val="001D5DAA"/>
    <w:rsid w:val="001D6D91"/>
    <w:rsid w:val="001E01E3"/>
    <w:rsid w:val="001E2FBA"/>
    <w:rsid w:val="001F044D"/>
    <w:rsid w:val="001F0BB7"/>
    <w:rsid w:val="001F1A8D"/>
    <w:rsid w:val="001F1E49"/>
    <w:rsid w:val="001F27C8"/>
    <w:rsid w:val="001F53D1"/>
    <w:rsid w:val="001F64A9"/>
    <w:rsid w:val="00204326"/>
    <w:rsid w:val="002073F0"/>
    <w:rsid w:val="00213D0C"/>
    <w:rsid w:val="00215486"/>
    <w:rsid w:val="00215592"/>
    <w:rsid w:val="00222750"/>
    <w:rsid w:val="00224FAC"/>
    <w:rsid w:val="002263A9"/>
    <w:rsid w:val="00230E61"/>
    <w:rsid w:val="0023298E"/>
    <w:rsid w:val="00232F57"/>
    <w:rsid w:val="00235856"/>
    <w:rsid w:val="00235D34"/>
    <w:rsid w:val="00241328"/>
    <w:rsid w:val="002417AA"/>
    <w:rsid w:val="00241F87"/>
    <w:rsid w:val="002556A5"/>
    <w:rsid w:val="00255C31"/>
    <w:rsid w:val="00256A37"/>
    <w:rsid w:val="002574C6"/>
    <w:rsid w:val="0026202B"/>
    <w:rsid w:val="00264A13"/>
    <w:rsid w:val="00266157"/>
    <w:rsid w:val="002679B2"/>
    <w:rsid w:val="00270182"/>
    <w:rsid w:val="002722F3"/>
    <w:rsid w:val="0027260B"/>
    <w:rsid w:val="00275121"/>
    <w:rsid w:val="00276026"/>
    <w:rsid w:val="002818EF"/>
    <w:rsid w:val="00281D0B"/>
    <w:rsid w:val="00283424"/>
    <w:rsid w:val="0028549B"/>
    <w:rsid w:val="00287A13"/>
    <w:rsid w:val="002934B0"/>
    <w:rsid w:val="00293EC1"/>
    <w:rsid w:val="002A2BE6"/>
    <w:rsid w:val="002A3107"/>
    <w:rsid w:val="002B0E9C"/>
    <w:rsid w:val="002B131C"/>
    <w:rsid w:val="002B22DD"/>
    <w:rsid w:val="002B24D7"/>
    <w:rsid w:val="002B2A5A"/>
    <w:rsid w:val="002B3F78"/>
    <w:rsid w:val="002B74E2"/>
    <w:rsid w:val="002C1070"/>
    <w:rsid w:val="002C18D6"/>
    <w:rsid w:val="002C1D3E"/>
    <w:rsid w:val="002C457A"/>
    <w:rsid w:val="002D225C"/>
    <w:rsid w:val="002D66CC"/>
    <w:rsid w:val="002E0737"/>
    <w:rsid w:val="002E1755"/>
    <w:rsid w:val="002E40A0"/>
    <w:rsid w:val="002E5CC5"/>
    <w:rsid w:val="002E63BC"/>
    <w:rsid w:val="002E7EB9"/>
    <w:rsid w:val="002F1815"/>
    <w:rsid w:val="002F2414"/>
    <w:rsid w:val="002F2966"/>
    <w:rsid w:val="002F3D90"/>
    <w:rsid w:val="002F67D9"/>
    <w:rsid w:val="002F69F2"/>
    <w:rsid w:val="0030174F"/>
    <w:rsid w:val="00313703"/>
    <w:rsid w:val="003151DC"/>
    <w:rsid w:val="00321212"/>
    <w:rsid w:val="0032193A"/>
    <w:rsid w:val="00323319"/>
    <w:rsid w:val="003253B7"/>
    <w:rsid w:val="003271DD"/>
    <w:rsid w:val="003305AB"/>
    <w:rsid w:val="0033160D"/>
    <w:rsid w:val="00331C29"/>
    <w:rsid w:val="00335336"/>
    <w:rsid w:val="00335EAB"/>
    <w:rsid w:val="003413AB"/>
    <w:rsid w:val="00344197"/>
    <w:rsid w:val="00344B3F"/>
    <w:rsid w:val="00346750"/>
    <w:rsid w:val="00346E15"/>
    <w:rsid w:val="00347C6B"/>
    <w:rsid w:val="003534C0"/>
    <w:rsid w:val="003559EC"/>
    <w:rsid w:val="00361BF7"/>
    <w:rsid w:val="00363513"/>
    <w:rsid w:val="0036551B"/>
    <w:rsid w:val="00365D26"/>
    <w:rsid w:val="00367870"/>
    <w:rsid w:val="00370C48"/>
    <w:rsid w:val="003729C5"/>
    <w:rsid w:val="003754BF"/>
    <w:rsid w:val="003758BB"/>
    <w:rsid w:val="00381F0A"/>
    <w:rsid w:val="003863EE"/>
    <w:rsid w:val="00391292"/>
    <w:rsid w:val="0039545C"/>
    <w:rsid w:val="003A1E0E"/>
    <w:rsid w:val="003A2C8A"/>
    <w:rsid w:val="003A696E"/>
    <w:rsid w:val="003B1606"/>
    <w:rsid w:val="003C2C1D"/>
    <w:rsid w:val="003C3CFC"/>
    <w:rsid w:val="003C53DE"/>
    <w:rsid w:val="003C621B"/>
    <w:rsid w:val="003C6D97"/>
    <w:rsid w:val="003D0E4C"/>
    <w:rsid w:val="003D342A"/>
    <w:rsid w:val="003D4F3A"/>
    <w:rsid w:val="003E2FAD"/>
    <w:rsid w:val="003E6B27"/>
    <w:rsid w:val="003E70A9"/>
    <w:rsid w:val="003F0487"/>
    <w:rsid w:val="003F40B4"/>
    <w:rsid w:val="003F68B8"/>
    <w:rsid w:val="00401CB1"/>
    <w:rsid w:val="00401CD8"/>
    <w:rsid w:val="00404394"/>
    <w:rsid w:val="004051EF"/>
    <w:rsid w:val="0041652C"/>
    <w:rsid w:val="0041716D"/>
    <w:rsid w:val="004178D6"/>
    <w:rsid w:val="004236D4"/>
    <w:rsid w:val="0042398D"/>
    <w:rsid w:val="00427433"/>
    <w:rsid w:val="00427AB2"/>
    <w:rsid w:val="0043182D"/>
    <w:rsid w:val="00431BB2"/>
    <w:rsid w:val="00433C4C"/>
    <w:rsid w:val="004377D3"/>
    <w:rsid w:val="004456B0"/>
    <w:rsid w:val="00445F0B"/>
    <w:rsid w:val="004476C5"/>
    <w:rsid w:val="00450826"/>
    <w:rsid w:val="00452643"/>
    <w:rsid w:val="004718E2"/>
    <w:rsid w:val="00472BE0"/>
    <w:rsid w:val="00473017"/>
    <w:rsid w:val="00473E39"/>
    <w:rsid w:val="00475C0F"/>
    <w:rsid w:val="004765BF"/>
    <w:rsid w:val="00481194"/>
    <w:rsid w:val="004829BC"/>
    <w:rsid w:val="00482ADD"/>
    <w:rsid w:val="00486C41"/>
    <w:rsid w:val="00492235"/>
    <w:rsid w:val="00496C44"/>
    <w:rsid w:val="004A479F"/>
    <w:rsid w:val="004A4B24"/>
    <w:rsid w:val="004A4F18"/>
    <w:rsid w:val="004A675E"/>
    <w:rsid w:val="004A6D79"/>
    <w:rsid w:val="004A6E91"/>
    <w:rsid w:val="004B2835"/>
    <w:rsid w:val="004B2A94"/>
    <w:rsid w:val="004B2C14"/>
    <w:rsid w:val="004B5B62"/>
    <w:rsid w:val="004B6D54"/>
    <w:rsid w:val="004C0800"/>
    <w:rsid w:val="004C656F"/>
    <w:rsid w:val="004E7D60"/>
    <w:rsid w:val="004F1C6A"/>
    <w:rsid w:val="004F1C99"/>
    <w:rsid w:val="004F3CEF"/>
    <w:rsid w:val="004F4DF2"/>
    <w:rsid w:val="004F5961"/>
    <w:rsid w:val="004F64C0"/>
    <w:rsid w:val="004F6A7B"/>
    <w:rsid w:val="00500156"/>
    <w:rsid w:val="0050199D"/>
    <w:rsid w:val="00511A24"/>
    <w:rsid w:val="00511FE6"/>
    <w:rsid w:val="00516EEA"/>
    <w:rsid w:val="0052225D"/>
    <w:rsid w:val="0052399B"/>
    <w:rsid w:val="00523D5D"/>
    <w:rsid w:val="0052576E"/>
    <w:rsid w:val="005269FB"/>
    <w:rsid w:val="00532E36"/>
    <w:rsid w:val="00575932"/>
    <w:rsid w:val="00583B72"/>
    <w:rsid w:val="005864B5"/>
    <w:rsid w:val="00586815"/>
    <w:rsid w:val="00591421"/>
    <w:rsid w:val="00592889"/>
    <w:rsid w:val="00595BA1"/>
    <w:rsid w:val="00595D5E"/>
    <w:rsid w:val="005979FB"/>
    <w:rsid w:val="00597D4F"/>
    <w:rsid w:val="005A0873"/>
    <w:rsid w:val="005A143D"/>
    <w:rsid w:val="005A39BA"/>
    <w:rsid w:val="005A3A67"/>
    <w:rsid w:val="005A7D1C"/>
    <w:rsid w:val="005C4D13"/>
    <w:rsid w:val="005C5D09"/>
    <w:rsid w:val="005C6E6B"/>
    <w:rsid w:val="005C7586"/>
    <w:rsid w:val="005D1117"/>
    <w:rsid w:val="005D2483"/>
    <w:rsid w:val="005D51E2"/>
    <w:rsid w:val="005D69C1"/>
    <w:rsid w:val="005E342C"/>
    <w:rsid w:val="005E414E"/>
    <w:rsid w:val="005E4EB6"/>
    <w:rsid w:val="005E64F4"/>
    <w:rsid w:val="005F0A62"/>
    <w:rsid w:val="005F0AF5"/>
    <w:rsid w:val="005F12F9"/>
    <w:rsid w:val="005F63D6"/>
    <w:rsid w:val="005F7998"/>
    <w:rsid w:val="005F79AC"/>
    <w:rsid w:val="006003BA"/>
    <w:rsid w:val="0060102F"/>
    <w:rsid w:val="0060250D"/>
    <w:rsid w:val="0060255A"/>
    <w:rsid w:val="00605E7E"/>
    <w:rsid w:val="0061079C"/>
    <w:rsid w:val="00610F53"/>
    <w:rsid w:val="006113E7"/>
    <w:rsid w:val="00613804"/>
    <w:rsid w:val="00621145"/>
    <w:rsid w:val="00622C15"/>
    <w:rsid w:val="00625478"/>
    <w:rsid w:val="00626901"/>
    <w:rsid w:val="00627871"/>
    <w:rsid w:val="006304A3"/>
    <w:rsid w:val="00636BA3"/>
    <w:rsid w:val="00637529"/>
    <w:rsid w:val="00641AD5"/>
    <w:rsid w:val="0064405E"/>
    <w:rsid w:val="00647A39"/>
    <w:rsid w:val="00653DBA"/>
    <w:rsid w:val="00655CFF"/>
    <w:rsid w:val="00664AA1"/>
    <w:rsid w:val="00667F2B"/>
    <w:rsid w:val="006701E3"/>
    <w:rsid w:val="0067239D"/>
    <w:rsid w:val="00673AC1"/>
    <w:rsid w:val="00684645"/>
    <w:rsid w:val="0069095E"/>
    <w:rsid w:val="00693650"/>
    <w:rsid w:val="00693F1F"/>
    <w:rsid w:val="006955A4"/>
    <w:rsid w:val="00697767"/>
    <w:rsid w:val="006A5420"/>
    <w:rsid w:val="006A6669"/>
    <w:rsid w:val="006A7030"/>
    <w:rsid w:val="006B064F"/>
    <w:rsid w:val="006B12A5"/>
    <w:rsid w:val="006B3A0D"/>
    <w:rsid w:val="006B4BBA"/>
    <w:rsid w:val="006B61E2"/>
    <w:rsid w:val="006C4EC6"/>
    <w:rsid w:val="006D452E"/>
    <w:rsid w:val="006E009E"/>
    <w:rsid w:val="006E2586"/>
    <w:rsid w:val="006F130C"/>
    <w:rsid w:val="006F4340"/>
    <w:rsid w:val="006F5317"/>
    <w:rsid w:val="006F703B"/>
    <w:rsid w:val="007000BA"/>
    <w:rsid w:val="00700AE9"/>
    <w:rsid w:val="0070186D"/>
    <w:rsid w:val="00702D9E"/>
    <w:rsid w:val="00705D87"/>
    <w:rsid w:val="0070648F"/>
    <w:rsid w:val="00707EB5"/>
    <w:rsid w:val="00713DF9"/>
    <w:rsid w:val="0071796A"/>
    <w:rsid w:val="00717BEE"/>
    <w:rsid w:val="00723087"/>
    <w:rsid w:val="007274B6"/>
    <w:rsid w:val="0072788B"/>
    <w:rsid w:val="0073259A"/>
    <w:rsid w:val="00736C17"/>
    <w:rsid w:val="007378FC"/>
    <w:rsid w:val="00740F82"/>
    <w:rsid w:val="007451F1"/>
    <w:rsid w:val="00750588"/>
    <w:rsid w:val="00752C53"/>
    <w:rsid w:val="00755CFD"/>
    <w:rsid w:val="00760398"/>
    <w:rsid w:val="00760A3E"/>
    <w:rsid w:val="00763D21"/>
    <w:rsid w:val="007653C2"/>
    <w:rsid w:val="00771264"/>
    <w:rsid w:val="0077256A"/>
    <w:rsid w:val="00783672"/>
    <w:rsid w:val="007846D9"/>
    <w:rsid w:val="00784A92"/>
    <w:rsid w:val="00791E46"/>
    <w:rsid w:val="007A2721"/>
    <w:rsid w:val="007A71E7"/>
    <w:rsid w:val="007A78B0"/>
    <w:rsid w:val="007C0203"/>
    <w:rsid w:val="007C5A7E"/>
    <w:rsid w:val="007C697A"/>
    <w:rsid w:val="007D2CC8"/>
    <w:rsid w:val="007D2FAE"/>
    <w:rsid w:val="007D3661"/>
    <w:rsid w:val="007D3E8A"/>
    <w:rsid w:val="007D3E9C"/>
    <w:rsid w:val="007E4B6A"/>
    <w:rsid w:val="007F044B"/>
    <w:rsid w:val="007F0F5A"/>
    <w:rsid w:val="00803FA3"/>
    <w:rsid w:val="0080597D"/>
    <w:rsid w:val="008066BA"/>
    <w:rsid w:val="00812788"/>
    <w:rsid w:val="0081285B"/>
    <w:rsid w:val="00816B91"/>
    <w:rsid w:val="00817CB5"/>
    <w:rsid w:val="00821CD7"/>
    <w:rsid w:val="00822263"/>
    <w:rsid w:val="00824858"/>
    <w:rsid w:val="00827F39"/>
    <w:rsid w:val="00833DC6"/>
    <w:rsid w:val="00833F74"/>
    <w:rsid w:val="00834D36"/>
    <w:rsid w:val="008356E1"/>
    <w:rsid w:val="008424D7"/>
    <w:rsid w:val="00843BA6"/>
    <w:rsid w:val="00845BC7"/>
    <w:rsid w:val="00845CCE"/>
    <w:rsid w:val="008460C2"/>
    <w:rsid w:val="00846AFC"/>
    <w:rsid w:val="00846C85"/>
    <w:rsid w:val="00853FE2"/>
    <w:rsid w:val="00853FEB"/>
    <w:rsid w:val="00872E99"/>
    <w:rsid w:val="008743A0"/>
    <w:rsid w:val="00875CD4"/>
    <w:rsid w:val="00877127"/>
    <w:rsid w:val="008836A2"/>
    <w:rsid w:val="0088387E"/>
    <w:rsid w:val="00895ED2"/>
    <w:rsid w:val="008A20CF"/>
    <w:rsid w:val="008A246D"/>
    <w:rsid w:val="008A44D6"/>
    <w:rsid w:val="008B0C24"/>
    <w:rsid w:val="008B202D"/>
    <w:rsid w:val="008B252F"/>
    <w:rsid w:val="008C4771"/>
    <w:rsid w:val="008C4914"/>
    <w:rsid w:val="008C4B47"/>
    <w:rsid w:val="008C6BF9"/>
    <w:rsid w:val="008D1491"/>
    <w:rsid w:val="008D4CCD"/>
    <w:rsid w:val="008D6BA6"/>
    <w:rsid w:val="008D7F51"/>
    <w:rsid w:val="008E2E50"/>
    <w:rsid w:val="008E2FF6"/>
    <w:rsid w:val="008E58FE"/>
    <w:rsid w:val="008E70B1"/>
    <w:rsid w:val="008F0EE6"/>
    <w:rsid w:val="008F5757"/>
    <w:rsid w:val="0090352B"/>
    <w:rsid w:val="00910C9C"/>
    <w:rsid w:val="0091111D"/>
    <w:rsid w:val="00911967"/>
    <w:rsid w:val="00913D5E"/>
    <w:rsid w:val="00916BB1"/>
    <w:rsid w:val="00917843"/>
    <w:rsid w:val="00920015"/>
    <w:rsid w:val="009201A0"/>
    <w:rsid w:val="00921243"/>
    <w:rsid w:val="00922634"/>
    <w:rsid w:val="00926116"/>
    <w:rsid w:val="0092793A"/>
    <w:rsid w:val="00931F5A"/>
    <w:rsid w:val="0093766C"/>
    <w:rsid w:val="00944F85"/>
    <w:rsid w:val="00947CC2"/>
    <w:rsid w:val="00950F7E"/>
    <w:rsid w:val="0095240F"/>
    <w:rsid w:val="00952428"/>
    <w:rsid w:val="0096068C"/>
    <w:rsid w:val="009629A6"/>
    <w:rsid w:val="00962C72"/>
    <w:rsid w:val="0096713C"/>
    <w:rsid w:val="00972641"/>
    <w:rsid w:val="009737F3"/>
    <w:rsid w:val="0098261F"/>
    <w:rsid w:val="00987F6A"/>
    <w:rsid w:val="00991FF8"/>
    <w:rsid w:val="00992473"/>
    <w:rsid w:val="00995E65"/>
    <w:rsid w:val="00997590"/>
    <w:rsid w:val="00997660"/>
    <w:rsid w:val="009A0762"/>
    <w:rsid w:val="009A4ADE"/>
    <w:rsid w:val="009B223F"/>
    <w:rsid w:val="009B2F1B"/>
    <w:rsid w:val="009B532E"/>
    <w:rsid w:val="009B6517"/>
    <w:rsid w:val="009B6780"/>
    <w:rsid w:val="009C0FF8"/>
    <w:rsid w:val="009C189F"/>
    <w:rsid w:val="009C4B6B"/>
    <w:rsid w:val="009C6AFA"/>
    <w:rsid w:val="009C6E01"/>
    <w:rsid w:val="009C749E"/>
    <w:rsid w:val="009C787D"/>
    <w:rsid w:val="009D0358"/>
    <w:rsid w:val="009D23F4"/>
    <w:rsid w:val="009D2E9C"/>
    <w:rsid w:val="009D614B"/>
    <w:rsid w:val="009D7395"/>
    <w:rsid w:val="009D7D13"/>
    <w:rsid w:val="009E1A4C"/>
    <w:rsid w:val="009E3F52"/>
    <w:rsid w:val="009E510C"/>
    <w:rsid w:val="009E7C13"/>
    <w:rsid w:val="009E7EEF"/>
    <w:rsid w:val="009F24FE"/>
    <w:rsid w:val="009F44D0"/>
    <w:rsid w:val="00A0102A"/>
    <w:rsid w:val="00A054D0"/>
    <w:rsid w:val="00A06132"/>
    <w:rsid w:val="00A11A26"/>
    <w:rsid w:val="00A21197"/>
    <w:rsid w:val="00A223D1"/>
    <w:rsid w:val="00A26051"/>
    <w:rsid w:val="00A32F56"/>
    <w:rsid w:val="00A41E36"/>
    <w:rsid w:val="00A4417E"/>
    <w:rsid w:val="00A467B3"/>
    <w:rsid w:val="00A656A4"/>
    <w:rsid w:val="00A66120"/>
    <w:rsid w:val="00A7386D"/>
    <w:rsid w:val="00A76085"/>
    <w:rsid w:val="00A77D10"/>
    <w:rsid w:val="00A82E05"/>
    <w:rsid w:val="00A85070"/>
    <w:rsid w:val="00A863C6"/>
    <w:rsid w:val="00A93B69"/>
    <w:rsid w:val="00AA4EDA"/>
    <w:rsid w:val="00AB013C"/>
    <w:rsid w:val="00AB0990"/>
    <w:rsid w:val="00AC459E"/>
    <w:rsid w:val="00AD5827"/>
    <w:rsid w:val="00AD7DED"/>
    <w:rsid w:val="00AE47F9"/>
    <w:rsid w:val="00B05F7C"/>
    <w:rsid w:val="00B10ADD"/>
    <w:rsid w:val="00B2077E"/>
    <w:rsid w:val="00B2280C"/>
    <w:rsid w:val="00B22A2D"/>
    <w:rsid w:val="00B23688"/>
    <w:rsid w:val="00B267FF"/>
    <w:rsid w:val="00B27507"/>
    <w:rsid w:val="00B321AB"/>
    <w:rsid w:val="00B374A4"/>
    <w:rsid w:val="00B44C02"/>
    <w:rsid w:val="00B45957"/>
    <w:rsid w:val="00B5085F"/>
    <w:rsid w:val="00B50E3A"/>
    <w:rsid w:val="00B5338A"/>
    <w:rsid w:val="00B53471"/>
    <w:rsid w:val="00B5382B"/>
    <w:rsid w:val="00B53C8A"/>
    <w:rsid w:val="00B5463E"/>
    <w:rsid w:val="00B61F3D"/>
    <w:rsid w:val="00B63CCF"/>
    <w:rsid w:val="00B64C7A"/>
    <w:rsid w:val="00B66534"/>
    <w:rsid w:val="00B66928"/>
    <w:rsid w:val="00B671D1"/>
    <w:rsid w:val="00B733D9"/>
    <w:rsid w:val="00B75383"/>
    <w:rsid w:val="00B75644"/>
    <w:rsid w:val="00B814EA"/>
    <w:rsid w:val="00B83198"/>
    <w:rsid w:val="00B84486"/>
    <w:rsid w:val="00B95655"/>
    <w:rsid w:val="00B95C59"/>
    <w:rsid w:val="00B97AC9"/>
    <w:rsid w:val="00BA707E"/>
    <w:rsid w:val="00BA7396"/>
    <w:rsid w:val="00BA7D34"/>
    <w:rsid w:val="00BB0A42"/>
    <w:rsid w:val="00BB3401"/>
    <w:rsid w:val="00BB52C2"/>
    <w:rsid w:val="00BB61D5"/>
    <w:rsid w:val="00BC087E"/>
    <w:rsid w:val="00BC0B82"/>
    <w:rsid w:val="00BC6AA1"/>
    <w:rsid w:val="00BD01E5"/>
    <w:rsid w:val="00BD1016"/>
    <w:rsid w:val="00BD12F4"/>
    <w:rsid w:val="00BD72CE"/>
    <w:rsid w:val="00BE4C4D"/>
    <w:rsid w:val="00BF1378"/>
    <w:rsid w:val="00BF194A"/>
    <w:rsid w:val="00BF302B"/>
    <w:rsid w:val="00BF74CB"/>
    <w:rsid w:val="00C0787E"/>
    <w:rsid w:val="00C11DCF"/>
    <w:rsid w:val="00C15057"/>
    <w:rsid w:val="00C15132"/>
    <w:rsid w:val="00C151E3"/>
    <w:rsid w:val="00C15D15"/>
    <w:rsid w:val="00C179A0"/>
    <w:rsid w:val="00C25814"/>
    <w:rsid w:val="00C25E5D"/>
    <w:rsid w:val="00C27FC3"/>
    <w:rsid w:val="00C3476E"/>
    <w:rsid w:val="00C46DC5"/>
    <w:rsid w:val="00C55718"/>
    <w:rsid w:val="00C56E1B"/>
    <w:rsid w:val="00C636A8"/>
    <w:rsid w:val="00C70CB1"/>
    <w:rsid w:val="00C72F53"/>
    <w:rsid w:val="00C73AE8"/>
    <w:rsid w:val="00C76C6B"/>
    <w:rsid w:val="00C802D3"/>
    <w:rsid w:val="00C84263"/>
    <w:rsid w:val="00C846A1"/>
    <w:rsid w:val="00C873BD"/>
    <w:rsid w:val="00C926CD"/>
    <w:rsid w:val="00C94B38"/>
    <w:rsid w:val="00C95BEA"/>
    <w:rsid w:val="00C967AD"/>
    <w:rsid w:val="00C97518"/>
    <w:rsid w:val="00C97647"/>
    <w:rsid w:val="00CA2AE2"/>
    <w:rsid w:val="00CA40A0"/>
    <w:rsid w:val="00CA474E"/>
    <w:rsid w:val="00CB07EA"/>
    <w:rsid w:val="00CB1359"/>
    <w:rsid w:val="00CB2AE2"/>
    <w:rsid w:val="00CB49C3"/>
    <w:rsid w:val="00CB5E37"/>
    <w:rsid w:val="00CC1489"/>
    <w:rsid w:val="00CC3830"/>
    <w:rsid w:val="00CC4285"/>
    <w:rsid w:val="00CC7EEB"/>
    <w:rsid w:val="00CD1B81"/>
    <w:rsid w:val="00CD3DEF"/>
    <w:rsid w:val="00CD512B"/>
    <w:rsid w:val="00CD5DC0"/>
    <w:rsid w:val="00CD6BDB"/>
    <w:rsid w:val="00CE0680"/>
    <w:rsid w:val="00CE1B4F"/>
    <w:rsid w:val="00CF2616"/>
    <w:rsid w:val="00CF3C05"/>
    <w:rsid w:val="00CF6441"/>
    <w:rsid w:val="00CF67C7"/>
    <w:rsid w:val="00D02D0F"/>
    <w:rsid w:val="00D0395B"/>
    <w:rsid w:val="00D076BB"/>
    <w:rsid w:val="00D076EE"/>
    <w:rsid w:val="00D12EED"/>
    <w:rsid w:val="00D138C3"/>
    <w:rsid w:val="00D23FEF"/>
    <w:rsid w:val="00D243A5"/>
    <w:rsid w:val="00D25D09"/>
    <w:rsid w:val="00D2767B"/>
    <w:rsid w:val="00D311BC"/>
    <w:rsid w:val="00D325E2"/>
    <w:rsid w:val="00D341B0"/>
    <w:rsid w:val="00D34D20"/>
    <w:rsid w:val="00D3729F"/>
    <w:rsid w:val="00D430FE"/>
    <w:rsid w:val="00D4464F"/>
    <w:rsid w:val="00D44D15"/>
    <w:rsid w:val="00D51FF8"/>
    <w:rsid w:val="00D54269"/>
    <w:rsid w:val="00D542F5"/>
    <w:rsid w:val="00D552EC"/>
    <w:rsid w:val="00D560A8"/>
    <w:rsid w:val="00D5741F"/>
    <w:rsid w:val="00D616D5"/>
    <w:rsid w:val="00D6269D"/>
    <w:rsid w:val="00D64EE4"/>
    <w:rsid w:val="00D67840"/>
    <w:rsid w:val="00D72697"/>
    <w:rsid w:val="00D74094"/>
    <w:rsid w:val="00D74ACA"/>
    <w:rsid w:val="00D75417"/>
    <w:rsid w:val="00D8280C"/>
    <w:rsid w:val="00D82A01"/>
    <w:rsid w:val="00D85135"/>
    <w:rsid w:val="00D9325C"/>
    <w:rsid w:val="00D96875"/>
    <w:rsid w:val="00D97593"/>
    <w:rsid w:val="00DA2CAB"/>
    <w:rsid w:val="00DA4FF7"/>
    <w:rsid w:val="00DA6387"/>
    <w:rsid w:val="00DB0650"/>
    <w:rsid w:val="00DB0949"/>
    <w:rsid w:val="00DB41C0"/>
    <w:rsid w:val="00DC007E"/>
    <w:rsid w:val="00DC0415"/>
    <w:rsid w:val="00DC3032"/>
    <w:rsid w:val="00DC3861"/>
    <w:rsid w:val="00DC56FD"/>
    <w:rsid w:val="00DD7B80"/>
    <w:rsid w:val="00DF063B"/>
    <w:rsid w:val="00DF1C0D"/>
    <w:rsid w:val="00DF2910"/>
    <w:rsid w:val="00DF2994"/>
    <w:rsid w:val="00DF3BA8"/>
    <w:rsid w:val="00E00449"/>
    <w:rsid w:val="00E0121E"/>
    <w:rsid w:val="00E01657"/>
    <w:rsid w:val="00E01C9D"/>
    <w:rsid w:val="00E10D08"/>
    <w:rsid w:val="00E12796"/>
    <w:rsid w:val="00E12A66"/>
    <w:rsid w:val="00E147F3"/>
    <w:rsid w:val="00E14E01"/>
    <w:rsid w:val="00E155DC"/>
    <w:rsid w:val="00E16BB0"/>
    <w:rsid w:val="00E20248"/>
    <w:rsid w:val="00E238B4"/>
    <w:rsid w:val="00E26191"/>
    <w:rsid w:val="00E274C7"/>
    <w:rsid w:val="00E276C7"/>
    <w:rsid w:val="00E27E1C"/>
    <w:rsid w:val="00E27E60"/>
    <w:rsid w:val="00E35011"/>
    <w:rsid w:val="00E375BB"/>
    <w:rsid w:val="00E43648"/>
    <w:rsid w:val="00E5717B"/>
    <w:rsid w:val="00E73867"/>
    <w:rsid w:val="00E757A5"/>
    <w:rsid w:val="00E80637"/>
    <w:rsid w:val="00E82282"/>
    <w:rsid w:val="00E910EE"/>
    <w:rsid w:val="00E92A34"/>
    <w:rsid w:val="00E95D9C"/>
    <w:rsid w:val="00E96A62"/>
    <w:rsid w:val="00EA0461"/>
    <w:rsid w:val="00EA27FD"/>
    <w:rsid w:val="00EA3018"/>
    <w:rsid w:val="00EB4E28"/>
    <w:rsid w:val="00EC2265"/>
    <w:rsid w:val="00EC5B6D"/>
    <w:rsid w:val="00ED0633"/>
    <w:rsid w:val="00ED3BC4"/>
    <w:rsid w:val="00ED6B19"/>
    <w:rsid w:val="00EE0E74"/>
    <w:rsid w:val="00EE33A0"/>
    <w:rsid w:val="00EE386E"/>
    <w:rsid w:val="00EE626C"/>
    <w:rsid w:val="00EE627A"/>
    <w:rsid w:val="00EE64CA"/>
    <w:rsid w:val="00EE6FC9"/>
    <w:rsid w:val="00EF0885"/>
    <w:rsid w:val="00EF273D"/>
    <w:rsid w:val="00EF668D"/>
    <w:rsid w:val="00EF6AB7"/>
    <w:rsid w:val="00F05783"/>
    <w:rsid w:val="00F067E9"/>
    <w:rsid w:val="00F068E1"/>
    <w:rsid w:val="00F07753"/>
    <w:rsid w:val="00F10029"/>
    <w:rsid w:val="00F10647"/>
    <w:rsid w:val="00F14BEB"/>
    <w:rsid w:val="00F15D67"/>
    <w:rsid w:val="00F210F0"/>
    <w:rsid w:val="00F212B8"/>
    <w:rsid w:val="00F27AE4"/>
    <w:rsid w:val="00F27D89"/>
    <w:rsid w:val="00F330C5"/>
    <w:rsid w:val="00F3388E"/>
    <w:rsid w:val="00F35A96"/>
    <w:rsid w:val="00F36590"/>
    <w:rsid w:val="00F36623"/>
    <w:rsid w:val="00F4120B"/>
    <w:rsid w:val="00F41CB0"/>
    <w:rsid w:val="00F42736"/>
    <w:rsid w:val="00F43AC5"/>
    <w:rsid w:val="00F4539C"/>
    <w:rsid w:val="00F45A9D"/>
    <w:rsid w:val="00F55D31"/>
    <w:rsid w:val="00F56DEA"/>
    <w:rsid w:val="00F64B6E"/>
    <w:rsid w:val="00F65A66"/>
    <w:rsid w:val="00F65BF0"/>
    <w:rsid w:val="00F7237B"/>
    <w:rsid w:val="00F72628"/>
    <w:rsid w:val="00F82332"/>
    <w:rsid w:val="00F837B6"/>
    <w:rsid w:val="00F84936"/>
    <w:rsid w:val="00F90A09"/>
    <w:rsid w:val="00F92FB6"/>
    <w:rsid w:val="00F97D94"/>
    <w:rsid w:val="00FA05FD"/>
    <w:rsid w:val="00FA7251"/>
    <w:rsid w:val="00FA7A61"/>
    <w:rsid w:val="00FB33CA"/>
    <w:rsid w:val="00FB3499"/>
    <w:rsid w:val="00FB79DC"/>
    <w:rsid w:val="00FC0D84"/>
    <w:rsid w:val="00FC409A"/>
    <w:rsid w:val="00FC7F2B"/>
    <w:rsid w:val="00FD0361"/>
    <w:rsid w:val="00FE1F89"/>
    <w:rsid w:val="00FE6847"/>
    <w:rsid w:val="00FF11C8"/>
    <w:rsid w:val="00FF2241"/>
    <w:rsid w:val="00FF26FC"/>
    <w:rsid w:val="00FF5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60" w:after="120" w:line="276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21"/>
  </w:style>
  <w:style w:type="paragraph" w:styleId="Ttulo2">
    <w:name w:val="heading 2"/>
    <w:basedOn w:val="Normal"/>
    <w:link w:val="Ttulo2Char"/>
    <w:uiPriority w:val="9"/>
    <w:qFormat/>
    <w:rsid w:val="00FF26FC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unhideWhenUsed/>
    <w:rsid w:val="0011747B"/>
    <w:pPr>
      <w:spacing w:before="0" w:after="0" w:line="240" w:lineRule="auto"/>
      <w:ind w:left="0" w:firstLine="0"/>
      <w:jc w:val="left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1747B"/>
    <w:rPr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11747B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FF26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FF26FC"/>
    <w:pPr>
      <w:spacing w:before="0" w:after="200"/>
      <w:ind w:left="720" w:firstLine="0"/>
      <w:contextualSpacing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26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6F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F26FC"/>
    <w:pPr>
      <w:spacing w:before="0" w:after="200" w:line="240" w:lineRule="auto"/>
      <w:ind w:left="0" w:firstLine="0"/>
      <w:jc w:val="left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10C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CE3"/>
  </w:style>
  <w:style w:type="paragraph" w:styleId="Rodap">
    <w:name w:val="footer"/>
    <w:basedOn w:val="Normal"/>
    <w:link w:val="RodapChar"/>
    <w:uiPriority w:val="99"/>
    <w:unhideWhenUsed/>
    <w:rsid w:val="00110C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CE3"/>
  </w:style>
  <w:style w:type="character" w:styleId="Hyperlink">
    <w:name w:val="Hyperlink"/>
    <w:basedOn w:val="Fontepargpadro"/>
    <w:uiPriority w:val="99"/>
    <w:unhideWhenUsed/>
    <w:rsid w:val="0080597D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58BB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58BB"/>
    <w:rPr>
      <w:rFonts w:ascii="Consolas" w:hAnsi="Consolas" w:cs="Consolas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65B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5B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5B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5B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5BF0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23A6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23A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23A6"/>
    <w:rPr>
      <w:vertAlign w:val="superscript"/>
    </w:rPr>
  </w:style>
  <w:style w:type="table" w:styleId="Tabelacomgrade">
    <w:name w:val="Table Grid"/>
    <w:basedOn w:val="Tabelanormal"/>
    <w:uiPriority w:val="59"/>
    <w:rsid w:val="00B45957"/>
    <w:pPr>
      <w:spacing w:before="0" w:after="0" w:line="240" w:lineRule="auto"/>
      <w:ind w:left="0"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344B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60" w:after="120" w:line="276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21"/>
  </w:style>
  <w:style w:type="paragraph" w:styleId="Ttulo2">
    <w:name w:val="heading 2"/>
    <w:basedOn w:val="Normal"/>
    <w:link w:val="Ttulo2Char"/>
    <w:uiPriority w:val="9"/>
    <w:qFormat/>
    <w:rsid w:val="00FF26FC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unhideWhenUsed/>
    <w:rsid w:val="0011747B"/>
    <w:pPr>
      <w:spacing w:before="0" w:after="0" w:line="240" w:lineRule="auto"/>
      <w:ind w:left="0" w:firstLine="0"/>
      <w:jc w:val="left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1747B"/>
    <w:rPr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11747B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FF26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FF26FC"/>
    <w:pPr>
      <w:spacing w:before="0" w:after="200"/>
      <w:ind w:left="720" w:firstLine="0"/>
      <w:contextualSpacing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26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6F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F26FC"/>
    <w:pPr>
      <w:spacing w:before="0" w:after="200" w:line="240" w:lineRule="auto"/>
      <w:ind w:left="0" w:firstLine="0"/>
      <w:jc w:val="left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10C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CE3"/>
  </w:style>
  <w:style w:type="paragraph" w:styleId="Rodap">
    <w:name w:val="footer"/>
    <w:basedOn w:val="Normal"/>
    <w:link w:val="RodapChar"/>
    <w:uiPriority w:val="99"/>
    <w:unhideWhenUsed/>
    <w:rsid w:val="00110C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CE3"/>
  </w:style>
  <w:style w:type="character" w:styleId="Hyperlink">
    <w:name w:val="Hyperlink"/>
    <w:basedOn w:val="Fontepargpadro"/>
    <w:uiPriority w:val="99"/>
    <w:unhideWhenUsed/>
    <w:rsid w:val="0080597D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58BB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58BB"/>
    <w:rPr>
      <w:rFonts w:ascii="Consolas" w:hAnsi="Consolas" w:cs="Consolas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65B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5B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5B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5B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5BF0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23A6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23A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23A6"/>
    <w:rPr>
      <w:vertAlign w:val="superscript"/>
    </w:rPr>
  </w:style>
  <w:style w:type="table" w:styleId="Tabelacomgrade">
    <w:name w:val="Table Grid"/>
    <w:basedOn w:val="Tabelanormal"/>
    <w:uiPriority w:val="59"/>
    <w:rsid w:val="00B45957"/>
    <w:pPr>
      <w:spacing w:before="0" w:after="0" w:line="240" w:lineRule="auto"/>
      <w:ind w:left="0"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344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go-galegroup.ez93.periodicos.capes.gov.br/ps/aboutJournal.do?contentModuleId=AONE&amp;resultClickType=AboutThisPublication&amp;actionString=DO_DISPLAY_ABOUT_PAGE&amp;searchType=&amp;docId=GALE%7C0ZFB&amp;userGroupName=capes&amp;inPS=true&amp;rcDocId=GALE%7CA219649562&amp;prodId=AONE&amp;pubDate=12009062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cpc.org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previc.gov.br//central-de-conteudos/publicacoes/series-de-estudo/serie-de-estudos-1" TargetMode="External"/><Relationship Id="rId10" Type="http://schemas.openxmlformats.org/officeDocument/2006/relationships/hyperlink" Target="mailto:adriano@facc.ufrj.br" TargetMode="External"/><Relationship Id="rId19" Type="http://schemas.openxmlformats.org/officeDocument/2006/relationships/hyperlink" Target="http://www.abrapp.org.br/Consolidados/Consolidado%20Estat%C3%ADstico_12.2018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udolphteixeira@gmail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://www.susep.gov.br/menu/informacoes-ao-publico/planos-e-produtos/previdencia-complementar-abert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D6A60-35C2-4289-B229-3D0C0015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6927</Words>
  <Characters>37407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Centrais Elétricas Brasileiras</Company>
  <LinksUpToDate>false</LinksUpToDate>
  <CharactersWithSpaces>44246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rudolph</dc:creator>
  <cp:lastModifiedBy>Rudolph Fabiano Alves Pedroza Teixeira</cp:lastModifiedBy>
  <cp:revision>3</cp:revision>
  <cp:lastPrinted>2019-07-15T16:33:00Z</cp:lastPrinted>
  <dcterms:created xsi:type="dcterms:W3CDTF">2019-07-15T16:36:00Z</dcterms:created>
  <dcterms:modified xsi:type="dcterms:W3CDTF">2019-07-15T16:38:00Z</dcterms:modified>
</cp:coreProperties>
</file>