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91AEE9" w14:textId="77777777" w:rsidR="00A80641" w:rsidRDefault="00A80641" w:rsidP="002826C0">
      <w:pPr>
        <w:jc w:val="center"/>
        <w:rPr>
          <w:b/>
        </w:rPr>
      </w:pPr>
    </w:p>
    <w:p w14:paraId="06EFD639" w14:textId="6413F478" w:rsidR="00025F5C" w:rsidRPr="00025F5C" w:rsidRDefault="009A7A29" w:rsidP="009A7A29">
      <w:pPr>
        <w:ind w:firstLine="0"/>
        <w:jc w:val="center"/>
        <w:rPr>
          <w:b/>
        </w:rPr>
      </w:pPr>
      <w:r w:rsidRPr="009A7A29">
        <w:rPr>
          <w:b/>
        </w:rPr>
        <w:t>Educação financeira: Um estudo do perfil do comport</w:t>
      </w:r>
      <w:r>
        <w:rPr>
          <w:b/>
        </w:rPr>
        <w:t xml:space="preserve">amento financeiro de acadêmicos </w:t>
      </w:r>
      <w:r w:rsidRPr="009A7A29">
        <w:rPr>
          <w:b/>
        </w:rPr>
        <w:t>dos cursos de gestão</w:t>
      </w:r>
      <w:r>
        <w:rPr>
          <w:b/>
        </w:rPr>
        <w:t xml:space="preserve"> </w:t>
      </w:r>
    </w:p>
    <w:p w14:paraId="39F9F750" w14:textId="77777777" w:rsidR="00C271A6" w:rsidRDefault="00025F5C" w:rsidP="00C271A6">
      <w:pPr>
        <w:jc w:val="center"/>
        <w:rPr>
          <w:b/>
          <w:szCs w:val="24"/>
        </w:rPr>
      </w:pPr>
      <w:r w:rsidRPr="006861CD">
        <w:rPr>
          <w:b/>
        </w:rPr>
        <w:t xml:space="preserve"> </w:t>
      </w:r>
    </w:p>
    <w:p w14:paraId="45919127" w14:textId="73FCBA64" w:rsidR="008A1488" w:rsidRDefault="009A7A29" w:rsidP="008A1488">
      <w:pPr>
        <w:jc w:val="right"/>
        <w:rPr>
          <w:b/>
          <w:szCs w:val="24"/>
        </w:rPr>
      </w:pPr>
      <w:bookmarkStart w:id="0" w:name="_GoBack"/>
      <w:r w:rsidRPr="009A7A29">
        <w:rPr>
          <w:b/>
          <w:szCs w:val="24"/>
        </w:rPr>
        <w:t xml:space="preserve">Felipe </w:t>
      </w:r>
      <w:proofErr w:type="spellStart"/>
      <w:r w:rsidRPr="009A7A29">
        <w:rPr>
          <w:b/>
          <w:szCs w:val="24"/>
        </w:rPr>
        <w:t>Muhlhausen</w:t>
      </w:r>
      <w:proofErr w:type="spellEnd"/>
    </w:p>
    <w:p w14:paraId="7C7A5DE1" w14:textId="77777777" w:rsidR="008A1488" w:rsidRDefault="002C2717" w:rsidP="008A1488">
      <w:pPr>
        <w:jc w:val="right"/>
        <w:rPr>
          <w:b/>
          <w:i/>
          <w:szCs w:val="24"/>
        </w:rPr>
      </w:pPr>
      <w:r>
        <w:rPr>
          <w:b/>
          <w:szCs w:val="24"/>
        </w:rPr>
        <w:t>Centro Universitário Estácio de Sá</w:t>
      </w:r>
    </w:p>
    <w:p w14:paraId="7D708356" w14:textId="31B82C54" w:rsidR="008A1488" w:rsidRDefault="008A1488" w:rsidP="008A1488">
      <w:pPr>
        <w:jc w:val="right"/>
        <w:rPr>
          <w:b/>
          <w:szCs w:val="24"/>
        </w:rPr>
      </w:pPr>
      <w:r>
        <w:rPr>
          <w:b/>
          <w:i/>
          <w:szCs w:val="24"/>
        </w:rPr>
        <w:t>E-mail:</w:t>
      </w:r>
      <w:r w:rsidR="0005620A" w:rsidRPr="0005620A">
        <w:rPr>
          <w:rFonts w:ascii="Roboto" w:hAnsi="Roboto"/>
          <w:color w:val="555555"/>
          <w:sz w:val="21"/>
          <w:szCs w:val="21"/>
          <w:shd w:val="clear" w:color="auto" w:fill="FFFFFF"/>
        </w:rPr>
        <w:t xml:space="preserve"> </w:t>
      </w:r>
      <w:r w:rsidR="009A7A29" w:rsidRPr="009A7A29">
        <w:rPr>
          <w:b/>
          <w:i/>
          <w:szCs w:val="24"/>
        </w:rPr>
        <w:t>felipemuhlhausen@outlook.com</w:t>
      </w:r>
    </w:p>
    <w:p w14:paraId="606B6B28" w14:textId="77777777" w:rsidR="008A1488" w:rsidRDefault="008A1488" w:rsidP="008A1488">
      <w:pPr>
        <w:jc w:val="right"/>
        <w:rPr>
          <w:b/>
          <w:szCs w:val="24"/>
        </w:rPr>
      </w:pPr>
    </w:p>
    <w:p w14:paraId="13FAD38C" w14:textId="77777777" w:rsidR="008A1488" w:rsidRDefault="002C2717" w:rsidP="008A1488">
      <w:pPr>
        <w:jc w:val="right"/>
        <w:rPr>
          <w:b/>
          <w:szCs w:val="24"/>
        </w:rPr>
      </w:pPr>
      <w:r>
        <w:rPr>
          <w:b/>
          <w:szCs w:val="24"/>
        </w:rPr>
        <w:t>Igor Pereira da Luz</w:t>
      </w:r>
    </w:p>
    <w:p w14:paraId="1892588F" w14:textId="0440DABC" w:rsidR="002C2717" w:rsidRDefault="002C2717" w:rsidP="002C2717">
      <w:pPr>
        <w:jc w:val="right"/>
        <w:rPr>
          <w:b/>
          <w:szCs w:val="24"/>
        </w:rPr>
      </w:pPr>
      <w:r>
        <w:rPr>
          <w:b/>
          <w:szCs w:val="24"/>
        </w:rPr>
        <w:t>Centro Universitário Estácio de Sá</w:t>
      </w:r>
    </w:p>
    <w:p w14:paraId="652C0AEE" w14:textId="77777777" w:rsidR="00BE4B71" w:rsidRPr="002C2717" w:rsidRDefault="00BE4B71" w:rsidP="00BE4B71">
      <w:pPr>
        <w:jc w:val="right"/>
        <w:rPr>
          <w:b/>
          <w:szCs w:val="24"/>
        </w:rPr>
      </w:pPr>
      <w:r w:rsidRPr="002C2717">
        <w:rPr>
          <w:b/>
          <w:szCs w:val="24"/>
        </w:rPr>
        <w:t>Universidade Federal de Santa Catarina</w:t>
      </w:r>
      <w:r>
        <w:rPr>
          <w:b/>
          <w:szCs w:val="24"/>
        </w:rPr>
        <w:t xml:space="preserve"> (UFSC)</w:t>
      </w:r>
    </w:p>
    <w:p w14:paraId="415C305A" w14:textId="77777777" w:rsidR="008A1488" w:rsidRDefault="008A1488" w:rsidP="008A1488">
      <w:pPr>
        <w:jc w:val="right"/>
        <w:rPr>
          <w:b/>
          <w:i/>
          <w:szCs w:val="24"/>
        </w:rPr>
      </w:pPr>
      <w:r>
        <w:rPr>
          <w:b/>
          <w:i/>
          <w:szCs w:val="24"/>
        </w:rPr>
        <w:t>E-mail:</w:t>
      </w:r>
      <w:r w:rsidR="002C2717">
        <w:rPr>
          <w:b/>
          <w:i/>
          <w:szCs w:val="24"/>
        </w:rPr>
        <w:t xml:space="preserve"> </w:t>
      </w:r>
      <w:r w:rsidR="002C2717" w:rsidRPr="002C2717">
        <w:rPr>
          <w:b/>
          <w:i/>
          <w:szCs w:val="24"/>
        </w:rPr>
        <w:t>i.pereiradaluz@gmail.com</w:t>
      </w:r>
    </w:p>
    <w:p w14:paraId="08B7D4B3" w14:textId="77777777" w:rsidR="002C2717" w:rsidRDefault="002C2717" w:rsidP="008A1488">
      <w:pPr>
        <w:jc w:val="right"/>
        <w:rPr>
          <w:b/>
          <w:i/>
          <w:szCs w:val="24"/>
        </w:rPr>
      </w:pPr>
    </w:p>
    <w:p w14:paraId="0F678F01" w14:textId="68A3F5C6" w:rsidR="002C2717" w:rsidRPr="002C2717" w:rsidRDefault="009A7A29" w:rsidP="008A1488">
      <w:pPr>
        <w:jc w:val="right"/>
        <w:rPr>
          <w:b/>
          <w:szCs w:val="24"/>
        </w:rPr>
      </w:pPr>
      <w:r>
        <w:rPr>
          <w:b/>
          <w:szCs w:val="24"/>
        </w:rPr>
        <w:t>Ronan Reis Marçal</w:t>
      </w:r>
    </w:p>
    <w:p w14:paraId="12E5C0C7" w14:textId="77777777" w:rsidR="002C2717" w:rsidRPr="002C2717" w:rsidRDefault="002C2717" w:rsidP="008A1488">
      <w:pPr>
        <w:jc w:val="right"/>
        <w:rPr>
          <w:b/>
          <w:szCs w:val="24"/>
        </w:rPr>
      </w:pPr>
      <w:r w:rsidRPr="002C2717">
        <w:rPr>
          <w:b/>
          <w:szCs w:val="24"/>
        </w:rPr>
        <w:t>Universidade Federal de Santa Catarina</w:t>
      </w:r>
      <w:r>
        <w:rPr>
          <w:b/>
          <w:szCs w:val="24"/>
        </w:rPr>
        <w:t xml:space="preserve"> (UFSC)</w:t>
      </w:r>
    </w:p>
    <w:p w14:paraId="13215A9A" w14:textId="04D54D0E" w:rsidR="002C2717" w:rsidRDefault="002C2717" w:rsidP="008A1488">
      <w:pPr>
        <w:jc w:val="right"/>
        <w:rPr>
          <w:b/>
          <w:szCs w:val="24"/>
        </w:rPr>
      </w:pPr>
      <w:r>
        <w:rPr>
          <w:b/>
          <w:i/>
          <w:szCs w:val="24"/>
        </w:rPr>
        <w:t xml:space="preserve">E-mail: </w:t>
      </w:r>
      <w:r w:rsidR="009A7A29" w:rsidRPr="009A7A29">
        <w:rPr>
          <w:b/>
          <w:i/>
          <w:szCs w:val="24"/>
        </w:rPr>
        <w:t>m.ronanreis@gmail.com</w:t>
      </w:r>
    </w:p>
    <w:bookmarkEnd w:id="0"/>
    <w:p w14:paraId="019D844A" w14:textId="77777777" w:rsidR="00160E08" w:rsidRDefault="00160E08" w:rsidP="00C271A6">
      <w:pPr>
        <w:jc w:val="center"/>
        <w:rPr>
          <w:b/>
          <w:color w:val="999999"/>
        </w:rPr>
      </w:pPr>
    </w:p>
    <w:p w14:paraId="12E8C328" w14:textId="77777777" w:rsidR="00C271A6" w:rsidRPr="00104279" w:rsidRDefault="00C271A6" w:rsidP="002C2717">
      <w:pPr>
        <w:ind w:firstLine="0"/>
        <w:rPr>
          <w:b/>
          <w:szCs w:val="24"/>
        </w:rPr>
      </w:pPr>
      <w:r w:rsidRPr="00104279">
        <w:rPr>
          <w:b/>
          <w:szCs w:val="24"/>
        </w:rPr>
        <w:t xml:space="preserve">Resumo </w:t>
      </w:r>
    </w:p>
    <w:p w14:paraId="726A2F7B" w14:textId="59335114" w:rsidR="009A7A29" w:rsidRDefault="009A7A29" w:rsidP="009A7A29">
      <w:pPr>
        <w:pStyle w:val="PargrafodaLista"/>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Este estudo teve como objetivo analisar se os alunos do curso de gestão tem uma melhor educação financeira que os alunos dos demais cursos. Para tal, foi aplicado presencialmente um questionário com discentes regularmente matriculados em uma universidade particular do estado de Santa Catarina. Diante de 550 respostas válidas, a análise de regressão permitiu inferir que alunos pertencentes ao grupo de cursos de gestão (administração e ciências contábeis) tendem a ser mais educados financeiramente</w:t>
      </w:r>
      <w:r w:rsidR="00905C69">
        <w:rPr>
          <w:rFonts w:ascii="Times New Roman" w:hAnsi="Times New Roman" w:cs="Times New Roman"/>
          <w:sz w:val="24"/>
          <w:szCs w:val="24"/>
        </w:rPr>
        <w:t xml:space="preserve"> </w:t>
      </w:r>
      <w:r w:rsidR="00905C69" w:rsidRPr="00905C69">
        <w:rPr>
          <w:rFonts w:ascii="Times New Roman" w:hAnsi="Times New Roman" w:cs="Times New Roman"/>
          <w:sz w:val="24"/>
          <w:szCs w:val="24"/>
        </w:rPr>
        <w:t>que os alunos dos demais cursos</w:t>
      </w:r>
      <w:r>
        <w:rPr>
          <w:rFonts w:ascii="Times New Roman" w:hAnsi="Times New Roman" w:cs="Times New Roman"/>
          <w:sz w:val="24"/>
          <w:szCs w:val="24"/>
        </w:rPr>
        <w:t>, conforme esperado. Contudo, foi destacado perante a estatística descritiva da pesquisa que discentes dos cursos de gestão apresentam mais características de endividamento quando comparados aos demais. Esse estudo confirma a tendência de que o contato com conceitos acerca de finanças pessoais favorece a educação financeira do indivíduo, portanto, os resultados reforçam a necessidade da ampliação de estudos desse âmbito em todos as esferas de ensino, especialmente considerando a deficiência em termos de educação financeira do cidadão brasileiro médio, conforme reportado por algumas pesquisas.</w:t>
      </w:r>
    </w:p>
    <w:p w14:paraId="1C4876AD" w14:textId="77777777" w:rsidR="009A7A29" w:rsidRDefault="009A7A29" w:rsidP="009A7A29">
      <w:pPr>
        <w:ind w:firstLine="0"/>
        <w:rPr>
          <w:b/>
          <w:szCs w:val="24"/>
        </w:rPr>
      </w:pPr>
    </w:p>
    <w:p w14:paraId="0EF6C091" w14:textId="77777777" w:rsidR="009A7A29" w:rsidRPr="009A7A29" w:rsidRDefault="009A7A29" w:rsidP="009A7A29">
      <w:pPr>
        <w:ind w:firstLine="0"/>
        <w:rPr>
          <w:szCs w:val="24"/>
        </w:rPr>
      </w:pPr>
      <w:r w:rsidRPr="009A7A29">
        <w:rPr>
          <w:b/>
          <w:szCs w:val="24"/>
        </w:rPr>
        <w:t>Palavras-chaves:</w:t>
      </w:r>
      <w:r w:rsidRPr="009A7A29">
        <w:rPr>
          <w:szCs w:val="24"/>
        </w:rPr>
        <w:t xml:space="preserve"> Educação financeira. Comportamento financeiro. Planejamento financeiro.</w:t>
      </w:r>
    </w:p>
    <w:p w14:paraId="069398D2" w14:textId="01B1C7BE" w:rsidR="0005620A" w:rsidRPr="001B6C6C" w:rsidRDefault="009A7A29" w:rsidP="009A7A29">
      <w:pPr>
        <w:ind w:firstLine="0"/>
        <w:rPr>
          <w:szCs w:val="24"/>
        </w:rPr>
      </w:pPr>
      <w:r w:rsidRPr="009A7A29">
        <w:rPr>
          <w:szCs w:val="24"/>
        </w:rPr>
        <w:t>Cursos de Gestão.</w:t>
      </w:r>
      <w:r>
        <w:rPr>
          <w:szCs w:val="24"/>
        </w:rPr>
        <w:t xml:space="preserve"> </w:t>
      </w:r>
    </w:p>
    <w:p w14:paraId="14121C87" w14:textId="77777777" w:rsidR="002C2717" w:rsidRPr="004D0CC3" w:rsidRDefault="002C2717" w:rsidP="00C271A6">
      <w:pPr>
        <w:rPr>
          <w:b/>
          <w:szCs w:val="24"/>
        </w:rPr>
      </w:pPr>
    </w:p>
    <w:p w14:paraId="00AA2FA0" w14:textId="5069A611" w:rsidR="004F4410" w:rsidRPr="004D0CC3" w:rsidRDefault="00C271A6" w:rsidP="004F4410">
      <w:pPr>
        <w:shd w:val="clear" w:color="auto" w:fill="FFFFFF"/>
        <w:ind w:firstLine="0"/>
        <w:rPr>
          <w:szCs w:val="24"/>
        </w:rPr>
      </w:pPr>
      <w:r w:rsidRPr="004D0CC3">
        <w:rPr>
          <w:b/>
          <w:szCs w:val="24"/>
        </w:rPr>
        <w:t xml:space="preserve">Linha Temática: </w:t>
      </w:r>
      <w:r w:rsidR="009A7A29">
        <w:rPr>
          <w:szCs w:val="24"/>
        </w:rPr>
        <w:t>Ensino em Contabilidade</w:t>
      </w:r>
      <w:r w:rsidR="004F4410" w:rsidRPr="004D0CC3">
        <w:rPr>
          <w:szCs w:val="24"/>
        </w:rPr>
        <w:t xml:space="preserve"> - </w:t>
      </w:r>
      <w:r w:rsidR="009A7A29" w:rsidRPr="009A7A29">
        <w:rPr>
          <w:szCs w:val="24"/>
        </w:rPr>
        <w:t>Tecnologias e técnicas de ensino, abordagens normativa, positiva, axiomática, semiótica e histórica</w:t>
      </w:r>
    </w:p>
    <w:p w14:paraId="7182B4ED" w14:textId="22FD9C99" w:rsidR="009A7A29" w:rsidRDefault="009A7A29">
      <w:pPr>
        <w:widowControl/>
        <w:suppressLineNumbers w:val="0"/>
        <w:suppressAutoHyphens w:val="0"/>
        <w:ind w:firstLine="0"/>
        <w:jc w:val="left"/>
        <w:rPr>
          <w:rFonts w:ascii="Verdana" w:hAnsi="Verdana"/>
          <w:color w:val="000000"/>
          <w:sz w:val="17"/>
          <w:szCs w:val="17"/>
        </w:rPr>
      </w:pPr>
      <w:r>
        <w:rPr>
          <w:rFonts w:ascii="Verdana" w:hAnsi="Verdana"/>
          <w:color w:val="000000"/>
          <w:sz w:val="17"/>
          <w:szCs w:val="17"/>
        </w:rPr>
        <w:br w:type="page"/>
      </w:r>
    </w:p>
    <w:p w14:paraId="752ED35C" w14:textId="5962E68C" w:rsidR="00C271A6" w:rsidRPr="004D0CC3" w:rsidRDefault="00C271A6" w:rsidP="00307F77">
      <w:pPr>
        <w:ind w:firstLine="0"/>
        <w:rPr>
          <w:b/>
          <w:szCs w:val="24"/>
        </w:rPr>
      </w:pPr>
      <w:r w:rsidRPr="004D0CC3">
        <w:rPr>
          <w:b/>
          <w:szCs w:val="24"/>
        </w:rPr>
        <w:lastRenderedPageBreak/>
        <w:t>1 Introdução</w:t>
      </w:r>
    </w:p>
    <w:p w14:paraId="424D9130" w14:textId="77777777" w:rsidR="00B6148C" w:rsidRPr="00D06F33" w:rsidRDefault="00B6148C" w:rsidP="00B6148C">
      <w:pPr>
        <w:pStyle w:val="PargrafodaLista"/>
        <w:spacing w:after="0" w:line="240" w:lineRule="auto"/>
        <w:ind w:left="0" w:firstLine="709"/>
        <w:jc w:val="both"/>
        <w:rPr>
          <w:rFonts w:ascii="Times New Roman" w:hAnsi="Times New Roman" w:cs="Times New Roman"/>
          <w:b/>
          <w:sz w:val="24"/>
          <w:szCs w:val="24"/>
        </w:rPr>
      </w:pPr>
      <w:r>
        <w:rPr>
          <w:rFonts w:ascii="Times New Roman" w:hAnsi="Times New Roman" w:cs="Times New Roman"/>
          <w:sz w:val="24"/>
          <w:szCs w:val="24"/>
        </w:rPr>
        <w:t>De acordo com um</w:t>
      </w:r>
      <w:r w:rsidRPr="00DA6B73">
        <w:rPr>
          <w:rFonts w:ascii="Times New Roman" w:hAnsi="Times New Roman" w:cs="Times New Roman"/>
          <w:sz w:val="24"/>
          <w:szCs w:val="24"/>
        </w:rPr>
        <w:t xml:space="preserve"> levantamento </w:t>
      </w:r>
      <w:r>
        <w:rPr>
          <w:rFonts w:ascii="Times New Roman" w:hAnsi="Times New Roman" w:cs="Times New Roman"/>
          <w:sz w:val="24"/>
          <w:szCs w:val="24"/>
        </w:rPr>
        <w:t>feito pelo</w:t>
      </w:r>
      <w:r w:rsidRPr="00DA6B73">
        <w:rPr>
          <w:rFonts w:ascii="Times New Roman" w:hAnsi="Times New Roman" w:cs="Times New Roman"/>
          <w:sz w:val="24"/>
          <w:szCs w:val="24"/>
        </w:rPr>
        <w:t xml:space="preserve"> Banco Central do Brasil (BCB) (20</w:t>
      </w:r>
      <w:r>
        <w:rPr>
          <w:rFonts w:ascii="Times New Roman" w:hAnsi="Times New Roman" w:cs="Times New Roman"/>
          <w:sz w:val="24"/>
          <w:szCs w:val="24"/>
        </w:rPr>
        <w:t xml:space="preserve">17) com 2.002 pessoas de todas as regiões do país, apenas 31% dos entrevistados </w:t>
      </w:r>
      <w:r w:rsidRPr="00DA6B73">
        <w:rPr>
          <w:rFonts w:ascii="Times New Roman" w:hAnsi="Times New Roman" w:cs="Times New Roman"/>
          <w:sz w:val="24"/>
          <w:szCs w:val="24"/>
        </w:rPr>
        <w:t>conseguiram poupar alguma parte dos seus rendimentos</w:t>
      </w:r>
      <w:r>
        <w:rPr>
          <w:rFonts w:ascii="Times New Roman" w:hAnsi="Times New Roman" w:cs="Times New Roman"/>
          <w:sz w:val="24"/>
          <w:szCs w:val="24"/>
        </w:rPr>
        <w:t xml:space="preserve"> em um intervalo de 12 meses</w:t>
      </w:r>
      <w:r w:rsidRPr="00DA6B73">
        <w:rPr>
          <w:rFonts w:ascii="Times New Roman" w:hAnsi="Times New Roman" w:cs="Times New Roman"/>
          <w:sz w:val="24"/>
          <w:szCs w:val="24"/>
        </w:rPr>
        <w:t xml:space="preserve">. </w:t>
      </w:r>
      <w:r>
        <w:rPr>
          <w:rFonts w:ascii="Times New Roman" w:hAnsi="Times New Roman" w:cs="Times New Roman"/>
          <w:sz w:val="24"/>
          <w:szCs w:val="24"/>
        </w:rPr>
        <w:t xml:space="preserve">Em uma pesquisa similar realizada pela </w:t>
      </w:r>
      <w:r w:rsidRPr="00A74C0F">
        <w:rPr>
          <w:rFonts w:ascii="Times New Roman" w:hAnsi="Times New Roman" w:cs="Times New Roman"/>
          <w:sz w:val="24"/>
          <w:szCs w:val="24"/>
        </w:rPr>
        <w:t>Associação Brasileira das Entidades dos Mercados Financeiro e de Capitais</w:t>
      </w:r>
      <w:r>
        <w:rPr>
          <w:rFonts w:ascii="Times New Roman" w:hAnsi="Times New Roman" w:cs="Times New Roman"/>
          <w:sz w:val="24"/>
          <w:szCs w:val="24"/>
        </w:rPr>
        <w:t xml:space="preserve"> (ANBIMA) (2017), foi revelado que 57% da população das classes A, B e C não investe em nenhum tipo de aplicação, nem mesmo na poupança. Com base nesses recentes estudos, se verifica que a falta de educação financeira atinge todas as classes sociais.</w:t>
      </w:r>
    </w:p>
    <w:p w14:paraId="34C7BAE6" w14:textId="4DEBBE82" w:rsidR="00B6148C" w:rsidRPr="00CB21ED" w:rsidRDefault="00B6148C" w:rsidP="00B6148C">
      <w:pPr>
        <w:pStyle w:val="PargrafodaLista"/>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Destaca-se que a complexidade do sistema financeiro brasileiro, aliada à falta de investimentos das autoridades no que tange à educação financeira, resulta em uma população despreparada para tomar decisões sobre como utilizar seus próprios recursos (Savoia, Saito &amp;</w:t>
      </w:r>
      <w:r w:rsidRPr="0065235F">
        <w:rPr>
          <w:rFonts w:ascii="Times New Roman" w:hAnsi="Times New Roman" w:cs="Times New Roman"/>
          <w:sz w:val="24"/>
          <w:szCs w:val="24"/>
        </w:rPr>
        <w:t xml:space="preserve"> Santana, 2007). </w:t>
      </w:r>
      <w:r>
        <w:rPr>
          <w:rFonts w:ascii="Times New Roman" w:hAnsi="Times New Roman" w:cs="Times New Roman"/>
          <w:sz w:val="24"/>
          <w:szCs w:val="24"/>
        </w:rPr>
        <w:t xml:space="preserve">Nos </w:t>
      </w:r>
      <w:r w:rsidRPr="00CB21ED">
        <w:rPr>
          <w:rFonts w:ascii="Times New Roman" w:hAnsi="Times New Roman" w:cs="Times New Roman"/>
          <w:sz w:val="24"/>
          <w:szCs w:val="24"/>
        </w:rPr>
        <w:t>últimos anos, o consumo desenfreado vem trazendo diversos problemas – a exemplo da inadimplência do cidadão brasileiro médio – levantando uma reflexão sobre o uso consciente do dinheiro (</w:t>
      </w:r>
      <w:r w:rsidR="00CB21ED" w:rsidRPr="00CB21ED">
        <w:rPr>
          <w:rFonts w:ascii="Times New Roman" w:hAnsi="Times New Roman" w:cs="Times New Roman"/>
          <w:sz w:val="24"/>
          <w:szCs w:val="24"/>
          <w:shd w:val="clear" w:color="auto" w:fill="FFFFFF"/>
        </w:rPr>
        <w:t xml:space="preserve">Andrade </w:t>
      </w:r>
      <w:r w:rsidR="00CB21ED" w:rsidRPr="00CB21ED">
        <w:rPr>
          <w:rFonts w:ascii="Times New Roman" w:hAnsi="Times New Roman" w:cs="Times New Roman"/>
          <w:sz w:val="24"/>
          <w:szCs w:val="24"/>
          <w:shd w:val="clear" w:color="auto" w:fill="FFFFFF"/>
        </w:rPr>
        <w:t>&amp; Lucena</w:t>
      </w:r>
      <w:r w:rsidR="00CB21ED" w:rsidRPr="00CB21ED">
        <w:rPr>
          <w:rFonts w:ascii="Times New Roman" w:hAnsi="Times New Roman" w:cs="Times New Roman"/>
          <w:sz w:val="24"/>
          <w:szCs w:val="24"/>
          <w:shd w:val="clear" w:color="auto" w:fill="FFFFFF"/>
        </w:rPr>
        <w:t>, 2018</w:t>
      </w:r>
      <w:r w:rsidRPr="00CB21ED">
        <w:rPr>
          <w:rFonts w:ascii="Times New Roman" w:hAnsi="Times New Roman" w:cs="Times New Roman"/>
          <w:sz w:val="24"/>
          <w:szCs w:val="24"/>
        </w:rPr>
        <w:t xml:space="preserve">). </w:t>
      </w:r>
    </w:p>
    <w:p w14:paraId="6D59E8F0" w14:textId="77777777" w:rsidR="00B6148C" w:rsidRPr="002A7226" w:rsidRDefault="00B6148C" w:rsidP="00B6148C">
      <w:pPr>
        <w:pStyle w:val="PargrafodaLista"/>
        <w:spacing w:after="0" w:line="240" w:lineRule="auto"/>
        <w:ind w:left="0" w:firstLine="709"/>
        <w:jc w:val="both"/>
        <w:rPr>
          <w:rFonts w:ascii="Times New Roman" w:hAnsi="Times New Roman" w:cs="Times New Roman"/>
          <w:sz w:val="24"/>
          <w:szCs w:val="24"/>
        </w:rPr>
      </w:pPr>
      <w:r w:rsidRPr="00CB21ED">
        <w:rPr>
          <w:rFonts w:ascii="Times New Roman" w:hAnsi="Times New Roman" w:cs="Times New Roman"/>
          <w:sz w:val="24"/>
          <w:szCs w:val="24"/>
        </w:rPr>
        <w:t>Segundo Brito (2012), a educação financeira ajuda o cidadão a compreender melhor a economia do país, auxiliando-o a tomar</w:t>
      </w:r>
      <w:r>
        <w:rPr>
          <w:rFonts w:ascii="Times New Roman" w:hAnsi="Times New Roman" w:cs="Times New Roman"/>
          <w:sz w:val="24"/>
          <w:szCs w:val="24"/>
        </w:rPr>
        <w:t xml:space="preserve"> melhores decisões financeiras. O mesmo autor afirma que, no Brasil, este tema ainda é pouco discutido no meio acadêmico. Assuntos relacionados à finanças são muito importantes, mas as escolas ainda se preocupam apenas com a formação técnica, esquecendo a educação financeira. Isso pode explicar como diversos profissionais altamente capacitados em suas formações podem ter problemas financeiros durante a vida (</w:t>
      </w:r>
      <w:proofErr w:type="spellStart"/>
      <w:r>
        <w:rPr>
          <w:rFonts w:ascii="Times New Roman" w:hAnsi="Times New Roman" w:cs="Times New Roman"/>
          <w:sz w:val="24"/>
          <w:szCs w:val="24"/>
        </w:rPr>
        <w:t>Kiyosaki</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Lechter</w:t>
      </w:r>
      <w:proofErr w:type="spellEnd"/>
      <w:r>
        <w:rPr>
          <w:rFonts w:ascii="Times New Roman" w:hAnsi="Times New Roman" w:cs="Times New Roman"/>
          <w:sz w:val="24"/>
          <w:szCs w:val="24"/>
        </w:rPr>
        <w:t xml:space="preserve">, 2002). </w:t>
      </w:r>
    </w:p>
    <w:p w14:paraId="2D4A21CB" w14:textId="77777777" w:rsidR="00B6148C" w:rsidRDefault="00B6148C" w:rsidP="00B6148C">
      <w:pPr>
        <w:pStyle w:val="PargrafodaLista"/>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Apesar de ser um instrumento importante para as pessoas, a educação financeira está, geralmente, estabelecida apenas nos cursos de gestão do ensino superior, como Administração, Economia e Contabilidade, bem como nas experiências profissionais (Leal &amp; Melo, 2008). Porém, estes autores afirmam que mesmo os indivíduos formados ou atuantes nessas áreas por diversas vezes não conseguem ter uma boa relação com suas finanças pessoais. </w:t>
      </w:r>
    </w:p>
    <w:p w14:paraId="0FFF4416" w14:textId="5D5F29B2" w:rsidR="00B6148C" w:rsidRDefault="00B6148C" w:rsidP="00B6148C">
      <w:pPr>
        <w:pStyle w:val="PargrafodaLista"/>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A presente pesquisa busca reforçar as vantagens que o conhecimento acerca das finanças pessoais pode proporcionar aos indivíduos, além de de</w:t>
      </w:r>
      <w:r w:rsidRPr="001E74FE">
        <w:rPr>
          <w:rFonts w:ascii="Times New Roman" w:hAnsi="Times New Roman" w:cs="Times New Roman"/>
          <w:sz w:val="24"/>
          <w:szCs w:val="24"/>
        </w:rPr>
        <w:t>mo</w:t>
      </w:r>
      <w:r>
        <w:rPr>
          <w:rFonts w:ascii="Times New Roman" w:hAnsi="Times New Roman" w:cs="Times New Roman"/>
          <w:sz w:val="24"/>
          <w:szCs w:val="24"/>
        </w:rPr>
        <w:t>n</w:t>
      </w:r>
      <w:r w:rsidRPr="001E74FE">
        <w:rPr>
          <w:rFonts w:ascii="Times New Roman" w:hAnsi="Times New Roman" w:cs="Times New Roman"/>
          <w:sz w:val="24"/>
          <w:szCs w:val="24"/>
        </w:rPr>
        <w:t>strar a urgência d</w:t>
      </w:r>
      <w:r>
        <w:rPr>
          <w:rFonts w:ascii="Times New Roman" w:hAnsi="Times New Roman" w:cs="Times New Roman"/>
          <w:sz w:val="24"/>
          <w:szCs w:val="24"/>
        </w:rPr>
        <w:t>a</w:t>
      </w:r>
      <w:r w:rsidRPr="001E74FE">
        <w:rPr>
          <w:rFonts w:ascii="Times New Roman" w:hAnsi="Times New Roman" w:cs="Times New Roman"/>
          <w:sz w:val="24"/>
          <w:szCs w:val="24"/>
        </w:rPr>
        <w:t xml:space="preserve"> ado</w:t>
      </w:r>
      <w:r>
        <w:rPr>
          <w:rFonts w:ascii="Times New Roman" w:hAnsi="Times New Roman" w:cs="Times New Roman"/>
          <w:sz w:val="24"/>
          <w:szCs w:val="24"/>
        </w:rPr>
        <w:t>ção</w:t>
      </w:r>
      <w:r w:rsidRPr="001E74FE">
        <w:rPr>
          <w:rFonts w:ascii="Times New Roman" w:hAnsi="Times New Roman" w:cs="Times New Roman"/>
          <w:sz w:val="24"/>
          <w:szCs w:val="24"/>
        </w:rPr>
        <w:t xml:space="preserve"> </w:t>
      </w:r>
      <w:r>
        <w:rPr>
          <w:rFonts w:ascii="Times New Roman" w:hAnsi="Times New Roman" w:cs="Times New Roman"/>
          <w:sz w:val="24"/>
          <w:szCs w:val="24"/>
        </w:rPr>
        <w:t xml:space="preserve">de </w:t>
      </w:r>
      <w:r w:rsidRPr="001E74FE">
        <w:rPr>
          <w:rFonts w:ascii="Times New Roman" w:hAnsi="Times New Roman" w:cs="Times New Roman"/>
          <w:sz w:val="24"/>
          <w:szCs w:val="24"/>
        </w:rPr>
        <w:t>medida</w:t>
      </w:r>
      <w:r>
        <w:rPr>
          <w:rFonts w:ascii="Times New Roman" w:hAnsi="Times New Roman" w:cs="Times New Roman"/>
          <w:sz w:val="24"/>
          <w:szCs w:val="24"/>
        </w:rPr>
        <w:t>s de melhoria no sentido de orientação dos cidadãos</w:t>
      </w:r>
      <w:r w:rsidRPr="001E74FE">
        <w:rPr>
          <w:rFonts w:ascii="Times New Roman" w:hAnsi="Times New Roman" w:cs="Times New Roman"/>
          <w:sz w:val="24"/>
          <w:szCs w:val="24"/>
        </w:rPr>
        <w:t xml:space="preserve"> sobre </w:t>
      </w:r>
      <w:r>
        <w:rPr>
          <w:rFonts w:ascii="Times New Roman" w:hAnsi="Times New Roman" w:cs="Times New Roman"/>
          <w:sz w:val="24"/>
          <w:szCs w:val="24"/>
        </w:rPr>
        <w:t xml:space="preserve">a </w:t>
      </w:r>
      <w:r w:rsidRPr="001E74FE">
        <w:rPr>
          <w:rFonts w:ascii="Times New Roman" w:hAnsi="Times New Roman" w:cs="Times New Roman"/>
          <w:sz w:val="24"/>
          <w:szCs w:val="24"/>
        </w:rPr>
        <w:t>educação fina</w:t>
      </w:r>
      <w:r>
        <w:rPr>
          <w:rFonts w:ascii="Times New Roman" w:hAnsi="Times New Roman" w:cs="Times New Roman"/>
          <w:sz w:val="24"/>
          <w:szCs w:val="24"/>
        </w:rPr>
        <w:t>nceira e o consumo conscient</w:t>
      </w:r>
      <w:r w:rsidR="00666D8F">
        <w:rPr>
          <w:rFonts w:ascii="Times New Roman" w:hAnsi="Times New Roman" w:cs="Times New Roman"/>
          <w:sz w:val="24"/>
          <w:szCs w:val="24"/>
        </w:rPr>
        <w:t xml:space="preserve">e. Isso é corroborado por </w:t>
      </w:r>
      <w:proofErr w:type="spellStart"/>
      <w:r w:rsidR="00666D8F" w:rsidRPr="00666D8F">
        <w:rPr>
          <w:rFonts w:ascii="Times New Roman" w:hAnsi="Times New Roman" w:cs="Times New Roman"/>
          <w:sz w:val="24"/>
          <w:szCs w:val="24"/>
          <w:shd w:val="clear" w:color="auto" w:fill="FFFFFF"/>
        </w:rPr>
        <w:t>Halles</w:t>
      </w:r>
      <w:proofErr w:type="spellEnd"/>
      <w:r w:rsidR="00666D8F" w:rsidRPr="00666D8F">
        <w:rPr>
          <w:rFonts w:ascii="Times New Roman" w:hAnsi="Times New Roman" w:cs="Times New Roman"/>
          <w:sz w:val="24"/>
          <w:szCs w:val="24"/>
          <w:shd w:val="clear" w:color="auto" w:fill="FFFFFF"/>
        </w:rPr>
        <w:t xml:space="preserve">, </w:t>
      </w:r>
      <w:proofErr w:type="spellStart"/>
      <w:r w:rsidR="00666D8F">
        <w:rPr>
          <w:rFonts w:ascii="Times New Roman" w:hAnsi="Times New Roman" w:cs="Times New Roman"/>
          <w:sz w:val="24"/>
          <w:szCs w:val="24"/>
          <w:shd w:val="clear" w:color="auto" w:fill="FFFFFF"/>
        </w:rPr>
        <w:t>Sokolowski</w:t>
      </w:r>
      <w:proofErr w:type="spellEnd"/>
      <w:r w:rsidR="00666D8F">
        <w:rPr>
          <w:rFonts w:ascii="Times New Roman" w:hAnsi="Times New Roman" w:cs="Times New Roman"/>
          <w:sz w:val="24"/>
          <w:szCs w:val="24"/>
          <w:shd w:val="clear" w:color="auto" w:fill="FFFFFF"/>
        </w:rPr>
        <w:t xml:space="preserve">, e </w:t>
      </w:r>
      <w:proofErr w:type="spellStart"/>
      <w:r w:rsidR="00666D8F" w:rsidRPr="00666D8F">
        <w:rPr>
          <w:rFonts w:ascii="Times New Roman" w:hAnsi="Times New Roman" w:cs="Times New Roman"/>
          <w:sz w:val="24"/>
          <w:szCs w:val="24"/>
          <w:shd w:val="clear" w:color="auto" w:fill="FFFFFF"/>
        </w:rPr>
        <w:t>Hilgemberg</w:t>
      </w:r>
      <w:proofErr w:type="spellEnd"/>
      <w:r w:rsidR="00666D8F">
        <w:rPr>
          <w:rFonts w:ascii="Times New Roman" w:hAnsi="Times New Roman" w:cs="Times New Roman"/>
          <w:sz w:val="24"/>
          <w:szCs w:val="24"/>
        </w:rPr>
        <w:t xml:space="preserve"> (2008</w:t>
      </w:r>
      <w:r>
        <w:rPr>
          <w:rFonts w:ascii="Times New Roman" w:hAnsi="Times New Roman" w:cs="Times New Roman"/>
          <w:sz w:val="24"/>
          <w:szCs w:val="24"/>
        </w:rPr>
        <w:t>), ao explicar que a educação financeira é uma das ferramentas que promove o desenvolvimento econômico.</w:t>
      </w:r>
    </w:p>
    <w:p w14:paraId="4EE3C394" w14:textId="77777777" w:rsidR="00B6148C" w:rsidRDefault="00B6148C" w:rsidP="00B6148C">
      <w:pPr>
        <w:pStyle w:val="PargrafodaLista"/>
        <w:spacing w:after="0" w:line="240" w:lineRule="auto"/>
        <w:ind w:left="0" w:firstLine="709"/>
        <w:jc w:val="both"/>
        <w:rPr>
          <w:rFonts w:ascii="Times New Roman" w:hAnsi="Times New Roman" w:cs="Times New Roman"/>
          <w:b/>
          <w:sz w:val="24"/>
          <w:szCs w:val="24"/>
        </w:rPr>
      </w:pPr>
      <w:r w:rsidRPr="0065235F">
        <w:rPr>
          <w:rFonts w:ascii="Times New Roman" w:hAnsi="Times New Roman" w:cs="Times New Roman"/>
          <w:sz w:val="24"/>
          <w:szCs w:val="24"/>
        </w:rPr>
        <w:t xml:space="preserve">Tendo em vista o cenário apresentado, e levando em consideração o fato de que os cursos de Administração, Ciências Contábeis, </w:t>
      </w:r>
      <w:r>
        <w:rPr>
          <w:rFonts w:ascii="Times New Roman" w:hAnsi="Times New Roman" w:cs="Times New Roman"/>
          <w:sz w:val="24"/>
          <w:szCs w:val="24"/>
        </w:rPr>
        <w:t xml:space="preserve">e </w:t>
      </w:r>
      <w:r w:rsidRPr="0065235F">
        <w:rPr>
          <w:rFonts w:ascii="Times New Roman" w:hAnsi="Times New Roman" w:cs="Times New Roman"/>
          <w:sz w:val="24"/>
          <w:szCs w:val="24"/>
        </w:rPr>
        <w:t>Ciências Econômicas estão ligados às finanças</w:t>
      </w:r>
      <w:r>
        <w:rPr>
          <w:rFonts w:ascii="Times New Roman" w:hAnsi="Times New Roman" w:cs="Times New Roman"/>
          <w:sz w:val="24"/>
          <w:szCs w:val="24"/>
        </w:rPr>
        <w:t xml:space="preserve"> pessoais</w:t>
      </w:r>
      <w:r w:rsidRPr="0065235F">
        <w:rPr>
          <w:rFonts w:ascii="Times New Roman" w:hAnsi="Times New Roman" w:cs="Times New Roman"/>
          <w:sz w:val="24"/>
          <w:szCs w:val="24"/>
        </w:rPr>
        <w:t>, surge a seguinte questão</w:t>
      </w:r>
      <w:r w:rsidRPr="0058130A">
        <w:rPr>
          <w:rFonts w:ascii="Times New Roman" w:hAnsi="Times New Roman" w:cs="Times New Roman"/>
          <w:sz w:val="24"/>
          <w:szCs w:val="24"/>
        </w:rPr>
        <w:t xml:space="preserve">: </w:t>
      </w:r>
      <w:r w:rsidRPr="0065235F">
        <w:rPr>
          <w:rFonts w:ascii="Times New Roman" w:hAnsi="Times New Roman" w:cs="Times New Roman"/>
          <w:b/>
          <w:sz w:val="24"/>
          <w:szCs w:val="24"/>
        </w:rPr>
        <w:t>Qual a diferença no comportamento</w:t>
      </w:r>
      <w:r>
        <w:rPr>
          <w:rFonts w:ascii="Times New Roman" w:hAnsi="Times New Roman" w:cs="Times New Roman"/>
          <w:b/>
          <w:sz w:val="24"/>
          <w:szCs w:val="24"/>
        </w:rPr>
        <w:t xml:space="preserve"> de controle</w:t>
      </w:r>
      <w:r w:rsidRPr="0065235F">
        <w:rPr>
          <w:rFonts w:ascii="Times New Roman" w:hAnsi="Times New Roman" w:cs="Times New Roman"/>
          <w:b/>
          <w:sz w:val="24"/>
          <w:szCs w:val="24"/>
        </w:rPr>
        <w:t xml:space="preserve"> financeiro dos estudantes da área de gestão em comparação </w:t>
      </w:r>
      <w:r>
        <w:rPr>
          <w:rFonts w:ascii="Times New Roman" w:hAnsi="Times New Roman" w:cs="Times New Roman"/>
          <w:b/>
          <w:sz w:val="24"/>
          <w:szCs w:val="24"/>
        </w:rPr>
        <w:t>com estudantes das demais áreas</w:t>
      </w:r>
      <w:r w:rsidRPr="0065235F">
        <w:rPr>
          <w:rFonts w:ascii="Times New Roman" w:hAnsi="Times New Roman" w:cs="Times New Roman"/>
          <w:b/>
          <w:sz w:val="24"/>
          <w:szCs w:val="24"/>
        </w:rPr>
        <w:t>?</w:t>
      </w:r>
      <w:r>
        <w:rPr>
          <w:rFonts w:ascii="Times New Roman" w:hAnsi="Times New Roman" w:cs="Times New Roman"/>
          <w:b/>
          <w:sz w:val="24"/>
          <w:szCs w:val="24"/>
        </w:rPr>
        <w:t xml:space="preserve"> </w:t>
      </w:r>
    </w:p>
    <w:p w14:paraId="12D2D877" w14:textId="77777777" w:rsidR="00B6148C" w:rsidRPr="00A74C0F" w:rsidRDefault="00B6148C" w:rsidP="00B6148C">
      <w:pPr>
        <w:pStyle w:val="PargrafodaLista"/>
        <w:spacing w:after="0" w:line="240" w:lineRule="auto"/>
        <w:ind w:left="0" w:firstLine="709"/>
        <w:jc w:val="both"/>
        <w:rPr>
          <w:rFonts w:ascii="Times New Roman" w:hAnsi="Times New Roman" w:cs="Times New Roman"/>
          <w:b/>
          <w:sz w:val="24"/>
          <w:szCs w:val="24"/>
        </w:rPr>
      </w:pPr>
      <w:r>
        <w:rPr>
          <w:rFonts w:ascii="Times New Roman" w:hAnsi="Times New Roman" w:cs="Times New Roman"/>
          <w:sz w:val="24"/>
          <w:szCs w:val="24"/>
        </w:rPr>
        <w:t>Para responder o problema proposto foi elaborado como</w:t>
      </w:r>
      <w:r w:rsidRPr="0058130A">
        <w:rPr>
          <w:rFonts w:ascii="Times New Roman" w:hAnsi="Times New Roman" w:cs="Times New Roman"/>
          <w:sz w:val="24"/>
          <w:szCs w:val="24"/>
        </w:rPr>
        <w:t xml:space="preserve"> objetivo geral </w:t>
      </w:r>
      <w:r>
        <w:rPr>
          <w:rFonts w:ascii="Times New Roman" w:hAnsi="Times New Roman" w:cs="Times New Roman"/>
          <w:sz w:val="24"/>
          <w:szCs w:val="24"/>
        </w:rPr>
        <w:t xml:space="preserve">analisar a influência dos cursos de gestão no </w:t>
      </w:r>
      <w:r w:rsidRPr="0058130A">
        <w:rPr>
          <w:rFonts w:ascii="Times New Roman" w:hAnsi="Times New Roman" w:cs="Times New Roman"/>
          <w:sz w:val="24"/>
          <w:szCs w:val="24"/>
        </w:rPr>
        <w:t>comportamento</w:t>
      </w:r>
      <w:r>
        <w:rPr>
          <w:rFonts w:ascii="Times New Roman" w:hAnsi="Times New Roman" w:cs="Times New Roman"/>
          <w:sz w:val="24"/>
          <w:szCs w:val="24"/>
        </w:rPr>
        <w:t xml:space="preserve"> de controle</w:t>
      </w:r>
      <w:r w:rsidRPr="0058130A">
        <w:rPr>
          <w:rFonts w:ascii="Times New Roman" w:hAnsi="Times New Roman" w:cs="Times New Roman"/>
          <w:sz w:val="24"/>
          <w:szCs w:val="24"/>
        </w:rPr>
        <w:t xml:space="preserve"> financeiro dos estudantes </w:t>
      </w:r>
      <w:r>
        <w:rPr>
          <w:rFonts w:ascii="Times New Roman" w:hAnsi="Times New Roman" w:cs="Times New Roman"/>
          <w:sz w:val="24"/>
          <w:szCs w:val="24"/>
        </w:rPr>
        <w:t xml:space="preserve">de uma universidade particular do estado de Santa Catarina. </w:t>
      </w:r>
      <w:r>
        <w:rPr>
          <w:rFonts w:ascii="Times New Roman" w:hAnsi="Times New Roman" w:cs="Times New Roman"/>
          <w:b/>
          <w:sz w:val="24"/>
          <w:szCs w:val="24"/>
        </w:rPr>
        <w:t xml:space="preserve"> </w:t>
      </w:r>
      <w:r>
        <w:rPr>
          <w:rFonts w:ascii="Times New Roman" w:hAnsi="Times New Roman" w:cs="Times New Roman"/>
          <w:sz w:val="24"/>
          <w:szCs w:val="24"/>
        </w:rPr>
        <w:t>O intuito foi verificar</w:t>
      </w:r>
      <w:r w:rsidRPr="0058130A">
        <w:rPr>
          <w:rFonts w:ascii="Times New Roman" w:hAnsi="Times New Roman" w:cs="Times New Roman"/>
          <w:sz w:val="24"/>
          <w:szCs w:val="24"/>
        </w:rPr>
        <w:t xml:space="preserve"> se os estudantes dos cursos da área </w:t>
      </w:r>
      <w:r>
        <w:rPr>
          <w:rFonts w:ascii="Times New Roman" w:hAnsi="Times New Roman" w:cs="Times New Roman"/>
          <w:sz w:val="24"/>
          <w:szCs w:val="24"/>
        </w:rPr>
        <w:t>de gestão</w:t>
      </w:r>
      <w:r w:rsidRPr="0058130A">
        <w:rPr>
          <w:rFonts w:ascii="Times New Roman" w:hAnsi="Times New Roman" w:cs="Times New Roman"/>
          <w:sz w:val="24"/>
          <w:szCs w:val="24"/>
        </w:rPr>
        <w:t xml:space="preserve"> conseguem gerir melhor seus recursos para atingir seus objetivos </w:t>
      </w:r>
      <w:r>
        <w:rPr>
          <w:rFonts w:ascii="Times New Roman" w:hAnsi="Times New Roman" w:cs="Times New Roman"/>
          <w:sz w:val="24"/>
          <w:szCs w:val="24"/>
        </w:rPr>
        <w:t>em função de possuírem</w:t>
      </w:r>
      <w:r w:rsidRPr="0058130A">
        <w:rPr>
          <w:rFonts w:ascii="Times New Roman" w:hAnsi="Times New Roman" w:cs="Times New Roman"/>
          <w:sz w:val="24"/>
          <w:szCs w:val="24"/>
        </w:rPr>
        <w:t xml:space="preserve"> mais contato no</w:t>
      </w:r>
      <w:r>
        <w:rPr>
          <w:rFonts w:ascii="Times New Roman" w:hAnsi="Times New Roman" w:cs="Times New Roman"/>
          <w:sz w:val="24"/>
          <w:szCs w:val="24"/>
        </w:rPr>
        <w:t xml:space="preserve"> </w:t>
      </w:r>
      <w:r w:rsidRPr="0058130A">
        <w:rPr>
          <w:rFonts w:ascii="Times New Roman" w:hAnsi="Times New Roman" w:cs="Times New Roman"/>
          <w:sz w:val="24"/>
          <w:szCs w:val="24"/>
        </w:rPr>
        <w:t xml:space="preserve">dia a dia com </w:t>
      </w:r>
      <w:r>
        <w:rPr>
          <w:rFonts w:ascii="Times New Roman" w:hAnsi="Times New Roman" w:cs="Times New Roman"/>
          <w:sz w:val="24"/>
          <w:szCs w:val="24"/>
        </w:rPr>
        <w:t>o campo das finanças.</w:t>
      </w:r>
      <w:r w:rsidRPr="00A45CA4">
        <w:rPr>
          <w:rFonts w:ascii="Times New Roman" w:hAnsi="Times New Roman" w:cs="Times New Roman"/>
          <w:sz w:val="24"/>
          <w:szCs w:val="24"/>
        </w:rPr>
        <w:t xml:space="preserve"> Para concluir esse objetivo, foi elaborado um questionário</w:t>
      </w:r>
      <w:r>
        <w:rPr>
          <w:rFonts w:ascii="Times New Roman" w:hAnsi="Times New Roman" w:cs="Times New Roman"/>
          <w:sz w:val="24"/>
          <w:szCs w:val="24"/>
        </w:rPr>
        <w:t xml:space="preserve"> que veio a ser</w:t>
      </w:r>
      <w:r w:rsidRPr="00A45CA4">
        <w:rPr>
          <w:rFonts w:ascii="Times New Roman" w:hAnsi="Times New Roman" w:cs="Times New Roman"/>
          <w:sz w:val="24"/>
          <w:szCs w:val="24"/>
        </w:rPr>
        <w:t xml:space="preserve"> aplicado</w:t>
      </w:r>
      <w:r>
        <w:rPr>
          <w:rFonts w:ascii="Times New Roman" w:hAnsi="Times New Roman" w:cs="Times New Roman"/>
          <w:sz w:val="24"/>
          <w:szCs w:val="24"/>
        </w:rPr>
        <w:t xml:space="preserve"> de forma presencial</w:t>
      </w:r>
      <w:r w:rsidRPr="00A45CA4">
        <w:rPr>
          <w:rFonts w:ascii="Times New Roman" w:hAnsi="Times New Roman" w:cs="Times New Roman"/>
          <w:sz w:val="24"/>
          <w:szCs w:val="24"/>
        </w:rPr>
        <w:t xml:space="preserve"> aos estudantes</w:t>
      </w:r>
      <w:r>
        <w:rPr>
          <w:rFonts w:ascii="Times New Roman" w:hAnsi="Times New Roman" w:cs="Times New Roman"/>
          <w:sz w:val="24"/>
          <w:szCs w:val="24"/>
        </w:rPr>
        <w:t xml:space="preserve"> da referida instituição de ensino superior.</w:t>
      </w:r>
    </w:p>
    <w:p w14:paraId="3DC6FC96" w14:textId="77777777" w:rsidR="00B6148C" w:rsidRDefault="00B6148C" w:rsidP="00B6148C">
      <w:pPr>
        <w:pStyle w:val="PargrafodaLista"/>
        <w:spacing w:after="0" w:line="240" w:lineRule="auto"/>
        <w:ind w:left="0" w:firstLine="709"/>
        <w:jc w:val="both"/>
        <w:rPr>
          <w:rFonts w:ascii="Times New Roman" w:hAnsi="Times New Roman" w:cs="Times New Roman"/>
          <w:sz w:val="24"/>
          <w:szCs w:val="24"/>
        </w:rPr>
      </w:pPr>
      <w:r w:rsidRPr="001E74FE">
        <w:rPr>
          <w:rFonts w:ascii="Times New Roman" w:hAnsi="Times New Roman" w:cs="Times New Roman"/>
          <w:sz w:val="24"/>
          <w:szCs w:val="24"/>
        </w:rPr>
        <w:lastRenderedPageBreak/>
        <w:t xml:space="preserve">O trabalho se </w:t>
      </w:r>
      <w:r>
        <w:rPr>
          <w:rFonts w:ascii="Times New Roman" w:hAnsi="Times New Roman" w:cs="Times New Roman"/>
          <w:sz w:val="24"/>
          <w:szCs w:val="24"/>
        </w:rPr>
        <w:t xml:space="preserve">justifica </w:t>
      </w:r>
      <w:r w:rsidRPr="001E74FE">
        <w:rPr>
          <w:rFonts w:ascii="Times New Roman" w:hAnsi="Times New Roman" w:cs="Times New Roman"/>
          <w:sz w:val="24"/>
          <w:szCs w:val="24"/>
        </w:rPr>
        <w:t xml:space="preserve">em função das diversas notícias sobre o crescente endividamento do </w:t>
      </w:r>
      <w:r>
        <w:rPr>
          <w:rFonts w:ascii="Times New Roman" w:hAnsi="Times New Roman" w:cs="Times New Roman"/>
          <w:sz w:val="24"/>
          <w:szCs w:val="24"/>
        </w:rPr>
        <w:t xml:space="preserve">cidadão </w:t>
      </w:r>
      <w:r w:rsidRPr="001E74FE">
        <w:rPr>
          <w:rFonts w:ascii="Times New Roman" w:hAnsi="Times New Roman" w:cs="Times New Roman"/>
          <w:sz w:val="24"/>
          <w:szCs w:val="24"/>
        </w:rPr>
        <w:t>brasileiro e</w:t>
      </w:r>
      <w:r>
        <w:rPr>
          <w:rFonts w:ascii="Times New Roman" w:hAnsi="Times New Roman" w:cs="Times New Roman"/>
          <w:sz w:val="24"/>
          <w:szCs w:val="24"/>
        </w:rPr>
        <w:t xml:space="preserve"> do intuito de</w:t>
      </w:r>
      <w:r w:rsidRPr="001E74FE">
        <w:rPr>
          <w:rFonts w:ascii="Times New Roman" w:hAnsi="Times New Roman" w:cs="Times New Roman"/>
          <w:sz w:val="24"/>
          <w:szCs w:val="24"/>
        </w:rPr>
        <w:t xml:space="preserve"> demonstrar que um planejamento financeiro pessoal adequado colabora </w:t>
      </w:r>
      <w:r>
        <w:rPr>
          <w:rFonts w:ascii="Times New Roman" w:hAnsi="Times New Roman" w:cs="Times New Roman"/>
          <w:sz w:val="24"/>
          <w:szCs w:val="24"/>
        </w:rPr>
        <w:t xml:space="preserve">na obtenção de um vida financeira mais estável, </w:t>
      </w:r>
      <w:r w:rsidRPr="001E74FE">
        <w:rPr>
          <w:rFonts w:ascii="Times New Roman" w:hAnsi="Times New Roman" w:cs="Times New Roman"/>
          <w:sz w:val="24"/>
          <w:szCs w:val="24"/>
        </w:rPr>
        <w:t>favor</w:t>
      </w:r>
      <w:r>
        <w:rPr>
          <w:rFonts w:ascii="Times New Roman" w:hAnsi="Times New Roman" w:cs="Times New Roman"/>
          <w:sz w:val="24"/>
          <w:szCs w:val="24"/>
        </w:rPr>
        <w:t xml:space="preserve">ecendo </w:t>
      </w:r>
      <w:r w:rsidRPr="001E74FE">
        <w:rPr>
          <w:rFonts w:ascii="Times New Roman" w:hAnsi="Times New Roman" w:cs="Times New Roman"/>
          <w:sz w:val="24"/>
          <w:szCs w:val="24"/>
        </w:rPr>
        <w:t>o equilíbrio das finanças e evitando o endividamento</w:t>
      </w:r>
      <w:r>
        <w:rPr>
          <w:rFonts w:ascii="Times New Roman" w:hAnsi="Times New Roman" w:cs="Times New Roman"/>
          <w:sz w:val="24"/>
          <w:szCs w:val="24"/>
        </w:rPr>
        <w:t xml:space="preserve"> pessoal</w:t>
      </w:r>
      <w:r w:rsidRPr="001E74FE">
        <w:rPr>
          <w:rFonts w:ascii="Times New Roman" w:hAnsi="Times New Roman" w:cs="Times New Roman"/>
          <w:sz w:val="24"/>
          <w:szCs w:val="24"/>
        </w:rPr>
        <w:t>.</w:t>
      </w:r>
      <w:r>
        <w:rPr>
          <w:rFonts w:ascii="Times New Roman" w:hAnsi="Times New Roman" w:cs="Times New Roman"/>
          <w:sz w:val="24"/>
          <w:szCs w:val="24"/>
        </w:rPr>
        <w:t xml:space="preserve"> Portanto, confirmadas as expectativas da pesquisa, os resultados passam a contribuir para a sociedade, como um todo, de forma prática, uma vez que indivíduos menos propensos ao endividamento e mais conscientes acerca de seu perfil de consumo tendem a propiciar uma evolução no aspecto macroeconômico em sentido amplo.</w:t>
      </w:r>
    </w:p>
    <w:p w14:paraId="15D4D88B" w14:textId="77777777" w:rsidR="00B6148C" w:rsidRDefault="00B6148C" w:rsidP="00B6148C">
      <w:pPr>
        <w:ind w:firstLine="0"/>
        <w:rPr>
          <w:b/>
          <w:szCs w:val="24"/>
        </w:rPr>
      </w:pPr>
    </w:p>
    <w:p w14:paraId="2183FC01" w14:textId="77777777" w:rsidR="00B6148C" w:rsidRDefault="00B6148C" w:rsidP="00B6148C">
      <w:pPr>
        <w:ind w:firstLine="0"/>
        <w:rPr>
          <w:b/>
          <w:szCs w:val="24"/>
        </w:rPr>
      </w:pPr>
      <w:r w:rsidRPr="00F91B9D">
        <w:rPr>
          <w:b/>
          <w:szCs w:val="24"/>
        </w:rPr>
        <w:t>2</w:t>
      </w:r>
      <w:r>
        <w:rPr>
          <w:b/>
          <w:szCs w:val="24"/>
        </w:rPr>
        <w:t xml:space="preserve"> Referencial Teórico</w:t>
      </w:r>
    </w:p>
    <w:p w14:paraId="5F676BFB" w14:textId="77777777" w:rsidR="00B6148C" w:rsidRDefault="00B6148C" w:rsidP="00B6148C">
      <w:pPr>
        <w:ind w:firstLine="0"/>
        <w:rPr>
          <w:szCs w:val="24"/>
        </w:rPr>
      </w:pPr>
    </w:p>
    <w:p w14:paraId="1DA6702D" w14:textId="77777777" w:rsidR="00B6148C" w:rsidRPr="00A74C0F" w:rsidRDefault="00B6148C" w:rsidP="00B6148C">
      <w:pPr>
        <w:ind w:firstLine="0"/>
        <w:rPr>
          <w:b/>
          <w:szCs w:val="24"/>
        </w:rPr>
      </w:pPr>
      <w:r w:rsidRPr="00A74C0F">
        <w:rPr>
          <w:b/>
          <w:szCs w:val="24"/>
        </w:rPr>
        <w:t>2.1 Educação Financeira</w:t>
      </w:r>
    </w:p>
    <w:p w14:paraId="152A28B8" w14:textId="77777777" w:rsidR="00B6148C" w:rsidRPr="0065235F" w:rsidRDefault="00B6148C" w:rsidP="00B6148C">
      <w:pPr>
        <w:pStyle w:val="PargrafodaLista"/>
        <w:spacing w:after="0" w:line="240" w:lineRule="auto"/>
        <w:ind w:left="0" w:firstLine="709"/>
        <w:jc w:val="both"/>
        <w:rPr>
          <w:rFonts w:ascii="Times New Roman" w:hAnsi="Times New Roman" w:cs="Times New Roman"/>
          <w:sz w:val="24"/>
          <w:szCs w:val="24"/>
        </w:rPr>
      </w:pPr>
      <w:r w:rsidRPr="0065235F">
        <w:rPr>
          <w:rFonts w:ascii="Times New Roman" w:hAnsi="Times New Roman" w:cs="Times New Roman"/>
          <w:sz w:val="24"/>
          <w:szCs w:val="24"/>
        </w:rPr>
        <w:t xml:space="preserve">No Brasil, até 1994, as pessoas eram </w:t>
      </w:r>
      <w:r>
        <w:rPr>
          <w:rFonts w:ascii="Times New Roman" w:hAnsi="Times New Roman" w:cs="Times New Roman"/>
          <w:sz w:val="24"/>
          <w:szCs w:val="24"/>
        </w:rPr>
        <w:t>compelidas</w:t>
      </w:r>
      <w:r w:rsidRPr="0065235F">
        <w:rPr>
          <w:rFonts w:ascii="Times New Roman" w:hAnsi="Times New Roman" w:cs="Times New Roman"/>
          <w:sz w:val="24"/>
          <w:szCs w:val="24"/>
        </w:rPr>
        <w:t xml:space="preserve"> a gastar</w:t>
      </w:r>
      <w:r>
        <w:rPr>
          <w:rFonts w:ascii="Times New Roman" w:hAnsi="Times New Roman" w:cs="Times New Roman"/>
          <w:sz w:val="24"/>
          <w:szCs w:val="24"/>
        </w:rPr>
        <w:t>,</w:t>
      </w:r>
      <w:r w:rsidRPr="0065235F">
        <w:rPr>
          <w:rFonts w:ascii="Times New Roman" w:hAnsi="Times New Roman" w:cs="Times New Roman"/>
          <w:sz w:val="24"/>
          <w:szCs w:val="24"/>
        </w:rPr>
        <w:t xml:space="preserve"> em curto prazo</w:t>
      </w:r>
      <w:r>
        <w:rPr>
          <w:rFonts w:ascii="Times New Roman" w:hAnsi="Times New Roman" w:cs="Times New Roman"/>
          <w:sz w:val="24"/>
          <w:szCs w:val="24"/>
        </w:rPr>
        <w:t>,</w:t>
      </w:r>
      <w:r w:rsidRPr="0065235F">
        <w:rPr>
          <w:rFonts w:ascii="Times New Roman" w:hAnsi="Times New Roman" w:cs="Times New Roman"/>
          <w:sz w:val="24"/>
          <w:szCs w:val="24"/>
        </w:rPr>
        <w:t xml:space="preserve"> </w:t>
      </w:r>
      <w:r>
        <w:rPr>
          <w:rFonts w:ascii="Times New Roman" w:hAnsi="Times New Roman" w:cs="Times New Roman"/>
          <w:sz w:val="24"/>
          <w:szCs w:val="24"/>
        </w:rPr>
        <w:t xml:space="preserve">toda a sua renda, uma vez </w:t>
      </w:r>
      <w:r w:rsidRPr="0065235F">
        <w:rPr>
          <w:rFonts w:ascii="Times New Roman" w:hAnsi="Times New Roman" w:cs="Times New Roman"/>
          <w:sz w:val="24"/>
          <w:szCs w:val="24"/>
        </w:rPr>
        <w:t>que a inflação corroía o valor do dinheiro em pouco tempo (</w:t>
      </w:r>
      <w:r>
        <w:rPr>
          <w:rFonts w:ascii="Times New Roman" w:hAnsi="Times New Roman" w:cs="Times New Roman"/>
          <w:sz w:val="24"/>
          <w:szCs w:val="24"/>
        </w:rPr>
        <w:t>Pastore &amp; Pinotti, 1999)</w:t>
      </w:r>
      <w:r w:rsidRPr="0065235F">
        <w:rPr>
          <w:rFonts w:ascii="Times New Roman" w:hAnsi="Times New Roman" w:cs="Times New Roman"/>
          <w:sz w:val="24"/>
          <w:szCs w:val="24"/>
        </w:rPr>
        <w:t xml:space="preserve">. </w:t>
      </w:r>
      <w:r>
        <w:rPr>
          <w:rFonts w:ascii="Times New Roman" w:hAnsi="Times New Roman" w:cs="Times New Roman"/>
          <w:sz w:val="24"/>
          <w:szCs w:val="24"/>
        </w:rPr>
        <w:t xml:space="preserve">A economia nacional só viria a ser estabilizada </w:t>
      </w:r>
      <w:r w:rsidRPr="0065235F">
        <w:rPr>
          <w:rFonts w:ascii="Times New Roman" w:hAnsi="Times New Roman" w:cs="Times New Roman"/>
          <w:sz w:val="24"/>
          <w:szCs w:val="24"/>
        </w:rPr>
        <w:t>a partir da implantação do plano Real</w:t>
      </w:r>
      <w:r>
        <w:rPr>
          <w:rFonts w:ascii="Times New Roman" w:hAnsi="Times New Roman" w:cs="Times New Roman"/>
          <w:sz w:val="24"/>
          <w:szCs w:val="24"/>
        </w:rPr>
        <w:t xml:space="preserve">, que </w:t>
      </w:r>
      <w:r w:rsidRPr="0065235F">
        <w:rPr>
          <w:rFonts w:ascii="Times New Roman" w:hAnsi="Times New Roman" w:cs="Times New Roman"/>
          <w:sz w:val="24"/>
          <w:szCs w:val="24"/>
        </w:rPr>
        <w:t>elev</w:t>
      </w:r>
      <w:r>
        <w:rPr>
          <w:rFonts w:ascii="Times New Roman" w:hAnsi="Times New Roman" w:cs="Times New Roman"/>
          <w:sz w:val="24"/>
          <w:szCs w:val="24"/>
        </w:rPr>
        <w:t>ou</w:t>
      </w:r>
      <w:r w:rsidRPr="0065235F">
        <w:rPr>
          <w:rFonts w:ascii="Times New Roman" w:hAnsi="Times New Roman" w:cs="Times New Roman"/>
          <w:sz w:val="24"/>
          <w:szCs w:val="24"/>
        </w:rPr>
        <w:t xml:space="preserve"> </w:t>
      </w:r>
      <w:r>
        <w:rPr>
          <w:rFonts w:ascii="Times New Roman" w:hAnsi="Times New Roman" w:cs="Times New Roman"/>
          <w:sz w:val="24"/>
          <w:szCs w:val="24"/>
        </w:rPr>
        <w:t>a renda d</w:t>
      </w:r>
      <w:r w:rsidRPr="0065235F">
        <w:rPr>
          <w:rFonts w:ascii="Times New Roman" w:hAnsi="Times New Roman" w:cs="Times New Roman"/>
          <w:sz w:val="24"/>
          <w:szCs w:val="24"/>
        </w:rPr>
        <w:t>as famílias</w:t>
      </w:r>
      <w:r>
        <w:rPr>
          <w:rFonts w:ascii="Times New Roman" w:hAnsi="Times New Roman" w:cs="Times New Roman"/>
          <w:sz w:val="24"/>
          <w:szCs w:val="24"/>
        </w:rPr>
        <w:t xml:space="preserve"> em termos reais</w:t>
      </w:r>
      <w:r w:rsidRPr="0065235F">
        <w:rPr>
          <w:rFonts w:ascii="Times New Roman" w:hAnsi="Times New Roman" w:cs="Times New Roman"/>
          <w:sz w:val="24"/>
          <w:szCs w:val="24"/>
        </w:rPr>
        <w:t xml:space="preserve"> (Rocha, 2000).</w:t>
      </w:r>
      <w:r>
        <w:rPr>
          <w:rFonts w:ascii="Times New Roman" w:hAnsi="Times New Roman" w:cs="Times New Roman"/>
          <w:sz w:val="24"/>
          <w:szCs w:val="24"/>
        </w:rPr>
        <w:t xml:space="preserve"> </w:t>
      </w:r>
      <w:r w:rsidRPr="0065235F">
        <w:rPr>
          <w:rFonts w:ascii="Times New Roman" w:hAnsi="Times New Roman" w:cs="Times New Roman"/>
          <w:sz w:val="24"/>
          <w:szCs w:val="24"/>
        </w:rPr>
        <w:t xml:space="preserve">Após </w:t>
      </w:r>
      <w:r>
        <w:rPr>
          <w:rFonts w:ascii="Times New Roman" w:hAnsi="Times New Roman" w:cs="Times New Roman"/>
          <w:sz w:val="24"/>
          <w:szCs w:val="24"/>
        </w:rPr>
        <w:t>t</w:t>
      </w:r>
      <w:r w:rsidRPr="0065235F">
        <w:rPr>
          <w:rFonts w:ascii="Times New Roman" w:hAnsi="Times New Roman" w:cs="Times New Roman"/>
          <w:sz w:val="24"/>
          <w:szCs w:val="24"/>
        </w:rPr>
        <w:t>a</w:t>
      </w:r>
      <w:r>
        <w:rPr>
          <w:rFonts w:ascii="Times New Roman" w:hAnsi="Times New Roman" w:cs="Times New Roman"/>
          <w:sz w:val="24"/>
          <w:szCs w:val="24"/>
        </w:rPr>
        <w:t>l processo de</w:t>
      </w:r>
      <w:r w:rsidRPr="0065235F">
        <w:rPr>
          <w:rFonts w:ascii="Times New Roman" w:hAnsi="Times New Roman" w:cs="Times New Roman"/>
          <w:sz w:val="24"/>
          <w:szCs w:val="24"/>
        </w:rPr>
        <w:t xml:space="preserve"> estabilização da economia, o acesso ao crédito </w:t>
      </w:r>
      <w:r>
        <w:rPr>
          <w:rFonts w:ascii="Times New Roman" w:hAnsi="Times New Roman" w:cs="Times New Roman"/>
          <w:sz w:val="24"/>
          <w:szCs w:val="24"/>
        </w:rPr>
        <w:t xml:space="preserve">no Brasil </w:t>
      </w:r>
      <w:r w:rsidRPr="0065235F">
        <w:rPr>
          <w:rFonts w:ascii="Times New Roman" w:hAnsi="Times New Roman" w:cs="Times New Roman"/>
          <w:sz w:val="24"/>
          <w:szCs w:val="24"/>
        </w:rPr>
        <w:t>foi facilitado para a população, o que possibilitou um aumento do poder de compra, mas devido à falta de prática do planejamento financeiro pessoal</w:t>
      </w:r>
      <w:r>
        <w:rPr>
          <w:rFonts w:ascii="Times New Roman" w:hAnsi="Times New Roman" w:cs="Times New Roman"/>
          <w:sz w:val="24"/>
          <w:szCs w:val="24"/>
        </w:rPr>
        <w:t>,</w:t>
      </w:r>
      <w:r w:rsidRPr="0065235F">
        <w:rPr>
          <w:rFonts w:ascii="Times New Roman" w:hAnsi="Times New Roman" w:cs="Times New Roman"/>
          <w:sz w:val="24"/>
          <w:szCs w:val="24"/>
        </w:rPr>
        <w:t xml:space="preserve"> os brasileiros</w:t>
      </w:r>
      <w:r>
        <w:rPr>
          <w:rFonts w:ascii="Times New Roman" w:hAnsi="Times New Roman" w:cs="Times New Roman"/>
          <w:sz w:val="24"/>
          <w:szCs w:val="24"/>
        </w:rPr>
        <w:t>, em média,</w:t>
      </w:r>
      <w:r w:rsidRPr="0065235F">
        <w:rPr>
          <w:rFonts w:ascii="Times New Roman" w:hAnsi="Times New Roman" w:cs="Times New Roman"/>
          <w:sz w:val="24"/>
          <w:szCs w:val="24"/>
        </w:rPr>
        <w:t xml:space="preserve"> se endividaram. É fato que o crescimento da oferta de crédito</w:t>
      </w:r>
      <w:r>
        <w:rPr>
          <w:rFonts w:ascii="Times New Roman" w:hAnsi="Times New Roman" w:cs="Times New Roman"/>
          <w:sz w:val="24"/>
          <w:szCs w:val="24"/>
        </w:rPr>
        <w:t>,</w:t>
      </w:r>
      <w:r w:rsidRPr="0065235F">
        <w:rPr>
          <w:rFonts w:ascii="Times New Roman" w:hAnsi="Times New Roman" w:cs="Times New Roman"/>
          <w:sz w:val="24"/>
          <w:szCs w:val="24"/>
        </w:rPr>
        <w:t xml:space="preserve"> sem o devido controle</w:t>
      </w:r>
      <w:r>
        <w:rPr>
          <w:rFonts w:ascii="Times New Roman" w:hAnsi="Times New Roman" w:cs="Times New Roman"/>
          <w:sz w:val="24"/>
          <w:szCs w:val="24"/>
        </w:rPr>
        <w:t>,</w:t>
      </w:r>
      <w:r w:rsidRPr="0065235F">
        <w:rPr>
          <w:rFonts w:ascii="Times New Roman" w:hAnsi="Times New Roman" w:cs="Times New Roman"/>
          <w:sz w:val="24"/>
          <w:szCs w:val="24"/>
        </w:rPr>
        <w:t xml:space="preserve"> gera inadimplência (</w:t>
      </w:r>
      <w:r>
        <w:rPr>
          <w:rFonts w:ascii="Times New Roman" w:hAnsi="Times New Roman" w:cs="Times New Roman"/>
          <w:sz w:val="24"/>
          <w:szCs w:val="24"/>
        </w:rPr>
        <w:t>Savoia, Saito &amp;</w:t>
      </w:r>
      <w:r w:rsidRPr="0065235F">
        <w:rPr>
          <w:rFonts w:ascii="Times New Roman" w:hAnsi="Times New Roman" w:cs="Times New Roman"/>
          <w:sz w:val="24"/>
          <w:szCs w:val="24"/>
        </w:rPr>
        <w:t xml:space="preserve"> Santana, 2007). </w:t>
      </w:r>
    </w:p>
    <w:p w14:paraId="0D68E16E" w14:textId="77777777" w:rsidR="00B6148C" w:rsidRDefault="00B6148C" w:rsidP="00B6148C">
      <w:pPr>
        <w:pStyle w:val="PargrafodaLista"/>
        <w:spacing w:after="0" w:line="240" w:lineRule="auto"/>
        <w:ind w:left="0" w:firstLine="709"/>
        <w:jc w:val="both"/>
        <w:rPr>
          <w:rFonts w:ascii="Times New Roman" w:hAnsi="Times New Roman" w:cs="Times New Roman"/>
          <w:sz w:val="24"/>
          <w:szCs w:val="24"/>
        </w:rPr>
      </w:pPr>
      <w:r w:rsidRPr="002E3953">
        <w:rPr>
          <w:rFonts w:ascii="Times New Roman" w:hAnsi="Times New Roman" w:cs="Times New Roman"/>
          <w:sz w:val="24"/>
          <w:szCs w:val="24"/>
        </w:rPr>
        <w:t xml:space="preserve">No contexto nacional, os principais fatores para a inadimplência do brasileiro são o desemprego (37%), a redução de renda (24%) e o descontrole financeiro (12%) (CNDL; SPC Brasil, 2018). No mais, seis a cada dez pessoas têm pouco conhecimento sobre sua própria renda, mesmo assim, 40% </w:t>
      </w:r>
      <w:r>
        <w:rPr>
          <w:rFonts w:ascii="Times New Roman" w:hAnsi="Times New Roman" w:cs="Times New Roman"/>
          <w:sz w:val="24"/>
          <w:szCs w:val="24"/>
        </w:rPr>
        <w:t xml:space="preserve">ainda </w:t>
      </w:r>
      <w:r w:rsidRPr="002E3953">
        <w:rPr>
          <w:rFonts w:ascii="Times New Roman" w:hAnsi="Times New Roman" w:cs="Times New Roman"/>
          <w:sz w:val="24"/>
          <w:szCs w:val="24"/>
        </w:rPr>
        <w:t>tomam atitudes sem pensar nas consequências (CNDL; SPC Brasil, 2018). Para melhorar esse panorama, faz-se importante a discussão sobre a educação financeira.</w:t>
      </w:r>
      <w:r>
        <w:rPr>
          <w:rFonts w:ascii="Times New Roman" w:hAnsi="Times New Roman" w:cs="Times New Roman"/>
          <w:sz w:val="24"/>
          <w:szCs w:val="24"/>
        </w:rPr>
        <w:t xml:space="preserve"> </w:t>
      </w:r>
    </w:p>
    <w:p w14:paraId="0B9CF07D" w14:textId="77777777" w:rsidR="00B6148C" w:rsidRDefault="00B6148C" w:rsidP="00B6148C">
      <w:pPr>
        <w:pStyle w:val="PargrafodaLista"/>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Educação financeira é o meio pelo qual as pessoas melhoram sua compreensão sobre produtos financeiros e seus conceitos (OCDE, 2005). A educação financeira pode ser mensurada pelo grau de entendimento dos principais conceitos financeiros, com vista a ter confiança para administrá-los de forma apropriada nas decisões de curto e longo prazo, mesmo com mudanças nas condições econômicas (</w:t>
      </w:r>
      <w:proofErr w:type="spellStart"/>
      <w:r>
        <w:rPr>
          <w:rFonts w:ascii="Times New Roman" w:hAnsi="Times New Roman" w:cs="Times New Roman"/>
          <w:sz w:val="24"/>
          <w:szCs w:val="24"/>
        </w:rPr>
        <w:t>Remund</w:t>
      </w:r>
      <w:proofErr w:type="spellEnd"/>
      <w:r>
        <w:rPr>
          <w:rFonts w:ascii="Times New Roman" w:hAnsi="Times New Roman" w:cs="Times New Roman"/>
          <w:sz w:val="24"/>
          <w:szCs w:val="24"/>
        </w:rPr>
        <w:t xml:space="preserve">, 2010). Uma vez que sejam capacitadas e bem orientadas, as pessoas podem ter mais consciência das oportunidades e riscos que envolvem cada atitude tomada, assim contribuindo para a formação de sociedades responsáveis (OCDE, 2005). </w:t>
      </w:r>
    </w:p>
    <w:p w14:paraId="1EC28F61" w14:textId="77777777" w:rsidR="00B6148C" w:rsidRDefault="00B6148C" w:rsidP="00B6148C">
      <w:pPr>
        <w:pStyle w:val="PargrafodaLista"/>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O objetivo dessa vertente da educação é “</w:t>
      </w:r>
      <w:r w:rsidRPr="00F63219">
        <w:rPr>
          <w:rFonts w:ascii="Times New Roman" w:hAnsi="Times New Roman" w:cs="Times New Roman"/>
          <w:sz w:val="24"/>
          <w:szCs w:val="24"/>
        </w:rPr>
        <w:t>permitir a melhora de nossa qualidade de vida, seja hoje ou no futuro, atingindo de forma inteligente nossos objetivos pessoais</w:t>
      </w:r>
      <w:r>
        <w:rPr>
          <w:rFonts w:ascii="Times New Roman" w:hAnsi="Times New Roman" w:cs="Times New Roman"/>
          <w:sz w:val="24"/>
          <w:szCs w:val="24"/>
        </w:rPr>
        <w:t>” (</w:t>
      </w:r>
      <w:proofErr w:type="spellStart"/>
      <w:r>
        <w:rPr>
          <w:rFonts w:ascii="Times New Roman" w:hAnsi="Times New Roman" w:cs="Times New Roman"/>
          <w:sz w:val="24"/>
          <w:szCs w:val="24"/>
        </w:rPr>
        <w:t>Tommasi</w:t>
      </w:r>
      <w:proofErr w:type="spellEnd"/>
      <w:r>
        <w:rPr>
          <w:rFonts w:ascii="Times New Roman" w:hAnsi="Times New Roman" w:cs="Times New Roman"/>
          <w:sz w:val="24"/>
          <w:szCs w:val="24"/>
        </w:rPr>
        <w:t xml:space="preserve"> &amp; Lima, 2007, p.14). A educação financeira é, deste modo, uma ferramenta que está diretamente ligada à qualidade das decisões financeiras que as pessoas tomam, e que, consequentemente, impactam seus investimentos, seus níveis de endividamento e a possibilidade de inadimplência. Logo, para um bom desempenho financeiro faz-se necessário um planejamento financeiro pessoal.</w:t>
      </w:r>
    </w:p>
    <w:p w14:paraId="290336E9" w14:textId="30EE6FBE" w:rsidR="00B6148C" w:rsidRDefault="00B6148C" w:rsidP="00B6148C">
      <w:pPr>
        <w:pStyle w:val="PargrafodaLista"/>
        <w:spacing w:after="0" w:line="240" w:lineRule="auto"/>
        <w:ind w:left="0" w:firstLine="709"/>
        <w:jc w:val="both"/>
        <w:rPr>
          <w:rFonts w:ascii="Times New Roman" w:hAnsi="Times New Roman" w:cs="Times New Roman"/>
          <w:sz w:val="24"/>
          <w:szCs w:val="24"/>
        </w:rPr>
      </w:pPr>
      <w:r w:rsidRPr="000F3EC8">
        <w:rPr>
          <w:rFonts w:ascii="Times New Roman" w:hAnsi="Times New Roman" w:cs="Times New Roman"/>
          <w:sz w:val="24"/>
          <w:szCs w:val="24"/>
        </w:rPr>
        <w:t>“Planejamento financeiro pessoal significa estabelecer e seguir uma estratégia precisa, deliberada e dirigida para a acumulação de bens e valores que irão formar o patrimônio</w:t>
      </w:r>
      <w:r>
        <w:rPr>
          <w:rFonts w:ascii="Times New Roman" w:hAnsi="Times New Roman" w:cs="Times New Roman"/>
          <w:sz w:val="24"/>
          <w:szCs w:val="24"/>
        </w:rPr>
        <w:t xml:space="preserve"> de uma pessoa e de sua família</w:t>
      </w:r>
      <w:r w:rsidRPr="000F3EC8">
        <w:rPr>
          <w:rFonts w:ascii="Times New Roman" w:hAnsi="Times New Roman" w:cs="Times New Roman"/>
          <w:sz w:val="24"/>
          <w:szCs w:val="24"/>
        </w:rPr>
        <w:t>” (</w:t>
      </w:r>
      <w:proofErr w:type="spellStart"/>
      <w:r w:rsidRPr="000F3EC8">
        <w:rPr>
          <w:rFonts w:ascii="Times New Roman" w:hAnsi="Times New Roman" w:cs="Times New Roman"/>
          <w:sz w:val="24"/>
          <w:szCs w:val="24"/>
        </w:rPr>
        <w:t>Frankenberg</w:t>
      </w:r>
      <w:proofErr w:type="spellEnd"/>
      <w:r w:rsidRPr="000F3EC8">
        <w:rPr>
          <w:rFonts w:ascii="Times New Roman" w:hAnsi="Times New Roman" w:cs="Times New Roman"/>
          <w:sz w:val="24"/>
          <w:szCs w:val="24"/>
        </w:rPr>
        <w:t>, 1999, pag. 32)</w:t>
      </w:r>
      <w:r w:rsidR="00666D8F">
        <w:rPr>
          <w:rFonts w:ascii="Times New Roman" w:hAnsi="Times New Roman" w:cs="Times New Roman"/>
          <w:sz w:val="24"/>
          <w:szCs w:val="24"/>
        </w:rPr>
        <w:t xml:space="preserve">. Estudos como o de </w:t>
      </w:r>
      <w:proofErr w:type="spellStart"/>
      <w:r w:rsidR="00666D8F" w:rsidRPr="00666D8F">
        <w:rPr>
          <w:rFonts w:ascii="Times New Roman" w:hAnsi="Times New Roman" w:cs="Times New Roman"/>
          <w:sz w:val="24"/>
          <w:szCs w:val="24"/>
          <w:shd w:val="clear" w:color="auto" w:fill="FFFFFF"/>
        </w:rPr>
        <w:t>H</w:t>
      </w:r>
      <w:r w:rsidR="00666D8F">
        <w:rPr>
          <w:rFonts w:ascii="Times New Roman" w:hAnsi="Times New Roman" w:cs="Times New Roman"/>
          <w:sz w:val="24"/>
          <w:szCs w:val="24"/>
          <w:shd w:val="clear" w:color="auto" w:fill="FFFFFF"/>
        </w:rPr>
        <w:t>alles</w:t>
      </w:r>
      <w:proofErr w:type="spellEnd"/>
      <w:r w:rsidR="00666D8F">
        <w:rPr>
          <w:rFonts w:ascii="Times New Roman" w:hAnsi="Times New Roman" w:cs="Times New Roman"/>
          <w:sz w:val="24"/>
          <w:szCs w:val="24"/>
          <w:shd w:val="clear" w:color="auto" w:fill="FFFFFF"/>
        </w:rPr>
        <w:t xml:space="preserve">, </w:t>
      </w:r>
      <w:proofErr w:type="spellStart"/>
      <w:r w:rsidR="00666D8F">
        <w:rPr>
          <w:rFonts w:ascii="Times New Roman" w:hAnsi="Times New Roman" w:cs="Times New Roman"/>
          <w:sz w:val="24"/>
          <w:szCs w:val="24"/>
          <w:shd w:val="clear" w:color="auto" w:fill="FFFFFF"/>
        </w:rPr>
        <w:t>Sokolowski</w:t>
      </w:r>
      <w:proofErr w:type="spellEnd"/>
      <w:r w:rsidR="00666D8F">
        <w:rPr>
          <w:rFonts w:ascii="Times New Roman" w:hAnsi="Times New Roman" w:cs="Times New Roman"/>
          <w:sz w:val="24"/>
          <w:szCs w:val="24"/>
          <w:shd w:val="clear" w:color="auto" w:fill="FFFFFF"/>
        </w:rPr>
        <w:t xml:space="preserve"> e </w:t>
      </w:r>
      <w:proofErr w:type="spellStart"/>
      <w:r w:rsidR="00666D8F" w:rsidRPr="00666D8F">
        <w:rPr>
          <w:rFonts w:ascii="Times New Roman" w:hAnsi="Times New Roman" w:cs="Times New Roman"/>
          <w:sz w:val="24"/>
          <w:szCs w:val="24"/>
          <w:shd w:val="clear" w:color="auto" w:fill="FFFFFF"/>
        </w:rPr>
        <w:t>Hilgemberg</w:t>
      </w:r>
      <w:proofErr w:type="spellEnd"/>
      <w:r w:rsidR="00666D8F">
        <w:rPr>
          <w:rFonts w:ascii="Times New Roman" w:hAnsi="Times New Roman" w:cs="Times New Roman"/>
          <w:sz w:val="24"/>
          <w:szCs w:val="24"/>
        </w:rPr>
        <w:t xml:space="preserve"> (2008</w:t>
      </w:r>
      <w:r>
        <w:rPr>
          <w:rFonts w:ascii="Times New Roman" w:hAnsi="Times New Roman" w:cs="Times New Roman"/>
          <w:sz w:val="24"/>
          <w:szCs w:val="24"/>
        </w:rPr>
        <w:t>) apontam que um bom planejamento é essencial para controlar as finanças, auxiliando a ajustar a renda do cidadão conforme suas necessidades (</w:t>
      </w:r>
      <w:proofErr w:type="spellStart"/>
      <w:r>
        <w:rPr>
          <w:rFonts w:ascii="Times New Roman" w:hAnsi="Times New Roman" w:cs="Times New Roman"/>
          <w:sz w:val="24"/>
          <w:szCs w:val="24"/>
        </w:rPr>
        <w:t>Giareta</w:t>
      </w:r>
      <w:proofErr w:type="spellEnd"/>
      <w:r>
        <w:rPr>
          <w:rFonts w:ascii="Times New Roman" w:hAnsi="Times New Roman" w:cs="Times New Roman"/>
          <w:sz w:val="24"/>
          <w:szCs w:val="24"/>
        </w:rPr>
        <w:t xml:space="preserve">, 2011). Esse processo </w:t>
      </w:r>
      <w:r>
        <w:rPr>
          <w:rFonts w:ascii="Times New Roman" w:hAnsi="Times New Roman" w:cs="Times New Roman"/>
          <w:sz w:val="24"/>
          <w:szCs w:val="24"/>
        </w:rPr>
        <w:lastRenderedPageBreak/>
        <w:t>deve ser individual, visto que pessoas possuem estilos de vida e metas diferentes (</w:t>
      </w:r>
      <w:proofErr w:type="spellStart"/>
      <w:r>
        <w:rPr>
          <w:rFonts w:ascii="Times New Roman" w:hAnsi="Times New Roman" w:cs="Times New Roman"/>
          <w:sz w:val="24"/>
          <w:szCs w:val="24"/>
        </w:rPr>
        <w:t>Arcuri</w:t>
      </w:r>
      <w:proofErr w:type="spellEnd"/>
      <w:r>
        <w:rPr>
          <w:rFonts w:ascii="Times New Roman" w:hAnsi="Times New Roman" w:cs="Times New Roman"/>
          <w:sz w:val="24"/>
          <w:szCs w:val="24"/>
        </w:rPr>
        <w:t>, 2018). No mais, o planejamento pode ser realizado com o uso de planilhas eletrônicas ou anotações para que a pessoa se auto avalie, podendo analiticamente otimizar seus recursos (Leal &amp; Nascimento, 2015)</w:t>
      </w:r>
    </w:p>
    <w:p w14:paraId="7B5E44BC" w14:textId="7D909F03" w:rsidR="00B6148C" w:rsidRDefault="00B6148C" w:rsidP="00B6148C">
      <w:pPr>
        <w:pStyle w:val="PargrafodaLista"/>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O próprio Governo Federal elaborou a </w:t>
      </w:r>
      <w:r w:rsidRPr="00BE4E99">
        <w:rPr>
          <w:rFonts w:ascii="Times New Roman" w:hAnsi="Times New Roman" w:cs="Times New Roman"/>
          <w:sz w:val="24"/>
          <w:szCs w:val="24"/>
        </w:rPr>
        <w:t>Estratégia Nacional de Educação Financeira (ENEF)</w:t>
      </w:r>
      <w:r>
        <w:rPr>
          <w:rFonts w:ascii="Times New Roman" w:hAnsi="Times New Roman" w:cs="Times New Roman"/>
          <w:sz w:val="24"/>
          <w:szCs w:val="24"/>
        </w:rPr>
        <w:t xml:space="preserve">, com o </w:t>
      </w:r>
      <w:r w:rsidRPr="00A74C0F">
        <w:rPr>
          <w:rFonts w:ascii="Times New Roman" w:hAnsi="Times New Roman" w:cs="Times New Roman"/>
          <w:sz w:val="24"/>
          <w:szCs w:val="24"/>
        </w:rPr>
        <w:t>intuito de conscientizar e educar as pessoas sobre o bom uso do dinheiro (Banco Central do Brasil, 2011). Muitos brasileiros ainda não percebem</w:t>
      </w:r>
      <w:r>
        <w:rPr>
          <w:rFonts w:ascii="Times New Roman" w:hAnsi="Times New Roman" w:cs="Times New Roman"/>
          <w:sz w:val="24"/>
          <w:szCs w:val="24"/>
        </w:rPr>
        <w:t xml:space="preserve"> a real importância </w:t>
      </w:r>
      <w:r w:rsidRPr="00A74C0F">
        <w:rPr>
          <w:rFonts w:ascii="Times New Roman" w:hAnsi="Times New Roman" w:cs="Times New Roman"/>
          <w:sz w:val="24"/>
          <w:szCs w:val="24"/>
        </w:rPr>
        <w:t xml:space="preserve">do tema, já que </w:t>
      </w:r>
      <w:r>
        <w:rPr>
          <w:rFonts w:ascii="Times New Roman" w:hAnsi="Times New Roman" w:cs="Times New Roman"/>
          <w:sz w:val="24"/>
          <w:szCs w:val="24"/>
        </w:rPr>
        <w:t xml:space="preserve">o assunto </w:t>
      </w:r>
      <w:r w:rsidRPr="00A74C0F">
        <w:rPr>
          <w:rFonts w:ascii="Times New Roman" w:hAnsi="Times New Roman" w:cs="Times New Roman"/>
          <w:sz w:val="24"/>
          <w:szCs w:val="24"/>
        </w:rPr>
        <w:t>é algo geralmente distante</w:t>
      </w:r>
      <w:r>
        <w:rPr>
          <w:rFonts w:ascii="Times New Roman" w:hAnsi="Times New Roman" w:cs="Times New Roman"/>
          <w:sz w:val="24"/>
          <w:szCs w:val="24"/>
        </w:rPr>
        <w:t xml:space="preserve"> do seu cotidiano, porém, este cenário vem mudando a cada ano diante de novos estudos e análises (</w:t>
      </w:r>
      <w:r w:rsidR="00CB21ED" w:rsidRPr="00CB21ED">
        <w:rPr>
          <w:rFonts w:ascii="Times New Roman" w:hAnsi="Times New Roman" w:cs="Times New Roman"/>
          <w:sz w:val="24"/>
          <w:szCs w:val="24"/>
          <w:shd w:val="clear" w:color="auto" w:fill="FFFFFF"/>
        </w:rPr>
        <w:t>Andrade &amp; Lucena, 2018</w:t>
      </w:r>
      <w:r>
        <w:rPr>
          <w:rFonts w:ascii="Times New Roman" w:hAnsi="Times New Roman" w:cs="Times New Roman"/>
          <w:sz w:val="24"/>
          <w:szCs w:val="24"/>
        </w:rPr>
        <w:t xml:space="preserve">). </w:t>
      </w:r>
    </w:p>
    <w:p w14:paraId="6A7FD40F" w14:textId="77777777" w:rsidR="00B6148C" w:rsidRPr="001B1BD2" w:rsidRDefault="00B6148C" w:rsidP="00B6148C">
      <w:pPr>
        <w:pStyle w:val="PargrafodaLista"/>
        <w:spacing w:after="0" w:line="240" w:lineRule="auto"/>
        <w:ind w:left="0" w:firstLine="709"/>
        <w:jc w:val="both"/>
        <w:rPr>
          <w:rFonts w:ascii="Times New Roman" w:hAnsi="Times New Roman" w:cs="Times New Roman"/>
          <w:sz w:val="24"/>
          <w:szCs w:val="24"/>
        </w:rPr>
      </w:pPr>
      <w:r w:rsidRPr="001B1BD2">
        <w:rPr>
          <w:rFonts w:ascii="Times New Roman" w:hAnsi="Times New Roman" w:cs="Times New Roman"/>
          <w:sz w:val="24"/>
          <w:szCs w:val="24"/>
        </w:rPr>
        <w:t xml:space="preserve">Uma pesquisa promovida pela </w:t>
      </w:r>
      <w:r w:rsidRPr="001D6D25">
        <w:rPr>
          <w:rFonts w:ascii="Times New Roman" w:hAnsi="Times New Roman" w:cs="Times New Roman"/>
          <w:i/>
          <w:sz w:val="24"/>
          <w:szCs w:val="24"/>
        </w:rPr>
        <w:t xml:space="preserve">S&amp;P Ratings Services Global Financial </w:t>
      </w:r>
      <w:proofErr w:type="spellStart"/>
      <w:r w:rsidRPr="001D6D25">
        <w:rPr>
          <w:rFonts w:ascii="Times New Roman" w:hAnsi="Times New Roman" w:cs="Times New Roman"/>
          <w:i/>
          <w:sz w:val="24"/>
          <w:szCs w:val="24"/>
        </w:rPr>
        <w:t>Literacy</w:t>
      </w:r>
      <w:proofErr w:type="spellEnd"/>
      <w:r w:rsidRPr="001D6D25">
        <w:rPr>
          <w:rFonts w:ascii="Times New Roman" w:hAnsi="Times New Roman" w:cs="Times New Roman"/>
          <w:i/>
          <w:sz w:val="24"/>
          <w:szCs w:val="24"/>
        </w:rPr>
        <w:t xml:space="preserve"> </w:t>
      </w:r>
      <w:proofErr w:type="spellStart"/>
      <w:r w:rsidRPr="001D6D25">
        <w:rPr>
          <w:rFonts w:ascii="Times New Roman" w:hAnsi="Times New Roman" w:cs="Times New Roman"/>
          <w:i/>
          <w:sz w:val="24"/>
          <w:szCs w:val="24"/>
        </w:rPr>
        <w:t>Survey</w:t>
      </w:r>
      <w:proofErr w:type="spellEnd"/>
      <w:r w:rsidRPr="001B1BD2">
        <w:rPr>
          <w:rFonts w:ascii="Times New Roman" w:hAnsi="Times New Roman" w:cs="Times New Roman"/>
          <w:sz w:val="24"/>
          <w:szCs w:val="24"/>
        </w:rPr>
        <w:t xml:space="preserve"> (Pesquisa Global de Educação Financeira da divisão de ratings e pesquisas da Standard &amp; </w:t>
      </w:r>
      <w:proofErr w:type="spellStart"/>
      <w:r w:rsidRPr="001B1BD2">
        <w:rPr>
          <w:rFonts w:ascii="Times New Roman" w:hAnsi="Times New Roman" w:cs="Times New Roman"/>
          <w:sz w:val="24"/>
          <w:szCs w:val="24"/>
        </w:rPr>
        <w:t>Poor’s</w:t>
      </w:r>
      <w:proofErr w:type="spellEnd"/>
      <w:r w:rsidRPr="001B1BD2">
        <w:rPr>
          <w:rFonts w:ascii="Times New Roman" w:hAnsi="Times New Roman" w:cs="Times New Roman"/>
          <w:sz w:val="24"/>
          <w:szCs w:val="24"/>
        </w:rPr>
        <w:t>) (2014) e analisada pelo Banco Mundial que mediu o nível de educação financeira de 144 países, apontou que o Brasil está na 74ª posição, atrás de alguns países muito pobres</w:t>
      </w:r>
      <w:r>
        <w:rPr>
          <w:rFonts w:ascii="Times New Roman" w:hAnsi="Times New Roman" w:cs="Times New Roman"/>
          <w:sz w:val="24"/>
          <w:szCs w:val="24"/>
        </w:rPr>
        <w:t xml:space="preserve"> e menos desenvolvidos</w:t>
      </w:r>
      <w:r w:rsidRPr="001B1BD2">
        <w:rPr>
          <w:rFonts w:ascii="Times New Roman" w:hAnsi="Times New Roman" w:cs="Times New Roman"/>
          <w:sz w:val="24"/>
          <w:szCs w:val="24"/>
        </w:rPr>
        <w:t xml:space="preserve">, como Madagascar, Togo e Zimbábue. </w:t>
      </w:r>
    </w:p>
    <w:p w14:paraId="44F735B7" w14:textId="77777777" w:rsidR="00B6148C" w:rsidRDefault="00B6148C" w:rsidP="00B6148C">
      <w:pPr>
        <w:pStyle w:val="PargrafodaLista"/>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Outro estudo, realizado pela ANBIMA (2017), afirma que 40% dos brasileiros não poupam nada, pois o dinheiro que auferem só é capaz de pagar suas despesas, enquanto outros 10% nem se preocupam em poupar, afirmando que “preferem viver o presente”. Essas pesquisas demonstram como o nível de educação financeira do brasileiro é baixo. Para reverter este cenário, se faz necessário um melhor entendimento da importância de um bom planejamento financeiro para que o indivíduo melhore sua qualidade de vida. </w:t>
      </w:r>
    </w:p>
    <w:p w14:paraId="5AD48765" w14:textId="77777777" w:rsidR="00B6148C" w:rsidRDefault="00B6148C" w:rsidP="00B6148C">
      <w:pPr>
        <w:pStyle w:val="PargrafodaLista"/>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Assim, faz-se importante o conhecimento sobre as possibilidades de investimentos, que auxiliam no desenvolvimento financeiro. </w:t>
      </w:r>
      <w:r w:rsidRPr="00A45CA4">
        <w:rPr>
          <w:rFonts w:ascii="Times New Roman" w:hAnsi="Times New Roman" w:cs="Times New Roman"/>
          <w:sz w:val="24"/>
          <w:szCs w:val="24"/>
        </w:rPr>
        <w:t xml:space="preserve">De acordo com a pesquisa de </w:t>
      </w:r>
      <w:proofErr w:type="spellStart"/>
      <w:r w:rsidRPr="00A45CA4">
        <w:rPr>
          <w:rFonts w:ascii="Times New Roman" w:hAnsi="Times New Roman" w:cs="Times New Roman"/>
          <w:sz w:val="24"/>
          <w:szCs w:val="24"/>
        </w:rPr>
        <w:t>Sbicca</w:t>
      </w:r>
      <w:proofErr w:type="spellEnd"/>
      <w:r>
        <w:rPr>
          <w:rFonts w:ascii="Times New Roman" w:hAnsi="Times New Roman" w:cs="Times New Roman"/>
          <w:sz w:val="24"/>
          <w:szCs w:val="24"/>
        </w:rPr>
        <w:t>,</w:t>
      </w:r>
      <w:r w:rsidRPr="00A45CA4">
        <w:rPr>
          <w:rFonts w:ascii="Times New Roman" w:hAnsi="Times New Roman" w:cs="Times New Roman"/>
          <w:sz w:val="24"/>
          <w:szCs w:val="24"/>
        </w:rPr>
        <w:t xml:space="preserve"> </w:t>
      </w:r>
      <w:proofErr w:type="spellStart"/>
      <w:r w:rsidRPr="00A45CA4">
        <w:rPr>
          <w:rFonts w:ascii="Times New Roman" w:hAnsi="Times New Roman" w:cs="Times New Roman"/>
          <w:sz w:val="24"/>
          <w:szCs w:val="24"/>
        </w:rPr>
        <w:t>F</w:t>
      </w:r>
      <w:r>
        <w:rPr>
          <w:rFonts w:ascii="Times New Roman" w:hAnsi="Times New Roman" w:cs="Times New Roman"/>
          <w:sz w:val="24"/>
          <w:szCs w:val="24"/>
        </w:rPr>
        <w:t>loriani</w:t>
      </w:r>
      <w:proofErr w:type="spellEnd"/>
      <w:r>
        <w:rPr>
          <w:rFonts w:ascii="Times New Roman" w:hAnsi="Times New Roman" w:cs="Times New Roman"/>
          <w:sz w:val="24"/>
          <w:szCs w:val="24"/>
        </w:rPr>
        <w:t xml:space="preserve"> e</w:t>
      </w:r>
      <w:r w:rsidRPr="00A45CA4">
        <w:rPr>
          <w:rFonts w:ascii="Times New Roman" w:hAnsi="Times New Roman" w:cs="Times New Roman"/>
          <w:sz w:val="24"/>
          <w:szCs w:val="24"/>
        </w:rPr>
        <w:t xml:space="preserve"> </w:t>
      </w:r>
      <w:proofErr w:type="spellStart"/>
      <w:r w:rsidRPr="00A45CA4">
        <w:rPr>
          <w:rFonts w:ascii="Times New Roman" w:hAnsi="Times New Roman" w:cs="Times New Roman"/>
          <w:sz w:val="24"/>
          <w:szCs w:val="24"/>
        </w:rPr>
        <w:t>Juk</w:t>
      </w:r>
      <w:proofErr w:type="spellEnd"/>
      <w:r w:rsidRPr="00A45CA4">
        <w:rPr>
          <w:rFonts w:ascii="Times New Roman" w:hAnsi="Times New Roman" w:cs="Times New Roman"/>
          <w:sz w:val="24"/>
          <w:szCs w:val="24"/>
        </w:rPr>
        <w:t>, (2012), de 2003 até 2012</w:t>
      </w:r>
      <w:r>
        <w:rPr>
          <w:rFonts w:ascii="Times New Roman" w:hAnsi="Times New Roman" w:cs="Times New Roman"/>
          <w:sz w:val="24"/>
          <w:szCs w:val="24"/>
        </w:rPr>
        <w:t>,</w:t>
      </w:r>
      <w:r w:rsidRPr="00A45CA4">
        <w:rPr>
          <w:rFonts w:ascii="Times New Roman" w:hAnsi="Times New Roman" w:cs="Times New Roman"/>
          <w:sz w:val="24"/>
          <w:szCs w:val="24"/>
        </w:rPr>
        <w:t xml:space="preserve"> a oferta de crédito aumentou 209,9%.</w:t>
      </w:r>
      <w:r>
        <w:rPr>
          <w:rFonts w:ascii="Times New Roman" w:hAnsi="Times New Roman" w:cs="Times New Roman"/>
          <w:sz w:val="24"/>
          <w:szCs w:val="24"/>
        </w:rPr>
        <w:t xml:space="preserve"> Segundo </w:t>
      </w:r>
      <w:proofErr w:type="spellStart"/>
      <w:r>
        <w:rPr>
          <w:rFonts w:ascii="Times New Roman" w:hAnsi="Times New Roman" w:cs="Times New Roman"/>
          <w:sz w:val="24"/>
          <w:szCs w:val="24"/>
        </w:rPr>
        <w:t>Lucci</w:t>
      </w:r>
      <w:proofErr w:type="spellEnd"/>
      <w:r>
        <w:rPr>
          <w:rFonts w:ascii="Times New Roman" w:hAnsi="Times New Roman" w:cs="Times New Roman"/>
          <w:sz w:val="24"/>
          <w:szCs w:val="24"/>
        </w:rPr>
        <w:t xml:space="preserve"> (2006), com inúmeros produtos financeiros ofertados (cartão de crédito, cheque especial, poupança, fundos de investimentos etc.), o mercado financeiro se tornou complexo demais, onde há uma exigência de certo conhecimento sobre finanças para que sejam tomadas decisões adequadas.</w:t>
      </w:r>
    </w:p>
    <w:p w14:paraId="265B0655" w14:textId="77777777" w:rsidR="00B6148C" w:rsidRPr="00755397" w:rsidRDefault="00B6148C" w:rsidP="00B6148C">
      <w:pPr>
        <w:pStyle w:val="PargrafodaLista"/>
        <w:spacing w:after="0" w:line="240" w:lineRule="auto"/>
        <w:jc w:val="both"/>
      </w:pPr>
    </w:p>
    <w:p w14:paraId="0D0EC027" w14:textId="77777777" w:rsidR="00B6148C" w:rsidRPr="00A74C0F" w:rsidRDefault="00B6148C" w:rsidP="00B6148C">
      <w:pPr>
        <w:ind w:firstLine="0"/>
        <w:rPr>
          <w:b/>
          <w:szCs w:val="24"/>
        </w:rPr>
      </w:pPr>
      <w:r w:rsidRPr="00A74C0F">
        <w:rPr>
          <w:b/>
          <w:szCs w:val="24"/>
        </w:rPr>
        <w:t>2.2 Tipos de Investimentos</w:t>
      </w:r>
    </w:p>
    <w:p w14:paraId="09EE4068" w14:textId="076FFBF1" w:rsidR="00B6148C" w:rsidRDefault="00B6148C" w:rsidP="00B6148C">
      <w:pPr>
        <w:rPr>
          <w:szCs w:val="24"/>
        </w:rPr>
      </w:pPr>
      <w:r>
        <w:rPr>
          <w:szCs w:val="24"/>
        </w:rPr>
        <w:t>Tão importante quanto poupar, é saber onde alocar os recursos. Independente do quanto se ganha, bons investimentos são importantes para fazer o dinheiro render o máximo possível (</w:t>
      </w:r>
      <w:proofErr w:type="spellStart"/>
      <w:r w:rsidR="00666D8F">
        <w:rPr>
          <w:szCs w:val="24"/>
          <w:shd w:val="clear" w:color="auto" w:fill="FFFFFF"/>
        </w:rPr>
        <w:t>Halles</w:t>
      </w:r>
      <w:proofErr w:type="spellEnd"/>
      <w:r w:rsidR="00666D8F" w:rsidRPr="00666D8F">
        <w:rPr>
          <w:szCs w:val="24"/>
          <w:shd w:val="clear" w:color="auto" w:fill="FFFFFF"/>
        </w:rPr>
        <w:t xml:space="preserve">, </w:t>
      </w:r>
      <w:proofErr w:type="spellStart"/>
      <w:r w:rsidR="00666D8F" w:rsidRPr="00666D8F">
        <w:rPr>
          <w:szCs w:val="24"/>
          <w:shd w:val="clear" w:color="auto" w:fill="FFFFFF"/>
        </w:rPr>
        <w:t>Sokolowski</w:t>
      </w:r>
      <w:proofErr w:type="spellEnd"/>
      <w:r w:rsidR="00666D8F">
        <w:rPr>
          <w:szCs w:val="24"/>
          <w:shd w:val="clear" w:color="auto" w:fill="FFFFFF"/>
        </w:rPr>
        <w:t xml:space="preserve"> </w:t>
      </w:r>
      <w:r w:rsidR="00666D8F" w:rsidRPr="00666D8F">
        <w:rPr>
          <w:szCs w:val="24"/>
          <w:shd w:val="clear" w:color="auto" w:fill="FFFFFF"/>
        </w:rPr>
        <w:t xml:space="preserve">&amp; </w:t>
      </w:r>
      <w:proofErr w:type="spellStart"/>
      <w:r w:rsidR="00666D8F" w:rsidRPr="00666D8F">
        <w:rPr>
          <w:szCs w:val="24"/>
          <w:shd w:val="clear" w:color="auto" w:fill="FFFFFF"/>
        </w:rPr>
        <w:t>Hilgemberg</w:t>
      </w:r>
      <w:proofErr w:type="spellEnd"/>
      <w:r w:rsidR="00666D8F">
        <w:rPr>
          <w:szCs w:val="24"/>
          <w:shd w:val="clear" w:color="auto" w:fill="FFFFFF"/>
        </w:rPr>
        <w:t>, 2008</w:t>
      </w:r>
      <w:r>
        <w:rPr>
          <w:szCs w:val="24"/>
        </w:rPr>
        <w:t>). “</w:t>
      </w:r>
      <w:r w:rsidRPr="00B53A81">
        <w:rPr>
          <w:szCs w:val="24"/>
        </w:rPr>
        <w:t xml:space="preserve">Pode-se considerar investimento qualquer aplicação </w:t>
      </w:r>
      <w:r>
        <w:rPr>
          <w:szCs w:val="24"/>
        </w:rPr>
        <w:t>que traga retorno financeiro.” (</w:t>
      </w:r>
      <w:proofErr w:type="spellStart"/>
      <w:r>
        <w:rPr>
          <w:szCs w:val="24"/>
        </w:rPr>
        <w:t>Piaia</w:t>
      </w:r>
      <w:proofErr w:type="spellEnd"/>
      <w:r>
        <w:rPr>
          <w:szCs w:val="24"/>
        </w:rPr>
        <w:t>, 2008, pág. 29). O Sistema Financeiro Brasileiro (SFB) possui diversas modalidades de investimento, dentre as principais, constam:</w:t>
      </w:r>
    </w:p>
    <w:p w14:paraId="14299E04" w14:textId="77777777" w:rsidR="00B6148C" w:rsidRDefault="00B6148C" w:rsidP="00B6148C">
      <w:pPr>
        <w:rPr>
          <w:szCs w:val="24"/>
        </w:rPr>
      </w:pPr>
      <w:r>
        <w:rPr>
          <w:szCs w:val="24"/>
        </w:rPr>
        <w:t xml:space="preserve">a) Poupança: considerada um dos investimentos mais conservadores do sistema financeiro brasileiro. </w:t>
      </w:r>
      <w:proofErr w:type="spellStart"/>
      <w:r>
        <w:rPr>
          <w:szCs w:val="24"/>
        </w:rPr>
        <w:t>Cerbasi</w:t>
      </w:r>
      <w:proofErr w:type="spellEnd"/>
      <w:r>
        <w:rPr>
          <w:szCs w:val="24"/>
        </w:rPr>
        <w:t xml:space="preserve"> (2008) considera que a poupança é muito popular no Brasil devido a sua simplicidade e também sua previsibilidade no que tange ao rendimento, pois todos os bancos possuem a mesma taxa de rentabilidade.</w:t>
      </w:r>
    </w:p>
    <w:p w14:paraId="1B9FB6D4" w14:textId="77777777" w:rsidR="00B6148C" w:rsidRDefault="00B6148C" w:rsidP="00B6148C">
      <w:pPr>
        <w:rPr>
          <w:szCs w:val="24"/>
        </w:rPr>
      </w:pPr>
      <w:r>
        <w:rPr>
          <w:szCs w:val="24"/>
        </w:rPr>
        <w:t>b) Títulos de Renda Fixa e Certificados de Depósitos Bancários (CDB): esses tipos de investimento são considerados seguros, ou seja, de perfil conservador, para pessoas que não querem correr muito risco. Em geral, o investidor não terá surpresas negativas ao final da aplicação, pois haverá sempre uma rentabilidade garantida sobre o investimento, geralmente conhecida pelo investidor no início da operação (</w:t>
      </w:r>
      <w:proofErr w:type="spellStart"/>
      <w:r>
        <w:rPr>
          <w:szCs w:val="24"/>
        </w:rPr>
        <w:t>Frankenberg</w:t>
      </w:r>
      <w:proofErr w:type="spellEnd"/>
      <w:r>
        <w:rPr>
          <w:szCs w:val="24"/>
        </w:rPr>
        <w:t xml:space="preserve">, 1999). Assim como a poupança, os títulos de renda </w:t>
      </w:r>
      <w:r>
        <w:rPr>
          <w:szCs w:val="24"/>
        </w:rPr>
        <w:lastRenderedPageBreak/>
        <w:t>fixa são protegidos pelo Fundo Garantidor de Crédito – FGC, reforçando o caráter conservador desses investimentos ao mitigar o risco do investimento.</w:t>
      </w:r>
    </w:p>
    <w:p w14:paraId="59359F68" w14:textId="77777777" w:rsidR="00B6148C" w:rsidRDefault="00B6148C" w:rsidP="00B6148C">
      <w:pPr>
        <w:rPr>
          <w:szCs w:val="24"/>
        </w:rPr>
      </w:pPr>
      <w:r>
        <w:rPr>
          <w:szCs w:val="24"/>
        </w:rPr>
        <w:t>c) Fundos de investimento: podem ser de renda fixa ou variável, representando uma forma de investimento coletivo. Eles reúnem recursos de diversas pessoas com o objetivo de obter ganhos a partir de aplicações no mercado financeiro (</w:t>
      </w:r>
      <w:proofErr w:type="spellStart"/>
      <w:r>
        <w:rPr>
          <w:szCs w:val="24"/>
        </w:rPr>
        <w:t>Sotto</w:t>
      </w:r>
      <w:proofErr w:type="spellEnd"/>
      <w:r>
        <w:rPr>
          <w:szCs w:val="24"/>
        </w:rPr>
        <w:t>-Maior, 2015).</w:t>
      </w:r>
    </w:p>
    <w:p w14:paraId="7931420D" w14:textId="77777777" w:rsidR="00B6148C" w:rsidRDefault="00B6148C" w:rsidP="00B6148C">
      <w:pPr>
        <w:rPr>
          <w:szCs w:val="24"/>
        </w:rPr>
      </w:pPr>
      <w:r>
        <w:rPr>
          <w:szCs w:val="24"/>
        </w:rPr>
        <w:t>d) Renda variável: nessa forma de investimento não é possível prever os lucros, como ocorre nos títulos de renda fixa, ou seja, há a incerteza de ganhos no futuro. Entende-se, portanto, que na renda variável corre-se o risco de ter perdas e ganhos (</w:t>
      </w:r>
      <w:proofErr w:type="spellStart"/>
      <w:r>
        <w:rPr>
          <w:szCs w:val="24"/>
        </w:rPr>
        <w:t>Cerbasi</w:t>
      </w:r>
      <w:proofErr w:type="spellEnd"/>
      <w:r>
        <w:rPr>
          <w:szCs w:val="24"/>
        </w:rPr>
        <w:t xml:space="preserve">, 2008). Porém, diante do maior risco, há também a possibilidade de maiores retornos. Cabe destacar que embora não sejam comuns, alguns </w:t>
      </w:r>
      <w:proofErr w:type="spellStart"/>
      <w:r>
        <w:rPr>
          <w:szCs w:val="24"/>
        </w:rPr>
        <w:t>CDB’s</w:t>
      </w:r>
      <w:proofErr w:type="spellEnd"/>
      <w:r>
        <w:rPr>
          <w:szCs w:val="24"/>
        </w:rPr>
        <w:t xml:space="preserve"> assumem forma de renda variável.</w:t>
      </w:r>
    </w:p>
    <w:p w14:paraId="71BFF4CA" w14:textId="77777777" w:rsidR="00B6148C" w:rsidRPr="005926DA" w:rsidRDefault="00B6148C" w:rsidP="00B6148C">
      <w:pPr>
        <w:rPr>
          <w:b/>
          <w:szCs w:val="24"/>
        </w:rPr>
      </w:pPr>
      <w:r>
        <w:rPr>
          <w:szCs w:val="24"/>
        </w:rPr>
        <w:t xml:space="preserve">Em se tratando de renda variável, tem-se que a principal forma de investimento é a compra e venda de ações no mercado de capitais, muito embora o cidadão brasileiro, em geral, não adentre nesse âmbito. Para Pereira (2010), quando um investidor aplica recursos em ações de uma empresa, ele está comprando uma parte desta empresa, ou seja, está se tornando sócio dela. </w:t>
      </w:r>
      <w:proofErr w:type="spellStart"/>
      <w:r>
        <w:rPr>
          <w:szCs w:val="24"/>
        </w:rPr>
        <w:t>Cerbasi</w:t>
      </w:r>
      <w:proofErr w:type="spellEnd"/>
      <w:r>
        <w:rPr>
          <w:szCs w:val="24"/>
        </w:rPr>
        <w:t xml:space="preserve"> (2008) completa isso ao explicar que investir em ações é adquirir o direito de participar dos lucros e também dos prejuízos que uma empresa pode ter. </w:t>
      </w:r>
    </w:p>
    <w:p w14:paraId="6C1EE430" w14:textId="77777777" w:rsidR="00B6148C" w:rsidRDefault="00B6148C" w:rsidP="00B6148C">
      <w:pPr>
        <w:rPr>
          <w:szCs w:val="24"/>
        </w:rPr>
      </w:pPr>
      <w:r>
        <w:rPr>
          <w:szCs w:val="24"/>
        </w:rPr>
        <w:t xml:space="preserve">Para gerar noções sobre o perfil do investidor brasileiro, tem-se o levantamento feito pela </w:t>
      </w:r>
      <w:r w:rsidRPr="001964A3">
        <w:rPr>
          <w:szCs w:val="24"/>
        </w:rPr>
        <w:t>Confederação Nacional de Dirigentes Lojistas (CNDL) e pelo Serviço de Proteção ao Crédito (SPC Brasil)</w:t>
      </w:r>
      <w:r>
        <w:rPr>
          <w:szCs w:val="24"/>
        </w:rPr>
        <w:t xml:space="preserve"> em parceria com a Comissão de Valores Imobiliários (CVM) (2018). Diante de uma amostra de 680 pessoas, o estudo revelou que 69% entrevistados mantém suas reservas financeiras na poupança, enquanto o Tesouro Direto e os </w:t>
      </w:r>
      <w:proofErr w:type="spellStart"/>
      <w:r>
        <w:rPr>
          <w:szCs w:val="24"/>
        </w:rPr>
        <w:t>CDB’s</w:t>
      </w:r>
      <w:proofErr w:type="spellEnd"/>
      <w:r>
        <w:rPr>
          <w:szCs w:val="24"/>
        </w:rPr>
        <w:t xml:space="preserve"> são representados ambos com 9% das respostas.</w:t>
      </w:r>
    </w:p>
    <w:p w14:paraId="7824FA8C" w14:textId="77777777" w:rsidR="00B6148C" w:rsidRDefault="00B6148C" w:rsidP="00B6148C">
      <w:pPr>
        <w:rPr>
          <w:szCs w:val="24"/>
        </w:rPr>
      </w:pPr>
      <w:r>
        <w:rPr>
          <w:szCs w:val="24"/>
        </w:rPr>
        <w:t xml:space="preserve">Essa pesquisa aponta, por exemplo, que as pessoas conhecem como investimento o carro particular para uso próprio, sendo essa crença representada por 41% dos entrevistados. Achados como este corroboram com o entendimento de que o brasileiro não conhece os produtos financeiros disponíveis, diagnosticando, portanto, uma possível razão para que a poupança, mesmo tendo a menor rentabilidade, ainda seja frequentemente procurada pelos brasileiros quando se trata de investimentos. </w:t>
      </w:r>
    </w:p>
    <w:p w14:paraId="3DACC977" w14:textId="77777777" w:rsidR="00B6148C" w:rsidRDefault="00B6148C" w:rsidP="00B6148C">
      <w:pPr>
        <w:tabs>
          <w:tab w:val="left" w:pos="709"/>
        </w:tabs>
        <w:ind w:firstLine="708"/>
        <w:rPr>
          <w:szCs w:val="24"/>
        </w:rPr>
      </w:pPr>
    </w:p>
    <w:p w14:paraId="28B9B6C5" w14:textId="77777777" w:rsidR="00B6148C" w:rsidRPr="00A74C0F" w:rsidRDefault="00B6148C" w:rsidP="00B6148C">
      <w:pPr>
        <w:tabs>
          <w:tab w:val="left" w:pos="709"/>
        </w:tabs>
        <w:ind w:firstLine="0"/>
        <w:rPr>
          <w:b/>
          <w:szCs w:val="24"/>
        </w:rPr>
      </w:pPr>
      <w:r w:rsidRPr="00A74C0F">
        <w:rPr>
          <w:b/>
          <w:szCs w:val="24"/>
        </w:rPr>
        <w:t>2.3 A Educação Financeira no Ensino Superior</w:t>
      </w:r>
    </w:p>
    <w:p w14:paraId="77A5638D" w14:textId="2777B86E" w:rsidR="00B6148C" w:rsidRPr="006A1F5B" w:rsidRDefault="00B6148C" w:rsidP="00B6148C">
      <w:pPr>
        <w:shd w:val="clear" w:color="auto" w:fill="FFFFFF" w:themeFill="background1"/>
        <w:rPr>
          <w:bCs/>
          <w:szCs w:val="24"/>
        </w:rPr>
      </w:pPr>
      <w:r w:rsidRPr="00262180">
        <w:rPr>
          <w:bCs/>
          <w:szCs w:val="24"/>
        </w:rPr>
        <w:t xml:space="preserve">Conforme preconizam Savoia, Saito e Santana (2007), </w:t>
      </w:r>
      <w:r w:rsidRPr="00262180">
        <w:rPr>
          <w:szCs w:val="24"/>
        </w:rPr>
        <w:t xml:space="preserve">não há obrigatoriedade da educação financeira no sistema de ensino. O </w:t>
      </w:r>
      <w:r>
        <w:rPr>
          <w:szCs w:val="24"/>
        </w:rPr>
        <w:t>Ministério da Educação (</w:t>
      </w:r>
      <w:r w:rsidRPr="00262180">
        <w:rPr>
          <w:szCs w:val="24"/>
        </w:rPr>
        <w:t>MEC</w:t>
      </w:r>
      <w:r>
        <w:rPr>
          <w:szCs w:val="24"/>
        </w:rPr>
        <w:t>)</w:t>
      </w:r>
      <w:r w:rsidRPr="00262180">
        <w:rPr>
          <w:szCs w:val="24"/>
        </w:rPr>
        <w:t xml:space="preserve"> prioriza um processo de aprendizagem multidisciplinar, incentivando o raciocínio e a capacidade de aprender, visando a inserção dos estudantes na vida adulta. Diante dessa realidade,</w:t>
      </w:r>
      <w:r w:rsidRPr="00262180">
        <w:rPr>
          <w:bCs/>
          <w:szCs w:val="24"/>
        </w:rPr>
        <w:t xml:space="preserve"> </w:t>
      </w:r>
      <w:r>
        <w:rPr>
          <w:bCs/>
          <w:szCs w:val="24"/>
        </w:rPr>
        <w:t>os</w:t>
      </w:r>
      <w:r w:rsidRPr="00262180">
        <w:rPr>
          <w:bCs/>
          <w:szCs w:val="24"/>
        </w:rPr>
        <w:t xml:space="preserve"> brasileiros não </w:t>
      </w:r>
      <w:r>
        <w:rPr>
          <w:bCs/>
          <w:szCs w:val="24"/>
        </w:rPr>
        <w:t>adquirem</w:t>
      </w:r>
      <w:r w:rsidRPr="00262180">
        <w:rPr>
          <w:bCs/>
          <w:szCs w:val="24"/>
        </w:rPr>
        <w:t xml:space="preserve"> o hábito de poupar, pois não </w:t>
      </w:r>
      <w:r>
        <w:rPr>
          <w:bCs/>
          <w:szCs w:val="24"/>
        </w:rPr>
        <w:t>foram</w:t>
      </w:r>
      <w:r w:rsidRPr="00262180">
        <w:rPr>
          <w:bCs/>
          <w:szCs w:val="24"/>
        </w:rPr>
        <w:t xml:space="preserve"> educados na infância ou sequer na v</w:t>
      </w:r>
      <w:r w:rsidRPr="000407C2">
        <w:rPr>
          <w:bCs/>
          <w:szCs w:val="24"/>
        </w:rPr>
        <w:t xml:space="preserve">ida adulta a gerir </w:t>
      </w:r>
      <w:r>
        <w:rPr>
          <w:bCs/>
          <w:szCs w:val="24"/>
        </w:rPr>
        <w:t>o</w:t>
      </w:r>
      <w:r w:rsidRPr="000407C2">
        <w:rPr>
          <w:bCs/>
          <w:szCs w:val="24"/>
        </w:rPr>
        <w:t xml:space="preserve"> próprio dinheiro</w:t>
      </w:r>
      <w:r>
        <w:rPr>
          <w:bCs/>
          <w:szCs w:val="24"/>
        </w:rPr>
        <w:t>, já que o sistema de ensino comum não privilegia este tema</w:t>
      </w:r>
      <w:r>
        <w:rPr>
          <w:bCs/>
          <w:color w:val="FF0000"/>
          <w:szCs w:val="24"/>
        </w:rPr>
        <w:t xml:space="preserve"> </w:t>
      </w:r>
      <w:r>
        <w:rPr>
          <w:bCs/>
          <w:szCs w:val="24"/>
        </w:rPr>
        <w:t>(</w:t>
      </w:r>
      <w:proofErr w:type="spellStart"/>
      <w:r w:rsidR="00666D8F">
        <w:rPr>
          <w:szCs w:val="24"/>
          <w:shd w:val="clear" w:color="auto" w:fill="FFFFFF"/>
        </w:rPr>
        <w:t>Halles</w:t>
      </w:r>
      <w:proofErr w:type="spellEnd"/>
      <w:r w:rsidR="00666D8F" w:rsidRPr="00666D8F">
        <w:rPr>
          <w:szCs w:val="24"/>
          <w:shd w:val="clear" w:color="auto" w:fill="FFFFFF"/>
        </w:rPr>
        <w:t xml:space="preserve">, </w:t>
      </w:r>
      <w:proofErr w:type="spellStart"/>
      <w:r w:rsidR="00666D8F" w:rsidRPr="00666D8F">
        <w:rPr>
          <w:szCs w:val="24"/>
          <w:shd w:val="clear" w:color="auto" w:fill="FFFFFF"/>
        </w:rPr>
        <w:t>Sokolowski</w:t>
      </w:r>
      <w:proofErr w:type="spellEnd"/>
      <w:r w:rsidR="00666D8F">
        <w:rPr>
          <w:szCs w:val="24"/>
          <w:shd w:val="clear" w:color="auto" w:fill="FFFFFF"/>
        </w:rPr>
        <w:t xml:space="preserve"> </w:t>
      </w:r>
      <w:r w:rsidR="00666D8F" w:rsidRPr="00666D8F">
        <w:rPr>
          <w:szCs w:val="24"/>
          <w:shd w:val="clear" w:color="auto" w:fill="FFFFFF"/>
        </w:rPr>
        <w:t xml:space="preserve">&amp; </w:t>
      </w:r>
      <w:proofErr w:type="spellStart"/>
      <w:r w:rsidR="00666D8F" w:rsidRPr="00666D8F">
        <w:rPr>
          <w:szCs w:val="24"/>
          <w:shd w:val="clear" w:color="auto" w:fill="FFFFFF"/>
        </w:rPr>
        <w:t>Hilgemberg</w:t>
      </w:r>
      <w:proofErr w:type="spellEnd"/>
      <w:r w:rsidR="00666D8F">
        <w:rPr>
          <w:szCs w:val="24"/>
          <w:shd w:val="clear" w:color="auto" w:fill="FFFFFF"/>
        </w:rPr>
        <w:t>, 2008</w:t>
      </w:r>
      <w:r>
        <w:rPr>
          <w:bCs/>
          <w:szCs w:val="24"/>
        </w:rPr>
        <w:t>).</w:t>
      </w:r>
    </w:p>
    <w:p w14:paraId="1EE91D13" w14:textId="77777777" w:rsidR="00B6148C" w:rsidRDefault="00B6148C" w:rsidP="00B6148C">
      <w:pPr>
        <w:rPr>
          <w:szCs w:val="24"/>
        </w:rPr>
      </w:pPr>
      <w:r>
        <w:rPr>
          <w:szCs w:val="24"/>
        </w:rPr>
        <w:t xml:space="preserve">Alguns estudos abordam a questão da educação financeira no contexto universitário, sendo apresentados alguns deles, a seguir. </w:t>
      </w:r>
    </w:p>
    <w:p w14:paraId="700D1753" w14:textId="77777777" w:rsidR="00B6148C" w:rsidRDefault="00B6148C" w:rsidP="00B6148C">
      <w:pPr>
        <w:rPr>
          <w:szCs w:val="24"/>
        </w:rPr>
      </w:pPr>
      <w:r>
        <w:rPr>
          <w:szCs w:val="24"/>
        </w:rPr>
        <w:t xml:space="preserve">Vieira et al. (2011) comparam o nível de conceitos sobre consumo, investimento e poupança entre os alunos das primeiras e últimas fases dos cursos </w:t>
      </w:r>
      <w:r w:rsidRPr="001F2255">
        <w:rPr>
          <w:szCs w:val="24"/>
        </w:rPr>
        <w:t>de Administração, Ciências Econômicas e Ciências Contábeis</w:t>
      </w:r>
      <w:r>
        <w:rPr>
          <w:szCs w:val="24"/>
        </w:rPr>
        <w:t xml:space="preserve"> de uma universidade pública do norte do Paraná mediante uma amostra de 610 </w:t>
      </w:r>
      <w:r>
        <w:rPr>
          <w:szCs w:val="24"/>
        </w:rPr>
        <w:lastRenderedPageBreak/>
        <w:t>estudantes. A hipótese de que o</w:t>
      </w:r>
      <w:r w:rsidRPr="001F2255">
        <w:rPr>
          <w:szCs w:val="24"/>
        </w:rPr>
        <w:t>s alunos dos cursos</w:t>
      </w:r>
      <w:r>
        <w:rPr>
          <w:szCs w:val="24"/>
        </w:rPr>
        <w:t xml:space="preserve"> pesquisados no</w:t>
      </w:r>
      <w:r w:rsidRPr="001F2255">
        <w:rPr>
          <w:szCs w:val="24"/>
        </w:rPr>
        <w:t xml:space="preserve"> último ano </w:t>
      </w:r>
      <w:r>
        <w:rPr>
          <w:szCs w:val="24"/>
        </w:rPr>
        <w:t>possuíam</w:t>
      </w:r>
      <w:r w:rsidRPr="001F2255">
        <w:rPr>
          <w:szCs w:val="24"/>
        </w:rPr>
        <w:t xml:space="preserve"> </w:t>
      </w:r>
      <w:r>
        <w:rPr>
          <w:szCs w:val="24"/>
        </w:rPr>
        <w:t>mais competências para</w:t>
      </w:r>
      <w:r w:rsidRPr="001F2255">
        <w:rPr>
          <w:szCs w:val="24"/>
        </w:rPr>
        <w:t xml:space="preserve"> reconhecer e manipular os conceitos chave de finanças do que os alunos dos me</w:t>
      </w:r>
      <w:r>
        <w:rPr>
          <w:szCs w:val="24"/>
        </w:rPr>
        <w:t>smos cursos nas séries iniciais, não foi confirmada.</w:t>
      </w:r>
    </w:p>
    <w:p w14:paraId="4144B88C" w14:textId="77777777" w:rsidR="00B6148C" w:rsidRDefault="00B6148C" w:rsidP="00B6148C">
      <w:pPr>
        <w:rPr>
          <w:szCs w:val="24"/>
        </w:rPr>
      </w:pPr>
      <w:proofErr w:type="spellStart"/>
      <w:r>
        <w:rPr>
          <w:szCs w:val="24"/>
        </w:rPr>
        <w:t>Donadio</w:t>
      </w:r>
      <w:proofErr w:type="spellEnd"/>
      <w:r w:rsidRPr="00B42E37">
        <w:rPr>
          <w:szCs w:val="24"/>
        </w:rPr>
        <w:t xml:space="preserve"> (2014) analisou a educação financeira de estudantes universitários e suas relações com variáveis psicológicas e sociológicas.</w:t>
      </w:r>
      <w:r>
        <w:rPr>
          <w:szCs w:val="24"/>
        </w:rPr>
        <w:t xml:space="preserve"> A pesquisa demonstrou que as disciplinas relacionadas à finanças tinham relevância no nível de educação financeiras dos estudantes. A pesquisa demonstra também, que os alunos que tinham uma preocupação maior com o bem-estar em curto prazo detinham menor nível de educação financeira.</w:t>
      </w:r>
    </w:p>
    <w:p w14:paraId="0468B432" w14:textId="77777777" w:rsidR="00B6148C" w:rsidRDefault="00B6148C" w:rsidP="00B6148C">
      <w:pPr>
        <w:shd w:val="clear" w:color="auto" w:fill="FFFFFF" w:themeFill="background1"/>
        <w:tabs>
          <w:tab w:val="decimal" w:leader="dot" w:pos="66"/>
          <w:tab w:val="decimal" w:leader="dot" w:pos="1701"/>
        </w:tabs>
        <w:rPr>
          <w:bCs/>
          <w:szCs w:val="24"/>
        </w:rPr>
      </w:pPr>
      <w:r>
        <w:rPr>
          <w:bCs/>
          <w:szCs w:val="24"/>
        </w:rPr>
        <w:t>Rodrigues e Carvalho (2017) realizaram um estudo com os estudantes da Universidade Federal do Piauí no qual foi analisado o nível de educação financeira dos acadêmicos de Administração e Contabilidade. Por meio do estudo realizado, os autores constataram que o nível de conhecimento financeiro destes alunos é insatisfatório, e a formação acadêmica em cursos de gestão como Administração e Ciências Contábeis gera melhorias na educação financeira dos acadêmicos. Destaca-se aqui que, diferentemente da referida pesquisa, o presente trabalho visa comparar os discentes dos cursos de gestão com os das demais áreas.</w:t>
      </w:r>
    </w:p>
    <w:p w14:paraId="3FD593C4" w14:textId="77777777" w:rsidR="00B6148C" w:rsidRPr="002675F6" w:rsidRDefault="00B6148C" w:rsidP="00B6148C">
      <w:pPr>
        <w:pStyle w:val="PargrafodaLista"/>
        <w:spacing w:line="240" w:lineRule="auto"/>
        <w:ind w:left="0" w:firstLine="709"/>
        <w:jc w:val="both"/>
        <w:rPr>
          <w:rFonts w:ascii="Times New Roman" w:hAnsi="Times New Roman" w:cs="Times New Roman"/>
          <w:bCs/>
          <w:sz w:val="24"/>
          <w:szCs w:val="24"/>
        </w:rPr>
      </w:pPr>
      <w:r>
        <w:rPr>
          <w:rFonts w:ascii="Times New Roman" w:hAnsi="Times New Roman" w:cs="Times New Roman"/>
          <w:bCs/>
          <w:sz w:val="24"/>
          <w:szCs w:val="24"/>
        </w:rPr>
        <w:t xml:space="preserve">Por fim, </w:t>
      </w:r>
      <w:r w:rsidRPr="002675F6">
        <w:rPr>
          <w:rFonts w:ascii="Times New Roman" w:hAnsi="Times New Roman" w:cs="Times New Roman"/>
          <w:bCs/>
          <w:sz w:val="24"/>
          <w:szCs w:val="24"/>
        </w:rPr>
        <w:t>Andrade e Lucena (2018)</w:t>
      </w:r>
      <w:r>
        <w:rPr>
          <w:rFonts w:ascii="Times New Roman" w:hAnsi="Times New Roman" w:cs="Times New Roman"/>
          <w:bCs/>
          <w:sz w:val="24"/>
          <w:szCs w:val="24"/>
        </w:rPr>
        <w:t xml:space="preserve"> </w:t>
      </w:r>
      <w:r w:rsidRPr="002675F6">
        <w:rPr>
          <w:rFonts w:ascii="Times New Roman" w:hAnsi="Times New Roman" w:cs="Times New Roman"/>
          <w:bCs/>
          <w:sz w:val="24"/>
          <w:szCs w:val="24"/>
        </w:rPr>
        <w:t>verificaram a re</w:t>
      </w:r>
      <w:r>
        <w:rPr>
          <w:rFonts w:ascii="Times New Roman" w:hAnsi="Times New Roman" w:cs="Times New Roman"/>
          <w:bCs/>
          <w:sz w:val="24"/>
          <w:szCs w:val="24"/>
        </w:rPr>
        <w:t xml:space="preserve">lação entre o nível de educação </w:t>
      </w:r>
      <w:r w:rsidRPr="002675F6">
        <w:rPr>
          <w:rFonts w:ascii="Times New Roman" w:hAnsi="Times New Roman" w:cs="Times New Roman"/>
          <w:bCs/>
          <w:sz w:val="24"/>
          <w:szCs w:val="24"/>
        </w:rPr>
        <w:t xml:space="preserve">financeira </w:t>
      </w:r>
      <w:r>
        <w:rPr>
          <w:rFonts w:ascii="Times New Roman" w:hAnsi="Times New Roman" w:cs="Times New Roman"/>
          <w:bCs/>
          <w:sz w:val="24"/>
          <w:szCs w:val="24"/>
        </w:rPr>
        <w:t xml:space="preserve">de diferentes grupos acadêmicos. Os achados apontam que a </w:t>
      </w:r>
      <w:r w:rsidRPr="002675F6">
        <w:rPr>
          <w:rFonts w:ascii="Times New Roman" w:hAnsi="Times New Roman" w:cs="Times New Roman"/>
          <w:bCs/>
          <w:sz w:val="24"/>
          <w:szCs w:val="24"/>
        </w:rPr>
        <w:t xml:space="preserve">graduação </w:t>
      </w:r>
      <w:r>
        <w:rPr>
          <w:rFonts w:ascii="Times New Roman" w:hAnsi="Times New Roman" w:cs="Times New Roman"/>
          <w:bCs/>
          <w:sz w:val="24"/>
          <w:szCs w:val="24"/>
        </w:rPr>
        <w:t>é estatisticamente significativa</w:t>
      </w:r>
      <w:r w:rsidRPr="002675F6">
        <w:rPr>
          <w:rFonts w:ascii="Times New Roman" w:hAnsi="Times New Roman" w:cs="Times New Roman"/>
          <w:bCs/>
          <w:sz w:val="24"/>
          <w:szCs w:val="24"/>
        </w:rPr>
        <w:t xml:space="preserve"> </w:t>
      </w:r>
      <w:r>
        <w:rPr>
          <w:rFonts w:ascii="Times New Roman" w:hAnsi="Times New Roman" w:cs="Times New Roman"/>
          <w:bCs/>
          <w:sz w:val="24"/>
          <w:szCs w:val="24"/>
        </w:rPr>
        <w:t>em relação ao</w:t>
      </w:r>
      <w:r w:rsidRPr="002675F6">
        <w:rPr>
          <w:rFonts w:ascii="Times New Roman" w:hAnsi="Times New Roman" w:cs="Times New Roman"/>
          <w:bCs/>
          <w:sz w:val="24"/>
          <w:szCs w:val="24"/>
        </w:rPr>
        <w:t xml:space="preserve"> conhecimento financeiro dos alunos</w:t>
      </w:r>
      <w:r>
        <w:rPr>
          <w:rFonts w:ascii="Times New Roman" w:hAnsi="Times New Roman" w:cs="Times New Roman"/>
          <w:bCs/>
          <w:sz w:val="24"/>
          <w:szCs w:val="24"/>
        </w:rPr>
        <w:t>,</w:t>
      </w:r>
      <w:r w:rsidRPr="002675F6">
        <w:rPr>
          <w:rFonts w:ascii="Times New Roman" w:hAnsi="Times New Roman" w:cs="Times New Roman"/>
          <w:bCs/>
          <w:sz w:val="24"/>
          <w:szCs w:val="24"/>
        </w:rPr>
        <w:t xml:space="preserve"> sugerindo que alunos de cursos que possuem disciplinas como economia, finanças e matemática apresentam conhecimento financeiro superior em relação aos demais alunos.</w:t>
      </w:r>
    </w:p>
    <w:p w14:paraId="7F92A97B" w14:textId="77777777" w:rsidR="00B6148C" w:rsidRPr="003357E8" w:rsidRDefault="00B6148C" w:rsidP="00B6148C">
      <w:pPr>
        <w:ind w:firstLine="0"/>
        <w:rPr>
          <w:szCs w:val="24"/>
        </w:rPr>
      </w:pPr>
      <w:r>
        <w:rPr>
          <w:b/>
          <w:szCs w:val="24"/>
        </w:rPr>
        <w:t>3</w:t>
      </w:r>
      <w:r w:rsidRPr="007D3E6D">
        <w:rPr>
          <w:b/>
          <w:szCs w:val="24"/>
        </w:rPr>
        <w:t xml:space="preserve"> </w:t>
      </w:r>
      <w:r>
        <w:rPr>
          <w:b/>
          <w:szCs w:val="24"/>
        </w:rPr>
        <w:t>Procedimentos Metodológicos</w:t>
      </w:r>
    </w:p>
    <w:p w14:paraId="25F972BC" w14:textId="776CE421" w:rsidR="00B6148C" w:rsidRPr="001B1BD2" w:rsidRDefault="00B6148C" w:rsidP="00B6148C">
      <w:pPr>
        <w:shd w:val="clear" w:color="auto" w:fill="FFFFFF" w:themeFill="background1"/>
        <w:tabs>
          <w:tab w:val="decimal" w:leader="dot" w:pos="66"/>
          <w:tab w:val="decimal" w:leader="dot" w:pos="1701"/>
        </w:tabs>
        <w:rPr>
          <w:bCs/>
          <w:szCs w:val="24"/>
        </w:rPr>
      </w:pPr>
      <w:r w:rsidRPr="003357E8">
        <w:rPr>
          <w:szCs w:val="24"/>
        </w:rPr>
        <w:t xml:space="preserve">Para </w:t>
      </w:r>
      <w:r>
        <w:rPr>
          <w:szCs w:val="24"/>
        </w:rPr>
        <w:t>atingir os objetivos propostos, foi realizada uma pesquisa descritiva, de levantamento</w:t>
      </w:r>
      <w:r w:rsidRPr="003357E8">
        <w:rPr>
          <w:szCs w:val="24"/>
        </w:rPr>
        <w:t xml:space="preserve"> </w:t>
      </w:r>
      <w:r>
        <w:rPr>
          <w:szCs w:val="24"/>
        </w:rPr>
        <w:t xml:space="preserve">tipo </w:t>
      </w:r>
      <w:proofErr w:type="spellStart"/>
      <w:r w:rsidRPr="003357E8">
        <w:rPr>
          <w:i/>
          <w:szCs w:val="24"/>
        </w:rPr>
        <w:t>survey</w:t>
      </w:r>
      <w:proofErr w:type="spellEnd"/>
      <w:r>
        <w:rPr>
          <w:szCs w:val="24"/>
        </w:rPr>
        <w:t xml:space="preserve"> </w:t>
      </w:r>
      <w:r w:rsidRPr="00AB331C">
        <w:rPr>
          <w:szCs w:val="24"/>
        </w:rPr>
        <w:t>(</w:t>
      </w:r>
      <w:proofErr w:type="spellStart"/>
      <w:r w:rsidRPr="00AB331C">
        <w:rPr>
          <w:szCs w:val="24"/>
        </w:rPr>
        <w:t>Bryman</w:t>
      </w:r>
      <w:proofErr w:type="spellEnd"/>
      <w:r>
        <w:rPr>
          <w:szCs w:val="24"/>
        </w:rPr>
        <w:t>, 2003</w:t>
      </w:r>
      <w:r w:rsidRPr="00AB331C">
        <w:rPr>
          <w:szCs w:val="24"/>
        </w:rPr>
        <w:t>)</w:t>
      </w:r>
      <w:r>
        <w:rPr>
          <w:szCs w:val="24"/>
        </w:rPr>
        <w:t xml:space="preserve"> e de</w:t>
      </w:r>
      <w:r w:rsidRPr="003357E8">
        <w:rPr>
          <w:bCs/>
          <w:szCs w:val="24"/>
        </w:rPr>
        <w:t xml:space="preserve"> </w:t>
      </w:r>
      <w:r>
        <w:rPr>
          <w:bCs/>
          <w:szCs w:val="24"/>
        </w:rPr>
        <w:t>abordagem</w:t>
      </w:r>
      <w:r w:rsidRPr="003357E8">
        <w:rPr>
          <w:bCs/>
          <w:szCs w:val="24"/>
        </w:rPr>
        <w:t xml:space="preserve"> quantitativa</w:t>
      </w:r>
      <w:r>
        <w:rPr>
          <w:bCs/>
          <w:szCs w:val="24"/>
        </w:rPr>
        <w:t xml:space="preserve"> (Richardson, </w:t>
      </w:r>
      <w:r w:rsidRPr="000407C2">
        <w:rPr>
          <w:bCs/>
          <w:szCs w:val="24"/>
        </w:rPr>
        <w:t>1999)</w:t>
      </w:r>
      <w:r>
        <w:rPr>
          <w:bCs/>
          <w:szCs w:val="24"/>
        </w:rPr>
        <w:t>. A</w:t>
      </w:r>
      <w:r w:rsidRPr="003357E8">
        <w:rPr>
          <w:bCs/>
          <w:szCs w:val="24"/>
        </w:rPr>
        <w:t xml:space="preserve"> população </w:t>
      </w:r>
      <w:r>
        <w:rPr>
          <w:bCs/>
          <w:szCs w:val="24"/>
        </w:rPr>
        <w:t xml:space="preserve">remete aos graduandos de uma universidade particular localizada em Santa Catarina. </w:t>
      </w:r>
      <w:r w:rsidRPr="001B1BD2">
        <w:rPr>
          <w:bCs/>
          <w:szCs w:val="24"/>
        </w:rPr>
        <w:t>A população inicial era de 594 respondentes, todavia, algumas observações foram eliminadas diante da ausência de respostas em todos os itens do questionário</w:t>
      </w:r>
      <w:r>
        <w:rPr>
          <w:bCs/>
          <w:szCs w:val="24"/>
        </w:rPr>
        <w:t xml:space="preserve"> (apresentado adiante)</w:t>
      </w:r>
      <w:r w:rsidRPr="001B1BD2">
        <w:rPr>
          <w:bCs/>
          <w:szCs w:val="24"/>
        </w:rPr>
        <w:t xml:space="preserve">. Ao todo, ocorreram 44 eliminações, </w:t>
      </w:r>
      <w:r>
        <w:rPr>
          <w:bCs/>
          <w:szCs w:val="24"/>
        </w:rPr>
        <w:t>culminando</w:t>
      </w:r>
      <w:r w:rsidRPr="001B1BD2">
        <w:rPr>
          <w:bCs/>
          <w:szCs w:val="24"/>
        </w:rPr>
        <w:t xml:space="preserve"> em uma amostra final de 550 respondentes</w:t>
      </w:r>
      <w:r>
        <w:rPr>
          <w:bCs/>
          <w:szCs w:val="24"/>
        </w:rPr>
        <w:t>.</w:t>
      </w:r>
    </w:p>
    <w:p w14:paraId="6DB36D5C" w14:textId="77777777" w:rsidR="00B6148C" w:rsidRDefault="00B6148C" w:rsidP="00B6148C">
      <w:pPr>
        <w:shd w:val="clear" w:color="auto" w:fill="FFFFFF" w:themeFill="background1"/>
        <w:tabs>
          <w:tab w:val="decimal" w:leader="dot" w:pos="0"/>
        </w:tabs>
        <w:rPr>
          <w:bCs/>
          <w:szCs w:val="24"/>
        </w:rPr>
      </w:pPr>
      <w:r w:rsidRPr="001B1BD2">
        <w:rPr>
          <w:bCs/>
          <w:szCs w:val="24"/>
        </w:rPr>
        <w:t>Os alunos em questão eram matriculados em cursos de ciências sociais aplicadas da área de negócios (administração e ciências contábeis), além de cursos das áreas de humanas, ciências ex</w:t>
      </w:r>
      <w:r w:rsidRPr="00B52F92">
        <w:rPr>
          <w:szCs w:val="24"/>
        </w:rPr>
        <w:t>atas e saúde</w:t>
      </w:r>
      <w:r>
        <w:rPr>
          <w:szCs w:val="24"/>
        </w:rPr>
        <w:t>. Todos os alunos estavam regularmente</w:t>
      </w:r>
      <w:r w:rsidRPr="00B42E37">
        <w:rPr>
          <w:szCs w:val="24"/>
        </w:rPr>
        <w:t xml:space="preserve"> </w:t>
      </w:r>
      <w:r w:rsidRPr="00B42E37">
        <w:rPr>
          <w:bCs/>
          <w:szCs w:val="24"/>
        </w:rPr>
        <w:t>matriculados no primeiro semestre no ano de 2019.</w:t>
      </w:r>
      <w:r>
        <w:rPr>
          <w:bCs/>
          <w:szCs w:val="24"/>
        </w:rPr>
        <w:t xml:space="preserve"> Com base nos estudos previamente mencionados, teve-se como hipótese geral de pesquisa:</w:t>
      </w:r>
    </w:p>
    <w:p w14:paraId="1777652D" w14:textId="77777777" w:rsidR="00B6148C" w:rsidRPr="00AD58C4" w:rsidRDefault="00B6148C" w:rsidP="00B6148C">
      <w:pPr>
        <w:shd w:val="clear" w:color="auto" w:fill="FFFFFF" w:themeFill="background1"/>
        <w:tabs>
          <w:tab w:val="decimal" w:leader="dot" w:pos="66"/>
          <w:tab w:val="decimal" w:leader="dot" w:pos="1701"/>
        </w:tabs>
        <w:rPr>
          <w:b/>
          <w:bCs/>
          <w:szCs w:val="24"/>
        </w:rPr>
      </w:pPr>
      <w:r>
        <w:rPr>
          <w:b/>
          <w:bCs/>
          <w:szCs w:val="24"/>
        </w:rPr>
        <w:t>H1</w:t>
      </w:r>
      <w:r w:rsidRPr="00AD58C4">
        <w:rPr>
          <w:b/>
          <w:bCs/>
          <w:szCs w:val="24"/>
        </w:rPr>
        <w:t xml:space="preserve">: </w:t>
      </w:r>
      <w:r>
        <w:rPr>
          <w:b/>
          <w:bCs/>
          <w:szCs w:val="24"/>
        </w:rPr>
        <w:t>Discentes dos cursos de gestão são mais educados financeiramente que discentes de áreas não relacionadas à gestão.</w:t>
      </w:r>
    </w:p>
    <w:p w14:paraId="5A712179" w14:textId="77777777" w:rsidR="00B6148C" w:rsidRDefault="00B6148C" w:rsidP="00B6148C">
      <w:pPr>
        <w:shd w:val="clear" w:color="auto" w:fill="FFFFFF" w:themeFill="background1"/>
        <w:tabs>
          <w:tab w:val="decimal" w:leader="dot" w:pos="66"/>
          <w:tab w:val="decimal" w:leader="dot" w:pos="1701"/>
        </w:tabs>
        <w:rPr>
          <w:bCs/>
          <w:noProof/>
          <w:color w:val="000000" w:themeColor="text1"/>
          <w:szCs w:val="24"/>
        </w:rPr>
      </w:pPr>
      <w:r>
        <w:rPr>
          <w:bCs/>
          <w:noProof/>
          <w:color w:val="000000" w:themeColor="text1"/>
          <w:szCs w:val="24"/>
        </w:rPr>
        <w:t xml:space="preserve">O questionário, utilizado como instrumento de pesquisa, foi elaborado para identificar o nível de conhecimento dos acadêmicos em relação a educação financeira. As questões abordam temas como: noções de poupança e investimento; planejamento financeiro; e endividamento. </w:t>
      </w:r>
      <w:r w:rsidRPr="003357E8">
        <w:rPr>
          <w:bCs/>
          <w:szCs w:val="24"/>
        </w:rPr>
        <w:t xml:space="preserve">Este questionário foi aplicado aos acadêmicos de forma </w:t>
      </w:r>
      <w:r>
        <w:rPr>
          <w:bCs/>
          <w:szCs w:val="24"/>
        </w:rPr>
        <w:t>presencial,</w:t>
      </w:r>
      <w:r w:rsidRPr="003357E8">
        <w:rPr>
          <w:bCs/>
          <w:szCs w:val="24"/>
        </w:rPr>
        <w:t xml:space="preserve"> com uma única </w:t>
      </w:r>
      <w:r>
        <w:rPr>
          <w:bCs/>
          <w:szCs w:val="24"/>
        </w:rPr>
        <w:t>vertente</w:t>
      </w:r>
      <w:r w:rsidRPr="003357E8">
        <w:rPr>
          <w:bCs/>
          <w:szCs w:val="24"/>
        </w:rPr>
        <w:t xml:space="preserve"> de identificação, o curso</w:t>
      </w:r>
      <w:r>
        <w:rPr>
          <w:bCs/>
          <w:szCs w:val="24"/>
        </w:rPr>
        <w:t xml:space="preserve"> no qual o respondente estava matriculado</w:t>
      </w:r>
      <w:r w:rsidRPr="003357E8">
        <w:rPr>
          <w:bCs/>
          <w:szCs w:val="24"/>
        </w:rPr>
        <w:t xml:space="preserve">. </w:t>
      </w:r>
      <w:r>
        <w:rPr>
          <w:bCs/>
          <w:szCs w:val="24"/>
        </w:rPr>
        <w:t xml:space="preserve">As proposições foram elaboradas a partir do estudo de </w:t>
      </w:r>
      <w:r w:rsidRPr="00513B17">
        <w:rPr>
          <w:szCs w:val="24"/>
          <w:shd w:val="clear" w:color="auto" w:fill="FFFFFF"/>
        </w:rPr>
        <w:t>Silva</w:t>
      </w:r>
      <w:r>
        <w:rPr>
          <w:szCs w:val="24"/>
          <w:shd w:val="clear" w:color="auto" w:fill="FFFFFF"/>
        </w:rPr>
        <w:t xml:space="preserve">, Neto </w:t>
      </w:r>
      <w:r w:rsidRPr="00513B17">
        <w:rPr>
          <w:szCs w:val="24"/>
          <w:shd w:val="clear" w:color="auto" w:fill="FFFFFF"/>
        </w:rPr>
        <w:t xml:space="preserve">&amp; </w:t>
      </w:r>
      <w:r>
        <w:rPr>
          <w:szCs w:val="24"/>
          <w:shd w:val="clear" w:color="auto" w:fill="FFFFFF"/>
        </w:rPr>
        <w:t xml:space="preserve">Araújo (2017). </w:t>
      </w:r>
      <w:r>
        <w:rPr>
          <w:bCs/>
          <w:szCs w:val="24"/>
        </w:rPr>
        <w:t xml:space="preserve"> A Tabela 1 apresenta as assertivas do questionário</w:t>
      </w:r>
      <w:r>
        <w:rPr>
          <w:bCs/>
          <w:noProof/>
          <w:color w:val="000000" w:themeColor="text1"/>
          <w:szCs w:val="24"/>
        </w:rPr>
        <w:t>.</w:t>
      </w:r>
    </w:p>
    <w:p w14:paraId="411E0CA7" w14:textId="77777777" w:rsidR="00B6148C" w:rsidRDefault="00B6148C" w:rsidP="00B6148C">
      <w:pPr>
        <w:shd w:val="clear" w:color="auto" w:fill="FFFFFF" w:themeFill="background1"/>
        <w:tabs>
          <w:tab w:val="decimal" w:leader="dot" w:pos="66"/>
          <w:tab w:val="decimal" w:leader="dot" w:pos="1701"/>
        </w:tabs>
        <w:ind w:firstLine="0"/>
        <w:rPr>
          <w:sz w:val="20"/>
        </w:rPr>
      </w:pPr>
    </w:p>
    <w:p w14:paraId="1CEFA248" w14:textId="77777777" w:rsidR="00B6148C" w:rsidRDefault="00B6148C" w:rsidP="00B6148C">
      <w:pPr>
        <w:shd w:val="clear" w:color="auto" w:fill="FFFFFF" w:themeFill="background1"/>
        <w:tabs>
          <w:tab w:val="decimal" w:leader="dot" w:pos="66"/>
          <w:tab w:val="decimal" w:leader="dot" w:pos="1701"/>
        </w:tabs>
        <w:ind w:firstLine="0"/>
        <w:rPr>
          <w:sz w:val="20"/>
        </w:rPr>
      </w:pPr>
    </w:p>
    <w:p w14:paraId="38D83983" w14:textId="77777777" w:rsidR="00B6148C" w:rsidRPr="0002019F" w:rsidRDefault="00B6148C" w:rsidP="00B6148C">
      <w:pPr>
        <w:shd w:val="clear" w:color="auto" w:fill="FFFFFF" w:themeFill="background1"/>
        <w:tabs>
          <w:tab w:val="decimal" w:leader="dot" w:pos="66"/>
          <w:tab w:val="decimal" w:leader="dot" w:pos="1701"/>
        </w:tabs>
        <w:ind w:firstLine="0"/>
        <w:rPr>
          <w:sz w:val="20"/>
        </w:rPr>
      </w:pPr>
      <w:r w:rsidRPr="0002019F">
        <w:rPr>
          <w:sz w:val="20"/>
        </w:rPr>
        <w:t>Tabela 1. Questionário de Pesquisa</w:t>
      </w:r>
    </w:p>
    <w:tbl>
      <w:tblPr>
        <w:tblStyle w:val="SombreamentoClaro"/>
        <w:tblW w:w="9072" w:type="dxa"/>
        <w:tblBorders>
          <w:top w:val="single" w:sz="4" w:space="0" w:color="auto"/>
          <w:bottom w:val="single" w:sz="4" w:space="0" w:color="auto"/>
          <w:insideH w:val="single" w:sz="4" w:space="0" w:color="auto"/>
        </w:tblBorders>
        <w:tblLook w:val="04A0" w:firstRow="1" w:lastRow="0" w:firstColumn="1" w:lastColumn="0" w:noHBand="0" w:noVBand="1"/>
      </w:tblPr>
      <w:tblGrid>
        <w:gridCol w:w="2268"/>
        <w:gridCol w:w="6804"/>
      </w:tblGrid>
      <w:tr w:rsidR="00B6148C" w14:paraId="54E57207" w14:textId="77777777" w:rsidTr="00B61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Borders>
              <w:top w:val="none" w:sz="0" w:space="0" w:color="auto"/>
              <w:left w:val="none" w:sz="0" w:space="0" w:color="auto"/>
              <w:bottom w:val="none" w:sz="0" w:space="0" w:color="auto"/>
              <w:right w:val="none" w:sz="0" w:space="0" w:color="auto"/>
            </w:tcBorders>
            <w:shd w:val="clear" w:color="auto" w:fill="auto"/>
            <w:vAlign w:val="center"/>
          </w:tcPr>
          <w:p w14:paraId="5A231E12" w14:textId="77777777" w:rsidR="00B6148C" w:rsidRPr="00B17D23" w:rsidRDefault="00B6148C" w:rsidP="00B6148C">
            <w:pPr>
              <w:pStyle w:val="PargrafodaLista"/>
              <w:spacing w:after="0" w:line="240" w:lineRule="auto"/>
              <w:ind w:left="0"/>
              <w:jc w:val="center"/>
              <w:rPr>
                <w:rFonts w:ascii="Times New Roman" w:hAnsi="Times New Roman" w:cs="Times New Roman"/>
                <w:sz w:val="20"/>
                <w:szCs w:val="20"/>
                <w:lang w:eastAsia="pt-BR"/>
              </w:rPr>
            </w:pPr>
            <w:r>
              <w:rPr>
                <w:rFonts w:ascii="Times New Roman" w:hAnsi="Times New Roman" w:cs="Times New Roman"/>
                <w:sz w:val="20"/>
                <w:szCs w:val="20"/>
                <w:lang w:eastAsia="pt-BR"/>
              </w:rPr>
              <w:t>Bloco</w:t>
            </w:r>
          </w:p>
        </w:tc>
        <w:tc>
          <w:tcPr>
            <w:tcW w:w="6804" w:type="dxa"/>
            <w:tcBorders>
              <w:top w:val="none" w:sz="0" w:space="0" w:color="auto"/>
              <w:left w:val="none" w:sz="0" w:space="0" w:color="auto"/>
              <w:bottom w:val="none" w:sz="0" w:space="0" w:color="auto"/>
              <w:right w:val="none" w:sz="0" w:space="0" w:color="auto"/>
            </w:tcBorders>
            <w:shd w:val="clear" w:color="auto" w:fill="auto"/>
          </w:tcPr>
          <w:p w14:paraId="10457D52" w14:textId="77777777" w:rsidR="00B6148C" w:rsidRPr="00CC0335" w:rsidRDefault="00B6148C" w:rsidP="00B6148C">
            <w:pPr>
              <w:pStyle w:val="PargrafodaLista"/>
              <w:spacing w:after="0" w:line="240" w:lineRule="auto"/>
              <w:ind w:left="0"/>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pt-BR"/>
              </w:rPr>
            </w:pPr>
            <w:r>
              <w:rPr>
                <w:rFonts w:ascii="Times New Roman" w:hAnsi="Times New Roman" w:cs="Times New Roman"/>
                <w:sz w:val="20"/>
                <w:szCs w:val="20"/>
                <w:lang w:eastAsia="pt-BR"/>
              </w:rPr>
              <w:t>Variáveis</w:t>
            </w:r>
          </w:p>
        </w:tc>
      </w:tr>
      <w:tr w:rsidR="00B6148C" w14:paraId="36668AC4" w14:textId="77777777" w:rsidTr="00B6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Merge w:val="restart"/>
            <w:tcBorders>
              <w:left w:val="none" w:sz="0" w:space="0" w:color="auto"/>
              <w:right w:val="none" w:sz="0" w:space="0" w:color="auto"/>
            </w:tcBorders>
            <w:shd w:val="clear" w:color="auto" w:fill="auto"/>
            <w:vAlign w:val="center"/>
          </w:tcPr>
          <w:p w14:paraId="01545C13" w14:textId="77777777" w:rsidR="00B6148C" w:rsidRPr="00B17D23" w:rsidRDefault="00B6148C" w:rsidP="00B6148C">
            <w:pPr>
              <w:pStyle w:val="PargrafodaLista"/>
              <w:spacing w:after="0" w:line="240" w:lineRule="auto"/>
              <w:ind w:left="0"/>
              <w:jc w:val="center"/>
              <w:rPr>
                <w:rFonts w:ascii="Times New Roman" w:hAnsi="Times New Roman" w:cs="Times New Roman"/>
                <w:sz w:val="20"/>
                <w:szCs w:val="20"/>
                <w:lang w:eastAsia="pt-BR"/>
              </w:rPr>
            </w:pPr>
            <w:r w:rsidRPr="00B17D23">
              <w:rPr>
                <w:rFonts w:ascii="Times New Roman" w:hAnsi="Times New Roman" w:cs="Times New Roman"/>
                <w:sz w:val="20"/>
                <w:szCs w:val="20"/>
                <w:lang w:eastAsia="pt-BR"/>
              </w:rPr>
              <w:t>Caracterização dos estudantes</w:t>
            </w:r>
          </w:p>
        </w:tc>
        <w:tc>
          <w:tcPr>
            <w:tcW w:w="6804" w:type="dxa"/>
            <w:tcBorders>
              <w:left w:val="none" w:sz="0" w:space="0" w:color="auto"/>
              <w:right w:val="none" w:sz="0" w:space="0" w:color="auto"/>
            </w:tcBorders>
            <w:shd w:val="clear" w:color="auto" w:fill="auto"/>
          </w:tcPr>
          <w:p w14:paraId="1C5CFD1A" w14:textId="77777777" w:rsidR="00B6148C" w:rsidRPr="00CC0335" w:rsidRDefault="00B6148C" w:rsidP="00B6148C">
            <w:pPr>
              <w:pStyle w:val="PargrafodaLista"/>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lang w:eastAsia="pt-BR"/>
              </w:rPr>
            </w:pPr>
            <w:r w:rsidRPr="00CC0335">
              <w:rPr>
                <w:rFonts w:ascii="Times New Roman" w:hAnsi="Times New Roman" w:cs="Times New Roman"/>
                <w:sz w:val="20"/>
                <w:szCs w:val="20"/>
                <w:lang w:eastAsia="pt-BR"/>
              </w:rPr>
              <w:t>Curso</w:t>
            </w:r>
          </w:p>
        </w:tc>
      </w:tr>
      <w:tr w:rsidR="00B6148C" w14:paraId="45962B6B" w14:textId="77777777" w:rsidTr="00B6148C">
        <w:tc>
          <w:tcPr>
            <w:cnfStyle w:val="001000000000" w:firstRow="0" w:lastRow="0" w:firstColumn="1" w:lastColumn="0" w:oddVBand="0" w:evenVBand="0" w:oddHBand="0" w:evenHBand="0" w:firstRowFirstColumn="0" w:firstRowLastColumn="0" w:lastRowFirstColumn="0" w:lastRowLastColumn="0"/>
            <w:tcW w:w="2268" w:type="dxa"/>
            <w:vMerge/>
            <w:shd w:val="clear" w:color="auto" w:fill="auto"/>
            <w:vAlign w:val="center"/>
          </w:tcPr>
          <w:p w14:paraId="16E648A6" w14:textId="77777777" w:rsidR="00B6148C" w:rsidRPr="00B17D23" w:rsidRDefault="00B6148C" w:rsidP="00B6148C">
            <w:pPr>
              <w:pStyle w:val="PargrafodaLista"/>
              <w:spacing w:after="0" w:line="240" w:lineRule="auto"/>
              <w:ind w:left="0"/>
              <w:jc w:val="center"/>
              <w:rPr>
                <w:rFonts w:ascii="Times New Roman" w:hAnsi="Times New Roman" w:cs="Times New Roman"/>
                <w:sz w:val="20"/>
                <w:szCs w:val="20"/>
                <w:lang w:eastAsia="pt-BR"/>
              </w:rPr>
            </w:pPr>
          </w:p>
        </w:tc>
        <w:tc>
          <w:tcPr>
            <w:tcW w:w="6804" w:type="dxa"/>
            <w:shd w:val="clear" w:color="auto" w:fill="auto"/>
          </w:tcPr>
          <w:p w14:paraId="1B7DD662" w14:textId="77777777" w:rsidR="00B6148C" w:rsidRPr="00B17D23" w:rsidRDefault="00B6148C" w:rsidP="00B6148C">
            <w:pPr>
              <w:pStyle w:val="PargrafodaLista"/>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pt-BR"/>
              </w:rPr>
            </w:pPr>
            <w:r>
              <w:rPr>
                <w:rFonts w:ascii="Times New Roman" w:hAnsi="Times New Roman" w:cs="Times New Roman"/>
                <w:sz w:val="20"/>
                <w:szCs w:val="20"/>
                <w:lang w:eastAsia="pt-BR"/>
              </w:rPr>
              <w:t>Fase</w:t>
            </w:r>
          </w:p>
        </w:tc>
      </w:tr>
      <w:tr w:rsidR="00B6148C" w14:paraId="7692BCF8" w14:textId="77777777" w:rsidTr="00B6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Merge/>
            <w:tcBorders>
              <w:left w:val="none" w:sz="0" w:space="0" w:color="auto"/>
              <w:right w:val="none" w:sz="0" w:space="0" w:color="auto"/>
            </w:tcBorders>
            <w:shd w:val="clear" w:color="auto" w:fill="auto"/>
            <w:vAlign w:val="center"/>
          </w:tcPr>
          <w:p w14:paraId="2D0C7C18" w14:textId="77777777" w:rsidR="00B6148C" w:rsidRPr="00B17D23" w:rsidRDefault="00B6148C" w:rsidP="00B6148C">
            <w:pPr>
              <w:pStyle w:val="PargrafodaLista"/>
              <w:spacing w:after="0" w:line="240" w:lineRule="auto"/>
              <w:ind w:left="0"/>
              <w:jc w:val="center"/>
              <w:rPr>
                <w:rFonts w:ascii="Times New Roman" w:hAnsi="Times New Roman" w:cs="Times New Roman"/>
                <w:sz w:val="20"/>
                <w:szCs w:val="20"/>
                <w:lang w:eastAsia="pt-BR"/>
              </w:rPr>
            </w:pPr>
          </w:p>
        </w:tc>
        <w:tc>
          <w:tcPr>
            <w:tcW w:w="6804" w:type="dxa"/>
            <w:tcBorders>
              <w:left w:val="none" w:sz="0" w:space="0" w:color="auto"/>
              <w:right w:val="none" w:sz="0" w:space="0" w:color="auto"/>
            </w:tcBorders>
            <w:shd w:val="clear" w:color="auto" w:fill="auto"/>
          </w:tcPr>
          <w:p w14:paraId="53015E7D" w14:textId="77777777" w:rsidR="00B6148C" w:rsidRPr="00B17D23" w:rsidRDefault="00B6148C" w:rsidP="00B6148C">
            <w:pPr>
              <w:pStyle w:val="PargrafodaLista"/>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pt-BR"/>
              </w:rPr>
            </w:pPr>
            <w:r>
              <w:rPr>
                <w:rFonts w:ascii="Times New Roman" w:hAnsi="Times New Roman" w:cs="Times New Roman"/>
                <w:sz w:val="20"/>
                <w:szCs w:val="20"/>
                <w:lang w:eastAsia="pt-BR"/>
              </w:rPr>
              <w:t>Gênero</w:t>
            </w:r>
          </w:p>
        </w:tc>
      </w:tr>
      <w:tr w:rsidR="00B6148C" w14:paraId="6AF2F875" w14:textId="77777777" w:rsidTr="00B6148C">
        <w:tc>
          <w:tcPr>
            <w:cnfStyle w:val="001000000000" w:firstRow="0" w:lastRow="0" w:firstColumn="1" w:lastColumn="0" w:oddVBand="0" w:evenVBand="0" w:oddHBand="0" w:evenHBand="0" w:firstRowFirstColumn="0" w:firstRowLastColumn="0" w:lastRowFirstColumn="0" w:lastRowLastColumn="0"/>
            <w:tcW w:w="2268" w:type="dxa"/>
            <w:vMerge/>
            <w:shd w:val="clear" w:color="auto" w:fill="auto"/>
            <w:vAlign w:val="center"/>
          </w:tcPr>
          <w:p w14:paraId="766874F2" w14:textId="77777777" w:rsidR="00B6148C" w:rsidRPr="00B17D23" w:rsidRDefault="00B6148C" w:rsidP="00B6148C">
            <w:pPr>
              <w:pStyle w:val="PargrafodaLista"/>
              <w:spacing w:after="0" w:line="240" w:lineRule="auto"/>
              <w:ind w:left="0"/>
              <w:jc w:val="center"/>
              <w:rPr>
                <w:rFonts w:ascii="Times New Roman" w:hAnsi="Times New Roman" w:cs="Times New Roman"/>
                <w:sz w:val="20"/>
                <w:szCs w:val="20"/>
                <w:lang w:eastAsia="pt-BR"/>
              </w:rPr>
            </w:pPr>
          </w:p>
        </w:tc>
        <w:tc>
          <w:tcPr>
            <w:tcW w:w="6804" w:type="dxa"/>
            <w:shd w:val="clear" w:color="auto" w:fill="auto"/>
          </w:tcPr>
          <w:p w14:paraId="205B55B0" w14:textId="77777777" w:rsidR="00B6148C" w:rsidRPr="00B17D23" w:rsidRDefault="00B6148C" w:rsidP="00B6148C">
            <w:pPr>
              <w:pStyle w:val="PargrafodaLista"/>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pt-BR"/>
              </w:rPr>
            </w:pPr>
            <w:r>
              <w:rPr>
                <w:rFonts w:ascii="Times New Roman" w:hAnsi="Times New Roman" w:cs="Times New Roman"/>
                <w:sz w:val="20"/>
                <w:szCs w:val="20"/>
                <w:lang w:eastAsia="pt-BR"/>
              </w:rPr>
              <w:t>Idade</w:t>
            </w:r>
          </w:p>
        </w:tc>
      </w:tr>
      <w:tr w:rsidR="00B6148C" w14:paraId="5955BC9E" w14:textId="77777777" w:rsidTr="00B6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Merge/>
            <w:tcBorders>
              <w:left w:val="none" w:sz="0" w:space="0" w:color="auto"/>
              <w:right w:val="none" w:sz="0" w:space="0" w:color="auto"/>
            </w:tcBorders>
            <w:shd w:val="clear" w:color="auto" w:fill="auto"/>
            <w:vAlign w:val="center"/>
          </w:tcPr>
          <w:p w14:paraId="06329133" w14:textId="77777777" w:rsidR="00B6148C" w:rsidRPr="00B17D23" w:rsidRDefault="00B6148C" w:rsidP="00B6148C">
            <w:pPr>
              <w:pStyle w:val="PargrafodaLista"/>
              <w:spacing w:after="0" w:line="240" w:lineRule="auto"/>
              <w:ind w:left="0"/>
              <w:jc w:val="center"/>
              <w:rPr>
                <w:rFonts w:ascii="Times New Roman" w:hAnsi="Times New Roman" w:cs="Times New Roman"/>
                <w:sz w:val="20"/>
                <w:szCs w:val="20"/>
                <w:lang w:eastAsia="pt-BR"/>
              </w:rPr>
            </w:pPr>
          </w:p>
        </w:tc>
        <w:tc>
          <w:tcPr>
            <w:tcW w:w="6804" w:type="dxa"/>
            <w:tcBorders>
              <w:left w:val="none" w:sz="0" w:space="0" w:color="auto"/>
              <w:right w:val="none" w:sz="0" w:space="0" w:color="auto"/>
            </w:tcBorders>
            <w:shd w:val="clear" w:color="auto" w:fill="auto"/>
          </w:tcPr>
          <w:p w14:paraId="5CF90C32" w14:textId="77777777" w:rsidR="00B6148C" w:rsidRPr="00B17D23" w:rsidRDefault="00B6148C" w:rsidP="00B6148C">
            <w:pPr>
              <w:pStyle w:val="PargrafodaLista"/>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pt-BR"/>
              </w:rPr>
            </w:pPr>
            <w:r w:rsidRPr="00B17D23">
              <w:rPr>
                <w:rFonts w:ascii="Times New Roman" w:hAnsi="Times New Roman" w:cs="Times New Roman"/>
                <w:sz w:val="20"/>
                <w:szCs w:val="20"/>
                <w:lang w:eastAsia="pt-BR"/>
              </w:rPr>
              <w:t>Número de dependentes</w:t>
            </w:r>
          </w:p>
        </w:tc>
      </w:tr>
      <w:tr w:rsidR="00B6148C" w14:paraId="6D958EEF" w14:textId="77777777" w:rsidTr="00B6148C">
        <w:tc>
          <w:tcPr>
            <w:cnfStyle w:val="001000000000" w:firstRow="0" w:lastRow="0" w:firstColumn="1" w:lastColumn="0" w:oddVBand="0" w:evenVBand="0" w:oddHBand="0" w:evenHBand="0" w:firstRowFirstColumn="0" w:firstRowLastColumn="0" w:lastRowFirstColumn="0" w:lastRowLastColumn="0"/>
            <w:tcW w:w="2268" w:type="dxa"/>
            <w:vMerge/>
            <w:shd w:val="clear" w:color="auto" w:fill="auto"/>
            <w:vAlign w:val="center"/>
          </w:tcPr>
          <w:p w14:paraId="4931ED2A" w14:textId="77777777" w:rsidR="00B6148C" w:rsidRPr="00B17D23" w:rsidRDefault="00B6148C" w:rsidP="00B6148C">
            <w:pPr>
              <w:pStyle w:val="PargrafodaLista"/>
              <w:spacing w:after="0" w:line="240" w:lineRule="auto"/>
              <w:ind w:left="0"/>
              <w:jc w:val="center"/>
              <w:rPr>
                <w:rFonts w:ascii="Times New Roman" w:hAnsi="Times New Roman" w:cs="Times New Roman"/>
                <w:sz w:val="20"/>
                <w:szCs w:val="20"/>
                <w:lang w:eastAsia="pt-BR"/>
              </w:rPr>
            </w:pPr>
          </w:p>
        </w:tc>
        <w:tc>
          <w:tcPr>
            <w:tcW w:w="6804" w:type="dxa"/>
            <w:shd w:val="clear" w:color="auto" w:fill="auto"/>
          </w:tcPr>
          <w:p w14:paraId="1B643016" w14:textId="77777777" w:rsidR="00B6148C" w:rsidRPr="00B17D23" w:rsidRDefault="00B6148C" w:rsidP="00B6148C">
            <w:pPr>
              <w:pStyle w:val="PargrafodaLista"/>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pt-BR"/>
              </w:rPr>
            </w:pPr>
            <w:r w:rsidRPr="00B17D23">
              <w:rPr>
                <w:rFonts w:ascii="Times New Roman" w:hAnsi="Times New Roman" w:cs="Times New Roman"/>
                <w:sz w:val="20"/>
                <w:szCs w:val="20"/>
                <w:lang w:eastAsia="pt-BR"/>
              </w:rPr>
              <w:t>Moradia</w:t>
            </w:r>
          </w:p>
        </w:tc>
      </w:tr>
      <w:tr w:rsidR="00B6148C" w14:paraId="224F7DD9" w14:textId="77777777" w:rsidTr="00B6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Merge w:val="restart"/>
            <w:tcBorders>
              <w:left w:val="none" w:sz="0" w:space="0" w:color="auto"/>
              <w:right w:val="none" w:sz="0" w:space="0" w:color="auto"/>
            </w:tcBorders>
            <w:shd w:val="clear" w:color="auto" w:fill="auto"/>
            <w:vAlign w:val="center"/>
          </w:tcPr>
          <w:p w14:paraId="1D9969F3" w14:textId="77777777" w:rsidR="00B6148C" w:rsidRPr="00B17D23" w:rsidRDefault="00B6148C" w:rsidP="00B6148C">
            <w:pPr>
              <w:pStyle w:val="PargrafodaLista"/>
              <w:spacing w:after="0" w:line="240" w:lineRule="auto"/>
              <w:ind w:left="0"/>
              <w:jc w:val="center"/>
              <w:rPr>
                <w:rFonts w:ascii="Times New Roman" w:hAnsi="Times New Roman" w:cs="Times New Roman"/>
                <w:sz w:val="20"/>
                <w:szCs w:val="20"/>
                <w:lang w:eastAsia="pt-BR"/>
              </w:rPr>
            </w:pPr>
            <w:r w:rsidRPr="00B17D23">
              <w:rPr>
                <w:rFonts w:ascii="Times New Roman" w:hAnsi="Times New Roman" w:cs="Times New Roman"/>
                <w:sz w:val="20"/>
                <w:szCs w:val="20"/>
                <w:lang w:eastAsia="pt-BR"/>
              </w:rPr>
              <w:t>Receita</w:t>
            </w:r>
          </w:p>
        </w:tc>
        <w:tc>
          <w:tcPr>
            <w:tcW w:w="6804" w:type="dxa"/>
            <w:tcBorders>
              <w:left w:val="none" w:sz="0" w:space="0" w:color="auto"/>
              <w:right w:val="none" w:sz="0" w:space="0" w:color="auto"/>
            </w:tcBorders>
            <w:shd w:val="clear" w:color="auto" w:fill="auto"/>
          </w:tcPr>
          <w:p w14:paraId="21826453" w14:textId="77777777" w:rsidR="00B6148C" w:rsidRPr="00B17D23" w:rsidRDefault="00B6148C" w:rsidP="00B6148C">
            <w:pPr>
              <w:pStyle w:val="PargrafodaLista"/>
              <w:spacing w:after="0" w:line="240" w:lineRule="auto"/>
              <w:ind w:left="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lang w:eastAsia="pt-BR"/>
              </w:rPr>
            </w:pPr>
            <w:r w:rsidRPr="00B17D23">
              <w:rPr>
                <w:rFonts w:ascii="Times New Roman" w:hAnsi="Times New Roman" w:cs="Times New Roman"/>
                <w:sz w:val="20"/>
                <w:szCs w:val="20"/>
                <w:lang w:eastAsia="pt-BR"/>
              </w:rPr>
              <w:t>Você trabalha atualmente?</w:t>
            </w:r>
          </w:p>
        </w:tc>
      </w:tr>
      <w:tr w:rsidR="00B6148C" w14:paraId="4EA15A93" w14:textId="77777777" w:rsidTr="00B6148C">
        <w:tc>
          <w:tcPr>
            <w:cnfStyle w:val="001000000000" w:firstRow="0" w:lastRow="0" w:firstColumn="1" w:lastColumn="0" w:oddVBand="0" w:evenVBand="0" w:oddHBand="0" w:evenHBand="0" w:firstRowFirstColumn="0" w:firstRowLastColumn="0" w:lastRowFirstColumn="0" w:lastRowLastColumn="0"/>
            <w:tcW w:w="2268" w:type="dxa"/>
            <w:vMerge/>
            <w:shd w:val="clear" w:color="auto" w:fill="auto"/>
            <w:vAlign w:val="center"/>
          </w:tcPr>
          <w:p w14:paraId="5E9BC26D" w14:textId="77777777" w:rsidR="00B6148C" w:rsidRPr="00B17D23" w:rsidRDefault="00B6148C" w:rsidP="00B6148C">
            <w:pPr>
              <w:pStyle w:val="PargrafodaLista"/>
              <w:spacing w:after="0" w:line="240" w:lineRule="auto"/>
              <w:ind w:left="0"/>
              <w:jc w:val="center"/>
              <w:rPr>
                <w:rFonts w:ascii="Times New Roman" w:hAnsi="Times New Roman" w:cs="Times New Roman"/>
                <w:sz w:val="20"/>
                <w:szCs w:val="20"/>
                <w:lang w:eastAsia="pt-BR"/>
              </w:rPr>
            </w:pPr>
          </w:p>
        </w:tc>
        <w:tc>
          <w:tcPr>
            <w:tcW w:w="6804" w:type="dxa"/>
            <w:shd w:val="clear" w:color="auto" w:fill="auto"/>
          </w:tcPr>
          <w:p w14:paraId="187EAC36" w14:textId="77777777" w:rsidR="00B6148C" w:rsidRPr="00B17D23" w:rsidRDefault="00B6148C" w:rsidP="00B6148C">
            <w:pPr>
              <w:pStyle w:val="PargrafodaLista"/>
              <w:spacing w:after="0" w:line="240" w:lineRule="auto"/>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lang w:eastAsia="pt-BR"/>
              </w:rPr>
            </w:pPr>
            <w:r w:rsidRPr="00B17D23">
              <w:rPr>
                <w:rFonts w:ascii="Times New Roman" w:hAnsi="Times New Roman" w:cs="Times New Roman"/>
                <w:sz w:val="20"/>
                <w:szCs w:val="20"/>
                <w:lang w:eastAsia="pt-BR"/>
              </w:rPr>
              <w:t>Renda mensal pessoal</w:t>
            </w:r>
          </w:p>
        </w:tc>
      </w:tr>
      <w:tr w:rsidR="00B6148C" w14:paraId="7127D3C9" w14:textId="77777777" w:rsidTr="00B6148C">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268" w:type="dxa"/>
            <w:vMerge w:val="restart"/>
            <w:tcBorders>
              <w:left w:val="none" w:sz="0" w:space="0" w:color="auto"/>
              <w:right w:val="none" w:sz="0" w:space="0" w:color="auto"/>
            </w:tcBorders>
            <w:shd w:val="clear" w:color="auto" w:fill="auto"/>
            <w:vAlign w:val="center"/>
          </w:tcPr>
          <w:p w14:paraId="1F1C93C5" w14:textId="77777777" w:rsidR="00B6148C" w:rsidRPr="00B17D23" w:rsidRDefault="00B6148C" w:rsidP="00B6148C">
            <w:pPr>
              <w:ind w:firstLine="0"/>
              <w:jc w:val="center"/>
              <w:rPr>
                <w:rFonts w:ascii="Times New Roman" w:hAnsi="Times New Roman"/>
                <w:sz w:val="20"/>
              </w:rPr>
            </w:pPr>
            <w:r w:rsidRPr="00B17D23">
              <w:rPr>
                <w:rFonts w:ascii="Times New Roman" w:hAnsi="Times New Roman"/>
                <w:sz w:val="20"/>
              </w:rPr>
              <w:t>Endividamento</w:t>
            </w:r>
          </w:p>
        </w:tc>
        <w:tc>
          <w:tcPr>
            <w:tcW w:w="6804" w:type="dxa"/>
            <w:tcBorders>
              <w:left w:val="none" w:sz="0" w:space="0" w:color="auto"/>
              <w:right w:val="none" w:sz="0" w:space="0" w:color="auto"/>
            </w:tcBorders>
            <w:shd w:val="clear" w:color="auto" w:fill="auto"/>
          </w:tcPr>
          <w:p w14:paraId="265DA24B" w14:textId="77777777" w:rsidR="00B6148C" w:rsidRPr="00B17D23" w:rsidRDefault="00B6148C" w:rsidP="00B6148C">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sidRPr="00D53925">
              <w:rPr>
                <w:rFonts w:ascii="Times New Roman" w:hAnsi="Times New Roman"/>
                <w:sz w:val="20"/>
              </w:rPr>
              <w:t>Você em algum momento teve seu nome negativado em algum sistema de crédito</w:t>
            </w:r>
            <w:r>
              <w:rPr>
                <w:rFonts w:ascii="Times New Roman" w:hAnsi="Times New Roman"/>
                <w:sz w:val="20"/>
              </w:rPr>
              <w:t>?</w:t>
            </w:r>
          </w:p>
        </w:tc>
      </w:tr>
      <w:tr w:rsidR="00B6148C" w14:paraId="73E4819E" w14:textId="77777777" w:rsidTr="00B6148C">
        <w:trPr>
          <w:trHeight w:val="230"/>
        </w:trPr>
        <w:tc>
          <w:tcPr>
            <w:cnfStyle w:val="001000000000" w:firstRow="0" w:lastRow="0" w:firstColumn="1" w:lastColumn="0" w:oddVBand="0" w:evenVBand="0" w:oddHBand="0" w:evenHBand="0" w:firstRowFirstColumn="0" w:firstRowLastColumn="0" w:lastRowFirstColumn="0" w:lastRowLastColumn="0"/>
            <w:tcW w:w="2268" w:type="dxa"/>
            <w:vMerge/>
            <w:shd w:val="clear" w:color="auto" w:fill="auto"/>
            <w:vAlign w:val="center"/>
          </w:tcPr>
          <w:p w14:paraId="1FF4BD3C" w14:textId="77777777" w:rsidR="00B6148C" w:rsidRPr="00B17D23" w:rsidRDefault="00B6148C" w:rsidP="00B6148C">
            <w:pPr>
              <w:ind w:firstLine="0"/>
              <w:jc w:val="center"/>
              <w:rPr>
                <w:rFonts w:ascii="Times New Roman" w:hAnsi="Times New Roman"/>
                <w:sz w:val="20"/>
              </w:rPr>
            </w:pPr>
          </w:p>
        </w:tc>
        <w:tc>
          <w:tcPr>
            <w:tcW w:w="6804" w:type="dxa"/>
            <w:shd w:val="clear" w:color="auto" w:fill="auto"/>
          </w:tcPr>
          <w:p w14:paraId="0B0C59FA" w14:textId="77777777" w:rsidR="00B6148C" w:rsidRPr="00B17D23" w:rsidRDefault="00B6148C" w:rsidP="00B6148C">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D53925">
              <w:rPr>
                <w:rFonts w:ascii="Times New Roman" w:hAnsi="Times New Roman"/>
                <w:sz w:val="20"/>
              </w:rPr>
              <w:t>Você se considera endividado?</w:t>
            </w:r>
          </w:p>
        </w:tc>
      </w:tr>
      <w:tr w:rsidR="00B6148C" w14:paraId="7EFBAE3D" w14:textId="77777777" w:rsidTr="00B6148C">
        <w:trPr>
          <w:cnfStyle w:val="000000100000" w:firstRow="0" w:lastRow="0" w:firstColumn="0" w:lastColumn="0" w:oddVBand="0" w:evenVBand="0" w:oddHBand="1" w:evenHBand="0" w:firstRowFirstColumn="0" w:firstRowLastColumn="0" w:lastRowFirstColumn="0" w:lastRowLastColumn="0"/>
          <w:trHeight w:val="230"/>
        </w:trPr>
        <w:tc>
          <w:tcPr>
            <w:cnfStyle w:val="001000000000" w:firstRow="0" w:lastRow="0" w:firstColumn="1" w:lastColumn="0" w:oddVBand="0" w:evenVBand="0" w:oddHBand="0" w:evenHBand="0" w:firstRowFirstColumn="0" w:firstRowLastColumn="0" w:lastRowFirstColumn="0" w:lastRowLastColumn="0"/>
            <w:tcW w:w="2268" w:type="dxa"/>
            <w:vMerge/>
            <w:tcBorders>
              <w:left w:val="none" w:sz="0" w:space="0" w:color="auto"/>
              <w:right w:val="none" w:sz="0" w:space="0" w:color="auto"/>
            </w:tcBorders>
            <w:shd w:val="clear" w:color="auto" w:fill="auto"/>
            <w:vAlign w:val="center"/>
          </w:tcPr>
          <w:p w14:paraId="204D7446" w14:textId="77777777" w:rsidR="00B6148C" w:rsidRPr="00B17D23" w:rsidRDefault="00B6148C" w:rsidP="00B6148C">
            <w:pPr>
              <w:ind w:firstLine="0"/>
              <w:jc w:val="center"/>
              <w:rPr>
                <w:rFonts w:ascii="Times New Roman" w:hAnsi="Times New Roman"/>
                <w:sz w:val="20"/>
              </w:rPr>
            </w:pPr>
          </w:p>
        </w:tc>
        <w:tc>
          <w:tcPr>
            <w:tcW w:w="6804" w:type="dxa"/>
            <w:tcBorders>
              <w:left w:val="none" w:sz="0" w:space="0" w:color="auto"/>
              <w:right w:val="none" w:sz="0" w:space="0" w:color="auto"/>
            </w:tcBorders>
            <w:shd w:val="clear" w:color="auto" w:fill="auto"/>
          </w:tcPr>
          <w:p w14:paraId="56726E3B" w14:textId="77777777" w:rsidR="00B6148C" w:rsidRPr="00B17D23" w:rsidRDefault="00B6148C" w:rsidP="00B6148C">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sidRPr="00B17D23">
              <w:rPr>
                <w:rFonts w:ascii="Times New Roman" w:hAnsi="Times New Roman"/>
                <w:sz w:val="20"/>
              </w:rPr>
              <w:t>Qual o percentual do seu rendimento mensal está comprometido com prestações/obrigações mensais?</w:t>
            </w:r>
          </w:p>
        </w:tc>
      </w:tr>
      <w:tr w:rsidR="00B6148C" w14:paraId="453432B2" w14:textId="77777777" w:rsidTr="00B6148C">
        <w:tc>
          <w:tcPr>
            <w:cnfStyle w:val="001000000000" w:firstRow="0" w:lastRow="0" w:firstColumn="1" w:lastColumn="0" w:oddVBand="0" w:evenVBand="0" w:oddHBand="0" w:evenHBand="0" w:firstRowFirstColumn="0" w:firstRowLastColumn="0" w:lastRowFirstColumn="0" w:lastRowLastColumn="0"/>
            <w:tcW w:w="2268" w:type="dxa"/>
            <w:vMerge w:val="restart"/>
            <w:shd w:val="clear" w:color="auto" w:fill="auto"/>
            <w:vAlign w:val="center"/>
          </w:tcPr>
          <w:p w14:paraId="18584E14" w14:textId="77777777" w:rsidR="00B6148C" w:rsidRPr="00B17D23" w:rsidRDefault="00B6148C" w:rsidP="00B6148C">
            <w:pPr>
              <w:ind w:firstLine="0"/>
              <w:jc w:val="center"/>
              <w:rPr>
                <w:rFonts w:ascii="Times New Roman" w:hAnsi="Times New Roman"/>
                <w:sz w:val="20"/>
              </w:rPr>
            </w:pPr>
            <w:r w:rsidRPr="00B17D23">
              <w:rPr>
                <w:rFonts w:ascii="Times New Roman" w:hAnsi="Times New Roman"/>
                <w:sz w:val="20"/>
              </w:rPr>
              <w:t>Poupança e Investimento</w:t>
            </w:r>
          </w:p>
        </w:tc>
        <w:tc>
          <w:tcPr>
            <w:tcW w:w="6804" w:type="dxa"/>
            <w:shd w:val="clear" w:color="auto" w:fill="auto"/>
          </w:tcPr>
          <w:p w14:paraId="0EB808BF" w14:textId="77777777" w:rsidR="00B6148C" w:rsidRPr="00B17D23" w:rsidRDefault="00B6148C" w:rsidP="00B6148C">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B17D23">
              <w:rPr>
                <w:rFonts w:ascii="Times New Roman" w:hAnsi="Times New Roman"/>
                <w:sz w:val="20"/>
              </w:rPr>
              <w:t>Quanto, em termos percentuais, você consegue poupar da sua renda mensal?</w:t>
            </w:r>
          </w:p>
        </w:tc>
      </w:tr>
      <w:tr w:rsidR="00B6148C" w14:paraId="76D7E3D0" w14:textId="77777777" w:rsidTr="00B6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Merge/>
            <w:tcBorders>
              <w:left w:val="none" w:sz="0" w:space="0" w:color="auto"/>
              <w:right w:val="none" w:sz="0" w:space="0" w:color="auto"/>
            </w:tcBorders>
            <w:shd w:val="clear" w:color="auto" w:fill="auto"/>
            <w:vAlign w:val="center"/>
          </w:tcPr>
          <w:p w14:paraId="7E89B00D" w14:textId="77777777" w:rsidR="00B6148C" w:rsidRPr="00B17D23" w:rsidRDefault="00B6148C" w:rsidP="00B6148C">
            <w:pPr>
              <w:ind w:firstLine="0"/>
              <w:jc w:val="center"/>
              <w:rPr>
                <w:sz w:val="20"/>
              </w:rPr>
            </w:pPr>
          </w:p>
        </w:tc>
        <w:tc>
          <w:tcPr>
            <w:tcW w:w="6804" w:type="dxa"/>
            <w:tcBorders>
              <w:left w:val="none" w:sz="0" w:space="0" w:color="auto"/>
              <w:right w:val="none" w:sz="0" w:space="0" w:color="auto"/>
            </w:tcBorders>
            <w:shd w:val="clear" w:color="auto" w:fill="auto"/>
          </w:tcPr>
          <w:p w14:paraId="0333D751" w14:textId="77777777" w:rsidR="00B6148C" w:rsidRPr="00B17D23" w:rsidRDefault="00B6148C" w:rsidP="00B6148C">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sidRPr="00B17D23">
              <w:rPr>
                <w:rFonts w:ascii="Times New Roman" w:hAnsi="Times New Roman"/>
                <w:sz w:val="20"/>
              </w:rPr>
              <w:t>Você possui alguma de investimento?</w:t>
            </w:r>
          </w:p>
        </w:tc>
      </w:tr>
      <w:tr w:rsidR="00B6148C" w14:paraId="57A5E7E6" w14:textId="77777777" w:rsidTr="00B6148C">
        <w:tc>
          <w:tcPr>
            <w:cnfStyle w:val="001000000000" w:firstRow="0" w:lastRow="0" w:firstColumn="1" w:lastColumn="0" w:oddVBand="0" w:evenVBand="0" w:oddHBand="0" w:evenHBand="0" w:firstRowFirstColumn="0" w:firstRowLastColumn="0" w:lastRowFirstColumn="0" w:lastRowLastColumn="0"/>
            <w:tcW w:w="2268" w:type="dxa"/>
            <w:vMerge w:val="restart"/>
            <w:shd w:val="clear" w:color="auto" w:fill="auto"/>
            <w:vAlign w:val="center"/>
          </w:tcPr>
          <w:p w14:paraId="534B94E8" w14:textId="77777777" w:rsidR="00B6148C" w:rsidRDefault="00B6148C" w:rsidP="00B6148C">
            <w:pPr>
              <w:ind w:firstLine="0"/>
              <w:jc w:val="center"/>
              <w:rPr>
                <w:rFonts w:ascii="Times New Roman" w:hAnsi="Times New Roman"/>
                <w:sz w:val="20"/>
              </w:rPr>
            </w:pPr>
          </w:p>
          <w:p w14:paraId="159C59E2" w14:textId="77777777" w:rsidR="00B6148C" w:rsidRDefault="00B6148C" w:rsidP="00B6148C">
            <w:pPr>
              <w:ind w:firstLine="0"/>
              <w:jc w:val="center"/>
              <w:rPr>
                <w:rFonts w:ascii="Times New Roman" w:hAnsi="Times New Roman"/>
                <w:sz w:val="20"/>
              </w:rPr>
            </w:pPr>
            <w:r>
              <w:rPr>
                <w:rFonts w:ascii="Times New Roman" w:hAnsi="Times New Roman"/>
                <w:sz w:val="20"/>
              </w:rPr>
              <w:t>Orçamento e Controle</w:t>
            </w:r>
          </w:p>
          <w:p w14:paraId="2A30DF29" w14:textId="77777777" w:rsidR="00B6148C" w:rsidRPr="00B17D23" w:rsidRDefault="00B6148C" w:rsidP="00B6148C">
            <w:pPr>
              <w:ind w:firstLine="0"/>
              <w:jc w:val="center"/>
              <w:rPr>
                <w:rFonts w:ascii="Times New Roman" w:hAnsi="Times New Roman"/>
                <w:sz w:val="20"/>
              </w:rPr>
            </w:pPr>
          </w:p>
        </w:tc>
        <w:tc>
          <w:tcPr>
            <w:tcW w:w="6804" w:type="dxa"/>
            <w:shd w:val="clear" w:color="auto" w:fill="auto"/>
          </w:tcPr>
          <w:p w14:paraId="2FEDFA3E" w14:textId="77777777" w:rsidR="00B6148C" w:rsidRPr="00B17D23" w:rsidRDefault="00B6148C" w:rsidP="00B6148C">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B17D23">
              <w:rPr>
                <w:rFonts w:ascii="Times New Roman" w:hAnsi="Times New Roman"/>
                <w:sz w:val="20"/>
              </w:rPr>
              <w:t>Anoto e controlo gastos pessoais</w:t>
            </w:r>
          </w:p>
        </w:tc>
      </w:tr>
      <w:tr w:rsidR="00B6148C" w14:paraId="23023C49" w14:textId="77777777" w:rsidTr="00B6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vMerge/>
            <w:tcBorders>
              <w:left w:val="none" w:sz="0" w:space="0" w:color="auto"/>
              <w:right w:val="none" w:sz="0" w:space="0" w:color="auto"/>
            </w:tcBorders>
            <w:shd w:val="clear" w:color="auto" w:fill="auto"/>
          </w:tcPr>
          <w:p w14:paraId="12BE586C" w14:textId="77777777" w:rsidR="00B6148C" w:rsidRPr="00B17D23" w:rsidRDefault="00B6148C" w:rsidP="00B6148C">
            <w:pPr>
              <w:ind w:firstLine="0"/>
              <w:rPr>
                <w:rFonts w:ascii="Times New Roman" w:hAnsi="Times New Roman"/>
                <w:sz w:val="20"/>
              </w:rPr>
            </w:pPr>
          </w:p>
        </w:tc>
        <w:tc>
          <w:tcPr>
            <w:tcW w:w="6804" w:type="dxa"/>
            <w:tcBorders>
              <w:left w:val="none" w:sz="0" w:space="0" w:color="auto"/>
              <w:right w:val="none" w:sz="0" w:space="0" w:color="auto"/>
            </w:tcBorders>
            <w:shd w:val="clear" w:color="auto" w:fill="auto"/>
          </w:tcPr>
          <w:p w14:paraId="2B52CFFF" w14:textId="77777777" w:rsidR="00B6148C" w:rsidRPr="00B17D23" w:rsidRDefault="00B6148C" w:rsidP="00B6148C">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sz w:val="20"/>
              </w:rPr>
            </w:pPr>
            <w:r w:rsidRPr="00B17D23">
              <w:rPr>
                <w:rFonts w:ascii="Times New Roman" w:hAnsi="Times New Roman"/>
                <w:sz w:val="20"/>
              </w:rPr>
              <w:t>Estabeleço metas financeiras</w:t>
            </w:r>
          </w:p>
        </w:tc>
      </w:tr>
      <w:tr w:rsidR="00B6148C" w14:paraId="62DFC984" w14:textId="77777777" w:rsidTr="00B6148C">
        <w:trPr>
          <w:trHeight w:val="70"/>
        </w:trPr>
        <w:tc>
          <w:tcPr>
            <w:cnfStyle w:val="001000000000" w:firstRow="0" w:lastRow="0" w:firstColumn="1" w:lastColumn="0" w:oddVBand="0" w:evenVBand="0" w:oddHBand="0" w:evenHBand="0" w:firstRowFirstColumn="0" w:firstRowLastColumn="0" w:lastRowFirstColumn="0" w:lastRowLastColumn="0"/>
            <w:tcW w:w="2268" w:type="dxa"/>
            <w:vMerge/>
            <w:shd w:val="clear" w:color="auto" w:fill="auto"/>
          </w:tcPr>
          <w:p w14:paraId="27CF7D69" w14:textId="77777777" w:rsidR="00B6148C" w:rsidRPr="00B17D23" w:rsidRDefault="00B6148C" w:rsidP="00B6148C">
            <w:pPr>
              <w:ind w:firstLine="0"/>
              <w:rPr>
                <w:rFonts w:ascii="Times New Roman" w:hAnsi="Times New Roman"/>
                <w:sz w:val="20"/>
              </w:rPr>
            </w:pPr>
          </w:p>
        </w:tc>
        <w:tc>
          <w:tcPr>
            <w:tcW w:w="6804" w:type="dxa"/>
            <w:shd w:val="clear" w:color="auto" w:fill="auto"/>
          </w:tcPr>
          <w:p w14:paraId="5E0AE428" w14:textId="77777777" w:rsidR="00B6148C" w:rsidRPr="00B17D23" w:rsidRDefault="00B6148C" w:rsidP="00B6148C">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sz w:val="20"/>
              </w:rPr>
            </w:pPr>
            <w:r w:rsidRPr="00B17D23">
              <w:rPr>
                <w:rFonts w:ascii="Times New Roman" w:hAnsi="Times New Roman"/>
                <w:sz w:val="20"/>
              </w:rPr>
              <w:t>Sigo um orçamento ou plano de gastos</w:t>
            </w:r>
          </w:p>
        </w:tc>
      </w:tr>
    </w:tbl>
    <w:p w14:paraId="3E42B7E0" w14:textId="77777777" w:rsidR="00B6148C" w:rsidRDefault="00B6148C" w:rsidP="00B6148C">
      <w:pPr>
        <w:shd w:val="clear" w:color="auto" w:fill="FFFFFF" w:themeFill="background1"/>
        <w:ind w:firstLine="0"/>
        <w:rPr>
          <w:sz w:val="20"/>
          <w:shd w:val="clear" w:color="auto" w:fill="FFFFFF"/>
        </w:rPr>
      </w:pPr>
      <w:r w:rsidRPr="00C91D7F">
        <w:rPr>
          <w:bCs/>
          <w:sz w:val="20"/>
        </w:rPr>
        <w:t xml:space="preserve">Fonte: Adaptado de </w:t>
      </w:r>
      <w:r w:rsidRPr="00C91D7F">
        <w:rPr>
          <w:sz w:val="20"/>
          <w:shd w:val="clear" w:color="auto" w:fill="FFFFFF"/>
        </w:rPr>
        <w:t>Silva, Neto &amp; Araújo (2017).</w:t>
      </w:r>
    </w:p>
    <w:p w14:paraId="2094EDEF" w14:textId="77777777" w:rsidR="00B6148C" w:rsidRPr="00C91D7F" w:rsidRDefault="00B6148C" w:rsidP="00B6148C">
      <w:pPr>
        <w:shd w:val="clear" w:color="auto" w:fill="FFFFFF" w:themeFill="background1"/>
        <w:ind w:firstLine="0"/>
        <w:rPr>
          <w:bCs/>
          <w:szCs w:val="24"/>
        </w:rPr>
      </w:pPr>
      <w:r w:rsidRPr="00C91D7F">
        <w:rPr>
          <w:sz w:val="20"/>
          <w:shd w:val="clear" w:color="auto" w:fill="FFFFFF"/>
        </w:rPr>
        <w:t xml:space="preserve"> </w:t>
      </w:r>
      <w:r w:rsidRPr="00C91D7F">
        <w:rPr>
          <w:bCs/>
          <w:szCs w:val="24"/>
        </w:rPr>
        <w:t xml:space="preserve"> </w:t>
      </w:r>
    </w:p>
    <w:p w14:paraId="0D1183CD" w14:textId="46F48E95" w:rsidR="00B6148C" w:rsidRDefault="00B6148C" w:rsidP="00B6148C">
      <w:pPr>
        <w:shd w:val="clear" w:color="auto" w:fill="FFFFFF" w:themeFill="background1"/>
        <w:rPr>
          <w:bCs/>
          <w:szCs w:val="24"/>
        </w:rPr>
      </w:pPr>
      <w:r>
        <w:rPr>
          <w:bCs/>
          <w:szCs w:val="24"/>
        </w:rPr>
        <w:t>Na análise dos resultados foi feita, em primeira instância, uma verificação acerca da</w:t>
      </w:r>
      <w:r w:rsidRPr="003357E8">
        <w:rPr>
          <w:bCs/>
          <w:szCs w:val="24"/>
        </w:rPr>
        <w:t xml:space="preserve"> estatística descritiva </w:t>
      </w:r>
      <w:r>
        <w:rPr>
          <w:bCs/>
          <w:szCs w:val="24"/>
        </w:rPr>
        <w:t xml:space="preserve">dos blocos visando a educação financeira dos dois grupos estudados. Após a análise da estatística descritiva, foi realizada a análise fatorial para as respostas obtidas no questionário no subgrupo de orçamento e controle, já que tais respostas foram mensuradas em uma escala </w:t>
      </w:r>
      <w:proofErr w:type="spellStart"/>
      <w:r w:rsidRPr="00A74C0F">
        <w:rPr>
          <w:bCs/>
          <w:i/>
          <w:szCs w:val="24"/>
        </w:rPr>
        <w:t>Likert</w:t>
      </w:r>
      <w:proofErr w:type="spellEnd"/>
      <w:r>
        <w:rPr>
          <w:bCs/>
          <w:szCs w:val="24"/>
        </w:rPr>
        <w:t xml:space="preserve"> de 5 pontos e, portanto, não apresentavam as propriedades métricas necessárias para a inclusão em um modelo de regressão linear. </w:t>
      </w:r>
    </w:p>
    <w:p w14:paraId="73F9F78E" w14:textId="77777777" w:rsidR="00B6148C" w:rsidRDefault="00B6148C" w:rsidP="00B6148C">
      <w:pPr>
        <w:shd w:val="clear" w:color="auto" w:fill="FFFFFF" w:themeFill="background1"/>
        <w:rPr>
          <w:bCs/>
          <w:szCs w:val="24"/>
        </w:rPr>
      </w:pPr>
      <w:r>
        <w:rPr>
          <w:bCs/>
          <w:szCs w:val="24"/>
        </w:rPr>
        <w:t xml:space="preserve">Este procedimento, que buscou reduzir o número de itens em apenas uma unidade, foi feito sob a forma de Análise dos Componentes Principais (ACP) mediante o método de rotação </w:t>
      </w:r>
      <w:proofErr w:type="spellStart"/>
      <w:r w:rsidRPr="00EC2402">
        <w:rPr>
          <w:bCs/>
          <w:i/>
          <w:szCs w:val="24"/>
        </w:rPr>
        <w:t>Varimax</w:t>
      </w:r>
      <w:proofErr w:type="spellEnd"/>
      <w:r>
        <w:rPr>
          <w:bCs/>
          <w:szCs w:val="24"/>
        </w:rPr>
        <w:t>, seguindo os critérios dispostos por Fávero et al. (2009) no que se refere às c</w:t>
      </w:r>
      <w:r w:rsidRPr="00EC2402">
        <w:rPr>
          <w:bCs/>
          <w:szCs w:val="24"/>
        </w:rPr>
        <w:t xml:space="preserve">argas </w:t>
      </w:r>
      <w:r>
        <w:rPr>
          <w:bCs/>
          <w:szCs w:val="24"/>
        </w:rPr>
        <w:t>f</w:t>
      </w:r>
      <w:r w:rsidRPr="00EC2402">
        <w:rPr>
          <w:bCs/>
          <w:szCs w:val="24"/>
        </w:rPr>
        <w:t xml:space="preserve">atoriais, </w:t>
      </w:r>
      <w:r>
        <w:rPr>
          <w:bCs/>
          <w:szCs w:val="24"/>
        </w:rPr>
        <w:t xml:space="preserve">às </w:t>
      </w:r>
      <w:proofErr w:type="spellStart"/>
      <w:r>
        <w:rPr>
          <w:bCs/>
          <w:szCs w:val="24"/>
        </w:rPr>
        <w:t>c</w:t>
      </w:r>
      <w:r w:rsidRPr="00EC2402">
        <w:rPr>
          <w:bCs/>
          <w:szCs w:val="24"/>
        </w:rPr>
        <w:t>omunalidades</w:t>
      </w:r>
      <w:proofErr w:type="spellEnd"/>
      <w:r w:rsidRPr="00EC2402">
        <w:rPr>
          <w:bCs/>
          <w:szCs w:val="24"/>
        </w:rPr>
        <w:t xml:space="preserve"> (H²), </w:t>
      </w:r>
      <w:r>
        <w:rPr>
          <w:bCs/>
          <w:szCs w:val="24"/>
        </w:rPr>
        <w:t xml:space="preserve">ao resultado de </w:t>
      </w:r>
      <w:r w:rsidRPr="00EC2402">
        <w:rPr>
          <w:bCs/>
          <w:szCs w:val="24"/>
        </w:rPr>
        <w:t>Kaiser-Meyer-</w:t>
      </w:r>
      <w:proofErr w:type="spellStart"/>
      <w:r w:rsidRPr="00EC2402">
        <w:rPr>
          <w:bCs/>
          <w:szCs w:val="24"/>
        </w:rPr>
        <w:t>Olkin</w:t>
      </w:r>
      <w:proofErr w:type="spellEnd"/>
      <w:r w:rsidRPr="00EC2402">
        <w:rPr>
          <w:bCs/>
          <w:szCs w:val="24"/>
        </w:rPr>
        <w:t xml:space="preserve"> (KMO), </w:t>
      </w:r>
      <w:r>
        <w:rPr>
          <w:bCs/>
          <w:szCs w:val="24"/>
        </w:rPr>
        <w:t xml:space="preserve">ao </w:t>
      </w:r>
      <w:r w:rsidRPr="00EC2402">
        <w:rPr>
          <w:bCs/>
          <w:szCs w:val="24"/>
        </w:rPr>
        <w:t xml:space="preserve">Teste de Esfericidade de </w:t>
      </w:r>
      <w:proofErr w:type="spellStart"/>
      <w:r w:rsidRPr="00EC2402">
        <w:rPr>
          <w:bCs/>
          <w:szCs w:val="24"/>
        </w:rPr>
        <w:t>Bartlett</w:t>
      </w:r>
      <w:proofErr w:type="spellEnd"/>
      <w:r w:rsidRPr="00EC2402">
        <w:rPr>
          <w:bCs/>
          <w:szCs w:val="24"/>
        </w:rPr>
        <w:t xml:space="preserve">, </w:t>
      </w:r>
      <w:r>
        <w:rPr>
          <w:bCs/>
          <w:szCs w:val="24"/>
        </w:rPr>
        <w:t xml:space="preserve">à </w:t>
      </w:r>
      <w:r w:rsidRPr="00EC2402">
        <w:rPr>
          <w:bCs/>
          <w:szCs w:val="24"/>
        </w:rPr>
        <w:t xml:space="preserve">Medida de Adequação da Amostra (MSA) e </w:t>
      </w:r>
      <w:r>
        <w:rPr>
          <w:bCs/>
          <w:szCs w:val="24"/>
        </w:rPr>
        <w:t xml:space="preserve">ao </w:t>
      </w:r>
      <w:r w:rsidRPr="00EC2402">
        <w:rPr>
          <w:bCs/>
          <w:szCs w:val="24"/>
        </w:rPr>
        <w:t>Alfa de Cronbach para a confiabilidade dos constructos.</w:t>
      </w:r>
    </w:p>
    <w:p w14:paraId="579B099B" w14:textId="77777777" w:rsidR="00B6148C" w:rsidRDefault="00B6148C" w:rsidP="00B6148C">
      <w:pPr>
        <w:shd w:val="clear" w:color="auto" w:fill="FFFFFF" w:themeFill="background1"/>
        <w:rPr>
          <w:szCs w:val="24"/>
        </w:rPr>
      </w:pPr>
      <w:r>
        <w:rPr>
          <w:bCs/>
          <w:szCs w:val="24"/>
        </w:rPr>
        <w:t xml:space="preserve">  </w:t>
      </w:r>
      <w:r w:rsidRPr="0002019F">
        <w:rPr>
          <w:bCs/>
          <w:szCs w:val="24"/>
        </w:rPr>
        <w:t xml:space="preserve">Por fim, a regressão linear múltipla apresentou os resultados necessários para a verificação da hipótese </w:t>
      </w:r>
      <w:r>
        <w:rPr>
          <w:bCs/>
          <w:szCs w:val="24"/>
        </w:rPr>
        <w:t xml:space="preserve">de pesquisa </w:t>
      </w:r>
      <w:r w:rsidRPr="0002019F">
        <w:rPr>
          <w:bCs/>
          <w:szCs w:val="24"/>
        </w:rPr>
        <w:t>sugerida. A Equação 1,</w:t>
      </w:r>
      <w:r w:rsidRPr="0002019F">
        <w:rPr>
          <w:szCs w:val="24"/>
        </w:rPr>
        <w:t xml:space="preserve"> a seguir, </w:t>
      </w:r>
      <w:r>
        <w:rPr>
          <w:szCs w:val="24"/>
        </w:rPr>
        <w:t>reporta as variáveis elencadas no modelo proposto</w:t>
      </w:r>
      <w:r w:rsidRPr="0002019F">
        <w:rPr>
          <w:szCs w:val="24"/>
        </w:rPr>
        <w:t>.</w:t>
      </w:r>
    </w:p>
    <w:p w14:paraId="71CC656F" w14:textId="77777777" w:rsidR="00B6148C" w:rsidRPr="004206A0" w:rsidRDefault="00B6148C" w:rsidP="00B6148C">
      <w:pPr>
        <w:pStyle w:val="PargrafodaLista"/>
        <w:spacing w:after="0" w:line="240" w:lineRule="auto"/>
      </w:pPr>
    </w:p>
    <w:p w14:paraId="495C4344" w14:textId="77777777" w:rsidR="00B6148C" w:rsidRPr="00B6148C" w:rsidRDefault="00B6148C" w:rsidP="00B6148C">
      <w:pPr>
        <w:jc w:val="center"/>
        <w:rPr>
          <w:color w:val="000000"/>
          <w:sz w:val="20"/>
        </w:rPr>
      </w:pPr>
      <m:oMathPara>
        <m:oMathParaPr>
          <m:jc m:val="center"/>
        </m:oMathParaPr>
        <m:oMath>
          <m:r>
            <w:rPr>
              <w:rFonts w:ascii="Cambria Math" w:hAnsi="Cambria Math"/>
              <w:sz w:val="20"/>
            </w:rPr>
            <m:t>CF=</m:t>
          </m:r>
          <m:sSub>
            <m:sSubPr>
              <m:ctrlPr>
                <w:rPr>
                  <w:rFonts w:ascii="Cambria Math" w:hAnsi="Cambria Math"/>
                  <w:sz w:val="20"/>
                </w:rPr>
              </m:ctrlPr>
            </m:sSubPr>
            <m:e>
              <m:r>
                <w:rPr>
                  <w:rFonts w:ascii="Cambria Math" w:hAnsi="Cambria Math"/>
                  <w:sz w:val="20"/>
                </w:rPr>
                <m:t>β</m:t>
              </m:r>
            </m:e>
            <m:sub>
              <m:r>
                <w:rPr>
                  <w:rFonts w:ascii="Cambria Math" w:hAnsi="Cambria Math"/>
                  <w:sz w:val="20"/>
                </w:rPr>
                <m:t>0</m:t>
              </m:r>
            </m:sub>
          </m:sSub>
          <m:r>
            <w:rPr>
              <w:rFonts w:ascii="Cambria Math" w:hAnsi="Cambria Math"/>
              <w:sz w:val="20"/>
            </w:rPr>
            <m:t>+</m:t>
          </m:r>
          <m:sSub>
            <m:sSubPr>
              <m:ctrlPr>
                <w:rPr>
                  <w:rFonts w:ascii="Cambria Math" w:hAnsi="Cambria Math"/>
                  <w:sz w:val="20"/>
                </w:rPr>
              </m:ctrlPr>
            </m:sSubPr>
            <m:e>
              <m:r>
                <w:rPr>
                  <w:rFonts w:ascii="Cambria Math" w:hAnsi="Cambria Math"/>
                  <w:sz w:val="20"/>
                </w:rPr>
                <m:t>β</m:t>
              </m:r>
            </m:e>
            <m:sub>
              <m:r>
                <w:rPr>
                  <w:rFonts w:ascii="Cambria Math" w:hAnsi="Cambria Math"/>
                  <w:sz w:val="20"/>
                </w:rPr>
                <m:t>1</m:t>
              </m:r>
            </m:sub>
          </m:sSub>
          <m:r>
            <w:rPr>
              <w:rFonts w:ascii="Cambria Math" w:hAnsi="Cambria Math"/>
              <w:sz w:val="20"/>
            </w:rPr>
            <m:t>FASE+</m:t>
          </m:r>
          <m:sSub>
            <m:sSubPr>
              <m:ctrlPr>
                <w:rPr>
                  <w:rFonts w:ascii="Cambria Math" w:hAnsi="Cambria Math"/>
                  <w:sz w:val="20"/>
                </w:rPr>
              </m:ctrlPr>
            </m:sSubPr>
            <m:e>
              <m:r>
                <w:rPr>
                  <w:rFonts w:ascii="Cambria Math" w:hAnsi="Cambria Math"/>
                  <w:sz w:val="20"/>
                </w:rPr>
                <m:t>β</m:t>
              </m:r>
            </m:e>
            <m:sub>
              <m:r>
                <w:rPr>
                  <w:rFonts w:ascii="Cambria Math" w:hAnsi="Cambria Math"/>
                  <w:sz w:val="20"/>
                </w:rPr>
                <m:t>2</m:t>
              </m:r>
            </m:sub>
          </m:sSub>
          <m:r>
            <w:rPr>
              <w:rFonts w:ascii="Cambria Math" w:hAnsi="Cambria Math"/>
              <w:sz w:val="20"/>
            </w:rPr>
            <m:t xml:space="preserve">IDADE+ </m:t>
          </m:r>
          <m:sSub>
            <m:sSubPr>
              <m:ctrlPr>
                <w:rPr>
                  <w:rFonts w:ascii="Cambria Math" w:hAnsi="Cambria Math"/>
                  <w:sz w:val="20"/>
                </w:rPr>
              </m:ctrlPr>
            </m:sSubPr>
            <m:e>
              <m:r>
                <w:rPr>
                  <w:rFonts w:ascii="Cambria Math" w:hAnsi="Cambria Math"/>
                  <w:sz w:val="20"/>
                </w:rPr>
                <m:t>β</m:t>
              </m:r>
            </m:e>
            <m:sub>
              <m:r>
                <w:rPr>
                  <w:rFonts w:ascii="Cambria Math" w:hAnsi="Cambria Math"/>
                  <w:sz w:val="20"/>
                </w:rPr>
                <m:t>3</m:t>
              </m:r>
            </m:sub>
          </m:sSub>
          <m:r>
            <w:rPr>
              <w:rFonts w:ascii="Cambria Math" w:hAnsi="Cambria Math"/>
              <w:sz w:val="20"/>
            </w:rPr>
            <m:t>d.CURSO+µ</m:t>
          </m:r>
          <m:r>
            <w:rPr>
              <w:rFonts w:ascii="Cambria Math" w:eastAsiaTheme="minorEastAsia" w:hAnsi="Cambria Math"/>
              <w:sz w:val="20"/>
            </w:rPr>
            <m:t xml:space="preserve">                                                                                                     (1</m:t>
          </m:r>
          <m:r>
            <w:rPr>
              <w:rFonts w:ascii="Cambria Math" w:eastAsiaTheme="minorEastAsia" w:hAnsi="Cambria Math"/>
              <w:sz w:val="20"/>
            </w:rPr>
            <m:t>)</m:t>
          </m:r>
        </m:oMath>
      </m:oMathPara>
    </w:p>
    <w:p w14:paraId="738D6FED" w14:textId="77777777" w:rsidR="00B6148C" w:rsidRDefault="00B6148C" w:rsidP="00B6148C">
      <w:pPr>
        <w:rPr>
          <w:color w:val="000000"/>
          <w:sz w:val="20"/>
        </w:rPr>
      </w:pPr>
    </w:p>
    <w:p w14:paraId="140BCA57" w14:textId="77777777" w:rsidR="00B6148C" w:rsidRPr="004206A0" w:rsidRDefault="00B6148C" w:rsidP="00B6148C">
      <w:pPr>
        <w:rPr>
          <w:color w:val="000000"/>
          <w:sz w:val="20"/>
        </w:rPr>
      </w:pPr>
      <w:r w:rsidRPr="004206A0">
        <w:rPr>
          <w:color w:val="000000"/>
          <w:sz w:val="20"/>
        </w:rPr>
        <w:t xml:space="preserve">Onde: </w:t>
      </w:r>
    </w:p>
    <w:p w14:paraId="235E2D2B" w14:textId="77777777" w:rsidR="00B6148C" w:rsidRPr="004206A0" w:rsidRDefault="00B6148C" w:rsidP="00B6148C">
      <w:pPr>
        <w:rPr>
          <w:color w:val="000000"/>
          <w:sz w:val="20"/>
        </w:rPr>
      </w:pPr>
      <w:r>
        <w:rPr>
          <w:color w:val="00000A"/>
          <w:sz w:val="20"/>
        </w:rPr>
        <w:t>C</w:t>
      </w:r>
      <w:r w:rsidRPr="004206A0">
        <w:rPr>
          <w:color w:val="00000A"/>
          <w:sz w:val="20"/>
        </w:rPr>
        <w:t>F</w:t>
      </w:r>
      <w:r w:rsidRPr="004206A0">
        <w:rPr>
          <w:color w:val="000000"/>
          <w:sz w:val="20"/>
        </w:rPr>
        <w:t xml:space="preserve"> é a variável de resposta, representada pela </w:t>
      </w:r>
      <w:r>
        <w:rPr>
          <w:color w:val="000000"/>
          <w:sz w:val="20"/>
        </w:rPr>
        <w:t>Controle Financeiro</w:t>
      </w:r>
      <w:r w:rsidRPr="004206A0">
        <w:rPr>
          <w:color w:val="000000"/>
          <w:sz w:val="20"/>
        </w:rPr>
        <w:t>;</w:t>
      </w:r>
    </w:p>
    <w:p w14:paraId="6EF7A1FC" w14:textId="77777777" w:rsidR="00B6148C" w:rsidRPr="004206A0" w:rsidRDefault="00B6148C" w:rsidP="00B6148C">
      <w:pPr>
        <w:rPr>
          <w:color w:val="00000A"/>
          <w:sz w:val="20"/>
        </w:rPr>
      </w:pPr>
      <w:r w:rsidRPr="004206A0">
        <w:rPr>
          <w:color w:val="00000A"/>
          <w:sz w:val="20"/>
        </w:rPr>
        <w:t>FASE é uma variável de controle, representada pela Fase do curso em que o respondente se encontra.</w:t>
      </w:r>
    </w:p>
    <w:p w14:paraId="2D0E38CF" w14:textId="77777777" w:rsidR="00B6148C" w:rsidRPr="004206A0" w:rsidRDefault="00B6148C" w:rsidP="00B6148C">
      <w:pPr>
        <w:rPr>
          <w:color w:val="000000"/>
          <w:sz w:val="20"/>
        </w:rPr>
      </w:pPr>
      <w:r w:rsidRPr="004206A0">
        <w:rPr>
          <w:color w:val="00000A"/>
          <w:sz w:val="20"/>
        </w:rPr>
        <w:t>IDADE é uma variável de controle, representada pela Idade em anos do respondente.</w:t>
      </w:r>
    </w:p>
    <w:p w14:paraId="15A62535" w14:textId="77777777" w:rsidR="00B6148C" w:rsidRPr="004206A0" w:rsidRDefault="00B6148C" w:rsidP="00B6148C">
      <w:pPr>
        <w:rPr>
          <w:color w:val="000000"/>
          <w:sz w:val="20"/>
        </w:rPr>
      </w:pPr>
      <w:r w:rsidRPr="004206A0">
        <w:rPr>
          <w:color w:val="00000A"/>
          <w:sz w:val="20"/>
        </w:rPr>
        <w:t>CURSO é uma variável de estímulo, representada de forma binária (</w:t>
      </w:r>
      <w:proofErr w:type="spellStart"/>
      <w:r w:rsidRPr="004206A0">
        <w:rPr>
          <w:i/>
          <w:iCs/>
          <w:color w:val="00000A"/>
          <w:sz w:val="20"/>
        </w:rPr>
        <w:t>dummy</w:t>
      </w:r>
      <w:proofErr w:type="spellEnd"/>
      <w:r w:rsidRPr="004206A0">
        <w:rPr>
          <w:color w:val="00000A"/>
          <w:sz w:val="20"/>
        </w:rPr>
        <w:t xml:space="preserve">), onde assume-se valor 1 para os </w:t>
      </w:r>
      <w:r w:rsidRPr="004206A0">
        <w:rPr>
          <w:color w:val="00000A"/>
          <w:sz w:val="20"/>
        </w:rPr>
        <w:lastRenderedPageBreak/>
        <w:t>respondentes matriculados em cursos de administração ou ciências contábeis e valor 0 para os respondentes matriculados nos cursos restantes.</w:t>
      </w:r>
    </w:p>
    <w:p w14:paraId="21EE2B16" w14:textId="77777777" w:rsidR="00B6148C" w:rsidRPr="004206A0" w:rsidRDefault="00B6148C" w:rsidP="00B6148C">
      <w:pPr>
        <w:rPr>
          <w:color w:val="000000"/>
          <w:sz w:val="20"/>
        </w:rPr>
      </w:pPr>
      <m:oMath>
        <m:sSub>
          <m:sSubPr>
            <m:ctrlPr>
              <w:rPr>
                <w:rFonts w:ascii="Cambria Math" w:hAnsi="Cambria Math"/>
                <w:color w:val="00000A"/>
                <w:sz w:val="20"/>
              </w:rPr>
            </m:ctrlPr>
          </m:sSubPr>
          <m:e>
            <m:r>
              <w:rPr>
                <w:rFonts w:ascii="Cambria Math" w:hAnsi="Cambria Math"/>
                <w:color w:val="00000A"/>
                <w:sz w:val="20"/>
              </w:rPr>
              <m:t>β</m:t>
            </m:r>
          </m:e>
          <m:sub>
            <m:r>
              <w:rPr>
                <w:rFonts w:ascii="Cambria Math" w:hAnsi="Cambria Math"/>
                <w:color w:val="00000A"/>
                <w:sz w:val="20"/>
              </w:rPr>
              <m:t>0</m:t>
            </m:r>
          </m:sub>
        </m:sSub>
      </m:oMath>
      <w:r w:rsidRPr="004206A0">
        <w:rPr>
          <w:color w:val="000000"/>
          <w:sz w:val="20"/>
        </w:rPr>
        <w:t xml:space="preserve"> </w:t>
      </w:r>
      <w:proofErr w:type="gramStart"/>
      <w:r w:rsidRPr="004206A0">
        <w:rPr>
          <w:color w:val="000000"/>
          <w:sz w:val="20"/>
        </w:rPr>
        <w:t>é</w:t>
      </w:r>
      <w:proofErr w:type="gramEnd"/>
      <w:r w:rsidRPr="004206A0">
        <w:rPr>
          <w:color w:val="000000"/>
          <w:sz w:val="20"/>
        </w:rPr>
        <w:t xml:space="preserve"> o intercepto da regressão;</w:t>
      </w:r>
    </w:p>
    <w:p w14:paraId="48F7B3BF" w14:textId="77777777" w:rsidR="00B6148C" w:rsidRPr="004206A0" w:rsidRDefault="00B6148C" w:rsidP="00B6148C">
      <w:pPr>
        <w:rPr>
          <w:color w:val="000000"/>
          <w:sz w:val="20"/>
        </w:rPr>
      </w:pPr>
      <m:oMath>
        <m:sSub>
          <m:sSubPr>
            <m:ctrlPr>
              <w:rPr>
                <w:rFonts w:ascii="Cambria Math" w:hAnsi="Cambria Math"/>
                <w:color w:val="00000A"/>
                <w:sz w:val="20"/>
              </w:rPr>
            </m:ctrlPr>
          </m:sSubPr>
          <m:e>
            <m:r>
              <w:rPr>
                <w:rFonts w:ascii="Cambria Math" w:hAnsi="Cambria Math"/>
                <w:color w:val="00000A"/>
                <w:sz w:val="20"/>
              </w:rPr>
              <m:t>β</m:t>
            </m:r>
          </m:e>
          <m:sub>
            <m:r>
              <w:rPr>
                <w:rFonts w:ascii="Cambria Math" w:hAnsi="Cambria Math"/>
                <w:color w:val="00000A"/>
                <w:sz w:val="20"/>
              </w:rPr>
              <m:t>1</m:t>
            </m:r>
          </m:sub>
        </m:sSub>
      </m:oMath>
      <w:proofErr w:type="gramStart"/>
      <w:r w:rsidRPr="004206A0">
        <w:rPr>
          <w:color w:val="00000A"/>
          <w:sz w:val="20"/>
        </w:rPr>
        <w:t>é</w:t>
      </w:r>
      <w:proofErr w:type="gramEnd"/>
      <w:r w:rsidRPr="004206A0">
        <w:rPr>
          <w:color w:val="00000A"/>
          <w:sz w:val="20"/>
        </w:rPr>
        <w:t xml:space="preserve"> o coeficiente angular da regressão;</w:t>
      </w:r>
    </w:p>
    <w:p w14:paraId="61B78E89" w14:textId="77777777" w:rsidR="00B6148C" w:rsidRPr="004206A0" w:rsidRDefault="00B6148C" w:rsidP="00B6148C">
      <w:pPr>
        <w:tabs>
          <w:tab w:val="left" w:pos="567"/>
        </w:tabs>
        <w:rPr>
          <w:color w:val="00000A"/>
          <w:sz w:val="20"/>
        </w:rPr>
      </w:pPr>
      <m:oMath>
        <m:r>
          <w:rPr>
            <w:rFonts w:ascii="Cambria Math" w:hAnsi="Cambria Math"/>
            <w:color w:val="00000A"/>
            <w:sz w:val="20"/>
          </w:rPr>
          <m:t>µ</m:t>
        </m:r>
      </m:oMath>
      <w:r w:rsidRPr="004206A0">
        <w:rPr>
          <w:color w:val="00000A"/>
          <w:sz w:val="20"/>
        </w:rPr>
        <w:t xml:space="preserve"> </w:t>
      </w:r>
      <w:proofErr w:type="gramStart"/>
      <w:r w:rsidRPr="004206A0">
        <w:rPr>
          <w:color w:val="00000A"/>
          <w:sz w:val="20"/>
        </w:rPr>
        <w:t>é</w:t>
      </w:r>
      <w:proofErr w:type="gramEnd"/>
      <w:r w:rsidRPr="004206A0">
        <w:rPr>
          <w:color w:val="00000A"/>
          <w:sz w:val="20"/>
        </w:rPr>
        <w:t xml:space="preserve"> o termo de erro da regressão.</w:t>
      </w:r>
    </w:p>
    <w:p w14:paraId="59E40A0A" w14:textId="77777777" w:rsidR="00B6148C" w:rsidRDefault="00B6148C" w:rsidP="00B6148C">
      <w:pPr>
        <w:pStyle w:val="PargrafodaLista"/>
        <w:spacing w:after="0" w:line="240" w:lineRule="auto"/>
        <w:ind w:left="0" w:firstLine="709"/>
        <w:jc w:val="both"/>
        <w:rPr>
          <w:rFonts w:ascii="Times New Roman" w:hAnsi="Times New Roman" w:cs="Times New Roman"/>
          <w:bCs/>
          <w:sz w:val="24"/>
          <w:szCs w:val="24"/>
        </w:rPr>
      </w:pPr>
    </w:p>
    <w:p w14:paraId="1C620D88" w14:textId="77777777" w:rsidR="00B6148C" w:rsidRDefault="00B6148C" w:rsidP="00B6148C">
      <w:pPr>
        <w:shd w:val="clear" w:color="auto" w:fill="FFFFFF" w:themeFill="background1"/>
        <w:rPr>
          <w:szCs w:val="24"/>
        </w:rPr>
      </w:pPr>
      <w:r>
        <w:rPr>
          <w:bCs/>
          <w:szCs w:val="24"/>
        </w:rPr>
        <w:t xml:space="preserve">  As variáveis FASE e IDADE foram tratadas como variáveis de controle na pesquisa dada a suposição de mudança no perfil de educação financeira do discente ao longo do tempo, ao passo que a </w:t>
      </w:r>
      <w:proofErr w:type="spellStart"/>
      <w:r w:rsidRPr="00A173C4">
        <w:rPr>
          <w:bCs/>
          <w:i/>
          <w:iCs/>
          <w:szCs w:val="24"/>
        </w:rPr>
        <w:t>dummy</w:t>
      </w:r>
      <w:proofErr w:type="spellEnd"/>
      <w:r>
        <w:rPr>
          <w:bCs/>
          <w:szCs w:val="24"/>
        </w:rPr>
        <w:t xml:space="preserve"> referente ao curso no qual o discente está matriculado reporta o interessa da pesquisa.</w:t>
      </w:r>
    </w:p>
    <w:p w14:paraId="41FC0387" w14:textId="2060E5C6" w:rsidR="00B6148C" w:rsidRDefault="00B6148C" w:rsidP="00B6148C">
      <w:pPr>
        <w:pStyle w:val="PargrafodaLista"/>
        <w:spacing w:after="0" w:line="240" w:lineRule="auto"/>
        <w:ind w:left="0" w:firstLine="709"/>
        <w:jc w:val="both"/>
        <w:rPr>
          <w:rFonts w:ascii="Times New Roman" w:hAnsi="Times New Roman" w:cs="Times New Roman"/>
          <w:sz w:val="24"/>
          <w:szCs w:val="24"/>
        </w:rPr>
      </w:pPr>
      <w:r>
        <w:rPr>
          <w:rFonts w:ascii="Times New Roman" w:hAnsi="Times New Roman" w:cs="Times New Roman"/>
          <w:bCs/>
          <w:sz w:val="24"/>
          <w:szCs w:val="24"/>
        </w:rPr>
        <w:t xml:space="preserve">A análise fatorial foi realizada no </w:t>
      </w:r>
      <w:r w:rsidRPr="00A173C4">
        <w:rPr>
          <w:rFonts w:ascii="Times New Roman" w:hAnsi="Times New Roman" w:cs="Times New Roman"/>
          <w:bCs/>
          <w:i/>
          <w:iCs/>
          <w:sz w:val="24"/>
          <w:szCs w:val="24"/>
        </w:rPr>
        <w:t>software</w:t>
      </w:r>
      <w:r>
        <w:rPr>
          <w:rFonts w:ascii="Times New Roman" w:hAnsi="Times New Roman" w:cs="Times New Roman"/>
          <w:bCs/>
          <w:sz w:val="24"/>
          <w:szCs w:val="24"/>
        </w:rPr>
        <w:t xml:space="preserve"> </w:t>
      </w:r>
      <w:proofErr w:type="spellStart"/>
      <w:r w:rsidRPr="00A74C0F">
        <w:rPr>
          <w:rFonts w:ascii="Times New Roman" w:hAnsi="Times New Roman" w:cs="Times New Roman"/>
          <w:bCs/>
          <w:i/>
          <w:sz w:val="24"/>
          <w:szCs w:val="24"/>
        </w:rPr>
        <w:t>Statistical</w:t>
      </w:r>
      <w:proofErr w:type="spellEnd"/>
      <w:r w:rsidRPr="00A74C0F">
        <w:rPr>
          <w:rFonts w:ascii="Times New Roman" w:hAnsi="Times New Roman" w:cs="Times New Roman"/>
          <w:bCs/>
          <w:i/>
          <w:sz w:val="24"/>
          <w:szCs w:val="24"/>
        </w:rPr>
        <w:t xml:space="preserve"> </w:t>
      </w:r>
      <w:proofErr w:type="spellStart"/>
      <w:r w:rsidRPr="00A74C0F">
        <w:rPr>
          <w:rFonts w:ascii="Times New Roman" w:hAnsi="Times New Roman" w:cs="Times New Roman"/>
          <w:bCs/>
          <w:i/>
          <w:sz w:val="24"/>
          <w:szCs w:val="24"/>
        </w:rPr>
        <w:t>Package</w:t>
      </w:r>
      <w:proofErr w:type="spellEnd"/>
      <w:r w:rsidRPr="00A74C0F">
        <w:rPr>
          <w:rFonts w:ascii="Times New Roman" w:hAnsi="Times New Roman" w:cs="Times New Roman"/>
          <w:bCs/>
          <w:i/>
          <w:sz w:val="24"/>
          <w:szCs w:val="24"/>
        </w:rPr>
        <w:t xml:space="preserve"> for </w:t>
      </w:r>
      <w:proofErr w:type="spellStart"/>
      <w:r w:rsidRPr="00A74C0F">
        <w:rPr>
          <w:rFonts w:ascii="Times New Roman" w:hAnsi="Times New Roman" w:cs="Times New Roman"/>
          <w:bCs/>
          <w:i/>
          <w:sz w:val="24"/>
          <w:szCs w:val="24"/>
        </w:rPr>
        <w:t>the</w:t>
      </w:r>
      <w:proofErr w:type="spellEnd"/>
      <w:r w:rsidRPr="00A74C0F">
        <w:rPr>
          <w:rFonts w:ascii="Times New Roman" w:hAnsi="Times New Roman" w:cs="Times New Roman"/>
          <w:bCs/>
          <w:i/>
          <w:sz w:val="24"/>
          <w:szCs w:val="24"/>
        </w:rPr>
        <w:t xml:space="preserve"> Social </w:t>
      </w:r>
      <w:proofErr w:type="spellStart"/>
      <w:r w:rsidRPr="00A74C0F">
        <w:rPr>
          <w:rFonts w:ascii="Times New Roman" w:hAnsi="Times New Roman" w:cs="Times New Roman"/>
          <w:bCs/>
          <w:i/>
          <w:sz w:val="24"/>
          <w:szCs w:val="24"/>
        </w:rPr>
        <w:t>Sciences</w:t>
      </w:r>
      <w:proofErr w:type="spellEnd"/>
      <w:r>
        <w:rPr>
          <w:rFonts w:ascii="Times New Roman" w:hAnsi="Times New Roman" w:cs="Times New Roman"/>
          <w:bCs/>
          <w:sz w:val="24"/>
          <w:szCs w:val="24"/>
        </w:rPr>
        <w:t xml:space="preserve"> (SPSS</w:t>
      </w:r>
      <w:r w:rsidRPr="0004597B">
        <w:rPr>
          <w:rFonts w:ascii="Times New Roman" w:hAnsi="Times New Roman" w:cs="Times New Roman"/>
          <w:sz w:val="24"/>
          <w:szCs w:val="24"/>
          <w:vertAlign w:val="superscript"/>
        </w:rPr>
        <w:t>®</w:t>
      </w:r>
      <w:r w:rsidRPr="00343F65">
        <w:rPr>
          <w:rFonts w:ascii="Times New Roman" w:hAnsi="Times New Roman" w:cs="Times New Roman"/>
          <w:sz w:val="24"/>
          <w:szCs w:val="24"/>
        </w:rPr>
        <w:t>)</w:t>
      </w:r>
      <w:r>
        <w:rPr>
          <w:rFonts w:ascii="Times New Roman" w:hAnsi="Times New Roman" w:cs="Times New Roman"/>
          <w:sz w:val="24"/>
          <w:szCs w:val="24"/>
        </w:rPr>
        <w:t xml:space="preserve">, enquanto as estatísticas descritivas, os testes para os pressupostos básicos de regressões e o cálculo das regressões, em si, se deram por meio do </w:t>
      </w:r>
      <w:r w:rsidRPr="00A173C4">
        <w:rPr>
          <w:rFonts w:ascii="Times New Roman" w:hAnsi="Times New Roman" w:cs="Times New Roman"/>
          <w:i/>
          <w:iCs/>
          <w:sz w:val="24"/>
          <w:szCs w:val="24"/>
        </w:rPr>
        <w:t xml:space="preserve">software </w:t>
      </w:r>
      <w:proofErr w:type="spellStart"/>
      <w:r w:rsidRPr="00A173C4">
        <w:rPr>
          <w:rFonts w:ascii="Times New Roman" w:hAnsi="Times New Roman" w:cs="Times New Roman"/>
          <w:i/>
          <w:iCs/>
          <w:sz w:val="24"/>
          <w:szCs w:val="24"/>
        </w:rPr>
        <w:t>Gnu</w:t>
      </w:r>
      <w:proofErr w:type="spellEnd"/>
      <w:r w:rsidRPr="00A173C4">
        <w:rPr>
          <w:rFonts w:ascii="Times New Roman" w:hAnsi="Times New Roman" w:cs="Times New Roman"/>
          <w:i/>
          <w:iCs/>
          <w:sz w:val="24"/>
          <w:szCs w:val="24"/>
        </w:rPr>
        <w:t xml:space="preserve"> </w:t>
      </w:r>
      <w:proofErr w:type="spellStart"/>
      <w:r w:rsidRPr="00A173C4">
        <w:rPr>
          <w:rFonts w:ascii="Times New Roman" w:hAnsi="Times New Roman" w:cs="Times New Roman"/>
          <w:i/>
          <w:iCs/>
          <w:sz w:val="24"/>
          <w:szCs w:val="24"/>
        </w:rPr>
        <w:t>Regression</w:t>
      </w:r>
      <w:proofErr w:type="spellEnd"/>
      <w:r w:rsidRPr="00A173C4">
        <w:rPr>
          <w:rFonts w:ascii="Times New Roman" w:hAnsi="Times New Roman" w:cs="Times New Roman"/>
          <w:i/>
          <w:iCs/>
          <w:sz w:val="24"/>
          <w:szCs w:val="24"/>
        </w:rPr>
        <w:t xml:space="preserve">, </w:t>
      </w:r>
      <w:proofErr w:type="spellStart"/>
      <w:r w:rsidRPr="00A173C4">
        <w:rPr>
          <w:rFonts w:ascii="Times New Roman" w:hAnsi="Times New Roman" w:cs="Times New Roman"/>
          <w:i/>
          <w:iCs/>
          <w:sz w:val="24"/>
          <w:szCs w:val="24"/>
        </w:rPr>
        <w:t>Econometrics</w:t>
      </w:r>
      <w:proofErr w:type="spellEnd"/>
      <w:r w:rsidRPr="00A173C4">
        <w:rPr>
          <w:rFonts w:ascii="Times New Roman" w:hAnsi="Times New Roman" w:cs="Times New Roman"/>
          <w:i/>
          <w:iCs/>
          <w:sz w:val="24"/>
          <w:szCs w:val="24"/>
        </w:rPr>
        <w:t xml:space="preserve"> </w:t>
      </w:r>
      <w:proofErr w:type="spellStart"/>
      <w:r w:rsidRPr="00A173C4">
        <w:rPr>
          <w:rFonts w:ascii="Times New Roman" w:hAnsi="Times New Roman" w:cs="Times New Roman"/>
          <w:i/>
          <w:iCs/>
          <w:sz w:val="24"/>
          <w:szCs w:val="24"/>
        </w:rPr>
        <w:t>and</w:t>
      </w:r>
      <w:proofErr w:type="spellEnd"/>
      <w:r w:rsidRPr="00A173C4">
        <w:rPr>
          <w:rFonts w:ascii="Times New Roman" w:hAnsi="Times New Roman" w:cs="Times New Roman"/>
          <w:i/>
          <w:iCs/>
          <w:sz w:val="24"/>
          <w:szCs w:val="24"/>
        </w:rPr>
        <w:t xml:space="preserve"> Time-series Library </w:t>
      </w:r>
      <w:r>
        <w:rPr>
          <w:rFonts w:ascii="Times New Roman" w:hAnsi="Times New Roman" w:cs="Times New Roman"/>
          <w:sz w:val="24"/>
          <w:szCs w:val="24"/>
        </w:rPr>
        <w:t>(GRETL</w:t>
      </w:r>
      <w:r w:rsidRPr="0004597B">
        <w:rPr>
          <w:rFonts w:ascii="Times New Roman" w:hAnsi="Times New Roman" w:cs="Times New Roman"/>
          <w:sz w:val="24"/>
          <w:szCs w:val="24"/>
          <w:vertAlign w:val="superscript"/>
        </w:rPr>
        <w:t>®</w:t>
      </w:r>
      <w:r w:rsidRPr="00E86FC8">
        <w:rPr>
          <w:rFonts w:ascii="Times New Roman" w:hAnsi="Times New Roman" w:cs="Times New Roman"/>
          <w:sz w:val="24"/>
          <w:szCs w:val="24"/>
        </w:rPr>
        <w:t>)</w:t>
      </w:r>
      <w:r>
        <w:rPr>
          <w:rFonts w:ascii="Times New Roman" w:hAnsi="Times New Roman" w:cs="Times New Roman"/>
          <w:sz w:val="24"/>
          <w:szCs w:val="24"/>
        </w:rPr>
        <w:t xml:space="preserve">. Todos os procedimentos foram realizados considerando sempre um nível de confiança de 95%. </w:t>
      </w:r>
    </w:p>
    <w:p w14:paraId="7C202DFA" w14:textId="77777777" w:rsidR="00B6148C" w:rsidRDefault="00B6148C" w:rsidP="00B6148C">
      <w:pPr>
        <w:pStyle w:val="PargrafodaLista"/>
        <w:spacing w:after="0" w:line="240" w:lineRule="auto"/>
        <w:ind w:left="0" w:firstLine="709"/>
        <w:jc w:val="both"/>
      </w:pPr>
    </w:p>
    <w:p w14:paraId="7990CB26" w14:textId="77777777" w:rsidR="00B6148C" w:rsidRDefault="00B6148C" w:rsidP="00B6148C">
      <w:pPr>
        <w:pStyle w:val="PargrafodaLista"/>
        <w:spacing w:after="0" w:line="240" w:lineRule="auto"/>
        <w:ind w:left="0"/>
        <w:rPr>
          <w:rFonts w:ascii="Times New Roman" w:hAnsi="Times New Roman" w:cs="Times New Roman"/>
          <w:b/>
          <w:sz w:val="24"/>
          <w:szCs w:val="24"/>
        </w:rPr>
      </w:pPr>
      <w:r>
        <w:rPr>
          <w:rFonts w:ascii="Times New Roman" w:hAnsi="Times New Roman" w:cs="Times New Roman"/>
          <w:b/>
          <w:sz w:val="24"/>
          <w:szCs w:val="24"/>
        </w:rPr>
        <w:t>4 Apresentação e Análise Dos Resultados</w:t>
      </w:r>
    </w:p>
    <w:p w14:paraId="42CE7068" w14:textId="77777777" w:rsidR="00B6148C" w:rsidRPr="00176389" w:rsidRDefault="00B6148C" w:rsidP="00B6148C">
      <w:pPr>
        <w:pStyle w:val="PargrafodaLista"/>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A primeira parte desta seção diz respeito às estatísticas descritivas da amostra. A Tabela 2 apresenta a população estudada na pesquisa, dividida entre os estudantes dos cursos de gestão, administração e ciências contábeis e os estudantes das demais áreas, com estudantes dos cursos de arquitetura, direito, engenharia civil, fisioterapia, jornalismo, nutrição, psicologia e publicidade.</w:t>
      </w:r>
    </w:p>
    <w:p w14:paraId="04BB2C83" w14:textId="77777777" w:rsidR="00B6148C" w:rsidRDefault="00B6148C" w:rsidP="00B6148C">
      <w:pPr>
        <w:shd w:val="clear" w:color="auto" w:fill="FFFFFF" w:themeFill="background1"/>
        <w:ind w:firstLine="0"/>
        <w:rPr>
          <w:sz w:val="20"/>
        </w:rPr>
      </w:pPr>
    </w:p>
    <w:p w14:paraId="1BA75231" w14:textId="77777777" w:rsidR="00B6148C" w:rsidRPr="0002019F" w:rsidRDefault="00B6148C" w:rsidP="00B6148C">
      <w:pPr>
        <w:shd w:val="clear" w:color="auto" w:fill="FFFFFF" w:themeFill="background1"/>
        <w:ind w:firstLine="0"/>
        <w:rPr>
          <w:sz w:val="20"/>
        </w:rPr>
      </w:pPr>
      <w:r w:rsidRPr="0002019F">
        <w:rPr>
          <w:sz w:val="20"/>
        </w:rPr>
        <w:t>Tabela 2. Número de alunos por grupo da amostra pesquisada</w:t>
      </w:r>
    </w:p>
    <w:tbl>
      <w:tblPr>
        <w:tblStyle w:val="SombreamentoClaro"/>
        <w:tblW w:w="5000" w:type="pct"/>
        <w:jc w:val="center"/>
        <w:tblBorders>
          <w:top w:val="single" w:sz="8" w:space="0" w:color="000000" w:themeColor="text1"/>
          <w:bottom w:val="single" w:sz="8" w:space="0" w:color="000000" w:themeColor="text1"/>
          <w:insideH w:val="single" w:sz="4" w:space="0" w:color="auto"/>
        </w:tblBorders>
        <w:tblLook w:val="04A0" w:firstRow="1" w:lastRow="0" w:firstColumn="1" w:lastColumn="0" w:noHBand="0" w:noVBand="1"/>
      </w:tblPr>
      <w:tblGrid>
        <w:gridCol w:w="3983"/>
        <w:gridCol w:w="2764"/>
        <w:gridCol w:w="2658"/>
      </w:tblGrid>
      <w:tr w:rsidR="00B6148C" w:rsidRPr="00AA2632" w14:paraId="2B97F31D" w14:textId="77777777" w:rsidTr="00B6148C">
        <w:trPr>
          <w:cnfStyle w:val="100000000000" w:firstRow="1" w:lastRow="0" w:firstColumn="0" w:lastColumn="0" w:oddVBand="0" w:evenVBand="0" w:oddHBand="0" w:evenHBand="0" w:firstRowFirstColumn="0" w:firstRowLastColumn="0" w:lastRowFirstColumn="0" w:lastRowLastColumn="0"/>
          <w:trHeight w:val="122"/>
          <w:jc w:val="center"/>
        </w:trPr>
        <w:tc>
          <w:tcPr>
            <w:cnfStyle w:val="001000000000" w:firstRow="0" w:lastRow="0" w:firstColumn="1" w:lastColumn="0" w:oddVBand="0" w:evenVBand="0" w:oddHBand="0" w:evenHBand="0" w:firstRowFirstColumn="0" w:firstRowLastColumn="0" w:lastRowFirstColumn="0" w:lastRowLastColumn="0"/>
            <w:tcW w:w="2117" w:type="pct"/>
            <w:tcBorders>
              <w:top w:val="none" w:sz="0" w:space="0" w:color="auto"/>
              <w:left w:val="none" w:sz="0" w:space="0" w:color="auto"/>
              <w:bottom w:val="none" w:sz="0" w:space="0" w:color="auto"/>
              <w:right w:val="none" w:sz="0" w:space="0" w:color="auto"/>
            </w:tcBorders>
            <w:shd w:val="clear" w:color="auto" w:fill="auto"/>
            <w:noWrap/>
            <w:hideMark/>
          </w:tcPr>
          <w:p w14:paraId="7D08E8E8" w14:textId="77777777" w:rsidR="00B6148C" w:rsidRPr="00AA2632" w:rsidRDefault="00B6148C" w:rsidP="00B6148C">
            <w:pPr>
              <w:ind w:firstLine="0"/>
              <w:jc w:val="center"/>
              <w:rPr>
                <w:rFonts w:ascii="Times New Roman" w:eastAsia="Times New Roman" w:hAnsi="Times New Roman"/>
                <w:sz w:val="20"/>
              </w:rPr>
            </w:pPr>
            <w:r>
              <w:rPr>
                <w:rFonts w:ascii="Times New Roman" w:eastAsia="Times New Roman" w:hAnsi="Times New Roman"/>
                <w:sz w:val="20"/>
              </w:rPr>
              <w:t>Área</w:t>
            </w:r>
          </w:p>
        </w:tc>
        <w:tc>
          <w:tcPr>
            <w:tcW w:w="1469" w:type="pct"/>
            <w:tcBorders>
              <w:top w:val="none" w:sz="0" w:space="0" w:color="auto"/>
              <w:left w:val="none" w:sz="0" w:space="0" w:color="auto"/>
              <w:bottom w:val="none" w:sz="0" w:space="0" w:color="auto"/>
              <w:right w:val="none" w:sz="0" w:space="0" w:color="auto"/>
            </w:tcBorders>
            <w:shd w:val="clear" w:color="auto" w:fill="auto"/>
            <w:noWrap/>
            <w:hideMark/>
          </w:tcPr>
          <w:p w14:paraId="59DBF495" w14:textId="77777777" w:rsidR="00B6148C" w:rsidRPr="00AA2632" w:rsidRDefault="00B6148C" w:rsidP="00B6148C">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0"/>
              </w:rPr>
            </w:pPr>
            <w:r w:rsidRPr="00AA2632">
              <w:rPr>
                <w:rFonts w:ascii="Times New Roman" w:eastAsia="Times New Roman" w:hAnsi="Times New Roman"/>
                <w:sz w:val="20"/>
              </w:rPr>
              <w:t>Frequência</w:t>
            </w:r>
            <w:r>
              <w:rPr>
                <w:rFonts w:ascii="Times New Roman" w:eastAsia="Times New Roman" w:hAnsi="Times New Roman"/>
                <w:sz w:val="20"/>
              </w:rPr>
              <w:t xml:space="preserve"> Absoluta</w:t>
            </w:r>
          </w:p>
        </w:tc>
        <w:tc>
          <w:tcPr>
            <w:tcW w:w="1413" w:type="pct"/>
            <w:tcBorders>
              <w:top w:val="none" w:sz="0" w:space="0" w:color="auto"/>
              <w:left w:val="none" w:sz="0" w:space="0" w:color="auto"/>
              <w:bottom w:val="none" w:sz="0" w:space="0" w:color="auto"/>
              <w:right w:val="none" w:sz="0" w:space="0" w:color="auto"/>
            </w:tcBorders>
            <w:shd w:val="clear" w:color="auto" w:fill="auto"/>
            <w:noWrap/>
            <w:hideMark/>
          </w:tcPr>
          <w:p w14:paraId="6642CBF9" w14:textId="77777777" w:rsidR="00B6148C" w:rsidRPr="00AA2632" w:rsidRDefault="00B6148C" w:rsidP="00B6148C">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0"/>
              </w:rPr>
            </w:pPr>
            <w:r>
              <w:rPr>
                <w:rFonts w:ascii="Times New Roman" w:eastAsia="Times New Roman" w:hAnsi="Times New Roman"/>
                <w:sz w:val="20"/>
              </w:rPr>
              <w:t>Frequência Relativa (%)</w:t>
            </w:r>
          </w:p>
        </w:tc>
      </w:tr>
      <w:tr w:rsidR="00B6148C" w:rsidRPr="00AA2632" w14:paraId="2A058F16" w14:textId="77777777" w:rsidTr="00B6148C">
        <w:trPr>
          <w:cnfStyle w:val="000000100000" w:firstRow="0" w:lastRow="0" w:firstColumn="0" w:lastColumn="0" w:oddVBand="0" w:evenVBand="0" w:oddHBand="1" w:evenHBand="0" w:firstRowFirstColumn="0" w:firstRowLastColumn="0" w:lastRowFirstColumn="0" w:lastRowLastColumn="0"/>
          <w:trHeight w:val="83"/>
          <w:jc w:val="center"/>
        </w:trPr>
        <w:tc>
          <w:tcPr>
            <w:cnfStyle w:val="001000000000" w:firstRow="0" w:lastRow="0" w:firstColumn="1" w:lastColumn="0" w:oddVBand="0" w:evenVBand="0" w:oddHBand="0" w:evenHBand="0" w:firstRowFirstColumn="0" w:firstRowLastColumn="0" w:lastRowFirstColumn="0" w:lastRowLastColumn="0"/>
            <w:tcW w:w="2117" w:type="pct"/>
            <w:tcBorders>
              <w:left w:val="none" w:sz="0" w:space="0" w:color="auto"/>
              <w:right w:val="none" w:sz="0" w:space="0" w:color="auto"/>
            </w:tcBorders>
            <w:shd w:val="clear" w:color="auto" w:fill="auto"/>
            <w:noWrap/>
            <w:hideMark/>
          </w:tcPr>
          <w:p w14:paraId="7F566956" w14:textId="77777777" w:rsidR="00B6148C" w:rsidRPr="0002019F" w:rsidRDefault="00B6148C" w:rsidP="00B6148C">
            <w:pPr>
              <w:ind w:firstLine="0"/>
              <w:jc w:val="center"/>
              <w:rPr>
                <w:rFonts w:ascii="Times New Roman" w:eastAsia="Times New Roman" w:hAnsi="Times New Roman"/>
                <w:b w:val="0"/>
                <w:bCs w:val="0"/>
                <w:sz w:val="20"/>
              </w:rPr>
            </w:pPr>
            <w:r w:rsidRPr="0002019F">
              <w:rPr>
                <w:rFonts w:ascii="Times New Roman" w:eastAsia="Times New Roman" w:hAnsi="Times New Roman"/>
                <w:b w:val="0"/>
                <w:bCs w:val="0"/>
                <w:sz w:val="20"/>
              </w:rPr>
              <w:t>Cursos de Gestão</w:t>
            </w:r>
          </w:p>
        </w:tc>
        <w:tc>
          <w:tcPr>
            <w:tcW w:w="1469" w:type="pct"/>
            <w:tcBorders>
              <w:left w:val="none" w:sz="0" w:space="0" w:color="auto"/>
              <w:right w:val="none" w:sz="0" w:space="0" w:color="auto"/>
            </w:tcBorders>
            <w:shd w:val="clear" w:color="auto" w:fill="auto"/>
            <w:noWrap/>
            <w:hideMark/>
          </w:tcPr>
          <w:p w14:paraId="31140539" w14:textId="77777777" w:rsidR="00B6148C" w:rsidRPr="00AA2632" w:rsidRDefault="00B6148C" w:rsidP="00B6148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0"/>
              </w:rPr>
            </w:pPr>
            <w:r w:rsidRPr="00AA2632">
              <w:rPr>
                <w:rFonts w:ascii="Times New Roman" w:eastAsia="Times New Roman" w:hAnsi="Times New Roman"/>
                <w:sz w:val="20"/>
              </w:rPr>
              <w:t>221</w:t>
            </w:r>
          </w:p>
        </w:tc>
        <w:tc>
          <w:tcPr>
            <w:tcW w:w="1413" w:type="pct"/>
            <w:tcBorders>
              <w:left w:val="none" w:sz="0" w:space="0" w:color="auto"/>
              <w:right w:val="none" w:sz="0" w:space="0" w:color="auto"/>
            </w:tcBorders>
            <w:shd w:val="clear" w:color="auto" w:fill="auto"/>
            <w:noWrap/>
            <w:hideMark/>
          </w:tcPr>
          <w:p w14:paraId="681934A5" w14:textId="77777777" w:rsidR="00B6148C" w:rsidRPr="00AA2632" w:rsidRDefault="00B6148C" w:rsidP="00B6148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0"/>
              </w:rPr>
            </w:pPr>
            <w:r>
              <w:rPr>
                <w:rFonts w:ascii="Times New Roman" w:eastAsia="Times New Roman" w:hAnsi="Times New Roman"/>
                <w:sz w:val="20"/>
              </w:rPr>
              <w:t>40,19</w:t>
            </w:r>
          </w:p>
        </w:tc>
      </w:tr>
      <w:tr w:rsidR="00B6148C" w:rsidRPr="00AA2632" w14:paraId="4C6234BC" w14:textId="77777777" w:rsidTr="00B6148C">
        <w:trPr>
          <w:trHeight w:val="116"/>
          <w:jc w:val="center"/>
        </w:trPr>
        <w:tc>
          <w:tcPr>
            <w:cnfStyle w:val="001000000000" w:firstRow="0" w:lastRow="0" w:firstColumn="1" w:lastColumn="0" w:oddVBand="0" w:evenVBand="0" w:oddHBand="0" w:evenHBand="0" w:firstRowFirstColumn="0" w:firstRowLastColumn="0" w:lastRowFirstColumn="0" w:lastRowLastColumn="0"/>
            <w:tcW w:w="2117" w:type="pct"/>
            <w:shd w:val="clear" w:color="auto" w:fill="auto"/>
            <w:noWrap/>
            <w:hideMark/>
          </w:tcPr>
          <w:p w14:paraId="324EFD1C" w14:textId="77777777" w:rsidR="00B6148C" w:rsidRPr="0002019F" w:rsidRDefault="00B6148C" w:rsidP="00B6148C">
            <w:pPr>
              <w:ind w:firstLine="0"/>
              <w:jc w:val="center"/>
              <w:rPr>
                <w:rFonts w:ascii="Times New Roman" w:eastAsia="Times New Roman" w:hAnsi="Times New Roman"/>
                <w:b w:val="0"/>
                <w:bCs w:val="0"/>
                <w:sz w:val="20"/>
              </w:rPr>
            </w:pPr>
            <w:r w:rsidRPr="0002019F">
              <w:rPr>
                <w:rFonts w:ascii="Times New Roman" w:eastAsia="Times New Roman" w:hAnsi="Times New Roman"/>
                <w:b w:val="0"/>
                <w:bCs w:val="0"/>
                <w:sz w:val="20"/>
              </w:rPr>
              <w:t>Demais áreas</w:t>
            </w:r>
          </w:p>
        </w:tc>
        <w:tc>
          <w:tcPr>
            <w:tcW w:w="1469" w:type="pct"/>
            <w:shd w:val="clear" w:color="auto" w:fill="auto"/>
            <w:noWrap/>
            <w:hideMark/>
          </w:tcPr>
          <w:p w14:paraId="1B50E4E7" w14:textId="77777777" w:rsidR="00B6148C" w:rsidRPr="00AA2632" w:rsidRDefault="00B6148C" w:rsidP="00B6148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rPr>
            </w:pPr>
            <w:r w:rsidRPr="00AA2632">
              <w:rPr>
                <w:rFonts w:ascii="Times New Roman" w:eastAsia="Times New Roman" w:hAnsi="Times New Roman"/>
                <w:sz w:val="20"/>
              </w:rPr>
              <w:t>329</w:t>
            </w:r>
          </w:p>
        </w:tc>
        <w:tc>
          <w:tcPr>
            <w:tcW w:w="1413" w:type="pct"/>
            <w:shd w:val="clear" w:color="auto" w:fill="auto"/>
            <w:noWrap/>
            <w:hideMark/>
          </w:tcPr>
          <w:p w14:paraId="096A4192" w14:textId="77777777" w:rsidR="00B6148C" w:rsidRPr="00AA2632" w:rsidRDefault="00B6148C" w:rsidP="00B6148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rPr>
            </w:pPr>
            <w:r>
              <w:rPr>
                <w:rFonts w:ascii="Times New Roman" w:eastAsia="Times New Roman" w:hAnsi="Times New Roman"/>
                <w:sz w:val="20"/>
              </w:rPr>
              <w:t>59,81</w:t>
            </w:r>
          </w:p>
        </w:tc>
      </w:tr>
    </w:tbl>
    <w:p w14:paraId="6E8E0110" w14:textId="77777777" w:rsidR="00B6148C" w:rsidRDefault="00B6148C" w:rsidP="00B6148C">
      <w:pPr>
        <w:pStyle w:val="PargrafodaLista"/>
        <w:spacing w:after="0" w:line="240" w:lineRule="auto"/>
        <w:ind w:left="0"/>
        <w:rPr>
          <w:rFonts w:ascii="Times New Roman" w:hAnsi="Times New Roman" w:cs="Times New Roman"/>
          <w:sz w:val="24"/>
          <w:szCs w:val="24"/>
        </w:rPr>
      </w:pP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p>
    <w:p w14:paraId="58CBAAD0" w14:textId="77777777" w:rsidR="00B6148C" w:rsidRDefault="00B6148C" w:rsidP="00B6148C">
      <w:pPr>
        <w:pStyle w:val="PargrafodaLista"/>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Na Tabela 3 são demonstradas as características descritivas dos alunos dos cursos de gestão. Nota-se que a amostra contempla representantes de todas as fases dos cursos em estudo. O sexo feminino representa 54,75% do total dos estudantes decursos de gestão, ao passo que o percentual masculino é de 45,25%. </w:t>
      </w:r>
    </w:p>
    <w:p w14:paraId="1864CBE6" w14:textId="77777777" w:rsidR="00B6148C" w:rsidRDefault="00B6148C" w:rsidP="00B6148C">
      <w:pPr>
        <w:pStyle w:val="PargrafodaLista"/>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Ainda nesta tabela, é trazida a faixa etária dos estudantes dos cursos de gestão, sendo que 39,37% possuem idade entre 17 a 21 anos, 36,65% têm entre 22 a 26 anos, 15,84% alunos possuem entre 27 a 31 anos, 5,88% têm entre 32 a 36 anos e apenas 2,26% têm 37 anos ou mais. Este percentual majoritário de adolescentes e jovens de até 26 anos é próximo ao obtido em pesquisas correlatas, tais quais as de Santos, Moura e Almeida (2018) e Silveira et al. (2018). </w:t>
      </w:r>
    </w:p>
    <w:p w14:paraId="6DEF0454" w14:textId="77777777" w:rsidR="00B6148C" w:rsidRDefault="00B6148C" w:rsidP="00B6148C">
      <w:pPr>
        <w:pStyle w:val="PargrafodaLista"/>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O estado civil solteiro </w:t>
      </w:r>
      <w:proofErr w:type="spellStart"/>
      <w:r>
        <w:rPr>
          <w:rFonts w:ascii="Times New Roman" w:hAnsi="Times New Roman" w:cs="Times New Roman"/>
          <w:sz w:val="24"/>
          <w:szCs w:val="24"/>
        </w:rPr>
        <w:t>é</w:t>
      </w:r>
      <w:proofErr w:type="spellEnd"/>
      <w:r>
        <w:rPr>
          <w:rFonts w:ascii="Times New Roman" w:hAnsi="Times New Roman" w:cs="Times New Roman"/>
          <w:sz w:val="24"/>
          <w:szCs w:val="24"/>
        </w:rPr>
        <w:t xml:space="preserve"> maioria entre os respondentes (79,19%), seguido de casado (10,41%) e união estável (8,60%). Sugere-se que o estado civil pode estar ligado a pouca idade dos respondentes. Desses alunos, 85,97% não possuem dependentes, 8,14% possuem um dependente e 5,88% possuem dois dependentes ou mais. Os estudantes responderam de que forma se dá sua moradia; a maioria mora com a família sem despesas com moradia (35,29%), seguido de casa própria quitada (17,19%) e aluguel (16,29%).</w:t>
      </w:r>
    </w:p>
    <w:p w14:paraId="0585F930" w14:textId="77777777" w:rsidR="00B6148C" w:rsidRDefault="00B6148C" w:rsidP="00B6148C">
      <w:pPr>
        <w:pStyle w:val="PargrafodaLista"/>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Foi perguntado, ainda, aos estudantes, se estavam empregados atualmente. 86,43% afirmam que sim, 13,47% não trabalham. Verificou-se a renda destes alunos, onde 42,99% ganham entre </w:t>
      </w:r>
      <w:r>
        <w:rPr>
          <w:rFonts w:ascii="Times New Roman" w:hAnsi="Times New Roman" w:cs="Times New Roman"/>
          <w:sz w:val="24"/>
          <w:szCs w:val="24"/>
        </w:rPr>
        <w:lastRenderedPageBreak/>
        <w:t>um a dois salários mínimos, seguido de 20,81% que ganham de dois a três salários mínimos, ficando constatado que apenas 9,50% não possuem qualquer tipo de renda.</w:t>
      </w:r>
    </w:p>
    <w:p w14:paraId="6CEAE4CC" w14:textId="77777777" w:rsidR="00B6148C" w:rsidRPr="0002019F" w:rsidRDefault="00B6148C" w:rsidP="00B6148C">
      <w:pPr>
        <w:pStyle w:val="PargrafodaLista"/>
        <w:spacing w:after="0" w:line="240" w:lineRule="auto"/>
        <w:ind w:left="0"/>
        <w:rPr>
          <w:rFonts w:ascii="Times New Roman" w:hAnsi="Times New Roman" w:cs="Times New Roman"/>
          <w:sz w:val="20"/>
          <w:szCs w:val="20"/>
        </w:rPr>
      </w:pPr>
      <w:r w:rsidRPr="0002019F">
        <w:rPr>
          <w:rFonts w:ascii="Times New Roman" w:hAnsi="Times New Roman" w:cs="Times New Roman"/>
          <w:sz w:val="20"/>
          <w:szCs w:val="20"/>
        </w:rPr>
        <w:t>Tabela 3. Perfil dos estudantes de gestão</w:t>
      </w:r>
    </w:p>
    <w:tbl>
      <w:tblPr>
        <w:tblStyle w:val="SombreamentoClaro1"/>
        <w:tblW w:w="8991" w:type="dxa"/>
        <w:jc w:val="center"/>
        <w:tblBorders>
          <w:insideH w:val="single" w:sz="4" w:space="0" w:color="auto"/>
        </w:tblBorders>
        <w:tblLayout w:type="fixed"/>
        <w:tblLook w:val="04A0" w:firstRow="1" w:lastRow="0" w:firstColumn="1" w:lastColumn="0" w:noHBand="0" w:noVBand="1"/>
      </w:tblPr>
      <w:tblGrid>
        <w:gridCol w:w="1522"/>
        <w:gridCol w:w="3346"/>
        <w:gridCol w:w="1559"/>
        <w:gridCol w:w="2564"/>
      </w:tblGrid>
      <w:tr w:rsidR="00B6148C" w:rsidRPr="003E4FC3" w14:paraId="61509697" w14:textId="77777777" w:rsidTr="00B6148C">
        <w:trPr>
          <w:cnfStyle w:val="100000000000" w:firstRow="1" w:lastRow="0" w:firstColumn="0" w:lastColumn="0" w:oddVBand="0" w:evenVBand="0" w:oddHBand="0"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522" w:type="dxa"/>
            <w:tcBorders>
              <w:top w:val="none" w:sz="0" w:space="0" w:color="auto"/>
              <w:left w:val="none" w:sz="0" w:space="0" w:color="auto"/>
              <w:bottom w:val="none" w:sz="0" w:space="0" w:color="auto"/>
              <w:right w:val="none" w:sz="0" w:space="0" w:color="auto"/>
            </w:tcBorders>
            <w:shd w:val="clear" w:color="auto" w:fill="auto"/>
            <w:noWrap/>
            <w:vAlign w:val="center"/>
            <w:hideMark/>
          </w:tcPr>
          <w:p w14:paraId="0A584BA4" w14:textId="77777777" w:rsidR="00B6148C" w:rsidRPr="003E4FC3" w:rsidRDefault="00B6148C" w:rsidP="00B6148C">
            <w:pPr>
              <w:ind w:firstLine="0"/>
              <w:contextualSpacing/>
              <w:jc w:val="center"/>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Variáveis</w:t>
            </w:r>
          </w:p>
        </w:tc>
        <w:tc>
          <w:tcPr>
            <w:tcW w:w="3346" w:type="dxa"/>
            <w:tcBorders>
              <w:top w:val="none" w:sz="0" w:space="0" w:color="auto"/>
              <w:left w:val="none" w:sz="0" w:space="0" w:color="auto"/>
              <w:bottom w:val="none" w:sz="0" w:space="0" w:color="auto"/>
              <w:right w:val="none" w:sz="0" w:space="0" w:color="auto"/>
            </w:tcBorders>
            <w:shd w:val="clear" w:color="auto" w:fill="auto"/>
            <w:noWrap/>
            <w:vAlign w:val="center"/>
            <w:hideMark/>
          </w:tcPr>
          <w:p w14:paraId="785A8AD9" w14:textId="77777777" w:rsidR="00B6148C" w:rsidRPr="003E4FC3" w:rsidRDefault="00B6148C" w:rsidP="00B6148C">
            <w:pPr>
              <w:ind w:firstLine="0"/>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Catego</w:t>
            </w:r>
            <w:r w:rsidRPr="003E4FC3">
              <w:rPr>
                <w:rFonts w:ascii="Times New Roman" w:eastAsia="Times New Roman" w:hAnsi="Times New Roman" w:cs="Times New Roman"/>
                <w:color w:val="000000"/>
                <w:sz w:val="20"/>
                <w:szCs w:val="20"/>
                <w:lang w:eastAsia="pt-BR"/>
              </w:rPr>
              <w:t>ria</w:t>
            </w:r>
          </w:p>
        </w:tc>
        <w:tc>
          <w:tcPr>
            <w:tcW w:w="1559" w:type="dxa"/>
            <w:tcBorders>
              <w:top w:val="none" w:sz="0" w:space="0" w:color="auto"/>
              <w:left w:val="none" w:sz="0" w:space="0" w:color="auto"/>
              <w:bottom w:val="none" w:sz="0" w:space="0" w:color="auto"/>
              <w:right w:val="none" w:sz="0" w:space="0" w:color="auto"/>
            </w:tcBorders>
            <w:shd w:val="clear" w:color="auto" w:fill="auto"/>
            <w:noWrap/>
            <w:vAlign w:val="center"/>
            <w:hideMark/>
          </w:tcPr>
          <w:p w14:paraId="448D907B" w14:textId="77777777" w:rsidR="00B6148C" w:rsidRPr="003E4FC3" w:rsidRDefault="00B6148C" w:rsidP="00B6148C">
            <w:pPr>
              <w:ind w:firstLine="0"/>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AA2632">
              <w:rPr>
                <w:rFonts w:ascii="Times New Roman" w:eastAsia="Times New Roman" w:hAnsi="Times New Roman" w:cs="Times New Roman"/>
                <w:color w:val="000000"/>
                <w:sz w:val="20"/>
                <w:szCs w:val="20"/>
                <w:lang w:eastAsia="pt-BR"/>
              </w:rPr>
              <w:t>Frequência</w:t>
            </w:r>
            <w:r>
              <w:rPr>
                <w:rFonts w:ascii="Times New Roman" w:eastAsia="Times New Roman" w:hAnsi="Times New Roman" w:cs="Times New Roman"/>
                <w:color w:val="000000"/>
                <w:sz w:val="20"/>
                <w:szCs w:val="20"/>
                <w:lang w:eastAsia="pt-BR"/>
              </w:rPr>
              <w:t xml:space="preserve"> Absoluta</w:t>
            </w:r>
          </w:p>
        </w:tc>
        <w:tc>
          <w:tcPr>
            <w:tcW w:w="2564" w:type="dxa"/>
            <w:tcBorders>
              <w:top w:val="none" w:sz="0" w:space="0" w:color="auto"/>
              <w:left w:val="none" w:sz="0" w:space="0" w:color="auto"/>
              <w:bottom w:val="none" w:sz="0" w:space="0" w:color="auto"/>
              <w:right w:val="none" w:sz="0" w:space="0" w:color="auto"/>
            </w:tcBorders>
            <w:shd w:val="clear" w:color="auto" w:fill="auto"/>
            <w:noWrap/>
            <w:vAlign w:val="center"/>
            <w:hideMark/>
          </w:tcPr>
          <w:p w14:paraId="05EC9D06" w14:textId="77777777" w:rsidR="00B6148C" w:rsidRPr="003E4FC3" w:rsidRDefault="00B6148C" w:rsidP="00B6148C">
            <w:pPr>
              <w:ind w:right="-352" w:firstLine="0"/>
              <w:contextualSpacing/>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Frequência Relativa (%)</w:t>
            </w:r>
          </w:p>
        </w:tc>
      </w:tr>
      <w:tr w:rsidR="00B6148C" w:rsidRPr="003E4FC3" w14:paraId="5A55D699" w14:textId="77777777" w:rsidTr="00B6148C">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522" w:type="dxa"/>
            <w:vMerge w:val="restart"/>
            <w:tcBorders>
              <w:left w:val="none" w:sz="0" w:space="0" w:color="auto"/>
              <w:right w:val="none" w:sz="0" w:space="0" w:color="auto"/>
            </w:tcBorders>
            <w:shd w:val="clear" w:color="auto" w:fill="auto"/>
            <w:noWrap/>
            <w:vAlign w:val="center"/>
            <w:hideMark/>
          </w:tcPr>
          <w:p w14:paraId="6BAE0D86" w14:textId="77777777" w:rsidR="00B6148C" w:rsidRPr="003E4FC3" w:rsidRDefault="00B6148C" w:rsidP="00B6148C">
            <w:pPr>
              <w:ind w:firstLine="0"/>
              <w:contextualSpacing/>
              <w:jc w:val="center"/>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Fase</w:t>
            </w:r>
          </w:p>
        </w:tc>
        <w:tc>
          <w:tcPr>
            <w:tcW w:w="3346" w:type="dxa"/>
            <w:tcBorders>
              <w:left w:val="none" w:sz="0" w:space="0" w:color="auto"/>
              <w:right w:val="none" w:sz="0" w:space="0" w:color="auto"/>
            </w:tcBorders>
            <w:shd w:val="clear" w:color="auto" w:fill="auto"/>
            <w:noWrap/>
            <w:vAlign w:val="center"/>
            <w:hideMark/>
          </w:tcPr>
          <w:p w14:paraId="0F49B263" w14:textId="77777777" w:rsidR="00B6148C" w:rsidRPr="003E4FC3" w:rsidRDefault="00B6148C" w:rsidP="00B6148C">
            <w:pPr>
              <w:ind w:firstLine="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1ª a 2ª Fase</w:t>
            </w:r>
          </w:p>
        </w:tc>
        <w:tc>
          <w:tcPr>
            <w:tcW w:w="1559" w:type="dxa"/>
            <w:tcBorders>
              <w:left w:val="none" w:sz="0" w:space="0" w:color="auto"/>
              <w:right w:val="none" w:sz="0" w:space="0" w:color="auto"/>
            </w:tcBorders>
            <w:shd w:val="clear" w:color="auto" w:fill="auto"/>
            <w:noWrap/>
            <w:vAlign w:val="center"/>
            <w:hideMark/>
          </w:tcPr>
          <w:p w14:paraId="194D383D" w14:textId="77777777" w:rsidR="00B6148C" w:rsidRPr="003E4FC3" w:rsidRDefault="00B6148C" w:rsidP="00B6148C">
            <w:pPr>
              <w:ind w:firstLine="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53</w:t>
            </w:r>
          </w:p>
        </w:tc>
        <w:tc>
          <w:tcPr>
            <w:tcW w:w="2564" w:type="dxa"/>
            <w:tcBorders>
              <w:left w:val="none" w:sz="0" w:space="0" w:color="auto"/>
              <w:right w:val="none" w:sz="0" w:space="0" w:color="auto"/>
            </w:tcBorders>
            <w:shd w:val="clear" w:color="auto" w:fill="auto"/>
            <w:noWrap/>
            <w:vAlign w:val="center"/>
            <w:hideMark/>
          </w:tcPr>
          <w:p w14:paraId="42733F72" w14:textId="77777777" w:rsidR="00B6148C" w:rsidRPr="003E4FC3" w:rsidRDefault="00B6148C" w:rsidP="00B6148C">
            <w:pPr>
              <w:ind w:right="-352" w:firstLine="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23,98</w:t>
            </w:r>
          </w:p>
        </w:tc>
      </w:tr>
      <w:tr w:rsidR="00B6148C" w:rsidRPr="003E4FC3" w14:paraId="55907FC1" w14:textId="77777777" w:rsidTr="00B6148C">
        <w:trPr>
          <w:trHeight w:val="255"/>
          <w:jc w:val="center"/>
        </w:trPr>
        <w:tc>
          <w:tcPr>
            <w:cnfStyle w:val="001000000000" w:firstRow="0" w:lastRow="0" w:firstColumn="1" w:lastColumn="0" w:oddVBand="0" w:evenVBand="0" w:oddHBand="0" w:evenHBand="0" w:firstRowFirstColumn="0" w:firstRowLastColumn="0" w:lastRowFirstColumn="0" w:lastRowLastColumn="0"/>
            <w:tcW w:w="1522" w:type="dxa"/>
            <w:vMerge/>
            <w:shd w:val="clear" w:color="auto" w:fill="auto"/>
            <w:noWrap/>
            <w:vAlign w:val="center"/>
            <w:hideMark/>
          </w:tcPr>
          <w:p w14:paraId="2A1691C9" w14:textId="77777777" w:rsidR="00B6148C" w:rsidRPr="003E4FC3" w:rsidRDefault="00B6148C" w:rsidP="00B6148C">
            <w:pPr>
              <w:ind w:firstLine="0"/>
              <w:contextualSpacing/>
              <w:jc w:val="center"/>
              <w:rPr>
                <w:rFonts w:ascii="Times New Roman" w:eastAsia="Times New Roman" w:hAnsi="Times New Roman" w:cs="Times New Roman"/>
                <w:color w:val="000000"/>
                <w:sz w:val="20"/>
                <w:szCs w:val="20"/>
                <w:lang w:eastAsia="pt-BR"/>
              </w:rPr>
            </w:pPr>
          </w:p>
        </w:tc>
        <w:tc>
          <w:tcPr>
            <w:tcW w:w="3346" w:type="dxa"/>
            <w:shd w:val="clear" w:color="auto" w:fill="auto"/>
            <w:noWrap/>
            <w:vAlign w:val="center"/>
            <w:hideMark/>
          </w:tcPr>
          <w:p w14:paraId="3EE39C91" w14:textId="77777777" w:rsidR="00B6148C" w:rsidRPr="003E4FC3" w:rsidRDefault="00B6148C" w:rsidP="00B6148C">
            <w:pPr>
              <w:ind w:firstLine="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3ª a 4ª Fase</w:t>
            </w:r>
          </w:p>
        </w:tc>
        <w:tc>
          <w:tcPr>
            <w:tcW w:w="1559" w:type="dxa"/>
            <w:shd w:val="clear" w:color="auto" w:fill="auto"/>
            <w:noWrap/>
            <w:vAlign w:val="center"/>
            <w:hideMark/>
          </w:tcPr>
          <w:p w14:paraId="3CFA4AA1" w14:textId="77777777" w:rsidR="00B6148C" w:rsidRPr="003E4FC3" w:rsidRDefault="00B6148C" w:rsidP="00B6148C">
            <w:pPr>
              <w:ind w:firstLine="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31</w:t>
            </w:r>
          </w:p>
        </w:tc>
        <w:tc>
          <w:tcPr>
            <w:tcW w:w="2564" w:type="dxa"/>
            <w:shd w:val="clear" w:color="auto" w:fill="auto"/>
            <w:noWrap/>
            <w:vAlign w:val="center"/>
            <w:hideMark/>
          </w:tcPr>
          <w:p w14:paraId="690DE82A" w14:textId="77777777" w:rsidR="00B6148C" w:rsidRPr="003E4FC3" w:rsidRDefault="00B6148C" w:rsidP="00B6148C">
            <w:pPr>
              <w:ind w:right="-352" w:firstLine="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14,03</w:t>
            </w:r>
          </w:p>
        </w:tc>
      </w:tr>
      <w:tr w:rsidR="00B6148C" w:rsidRPr="003E4FC3" w14:paraId="0FA464DB" w14:textId="77777777" w:rsidTr="00B6148C">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522" w:type="dxa"/>
            <w:vMerge/>
            <w:tcBorders>
              <w:left w:val="none" w:sz="0" w:space="0" w:color="auto"/>
              <w:right w:val="none" w:sz="0" w:space="0" w:color="auto"/>
            </w:tcBorders>
            <w:shd w:val="clear" w:color="auto" w:fill="auto"/>
            <w:noWrap/>
            <w:vAlign w:val="center"/>
            <w:hideMark/>
          </w:tcPr>
          <w:p w14:paraId="2381E98E" w14:textId="77777777" w:rsidR="00B6148C" w:rsidRPr="003E4FC3" w:rsidRDefault="00B6148C" w:rsidP="00B6148C">
            <w:pPr>
              <w:ind w:firstLine="0"/>
              <w:contextualSpacing/>
              <w:jc w:val="center"/>
              <w:rPr>
                <w:rFonts w:ascii="Times New Roman" w:eastAsia="Times New Roman" w:hAnsi="Times New Roman" w:cs="Times New Roman"/>
                <w:color w:val="000000"/>
                <w:sz w:val="20"/>
                <w:szCs w:val="20"/>
                <w:lang w:eastAsia="pt-BR"/>
              </w:rPr>
            </w:pPr>
          </w:p>
        </w:tc>
        <w:tc>
          <w:tcPr>
            <w:tcW w:w="3346" w:type="dxa"/>
            <w:tcBorders>
              <w:left w:val="none" w:sz="0" w:space="0" w:color="auto"/>
              <w:right w:val="none" w:sz="0" w:space="0" w:color="auto"/>
            </w:tcBorders>
            <w:shd w:val="clear" w:color="auto" w:fill="auto"/>
            <w:noWrap/>
            <w:vAlign w:val="center"/>
            <w:hideMark/>
          </w:tcPr>
          <w:p w14:paraId="49E9A947" w14:textId="77777777" w:rsidR="00B6148C" w:rsidRPr="003E4FC3" w:rsidRDefault="00B6148C" w:rsidP="00B6148C">
            <w:pPr>
              <w:ind w:firstLine="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5ª a 6ª Fase</w:t>
            </w:r>
          </w:p>
        </w:tc>
        <w:tc>
          <w:tcPr>
            <w:tcW w:w="1559" w:type="dxa"/>
            <w:tcBorders>
              <w:left w:val="none" w:sz="0" w:space="0" w:color="auto"/>
              <w:right w:val="none" w:sz="0" w:space="0" w:color="auto"/>
            </w:tcBorders>
            <w:shd w:val="clear" w:color="auto" w:fill="auto"/>
            <w:noWrap/>
            <w:vAlign w:val="center"/>
            <w:hideMark/>
          </w:tcPr>
          <w:p w14:paraId="240FE794" w14:textId="77777777" w:rsidR="00B6148C" w:rsidRPr="003E4FC3" w:rsidRDefault="00B6148C" w:rsidP="00B6148C">
            <w:pPr>
              <w:ind w:firstLine="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94</w:t>
            </w:r>
          </w:p>
        </w:tc>
        <w:tc>
          <w:tcPr>
            <w:tcW w:w="2564" w:type="dxa"/>
            <w:tcBorders>
              <w:left w:val="none" w:sz="0" w:space="0" w:color="auto"/>
              <w:right w:val="none" w:sz="0" w:space="0" w:color="auto"/>
            </w:tcBorders>
            <w:shd w:val="clear" w:color="auto" w:fill="auto"/>
            <w:noWrap/>
            <w:vAlign w:val="center"/>
            <w:hideMark/>
          </w:tcPr>
          <w:p w14:paraId="1133E9FE" w14:textId="77777777" w:rsidR="00B6148C" w:rsidRPr="003E4FC3" w:rsidRDefault="00B6148C" w:rsidP="00B6148C">
            <w:pPr>
              <w:ind w:right="-352" w:firstLine="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42,53</w:t>
            </w:r>
          </w:p>
        </w:tc>
      </w:tr>
      <w:tr w:rsidR="00B6148C" w:rsidRPr="003E4FC3" w14:paraId="53386601" w14:textId="77777777" w:rsidTr="00B6148C">
        <w:trPr>
          <w:trHeight w:val="270"/>
          <w:jc w:val="center"/>
        </w:trPr>
        <w:tc>
          <w:tcPr>
            <w:cnfStyle w:val="001000000000" w:firstRow="0" w:lastRow="0" w:firstColumn="1" w:lastColumn="0" w:oddVBand="0" w:evenVBand="0" w:oddHBand="0" w:evenHBand="0" w:firstRowFirstColumn="0" w:firstRowLastColumn="0" w:lastRowFirstColumn="0" w:lastRowLastColumn="0"/>
            <w:tcW w:w="1522" w:type="dxa"/>
            <w:vMerge/>
            <w:shd w:val="clear" w:color="auto" w:fill="auto"/>
            <w:noWrap/>
            <w:vAlign w:val="center"/>
            <w:hideMark/>
          </w:tcPr>
          <w:p w14:paraId="30BDE626" w14:textId="77777777" w:rsidR="00B6148C" w:rsidRPr="003E4FC3" w:rsidRDefault="00B6148C" w:rsidP="00B6148C">
            <w:pPr>
              <w:ind w:firstLine="0"/>
              <w:contextualSpacing/>
              <w:jc w:val="center"/>
              <w:rPr>
                <w:rFonts w:ascii="Times New Roman" w:eastAsia="Times New Roman" w:hAnsi="Times New Roman" w:cs="Times New Roman"/>
                <w:color w:val="000000"/>
                <w:sz w:val="20"/>
                <w:szCs w:val="20"/>
                <w:lang w:eastAsia="pt-BR"/>
              </w:rPr>
            </w:pPr>
          </w:p>
        </w:tc>
        <w:tc>
          <w:tcPr>
            <w:tcW w:w="3346" w:type="dxa"/>
            <w:shd w:val="clear" w:color="auto" w:fill="auto"/>
            <w:noWrap/>
            <w:vAlign w:val="center"/>
            <w:hideMark/>
          </w:tcPr>
          <w:p w14:paraId="00330950" w14:textId="77777777" w:rsidR="00B6148C" w:rsidRPr="003E4FC3" w:rsidRDefault="00B6148C" w:rsidP="00B6148C">
            <w:pPr>
              <w:ind w:firstLine="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7ª a 8ª Fase</w:t>
            </w:r>
          </w:p>
        </w:tc>
        <w:tc>
          <w:tcPr>
            <w:tcW w:w="1559" w:type="dxa"/>
            <w:shd w:val="clear" w:color="auto" w:fill="auto"/>
            <w:noWrap/>
            <w:vAlign w:val="center"/>
            <w:hideMark/>
          </w:tcPr>
          <w:p w14:paraId="40F8FCCE" w14:textId="77777777" w:rsidR="00B6148C" w:rsidRPr="003E4FC3" w:rsidRDefault="00B6148C" w:rsidP="00B6148C">
            <w:pPr>
              <w:ind w:firstLine="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43</w:t>
            </w:r>
          </w:p>
        </w:tc>
        <w:tc>
          <w:tcPr>
            <w:tcW w:w="2564" w:type="dxa"/>
            <w:shd w:val="clear" w:color="auto" w:fill="auto"/>
            <w:noWrap/>
            <w:vAlign w:val="center"/>
            <w:hideMark/>
          </w:tcPr>
          <w:p w14:paraId="2B075443" w14:textId="77777777" w:rsidR="00B6148C" w:rsidRPr="003E4FC3" w:rsidRDefault="00B6148C" w:rsidP="00B6148C">
            <w:pPr>
              <w:ind w:right="-352" w:firstLine="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19,46</w:t>
            </w:r>
          </w:p>
        </w:tc>
      </w:tr>
      <w:tr w:rsidR="00B6148C" w:rsidRPr="003E4FC3" w14:paraId="1EC77B2D" w14:textId="77777777" w:rsidTr="00B6148C">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522" w:type="dxa"/>
            <w:vMerge w:val="restart"/>
            <w:tcBorders>
              <w:left w:val="none" w:sz="0" w:space="0" w:color="auto"/>
              <w:right w:val="none" w:sz="0" w:space="0" w:color="auto"/>
            </w:tcBorders>
            <w:shd w:val="clear" w:color="auto" w:fill="auto"/>
            <w:noWrap/>
            <w:vAlign w:val="center"/>
            <w:hideMark/>
          </w:tcPr>
          <w:p w14:paraId="35AE2222" w14:textId="77777777" w:rsidR="00B6148C" w:rsidRPr="003E4FC3" w:rsidRDefault="00B6148C" w:rsidP="00B6148C">
            <w:pPr>
              <w:ind w:firstLine="0"/>
              <w:contextualSpacing/>
              <w:jc w:val="center"/>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Gênero</w:t>
            </w:r>
          </w:p>
        </w:tc>
        <w:tc>
          <w:tcPr>
            <w:tcW w:w="3346" w:type="dxa"/>
            <w:tcBorders>
              <w:left w:val="none" w:sz="0" w:space="0" w:color="auto"/>
              <w:right w:val="none" w:sz="0" w:space="0" w:color="auto"/>
            </w:tcBorders>
            <w:shd w:val="clear" w:color="auto" w:fill="auto"/>
            <w:noWrap/>
            <w:vAlign w:val="center"/>
            <w:hideMark/>
          </w:tcPr>
          <w:p w14:paraId="74605029" w14:textId="77777777" w:rsidR="00B6148C" w:rsidRPr="003E4FC3" w:rsidRDefault="00B6148C" w:rsidP="00B6148C">
            <w:pPr>
              <w:ind w:firstLine="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Feminino</w:t>
            </w:r>
          </w:p>
        </w:tc>
        <w:tc>
          <w:tcPr>
            <w:tcW w:w="1559" w:type="dxa"/>
            <w:tcBorders>
              <w:left w:val="none" w:sz="0" w:space="0" w:color="auto"/>
              <w:right w:val="none" w:sz="0" w:space="0" w:color="auto"/>
            </w:tcBorders>
            <w:shd w:val="clear" w:color="auto" w:fill="auto"/>
            <w:noWrap/>
            <w:vAlign w:val="center"/>
            <w:hideMark/>
          </w:tcPr>
          <w:p w14:paraId="2DF01E9F" w14:textId="77777777" w:rsidR="00B6148C" w:rsidRPr="003E4FC3" w:rsidRDefault="00B6148C" w:rsidP="00B6148C">
            <w:pPr>
              <w:ind w:firstLine="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121</w:t>
            </w:r>
          </w:p>
        </w:tc>
        <w:tc>
          <w:tcPr>
            <w:tcW w:w="2564" w:type="dxa"/>
            <w:tcBorders>
              <w:left w:val="none" w:sz="0" w:space="0" w:color="auto"/>
              <w:right w:val="none" w:sz="0" w:space="0" w:color="auto"/>
            </w:tcBorders>
            <w:shd w:val="clear" w:color="auto" w:fill="auto"/>
            <w:noWrap/>
            <w:vAlign w:val="center"/>
            <w:hideMark/>
          </w:tcPr>
          <w:p w14:paraId="6FD378A0" w14:textId="77777777" w:rsidR="00B6148C" w:rsidRPr="003E4FC3" w:rsidRDefault="00B6148C" w:rsidP="00B6148C">
            <w:pPr>
              <w:ind w:right="-352" w:firstLine="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54,75</w:t>
            </w:r>
          </w:p>
        </w:tc>
      </w:tr>
      <w:tr w:rsidR="00B6148C" w:rsidRPr="003E4FC3" w14:paraId="5E7F096B" w14:textId="77777777" w:rsidTr="00B6148C">
        <w:trPr>
          <w:trHeight w:val="270"/>
          <w:jc w:val="center"/>
        </w:trPr>
        <w:tc>
          <w:tcPr>
            <w:cnfStyle w:val="001000000000" w:firstRow="0" w:lastRow="0" w:firstColumn="1" w:lastColumn="0" w:oddVBand="0" w:evenVBand="0" w:oddHBand="0" w:evenHBand="0" w:firstRowFirstColumn="0" w:firstRowLastColumn="0" w:lastRowFirstColumn="0" w:lastRowLastColumn="0"/>
            <w:tcW w:w="1522" w:type="dxa"/>
            <w:vMerge/>
            <w:shd w:val="clear" w:color="auto" w:fill="auto"/>
            <w:noWrap/>
            <w:vAlign w:val="center"/>
            <w:hideMark/>
          </w:tcPr>
          <w:p w14:paraId="65CD3A4C" w14:textId="77777777" w:rsidR="00B6148C" w:rsidRPr="003E4FC3" w:rsidRDefault="00B6148C" w:rsidP="00B6148C">
            <w:pPr>
              <w:ind w:firstLine="0"/>
              <w:contextualSpacing/>
              <w:jc w:val="center"/>
              <w:rPr>
                <w:rFonts w:ascii="Times New Roman" w:eastAsia="Times New Roman" w:hAnsi="Times New Roman" w:cs="Times New Roman"/>
                <w:color w:val="000000"/>
                <w:sz w:val="20"/>
                <w:szCs w:val="20"/>
                <w:lang w:eastAsia="pt-BR"/>
              </w:rPr>
            </w:pPr>
          </w:p>
        </w:tc>
        <w:tc>
          <w:tcPr>
            <w:tcW w:w="3346" w:type="dxa"/>
            <w:shd w:val="clear" w:color="auto" w:fill="auto"/>
            <w:noWrap/>
            <w:vAlign w:val="center"/>
            <w:hideMark/>
          </w:tcPr>
          <w:p w14:paraId="0D42645B" w14:textId="77777777" w:rsidR="00B6148C" w:rsidRPr="003E4FC3" w:rsidRDefault="00B6148C" w:rsidP="00B6148C">
            <w:pPr>
              <w:ind w:firstLine="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Masculino</w:t>
            </w:r>
          </w:p>
        </w:tc>
        <w:tc>
          <w:tcPr>
            <w:tcW w:w="1559" w:type="dxa"/>
            <w:shd w:val="clear" w:color="auto" w:fill="auto"/>
            <w:noWrap/>
            <w:vAlign w:val="center"/>
            <w:hideMark/>
          </w:tcPr>
          <w:p w14:paraId="4710BC5E" w14:textId="77777777" w:rsidR="00B6148C" w:rsidRPr="003E4FC3" w:rsidRDefault="00B6148C" w:rsidP="00B6148C">
            <w:pPr>
              <w:ind w:firstLine="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100</w:t>
            </w:r>
          </w:p>
        </w:tc>
        <w:tc>
          <w:tcPr>
            <w:tcW w:w="2564" w:type="dxa"/>
            <w:shd w:val="clear" w:color="auto" w:fill="auto"/>
            <w:noWrap/>
            <w:vAlign w:val="center"/>
            <w:hideMark/>
          </w:tcPr>
          <w:p w14:paraId="68173CA9" w14:textId="77777777" w:rsidR="00B6148C" w:rsidRPr="003E4FC3" w:rsidRDefault="00B6148C" w:rsidP="00B6148C">
            <w:pPr>
              <w:ind w:right="-352" w:firstLine="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45,25</w:t>
            </w:r>
          </w:p>
        </w:tc>
      </w:tr>
      <w:tr w:rsidR="00B6148C" w:rsidRPr="003E4FC3" w14:paraId="51013558" w14:textId="77777777" w:rsidTr="00B6148C">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522" w:type="dxa"/>
            <w:vMerge w:val="restart"/>
            <w:tcBorders>
              <w:left w:val="none" w:sz="0" w:space="0" w:color="auto"/>
              <w:right w:val="none" w:sz="0" w:space="0" w:color="auto"/>
            </w:tcBorders>
            <w:shd w:val="clear" w:color="auto" w:fill="auto"/>
            <w:noWrap/>
            <w:vAlign w:val="center"/>
            <w:hideMark/>
          </w:tcPr>
          <w:p w14:paraId="4A992889" w14:textId="77777777" w:rsidR="00B6148C" w:rsidRPr="003E4FC3" w:rsidRDefault="00B6148C" w:rsidP="00B6148C">
            <w:pPr>
              <w:ind w:firstLine="0"/>
              <w:contextualSpacing/>
              <w:jc w:val="center"/>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Faixa Etária</w:t>
            </w:r>
          </w:p>
        </w:tc>
        <w:tc>
          <w:tcPr>
            <w:tcW w:w="3346" w:type="dxa"/>
            <w:tcBorders>
              <w:left w:val="none" w:sz="0" w:space="0" w:color="auto"/>
              <w:right w:val="none" w:sz="0" w:space="0" w:color="auto"/>
            </w:tcBorders>
            <w:shd w:val="clear" w:color="auto" w:fill="auto"/>
            <w:noWrap/>
            <w:vAlign w:val="center"/>
            <w:hideMark/>
          </w:tcPr>
          <w:p w14:paraId="70B4E15D" w14:textId="77777777" w:rsidR="00B6148C" w:rsidRPr="003E4FC3" w:rsidRDefault="00B6148C" w:rsidP="00B6148C">
            <w:pPr>
              <w:ind w:firstLine="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17 a 21 anos</w:t>
            </w:r>
          </w:p>
        </w:tc>
        <w:tc>
          <w:tcPr>
            <w:tcW w:w="1559" w:type="dxa"/>
            <w:tcBorders>
              <w:left w:val="none" w:sz="0" w:space="0" w:color="auto"/>
              <w:right w:val="none" w:sz="0" w:space="0" w:color="auto"/>
            </w:tcBorders>
            <w:shd w:val="clear" w:color="auto" w:fill="auto"/>
            <w:noWrap/>
            <w:vAlign w:val="center"/>
            <w:hideMark/>
          </w:tcPr>
          <w:p w14:paraId="6636A591" w14:textId="77777777" w:rsidR="00B6148C" w:rsidRPr="003E4FC3" w:rsidRDefault="00B6148C" w:rsidP="00B6148C">
            <w:pPr>
              <w:ind w:firstLine="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87</w:t>
            </w:r>
          </w:p>
        </w:tc>
        <w:tc>
          <w:tcPr>
            <w:tcW w:w="2564" w:type="dxa"/>
            <w:tcBorders>
              <w:left w:val="none" w:sz="0" w:space="0" w:color="auto"/>
              <w:right w:val="none" w:sz="0" w:space="0" w:color="auto"/>
            </w:tcBorders>
            <w:shd w:val="clear" w:color="auto" w:fill="auto"/>
            <w:noWrap/>
            <w:vAlign w:val="center"/>
            <w:hideMark/>
          </w:tcPr>
          <w:p w14:paraId="597AA462" w14:textId="77777777" w:rsidR="00B6148C" w:rsidRPr="003E4FC3" w:rsidRDefault="00B6148C" w:rsidP="00B6148C">
            <w:pPr>
              <w:ind w:right="-352" w:firstLine="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39,37</w:t>
            </w:r>
          </w:p>
        </w:tc>
      </w:tr>
      <w:tr w:rsidR="00B6148C" w:rsidRPr="003E4FC3" w14:paraId="183E91ED" w14:textId="77777777" w:rsidTr="00B6148C">
        <w:trPr>
          <w:trHeight w:val="255"/>
          <w:jc w:val="center"/>
        </w:trPr>
        <w:tc>
          <w:tcPr>
            <w:cnfStyle w:val="001000000000" w:firstRow="0" w:lastRow="0" w:firstColumn="1" w:lastColumn="0" w:oddVBand="0" w:evenVBand="0" w:oddHBand="0" w:evenHBand="0" w:firstRowFirstColumn="0" w:firstRowLastColumn="0" w:lastRowFirstColumn="0" w:lastRowLastColumn="0"/>
            <w:tcW w:w="1522" w:type="dxa"/>
            <w:vMerge/>
            <w:shd w:val="clear" w:color="auto" w:fill="auto"/>
            <w:noWrap/>
            <w:vAlign w:val="center"/>
            <w:hideMark/>
          </w:tcPr>
          <w:p w14:paraId="36684078" w14:textId="77777777" w:rsidR="00B6148C" w:rsidRPr="003E4FC3" w:rsidRDefault="00B6148C" w:rsidP="00B6148C">
            <w:pPr>
              <w:ind w:firstLine="0"/>
              <w:contextualSpacing/>
              <w:jc w:val="center"/>
              <w:rPr>
                <w:rFonts w:ascii="Times New Roman" w:eastAsia="Times New Roman" w:hAnsi="Times New Roman" w:cs="Times New Roman"/>
                <w:color w:val="000000"/>
                <w:sz w:val="20"/>
                <w:szCs w:val="20"/>
                <w:lang w:eastAsia="pt-BR"/>
              </w:rPr>
            </w:pPr>
          </w:p>
        </w:tc>
        <w:tc>
          <w:tcPr>
            <w:tcW w:w="3346" w:type="dxa"/>
            <w:shd w:val="clear" w:color="auto" w:fill="auto"/>
            <w:noWrap/>
            <w:vAlign w:val="center"/>
            <w:hideMark/>
          </w:tcPr>
          <w:p w14:paraId="587E0AB8" w14:textId="77777777" w:rsidR="00B6148C" w:rsidRPr="003E4FC3" w:rsidRDefault="00B6148C" w:rsidP="00B6148C">
            <w:pPr>
              <w:ind w:firstLine="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22 a 26 anos</w:t>
            </w:r>
          </w:p>
        </w:tc>
        <w:tc>
          <w:tcPr>
            <w:tcW w:w="1559" w:type="dxa"/>
            <w:shd w:val="clear" w:color="auto" w:fill="auto"/>
            <w:noWrap/>
            <w:vAlign w:val="center"/>
            <w:hideMark/>
          </w:tcPr>
          <w:p w14:paraId="766E077D" w14:textId="77777777" w:rsidR="00B6148C" w:rsidRPr="003E4FC3" w:rsidRDefault="00B6148C" w:rsidP="00B6148C">
            <w:pPr>
              <w:ind w:firstLine="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81</w:t>
            </w:r>
          </w:p>
        </w:tc>
        <w:tc>
          <w:tcPr>
            <w:tcW w:w="2564" w:type="dxa"/>
            <w:shd w:val="clear" w:color="auto" w:fill="auto"/>
            <w:noWrap/>
            <w:vAlign w:val="center"/>
            <w:hideMark/>
          </w:tcPr>
          <w:p w14:paraId="76222DA9" w14:textId="77777777" w:rsidR="00B6148C" w:rsidRPr="003E4FC3" w:rsidRDefault="00B6148C" w:rsidP="00B6148C">
            <w:pPr>
              <w:ind w:right="-352" w:firstLine="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36,65</w:t>
            </w:r>
          </w:p>
        </w:tc>
      </w:tr>
      <w:tr w:rsidR="00B6148C" w:rsidRPr="003E4FC3" w14:paraId="578BE753" w14:textId="77777777" w:rsidTr="00B6148C">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1522" w:type="dxa"/>
            <w:vMerge/>
            <w:tcBorders>
              <w:left w:val="none" w:sz="0" w:space="0" w:color="auto"/>
              <w:right w:val="none" w:sz="0" w:space="0" w:color="auto"/>
            </w:tcBorders>
            <w:shd w:val="clear" w:color="auto" w:fill="auto"/>
            <w:noWrap/>
            <w:vAlign w:val="center"/>
            <w:hideMark/>
          </w:tcPr>
          <w:p w14:paraId="3370E95F" w14:textId="77777777" w:rsidR="00B6148C" w:rsidRPr="003E4FC3" w:rsidRDefault="00B6148C" w:rsidP="00B6148C">
            <w:pPr>
              <w:ind w:firstLine="0"/>
              <w:contextualSpacing/>
              <w:jc w:val="center"/>
              <w:rPr>
                <w:rFonts w:ascii="Times New Roman" w:eastAsia="Times New Roman" w:hAnsi="Times New Roman" w:cs="Times New Roman"/>
                <w:color w:val="000000"/>
                <w:sz w:val="20"/>
                <w:szCs w:val="20"/>
                <w:lang w:eastAsia="pt-BR"/>
              </w:rPr>
            </w:pPr>
          </w:p>
        </w:tc>
        <w:tc>
          <w:tcPr>
            <w:tcW w:w="3346" w:type="dxa"/>
            <w:tcBorders>
              <w:left w:val="none" w:sz="0" w:space="0" w:color="auto"/>
              <w:right w:val="none" w:sz="0" w:space="0" w:color="auto"/>
            </w:tcBorders>
            <w:shd w:val="clear" w:color="auto" w:fill="auto"/>
            <w:noWrap/>
            <w:vAlign w:val="center"/>
            <w:hideMark/>
          </w:tcPr>
          <w:p w14:paraId="0DB5A4CD" w14:textId="77777777" w:rsidR="00B6148C" w:rsidRPr="003E4FC3" w:rsidRDefault="00B6148C" w:rsidP="00B6148C">
            <w:pPr>
              <w:ind w:firstLine="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27 a 31 anos</w:t>
            </w:r>
          </w:p>
        </w:tc>
        <w:tc>
          <w:tcPr>
            <w:tcW w:w="1559" w:type="dxa"/>
            <w:tcBorders>
              <w:left w:val="none" w:sz="0" w:space="0" w:color="auto"/>
              <w:right w:val="none" w:sz="0" w:space="0" w:color="auto"/>
            </w:tcBorders>
            <w:shd w:val="clear" w:color="auto" w:fill="auto"/>
            <w:noWrap/>
            <w:vAlign w:val="center"/>
            <w:hideMark/>
          </w:tcPr>
          <w:p w14:paraId="0C80044C" w14:textId="77777777" w:rsidR="00B6148C" w:rsidRPr="003E4FC3" w:rsidRDefault="00B6148C" w:rsidP="00B6148C">
            <w:pPr>
              <w:ind w:firstLine="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35</w:t>
            </w:r>
          </w:p>
        </w:tc>
        <w:tc>
          <w:tcPr>
            <w:tcW w:w="2564" w:type="dxa"/>
            <w:tcBorders>
              <w:left w:val="none" w:sz="0" w:space="0" w:color="auto"/>
              <w:right w:val="none" w:sz="0" w:space="0" w:color="auto"/>
            </w:tcBorders>
            <w:shd w:val="clear" w:color="auto" w:fill="auto"/>
            <w:noWrap/>
            <w:vAlign w:val="center"/>
            <w:hideMark/>
          </w:tcPr>
          <w:p w14:paraId="26319773" w14:textId="77777777" w:rsidR="00B6148C" w:rsidRPr="003E4FC3" w:rsidRDefault="00B6148C" w:rsidP="00B6148C">
            <w:pPr>
              <w:ind w:right="-352" w:firstLine="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15,84</w:t>
            </w:r>
          </w:p>
        </w:tc>
      </w:tr>
      <w:tr w:rsidR="00B6148C" w:rsidRPr="003E4FC3" w14:paraId="467956E1" w14:textId="77777777" w:rsidTr="00B6148C">
        <w:trPr>
          <w:trHeight w:val="255"/>
          <w:jc w:val="center"/>
        </w:trPr>
        <w:tc>
          <w:tcPr>
            <w:cnfStyle w:val="001000000000" w:firstRow="0" w:lastRow="0" w:firstColumn="1" w:lastColumn="0" w:oddVBand="0" w:evenVBand="0" w:oddHBand="0" w:evenHBand="0" w:firstRowFirstColumn="0" w:firstRowLastColumn="0" w:lastRowFirstColumn="0" w:lastRowLastColumn="0"/>
            <w:tcW w:w="1522" w:type="dxa"/>
            <w:vMerge/>
            <w:shd w:val="clear" w:color="auto" w:fill="auto"/>
            <w:noWrap/>
            <w:vAlign w:val="center"/>
            <w:hideMark/>
          </w:tcPr>
          <w:p w14:paraId="2D363F1C" w14:textId="77777777" w:rsidR="00B6148C" w:rsidRPr="003E4FC3" w:rsidRDefault="00B6148C" w:rsidP="00B6148C">
            <w:pPr>
              <w:ind w:firstLine="0"/>
              <w:contextualSpacing/>
              <w:jc w:val="center"/>
              <w:rPr>
                <w:rFonts w:ascii="Times New Roman" w:eastAsia="Times New Roman" w:hAnsi="Times New Roman" w:cs="Times New Roman"/>
                <w:color w:val="000000"/>
                <w:sz w:val="20"/>
                <w:szCs w:val="20"/>
                <w:lang w:eastAsia="pt-BR"/>
              </w:rPr>
            </w:pPr>
          </w:p>
        </w:tc>
        <w:tc>
          <w:tcPr>
            <w:tcW w:w="3346" w:type="dxa"/>
            <w:shd w:val="clear" w:color="auto" w:fill="auto"/>
            <w:noWrap/>
            <w:vAlign w:val="center"/>
            <w:hideMark/>
          </w:tcPr>
          <w:p w14:paraId="151FD47D" w14:textId="77777777" w:rsidR="00B6148C" w:rsidRPr="003E4FC3" w:rsidRDefault="00B6148C" w:rsidP="00B6148C">
            <w:pPr>
              <w:ind w:firstLine="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32 a 36 anos</w:t>
            </w:r>
          </w:p>
        </w:tc>
        <w:tc>
          <w:tcPr>
            <w:tcW w:w="1559" w:type="dxa"/>
            <w:shd w:val="clear" w:color="auto" w:fill="auto"/>
            <w:noWrap/>
            <w:vAlign w:val="center"/>
            <w:hideMark/>
          </w:tcPr>
          <w:p w14:paraId="0127858C" w14:textId="77777777" w:rsidR="00B6148C" w:rsidRPr="003E4FC3" w:rsidRDefault="00B6148C" w:rsidP="00B6148C">
            <w:pPr>
              <w:ind w:firstLine="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13</w:t>
            </w:r>
          </w:p>
        </w:tc>
        <w:tc>
          <w:tcPr>
            <w:tcW w:w="2564" w:type="dxa"/>
            <w:shd w:val="clear" w:color="auto" w:fill="auto"/>
            <w:noWrap/>
            <w:vAlign w:val="center"/>
            <w:hideMark/>
          </w:tcPr>
          <w:p w14:paraId="643AFFEF" w14:textId="77777777" w:rsidR="00B6148C" w:rsidRPr="003E4FC3" w:rsidRDefault="00B6148C" w:rsidP="00B6148C">
            <w:pPr>
              <w:ind w:right="-352" w:firstLine="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5,88</w:t>
            </w:r>
          </w:p>
        </w:tc>
      </w:tr>
      <w:tr w:rsidR="00B6148C" w:rsidRPr="003E4FC3" w14:paraId="63809069" w14:textId="77777777" w:rsidTr="00B6148C">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522" w:type="dxa"/>
            <w:vMerge/>
            <w:tcBorders>
              <w:left w:val="none" w:sz="0" w:space="0" w:color="auto"/>
              <w:right w:val="none" w:sz="0" w:space="0" w:color="auto"/>
            </w:tcBorders>
            <w:shd w:val="clear" w:color="auto" w:fill="auto"/>
            <w:noWrap/>
            <w:vAlign w:val="center"/>
            <w:hideMark/>
          </w:tcPr>
          <w:p w14:paraId="3806DFFD" w14:textId="77777777" w:rsidR="00B6148C" w:rsidRPr="003E4FC3" w:rsidRDefault="00B6148C" w:rsidP="00B6148C">
            <w:pPr>
              <w:ind w:firstLine="0"/>
              <w:contextualSpacing/>
              <w:jc w:val="center"/>
              <w:rPr>
                <w:rFonts w:ascii="Times New Roman" w:eastAsia="Times New Roman" w:hAnsi="Times New Roman" w:cs="Times New Roman"/>
                <w:color w:val="000000"/>
                <w:sz w:val="20"/>
                <w:szCs w:val="20"/>
                <w:lang w:eastAsia="pt-BR"/>
              </w:rPr>
            </w:pPr>
          </w:p>
        </w:tc>
        <w:tc>
          <w:tcPr>
            <w:tcW w:w="3346" w:type="dxa"/>
            <w:tcBorders>
              <w:left w:val="none" w:sz="0" w:space="0" w:color="auto"/>
              <w:right w:val="none" w:sz="0" w:space="0" w:color="auto"/>
            </w:tcBorders>
            <w:shd w:val="clear" w:color="auto" w:fill="auto"/>
            <w:noWrap/>
            <w:vAlign w:val="center"/>
            <w:hideMark/>
          </w:tcPr>
          <w:p w14:paraId="7ACBB61D" w14:textId="77777777" w:rsidR="00B6148C" w:rsidRPr="003E4FC3" w:rsidRDefault="00B6148C" w:rsidP="00B6148C">
            <w:pPr>
              <w:ind w:firstLine="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37 anos ou mais</w:t>
            </w:r>
          </w:p>
        </w:tc>
        <w:tc>
          <w:tcPr>
            <w:tcW w:w="1559" w:type="dxa"/>
            <w:tcBorders>
              <w:left w:val="none" w:sz="0" w:space="0" w:color="auto"/>
              <w:right w:val="none" w:sz="0" w:space="0" w:color="auto"/>
            </w:tcBorders>
            <w:shd w:val="clear" w:color="auto" w:fill="auto"/>
            <w:noWrap/>
            <w:vAlign w:val="center"/>
            <w:hideMark/>
          </w:tcPr>
          <w:p w14:paraId="74166221" w14:textId="77777777" w:rsidR="00B6148C" w:rsidRPr="003E4FC3" w:rsidRDefault="00B6148C" w:rsidP="00B6148C">
            <w:pPr>
              <w:ind w:firstLine="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5</w:t>
            </w:r>
          </w:p>
        </w:tc>
        <w:tc>
          <w:tcPr>
            <w:tcW w:w="2564" w:type="dxa"/>
            <w:tcBorders>
              <w:left w:val="none" w:sz="0" w:space="0" w:color="auto"/>
              <w:right w:val="none" w:sz="0" w:space="0" w:color="auto"/>
            </w:tcBorders>
            <w:shd w:val="clear" w:color="auto" w:fill="auto"/>
            <w:noWrap/>
            <w:vAlign w:val="center"/>
            <w:hideMark/>
          </w:tcPr>
          <w:p w14:paraId="19BF85E6" w14:textId="77777777" w:rsidR="00B6148C" w:rsidRPr="003E4FC3" w:rsidRDefault="00B6148C" w:rsidP="00B6148C">
            <w:pPr>
              <w:ind w:right="-352" w:firstLine="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2,26</w:t>
            </w:r>
          </w:p>
        </w:tc>
      </w:tr>
      <w:tr w:rsidR="00B6148C" w:rsidRPr="003E4FC3" w14:paraId="187BBEF7" w14:textId="77777777" w:rsidTr="00B6148C">
        <w:trPr>
          <w:trHeight w:val="270"/>
          <w:jc w:val="center"/>
        </w:trPr>
        <w:tc>
          <w:tcPr>
            <w:cnfStyle w:val="001000000000" w:firstRow="0" w:lastRow="0" w:firstColumn="1" w:lastColumn="0" w:oddVBand="0" w:evenVBand="0" w:oddHBand="0" w:evenHBand="0" w:firstRowFirstColumn="0" w:firstRowLastColumn="0" w:lastRowFirstColumn="0" w:lastRowLastColumn="0"/>
            <w:tcW w:w="1522" w:type="dxa"/>
            <w:vMerge w:val="restart"/>
            <w:shd w:val="clear" w:color="auto" w:fill="auto"/>
            <w:noWrap/>
            <w:vAlign w:val="center"/>
            <w:hideMark/>
          </w:tcPr>
          <w:p w14:paraId="5630ED67" w14:textId="77777777" w:rsidR="00B6148C" w:rsidRPr="003E4FC3" w:rsidRDefault="00B6148C" w:rsidP="00B6148C">
            <w:pPr>
              <w:ind w:firstLine="0"/>
              <w:contextualSpacing/>
              <w:jc w:val="center"/>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Estado civil</w:t>
            </w:r>
          </w:p>
        </w:tc>
        <w:tc>
          <w:tcPr>
            <w:tcW w:w="3346" w:type="dxa"/>
            <w:shd w:val="clear" w:color="auto" w:fill="auto"/>
            <w:noWrap/>
            <w:vAlign w:val="center"/>
            <w:hideMark/>
          </w:tcPr>
          <w:p w14:paraId="2E10596B" w14:textId="77777777" w:rsidR="00B6148C" w:rsidRPr="003E4FC3" w:rsidRDefault="00B6148C" w:rsidP="00B6148C">
            <w:pPr>
              <w:ind w:firstLine="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Casado</w:t>
            </w:r>
          </w:p>
        </w:tc>
        <w:tc>
          <w:tcPr>
            <w:tcW w:w="1559" w:type="dxa"/>
            <w:shd w:val="clear" w:color="auto" w:fill="auto"/>
            <w:noWrap/>
            <w:vAlign w:val="center"/>
            <w:hideMark/>
          </w:tcPr>
          <w:p w14:paraId="44431EE9" w14:textId="77777777" w:rsidR="00B6148C" w:rsidRPr="003E4FC3" w:rsidRDefault="00B6148C" w:rsidP="00B6148C">
            <w:pPr>
              <w:ind w:firstLine="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23</w:t>
            </w:r>
          </w:p>
        </w:tc>
        <w:tc>
          <w:tcPr>
            <w:tcW w:w="2564" w:type="dxa"/>
            <w:shd w:val="clear" w:color="auto" w:fill="auto"/>
            <w:noWrap/>
            <w:vAlign w:val="center"/>
            <w:hideMark/>
          </w:tcPr>
          <w:p w14:paraId="5E059D98" w14:textId="77777777" w:rsidR="00B6148C" w:rsidRPr="003E4FC3" w:rsidRDefault="00B6148C" w:rsidP="00B6148C">
            <w:pPr>
              <w:ind w:right="-352" w:firstLine="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10,41</w:t>
            </w:r>
          </w:p>
        </w:tc>
      </w:tr>
      <w:tr w:rsidR="00B6148C" w:rsidRPr="003E4FC3" w14:paraId="256053CA" w14:textId="77777777" w:rsidTr="00B6148C">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522" w:type="dxa"/>
            <w:vMerge/>
            <w:tcBorders>
              <w:left w:val="none" w:sz="0" w:space="0" w:color="auto"/>
              <w:right w:val="none" w:sz="0" w:space="0" w:color="auto"/>
            </w:tcBorders>
            <w:shd w:val="clear" w:color="auto" w:fill="auto"/>
            <w:noWrap/>
            <w:vAlign w:val="center"/>
            <w:hideMark/>
          </w:tcPr>
          <w:p w14:paraId="5E59CF0A" w14:textId="77777777" w:rsidR="00B6148C" w:rsidRPr="003E4FC3" w:rsidRDefault="00B6148C" w:rsidP="00B6148C">
            <w:pPr>
              <w:ind w:firstLine="0"/>
              <w:contextualSpacing/>
              <w:jc w:val="center"/>
              <w:rPr>
                <w:rFonts w:ascii="Times New Roman" w:eastAsia="Times New Roman" w:hAnsi="Times New Roman" w:cs="Times New Roman"/>
                <w:color w:val="000000"/>
                <w:sz w:val="20"/>
                <w:szCs w:val="20"/>
                <w:lang w:eastAsia="pt-BR"/>
              </w:rPr>
            </w:pPr>
          </w:p>
        </w:tc>
        <w:tc>
          <w:tcPr>
            <w:tcW w:w="3346" w:type="dxa"/>
            <w:tcBorders>
              <w:left w:val="none" w:sz="0" w:space="0" w:color="auto"/>
              <w:right w:val="none" w:sz="0" w:space="0" w:color="auto"/>
            </w:tcBorders>
            <w:shd w:val="clear" w:color="auto" w:fill="auto"/>
            <w:noWrap/>
            <w:vAlign w:val="center"/>
            <w:hideMark/>
          </w:tcPr>
          <w:p w14:paraId="36688D26" w14:textId="77777777" w:rsidR="00B6148C" w:rsidRPr="003E4FC3" w:rsidRDefault="00B6148C" w:rsidP="00B6148C">
            <w:pPr>
              <w:ind w:firstLine="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Outro</w:t>
            </w:r>
          </w:p>
        </w:tc>
        <w:tc>
          <w:tcPr>
            <w:tcW w:w="1559" w:type="dxa"/>
            <w:tcBorders>
              <w:left w:val="none" w:sz="0" w:space="0" w:color="auto"/>
              <w:right w:val="none" w:sz="0" w:space="0" w:color="auto"/>
            </w:tcBorders>
            <w:shd w:val="clear" w:color="auto" w:fill="auto"/>
            <w:noWrap/>
            <w:vAlign w:val="center"/>
            <w:hideMark/>
          </w:tcPr>
          <w:p w14:paraId="63FBAE77" w14:textId="77777777" w:rsidR="00B6148C" w:rsidRPr="003E4FC3" w:rsidRDefault="00B6148C" w:rsidP="00B6148C">
            <w:pPr>
              <w:ind w:firstLine="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2</w:t>
            </w:r>
          </w:p>
        </w:tc>
        <w:tc>
          <w:tcPr>
            <w:tcW w:w="2564" w:type="dxa"/>
            <w:tcBorders>
              <w:left w:val="none" w:sz="0" w:space="0" w:color="auto"/>
              <w:right w:val="none" w:sz="0" w:space="0" w:color="auto"/>
            </w:tcBorders>
            <w:shd w:val="clear" w:color="auto" w:fill="auto"/>
            <w:noWrap/>
            <w:vAlign w:val="center"/>
            <w:hideMark/>
          </w:tcPr>
          <w:p w14:paraId="4960E5E5" w14:textId="77777777" w:rsidR="00B6148C" w:rsidRPr="003E4FC3" w:rsidRDefault="00B6148C" w:rsidP="00B6148C">
            <w:pPr>
              <w:ind w:right="-352" w:firstLine="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0,90</w:t>
            </w:r>
          </w:p>
        </w:tc>
      </w:tr>
      <w:tr w:rsidR="00B6148C" w:rsidRPr="003E4FC3" w14:paraId="22ECB298" w14:textId="77777777" w:rsidTr="00B6148C">
        <w:trPr>
          <w:trHeight w:val="270"/>
          <w:jc w:val="center"/>
        </w:trPr>
        <w:tc>
          <w:tcPr>
            <w:cnfStyle w:val="001000000000" w:firstRow="0" w:lastRow="0" w:firstColumn="1" w:lastColumn="0" w:oddVBand="0" w:evenVBand="0" w:oddHBand="0" w:evenHBand="0" w:firstRowFirstColumn="0" w:firstRowLastColumn="0" w:lastRowFirstColumn="0" w:lastRowLastColumn="0"/>
            <w:tcW w:w="1522" w:type="dxa"/>
            <w:vMerge/>
            <w:shd w:val="clear" w:color="auto" w:fill="auto"/>
            <w:noWrap/>
            <w:vAlign w:val="center"/>
            <w:hideMark/>
          </w:tcPr>
          <w:p w14:paraId="7B7B3ECD" w14:textId="77777777" w:rsidR="00B6148C" w:rsidRPr="003E4FC3" w:rsidRDefault="00B6148C" w:rsidP="00B6148C">
            <w:pPr>
              <w:ind w:firstLine="0"/>
              <w:contextualSpacing/>
              <w:jc w:val="center"/>
              <w:rPr>
                <w:rFonts w:ascii="Times New Roman" w:eastAsia="Times New Roman" w:hAnsi="Times New Roman" w:cs="Times New Roman"/>
                <w:color w:val="000000"/>
                <w:sz w:val="20"/>
                <w:szCs w:val="20"/>
                <w:lang w:eastAsia="pt-BR"/>
              </w:rPr>
            </w:pPr>
          </w:p>
        </w:tc>
        <w:tc>
          <w:tcPr>
            <w:tcW w:w="3346" w:type="dxa"/>
            <w:shd w:val="clear" w:color="auto" w:fill="auto"/>
            <w:noWrap/>
            <w:vAlign w:val="center"/>
            <w:hideMark/>
          </w:tcPr>
          <w:p w14:paraId="4225372F" w14:textId="77777777" w:rsidR="00B6148C" w:rsidRPr="003E4FC3" w:rsidRDefault="00B6148C" w:rsidP="00B6148C">
            <w:pPr>
              <w:ind w:firstLine="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Separado</w:t>
            </w:r>
          </w:p>
        </w:tc>
        <w:tc>
          <w:tcPr>
            <w:tcW w:w="1559" w:type="dxa"/>
            <w:shd w:val="clear" w:color="auto" w:fill="auto"/>
            <w:noWrap/>
            <w:vAlign w:val="center"/>
            <w:hideMark/>
          </w:tcPr>
          <w:p w14:paraId="28C2D187" w14:textId="77777777" w:rsidR="00B6148C" w:rsidRPr="003E4FC3" w:rsidRDefault="00B6148C" w:rsidP="00B6148C">
            <w:pPr>
              <w:ind w:firstLine="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2</w:t>
            </w:r>
          </w:p>
        </w:tc>
        <w:tc>
          <w:tcPr>
            <w:tcW w:w="2564" w:type="dxa"/>
            <w:shd w:val="clear" w:color="auto" w:fill="auto"/>
            <w:noWrap/>
            <w:vAlign w:val="center"/>
            <w:hideMark/>
          </w:tcPr>
          <w:p w14:paraId="54ECFE82" w14:textId="77777777" w:rsidR="00B6148C" w:rsidRPr="003E4FC3" w:rsidRDefault="00B6148C" w:rsidP="00B6148C">
            <w:pPr>
              <w:ind w:right="-352" w:firstLine="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0,90</w:t>
            </w:r>
          </w:p>
        </w:tc>
      </w:tr>
      <w:tr w:rsidR="00B6148C" w:rsidRPr="003E4FC3" w14:paraId="668A7A41" w14:textId="77777777" w:rsidTr="00B6148C">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522" w:type="dxa"/>
            <w:vMerge/>
            <w:tcBorders>
              <w:left w:val="none" w:sz="0" w:space="0" w:color="auto"/>
              <w:right w:val="none" w:sz="0" w:space="0" w:color="auto"/>
            </w:tcBorders>
            <w:shd w:val="clear" w:color="auto" w:fill="auto"/>
            <w:noWrap/>
            <w:vAlign w:val="center"/>
            <w:hideMark/>
          </w:tcPr>
          <w:p w14:paraId="6D8C443D" w14:textId="77777777" w:rsidR="00B6148C" w:rsidRPr="003E4FC3" w:rsidRDefault="00B6148C" w:rsidP="00B6148C">
            <w:pPr>
              <w:ind w:firstLine="0"/>
              <w:contextualSpacing/>
              <w:jc w:val="center"/>
              <w:rPr>
                <w:rFonts w:ascii="Times New Roman" w:eastAsia="Times New Roman" w:hAnsi="Times New Roman" w:cs="Times New Roman"/>
                <w:color w:val="000000"/>
                <w:sz w:val="20"/>
                <w:szCs w:val="20"/>
                <w:lang w:eastAsia="pt-BR"/>
              </w:rPr>
            </w:pPr>
          </w:p>
        </w:tc>
        <w:tc>
          <w:tcPr>
            <w:tcW w:w="3346" w:type="dxa"/>
            <w:tcBorders>
              <w:left w:val="none" w:sz="0" w:space="0" w:color="auto"/>
              <w:right w:val="none" w:sz="0" w:space="0" w:color="auto"/>
            </w:tcBorders>
            <w:shd w:val="clear" w:color="auto" w:fill="auto"/>
            <w:noWrap/>
            <w:vAlign w:val="center"/>
            <w:hideMark/>
          </w:tcPr>
          <w:p w14:paraId="3922BBE4" w14:textId="77777777" w:rsidR="00B6148C" w:rsidRPr="003E4FC3" w:rsidRDefault="00B6148C" w:rsidP="00B6148C">
            <w:pPr>
              <w:ind w:firstLine="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Solteiro</w:t>
            </w:r>
          </w:p>
        </w:tc>
        <w:tc>
          <w:tcPr>
            <w:tcW w:w="1559" w:type="dxa"/>
            <w:tcBorders>
              <w:left w:val="none" w:sz="0" w:space="0" w:color="auto"/>
              <w:right w:val="none" w:sz="0" w:space="0" w:color="auto"/>
            </w:tcBorders>
            <w:shd w:val="clear" w:color="auto" w:fill="auto"/>
            <w:noWrap/>
            <w:vAlign w:val="center"/>
            <w:hideMark/>
          </w:tcPr>
          <w:p w14:paraId="048EEAAE" w14:textId="77777777" w:rsidR="00B6148C" w:rsidRPr="003E4FC3" w:rsidRDefault="00B6148C" w:rsidP="00B6148C">
            <w:pPr>
              <w:ind w:firstLine="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175</w:t>
            </w:r>
          </w:p>
        </w:tc>
        <w:tc>
          <w:tcPr>
            <w:tcW w:w="2564" w:type="dxa"/>
            <w:tcBorders>
              <w:left w:val="none" w:sz="0" w:space="0" w:color="auto"/>
              <w:right w:val="none" w:sz="0" w:space="0" w:color="auto"/>
            </w:tcBorders>
            <w:shd w:val="clear" w:color="auto" w:fill="auto"/>
            <w:noWrap/>
            <w:vAlign w:val="center"/>
            <w:hideMark/>
          </w:tcPr>
          <w:p w14:paraId="79CDC84F" w14:textId="77777777" w:rsidR="00B6148C" w:rsidRPr="003E4FC3" w:rsidRDefault="00B6148C" w:rsidP="00B6148C">
            <w:pPr>
              <w:ind w:right="-352" w:firstLine="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79,19</w:t>
            </w:r>
          </w:p>
        </w:tc>
      </w:tr>
      <w:tr w:rsidR="00B6148C" w:rsidRPr="003E4FC3" w14:paraId="66A3B807" w14:textId="77777777" w:rsidTr="00B6148C">
        <w:trPr>
          <w:trHeight w:val="270"/>
          <w:jc w:val="center"/>
        </w:trPr>
        <w:tc>
          <w:tcPr>
            <w:cnfStyle w:val="001000000000" w:firstRow="0" w:lastRow="0" w:firstColumn="1" w:lastColumn="0" w:oddVBand="0" w:evenVBand="0" w:oddHBand="0" w:evenHBand="0" w:firstRowFirstColumn="0" w:firstRowLastColumn="0" w:lastRowFirstColumn="0" w:lastRowLastColumn="0"/>
            <w:tcW w:w="1522" w:type="dxa"/>
            <w:vMerge/>
            <w:shd w:val="clear" w:color="auto" w:fill="auto"/>
            <w:noWrap/>
            <w:vAlign w:val="center"/>
            <w:hideMark/>
          </w:tcPr>
          <w:p w14:paraId="6980FDAE" w14:textId="77777777" w:rsidR="00B6148C" w:rsidRPr="003E4FC3" w:rsidRDefault="00B6148C" w:rsidP="00B6148C">
            <w:pPr>
              <w:ind w:firstLine="0"/>
              <w:contextualSpacing/>
              <w:jc w:val="center"/>
              <w:rPr>
                <w:rFonts w:ascii="Times New Roman" w:eastAsia="Times New Roman" w:hAnsi="Times New Roman" w:cs="Times New Roman"/>
                <w:color w:val="000000"/>
                <w:sz w:val="20"/>
                <w:szCs w:val="20"/>
                <w:lang w:eastAsia="pt-BR"/>
              </w:rPr>
            </w:pPr>
          </w:p>
        </w:tc>
        <w:tc>
          <w:tcPr>
            <w:tcW w:w="3346" w:type="dxa"/>
            <w:shd w:val="clear" w:color="auto" w:fill="auto"/>
            <w:noWrap/>
            <w:vAlign w:val="center"/>
            <w:hideMark/>
          </w:tcPr>
          <w:p w14:paraId="1490F5E6" w14:textId="77777777" w:rsidR="00B6148C" w:rsidRPr="003E4FC3" w:rsidRDefault="00B6148C" w:rsidP="00B6148C">
            <w:pPr>
              <w:ind w:firstLine="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União Estável</w:t>
            </w:r>
          </w:p>
        </w:tc>
        <w:tc>
          <w:tcPr>
            <w:tcW w:w="1559" w:type="dxa"/>
            <w:shd w:val="clear" w:color="auto" w:fill="auto"/>
            <w:noWrap/>
            <w:vAlign w:val="center"/>
            <w:hideMark/>
          </w:tcPr>
          <w:p w14:paraId="18362B6F" w14:textId="77777777" w:rsidR="00B6148C" w:rsidRPr="003E4FC3" w:rsidRDefault="00B6148C" w:rsidP="00B6148C">
            <w:pPr>
              <w:ind w:firstLine="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19</w:t>
            </w:r>
          </w:p>
        </w:tc>
        <w:tc>
          <w:tcPr>
            <w:tcW w:w="2564" w:type="dxa"/>
            <w:shd w:val="clear" w:color="auto" w:fill="auto"/>
            <w:noWrap/>
            <w:vAlign w:val="center"/>
            <w:hideMark/>
          </w:tcPr>
          <w:p w14:paraId="712D019C" w14:textId="77777777" w:rsidR="00B6148C" w:rsidRPr="003E4FC3" w:rsidRDefault="00B6148C" w:rsidP="00B6148C">
            <w:pPr>
              <w:ind w:right="-352" w:firstLine="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8,60</w:t>
            </w:r>
          </w:p>
        </w:tc>
      </w:tr>
      <w:tr w:rsidR="00B6148C" w:rsidRPr="003E4FC3" w14:paraId="081BB20D" w14:textId="77777777" w:rsidTr="00B6148C">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522" w:type="dxa"/>
            <w:vMerge w:val="restart"/>
            <w:tcBorders>
              <w:left w:val="none" w:sz="0" w:space="0" w:color="auto"/>
              <w:right w:val="none" w:sz="0" w:space="0" w:color="auto"/>
            </w:tcBorders>
            <w:shd w:val="clear" w:color="auto" w:fill="auto"/>
            <w:noWrap/>
            <w:vAlign w:val="center"/>
            <w:hideMark/>
          </w:tcPr>
          <w:p w14:paraId="31D7D636" w14:textId="77777777" w:rsidR="00B6148C" w:rsidRPr="003E4FC3" w:rsidRDefault="00B6148C" w:rsidP="00B6148C">
            <w:pPr>
              <w:ind w:firstLine="0"/>
              <w:contextualSpacing/>
              <w:jc w:val="center"/>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Dependentes</w:t>
            </w:r>
          </w:p>
        </w:tc>
        <w:tc>
          <w:tcPr>
            <w:tcW w:w="3346" w:type="dxa"/>
            <w:tcBorders>
              <w:left w:val="none" w:sz="0" w:space="0" w:color="auto"/>
              <w:right w:val="none" w:sz="0" w:space="0" w:color="auto"/>
            </w:tcBorders>
            <w:shd w:val="clear" w:color="auto" w:fill="auto"/>
            <w:noWrap/>
            <w:vAlign w:val="center"/>
            <w:hideMark/>
          </w:tcPr>
          <w:p w14:paraId="40419E26" w14:textId="77777777" w:rsidR="00B6148C" w:rsidRPr="003E4FC3" w:rsidRDefault="00B6148C" w:rsidP="00B6148C">
            <w:pPr>
              <w:ind w:firstLine="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Nenhum</w:t>
            </w:r>
          </w:p>
        </w:tc>
        <w:tc>
          <w:tcPr>
            <w:tcW w:w="1559" w:type="dxa"/>
            <w:tcBorders>
              <w:left w:val="none" w:sz="0" w:space="0" w:color="auto"/>
              <w:right w:val="none" w:sz="0" w:space="0" w:color="auto"/>
            </w:tcBorders>
            <w:shd w:val="clear" w:color="auto" w:fill="auto"/>
            <w:noWrap/>
            <w:vAlign w:val="center"/>
            <w:hideMark/>
          </w:tcPr>
          <w:p w14:paraId="305CEB0D" w14:textId="77777777" w:rsidR="00B6148C" w:rsidRPr="003E4FC3" w:rsidRDefault="00B6148C" w:rsidP="00B6148C">
            <w:pPr>
              <w:ind w:firstLine="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190</w:t>
            </w:r>
          </w:p>
        </w:tc>
        <w:tc>
          <w:tcPr>
            <w:tcW w:w="2564" w:type="dxa"/>
            <w:tcBorders>
              <w:left w:val="none" w:sz="0" w:space="0" w:color="auto"/>
              <w:right w:val="none" w:sz="0" w:space="0" w:color="auto"/>
            </w:tcBorders>
            <w:shd w:val="clear" w:color="auto" w:fill="auto"/>
            <w:noWrap/>
            <w:vAlign w:val="center"/>
            <w:hideMark/>
          </w:tcPr>
          <w:p w14:paraId="77B223FE" w14:textId="77777777" w:rsidR="00B6148C" w:rsidRPr="003E4FC3" w:rsidRDefault="00B6148C" w:rsidP="00B6148C">
            <w:pPr>
              <w:ind w:right="-352" w:firstLine="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85,97</w:t>
            </w:r>
          </w:p>
        </w:tc>
      </w:tr>
      <w:tr w:rsidR="00B6148C" w:rsidRPr="003E4FC3" w14:paraId="78DF5113" w14:textId="77777777" w:rsidTr="00B6148C">
        <w:trPr>
          <w:trHeight w:val="270"/>
          <w:jc w:val="center"/>
        </w:trPr>
        <w:tc>
          <w:tcPr>
            <w:cnfStyle w:val="001000000000" w:firstRow="0" w:lastRow="0" w:firstColumn="1" w:lastColumn="0" w:oddVBand="0" w:evenVBand="0" w:oddHBand="0" w:evenHBand="0" w:firstRowFirstColumn="0" w:firstRowLastColumn="0" w:lastRowFirstColumn="0" w:lastRowLastColumn="0"/>
            <w:tcW w:w="1522" w:type="dxa"/>
            <w:vMerge/>
            <w:shd w:val="clear" w:color="auto" w:fill="auto"/>
            <w:noWrap/>
            <w:vAlign w:val="center"/>
            <w:hideMark/>
          </w:tcPr>
          <w:p w14:paraId="298A4A0E" w14:textId="77777777" w:rsidR="00B6148C" w:rsidRPr="003E4FC3" w:rsidRDefault="00B6148C" w:rsidP="00B6148C">
            <w:pPr>
              <w:ind w:firstLine="0"/>
              <w:contextualSpacing/>
              <w:jc w:val="center"/>
              <w:rPr>
                <w:rFonts w:ascii="Times New Roman" w:eastAsia="Times New Roman" w:hAnsi="Times New Roman" w:cs="Times New Roman"/>
                <w:color w:val="000000"/>
                <w:sz w:val="20"/>
                <w:szCs w:val="20"/>
                <w:lang w:eastAsia="pt-BR"/>
              </w:rPr>
            </w:pPr>
          </w:p>
        </w:tc>
        <w:tc>
          <w:tcPr>
            <w:tcW w:w="3346" w:type="dxa"/>
            <w:shd w:val="clear" w:color="auto" w:fill="auto"/>
            <w:noWrap/>
            <w:vAlign w:val="center"/>
            <w:hideMark/>
          </w:tcPr>
          <w:p w14:paraId="3947D0CE" w14:textId="77777777" w:rsidR="00B6148C" w:rsidRPr="003E4FC3" w:rsidRDefault="00B6148C" w:rsidP="00B6148C">
            <w:pPr>
              <w:ind w:firstLine="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Um</w:t>
            </w:r>
          </w:p>
        </w:tc>
        <w:tc>
          <w:tcPr>
            <w:tcW w:w="1559" w:type="dxa"/>
            <w:shd w:val="clear" w:color="auto" w:fill="auto"/>
            <w:noWrap/>
            <w:vAlign w:val="center"/>
            <w:hideMark/>
          </w:tcPr>
          <w:p w14:paraId="132240E3" w14:textId="77777777" w:rsidR="00B6148C" w:rsidRPr="003E4FC3" w:rsidRDefault="00B6148C" w:rsidP="00B6148C">
            <w:pPr>
              <w:ind w:firstLine="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18</w:t>
            </w:r>
          </w:p>
        </w:tc>
        <w:tc>
          <w:tcPr>
            <w:tcW w:w="2564" w:type="dxa"/>
            <w:shd w:val="clear" w:color="auto" w:fill="auto"/>
            <w:noWrap/>
            <w:vAlign w:val="center"/>
            <w:hideMark/>
          </w:tcPr>
          <w:p w14:paraId="241FF3F9" w14:textId="77777777" w:rsidR="00B6148C" w:rsidRPr="003E4FC3" w:rsidRDefault="00B6148C" w:rsidP="00B6148C">
            <w:pPr>
              <w:ind w:right="-352" w:firstLine="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8,14</w:t>
            </w:r>
          </w:p>
        </w:tc>
      </w:tr>
      <w:tr w:rsidR="00B6148C" w:rsidRPr="003E4FC3" w14:paraId="0D550657" w14:textId="77777777" w:rsidTr="00B6148C">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522" w:type="dxa"/>
            <w:vMerge/>
            <w:tcBorders>
              <w:left w:val="none" w:sz="0" w:space="0" w:color="auto"/>
              <w:right w:val="none" w:sz="0" w:space="0" w:color="auto"/>
            </w:tcBorders>
            <w:shd w:val="clear" w:color="auto" w:fill="auto"/>
            <w:noWrap/>
            <w:vAlign w:val="center"/>
            <w:hideMark/>
          </w:tcPr>
          <w:p w14:paraId="2A3639E5" w14:textId="77777777" w:rsidR="00B6148C" w:rsidRPr="003E4FC3" w:rsidRDefault="00B6148C" w:rsidP="00B6148C">
            <w:pPr>
              <w:ind w:firstLine="0"/>
              <w:contextualSpacing/>
              <w:jc w:val="center"/>
              <w:rPr>
                <w:rFonts w:ascii="Times New Roman" w:eastAsia="Times New Roman" w:hAnsi="Times New Roman" w:cs="Times New Roman"/>
                <w:color w:val="000000"/>
                <w:sz w:val="20"/>
                <w:szCs w:val="20"/>
                <w:lang w:eastAsia="pt-BR"/>
              </w:rPr>
            </w:pPr>
          </w:p>
        </w:tc>
        <w:tc>
          <w:tcPr>
            <w:tcW w:w="3346" w:type="dxa"/>
            <w:tcBorders>
              <w:left w:val="none" w:sz="0" w:space="0" w:color="auto"/>
              <w:right w:val="none" w:sz="0" w:space="0" w:color="auto"/>
            </w:tcBorders>
            <w:shd w:val="clear" w:color="auto" w:fill="auto"/>
            <w:noWrap/>
            <w:vAlign w:val="center"/>
            <w:hideMark/>
          </w:tcPr>
          <w:p w14:paraId="7D57C08F" w14:textId="77777777" w:rsidR="00B6148C" w:rsidRPr="003E4FC3" w:rsidRDefault="00B6148C" w:rsidP="00B6148C">
            <w:pPr>
              <w:ind w:firstLine="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Dois</w:t>
            </w:r>
          </w:p>
        </w:tc>
        <w:tc>
          <w:tcPr>
            <w:tcW w:w="1559" w:type="dxa"/>
            <w:tcBorders>
              <w:left w:val="none" w:sz="0" w:space="0" w:color="auto"/>
              <w:right w:val="none" w:sz="0" w:space="0" w:color="auto"/>
            </w:tcBorders>
            <w:shd w:val="clear" w:color="auto" w:fill="auto"/>
            <w:noWrap/>
            <w:vAlign w:val="center"/>
            <w:hideMark/>
          </w:tcPr>
          <w:p w14:paraId="2A831AE6" w14:textId="77777777" w:rsidR="00B6148C" w:rsidRPr="003E4FC3" w:rsidRDefault="00B6148C" w:rsidP="00B6148C">
            <w:pPr>
              <w:ind w:firstLine="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7</w:t>
            </w:r>
          </w:p>
        </w:tc>
        <w:tc>
          <w:tcPr>
            <w:tcW w:w="2564" w:type="dxa"/>
            <w:tcBorders>
              <w:left w:val="none" w:sz="0" w:space="0" w:color="auto"/>
              <w:right w:val="none" w:sz="0" w:space="0" w:color="auto"/>
            </w:tcBorders>
            <w:shd w:val="clear" w:color="auto" w:fill="auto"/>
            <w:noWrap/>
            <w:vAlign w:val="center"/>
            <w:hideMark/>
          </w:tcPr>
          <w:p w14:paraId="02ABA13B" w14:textId="77777777" w:rsidR="00B6148C" w:rsidRPr="003E4FC3" w:rsidRDefault="00B6148C" w:rsidP="00B6148C">
            <w:pPr>
              <w:ind w:right="-352" w:firstLine="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3,17</w:t>
            </w:r>
          </w:p>
        </w:tc>
      </w:tr>
      <w:tr w:rsidR="00B6148C" w:rsidRPr="003E4FC3" w14:paraId="71C5A7F1" w14:textId="77777777" w:rsidTr="00B6148C">
        <w:trPr>
          <w:trHeight w:val="270"/>
          <w:jc w:val="center"/>
        </w:trPr>
        <w:tc>
          <w:tcPr>
            <w:cnfStyle w:val="001000000000" w:firstRow="0" w:lastRow="0" w:firstColumn="1" w:lastColumn="0" w:oddVBand="0" w:evenVBand="0" w:oddHBand="0" w:evenHBand="0" w:firstRowFirstColumn="0" w:firstRowLastColumn="0" w:lastRowFirstColumn="0" w:lastRowLastColumn="0"/>
            <w:tcW w:w="1522" w:type="dxa"/>
            <w:vMerge/>
            <w:shd w:val="clear" w:color="auto" w:fill="auto"/>
            <w:noWrap/>
            <w:vAlign w:val="center"/>
            <w:hideMark/>
          </w:tcPr>
          <w:p w14:paraId="11E0EA0A" w14:textId="77777777" w:rsidR="00B6148C" w:rsidRPr="003E4FC3" w:rsidRDefault="00B6148C" w:rsidP="00B6148C">
            <w:pPr>
              <w:ind w:firstLine="0"/>
              <w:contextualSpacing/>
              <w:jc w:val="center"/>
              <w:rPr>
                <w:rFonts w:ascii="Times New Roman" w:eastAsia="Times New Roman" w:hAnsi="Times New Roman" w:cs="Times New Roman"/>
                <w:color w:val="000000"/>
                <w:sz w:val="20"/>
                <w:szCs w:val="20"/>
                <w:lang w:eastAsia="pt-BR"/>
              </w:rPr>
            </w:pPr>
          </w:p>
        </w:tc>
        <w:tc>
          <w:tcPr>
            <w:tcW w:w="3346" w:type="dxa"/>
            <w:shd w:val="clear" w:color="auto" w:fill="auto"/>
            <w:noWrap/>
            <w:vAlign w:val="center"/>
            <w:hideMark/>
          </w:tcPr>
          <w:p w14:paraId="7C7F2F1A" w14:textId="77777777" w:rsidR="00B6148C" w:rsidRPr="003E4FC3" w:rsidRDefault="00B6148C" w:rsidP="00B6148C">
            <w:pPr>
              <w:ind w:firstLine="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Três</w:t>
            </w:r>
          </w:p>
        </w:tc>
        <w:tc>
          <w:tcPr>
            <w:tcW w:w="1559" w:type="dxa"/>
            <w:shd w:val="clear" w:color="auto" w:fill="auto"/>
            <w:noWrap/>
            <w:vAlign w:val="center"/>
            <w:hideMark/>
          </w:tcPr>
          <w:p w14:paraId="363EF337" w14:textId="77777777" w:rsidR="00B6148C" w:rsidRPr="003E4FC3" w:rsidRDefault="00B6148C" w:rsidP="00B6148C">
            <w:pPr>
              <w:ind w:firstLine="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1</w:t>
            </w:r>
          </w:p>
        </w:tc>
        <w:tc>
          <w:tcPr>
            <w:tcW w:w="2564" w:type="dxa"/>
            <w:shd w:val="clear" w:color="auto" w:fill="auto"/>
            <w:noWrap/>
            <w:vAlign w:val="center"/>
            <w:hideMark/>
          </w:tcPr>
          <w:p w14:paraId="28056378" w14:textId="77777777" w:rsidR="00B6148C" w:rsidRPr="003E4FC3" w:rsidRDefault="00B6148C" w:rsidP="00B6148C">
            <w:pPr>
              <w:ind w:right="-352" w:firstLine="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0,45</w:t>
            </w:r>
          </w:p>
        </w:tc>
      </w:tr>
      <w:tr w:rsidR="00B6148C" w:rsidRPr="003E4FC3" w14:paraId="5ED0C488" w14:textId="77777777" w:rsidTr="00B6148C">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522" w:type="dxa"/>
            <w:vMerge/>
            <w:tcBorders>
              <w:left w:val="none" w:sz="0" w:space="0" w:color="auto"/>
              <w:right w:val="none" w:sz="0" w:space="0" w:color="auto"/>
            </w:tcBorders>
            <w:shd w:val="clear" w:color="auto" w:fill="auto"/>
            <w:noWrap/>
            <w:vAlign w:val="center"/>
            <w:hideMark/>
          </w:tcPr>
          <w:p w14:paraId="46C8AEFA" w14:textId="77777777" w:rsidR="00B6148C" w:rsidRPr="003E4FC3" w:rsidRDefault="00B6148C" w:rsidP="00B6148C">
            <w:pPr>
              <w:ind w:firstLine="0"/>
              <w:contextualSpacing/>
              <w:jc w:val="center"/>
              <w:rPr>
                <w:rFonts w:ascii="Times New Roman" w:eastAsia="Times New Roman" w:hAnsi="Times New Roman" w:cs="Times New Roman"/>
                <w:color w:val="000000"/>
                <w:sz w:val="20"/>
                <w:szCs w:val="20"/>
                <w:lang w:eastAsia="pt-BR"/>
              </w:rPr>
            </w:pPr>
          </w:p>
        </w:tc>
        <w:tc>
          <w:tcPr>
            <w:tcW w:w="3346" w:type="dxa"/>
            <w:tcBorders>
              <w:left w:val="none" w:sz="0" w:space="0" w:color="auto"/>
              <w:right w:val="none" w:sz="0" w:space="0" w:color="auto"/>
            </w:tcBorders>
            <w:shd w:val="clear" w:color="auto" w:fill="auto"/>
            <w:noWrap/>
            <w:vAlign w:val="center"/>
            <w:hideMark/>
          </w:tcPr>
          <w:p w14:paraId="1BED925A" w14:textId="77777777" w:rsidR="00B6148C" w:rsidRPr="003E4FC3" w:rsidRDefault="00B6148C" w:rsidP="00B6148C">
            <w:pPr>
              <w:ind w:firstLine="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4 ou mais</w:t>
            </w:r>
          </w:p>
        </w:tc>
        <w:tc>
          <w:tcPr>
            <w:tcW w:w="1559" w:type="dxa"/>
            <w:tcBorders>
              <w:left w:val="none" w:sz="0" w:space="0" w:color="auto"/>
              <w:right w:val="none" w:sz="0" w:space="0" w:color="auto"/>
            </w:tcBorders>
            <w:shd w:val="clear" w:color="auto" w:fill="auto"/>
            <w:noWrap/>
            <w:vAlign w:val="center"/>
            <w:hideMark/>
          </w:tcPr>
          <w:p w14:paraId="04143EE5" w14:textId="77777777" w:rsidR="00B6148C" w:rsidRPr="003E4FC3" w:rsidRDefault="00B6148C" w:rsidP="00B6148C">
            <w:pPr>
              <w:ind w:firstLine="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5</w:t>
            </w:r>
          </w:p>
        </w:tc>
        <w:tc>
          <w:tcPr>
            <w:tcW w:w="2564" w:type="dxa"/>
            <w:tcBorders>
              <w:left w:val="none" w:sz="0" w:space="0" w:color="auto"/>
              <w:right w:val="none" w:sz="0" w:space="0" w:color="auto"/>
            </w:tcBorders>
            <w:shd w:val="clear" w:color="auto" w:fill="auto"/>
            <w:noWrap/>
            <w:vAlign w:val="center"/>
            <w:hideMark/>
          </w:tcPr>
          <w:p w14:paraId="17BD9383" w14:textId="77777777" w:rsidR="00B6148C" w:rsidRPr="003E4FC3" w:rsidRDefault="00B6148C" w:rsidP="00B6148C">
            <w:pPr>
              <w:ind w:right="-352" w:firstLine="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2,26</w:t>
            </w:r>
          </w:p>
        </w:tc>
      </w:tr>
      <w:tr w:rsidR="00B6148C" w:rsidRPr="003E4FC3" w14:paraId="0868152D" w14:textId="77777777" w:rsidTr="00B6148C">
        <w:trPr>
          <w:trHeight w:val="270"/>
          <w:jc w:val="center"/>
        </w:trPr>
        <w:tc>
          <w:tcPr>
            <w:cnfStyle w:val="001000000000" w:firstRow="0" w:lastRow="0" w:firstColumn="1" w:lastColumn="0" w:oddVBand="0" w:evenVBand="0" w:oddHBand="0" w:evenHBand="0" w:firstRowFirstColumn="0" w:firstRowLastColumn="0" w:lastRowFirstColumn="0" w:lastRowLastColumn="0"/>
            <w:tcW w:w="1522" w:type="dxa"/>
            <w:vMerge w:val="restart"/>
            <w:shd w:val="clear" w:color="auto" w:fill="auto"/>
            <w:noWrap/>
            <w:vAlign w:val="center"/>
            <w:hideMark/>
          </w:tcPr>
          <w:p w14:paraId="0A107B3D" w14:textId="77777777" w:rsidR="00B6148C" w:rsidRPr="003E4FC3" w:rsidRDefault="00B6148C" w:rsidP="00B6148C">
            <w:pPr>
              <w:ind w:firstLine="0"/>
              <w:contextualSpacing/>
              <w:jc w:val="center"/>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Moradia</w:t>
            </w:r>
          </w:p>
        </w:tc>
        <w:tc>
          <w:tcPr>
            <w:tcW w:w="3346" w:type="dxa"/>
            <w:shd w:val="clear" w:color="auto" w:fill="auto"/>
            <w:noWrap/>
            <w:vAlign w:val="center"/>
            <w:hideMark/>
          </w:tcPr>
          <w:p w14:paraId="355480DE" w14:textId="77777777" w:rsidR="00B6148C" w:rsidRPr="003E4FC3" w:rsidRDefault="00B6148C" w:rsidP="00B6148C">
            <w:pPr>
              <w:ind w:firstLine="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Casa alugada</w:t>
            </w:r>
          </w:p>
        </w:tc>
        <w:tc>
          <w:tcPr>
            <w:tcW w:w="1559" w:type="dxa"/>
            <w:shd w:val="clear" w:color="auto" w:fill="auto"/>
            <w:noWrap/>
            <w:vAlign w:val="center"/>
            <w:hideMark/>
          </w:tcPr>
          <w:p w14:paraId="05E096D9" w14:textId="77777777" w:rsidR="00B6148C" w:rsidRPr="003E4FC3" w:rsidRDefault="00B6148C" w:rsidP="00B6148C">
            <w:pPr>
              <w:ind w:firstLine="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36</w:t>
            </w:r>
          </w:p>
        </w:tc>
        <w:tc>
          <w:tcPr>
            <w:tcW w:w="2564" w:type="dxa"/>
            <w:shd w:val="clear" w:color="auto" w:fill="auto"/>
            <w:noWrap/>
            <w:vAlign w:val="center"/>
            <w:hideMark/>
          </w:tcPr>
          <w:p w14:paraId="1407C047" w14:textId="77777777" w:rsidR="00B6148C" w:rsidRPr="003E4FC3" w:rsidRDefault="00B6148C" w:rsidP="00B6148C">
            <w:pPr>
              <w:ind w:right="-352" w:firstLine="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16,29</w:t>
            </w:r>
          </w:p>
        </w:tc>
      </w:tr>
      <w:tr w:rsidR="00B6148C" w:rsidRPr="003E4FC3" w14:paraId="0186DA82" w14:textId="77777777" w:rsidTr="00B6148C">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522" w:type="dxa"/>
            <w:vMerge/>
            <w:tcBorders>
              <w:left w:val="none" w:sz="0" w:space="0" w:color="auto"/>
              <w:right w:val="none" w:sz="0" w:space="0" w:color="auto"/>
            </w:tcBorders>
            <w:shd w:val="clear" w:color="auto" w:fill="auto"/>
            <w:noWrap/>
            <w:vAlign w:val="center"/>
            <w:hideMark/>
          </w:tcPr>
          <w:p w14:paraId="1C01075D" w14:textId="77777777" w:rsidR="00B6148C" w:rsidRPr="003E4FC3" w:rsidRDefault="00B6148C" w:rsidP="00B6148C">
            <w:pPr>
              <w:ind w:firstLine="0"/>
              <w:contextualSpacing/>
              <w:jc w:val="center"/>
              <w:rPr>
                <w:rFonts w:ascii="Times New Roman" w:eastAsia="Times New Roman" w:hAnsi="Times New Roman" w:cs="Times New Roman"/>
                <w:color w:val="000000"/>
                <w:sz w:val="20"/>
                <w:szCs w:val="20"/>
                <w:lang w:eastAsia="pt-BR"/>
              </w:rPr>
            </w:pPr>
          </w:p>
        </w:tc>
        <w:tc>
          <w:tcPr>
            <w:tcW w:w="3346" w:type="dxa"/>
            <w:tcBorders>
              <w:left w:val="none" w:sz="0" w:space="0" w:color="auto"/>
              <w:right w:val="none" w:sz="0" w:space="0" w:color="auto"/>
            </w:tcBorders>
            <w:shd w:val="clear" w:color="auto" w:fill="auto"/>
            <w:noWrap/>
            <w:vAlign w:val="center"/>
            <w:hideMark/>
          </w:tcPr>
          <w:p w14:paraId="6E842E1C" w14:textId="77777777" w:rsidR="00B6148C" w:rsidRPr="003E4FC3" w:rsidRDefault="00B6148C" w:rsidP="00B6148C">
            <w:pPr>
              <w:ind w:firstLine="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Casa financiada (pagando prestações)</w:t>
            </w:r>
          </w:p>
        </w:tc>
        <w:tc>
          <w:tcPr>
            <w:tcW w:w="1559" w:type="dxa"/>
            <w:tcBorders>
              <w:left w:val="none" w:sz="0" w:space="0" w:color="auto"/>
              <w:right w:val="none" w:sz="0" w:space="0" w:color="auto"/>
            </w:tcBorders>
            <w:shd w:val="clear" w:color="auto" w:fill="auto"/>
            <w:noWrap/>
            <w:vAlign w:val="center"/>
            <w:hideMark/>
          </w:tcPr>
          <w:p w14:paraId="5FE9D245" w14:textId="77777777" w:rsidR="00B6148C" w:rsidRPr="003E4FC3" w:rsidRDefault="00B6148C" w:rsidP="00B6148C">
            <w:pPr>
              <w:ind w:firstLine="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35</w:t>
            </w:r>
          </w:p>
        </w:tc>
        <w:tc>
          <w:tcPr>
            <w:tcW w:w="2564" w:type="dxa"/>
            <w:tcBorders>
              <w:left w:val="none" w:sz="0" w:space="0" w:color="auto"/>
              <w:right w:val="none" w:sz="0" w:space="0" w:color="auto"/>
            </w:tcBorders>
            <w:shd w:val="clear" w:color="auto" w:fill="auto"/>
            <w:noWrap/>
            <w:vAlign w:val="center"/>
            <w:hideMark/>
          </w:tcPr>
          <w:p w14:paraId="283482B3" w14:textId="77777777" w:rsidR="00B6148C" w:rsidRPr="003E4FC3" w:rsidRDefault="00B6148C" w:rsidP="00B6148C">
            <w:pPr>
              <w:ind w:right="-352" w:firstLine="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15,84</w:t>
            </w:r>
          </w:p>
        </w:tc>
      </w:tr>
      <w:tr w:rsidR="00B6148C" w:rsidRPr="003E4FC3" w14:paraId="16FE1726" w14:textId="77777777" w:rsidTr="00B6148C">
        <w:trPr>
          <w:trHeight w:val="270"/>
          <w:jc w:val="center"/>
        </w:trPr>
        <w:tc>
          <w:tcPr>
            <w:cnfStyle w:val="001000000000" w:firstRow="0" w:lastRow="0" w:firstColumn="1" w:lastColumn="0" w:oddVBand="0" w:evenVBand="0" w:oddHBand="0" w:evenHBand="0" w:firstRowFirstColumn="0" w:firstRowLastColumn="0" w:lastRowFirstColumn="0" w:lastRowLastColumn="0"/>
            <w:tcW w:w="1522" w:type="dxa"/>
            <w:vMerge/>
            <w:shd w:val="clear" w:color="auto" w:fill="auto"/>
            <w:noWrap/>
            <w:vAlign w:val="center"/>
            <w:hideMark/>
          </w:tcPr>
          <w:p w14:paraId="2D7959A9" w14:textId="77777777" w:rsidR="00B6148C" w:rsidRPr="003E4FC3" w:rsidRDefault="00B6148C" w:rsidP="00B6148C">
            <w:pPr>
              <w:ind w:firstLine="0"/>
              <w:contextualSpacing/>
              <w:jc w:val="center"/>
              <w:rPr>
                <w:rFonts w:ascii="Times New Roman" w:eastAsia="Times New Roman" w:hAnsi="Times New Roman" w:cs="Times New Roman"/>
                <w:color w:val="000000"/>
                <w:sz w:val="20"/>
                <w:szCs w:val="20"/>
                <w:lang w:eastAsia="pt-BR"/>
              </w:rPr>
            </w:pPr>
          </w:p>
        </w:tc>
        <w:tc>
          <w:tcPr>
            <w:tcW w:w="3346" w:type="dxa"/>
            <w:shd w:val="clear" w:color="auto" w:fill="auto"/>
            <w:noWrap/>
            <w:vAlign w:val="center"/>
            <w:hideMark/>
          </w:tcPr>
          <w:p w14:paraId="23717739" w14:textId="77777777" w:rsidR="00B6148C" w:rsidRPr="003E4FC3" w:rsidRDefault="00B6148C" w:rsidP="00B6148C">
            <w:pPr>
              <w:ind w:firstLine="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Casa própria que está quitada</w:t>
            </w:r>
          </w:p>
        </w:tc>
        <w:tc>
          <w:tcPr>
            <w:tcW w:w="1559" w:type="dxa"/>
            <w:shd w:val="clear" w:color="auto" w:fill="auto"/>
            <w:noWrap/>
            <w:vAlign w:val="center"/>
            <w:hideMark/>
          </w:tcPr>
          <w:p w14:paraId="52F787FB" w14:textId="77777777" w:rsidR="00B6148C" w:rsidRPr="003E4FC3" w:rsidRDefault="00B6148C" w:rsidP="00B6148C">
            <w:pPr>
              <w:ind w:firstLine="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38</w:t>
            </w:r>
          </w:p>
        </w:tc>
        <w:tc>
          <w:tcPr>
            <w:tcW w:w="2564" w:type="dxa"/>
            <w:shd w:val="clear" w:color="auto" w:fill="auto"/>
            <w:noWrap/>
            <w:vAlign w:val="center"/>
            <w:hideMark/>
          </w:tcPr>
          <w:p w14:paraId="7D288833" w14:textId="77777777" w:rsidR="00B6148C" w:rsidRPr="003E4FC3" w:rsidRDefault="00B6148C" w:rsidP="00B6148C">
            <w:pPr>
              <w:ind w:right="-352" w:firstLine="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17,19</w:t>
            </w:r>
          </w:p>
        </w:tc>
      </w:tr>
      <w:tr w:rsidR="00B6148C" w:rsidRPr="003E4FC3" w14:paraId="36CBF4BB" w14:textId="77777777" w:rsidTr="00B6148C">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522" w:type="dxa"/>
            <w:vMerge/>
            <w:tcBorders>
              <w:left w:val="none" w:sz="0" w:space="0" w:color="auto"/>
              <w:right w:val="none" w:sz="0" w:space="0" w:color="auto"/>
            </w:tcBorders>
            <w:shd w:val="clear" w:color="auto" w:fill="auto"/>
            <w:noWrap/>
            <w:vAlign w:val="center"/>
            <w:hideMark/>
          </w:tcPr>
          <w:p w14:paraId="2CCAC1C8" w14:textId="77777777" w:rsidR="00B6148C" w:rsidRPr="003E4FC3" w:rsidRDefault="00B6148C" w:rsidP="00B6148C">
            <w:pPr>
              <w:ind w:firstLine="0"/>
              <w:contextualSpacing/>
              <w:jc w:val="center"/>
              <w:rPr>
                <w:rFonts w:ascii="Times New Roman" w:eastAsia="Times New Roman" w:hAnsi="Times New Roman" w:cs="Times New Roman"/>
                <w:color w:val="000000"/>
                <w:sz w:val="20"/>
                <w:szCs w:val="20"/>
                <w:lang w:eastAsia="pt-BR"/>
              </w:rPr>
            </w:pPr>
          </w:p>
        </w:tc>
        <w:tc>
          <w:tcPr>
            <w:tcW w:w="3346" w:type="dxa"/>
            <w:tcBorders>
              <w:left w:val="none" w:sz="0" w:space="0" w:color="auto"/>
              <w:right w:val="none" w:sz="0" w:space="0" w:color="auto"/>
            </w:tcBorders>
            <w:shd w:val="clear" w:color="auto" w:fill="auto"/>
            <w:noWrap/>
            <w:vAlign w:val="center"/>
            <w:hideMark/>
          </w:tcPr>
          <w:p w14:paraId="7978D93D" w14:textId="77777777" w:rsidR="00B6148C" w:rsidRPr="003E4FC3" w:rsidRDefault="00B6148C" w:rsidP="00B6148C">
            <w:pPr>
              <w:ind w:firstLine="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Com familiares com auxílio nas despesas</w:t>
            </w:r>
          </w:p>
        </w:tc>
        <w:tc>
          <w:tcPr>
            <w:tcW w:w="1559" w:type="dxa"/>
            <w:tcBorders>
              <w:left w:val="none" w:sz="0" w:space="0" w:color="auto"/>
              <w:right w:val="none" w:sz="0" w:space="0" w:color="auto"/>
            </w:tcBorders>
            <w:shd w:val="clear" w:color="auto" w:fill="auto"/>
            <w:noWrap/>
            <w:vAlign w:val="center"/>
            <w:hideMark/>
          </w:tcPr>
          <w:p w14:paraId="2C32F338" w14:textId="77777777" w:rsidR="00B6148C" w:rsidRPr="003E4FC3" w:rsidRDefault="00B6148C" w:rsidP="00B6148C">
            <w:pPr>
              <w:ind w:firstLine="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34</w:t>
            </w:r>
          </w:p>
        </w:tc>
        <w:tc>
          <w:tcPr>
            <w:tcW w:w="2564" w:type="dxa"/>
            <w:tcBorders>
              <w:left w:val="none" w:sz="0" w:space="0" w:color="auto"/>
              <w:right w:val="none" w:sz="0" w:space="0" w:color="auto"/>
            </w:tcBorders>
            <w:shd w:val="clear" w:color="auto" w:fill="auto"/>
            <w:noWrap/>
            <w:vAlign w:val="center"/>
            <w:hideMark/>
          </w:tcPr>
          <w:p w14:paraId="39A98123" w14:textId="77777777" w:rsidR="00B6148C" w:rsidRPr="003E4FC3" w:rsidRDefault="00B6148C" w:rsidP="00B6148C">
            <w:pPr>
              <w:ind w:right="-352" w:firstLine="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15,38</w:t>
            </w:r>
          </w:p>
        </w:tc>
      </w:tr>
      <w:tr w:rsidR="00B6148C" w:rsidRPr="003E4FC3" w14:paraId="38A1B17F" w14:textId="77777777" w:rsidTr="00B6148C">
        <w:trPr>
          <w:trHeight w:val="270"/>
          <w:jc w:val="center"/>
        </w:trPr>
        <w:tc>
          <w:tcPr>
            <w:cnfStyle w:val="001000000000" w:firstRow="0" w:lastRow="0" w:firstColumn="1" w:lastColumn="0" w:oddVBand="0" w:evenVBand="0" w:oddHBand="0" w:evenHBand="0" w:firstRowFirstColumn="0" w:firstRowLastColumn="0" w:lastRowFirstColumn="0" w:lastRowLastColumn="0"/>
            <w:tcW w:w="1522" w:type="dxa"/>
            <w:vMerge/>
            <w:shd w:val="clear" w:color="auto" w:fill="auto"/>
            <w:noWrap/>
            <w:vAlign w:val="center"/>
            <w:hideMark/>
          </w:tcPr>
          <w:p w14:paraId="49787BAE" w14:textId="77777777" w:rsidR="00B6148C" w:rsidRPr="003E4FC3" w:rsidRDefault="00B6148C" w:rsidP="00B6148C">
            <w:pPr>
              <w:ind w:firstLine="0"/>
              <w:contextualSpacing/>
              <w:jc w:val="center"/>
              <w:rPr>
                <w:rFonts w:ascii="Times New Roman" w:eastAsia="Times New Roman" w:hAnsi="Times New Roman" w:cs="Times New Roman"/>
                <w:color w:val="000000"/>
                <w:sz w:val="20"/>
                <w:szCs w:val="20"/>
                <w:lang w:eastAsia="pt-BR"/>
              </w:rPr>
            </w:pPr>
          </w:p>
        </w:tc>
        <w:tc>
          <w:tcPr>
            <w:tcW w:w="3346" w:type="dxa"/>
            <w:shd w:val="clear" w:color="auto" w:fill="auto"/>
            <w:noWrap/>
            <w:vAlign w:val="center"/>
            <w:hideMark/>
          </w:tcPr>
          <w:p w14:paraId="2E2DA292" w14:textId="77777777" w:rsidR="00B6148C" w:rsidRPr="003E4FC3" w:rsidRDefault="00B6148C" w:rsidP="00B6148C">
            <w:pPr>
              <w:ind w:firstLine="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Com fam. sem desp. com moradia</w:t>
            </w:r>
          </w:p>
        </w:tc>
        <w:tc>
          <w:tcPr>
            <w:tcW w:w="1559" w:type="dxa"/>
            <w:shd w:val="clear" w:color="auto" w:fill="auto"/>
            <w:noWrap/>
            <w:vAlign w:val="center"/>
            <w:hideMark/>
          </w:tcPr>
          <w:p w14:paraId="27C28525" w14:textId="77777777" w:rsidR="00B6148C" w:rsidRPr="003E4FC3" w:rsidRDefault="00B6148C" w:rsidP="00B6148C">
            <w:pPr>
              <w:ind w:firstLine="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78</w:t>
            </w:r>
          </w:p>
        </w:tc>
        <w:tc>
          <w:tcPr>
            <w:tcW w:w="2564" w:type="dxa"/>
            <w:shd w:val="clear" w:color="auto" w:fill="auto"/>
            <w:noWrap/>
            <w:vAlign w:val="center"/>
            <w:hideMark/>
          </w:tcPr>
          <w:p w14:paraId="6C7AA891" w14:textId="77777777" w:rsidR="00B6148C" w:rsidRPr="003E4FC3" w:rsidRDefault="00B6148C" w:rsidP="00B6148C">
            <w:pPr>
              <w:ind w:right="-352" w:firstLine="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35,29</w:t>
            </w:r>
          </w:p>
        </w:tc>
      </w:tr>
      <w:tr w:rsidR="00B6148C" w:rsidRPr="003E4FC3" w14:paraId="161CD062" w14:textId="77777777" w:rsidTr="00B6148C">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522" w:type="dxa"/>
            <w:vMerge w:val="restart"/>
            <w:tcBorders>
              <w:left w:val="none" w:sz="0" w:space="0" w:color="auto"/>
              <w:right w:val="none" w:sz="0" w:space="0" w:color="auto"/>
            </w:tcBorders>
            <w:shd w:val="clear" w:color="auto" w:fill="auto"/>
            <w:noWrap/>
            <w:vAlign w:val="center"/>
            <w:hideMark/>
          </w:tcPr>
          <w:p w14:paraId="2E23217D" w14:textId="77777777" w:rsidR="00B6148C" w:rsidRPr="003E4FC3" w:rsidRDefault="00B6148C" w:rsidP="00B6148C">
            <w:pPr>
              <w:ind w:firstLine="0"/>
              <w:contextualSpacing/>
              <w:jc w:val="center"/>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Trabalha</w:t>
            </w:r>
          </w:p>
        </w:tc>
        <w:tc>
          <w:tcPr>
            <w:tcW w:w="3346" w:type="dxa"/>
            <w:tcBorders>
              <w:left w:val="none" w:sz="0" w:space="0" w:color="auto"/>
              <w:right w:val="none" w:sz="0" w:space="0" w:color="auto"/>
            </w:tcBorders>
            <w:shd w:val="clear" w:color="auto" w:fill="auto"/>
            <w:noWrap/>
            <w:vAlign w:val="center"/>
            <w:hideMark/>
          </w:tcPr>
          <w:p w14:paraId="14C895C6" w14:textId="77777777" w:rsidR="00B6148C" w:rsidRPr="003E4FC3" w:rsidRDefault="00B6148C" w:rsidP="00B6148C">
            <w:pPr>
              <w:ind w:firstLine="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Sim</w:t>
            </w:r>
          </w:p>
        </w:tc>
        <w:tc>
          <w:tcPr>
            <w:tcW w:w="1559" w:type="dxa"/>
            <w:tcBorders>
              <w:left w:val="none" w:sz="0" w:space="0" w:color="auto"/>
              <w:right w:val="none" w:sz="0" w:space="0" w:color="auto"/>
            </w:tcBorders>
            <w:shd w:val="clear" w:color="auto" w:fill="auto"/>
            <w:noWrap/>
            <w:vAlign w:val="center"/>
            <w:hideMark/>
          </w:tcPr>
          <w:p w14:paraId="6E268CD7" w14:textId="77777777" w:rsidR="00B6148C" w:rsidRPr="003E4FC3" w:rsidRDefault="00B6148C" w:rsidP="00B6148C">
            <w:pPr>
              <w:ind w:firstLine="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191</w:t>
            </w:r>
          </w:p>
        </w:tc>
        <w:tc>
          <w:tcPr>
            <w:tcW w:w="2564" w:type="dxa"/>
            <w:tcBorders>
              <w:left w:val="none" w:sz="0" w:space="0" w:color="auto"/>
              <w:right w:val="none" w:sz="0" w:space="0" w:color="auto"/>
            </w:tcBorders>
            <w:shd w:val="clear" w:color="auto" w:fill="auto"/>
            <w:noWrap/>
            <w:vAlign w:val="center"/>
            <w:hideMark/>
          </w:tcPr>
          <w:p w14:paraId="57F611FC" w14:textId="77777777" w:rsidR="00B6148C" w:rsidRPr="003E4FC3" w:rsidRDefault="00B6148C" w:rsidP="00B6148C">
            <w:pPr>
              <w:ind w:right="-352" w:firstLine="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86,43</w:t>
            </w:r>
          </w:p>
        </w:tc>
      </w:tr>
      <w:tr w:rsidR="00B6148C" w:rsidRPr="003E4FC3" w14:paraId="4CE2EF2C" w14:textId="77777777" w:rsidTr="00B6148C">
        <w:trPr>
          <w:trHeight w:val="270"/>
          <w:jc w:val="center"/>
        </w:trPr>
        <w:tc>
          <w:tcPr>
            <w:cnfStyle w:val="001000000000" w:firstRow="0" w:lastRow="0" w:firstColumn="1" w:lastColumn="0" w:oddVBand="0" w:evenVBand="0" w:oddHBand="0" w:evenHBand="0" w:firstRowFirstColumn="0" w:firstRowLastColumn="0" w:lastRowFirstColumn="0" w:lastRowLastColumn="0"/>
            <w:tcW w:w="1522" w:type="dxa"/>
            <w:vMerge/>
            <w:shd w:val="clear" w:color="auto" w:fill="auto"/>
            <w:noWrap/>
            <w:vAlign w:val="center"/>
            <w:hideMark/>
          </w:tcPr>
          <w:p w14:paraId="6A72FF4A" w14:textId="77777777" w:rsidR="00B6148C" w:rsidRPr="003E4FC3" w:rsidRDefault="00B6148C" w:rsidP="00B6148C">
            <w:pPr>
              <w:ind w:firstLine="0"/>
              <w:contextualSpacing/>
              <w:jc w:val="center"/>
              <w:rPr>
                <w:rFonts w:ascii="Times New Roman" w:eastAsia="Times New Roman" w:hAnsi="Times New Roman" w:cs="Times New Roman"/>
                <w:color w:val="000000"/>
                <w:sz w:val="20"/>
                <w:szCs w:val="20"/>
                <w:lang w:eastAsia="pt-BR"/>
              </w:rPr>
            </w:pPr>
          </w:p>
        </w:tc>
        <w:tc>
          <w:tcPr>
            <w:tcW w:w="3346" w:type="dxa"/>
            <w:shd w:val="clear" w:color="auto" w:fill="auto"/>
            <w:noWrap/>
            <w:vAlign w:val="center"/>
            <w:hideMark/>
          </w:tcPr>
          <w:p w14:paraId="58B8A2DB" w14:textId="77777777" w:rsidR="00B6148C" w:rsidRPr="003E4FC3" w:rsidRDefault="00B6148C" w:rsidP="00B6148C">
            <w:pPr>
              <w:ind w:firstLine="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Não</w:t>
            </w:r>
          </w:p>
        </w:tc>
        <w:tc>
          <w:tcPr>
            <w:tcW w:w="1559" w:type="dxa"/>
            <w:shd w:val="clear" w:color="auto" w:fill="auto"/>
            <w:noWrap/>
            <w:vAlign w:val="center"/>
            <w:hideMark/>
          </w:tcPr>
          <w:p w14:paraId="3E4C97C1" w14:textId="77777777" w:rsidR="00B6148C" w:rsidRPr="003E4FC3" w:rsidRDefault="00B6148C" w:rsidP="00B6148C">
            <w:pPr>
              <w:ind w:firstLine="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30</w:t>
            </w:r>
          </w:p>
        </w:tc>
        <w:tc>
          <w:tcPr>
            <w:tcW w:w="2564" w:type="dxa"/>
            <w:shd w:val="clear" w:color="auto" w:fill="auto"/>
            <w:noWrap/>
            <w:vAlign w:val="center"/>
            <w:hideMark/>
          </w:tcPr>
          <w:p w14:paraId="1B66AC0B" w14:textId="77777777" w:rsidR="00B6148C" w:rsidRPr="003E4FC3" w:rsidRDefault="00B6148C" w:rsidP="00B6148C">
            <w:pPr>
              <w:ind w:right="-352" w:firstLine="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13,57</w:t>
            </w:r>
          </w:p>
        </w:tc>
      </w:tr>
      <w:tr w:rsidR="00B6148C" w:rsidRPr="003E4FC3" w14:paraId="726216EE" w14:textId="77777777" w:rsidTr="00B6148C">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522" w:type="dxa"/>
            <w:vMerge w:val="restart"/>
            <w:tcBorders>
              <w:left w:val="none" w:sz="0" w:space="0" w:color="auto"/>
              <w:right w:val="none" w:sz="0" w:space="0" w:color="auto"/>
            </w:tcBorders>
            <w:shd w:val="clear" w:color="auto" w:fill="auto"/>
            <w:noWrap/>
            <w:vAlign w:val="center"/>
            <w:hideMark/>
          </w:tcPr>
          <w:p w14:paraId="38FE4845" w14:textId="77777777" w:rsidR="00B6148C" w:rsidRPr="003E4FC3" w:rsidRDefault="00B6148C" w:rsidP="00B6148C">
            <w:pPr>
              <w:ind w:firstLine="0"/>
              <w:contextualSpacing/>
              <w:jc w:val="center"/>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Renda Mensal</w:t>
            </w:r>
          </w:p>
        </w:tc>
        <w:tc>
          <w:tcPr>
            <w:tcW w:w="3346" w:type="dxa"/>
            <w:tcBorders>
              <w:left w:val="none" w:sz="0" w:space="0" w:color="auto"/>
              <w:right w:val="none" w:sz="0" w:space="0" w:color="auto"/>
            </w:tcBorders>
            <w:shd w:val="clear" w:color="auto" w:fill="auto"/>
            <w:noWrap/>
            <w:vAlign w:val="center"/>
            <w:hideMark/>
          </w:tcPr>
          <w:p w14:paraId="0E275E61" w14:textId="77777777" w:rsidR="00B6148C" w:rsidRPr="003E4FC3" w:rsidRDefault="00B6148C" w:rsidP="00B6148C">
            <w:pPr>
              <w:ind w:firstLine="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Até um salário mínimo</w:t>
            </w:r>
          </w:p>
        </w:tc>
        <w:tc>
          <w:tcPr>
            <w:tcW w:w="1559" w:type="dxa"/>
            <w:tcBorders>
              <w:left w:val="none" w:sz="0" w:space="0" w:color="auto"/>
              <w:right w:val="none" w:sz="0" w:space="0" w:color="auto"/>
            </w:tcBorders>
            <w:shd w:val="clear" w:color="auto" w:fill="auto"/>
            <w:noWrap/>
            <w:vAlign w:val="center"/>
            <w:hideMark/>
          </w:tcPr>
          <w:p w14:paraId="175C6484" w14:textId="77777777" w:rsidR="00B6148C" w:rsidRPr="003E4FC3" w:rsidRDefault="00B6148C" w:rsidP="00B6148C">
            <w:pPr>
              <w:ind w:firstLine="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30</w:t>
            </w:r>
          </w:p>
        </w:tc>
        <w:tc>
          <w:tcPr>
            <w:tcW w:w="2564" w:type="dxa"/>
            <w:tcBorders>
              <w:left w:val="none" w:sz="0" w:space="0" w:color="auto"/>
              <w:right w:val="none" w:sz="0" w:space="0" w:color="auto"/>
            </w:tcBorders>
            <w:shd w:val="clear" w:color="auto" w:fill="auto"/>
            <w:noWrap/>
            <w:vAlign w:val="center"/>
            <w:hideMark/>
          </w:tcPr>
          <w:p w14:paraId="4E88D50C" w14:textId="77777777" w:rsidR="00B6148C" w:rsidRPr="003E4FC3" w:rsidRDefault="00B6148C" w:rsidP="00B6148C">
            <w:pPr>
              <w:ind w:right="-352" w:firstLine="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13,57</w:t>
            </w:r>
          </w:p>
        </w:tc>
      </w:tr>
      <w:tr w:rsidR="00B6148C" w:rsidRPr="003E4FC3" w14:paraId="7AF2F592" w14:textId="77777777" w:rsidTr="00B6148C">
        <w:trPr>
          <w:trHeight w:val="270"/>
          <w:jc w:val="center"/>
        </w:trPr>
        <w:tc>
          <w:tcPr>
            <w:cnfStyle w:val="001000000000" w:firstRow="0" w:lastRow="0" w:firstColumn="1" w:lastColumn="0" w:oddVBand="0" w:evenVBand="0" w:oddHBand="0" w:evenHBand="0" w:firstRowFirstColumn="0" w:firstRowLastColumn="0" w:lastRowFirstColumn="0" w:lastRowLastColumn="0"/>
            <w:tcW w:w="1522" w:type="dxa"/>
            <w:vMerge/>
            <w:shd w:val="clear" w:color="auto" w:fill="auto"/>
            <w:noWrap/>
            <w:vAlign w:val="center"/>
            <w:hideMark/>
          </w:tcPr>
          <w:p w14:paraId="3816A60B" w14:textId="77777777" w:rsidR="00B6148C" w:rsidRPr="003E4FC3" w:rsidRDefault="00B6148C" w:rsidP="00B6148C">
            <w:pPr>
              <w:ind w:firstLine="0"/>
              <w:contextualSpacing/>
              <w:jc w:val="center"/>
              <w:rPr>
                <w:rFonts w:ascii="Times New Roman" w:eastAsia="Times New Roman" w:hAnsi="Times New Roman" w:cs="Times New Roman"/>
                <w:color w:val="000000"/>
                <w:sz w:val="20"/>
                <w:szCs w:val="20"/>
                <w:lang w:eastAsia="pt-BR"/>
              </w:rPr>
            </w:pPr>
          </w:p>
        </w:tc>
        <w:tc>
          <w:tcPr>
            <w:tcW w:w="3346" w:type="dxa"/>
            <w:shd w:val="clear" w:color="auto" w:fill="auto"/>
            <w:noWrap/>
            <w:vAlign w:val="center"/>
            <w:hideMark/>
          </w:tcPr>
          <w:p w14:paraId="57ECB7F4" w14:textId="77777777" w:rsidR="00B6148C" w:rsidRPr="003E4FC3" w:rsidRDefault="00B6148C" w:rsidP="00B6148C">
            <w:pPr>
              <w:ind w:firstLine="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De um a dois salários mínimos</w:t>
            </w:r>
          </w:p>
        </w:tc>
        <w:tc>
          <w:tcPr>
            <w:tcW w:w="1559" w:type="dxa"/>
            <w:shd w:val="clear" w:color="auto" w:fill="auto"/>
            <w:noWrap/>
            <w:vAlign w:val="center"/>
            <w:hideMark/>
          </w:tcPr>
          <w:p w14:paraId="2F5A022E" w14:textId="77777777" w:rsidR="00B6148C" w:rsidRPr="003E4FC3" w:rsidRDefault="00B6148C" w:rsidP="00B6148C">
            <w:pPr>
              <w:ind w:firstLine="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95</w:t>
            </w:r>
          </w:p>
        </w:tc>
        <w:tc>
          <w:tcPr>
            <w:tcW w:w="2564" w:type="dxa"/>
            <w:shd w:val="clear" w:color="auto" w:fill="auto"/>
            <w:noWrap/>
            <w:vAlign w:val="center"/>
            <w:hideMark/>
          </w:tcPr>
          <w:p w14:paraId="2B125FD3" w14:textId="77777777" w:rsidR="00B6148C" w:rsidRPr="003E4FC3" w:rsidRDefault="00B6148C" w:rsidP="00B6148C">
            <w:pPr>
              <w:ind w:right="-352" w:firstLine="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42,99</w:t>
            </w:r>
          </w:p>
        </w:tc>
      </w:tr>
      <w:tr w:rsidR="00B6148C" w:rsidRPr="003E4FC3" w14:paraId="3A60FB3F" w14:textId="77777777" w:rsidTr="00B6148C">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522" w:type="dxa"/>
            <w:vMerge/>
            <w:tcBorders>
              <w:left w:val="none" w:sz="0" w:space="0" w:color="auto"/>
              <w:right w:val="none" w:sz="0" w:space="0" w:color="auto"/>
            </w:tcBorders>
            <w:shd w:val="clear" w:color="auto" w:fill="auto"/>
            <w:noWrap/>
            <w:vAlign w:val="center"/>
            <w:hideMark/>
          </w:tcPr>
          <w:p w14:paraId="55C3CCA9" w14:textId="77777777" w:rsidR="00B6148C" w:rsidRPr="003E4FC3" w:rsidRDefault="00B6148C" w:rsidP="00B6148C">
            <w:pPr>
              <w:ind w:firstLine="0"/>
              <w:contextualSpacing/>
              <w:jc w:val="center"/>
              <w:rPr>
                <w:rFonts w:ascii="Times New Roman" w:eastAsia="Times New Roman" w:hAnsi="Times New Roman" w:cs="Times New Roman"/>
                <w:color w:val="000000"/>
                <w:sz w:val="20"/>
                <w:szCs w:val="20"/>
                <w:lang w:eastAsia="pt-BR"/>
              </w:rPr>
            </w:pPr>
          </w:p>
        </w:tc>
        <w:tc>
          <w:tcPr>
            <w:tcW w:w="3346" w:type="dxa"/>
            <w:tcBorders>
              <w:left w:val="none" w:sz="0" w:space="0" w:color="auto"/>
              <w:right w:val="none" w:sz="0" w:space="0" w:color="auto"/>
            </w:tcBorders>
            <w:shd w:val="clear" w:color="auto" w:fill="auto"/>
            <w:noWrap/>
            <w:vAlign w:val="center"/>
            <w:hideMark/>
          </w:tcPr>
          <w:p w14:paraId="538F5B84" w14:textId="77777777" w:rsidR="00B6148C" w:rsidRPr="003E4FC3" w:rsidRDefault="00B6148C" w:rsidP="00B6148C">
            <w:pPr>
              <w:ind w:firstLine="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De dois a três salários mínimos</w:t>
            </w:r>
          </w:p>
        </w:tc>
        <w:tc>
          <w:tcPr>
            <w:tcW w:w="1559" w:type="dxa"/>
            <w:tcBorders>
              <w:left w:val="none" w:sz="0" w:space="0" w:color="auto"/>
              <w:right w:val="none" w:sz="0" w:space="0" w:color="auto"/>
            </w:tcBorders>
            <w:shd w:val="clear" w:color="auto" w:fill="auto"/>
            <w:noWrap/>
            <w:vAlign w:val="center"/>
            <w:hideMark/>
          </w:tcPr>
          <w:p w14:paraId="3DB6B4EA" w14:textId="77777777" w:rsidR="00B6148C" w:rsidRPr="003E4FC3" w:rsidRDefault="00B6148C" w:rsidP="00B6148C">
            <w:pPr>
              <w:ind w:firstLine="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46</w:t>
            </w:r>
          </w:p>
        </w:tc>
        <w:tc>
          <w:tcPr>
            <w:tcW w:w="2564" w:type="dxa"/>
            <w:tcBorders>
              <w:left w:val="none" w:sz="0" w:space="0" w:color="auto"/>
              <w:right w:val="none" w:sz="0" w:space="0" w:color="auto"/>
            </w:tcBorders>
            <w:shd w:val="clear" w:color="auto" w:fill="auto"/>
            <w:noWrap/>
            <w:vAlign w:val="center"/>
            <w:hideMark/>
          </w:tcPr>
          <w:p w14:paraId="2547464F" w14:textId="77777777" w:rsidR="00B6148C" w:rsidRPr="003E4FC3" w:rsidRDefault="00B6148C" w:rsidP="00B6148C">
            <w:pPr>
              <w:ind w:right="-352" w:firstLine="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20,81</w:t>
            </w:r>
          </w:p>
        </w:tc>
      </w:tr>
      <w:tr w:rsidR="00B6148C" w:rsidRPr="003E4FC3" w14:paraId="535C59C6" w14:textId="77777777" w:rsidTr="00B6148C">
        <w:trPr>
          <w:trHeight w:val="270"/>
          <w:jc w:val="center"/>
        </w:trPr>
        <w:tc>
          <w:tcPr>
            <w:cnfStyle w:val="001000000000" w:firstRow="0" w:lastRow="0" w:firstColumn="1" w:lastColumn="0" w:oddVBand="0" w:evenVBand="0" w:oddHBand="0" w:evenHBand="0" w:firstRowFirstColumn="0" w:firstRowLastColumn="0" w:lastRowFirstColumn="0" w:lastRowLastColumn="0"/>
            <w:tcW w:w="1522" w:type="dxa"/>
            <w:vMerge/>
            <w:shd w:val="clear" w:color="auto" w:fill="auto"/>
            <w:noWrap/>
            <w:vAlign w:val="center"/>
            <w:hideMark/>
          </w:tcPr>
          <w:p w14:paraId="359382B8" w14:textId="77777777" w:rsidR="00B6148C" w:rsidRPr="003E4FC3" w:rsidRDefault="00B6148C" w:rsidP="00B6148C">
            <w:pPr>
              <w:ind w:firstLine="0"/>
              <w:contextualSpacing/>
              <w:jc w:val="center"/>
              <w:rPr>
                <w:rFonts w:ascii="Times New Roman" w:eastAsia="Times New Roman" w:hAnsi="Times New Roman" w:cs="Times New Roman"/>
                <w:color w:val="000000"/>
                <w:sz w:val="20"/>
                <w:szCs w:val="20"/>
                <w:lang w:eastAsia="pt-BR"/>
              </w:rPr>
            </w:pPr>
          </w:p>
        </w:tc>
        <w:tc>
          <w:tcPr>
            <w:tcW w:w="3346" w:type="dxa"/>
            <w:shd w:val="clear" w:color="auto" w:fill="auto"/>
            <w:noWrap/>
            <w:vAlign w:val="center"/>
            <w:hideMark/>
          </w:tcPr>
          <w:p w14:paraId="770A96B8" w14:textId="77777777" w:rsidR="00B6148C" w:rsidRPr="003E4FC3" w:rsidRDefault="00B6148C" w:rsidP="00B6148C">
            <w:pPr>
              <w:ind w:firstLine="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De três a cinco salários mínimos</w:t>
            </w:r>
          </w:p>
        </w:tc>
        <w:tc>
          <w:tcPr>
            <w:tcW w:w="1559" w:type="dxa"/>
            <w:shd w:val="clear" w:color="auto" w:fill="auto"/>
            <w:noWrap/>
            <w:vAlign w:val="center"/>
            <w:hideMark/>
          </w:tcPr>
          <w:p w14:paraId="6C4514CA" w14:textId="77777777" w:rsidR="00B6148C" w:rsidRPr="003E4FC3" w:rsidRDefault="00B6148C" w:rsidP="00B6148C">
            <w:pPr>
              <w:ind w:firstLine="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16</w:t>
            </w:r>
          </w:p>
        </w:tc>
        <w:tc>
          <w:tcPr>
            <w:tcW w:w="2564" w:type="dxa"/>
            <w:shd w:val="clear" w:color="auto" w:fill="auto"/>
            <w:noWrap/>
            <w:vAlign w:val="center"/>
            <w:hideMark/>
          </w:tcPr>
          <w:p w14:paraId="313B84A4" w14:textId="77777777" w:rsidR="00B6148C" w:rsidRPr="003E4FC3" w:rsidRDefault="00B6148C" w:rsidP="00B6148C">
            <w:pPr>
              <w:ind w:right="-352" w:firstLine="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7,24</w:t>
            </w:r>
          </w:p>
        </w:tc>
      </w:tr>
      <w:tr w:rsidR="00B6148C" w:rsidRPr="003E4FC3" w14:paraId="6A68109B" w14:textId="77777777" w:rsidTr="00B6148C">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1522" w:type="dxa"/>
            <w:vMerge/>
            <w:tcBorders>
              <w:left w:val="none" w:sz="0" w:space="0" w:color="auto"/>
              <w:right w:val="none" w:sz="0" w:space="0" w:color="auto"/>
            </w:tcBorders>
            <w:shd w:val="clear" w:color="auto" w:fill="auto"/>
            <w:noWrap/>
            <w:vAlign w:val="center"/>
            <w:hideMark/>
          </w:tcPr>
          <w:p w14:paraId="18ECE4BD" w14:textId="77777777" w:rsidR="00B6148C" w:rsidRPr="003E4FC3" w:rsidRDefault="00B6148C" w:rsidP="00B6148C">
            <w:pPr>
              <w:ind w:firstLine="0"/>
              <w:contextualSpacing/>
              <w:jc w:val="center"/>
              <w:rPr>
                <w:rFonts w:ascii="Times New Roman" w:eastAsia="Times New Roman" w:hAnsi="Times New Roman" w:cs="Times New Roman"/>
                <w:color w:val="000000"/>
                <w:sz w:val="20"/>
                <w:szCs w:val="20"/>
                <w:lang w:eastAsia="pt-BR"/>
              </w:rPr>
            </w:pPr>
          </w:p>
        </w:tc>
        <w:tc>
          <w:tcPr>
            <w:tcW w:w="3346" w:type="dxa"/>
            <w:tcBorders>
              <w:left w:val="none" w:sz="0" w:space="0" w:color="auto"/>
              <w:right w:val="none" w:sz="0" w:space="0" w:color="auto"/>
            </w:tcBorders>
            <w:shd w:val="clear" w:color="auto" w:fill="auto"/>
            <w:noWrap/>
            <w:vAlign w:val="center"/>
            <w:hideMark/>
          </w:tcPr>
          <w:p w14:paraId="530FD809" w14:textId="77777777" w:rsidR="00B6148C" w:rsidRPr="003E4FC3" w:rsidRDefault="00B6148C" w:rsidP="00B6148C">
            <w:pPr>
              <w:ind w:firstLine="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Mais de cinco salários mínimos</w:t>
            </w:r>
          </w:p>
        </w:tc>
        <w:tc>
          <w:tcPr>
            <w:tcW w:w="1559" w:type="dxa"/>
            <w:tcBorders>
              <w:left w:val="none" w:sz="0" w:space="0" w:color="auto"/>
              <w:right w:val="none" w:sz="0" w:space="0" w:color="auto"/>
            </w:tcBorders>
            <w:shd w:val="clear" w:color="auto" w:fill="auto"/>
            <w:noWrap/>
            <w:vAlign w:val="center"/>
            <w:hideMark/>
          </w:tcPr>
          <w:p w14:paraId="21DFC603" w14:textId="77777777" w:rsidR="00B6148C" w:rsidRPr="003E4FC3" w:rsidRDefault="00B6148C" w:rsidP="00B6148C">
            <w:pPr>
              <w:ind w:firstLine="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13</w:t>
            </w:r>
          </w:p>
        </w:tc>
        <w:tc>
          <w:tcPr>
            <w:tcW w:w="2564" w:type="dxa"/>
            <w:tcBorders>
              <w:left w:val="none" w:sz="0" w:space="0" w:color="auto"/>
              <w:right w:val="none" w:sz="0" w:space="0" w:color="auto"/>
            </w:tcBorders>
            <w:shd w:val="clear" w:color="auto" w:fill="auto"/>
            <w:noWrap/>
            <w:vAlign w:val="center"/>
            <w:hideMark/>
          </w:tcPr>
          <w:p w14:paraId="20BC146B" w14:textId="77777777" w:rsidR="00B6148C" w:rsidRPr="003E4FC3" w:rsidRDefault="00B6148C" w:rsidP="00B6148C">
            <w:pPr>
              <w:ind w:right="-352" w:firstLine="0"/>
              <w:contextualSpacing/>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5,88</w:t>
            </w:r>
          </w:p>
        </w:tc>
      </w:tr>
      <w:tr w:rsidR="00B6148C" w:rsidRPr="003E4FC3" w14:paraId="74125A18" w14:textId="77777777" w:rsidTr="00B6148C">
        <w:trPr>
          <w:trHeight w:val="270"/>
          <w:jc w:val="center"/>
        </w:trPr>
        <w:tc>
          <w:tcPr>
            <w:cnfStyle w:val="001000000000" w:firstRow="0" w:lastRow="0" w:firstColumn="1" w:lastColumn="0" w:oddVBand="0" w:evenVBand="0" w:oddHBand="0" w:evenHBand="0" w:firstRowFirstColumn="0" w:firstRowLastColumn="0" w:lastRowFirstColumn="0" w:lastRowLastColumn="0"/>
            <w:tcW w:w="1522" w:type="dxa"/>
            <w:vMerge/>
            <w:shd w:val="clear" w:color="auto" w:fill="auto"/>
            <w:noWrap/>
            <w:vAlign w:val="center"/>
            <w:hideMark/>
          </w:tcPr>
          <w:p w14:paraId="3551EBF1" w14:textId="77777777" w:rsidR="00B6148C" w:rsidRPr="003E4FC3" w:rsidRDefault="00B6148C" w:rsidP="00B6148C">
            <w:pPr>
              <w:ind w:firstLine="0"/>
              <w:contextualSpacing/>
              <w:jc w:val="center"/>
              <w:rPr>
                <w:rFonts w:ascii="Times New Roman" w:eastAsia="Times New Roman" w:hAnsi="Times New Roman" w:cs="Times New Roman"/>
                <w:color w:val="000000"/>
                <w:sz w:val="20"/>
                <w:szCs w:val="20"/>
                <w:lang w:eastAsia="pt-BR"/>
              </w:rPr>
            </w:pPr>
          </w:p>
        </w:tc>
        <w:tc>
          <w:tcPr>
            <w:tcW w:w="3346" w:type="dxa"/>
            <w:shd w:val="clear" w:color="auto" w:fill="auto"/>
            <w:noWrap/>
            <w:vAlign w:val="center"/>
            <w:hideMark/>
          </w:tcPr>
          <w:p w14:paraId="22D54A07" w14:textId="77777777" w:rsidR="00B6148C" w:rsidRPr="003E4FC3" w:rsidRDefault="00B6148C" w:rsidP="00B6148C">
            <w:pPr>
              <w:ind w:firstLine="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Não possuo renda</w:t>
            </w:r>
          </w:p>
        </w:tc>
        <w:tc>
          <w:tcPr>
            <w:tcW w:w="1559" w:type="dxa"/>
            <w:shd w:val="clear" w:color="auto" w:fill="auto"/>
            <w:noWrap/>
            <w:vAlign w:val="center"/>
            <w:hideMark/>
          </w:tcPr>
          <w:p w14:paraId="6B85C156" w14:textId="77777777" w:rsidR="00B6148C" w:rsidRPr="003E4FC3" w:rsidRDefault="00B6148C" w:rsidP="00B6148C">
            <w:pPr>
              <w:ind w:firstLine="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21</w:t>
            </w:r>
          </w:p>
        </w:tc>
        <w:tc>
          <w:tcPr>
            <w:tcW w:w="2564" w:type="dxa"/>
            <w:shd w:val="clear" w:color="auto" w:fill="auto"/>
            <w:noWrap/>
            <w:vAlign w:val="center"/>
            <w:hideMark/>
          </w:tcPr>
          <w:p w14:paraId="0556F56F" w14:textId="77777777" w:rsidR="00B6148C" w:rsidRPr="003E4FC3" w:rsidRDefault="00B6148C" w:rsidP="00B6148C">
            <w:pPr>
              <w:ind w:right="-352" w:firstLine="0"/>
              <w:contextualSpacing/>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lang w:eastAsia="pt-BR"/>
              </w:rPr>
            </w:pPr>
            <w:r w:rsidRPr="003E4FC3">
              <w:rPr>
                <w:rFonts w:ascii="Times New Roman" w:eastAsia="Times New Roman" w:hAnsi="Times New Roman" w:cs="Times New Roman"/>
                <w:color w:val="000000"/>
                <w:sz w:val="20"/>
                <w:szCs w:val="20"/>
                <w:lang w:eastAsia="pt-BR"/>
              </w:rPr>
              <w:t>9,50</w:t>
            </w:r>
          </w:p>
        </w:tc>
      </w:tr>
    </w:tbl>
    <w:p w14:paraId="273BD622" w14:textId="77777777" w:rsidR="00B6148C" w:rsidRDefault="00B6148C" w:rsidP="00B6148C">
      <w:pPr>
        <w:pStyle w:val="PargrafodaLista"/>
        <w:spacing w:after="0" w:line="240" w:lineRule="auto"/>
        <w:ind w:left="0"/>
        <w:jc w:val="both"/>
        <w:rPr>
          <w:rFonts w:ascii="Times New Roman" w:hAnsi="Times New Roman" w:cs="Times New Roman"/>
          <w:sz w:val="24"/>
          <w:szCs w:val="24"/>
        </w:rPr>
      </w:pPr>
    </w:p>
    <w:p w14:paraId="3A5D402C" w14:textId="77777777" w:rsidR="00B6148C" w:rsidRDefault="00B6148C" w:rsidP="00B6148C">
      <w:pPr>
        <w:pStyle w:val="PargrafodaLista"/>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lastRenderedPageBreak/>
        <w:t>O mesmo questionário foi aplicado aos estudantes dos outros cursos, onde se pode verificar que 69,30% dos estudantes das demais áreas estão entre a primeira e segunda fase, 23,10% estão entre a terceira e quarta fase, 3,04% estão entre a quinta e sexta fase, 3,04% estão entre a sétima e oitava fase e apenas 1,52% estão entre a nona e décima fase. O gênero feminino é dominante no total de alunos, sendo 56,84% e o masculino é de 43,16%.</w:t>
      </w:r>
    </w:p>
    <w:p w14:paraId="3C8E5EF3" w14:textId="77777777" w:rsidR="00B6148C" w:rsidRDefault="00B6148C" w:rsidP="00B6148C">
      <w:pPr>
        <w:pStyle w:val="PargrafodaLista"/>
        <w:spacing w:after="0" w:line="240" w:lineRule="auto"/>
        <w:ind w:left="0"/>
        <w:jc w:val="both"/>
        <w:rPr>
          <w:rFonts w:ascii="Times New Roman" w:hAnsi="Times New Roman" w:cs="Times New Roman"/>
          <w:sz w:val="24"/>
          <w:szCs w:val="24"/>
        </w:rPr>
      </w:pPr>
    </w:p>
    <w:p w14:paraId="3CDD66F8" w14:textId="77777777" w:rsidR="00B6148C" w:rsidRPr="001F5A3C" w:rsidRDefault="00B6148C" w:rsidP="00B6148C">
      <w:pPr>
        <w:pStyle w:val="PargrafodaLista"/>
        <w:spacing w:after="0" w:line="240" w:lineRule="auto"/>
        <w:ind w:left="0"/>
        <w:rPr>
          <w:rFonts w:ascii="Times New Roman" w:hAnsi="Times New Roman" w:cs="Times New Roman"/>
          <w:sz w:val="20"/>
          <w:szCs w:val="20"/>
        </w:rPr>
      </w:pPr>
      <w:r w:rsidRPr="001F5A3C">
        <w:rPr>
          <w:rFonts w:ascii="Times New Roman" w:hAnsi="Times New Roman" w:cs="Times New Roman"/>
          <w:sz w:val="20"/>
          <w:szCs w:val="20"/>
        </w:rPr>
        <w:t>Tabela 4. Perfil dos estudantes de outras áreas</w:t>
      </w:r>
    </w:p>
    <w:tbl>
      <w:tblPr>
        <w:tblStyle w:val="SombreamentoClaro"/>
        <w:tblW w:w="5000" w:type="pct"/>
        <w:jc w:val="center"/>
        <w:tblBorders>
          <w:top w:val="single" w:sz="8" w:space="0" w:color="000000" w:themeColor="text1"/>
          <w:bottom w:val="single" w:sz="8" w:space="0" w:color="000000" w:themeColor="text1"/>
          <w:insideH w:val="single" w:sz="4" w:space="0" w:color="auto"/>
        </w:tblBorders>
        <w:tblLook w:val="04A0" w:firstRow="1" w:lastRow="0" w:firstColumn="1" w:lastColumn="0" w:noHBand="0" w:noVBand="1"/>
      </w:tblPr>
      <w:tblGrid>
        <w:gridCol w:w="1444"/>
        <w:gridCol w:w="3612"/>
        <w:gridCol w:w="2022"/>
        <w:gridCol w:w="2327"/>
      </w:tblGrid>
      <w:tr w:rsidR="00B6148C" w:rsidRPr="009702A1" w14:paraId="5BD93EB0" w14:textId="77777777" w:rsidTr="00B6148C">
        <w:trPr>
          <w:cnfStyle w:val="100000000000" w:firstRow="1" w:lastRow="0" w:firstColumn="0" w:lastColumn="0" w:oddVBand="0" w:evenVBand="0" w:oddHBand="0" w:evenHBand="0" w:firstRowFirstColumn="0" w:firstRowLastColumn="0" w:lastRowFirstColumn="0" w:lastRowLastColumn="0"/>
          <w:trHeight w:val="296"/>
          <w:jc w:val="center"/>
        </w:trPr>
        <w:tc>
          <w:tcPr>
            <w:cnfStyle w:val="001000000000" w:firstRow="0" w:lastRow="0" w:firstColumn="1" w:lastColumn="0" w:oddVBand="0" w:evenVBand="0" w:oddHBand="0" w:evenHBand="0" w:firstRowFirstColumn="0" w:firstRowLastColumn="0" w:lastRowFirstColumn="0" w:lastRowLastColumn="0"/>
            <w:tcW w:w="856" w:type="pct"/>
            <w:tcBorders>
              <w:top w:val="none" w:sz="0" w:space="0" w:color="auto"/>
              <w:left w:val="none" w:sz="0" w:space="0" w:color="auto"/>
              <w:bottom w:val="none" w:sz="0" w:space="0" w:color="auto"/>
              <w:right w:val="none" w:sz="0" w:space="0" w:color="auto"/>
            </w:tcBorders>
            <w:shd w:val="clear" w:color="auto" w:fill="auto"/>
            <w:noWrap/>
            <w:vAlign w:val="center"/>
            <w:hideMark/>
          </w:tcPr>
          <w:p w14:paraId="14C41801" w14:textId="77777777" w:rsidR="00B6148C" w:rsidRPr="009702A1" w:rsidRDefault="00B6148C" w:rsidP="00B6148C">
            <w:pPr>
              <w:ind w:firstLine="0"/>
              <w:jc w:val="center"/>
              <w:rPr>
                <w:rFonts w:ascii="Times New Roman" w:eastAsia="Times New Roman" w:hAnsi="Times New Roman"/>
                <w:sz w:val="20"/>
              </w:rPr>
            </w:pPr>
            <w:r w:rsidRPr="009702A1">
              <w:rPr>
                <w:rFonts w:ascii="Times New Roman" w:eastAsia="Times New Roman" w:hAnsi="Times New Roman"/>
                <w:sz w:val="20"/>
              </w:rPr>
              <w:t>Variáveis</w:t>
            </w:r>
          </w:p>
        </w:tc>
        <w:tc>
          <w:tcPr>
            <w:tcW w:w="2030" w:type="pct"/>
            <w:tcBorders>
              <w:top w:val="none" w:sz="0" w:space="0" w:color="auto"/>
              <w:left w:val="none" w:sz="0" w:space="0" w:color="auto"/>
              <w:bottom w:val="none" w:sz="0" w:space="0" w:color="auto"/>
              <w:right w:val="none" w:sz="0" w:space="0" w:color="auto"/>
            </w:tcBorders>
            <w:shd w:val="clear" w:color="auto" w:fill="auto"/>
            <w:noWrap/>
            <w:vAlign w:val="center"/>
            <w:hideMark/>
          </w:tcPr>
          <w:p w14:paraId="41D9A505" w14:textId="77777777" w:rsidR="00B6148C" w:rsidRPr="009702A1" w:rsidRDefault="00B6148C" w:rsidP="00B6148C">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0"/>
              </w:rPr>
            </w:pPr>
            <w:r>
              <w:rPr>
                <w:rFonts w:ascii="Times New Roman" w:eastAsia="Times New Roman" w:hAnsi="Times New Roman"/>
                <w:sz w:val="20"/>
              </w:rPr>
              <w:t>Catego</w:t>
            </w:r>
            <w:r w:rsidRPr="009702A1">
              <w:rPr>
                <w:rFonts w:ascii="Times New Roman" w:eastAsia="Times New Roman" w:hAnsi="Times New Roman"/>
                <w:sz w:val="20"/>
              </w:rPr>
              <w:t>ria</w:t>
            </w:r>
          </w:p>
        </w:tc>
        <w:tc>
          <w:tcPr>
            <w:tcW w:w="1174" w:type="pct"/>
            <w:tcBorders>
              <w:top w:val="none" w:sz="0" w:space="0" w:color="auto"/>
              <w:left w:val="none" w:sz="0" w:space="0" w:color="auto"/>
              <w:bottom w:val="none" w:sz="0" w:space="0" w:color="auto"/>
              <w:right w:val="none" w:sz="0" w:space="0" w:color="auto"/>
            </w:tcBorders>
            <w:shd w:val="clear" w:color="auto" w:fill="auto"/>
            <w:noWrap/>
            <w:vAlign w:val="center"/>
            <w:hideMark/>
          </w:tcPr>
          <w:p w14:paraId="559C95AB" w14:textId="77777777" w:rsidR="00B6148C" w:rsidRDefault="00B6148C" w:rsidP="00B6148C">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0"/>
              </w:rPr>
            </w:pPr>
            <w:r w:rsidRPr="00AA2632">
              <w:rPr>
                <w:rFonts w:ascii="Times New Roman" w:eastAsia="Times New Roman" w:hAnsi="Times New Roman"/>
                <w:sz w:val="20"/>
              </w:rPr>
              <w:t>Frequência</w:t>
            </w:r>
            <w:r>
              <w:rPr>
                <w:rFonts w:ascii="Times New Roman" w:eastAsia="Times New Roman" w:hAnsi="Times New Roman"/>
                <w:sz w:val="20"/>
              </w:rPr>
              <w:t xml:space="preserve"> </w:t>
            </w:r>
          </w:p>
          <w:p w14:paraId="7326ADB0" w14:textId="77777777" w:rsidR="00B6148C" w:rsidRPr="009702A1" w:rsidRDefault="00B6148C" w:rsidP="00B6148C">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sz w:val="20"/>
              </w:rPr>
            </w:pPr>
            <w:r>
              <w:rPr>
                <w:rFonts w:ascii="Times New Roman" w:eastAsia="Times New Roman" w:hAnsi="Times New Roman"/>
                <w:sz w:val="20"/>
              </w:rPr>
              <w:t>Absoluta</w:t>
            </w:r>
          </w:p>
        </w:tc>
        <w:tc>
          <w:tcPr>
            <w:tcW w:w="939" w:type="pct"/>
            <w:tcBorders>
              <w:top w:val="none" w:sz="0" w:space="0" w:color="auto"/>
              <w:left w:val="none" w:sz="0" w:space="0" w:color="auto"/>
              <w:bottom w:val="none" w:sz="0" w:space="0" w:color="auto"/>
              <w:right w:val="none" w:sz="0" w:space="0" w:color="auto"/>
            </w:tcBorders>
            <w:shd w:val="clear" w:color="auto" w:fill="auto"/>
            <w:noWrap/>
            <w:vAlign w:val="center"/>
            <w:hideMark/>
          </w:tcPr>
          <w:p w14:paraId="2DE240B6" w14:textId="77777777" w:rsidR="00B6148C" w:rsidRPr="000E1630" w:rsidRDefault="00B6148C" w:rsidP="00B6148C">
            <w:pPr>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b w:val="0"/>
                <w:bCs w:val="0"/>
                <w:sz w:val="20"/>
              </w:rPr>
            </w:pPr>
            <w:r w:rsidRPr="00AA2632">
              <w:rPr>
                <w:rFonts w:ascii="Times New Roman" w:eastAsia="Times New Roman" w:hAnsi="Times New Roman"/>
                <w:sz w:val="20"/>
              </w:rPr>
              <w:t>Frequência</w:t>
            </w:r>
            <w:r>
              <w:rPr>
                <w:rFonts w:ascii="Times New Roman" w:eastAsia="Times New Roman" w:hAnsi="Times New Roman"/>
                <w:sz w:val="20"/>
              </w:rPr>
              <w:t xml:space="preserve"> Relativa (%)</w:t>
            </w:r>
          </w:p>
        </w:tc>
      </w:tr>
      <w:tr w:rsidR="00B6148C" w:rsidRPr="009702A1" w14:paraId="643BAC5C" w14:textId="77777777" w:rsidTr="00B6148C">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856" w:type="pct"/>
            <w:vMerge w:val="restart"/>
            <w:tcBorders>
              <w:left w:val="none" w:sz="0" w:space="0" w:color="auto"/>
              <w:right w:val="none" w:sz="0" w:space="0" w:color="auto"/>
            </w:tcBorders>
            <w:shd w:val="clear" w:color="auto" w:fill="auto"/>
            <w:noWrap/>
            <w:vAlign w:val="center"/>
            <w:hideMark/>
          </w:tcPr>
          <w:p w14:paraId="3846C519" w14:textId="77777777" w:rsidR="00B6148C" w:rsidRPr="009702A1" w:rsidRDefault="00B6148C" w:rsidP="00B6148C">
            <w:pPr>
              <w:ind w:firstLine="0"/>
              <w:jc w:val="center"/>
              <w:rPr>
                <w:rFonts w:ascii="Times New Roman" w:eastAsia="Times New Roman" w:hAnsi="Times New Roman"/>
                <w:sz w:val="20"/>
              </w:rPr>
            </w:pPr>
            <w:r w:rsidRPr="009702A1">
              <w:rPr>
                <w:rFonts w:ascii="Times New Roman" w:eastAsia="Times New Roman" w:hAnsi="Times New Roman"/>
                <w:sz w:val="20"/>
              </w:rPr>
              <w:t>Fase</w:t>
            </w:r>
          </w:p>
        </w:tc>
        <w:tc>
          <w:tcPr>
            <w:tcW w:w="2030" w:type="pct"/>
            <w:tcBorders>
              <w:left w:val="none" w:sz="0" w:space="0" w:color="auto"/>
              <w:right w:val="none" w:sz="0" w:space="0" w:color="auto"/>
            </w:tcBorders>
            <w:shd w:val="clear" w:color="auto" w:fill="auto"/>
            <w:noWrap/>
            <w:vAlign w:val="center"/>
            <w:hideMark/>
          </w:tcPr>
          <w:p w14:paraId="0E041DC9" w14:textId="77777777" w:rsidR="00B6148C" w:rsidRPr="009702A1" w:rsidRDefault="00B6148C" w:rsidP="00B6148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1ª a 2ª Fase</w:t>
            </w:r>
          </w:p>
        </w:tc>
        <w:tc>
          <w:tcPr>
            <w:tcW w:w="1174" w:type="pct"/>
            <w:tcBorders>
              <w:left w:val="none" w:sz="0" w:space="0" w:color="auto"/>
              <w:right w:val="none" w:sz="0" w:space="0" w:color="auto"/>
            </w:tcBorders>
            <w:shd w:val="clear" w:color="auto" w:fill="auto"/>
            <w:noWrap/>
            <w:vAlign w:val="center"/>
            <w:hideMark/>
          </w:tcPr>
          <w:p w14:paraId="4EF7695B" w14:textId="77777777" w:rsidR="00B6148C" w:rsidRPr="009702A1" w:rsidRDefault="00B6148C" w:rsidP="00B6148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0"/>
              </w:rPr>
            </w:pPr>
            <w:r>
              <w:rPr>
                <w:rFonts w:ascii="Times New Roman" w:eastAsia="Times New Roman" w:hAnsi="Times New Roman"/>
                <w:sz w:val="20"/>
              </w:rPr>
              <w:t>228</w:t>
            </w:r>
          </w:p>
        </w:tc>
        <w:tc>
          <w:tcPr>
            <w:tcW w:w="939" w:type="pct"/>
            <w:tcBorders>
              <w:left w:val="none" w:sz="0" w:space="0" w:color="auto"/>
              <w:right w:val="none" w:sz="0" w:space="0" w:color="auto"/>
            </w:tcBorders>
            <w:shd w:val="clear" w:color="auto" w:fill="auto"/>
            <w:noWrap/>
            <w:vAlign w:val="center"/>
            <w:hideMark/>
          </w:tcPr>
          <w:p w14:paraId="0491B0E3" w14:textId="77777777" w:rsidR="00B6148C" w:rsidRPr="009702A1" w:rsidRDefault="00B6148C" w:rsidP="00B6148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0"/>
              </w:rPr>
            </w:pPr>
            <w:r>
              <w:rPr>
                <w:rFonts w:ascii="Times New Roman" w:eastAsia="Times New Roman" w:hAnsi="Times New Roman"/>
                <w:sz w:val="20"/>
              </w:rPr>
              <w:t>69,30</w:t>
            </w:r>
          </w:p>
        </w:tc>
      </w:tr>
      <w:tr w:rsidR="00B6148C" w:rsidRPr="009702A1" w14:paraId="7E4DB677" w14:textId="77777777" w:rsidTr="00B6148C">
        <w:trPr>
          <w:trHeight w:val="255"/>
          <w:jc w:val="center"/>
        </w:trPr>
        <w:tc>
          <w:tcPr>
            <w:cnfStyle w:val="001000000000" w:firstRow="0" w:lastRow="0" w:firstColumn="1" w:lastColumn="0" w:oddVBand="0" w:evenVBand="0" w:oddHBand="0" w:evenHBand="0" w:firstRowFirstColumn="0" w:firstRowLastColumn="0" w:lastRowFirstColumn="0" w:lastRowLastColumn="0"/>
            <w:tcW w:w="856" w:type="pct"/>
            <w:vMerge/>
            <w:shd w:val="clear" w:color="auto" w:fill="auto"/>
            <w:noWrap/>
            <w:vAlign w:val="center"/>
            <w:hideMark/>
          </w:tcPr>
          <w:p w14:paraId="60503297" w14:textId="77777777" w:rsidR="00B6148C" w:rsidRPr="009702A1" w:rsidRDefault="00B6148C" w:rsidP="00B6148C">
            <w:pPr>
              <w:jc w:val="center"/>
              <w:rPr>
                <w:rFonts w:ascii="Times New Roman" w:eastAsia="Times New Roman" w:hAnsi="Times New Roman"/>
                <w:sz w:val="20"/>
              </w:rPr>
            </w:pPr>
          </w:p>
        </w:tc>
        <w:tc>
          <w:tcPr>
            <w:tcW w:w="2030" w:type="pct"/>
            <w:shd w:val="clear" w:color="auto" w:fill="auto"/>
            <w:noWrap/>
            <w:vAlign w:val="center"/>
            <w:hideMark/>
          </w:tcPr>
          <w:p w14:paraId="7FB1BDA4" w14:textId="77777777" w:rsidR="00B6148C" w:rsidRPr="009702A1" w:rsidRDefault="00B6148C" w:rsidP="00B6148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3ª a 4ª Fase</w:t>
            </w:r>
          </w:p>
        </w:tc>
        <w:tc>
          <w:tcPr>
            <w:tcW w:w="1174" w:type="pct"/>
            <w:shd w:val="clear" w:color="auto" w:fill="auto"/>
            <w:noWrap/>
            <w:vAlign w:val="center"/>
            <w:hideMark/>
          </w:tcPr>
          <w:p w14:paraId="60C54745" w14:textId="77777777" w:rsidR="00B6148C" w:rsidRPr="009702A1" w:rsidRDefault="00B6148C" w:rsidP="00B6148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rPr>
            </w:pPr>
            <w:r>
              <w:rPr>
                <w:rFonts w:ascii="Times New Roman" w:eastAsia="Times New Roman" w:hAnsi="Times New Roman"/>
                <w:sz w:val="20"/>
              </w:rPr>
              <w:t>76</w:t>
            </w:r>
          </w:p>
        </w:tc>
        <w:tc>
          <w:tcPr>
            <w:tcW w:w="939" w:type="pct"/>
            <w:shd w:val="clear" w:color="auto" w:fill="auto"/>
            <w:noWrap/>
            <w:vAlign w:val="center"/>
            <w:hideMark/>
          </w:tcPr>
          <w:p w14:paraId="0B4C044D" w14:textId="77777777" w:rsidR="00B6148C" w:rsidRPr="009702A1" w:rsidRDefault="00B6148C" w:rsidP="00B6148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rPr>
            </w:pPr>
            <w:r>
              <w:rPr>
                <w:rFonts w:ascii="Times New Roman" w:eastAsia="Times New Roman" w:hAnsi="Times New Roman"/>
                <w:sz w:val="20"/>
              </w:rPr>
              <w:t>23,10</w:t>
            </w:r>
          </w:p>
        </w:tc>
      </w:tr>
      <w:tr w:rsidR="00B6148C" w:rsidRPr="009702A1" w14:paraId="1ED38369" w14:textId="77777777" w:rsidTr="00B6148C">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856" w:type="pct"/>
            <w:vMerge/>
            <w:tcBorders>
              <w:left w:val="none" w:sz="0" w:space="0" w:color="auto"/>
              <w:right w:val="none" w:sz="0" w:space="0" w:color="auto"/>
            </w:tcBorders>
            <w:shd w:val="clear" w:color="auto" w:fill="auto"/>
            <w:noWrap/>
            <w:vAlign w:val="center"/>
            <w:hideMark/>
          </w:tcPr>
          <w:p w14:paraId="065DF1CA" w14:textId="77777777" w:rsidR="00B6148C" w:rsidRPr="009702A1" w:rsidRDefault="00B6148C" w:rsidP="00B6148C">
            <w:pPr>
              <w:jc w:val="center"/>
              <w:rPr>
                <w:rFonts w:ascii="Times New Roman" w:eastAsia="Times New Roman" w:hAnsi="Times New Roman"/>
                <w:sz w:val="20"/>
              </w:rPr>
            </w:pPr>
          </w:p>
        </w:tc>
        <w:tc>
          <w:tcPr>
            <w:tcW w:w="2030" w:type="pct"/>
            <w:tcBorders>
              <w:left w:val="none" w:sz="0" w:space="0" w:color="auto"/>
              <w:right w:val="none" w:sz="0" w:space="0" w:color="auto"/>
            </w:tcBorders>
            <w:shd w:val="clear" w:color="auto" w:fill="auto"/>
            <w:noWrap/>
            <w:vAlign w:val="center"/>
            <w:hideMark/>
          </w:tcPr>
          <w:p w14:paraId="5D117DEA" w14:textId="77777777" w:rsidR="00B6148C" w:rsidRPr="009702A1" w:rsidRDefault="00B6148C" w:rsidP="00B6148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5ª a 6ª Fase</w:t>
            </w:r>
          </w:p>
        </w:tc>
        <w:tc>
          <w:tcPr>
            <w:tcW w:w="1174" w:type="pct"/>
            <w:tcBorders>
              <w:left w:val="none" w:sz="0" w:space="0" w:color="auto"/>
              <w:right w:val="none" w:sz="0" w:space="0" w:color="auto"/>
            </w:tcBorders>
            <w:shd w:val="clear" w:color="auto" w:fill="auto"/>
            <w:noWrap/>
            <w:vAlign w:val="center"/>
            <w:hideMark/>
          </w:tcPr>
          <w:p w14:paraId="0318684E" w14:textId="77777777" w:rsidR="00B6148C" w:rsidRPr="009702A1" w:rsidRDefault="00B6148C" w:rsidP="00B6148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0"/>
              </w:rPr>
            </w:pPr>
            <w:r>
              <w:rPr>
                <w:rFonts w:ascii="Times New Roman" w:eastAsia="Times New Roman" w:hAnsi="Times New Roman"/>
                <w:sz w:val="20"/>
              </w:rPr>
              <w:t>10</w:t>
            </w:r>
          </w:p>
        </w:tc>
        <w:tc>
          <w:tcPr>
            <w:tcW w:w="939" w:type="pct"/>
            <w:tcBorders>
              <w:left w:val="none" w:sz="0" w:space="0" w:color="auto"/>
              <w:right w:val="none" w:sz="0" w:space="0" w:color="auto"/>
            </w:tcBorders>
            <w:shd w:val="clear" w:color="auto" w:fill="auto"/>
            <w:noWrap/>
            <w:vAlign w:val="center"/>
            <w:hideMark/>
          </w:tcPr>
          <w:p w14:paraId="5A663A32" w14:textId="77777777" w:rsidR="00B6148C" w:rsidRPr="009702A1" w:rsidRDefault="00B6148C" w:rsidP="00B6148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0"/>
              </w:rPr>
            </w:pPr>
            <w:r>
              <w:rPr>
                <w:rFonts w:ascii="Times New Roman" w:eastAsia="Times New Roman" w:hAnsi="Times New Roman"/>
                <w:sz w:val="20"/>
              </w:rPr>
              <w:t>3,04</w:t>
            </w:r>
          </w:p>
        </w:tc>
      </w:tr>
      <w:tr w:rsidR="00B6148C" w:rsidRPr="009702A1" w14:paraId="48E8B37F" w14:textId="77777777" w:rsidTr="00B6148C">
        <w:trPr>
          <w:trHeight w:val="270"/>
          <w:jc w:val="center"/>
        </w:trPr>
        <w:tc>
          <w:tcPr>
            <w:cnfStyle w:val="001000000000" w:firstRow="0" w:lastRow="0" w:firstColumn="1" w:lastColumn="0" w:oddVBand="0" w:evenVBand="0" w:oddHBand="0" w:evenHBand="0" w:firstRowFirstColumn="0" w:firstRowLastColumn="0" w:lastRowFirstColumn="0" w:lastRowLastColumn="0"/>
            <w:tcW w:w="856" w:type="pct"/>
            <w:vMerge/>
            <w:shd w:val="clear" w:color="auto" w:fill="auto"/>
            <w:noWrap/>
            <w:vAlign w:val="center"/>
            <w:hideMark/>
          </w:tcPr>
          <w:p w14:paraId="33650533" w14:textId="77777777" w:rsidR="00B6148C" w:rsidRPr="009702A1" w:rsidRDefault="00B6148C" w:rsidP="00B6148C">
            <w:pPr>
              <w:ind w:firstLine="0"/>
              <w:jc w:val="center"/>
              <w:rPr>
                <w:rFonts w:ascii="Times New Roman" w:eastAsia="Times New Roman" w:hAnsi="Times New Roman"/>
                <w:sz w:val="20"/>
              </w:rPr>
            </w:pPr>
          </w:p>
        </w:tc>
        <w:tc>
          <w:tcPr>
            <w:tcW w:w="2030" w:type="pct"/>
            <w:shd w:val="clear" w:color="auto" w:fill="auto"/>
            <w:noWrap/>
            <w:vAlign w:val="center"/>
            <w:hideMark/>
          </w:tcPr>
          <w:p w14:paraId="458535E4" w14:textId="77777777" w:rsidR="00B6148C" w:rsidRPr="009702A1" w:rsidRDefault="00B6148C" w:rsidP="00B6148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7ª a 8ª Fase</w:t>
            </w:r>
          </w:p>
        </w:tc>
        <w:tc>
          <w:tcPr>
            <w:tcW w:w="1174" w:type="pct"/>
            <w:shd w:val="clear" w:color="auto" w:fill="auto"/>
            <w:noWrap/>
            <w:vAlign w:val="center"/>
            <w:hideMark/>
          </w:tcPr>
          <w:p w14:paraId="227146CB" w14:textId="77777777" w:rsidR="00B6148C" w:rsidRPr="009702A1" w:rsidRDefault="00B6148C" w:rsidP="00B6148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rPr>
            </w:pPr>
            <w:r>
              <w:rPr>
                <w:rFonts w:ascii="Times New Roman" w:eastAsia="Times New Roman" w:hAnsi="Times New Roman"/>
                <w:sz w:val="20"/>
              </w:rPr>
              <w:t>10</w:t>
            </w:r>
          </w:p>
        </w:tc>
        <w:tc>
          <w:tcPr>
            <w:tcW w:w="939" w:type="pct"/>
            <w:shd w:val="clear" w:color="auto" w:fill="auto"/>
            <w:noWrap/>
            <w:vAlign w:val="center"/>
            <w:hideMark/>
          </w:tcPr>
          <w:p w14:paraId="6EB5A0DA" w14:textId="77777777" w:rsidR="00B6148C" w:rsidRPr="009702A1" w:rsidRDefault="00B6148C" w:rsidP="00B6148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rPr>
            </w:pPr>
            <w:r>
              <w:rPr>
                <w:rFonts w:ascii="Times New Roman" w:eastAsia="Times New Roman" w:hAnsi="Times New Roman"/>
                <w:sz w:val="20"/>
              </w:rPr>
              <w:t>3,04</w:t>
            </w:r>
          </w:p>
        </w:tc>
      </w:tr>
      <w:tr w:rsidR="00B6148C" w:rsidRPr="009702A1" w14:paraId="4025CB48" w14:textId="77777777" w:rsidTr="00B6148C">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56" w:type="pct"/>
            <w:vMerge/>
            <w:tcBorders>
              <w:left w:val="none" w:sz="0" w:space="0" w:color="auto"/>
              <w:right w:val="none" w:sz="0" w:space="0" w:color="auto"/>
            </w:tcBorders>
            <w:shd w:val="clear" w:color="auto" w:fill="auto"/>
            <w:noWrap/>
            <w:vAlign w:val="center"/>
          </w:tcPr>
          <w:p w14:paraId="223AE2FC" w14:textId="77777777" w:rsidR="00B6148C" w:rsidRPr="009702A1" w:rsidRDefault="00B6148C" w:rsidP="00B6148C">
            <w:pPr>
              <w:ind w:firstLine="0"/>
              <w:jc w:val="center"/>
              <w:rPr>
                <w:rFonts w:ascii="Times New Roman" w:eastAsia="Times New Roman" w:hAnsi="Times New Roman"/>
                <w:sz w:val="20"/>
              </w:rPr>
            </w:pPr>
          </w:p>
        </w:tc>
        <w:tc>
          <w:tcPr>
            <w:tcW w:w="2030" w:type="pct"/>
            <w:tcBorders>
              <w:left w:val="none" w:sz="0" w:space="0" w:color="auto"/>
              <w:right w:val="none" w:sz="0" w:space="0" w:color="auto"/>
            </w:tcBorders>
            <w:shd w:val="clear" w:color="auto" w:fill="auto"/>
            <w:noWrap/>
            <w:vAlign w:val="center"/>
          </w:tcPr>
          <w:p w14:paraId="48229AD7" w14:textId="77777777" w:rsidR="00B6148C" w:rsidRPr="009702A1" w:rsidRDefault="00B6148C" w:rsidP="00B6148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0"/>
              </w:rPr>
            </w:pPr>
            <w:r>
              <w:rPr>
                <w:rFonts w:ascii="Times New Roman" w:eastAsia="Times New Roman" w:hAnsi="Times New Roman"/>
                <w:sz w:val="20"/>
              </w:rPr>
              <w:t>9ª a 10</w:t>
            </w:r>
            <w:r w:rsidRPr="009702A1">
              <w:rPr>
                <w:rFonts w:ascii="Times New Roman" w:eastAsia="Times New Roman" w:hAnsi="Times New Roman"/>
                <w:sz w:val="20"/>
              </w:rPr>
              <w:t>ª Fase</w:t>
            </w:r>
          </w:p>
        </w:tc>
        <w:tc>
          <w:tcPr>
            <w:tcW w:w="1174" w:type="pct"/>
            <w:tcBorders>
              <w:left w:val="none" w:sz="0" w:space="0" w:color="auto"/>
              <w:right w:val="none" w:sz="0" w:space="0" w:color="auto"/>
            </w:tcBorders>
            <w:shd w:val="clear" w:color="auto" w:fill="auto"/>
            <w:noWrap/>
            <w:vAlign w:val="center"/>
          </w:tcPr>
          <w:p w14:paraId="729AF3E8" w14:textId="77777777" w:rsidR="00B6148C" w:rsidRPr="009702A1" w:rsidRDefault="00B6148C" w:rsidP="00B6148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0"/>
              </w:rPr>
            </w:pPr>
            <w:r>
              <w:rPr>
                <w:rFonts w:ascii="Times New Roman" w:eastAsia="Times New Roman" w:hAnsi="Times New Roman"/>
                <w:sz w:val="20"/>
              </w:rPr>
              <w:t>5</w:t>
            </w:r>
          </w:p>
        </w:tc>
        <w:tc>
          <w:tcPr>
            <w:tcW w:w="939" w:type="pct"/>
            <w:tcBorders>
              <w:left w:val="none" w:sz="0" w:space="0" w:color="auto"/>
              <w:right w:val="none" w:sz="0" w:space="0" w:color="auto"/>
            </w:tcBorders>
            <w:shd w:val="clear" w:color="auto" w:fill="auto"/>
            <w:noWrap/>
            <w:vAlign w:val="center"/>
          </w:tcPr>
          <w:p w14:paraId="3D8C0843" w14:textId="77777777" w:rsidR="00B6148C" w:rsidRPr="009702A1" w:rsidRDefault="00B6148C" w:rsidP="00B6148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0"/>
              </w:rPr>
            </w:pPr>
            <w:r>
              <w:rPr>
                <w:rFonts w:ascii="Times New Roman" w:eastAsia="Times New Roman" w:hAnsi="Times New Roman"/>
                <w:sz w:val="20"/>
              </w:rPr>
              <w:t>1,52</w:t>
            </w:r>
          </w:p>
        </w:tc>
      </w:tr>
      <w:tr w:rsidR="00B6148C" w:rsidRPr="009702A1" w14:paraId="12C4A0B7" w14:textId="77777777" w:rsidTr="00B6148C">
        <w:trPr>
          <w:trHeight w:val="255"/>
          <w:jc w:val="center"/>
        </w:trPr>
        <w:tc>
          <w:tcPr>
            <w:cnfStyle w:val="001000000000" w:firstRow="0" w:lastRow="0" w:firstColumn="1" w:lastColumn="0" w:oddVBand="0" w:evenVBand="0" w:oddHBand="0" w:evenHBand="0" w:firstRowFirstColumn="0" w:firstRowLastColumn="0" w:lastRowFirstColumn="0" w:lastRowLastColumn="0"/>
            <w:tcW w:w="856" w:type="pct"/>
            <w:vMerge w:val="restart"/>
            <w:shd w:val="clear" w:color="auto" w:fill="auto"/>
            <w:noWrap/>
            <w:vAlign w:val="center"/>
            <w:hideMark/>
          </w:tcPr>
          <w:p w14:paraId="04F453F0" w14:textId="77777777" w:rsidR="00B6148C" w:rsidRPr="009702A1" w:rsidRDefault="00B6148C" w:rsidP="00B6148C">
            <w:pPr>
              <w:ind w:firstLine="0"/>
              <w:jc w:val="center"/>
              <w:rPr>
                <w:rFonts w:ascii="Times New Roman" w:eastAsia="Times New Roman" w:hAnsi="Times New Roman"/>
                <w:sz w:val="20"/>
              </w:rPr>
            </w:pPr>
            <w:r w:rsidRPr="009702A1">
              <w:rPr>
                <w:rFonts w:ascii="Times New Roman" w:eastAsia="Times New Roman" w:hAnsi="Times New Roman"/>
                <w:sz w:val="20"/>
              </w:rPr>
              <w:t>Gênero</w:t>
            </w:r>
          </w:p>
        </w:tc>
        <w:tc>
          <w:tcPr>
            <w:tcW w:w="2030" w:type="pct"/>
            <w:shd w:val="clear" w:color="auto" w:fill="auto"/>
            <w:noWrap/>
            <w:vAlign w:val="center"/>
            <w:hideMark/>
          </w:tcPr>
          <w:p w14:paraId="2C44DC4E" w14:textId="77777777" w:rsidR="00B6148C" w:rsidRPr="009702A1" w:rsidRDefault="00B6148C" w:rsidP="00B6148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Feminino</w:t>
            </w:r>
          </w:p>
        </w:tc>
        <w:tc>
          <w:tcPr>
            <w:tcW w:w="1174" w:type="pct"/>
            <w:shd w:val="clear" w:color="auto" w:fill="auto"/>
            <w:noWrap/>
            <w:vAlign w:val="center"/>
            <w:hideMark/>
          </w:tcPr>
          <w:p w14:paraId="68C46610" w14:textId="77777777" w:rsidR="00B6148C" w:rsidRPr="009702A1" w:rsidRDefault="00B6148C" w:rsidP="00B6148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187</w:t>
            </w:r>
          </w:p>
        </w:tc>
        <w:tc>
          <w:tcPr>
            <w:tcW w:w="939" w:type="pct"/>
            <w:shd w:val="clear" w:color="auto" w:fill="auto"/>
            <w:noWrap/>
            <w:vAlign w:val="center"/>
            <w:hideMark/>
          </w:tcPr>
          <w:p w14:paraId="518C69D3" w14:textId="77777777" w:rsidR="00B6148C" w:rsidRPr="009702A1" w:rsidRDefault="00B6148C" w:rsidP="00B6148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56,84</w:t>
            </w:r>
          </w:p>
        </w:tc>
      </w:tr>
      <w:tr w:rsidR="00B6148C" w:rsidRPr="009702A1" w14:paraId="53DB87A1" w14:textId="77777777" w:rsidTr="00B6148C">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56" w:type="pct"/>
            <w:vMerge/>
            <w:tcBorders>
              <w:left w:val="none" w:sz="0" w:space="0" w:color="auto"/>
              <w:right w:val="none" w:sz="0" w:space="0" w:color="auto"/>
            </w:tcBorders>
            <w:shd w:val="clear" w:color="auto" w:fill="auto"/>
            <w:noWrap/>
            <w:vAlign w:val="center"/>
            <w:hideMark/>
          </w:tcPr>
          <w:p w14:paraId="1C5656E3" w14:textId="77777777" w:rsidR="00B6148C" w:rsidRPr="009702A1" w:rsidRDefault="00B6148C" w:rsidP="00B6148C">
            <w:pPr>
              <w:ind w:firstLine="0"/>
              <w:jc w:val="center"/>
              <w:rPr>
                <w:rFonts w:ascii="Times New Roman" w:eastAsia="Times New Roman" w:hAnsi="Times New Roman"/>
                <w:sz w:val="20"/>
              </w:rPr>
            </w:pPr>
          </w:p>
        </w:tc>
        <w:tc>
          <w:tcPr>
            <w:tcW w:w="2030" w:type="pct"/>
            <w:tcBorders>
              <w:left w:val="none" w:sz="0" w:space="0" w:color="auto"/>
              <w:right w:val="none" w:sz="0" w:space="0" w:color="auto"/>
            </w:tcBorders>
            <w:shd w:val="clear" w:color="auto" w:fill="auto"/>
            <w:noWrap/>
            <w:vAlign w:val="center"/>
            <w:hideMark/>
          </w:tcPr>
          <w:p w14:paraId="3750041A" w14:textId="77777777" w:rsidR="00B6148C" w:rsidRPr="009702A1" w:rsidRDefault="00B6148C" w:rsidP="00B6148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Masculino</w:t>
            </w:r>
          </w:p>
        </w:tc>
        <w:tc>
          <w:tcPr>
            <w:tcW w:w="1174" w:type="pct"/>
            <w:tcBorders>
              <w:left w:val="none" w:sz="0" w:space="0" w:color="auto"/>
              <w:right w:val="none" w:sz="0" w:space="0" w:color="auto"/>
            </w:tcBorders>
            <w:shd w:val="clear" w:color="auto" w:fill="auto"/>
            <w:noWrap/>
            <w:vAlign w:val="center"/>
            <w:hideMark/>
          </w:tcPr>
          <w:p w14:paraId="13BA37C8" w14:textId="77777777" w:rsidR="00B6148C" w:rsidRPr="009702A1" w:rsidRDefault="00B6148C" w:rsidP="00B6148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142</w:t>
            </w:r>
          </w:p>
        </w:tc>
        <w:tc>
          <w:tcPr>
            <w:tcW w:w="939" w:type="pct"/>
            <w:tcBorders>
              <w:left w:val="none" w:sz="0" w:space="0" w:color="auto"/>
              <w:right w:val="none" w:sz="0" w:space="0" w:color="auto"/>
            </w:tcBorders>
            <w:shd w:val="clear" w:color="auto" w:fill="auto"/>
            <w:noWrap/>
            <w:vAlign w:val="center"/>
            <w:hideMark/>
          </w:tcPr>
          <w:p w14:paraId="69FAC16E" w14:textId="77777777" w:rsidR="00B6148C" w:rsidRPr="009702A1" w:rsidRDefault="00B6148C" w:rsidP="00B6148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43,16</w:t>
            </w:r>
          </w:p>
        </w:tc>
      </w:tr>
      <w:tr w:rsidR="00B6148C" w:rsidRPr="009702A1" w14:paraId="5B3670C7" w14:textId="77777777" w:rsidTr="00B6148C">
        <w:trPr>
          <w:trHeight w:val="255"/>
          <w:jc w:val="center"/>
        </w:trPr>
        <w:tc>
          <w:tcPr>
            <w:cnfStyle w:val="001000000000" w:firstRow="0" w:lastRow="0" w:firstColumn="1" w:lastColumn="0" w:oddVBand="0" w:evenVBand="0" w:oddHBand="0" w:evenHBand="0" w:firstRowFirstColumn="0" w:firstRowLastColumn="0" w:lastRowFirstColumn="0" w:lastRowLastColumn="0"/>
            <w:tcW w:w="856" w:type="pct"/>
            <w:vMerge w:val="restart"/>
            <w:shd w:val="clear" w:color="auto" w:fill="auto"/>
            <w:noWrap/>
            <w:vAlign w:val="center"/>
            <w:hideMark/>
          </w:tcPr>
          <w:p w14:paraId="27EF1032" w14:textId="77777777" w:rsidR="00B6148C" w:rsidRPr="009702A1" w:rsidRDefault="00B6148C" w:rsidP="00B6148C">
            <w:pPr>
              <w:ind w:firstLine="0"/>
              <w:jc w:val="center"/>
              <w:rPr>
                <w:rFonts w:ascii="Times New Roman" w:eastAsia="Times New Roman" w:hAnsi="Times New Roman"/>
                <w:sz w:val="20"/>
              </w:rPr>
            </w:pPr>
            <w:r w:rsidRPr="009702A1">
              <w:rPr>
                <w:rFonts w:ascii="Times New Roman" w:eastAsia="Times New Roman" w:hAnsi="Times New Roman"/>
                <w:sz w:val="20"/>
              </w:rPr>
              <w:t>Faixa Etária</w:t>
            </w:r>
          </w:p>
        </w:tc>
        <w:tc>
          <w:tcPr>
            <w:tcW w:w="2030" w:type="pct"/>
            <w:shd w:val="clear" w:color="auto" w:fill="auto"/>
            <w:noWrap/>
            <w:vAlign w:val="center"/>
            <w:hideMark/>
          </w:tcPr>
          <w:p w14:paraId="194D0670" w14:textId="77777777" w:rsidR="00B6148C" w:rsidRPr="009702A1" w:rsidRDefault="00B6148C" w:rsidP="00B6148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17 a 21 anos</w:t>
            </w:r>
          </w:p>
        </w:tc>
        <w:tc>
          <w:tcPr>
            <w:tcW w:w="1174" w:type="pct"/>
            <w:shd w:val="clear" w:color="auto" w:fill="auto"/>
            <w:noWrap/>
            <w:vAlign w:val="center"/>
            <w:hideMark/>
          </w:tcPr>
          <w:p w14:paraId="3AFCB9F9" w14:textId="77777777" w:rsidR="00B6148C" w:rsidRPr="009702A1" w:rsidRDefault="00B6148C" w:rsidP="00B6148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rPr>
            </w:pPr>
            <w:r>
              <w:rPr>
                <w:rFonts w:ascii="Times New Roman" w:eastAsia="Times New Roman" w:hAnsi="Times New Roman"/>
                <w:sz w:val="20"/>
              </w:rPr>
              <w:t>152</w:t>
            </w:r>
          </w:p>
        </w:tc>
        <w:tc>
          <w:tcPr>
            <w:tcW w:w="939" w:type="pct"/>
            <w:shd w:val="clear" w:color="auto" w:fill="auto"/>
            <w:noWrap/>
            <w:vAlign w:val="center"/>
            <w:hideMark/>
          </w:tcPr>
          <w:p w14:paraId="0C7763A5" w14:textId="77777777" w:rsidR="00B6148C" w:rsidRPr="009702A1" w:rsidRDefault="00B6148C" w:rsidP="00B6148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rPr>
            </w:pPr>
            <w:r>
              <w:rPr>
                <w:rFonts w:ascii="Times New Roman" w:eastAsia="Times New Roman" w:hAnsi="Times New Roman"/>
                <w:sz w:val="20"/>
              </w:rPr>
              <w:t>46,20</w:t>
            </w:r>
          </w:p>
        </w:tc>
      </w:tr>
      <w:tr w:rsidR="00B6148C" w:rsidRPr="009702A1" w14:paraId="56189FA0" w14:textId="77777777" w:rsidTr="00B6148C">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856" w:type="pct"/>
            <w:vMerge/>
            <w:tcBorders>
              <w:left w:val="none" w:sz="0" w:space="0" w:color="auto"/>
              <w:right w:val="none" w:sz="0" w:space="0" w:color="auto"/>
            </w:tcBorders>
            <w:shd w:val="clear" w:color="auto" w:fill="auto"/>
            <w:noWrap/>
            <w:vAlign w:val="center"/>
            <w:hideMark/>
          </w:tcPr>
          <w:p w14:paraId="52917934" w14:textId="77777777" w:rsidR="00B6148C" w:rsidRPr="009702A1" w:rsidRDefault="00B6148C" w:rsidP="00B6148C">
            <w:pPr>
              <w:jc w:val="center"/>
              <w:rPr>
                <w:rFonts w:ascii="Times New Roman" w:eastAsia="Times New Roman" w:hAnsi="Times New Roman"/>
                <w:sz w:val="20"/>
              </w:rPr>
            </w:pPr>
          </w:p>
        </w:tc>
        <w:tc>
          <w:tcPr>
            <w:tcW w:w="2030" w:type="pct"/>
            <w:tcBorders>
              <w:left w:val="none" w:sz="0" w:space="0" w:color="auto"/>
              <w:right w:val="none" w:sz="0" w:space="0" w:color="auto"/>
            </w:tcBorders>
            <w:shd w:val="clear" w:color="auto" w:fill="auto"/>
            <w:noWrap/>
            <w:vAlign w:val="center"/>
            <w:hideMark/>
          </w:tcPr>
          <w:p w14:paraId="31E3A3D9" w14:textId="77777777" w:rsidR="00B6148C" w:rsidRPr="009702A1" w:rsidRDefault="00B6148C" w:rsidP="00B6148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22 a 26 anos</w:t>
            </w:r>
          </w:p>
        </w:tc>
        <w:tc>
          <w:tcPr>
            <w:tcW w:w="1174" w:type="pct"/>
            <w:tcBorders>
              <w:left w:val="none" w:sz="0" w:space="0" w:color="auto"/>
              <w:right w:val="none" w:sz="0" w:space="0" w:color="auto"/>
            </w:tcBorders>
            <w:shd w:val="clear" w:color="auto" w:fill="auto"/>
            <w:noWrap/>
            <w:vAlign w:val="center"/>
            <w:hideMark/>
          </w:tcPr>
          <w:p w14:paraId="05117B26" w14:textId="77777777" w:rsidR="00B6148C" w:rsidRPr="009702A1" w:rsidRDefault="00B6148C" w:rsidP="00B6148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0"/>
              </w:rPr>
            </w:pPr>
            <w:r>
              <w:rPr>
                <w:rFonts w:ascii="Times New Roman" w:eastAsia="Times New Roman" w:hAnsi="Times New Roman"/>
                <w:sz w:val="20"/>
              </w:rPr>
              <w:t>83</w:t>
            </w:r>
          </w:p>
        </w:tc>
        <w:tc>
          <w:tcPr>
            <w:tcW w:w="939" w:type="pct"/>
            <w:tcBorders>
              <w:left w:val="none" w:sz="0" w:space="0" w:color="auto"/>
              <w:right w:val="none" w:sz="0" w:space="0" w:color="auto"/>
            </w:tcBorders>
            <w:shd w:val="clear" w:color="auto" w:fill="auto"/>
            <w:noWrap/>
            <w:vAlign w:val="center"/>
            <w:hideMark/>
          </w:tcPr>
          <w:p w14:paraId="0AAE26F1" w14:textId="77777777" w:rsidR="00B6148C" w:rsidRPr="009702A1" w:rsidRDefault="00B6148C" w:rsidP="00B6148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0"/>
              </w:rPr>
            </w:pPr>
            <w:r>
              <w:rPr>
                <w:rFonts w:ascii="Times New Roman" w:eastAsia="Times New Roman" w:hAnsi="Times New Roman"/>
                <w:sz w:val="20"/>
              </w:rPr>
              <w:t>25,23</w:t>
            </w:r>
          </w:p>
        </w:tc>
      </w:tr>
      <w:tr w:rsidR="00B6148C" w:rsidRPr="009702A1" w14:paraId="47E469BD" w14:textId="77777777" w:rsidTr="00B6148C">
        <w:trPr>
          <w:trHeight w:val="255"/>
          <w:jc w:val="center"/>
        </w:trPr>
        <w:tc>
          <w:tcPr>
            <w:cnfStyle w:val="001000000000" w:firstRow="0" w:lastRow="0" w:firstColumn="1" w:lastColumn="0" w:oddVBand="0" w:evenVBand="0" w:oddHBand="0" w:evenHBand="0" w:firstRowFirstColumn="0" w:firstRowLastColumn="0" w:lastRowFirstColumn="0" w:lastRowLastColumn="0"/>
            <w:tcW w:w="856" w:type="pct"/>
            <w:vMerge/>
            <w:shd w:val="clear" w:color="auto" w:fill="auto"/>
            <w:noWrap/>
            <w:vAlign w:val="center"/>
            <w:hideMark/>
          </w:tcPr>
          <w:p w14:paraId="09B0A02F" w14:textId="77777777" w:rsidR="00B6148C" w:rsidRPr="009702A1" w:rsidRDefault="00B6148C" w:rsidP="00B6148C">
            <w:pPr>
              <w:jc w:val="center"/>
              <w:rPr>
                <w:rFonts w:ascii="Times New Roman" w:eastAsia="Times New Roman" w:hAnsi="Times New Roman"/>
                <w:sz w:val="20"/>
              </w:rPr>
            </w:pPr>
          </w:p>
        </w:tc>
        <w:tc>
          <w:tcPr>
            <w:tcW w:w="2030" w:type="pct"/>
            <w:shd w:val="clear" w:color="auto" w:fill="auto"/>
            <w:noWrap/>
            <w:vAlign w:val="center"/>
            <w:hideMark/>
          </w:tcPr>
          <w:p w14:paraId="57FDE37E" w14:textId="77777777" w:rsidR="00B6148C" w:rsidRPr="009702A1" w:rsidRDefault="00B6148C" w:rsidP="00B6148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27 a 31 anos</w:t>
            </w:r>
          </w:p>
        </w:tc>
        <w:tc>
          <w:tcPr>
            <w:tcW w:w="1174" w:type="pct"/>
            <w:shd w:val="clear" w:color="auto" w:fill="auto"/>
            <w:noWrap/>
            <w:vAlign w:val="center"/>
            <w:hideMark/>
          </w:tcPr>
          <w:p w14:paraId="420D505C" w14:textId="77777777" w:rsidR="00B6148C" w:rsidRPr="009702A1" w:rsidRDefault="00B6148C" w:rsidP="00B6148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rPr>
            </w:pPr>
            <w:r>
              <w:rPr>
                <w:rFonts w:ascii="Times New Roman" w:eastAsia="Times New Roman" w:hAnsi="Times New Roman"/>
                <w:sz w:val="20"/>
              </w:rPr>
              <w:t>43</w:t>
            </w:r>
          </w:p>
        </w:tc>
        <w:tc>
          <w:tcPr>
            <w:tcW w:w="939" w:type="pct"/>
            <w:shd w:val="clear" w:color="auto" w:fill="auto"/>
            <w:noWrap/>
            <w:vAlign w:val="center"/>
            <w:hideMark/>
          </w:tcPr>
          <w:p w14:paraId="13D0AF5E" w14:textId="77777777" w:rsidR="00B6148C" w:rsidRPr="009702A1" w:rsidRDefault="00B6148C" w:rsidP="00B6148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rPr>
            </w:pPr>
            <w:r>
              <w:rPr>
                <w:rFonts w:ascii="Times New Roman" w:eastAsia="Times New Roman" w:hAnsi="Times New Roman"/>
                <w:sz w:val="20"/>
              </w:rPr>
              <w:t>13,07</w:t>
            </w:r>
          </w:p>
        </w:tc>
      </w:tr>
      <w:tr w:rsidR="00B6148C" w:rsidRPr="009702A1" w14:paraId="3275D1A1" w14:textId="77777777" w:rsidTr="00B6148C">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856" w:type="pct"/>
            <w:vMerge/>
            <w:tcBorders>
              <w:left w:val="none" w:sz="0" w:space="0" w:color="auto"/>
              <w:right w:val="none" w:sz="0" w:space="0" w:color="auto"/>
            </w:tcBorders>
            <w:shd w:val="clear" w:color="auto" w:fill="auto"/>
            <w:noWrap/>
            <w:vAlign w:val="center"/>
            <w:hideMark/>
          </w:tcPr>
          <w:p w14:paraId="20B9412B" w14:textId="77777777" w:rsidR="00B6148C" w:rsidRPr="009702A1" w:rsidRDefault="00B6148C" w:rsidP="00B6148C">
            <w:pPr>
              <w:jc w:val="center"/>
              <w:rPr>
                <w:rFonts w:ascii="Times New Roman" w:eastAsia="Times New Roman" w:hAnsi="Times New Roman"/>
                <w:sz w:val="20"/>
              </w:rPr>
            </w:pPr>
          </w:p>
        </w:tc>
        <w:tc>
          <w:tcPr>
            <w:tcW w:w="2030" w:type="pct"/>
            <w:tcBorders>
              <w:left w:val="none" w:sz="0" w:space="0" w:color="auto"/>
              <w:right w:val="none" w:sz="0" w:space="0" w:color="auto"/>
            </w:tcBorders>
            <w:shd w:val="clear" w:color="auto" w:fill="auto"/>
            <w:noWrap/>
            <w:vAlign w:val="center"/>
            <w:hideMark/>
          </w:tcPr>
          <w:p w14:paraId="7E05C95D" w14:textId="77777777" w:rsidR="00B6148C" w:rsidRPr="009702A1" w:rsidRDefault="00B6148C" w:rsidP="00B6148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32 a 36 anos</w:t>
            </w:r>
          </w:p>
        </w:tc>
        <w:tc>
          <w:tcPr>
            <w:tcW w:w="1174" w:type="pct"/>
            <w:tcBorders>
              <w:left w:val="none" w:sz="0" w:space="0" w:color="auto"/>
              <w:right w:val="none" w:sz="0" w:space="0" w:color="auto"/>
            </w:tcBorders>
            <w:shd w:val="clear" w:color="auto" w:fill="auto"/>
            <w:noWrap/>
            <w:vAlign w:val="center"/>
            <w:hideMark/>
          </w:tcPr>
          <w:p w14:paraId="3F0ADE36" w14:textId="77777777" w:rsidR="00B6148C" w:rsidRPr="009702A1" w:rsidRDefault="00B6148C" w:rsidP="00B6148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0"/>
              </w:rPr>
            </w:pPr>
            <w:r>
              <w:rPr>
                <w:rFonts w:ascii="Times New Roman" w:eastAsia="Times New Roman" w:hAnsi="Times New Roman"/>
                <w:sz w:val="20"/>
              </w:rPr>
              <w:t>30</w:t>
            </w:r>
          </w:p>
        </w:tc>
        <w:tc>
          <w:tcPr>
            <w:tcW w:w="939" w:type="pct"/>
            <w:tcBorders>
              <w:left w:val="none" w:sz="0" w:space="0" w:color="auto"/>
              <w:right w:val="none" w:sz="0" w:space="0" w:color="auto"/>
            </w:tcBorders>
            <w:shd w:val="clear" w:color="auto" w:fill="auto"/>
            <w:noWrap/>
            <w:vAlign w:val="center"/>
            <w:hideMark/>
          </w:tcPr>
          <w:p w14:paraId="1EFB86F9" w14:textId="77777777" w:rsidR="00B6148C" w:rsidRPr="009702A1" w:rsidRDefault="00B6148C" w:rsidP="00B6148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0"/>
              </w:rPr>
            </w:pPr>
            <w:r>
              <w:rPr>
                <w:rFonts w:ascii="Times New Roman" w:eastAsia="Times New Roman" w:hAnsi="Times New Roman"/>
                <w:sz w:val="20"/>
              </w:rPr>
              <w:t>9,12</w:t>
            </w:r>
          </w:p>
        </w:tc>
      </w:tr>
      <w:tr w:rsidR="00B6148C" w:rsidRPr="009702A1" w14:paraId="436AA090" w14:textId="77777777" w:rsidTr="00B6148C">
        <w:trPr>
          <w:trHeight w:val="270"/>
          <w:jc w:val="center"/>
        </w:trPr>
        <w:tc>
          <w:tcPr>
            <w:cnfStyle w:val="001000000000" w:firstRow="0" w:lastRow="0" w:firstColumn="1" w:lastColumn="0" w:oddVBand="0" w:evenVBand="0" w:oddHBand="0" w:evenHBand="0" w:firstRowFirstColumn="0" w:firstRowLastColumn="0" w:lastRowFirstColumn="0" w:lastRowLastColumn="0"/>
            <w:tcW w:w="856" w:type="pct"/>
            <w:vMerge/>
            <w:shd w:val="clear" w:color="auto" w:fill="auto"/>
            <w:noWrap/>
            <w:vAlign w:val="center"/>
            <w:hideMark/>
          </w:tcPr>
          <w:p w14:paraId="6CF7D8CA" w14:textId="77777777" w:rsidR="00B6148C" w:rsidRPr="009702A1" w:rsidRDefault="00B6148C" w:rsidP="00B6148C">
            <w:pPr>
              <w:ind w:firstLine="0"/>
              <w:jc w:val="center"/>
              <w:rPr>
                <w:rFonts w:ascii="Times New Roman" w:eastAsia="Times New Roman" w:hAnsi="Times New Roman"/>
                <w:sz w:val="20"/>
              </w:rPr>
            </w:pPr>
          </w:p>
        </w:tc>
        <w:tc>
          <w:tcPr>
            <w:tcW w:w="2030" w:type="pct"/>
            <w:shd w:val="clear" w:color="auto" w:fill="auto"/>
            <w:noWrap/>
            <w:vAlign w:val="center"/>
            <w:hideMark/>
          </w:tcPr>
          <w:p w14:paraId="7B44AC46" w14:textId="77777777" w:rsidR="00B6148C" w:rsidRPr="009702A1" w:rsidRDefault="00B6148C" w:rsidP="00B6148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37 anos ou mais</w:t>
            </w:r>
          </w:p>
        </w:tc>
        <w:tc>
          <w:tcPr>
            <w:tcW w:w="1174" w:type="pct"/>
            <w:shd w:val="clear" w:color="auto" w:fill="auto"/>
            <w:noWrap/>
            <w:vAlign w:val="center"/>
            <w:hideMark/>
          </w:tcPr>
          <w:p w14:paraId="1491F30B" w14:textId="77777777" w:rsidR="00B6148C" w:rsidRPr="009702A1" w:rsidRDefault="00B6148C" w:rsidP="00B6148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rPr>
            </w:pPr>
            <w:r>
              <w:rPr>
                <w:rFonts w:ascii="Times New Roman" w:eastAsia="Times New Roman" w:hAnsi="Times New Roman"/>
                <w:sz w:val="20"/>
              </w:rPr>
              <w:t>21</w:t>
            </w:r>
          </w:p>
        </w:tc>
        <w:tc>
          <w:tcPr>
            <w:tcW w:w="939" w:type="pct"/>
            <w:shd w:val="clear" w:color="auto" w:fill="auto"/>
            <w:noWrap/>
            <w:vAlign w:val="center"/>
            <w:hideMark/>
          </w:tcPr>
          <w:p w14:paraId="3E2598FB" w14:textId="77777777" w:rsidR="00B6148C" w:rsidRPr="009702A1" w:rsidRDefault="00B6148C" w:rsidP="00B6148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rPr>
            </w:pPr>
            <w:r>
              <w:rPr>
                <w:rFonts w:ascii="Times New Roman" w:eastAsia="Times New Roman" w:hAnsi="Times New Roman"/>
                <w:sz w:val="20"/>
              </w:rPr>
              <w:t>6,38</w:t>
            </w:r>
          </w:p>
        </w:tc>
      </w:tr>
      <w:tr w:rsidR="00B6148C" w:rsidRPr="009702A1" w14:paraId="06A3F49F" w14:textId="77777777" w:rsidTr="00B6148C">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56" w:type="pct"/>
            <w:vMerge w:val="restart"/>
            <w:tcBorders>
              <w:left w:val="none" w:sz="0" w:space="0" w:color="auto"/>
              <w:right w:val="none" w:sz="0" w:space="0" w:color="auto"/>
            </w:tcBorders>
            <w:shd w:val="clear" w:color="auto" w:fill="auto"/>
            <w:noWrap/>
            <w:vAlign w:val="center"/>
            <w:hideMark/>
          </w:tcPr>
          <w:p w14:paraId="6C9E83CF" w14:textId="77777777" w:rsidR="00B6148C" w:rsidRPr="009702A1" w:rsidRDefault="00B6148C" w:rsidP="00B6148C">
            <w:pPr>
              <w:ind w:firstLine="0"/>
              <w:jc w:val="center"/>
              <w:rPr>
                <w:rFonts w:ascii="Times New Roman" w:eastAsia="Times New Roman" w:hAnsi="Times New Roman"/>
                <w:sz w:val="20"/>
              </w:rPr>
            </w:pPr>
            <w:r w:rsidRPr="009702A1">
              <w:rPr>
                <w:rFonts w:ascii="Times New Roman" w:eastAsia="Times New Roman" w:hAnsi="Times New Roman"/>
                <w:sz w:val="20"/>
              </w:rPr>
              <w:t>Estado civil</w:t>
            </w:r>
          </w:p>
        </w:tc>
        <w:tc>
          <w:tcPr>
            <w:tcW w:w="2030" w:type="pct"/>
            <w:tcBorders>
              <w:left w:val="none" w:sz="0" w:space="0" w:color="auto"/>
              <w:right w:val="none" w:sz="0" w:space="0" w:color="auto"/>
            </w:tcBorders>
            <w:shd w:val="clear" w:color="auto" w:fill="auto"/>
            <w:noWrap/>
            <w:vAlign w:val="center"/>
            <w:hideMark/>
          </w:tcPr>
          <w:p w14:paraId="183391B1" w14:textId="77777777" w:rsidR="00B6148C" w:rsidRPr="009702A1" w:rsidRDefault="00B6148C" w:rsidP="00B6148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Casado</w:t>
            </w:r>
          </w:p>
        </w:tc>
        <w:tc>
          <w:tcPr>
            <w:tcW w:w="1174" w:type="pct"/>
            <w:tcBorders>
              <w:left w:val="none" w:sz="0" w:space="0" w:color="auto"/>
              <w:right w:val="none" w:sz="0" w:space="0" w:color="auto"/>
            </w:tcBorders>
            <w:shd w:val="clear" w:color="auto" w:fill="auto"/>
            <w:noWrap/>
            <w:vAlign w:val="center"/>
            <w:hideMark/>
          </w:tcPr>
          <w:p w14:paraId="0D68DF96" w14:textId="77777777" w:rsidR="00B6148C" w:rsidRPr="009702A1" w:rsidRDefault="00B6148C" w:rsidP="00B6148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35</w:t>
            </w:r>
          </w:p>
        </w:tc>
        <w:tc>
          <w:tcPr>
            <w:tcW w:w="939" w:type="pct"/>
            <w:tcBorders>
              <w:left w:val="none" w:sz="0" w:space="0" w:color="auto"/>
              <w:right w:val="none" w:sz="0" w:space="0" w:color="auto"/>
            </w:tcBorders>
            <w:shd w:val="clear" w:color="auto" w:fill="auto"/>
            <w:noWrap/>
            <w:vAlign w:val="center"/>
            <w:hideMark/>
          </w:tcPr>
          <w:p w14:paraId="0B563E62" w14:textId="77777777" w:rsidR="00B6148C" w:rsidRPr="009702A1" w:rsidRDefault="00B6148C" w:rsidP="00B6148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10,64</w:t>
            </w:r>
          </w:p>
        </w:tc>
      </w:tr>
      <w:tr w:rsidR="00B6148C" w:rsidRPr="009702A1" w14:paraId="6F61AC1C" w14:textId="77777777" w:rsidTr="00B6148C">
        <w:trPr>
          <w:trHeight w:val="270"/>
          <w:jc w:val="center"/>
        </w:trPr>
        <w:tc>
          <w:tcPr>
            <w:cnfStyle w:val="001000000000" w:firstRow="0" w:lastRow="0" w:firstColumn="1" w:lastColumn="0" w:oddVBand="0" w:evenVBand="0" w:oddHBand="0" w:evenHBand="0" w:firstRowFirstColumn="0" w:firstRowLastColumn="0" w:lastRowFirstColumn="0" w:lastRowLastColumn="0"/>
            <w:tcW w:w="856" w:type="pct"/>
            <w:vMerge/>
            <w:shd w:val="clear" w:color="auto" w:fill="auto"/>
            <w:noWrap/>
            <w:vAlign w:val="center"/>
            <w:hideMark/>
          </w:tcPr>
          <w:p w14:paraId="5AEC2205" w14:textId="77777777" w:rsidR="00B6148C" w:rsidRPr="009702A1" w:rsidRDefault="00B6148C" w:rsidP="00B6148C">
            <w:pPr>
              <w:jc w:val="center"/>
              <w:rPr>
                <w:rFonts w:ascii="Times New Roman" w:eastAsia="Times New Roman" w:hAnsi="Times New Roman"/>
                <w:sz w:val="20"/>
              </w:rPr>
            </w:pPr>
          </w:p>
        </w:tc>
        <w:tc>
          <w:tcPr>
            <w:tcW w:w="2030" w:type="pct"/>
            <w:shd w:val="clear" w:color="auto" w:fill="auto"/>
            <w:noWrap/>
            <w:vAlign w:val="center"/>
            <w:hideMark/>
          </w:tcPr>
          <w:p w14:paraId="2FE204BE" w14:textId="77777777" w:rsidR="00B6148C" w:rsidRPr="009702A1" w:rsidRDefault="00B6148C" w:rsidP="00B6148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Outro</w:t>
            </w:r>
          </w:p>
        </w:tc>
        <w:tc>
          <w:tcPr>
            <w:tcW w:w="1174" w:type="pct"/>
            <w:shd w:val="clear" w:color="auto" w:fill="auto"/>
            <w:noWrap/>
            <w:vAlign w:val="center"/>
            <w:hideMark/>
          </w:tcPr>
          <w:p w14:paraId="0CDCA838" w14:textId="77777777" w:rsidR="00B6148C" w:rsidRPr="009702A1" w:rsidRDefault="00B6148C" w:rsidP="00B6148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7</w:t>
            </w:r>
          </w:p>
        </w:tc>
        <w:tc>
          <w:tcPr>
            <w:tcW w:w="939" w:type="pct"/>
            <w:shd w:val="clear" w:color="auto" w:fill="auto"/>
            <w:noWrap/>
            <w:vAlign w:val="center"/>
            <w:hideMark/>
          </w:tcPr>
          <w:p w14:paraId="082E32DB" w14:textId="77777777" w:rsidR="00B6148C" w:rsidRPr="009702A1" w:rsidRDefault="00B6148C" w:rsidP="00B6148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2,13</w:t>
            </w:r>
          </w:p>
        </w:tc>
      </w:tr>
      <w:tr w:rsidR="00B6148C" w:rsidRPr="009702A1" w14:paraId="742BBB2F" w14:textId="77777777" w:rsidTr="00B6148C">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56" w:type="pct"/>
            <w:vMerge/>
            <w:tcBorders>
              <w:left w:val="none" w:sz="0" w:space="0" w:color="auto"/>
              <w:right w:val="none" w:sz="0" w:space="0" w:color="auto"/>
            </w:tcBorders>
            <w:shd w:val="clear" w:color="auto" w:fill="auto"/>
            <w:noWrap/>
            <w:vAlign w:val="center"/>
            <w:hideMark/>
          </w:tcPr>
          <w:p w14:paraId="1114A2FD" w14:textId="77777777" w:rsidR="00B6148C" w:rsidRPr="009702A1" w:rsidRDefault="00B6148C" w:rsidP="00B6148C">
            <w:pPr>
              <w:jc w:val="center"/>
              <w:rPr>
                <w:rFonts w:ascii="Times New Roman" w:eastAsia="Times New Roman" w:hAnsi="Times New Roman"/>
                <w:sz w:val="20"/>
              </w:rPr>
            </w:pPr>
          </w:p>
        </w:tc>
        <w:tc>
          <w:tcPr>
            <w:tcW w:w="2030" w:type="pct"/>
            <w:tcBorders>
              <w:left w:val="none" w:sz="0" w:space="0" w:color="auto"/>
              <w:right w:val="none" w:sz="0" w:space="0" w:color="auto"/>
            </w:tcBorders>
            <w:shd w:val="clear" w:color="auto" w:fill="auto"/>
            <w:noWrap/>
            <w:vAlign w:val="center"/>
            <w:hideMark/>
          </w:tcPr>
          <w:p w14:paraId="5FBD7E47" w14:textId="77777777" w:rsidR="00B6148C" w:rsidRPr="009702A1" w:rsidRDefault="00B6148C" w:rsidP="00B6148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Separado</w:t>
            </w:r>
          </w:p>
        </w:tc>
        <w:tc>
          <w:tcPr>
            <w:tcW w:w="1174" w:type="pct"/>
            <w:tcBorders>
              <w:left w:val="none" w:sz="0" w:space="0" w:color="auto"/>
              <w:right w:val="none" w:sz="0" w:space="0" w:color="auto"/>
            </w:tcBorders>
            <w:shd w:val="clear" w:color="auto" w:fill="auto"/>
            <w:noWrap/>
            <w:vAlign w:val="center"/>
            <w:hideMark/>
          </w:tcPr>
          <w:p w14:paraId="03A256BE" w14:textId="77777777" w:rsidR="00B6148C" w:rsidRPr="009702A1" w:rsidRDefault="00B6148C" w:rsidP="00B6148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8</w:t>
            </w:r>
          </w:p>
        </w:tc>
        <w:tc>
          <w:tcPr>
            <w:tcW w:w="939" w:type="pct"/>
            <w:tcBorders>
              <w:left w:val="none" w:sz="0" w:space="0" w:color="auto"/>
              <w:right w:val="none" w:sz="0" w:space="0" w:color="auto"/>
            </w:tcBorders>
            <w:shd w:val="clear" w:color="auto" w:fill="auto"/>
            <w:noWrap/>
            <w:vAlign w:val="center"/>
            <w:hideMark/>
          </w:tcPr>
          <w:p w14:paraId="05E66E8D" w14:textId="77777777" w:rsidR="00B6148C" w:rsidRPr="009702A1" w:rsidRDefault="00B6148C" w:rsidP="00B6148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2,43</w:t>
            </w:r>
          </w:p>
        </w:tc>
      </w:tr>
      <w:tr w:rsidR="00B6148C" w:rsidRPr="009702A1" w14:paraId="440E0708" w14:textId="77777777" w:rsidTr="00B6148C">
        <w:trPr>
          <w:trHeight w:val="270"/>
          <w:jc w:val="center"/>
        </w:trPr>
        <w:tc>
          <w:tcPr>
            <w:cnfStyle w:val="001000000000" w:firstRow="0" w:lastRow="0" w:firstColumn="1" w:lastColumn="0" w:oddVBand="0" w:evenVBand="0" w:oddHBand="0" w:evenHBand="0" w:firstRowFirstColumn="0" w:firstRowLastColumn="0" w:lastRowFirstColumn="0" w:lastRowLastColumn="0"/>
            <w:tcW w:w="856" w:type="pct"/>
            <w:vMerge/>
            <w:shd w:val="clear" w:color="auto" w:fill="auto"/>
            <w:noWrap/>
            <w:vAlign w:val="center"/>
            <w:hideMark/>
          </w:tcPr>
          <w:p w14:paraId="4CB90178" w14:textId="77777777" w:rsidR="00B6148C" w:rsidRPr="009702A1" w:rsidRDefault="00B6148C" w:rsidP="00B6148C">
            <w:pPr>
              <w:jc w:val="center"/>
              <w:rPr>
                <w:rFonts w:ascii="Times New Roman" w:eastAsia="Times New Roman" w:hAnsi="Times New Roman"/>
                <w:sz w:val="20"/>
              </w:rPr>
            </w:pPr>
          </w:p>
        </w:tc>
        <w:tc>
          <w:tcPr>
            <w:tcW w:w="2030" w:type="pct"/>
            <w:shd w:val="clear" w:color="auto" w:fill="auto"/>
            <w:noWrap/>
            <w:vAlign w:val="center"/>
            <w:hideMark/>
          </w:tcPr>
          <w:p w14:paraId="707A3B1F" w14:textId="77777777" w:rsidR="00B6148C" w:rsidRPr="009702A1" w:rsidRDefault="00B6148C" w:rsidP="00B6148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Solteiro</w:t>
            </w:r>
          </w:p>
        </w:tc>
        <w:tc>
          <w:tcPr>
            <w:tcW w:w="1174" w:type="pct"/>
            <w:shd w:val="clear" w:color="auto" w:fill="auto"/>
            <w:noWrap/>
            <w:vAlign w:val="center"/>
            <w:hideMark/>
          </w:tcPr>
          <w:p w14:paraId="1C3B0EFF" w14:textId="77777777" w:rsidR="00B6148C" w:rsidRPr="009702A1" w:rsidRDefault="00B6148C" w:rsidP="00B6148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252</w:t>
            </w:r>
          </w:p>
        </w:tc>
        <w:tc>
          <w:tcPr>
            <w:tcW w:w="939" w:type="pct"/>
            <w:shd w:val="clear" w:color="auto" w:fill="auto"/>
            <w:noWrap/>
            <w:vAlign w:val="center"/>
            <w:hideMark/>
          </w:tcPr>
          <w:p w14:paraId="20BB147F" w14:textId="77777777" w:rsidR="00B6148C" w:rsidRPr="009702A1" w:rsidRDefault="00B6148C" w:rsidP="00B6148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76,60</w:t>
            </w:r>
          </w:p>
        </w:tc>
      </w:tr>
      <w:tr w:rsidR="00B6148C" w:rsidRPr="009702A1" w14:paraId="3F4AC53D" w14:textId="77777777" w:rsidTr="00B6148C">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56" w:type="pct"/>
            <w:vMerge/>
            <w:tcBorders>
              <w:left w:val="none" w:sz="0" w:space="0" w:color="auto"/>
              <w:right w:val="none" w:sz="0" w:space="0" w:color="auto"/>
            </w:tcBorders>
            <w:shd w:val="clear" w:color="auto" w:fill="auto"/>
            <w:noWrap/>
            <w:vAlign w:val="center"/>
            <w:hideMark/>
          </w:tcPr>
          <w:p w14:paraId="69308EE7" w14:textId="77777777" w:rsidR="00B6148C" w:rsidRPr="009702A1" w:rsidRDefault="00B6148C" w:rsidP="00B6148C">
            <w:pPr>
              <w:ind w:firstLine="0"/>
              <w:jc w:val="center"/>
              <w:rPr>
                <w:rFonts w:ascii="Times New Roman" w:eastAsia="Times New Roman" w:hAnsi="Times New Roman"/>
                <w:sz w:val="20"/>
              </w:rPr>
            </w:pPr>
          </w:p>
        </w:tc>
        <w:tc>
          <w:tcPr>
            <w:tcW w:w="2030" w:type="pct"/>
            <w:tcBorders>
              <w:left w:val="none" w:sz="0" w:space="0" w:color="auto"/>
              <w:right w:val="none" w:sz="0" w:space="0" w:color="auto"/>
            </w:tcBorders>
            <w:shd w:val="clear" w:color="auto" w:fill="auto"/>
            <w:noWrap/>
            <w:vAlign w:val="center"/>
            <w:hideMark/>
          </w:tcPr>
          <w:p w14:paraId="06E71B53" w14:textId="77777777" w:rsidR="00B6148C" w:rsidRPr="009702A1" w:rsidRDefault="00B6148C" w:rsidP="00B6148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União Estável</w:t>
            </w:r>
          </w:p>
        </w:tc>
        <w:tc>
          <w:tcPr>
            <w:tcW w:w="1174" w:type="pct"/>
            <w:tcBorders>
              <w:left w:val="none" w:sz="0" w:space="0" w:color="auto"/>
              <w:right w:val="none" w:sz="0" w:space="0" w:color="auto"/>
            </w:tcBorders>
            <w:shd w:val="clear" w:color="auto" w:fill="auto"/>
            <w:noWrap/>
            <w:vAlign w:val="center"/>
            <w:hideMark/>
          </w:tcPr>
          <w:p w14:paraId="6B0FE5BD" w14:textId="77777777" w:rsidR="00B6148C" w:rsidRPr="009702A1" w:rsidRDefault="00B6148C" w:rsidP="00B6148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27</w:t>
            </w:r>
          </w:p>
        </w:tc>
        <w:tc>
          <w:tcPr>
            <w:tcW w:w="939" w:type="pct"/>
            <w:tcBorders>
              <w:left w:val="none" w:sz="0" w:space="0" w:color="auto"/>
              <w:right w:val="none" w:sz="0" w:space="0" w:color="auto"/>
            </w:tcBorders>
            <w:shd w:val="clear" w:color="auto" w:fill="auto"/>
            <w:noWrap/>
            <w:vAlign w:val="center"/>
            <w:hideMark/>
          </w:tcPr>
          <w:p w14:paraId="5BED7267" w14:textId="77777777" w:rsidR="00B6148C" w:rsidRPr="009702A1" w:rsidRDefault="00B6148C" w:rsidP="00B6148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8,21</w:t>
            </w:r>
          </w:p>
        </w:tc>
      </w:tr>
      <w:tr w:rsidR="00B6148C" w:rsidRPr="009702A1" w14:paraId="49E31AA7" w14:textId="77777777" w:rsidTr="00B6148C">
        <w:trPr>
          <w:trHeight w:val="270"/>
          <w:jc w:val="center"/>
        </w:trPr>
        <w:tc>
          <w:tcPr>
            <w:cnfStyle w:val="001000000000" w:firstRow="0" w:lastRow="0" w:firstColumn="1" w:lastColumn="0" w:oddVBand="0" w:evenVBand="0" w:oddHBand="0" w:evenHBand="0" w:firstRowFirstColumn="0" w:firstRowLastColumn="0" w:lastRowFirstColumn="0" w:lastRowLastColumn="0"/>
            <w:tcW w:w="856" w:type="pct"/>
            <w:vMerge w:val="restart"/>
            <w:shd w:val="clear" w:color="auto" w:fill="auto"/>
            <w:noWrap/>
            <w:vAlign w:val="center"/>
            <w:hideMark/>
          </w:tcPr>
          <w:p w14:paraId="327D9D9D" w14:textId="77777777" w:rsidR="00B6148C" w:rsidRPr="009702A1" w:rsidRDefault="00B6148C" w:rsidP="00B6148C">
            <w:pPr>
              <w:ind w:firstLine="0"/>
              <w:jc w:val="center"/>
              <w:rPr>
                <w:rFonts w:ascii="Times New Roman" w:eastAsia="Times New Roman" w:hAnsi="Times New Roman"/>
                <w:sz w:val="20"/>
              </w:rPr>
            </w:pPr>
            <w:r w:rsidRPr="009702A1">
              <w:rPr>
                <w:rFonts w:ascii="Times New Roman" w:eastAsia="Times New Roman" w:hAnsi="Times New Roman"/>
                <w:sz w:val="20"/>
              </w:rPr>
              <w:t>Dependentes</w:t>
            </w:r>
          </w:p>
        </w:tc>
        <w:tc>
          <w:tcPr>
            <w:tcW w:w="2030" w:type="pct"/>
            <w:shd w:val="clear" w:color="auto" w:fill="auto"/>
            <w:noWrap/>
            <w:vAlign w:val="center"/>
            <w:hideMark/>
          </w:tcPr>
          <w:p w14:paraId="18144B75" w14:textId="77777777" w:rsidR="00B6148C" w:rsidRPr="009702A1" w:rsidRDefault="00B6148C" w:rsidP="00B6148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Nenhum</w:t>
            </w:r>
          </w:p>
        </w:tc>
        <w:tc>
          <w:tcPr>
            <w:tcW w:w="1174" w:type="pct"/>
            <w:shd w:val="clear" w:color="auto" w:fill="auto"/>
            <w:noWrap/>
            <w:vAlign w:val="center"/>
            <w:hideMark/>
          </w:tcPr>
          <w:p w14:paraId="5D9F7C8D" w14:textId="77777777" w:rsidR="00B6148C" w:rsidRPr="009702A1" w:rsidRDefault="00B6148C" w:rsidP="00B6148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246</w:t>
            </w:r>
          </w:p>
        </w:tc>
        <w:tc>
          <w:tcPr>
            <w:tcW w:w="939" w:type="pct"/>
            <w:shd w:val="clear" w:color="auto" w:fill="auto"/>
            <w:noWrap/>
            <w:vAlign w:val="center"/>
            <w:hideMark/>
          </w:tcPr>
          <w:p w14:paraId="4A7A1E24" w14:textId="77777777" w:rsidR="00B6148C" w:rsidRPr="009702A1" w:rsidRDefault="00B6148C" w:rsidP="00B6148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74,77</w:t>
            </w:r>
          </w:p>
        </w:tc>
      </w:tr>
      <w:tr w:rsidR="00B6148C" w:rsidRPr="009702A1" w14:paraId="17C1E862" w14:textId="77777777" w:rsidTr="00B6148C">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56" w:type="pct"/>
            <w:vMerge/>
            <w:tcBorders>
              <w:left w:val="none" w:sz="0" w:space="0" w:color="auto"/>
              <w:right w:val="none" w:sz="0" w:space="0" w:color="auto"/>
            </w:tcBorders>
            <w:shd w:val="clear" w:color="auto" w:fill="auto"/>
            <w:noWrap/>
            <w:vAlign w:val="center"/>
            <w:hideMark/>
          </w:tcPr>
          <w:p w14:paraId="28824EC3" w14:textId="77777777" w:rsidR="00B6148C" w:rsidRPr="009702A1" w:rsidRDefault="00B6148C" w:rsidP="00B6148C">
            <w:pPr>
              <w:jc w:val="center"/>
              <w:rPr>
                <w:rFonts w:ascii="Times New Roman" w:eastAsia="Times New Roman" w:hAnsi="Times New Roman"/>
                <w:sz w:val="20"/>
              </w:rPr>
            </w:pPr>
          </w:p>
        </w:tc>
        <w:tc>
          <w:tcPr>
            <w:tcW w:w="2030" w:type="pct"/>
            <w:tcBorders>
              <w:left w:val="none" w:sz="0" w:space="0" w:color="auto"/>
              <w:right w:val="none" w:sz="0" w:space="0" w:color="auto"/>
            </w:tcBorders>
            <w:shd w:val="clear" w:color="auto" w:fill="auto"/>
            <w:noWrap/>
            <w:vAlign w:val="center"/>
            <w:hideMark/>
          </w:tcPr>
          <w:p w14:paraId="2A145D5E" w14:textId="77777777" w:rsidR="00B6148C" w:rsidRPr="009702A1" w:rsidRDefault="00B6148C" w:rsidP="00B6148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Um</w:t>
            </w:r>
          </w:p>
        </w:tc>
        <w:tc>
          <w:tcPr>
            <w:tcW w:w="1174" w:type="pct"/>
            <w:tcBorders>
              <w:left w:val="none" w:sz="0" w:space="0" w:color="auto"/>
              <w:right w:val="none" w:sz="0" w:space="0" w:color="auto"/>
            </w:tcBorders>
            <w:shd w:val="clear" w:color="auto" w:fill="auto"/>
            <w:noWrap/>
            <w:vAlign w:val="center"/>
            <w:hideMark/>
          </w:tcPr>
          <w:p w14:paraId="6A4EA069" w14:textId="77777777" w:rsidR="00B6148C" w:rsidRPr="009702A1" w:rsidRDefault="00B6148C" w:rsidP="00B6148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47</w:t>
            </w:r>
          </w:p>
        </w:tc>
        <w:tc>
          <w:tcPr>
            <w:tcW w:w="939" w:type="pct"/>
            <w:tcBorders>
              <w:left w:val="none" w:sz="0" w:space="0" w:color="auto"/>
              <w:right w:val="none" w:sz="0" w:space="0" w:color="auto"/>
            </w:tcBorders>
            <w:shd w:val="clear" w:color="auto" w:fill="auto"/>
            <w:noWrap/>
            <w:vAlign w:val="center"/>
            <w:hideMark/>
          </w:tcPr>
          <w:p w14:paraId="656CBE00" w14:textId="77777777" w:rsidR="00B6148C" w:rsidRPr="009702A1" w:rsidRDefault="00B6148C" w:rsidP="00B6148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14,29</w:t>
            </w:r>
          </w:p>
        </w:tc>
      </w:tr>
      <w:tr w:rsidR="00B6148C" w:rsidRPr="009702A1" w14:paraId="34EB9E20" w14:textId="77777777" w:rsidTr="00B6148C">
        <w:trPr>
          <w:trHeight w:val="270"/>
          <w:jc w:val="center"/>
        </w:trPr>
        <w:tc>
          <w:tcPr>
            <w:cnfStyle w:val="001000000000" w:firstRow="0" w:lastRow="0" w:firstColumn="1" w:lastColumn="0" w:oddVBand="0" w:evenVBand="0" w:oddHBand="0" w:evenHBand="0" w:firstRowFirstColumn="0" w:firstRowLastColumn="0" w:lastRowFirstColumn="0" w:lastRowLastColumn="0"/>
            <w:tcW w:w="856" w:type="pct"/>
            <w:vMerge/>
            <w:shd w:val="clear" w:color="auto" w:fill="auto"/>
            <w:noWrap/>
            <w:vAlign w:val="center"/>
            <w:hideMark/>
          </w:tcPr>
          <w:p w14:paraId="04FCBE0A" w14:textId="77777777" w:rsidR="00B6148C" w:rsidRPr="009702A1" w:rsidRDefault="00B6148C" w:rsidP="00B6148C">
            <w:pPr>
              <w:jc w:val="center"/>
              <w:rPr>
                <w:rFonts w:ascii="Times New Roman" w:eastAsia="Times New Roman" w:hAnsi="Times New Roman"/>
                <w:sz w:val="20"/>
              </w:rPr>
            </w:pPr>
          </w:p>
        </w:tc>
        <w:tc>
          <w:tcPr>
            <w:tcW w:w="2030" w:type="pct"/>
            <w:shd w:val="clear" w:color="auto" w:fill="auto"/>
            <w:noWrap/>
            <w:vAlign w:val="center"/>
            <w:hideMark/>
          </w:tcPr>
          <w:p w14:paraId="6F132F37" w14:textId="77777777" w:rsidR="00B6148C" w:rsidRPr="009702A1" w:rsidRDefault="00B6148C" w:rsidP="00B6148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Dois</w:t>
            </w:r>
          </w:p>
        </w:tc>
        <w:tc>
          <w:tcPr>
            <w:tcW w:w="1174" w:type="pct"/>
            <w:shd w:val="clear" w:color="auto" w:fill="auto"/>
            <w:noWrap/>
            <w:vAlign w:val="center"/>
            <w:hideMark/>
          </w:tcPr>
          <w:p w14:paraId="4E0749EA" w14:textId="77777777" w:rsidR="00B6148C" w:rsidRPr="009702A1" w:rsidRDefault="00B6148C" w:rsidP="00B6148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30</w:t>
            </w:r>
          </w:p>
        </w:tc>
        <w:tc>
          <w:tcPr>
            <w:tcW w:w="939" w:type="pct"/>
            <w:shd w:val="clear" w:color="auto" w:fill="auto"/>
            <w:noWrap/>
            <w:vAlign w:val="center"/>
            <w:hideMark/>
          </w:tcPr>
          <w:p w14:paraId="08AB7672" w14:textId="77777777" w:rsidR="00B6148C" w:rsidRPr="009702A1" w:rsidRDefault="00B6148C" w:rsidP="00B6148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9,12</w:t>
            </w:r>
          </w:p>
        </w:tc>
      </w:tr>
      <w:tr w:rsidR="00B6148C" w:rsidRPr="009702A1" w14:paraId="265331E7" w14:textId="77777777" w:rsidTr="00B6148C">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56" w:type="pct"/>
            <w:vMerge/>
            <w:tcBorders>
              <w:left w:val="none" w:sz="0" w:space="0" w:color="auto"/>
              <w:right w:val="none" w:sz="0" w:space="0" w:color="auto"/>
            </w:tcBorders>
            <w:shd w:val="clear" w:color="auto" w:fill="auto"/>
            <w:noWrap/>
            <w:vAlign w:val="center"/>
            <w:hideMark/>
          </w:tcPr>
          <w:p w14:paraId="4E1DF9A1" w14:textId="77777777" w:rsidR="00B6148C" w:rsidRPr="009702A1" w:rsidRDefault="00B6148C" w:rsidP="00B6148C">
            <w:pPr>
              <w:jc w:val="center"/>
              <w:rPr>
                <w:rFonts w:ascii="Times New Roman" w:eastAsia="Times New Roman" w:hAnsi="Times New Roman"/>
                <w:sz w:val="20"/>
              </w:rPr>
            </w:pPr>
          </w:p>
        </w:tc>
        <w:tc>
          <w:tcPr>
            <w:tcW w:w="2030" w:type="pct"/>
            <w:tcBorders>
              <w:left w:val="none" w:sz="0" w:space="0" w:color="auto"/>
              <w:right w:val="none" w:sz="0" w:space="0" w:color="auto"/>
            </w:tcBorders>
            <w:shd w:val="clear" w:color="auto" w:fill="auto"/>
            <w:noWrap/>
            <w:vAlign w:val="center"/>
            <w:hideMark/>
          </w:tcPr>
          <w:p w14:paraId="6EFE84AE" w14:textId="77777777" w:rsidR="00B6148C" w:rsidRPr="009702A1" w:rsidRDefault="00B6148C" w:rsidP="00B6148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Três</w:t>
            </w:r>
          </w:p>
        </w:tc>
        <w:tc>
          <w:tcPr>
            <w:tcW w:w="1174" w:type="pct"/>
            <w:tcBorders>
              <w:left w:val="none" w:sz="0" w:space="0" w:color="auto"/>
              <w:right w:val="none" w:sz="0" w:space="0" w:color="auto"/>
            </w:tcBorders>
            <w:shd w:val="clear" w:color="auto" w:fill="auto"/>
            <w:noWrap/>
            <w:vAlign w:val="center"/>
            <w:hideMark/>
          </w:tcPr>
          <w:p w14:paraId="3534F655" w14:textId="77777777" w:rsidR="00B6148C" w:rsidRPr="009702A1" w:rsidRDefault="00B6148C" w:rsidP="00B6148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3</w:t>
            </w:r>
          </w:p>
        </w:tc>
        <w:tc>
          <w:tcPr>
            <w:tcW w:w="939" w:type="pct"/>
            <w:tcBorders>
              <w:left w:val="none" w:sz="0" w:space="0" w:color="auto"/>
              <w:right w:val="none" w:sz="0" w:space="0" w:color="auto"/>
            </w:tcBorders>
            <w:shd w:val="clear" w:color="auto" w:fill="auto"/>
            <w:noWrap/>
            <w:vAlign w:val="center"/>
            <w:hideMark/>
          </w:tcPr>
          <w:p w14:paraId="4BDADCBE" w14:textId="77777777" w:rsidR="00B6148C" w:rsidRPr="009702A1" w:rsidRDefault="00B6148C" w:rsidP="00B6148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0,91</w:t>
            </w:r>
          </w:p>
        </w:tc>
      </w:tr>
      <w:tr w:rsidR="00B6148C" w:rsidRPr="009702A1" w14:paraId="64B23CC9" w14:textId="77777777" w:rsidTr="00B6148C">
        <w:trPr>
          <w:trHeight w:val="270"/>
          <w:jc w:val="center"/>
        </w:trPr>
        <w:tc>
          <w:tcPr>
            <w:cnfStyle w:val="001000000000" w:firstRow="0" w:lastRow="0" w:firstColumn="1" w:lastColumn="0" w:oddVBand="0" w:evenVBand="0" w:oddHBand="0" w:evenHBand="0" w:firstRowFirstColumn="0" w:firstRowLastColumn="0" w:lastRowFirstColumn="0" w:lastRowLastColumn="0"/>
            <w:tcW w:w="856" w:type="pct"/>
            <w:vMerge/>
            <w:shd w:val="clear" w:color="auto" w:fill="auto"/>
            <w:noWrap/>
            <w:vAlign w:val="center"/>
            <w:hideMark/>
          </w:tcPr>
          <w:p w14:paraId="60AE2C54" w14:textId="77777777" w:rsidR="00B6148C" w:rsidRPr="009702A1" w:rsidRDefault="00B6148C" w:rsidP="00B6148C">
            <w:pPr>
              <w:ind w:firstLine="0"/>
              <w:jc w:val="center"/>
              <w:rPr>
                <w:rFonts w:ascii="Times New Roman" w:eastAsia="Times New Roman" w:hAnsi="Times New Roman"/>
                <w:sz w:val="20"/>
              </w:rPr>
            </w:pPr>
          </w:p>
        </w:tc>
        <w:tc>
          <w:tcPr>
            <w:tcW w:w="2030" w:type="pct"/>
            <w:shd w:val="clear" w:color="auto" w:fill="auto"/>
            <w:noWrap/>
            <w:vAlign w:val="center"/>
            <w:hideMark/>
          </w:tcPr>
          <w:p w14:paraId="14E78250" w14:textId="77777777" w:rsidR="00B6148C" w:rsidRPr="009702A1" w:rsidRDefault="00B6148C" w:rsidP="00B6148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4 ou mais</w:t>
            </w:r>
          </w:p>
        </w:tc>
        <w:tc>
          <w:tcPr>
            <w:tcW w:w="1174" w:type="pct"/>
            <w:shd w:val="clear" w:color="auto" w:fill="auto"/>
            <w:noWrap/>
            <w:vAlign w:val="center"/>
            <w:hideMark/>
          </w:tcPr>
          <w:p w14:paraId="107EEAD7" w14:textId="77777777" w:rsidR="00B6148C" w:rsidRPr="009702A1" w:rsidRDefault="00B6148C" w:rsidP="00B6148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3</w:t>
            </w:r>
          </w:p>
        </w:tc>
        <w:tc>
          <w:tcPr>
            <w:tcW w:w="939" w:type="pct"/>
            <w:shd w:val="clear" w:color="auto" w:fill="auto"/>
            <w:noWrap/>
            <w:vAlign w:val="center"/>
            <w:hideMark/>
          </w:tcPr>
          <w:p w14:paraId="70040149" w14:textId="77777777" w:rsidR="00B6148C" w:rsidRPr="009702A1" w:rsidRDefault="00B6148C" w:rsidP="00B6148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0,91</w:t>
            </w:r>
          </w:p>
        </w:tc>
      </w:tr>
      <w:tr w:rsidR="00B6148C" w:rsidRPr="009702A1" w14:paraId="70998BC9" w14:textId="77777777" w:rsidTr="00B6148C">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56" w:type="pct"/>
            <w:vMerge w:val="restart"/>
            <w:tcBorders>
              <w:left w:val="none" w:sz="0" w:space="0" w:color="auto"/>
              <w:right w:val="none" w:sz="0" w:space="0" w:color="auto"/>
            </w:tcBorders>
            <w:shd w:val="clear" w:color="auto" w:fill="auto"/>
            <w:noWrap/>
            <w:vAlign w:val="center"/>
            <w:hideMark/>
          </w:tcPr>
          <w:p w14:paraId="24D2E12F" w14:textId="77777777" w:rsidR="00B6148C" w:rsidRPr="009702A1" w:rsidRDefault="00B6148C" w:rsidP="00B6148C">
            <w:pPr>
              <w:ind w:firstLine="0"/>
              <w:jc w:val="center"/>
              <w:rPr>
                <w:rFonts w:ascii="Times New Roman" w:eastAsia="Times New Roman" w:hAnsi="Times New Roman"/>
                <w:sz w:val="20"/>
              </w:rPr>
            </w:pPr>
            <w:r w:rsidRPr="009702A1">
              <w:rPr>
                <w:rFonts w:ascii="Times New Roman" w:eastAsia="Times New Roman" w:hAnsi="Times New Roman"/>
                <w:sz w:val="20"/>
              </w:rPr>
              <w:t>Moradia</w:t>
            </w:r>
          </w:p>
        </w:tc>
        <w:tc>
          <w:tcPr>
            <w:tcW w:w="2030" w:type="pct"/>
            <w:tcBorders>
              <w:left w:val="none" w:sz="0" w:space="0" w:color="auto"/>
              <w:right w:val="none" w:sz="0" w:space="0" w:color="auto"/>
            </w:tcBorders>
            <w:shd w:val="clear" w:color="auto" w:fill="auto"/>
            <w:noWrap/>
            <w:vAlign w:val="center"/>
            <w:hideMark/>
          </w:tcPr>
          <w:p w14:paraId="49158CB5" w14:textId="77777777" w:rsidR="00B6148C" w:rsidRPr="009702A1" w:rsidRDefault="00B6148C" w:rsidP="00B6148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Casa alugada</w:t>
            </w:r>
          </w:p>
        </w:tc>
        <w:tc>
          <w:tcPr>
            <w:tcW w:w="1174" w:type="pct"/>
            <w:tcBorders>
              <w:left w:val="none" w:sz="0" w:space="0" w:color="auto"/>
              <w:right w:val="none" w:sz="0" w:space="0" w:color="auto"/>
            </w:tcBorders>
            <w:shd w:val="clear" w:color="auto" w:fill="auto"/>
            <w:noWrap/>
            <w:vAlign w:val="center"/>
            <w:hideMark/>
          </w:tcPr>
          <w:p w14:paraId="5AC3E447" w14:textId="77777777" w:rsidR="00B6148C" w:rsidRPr="009702A1" w:rsidRDefault="00B6148C" w:rsidP="00B6148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70</w:t>
            </w:r>
          </w:p>
        </w:tc>
        <w:tc>
          <w:tcPr>
            <w:tcW w:w="939" w:type="pct"/>
            <w:tcBorders>
              <w:left w:val="none" w:sz="0" w:space="0" w:color="auto"/>
              <w:right w:val="none" w:sz="0" w:space="0" w:color="auto"/>
            </w:tcBorders>
            <w:shd w:val="clear" w:color="auto" w:fill="auto"/>
            <w:noWrap/>
            <w:vAlign w:val="center"/>
            <w:hideMark/>
          </w:tcPr>
          <w:p w14:paraId="2819608B" w14:textId="77777777" w:rsidR="00B6148C" w:rsidRPr="009702A1" w:rsidRDefault="00B6148C" w:rsidP="00B6148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21,28</w:t>
            </w:r>
          </w:p>
        </w:tc>
      </w:tr>
      <w:tr w:rsidR="00B6148C" w:rsidRPr="009702A1" w14:paraId="56EAFFCD" w14:textId="77777777" w:rsidTr="00B6148C">
        <w:trPr>
          <w:trHeight w:val="270"/>
          <w:jc w:val="center"/>
        </w:trPr>
        <w:tc>
          <w:tcPr>
            <w:cnfStyle w:val="001000000000" w:firstRow="0" w:lastRow="0" w:firstColumn="1" w:lastColumn="0" w:oddVBand="0" w:evenVBand="0" w:oddHBand="0" w:evenHBand="0" w:firstRowFirstColumn="0" w:firstRowLastColumn="0" w:lastRowFirstColumn="0" w:lastRowLastColumn="0"/>
            <w:tcW w:w="856" w:type="pct"/>
            <w:vMerge/>
            <w:shd w:val="clear" w:color="auto" w:fill="auto"/>
            <w:noWrap/>
            <w:vAlign w:val="center"/>
            <w:hideMark/>
          </w:tcPr>
          <w:p w14:paraId="4D948F50" w14:textId="77777777" w:rsidR="00B6148C" w:rsidRPr="009702A1" w:rsidRDefault="00B6148C" w:rsidP="00B6148C">
            <w:pPr>
              <w:jc w:val="center"/>
              <w:rPr>
                <w:rFonts w:ascii="Times New Roman" w:eastAsia="Times New Roman" w:hAnsi="Times New Roman"/>
                <w:sz w:val="20"/>
              </w:rPr>
            </w:pPr>
          </w:p>
        </w:tc>
        <w:tc>
          <w:tcPr>
            <w:tcW w:w="2030" w:type="pct"/>
            <w:shd w:val="clear" w:color="auto" w:fill="auto"/>
            <w:noWrap/>
            <w:vAlign w:val="center"/>
            <w:hideMark/>
          </w:tcPr>
          <w:p w14:paraId="574ABC1D" w14:textId="77777777" w:rsidR="00B6148C" w:rsidRPr="009702A1" w:rsidRDefault="00B6148C" w:rsidP="00B6148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Casa financiada (pagando prestações)</w:t>
            </w:r>
          </w:p>
        </w:tc>
        <w:tc>
          <w:tcPr>
            <w:tcW w:w="1174" w:type="pct"/>
            <w:shd w:val="clear" w:color="auto" w:fill="auto"/>
            <w:noWrap/>
            <w:vAlign w:val="center"/>
            <w:hideMark/>
          </w:tcPr>
          <w:p w14:paraId="691F8C62" w14:textId="77777777" w:rsidR="00B6148C" w:rsidRPr="009702A1" w:rsidRDefault="00B6148C" w:rsidP="00B6148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35</w:t>
            </w:r>
          </w:p>
        </w:tc>
        <w:tc>
          <w:tcPr>
            <w:tcW w:w="939" w:type="pct"/>
            <w:shd w:val="clear" w:color="auto" w:fill="auto"/>
            <w:noWrap/>
            <w:vAlign w:val="center"/>
            <w:hideMark/>
          </w:tcPr>
          <w:p w14:paraId="7A59825C" w14:textId="77777777" w:rsidR="00B6148C" w:rsidRPr="009702A1" w:rsidRDefault="00B6148C" w:rsidP="00B6148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10,64</w:t>
            </w:r>
          </w:p>
        </w:tc>
      </w:tr>
      <w:tr w:rsidR="00B6148C" w:rsidRPr="009702A1" w14:paraId="15FB5BDA" w14:textId="77777777" w:rsidTr="00B6148C">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56" w:type="pct"/>
            <w:vMerge/>
            <w:tcBorders>
              <w:left w:val="none" w:sz="0" w:space="0" w:color="auto"/>
              <w:right w:val="none" w:sz="0" w:space="0" w:color="auto"/>
            </w:tcBorders>
            <w:shd w:val="clear" w:color="auto" w:fill="auto"/>
            <w:noWrap/>
            <w:vAlign w:val="center"/>
            <w:hideMark/>
          </w:tcPr>
          <w:p w14:paraId="10644965" w14:textId="77777777" w:rsidR="00B6148C" w:rsidRPr="009702A1" w:rsidRDefault="00B6148C" w:rsidP="00B6148C">
            <w:pPr>
              <w:jc w:val="center"/>
              <w:rPr>
                <w:rFonts w:ascii="Times New Roman" w:eastAsia="Times New Roman" w:hAnsi="Times New Roman"/>
                <w:sz w:val="20"/>
              </w:rPr>
            </w:pPr>
          </w:p>
        </w:tc>
        <w:tc>
          <w:tcPr>
            <w:tcW w:w="2030" w:type="pct"/>
            <w:tcBorders>
              <w:left w:val="none" w:sz="0" w:space="0" w:color="auto"/>
              <w:right w:val="none" w:sz="0" w:space="0" w:color="auto"/>
            </w:tcBorders>
            <w:shd w:val="clear" w:color="auto" w:fill="auto"/>
            <w:noWrap/>
            <w:vAlign w:val="center"/>
            <w:hideMark/>
          </w:tcPr>
          <w:p w14:paraId="72606D12" w14:textId="77777777" w:rsidR="00B6148C" w:rsidRPr="009702A1" w:rsidRDefault="00B6148C" w:rsidP="00B6148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Casa própria que está quitada</w:t>
            </w:r>
          </w:p>
        </w:tc>
        <w:tc>
          <w:tcPr>
            <w:tcW w:w="1174" w:type="pct"/>
            <w:tcBorders>
              <w:left w:val="none" w:sz="0" w:space="0" w:color="auto"/>
              <w:right w:val="none" w:sz="0" w:space="0" w:color="auto"/>
            </w:tcBorders>
            <w:shd w:val="clear" w:color="auto" w:fill="auto"/>
            <w:noWrap/>
            <w:vAlign w:val="center"/>
            <w:hideMark/>
          </w:tcPr>
          <w:p w14:paraId="78455362" w14:textId="77777777" w:rsidR="00B6148C" w:rsidRPr="009702A1" w:rsidRDefault="00B6148C" w:rsidP="00B6148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81</w:t>
            </w:r>
          </w:p>
        </w:tc>
        <w:tc>
          <w:tcPr>
            <w:tcW w:w="939" w:type="pct"/>
            <w:tcBorders>
              <w:left w:val="none" w:sz="0" w:space="0" w:color="auto"/>
              <w:right w:val="none" w:sz="0" w:space="0" w:color="auto"/>
            </w:tcBorders>
            <w:shd w:val="clear" w:color="auto" w:fill="auto"/>
            <w:noWrap/>
            <w:vAlign w:val="center"/>
            <w:hideMark/>
          </w:tcPr>
          <w:p w14:paraId="169CBC95" w14:textId="77777777" w:rsidR="00B6148C" w:rsidRPr="009702A1" w:rsidRDefault="00B6148C" w:rsidP="00B6148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24,62</w:t>
            </w:r>
          </w:p>
        </w:tc>
      </w:tr>
      <w:tr w:rsidR="00B6148C" w:rsidRPr="009702A1" w14:paraId="12BEAEF4" w14:textId="77777777" w:rsidTr="00B6148C">
        <w:trPr>
          <w:trHeight w:val="270"/>
          <w:jc w:val="center"/>
        </w:trPr>
        <w:tc>
          <w:tcPr>
            <w:cnfStyle w:val="001000000000" w:firstRow="0" w:lastRow="0" w:firstColumn="1" w:lastColumn="0" w:oddVBand="0" w:evenVBand="0" w:oddHBand="0" w:evenHBand="0" w:firstRowFirstColumn="0" w:firstRowLastColumn="0" w:lastRowFirstColumn="0" w:lastRowLastColumn="0"/>
            <w:tcW w:w="856" w:type="pct"/>
            <w:vMerge/>
            <w:shd w:val="clear" w:color="auto" w:fill="auto"/>
            <w:noWrap/>
            <w:vAlign w:val="center"/>
            <w:hideMark/>
          </w:tcPr>
          <w:p w14:paraId="66FF64C1" w14:textId="77777777" w:rsidR="00B6148C" w:rsidRPr="009702A1" w:rsidRDefault="00B6148C" w:rsidP="00B6148C">
            <w:pPr>
              <w:jc w:val="center"/>
              <w:rPr>
                <w:rFonts w:ascii="Times New Roman" w:eastAsia="Times New Roman" w:hAnsi="Times New Roman"/>
                <w:sz w:val="20"/>
              </w:rPr>
            </w:pPr>
          </w:p>
        </w:tc>
        <w:tc>
          <w:tcPr>
            <w:tcW w:w="2030" w:type="pct"/>
            <w:shd w:val="clear" w:color="auto" w:fill="auto"/>
            <w:noWrap/>
            <w:vAlign w:val="center"/>
            <w:hideMark/>
          </w:tcPr>
          <w:p w14:paraId="6EC9208B" w14:textId="77777777" w:rsidR="00B6148C" w:rsidRPr="009702A1" w:rsidRDefault="00B6148C" w:rsidP="00B6148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Com familiares com auxílio nas despesas</w:t>
            </w:r>
          </w:p>
        </w:tc>
        <w:tc>
          <w:tcPr>
            <w:tcW w:w="1174" w:type="pct"/>
            <w:shd w:val="clear" w:color="auto" w:fill="auto"/>
            <w:noWrap/>
            <w:vAlign w:val="center"/>
            <w:hideMark/>
          </w:tcPr>
          <w:p w14:paraId="34F26BEF" w14:textId="77777777" w:rsidR="00B6148C" w:rsidRPr="009702A1" w:rsidRDefault="00B6148C" w:rsidP="00B6148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50</w:t>
            </w:r>
          </w:p>
        </w:tc>
        <w:tc>
          <w:tcPr>
            <w:tcW w:w="939" w:type="pct"/>
            <w:shd w:val="clear" w:color="auto" w:fill="auto"/>
            <w:noWrap/>
            <w:vAlign w:val="center"/>
            <w:hideMark/>
          </w:tcPr>
          <w:p w14:paraId="532377FB" w14:textId="77777777" w:rsidR="00B6148C" w:rsidRPr="009702A1" w:rsidRDefault="00B6148C" w:rsidP="00B6148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15,20</w:t>
            </w:r>
          </w:p>
        </w:tc>
      </w:tr>
      <w:tr w:rsidR="00B6148C" w:rsidRPr="009702A1" w14:paraId="30567566" w14:textId="77777777" w:rsidTr="00B6148C">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56" w:type="pct"/>
            <w:vMerge/>
            <w:tcBorders>
              <w:left w:val="none" w:sz="0" w:space="0" w:color="auto"/>
              <w:right w:val="none" w:sz="0" w:space="0" w:color="auto"/>
            </w:tcBorders>
            <w:shd w:val="clear" w:color="auto" w:fill="auto"/>
            <w:noWrap/>
            <w:vAlign w:val="center"/>
            <w:hideMark/>
          </w:tcPr>
          <w:p w14:paraId="384A8728" w14:textId="77777777" w:rsidR="00B6148C" w:rsidRPr="009702A1" w:rsidRDefault="00B6148C" w:rsidP="00B6148C">
            <w:pPr>
              <w:ind w:firstLine="0"/>
              <w:jc w:val="center"/>
              <w:rPr>
                <w:rFonts w:ascii="Times New Roman" w:eastAsia="Times New Roman" w:hAnsi="Times New Roman"/>
                <w:sz w:val="20"/>
              </w:rPr>
            </w:pPr>
          </w:p>
        </w:tc>
        <w:tc>
          <w:tcPr>
            <w:tcW w:w="2030" w:type="pct"/>
            <w:tcBorders>
              <w:left w:val="none" w:sz="0" w:space="0" w:color="auto"/>
              <w:right w:val="none" w:sz="0" w:space="0" w:color="auto"/>
            </w:tcBorders>
            <w:shd w:val="clear" w:color="auto" w:fill="auto"/>
            <w:noWrap/>
            <w:vAlign w:val="center"/>
            <w:hideMark/>
          </w:tcPr>
          <w:p w14:paraId="1E2FCC12" w14:textId="77777777" w:rsidR="00B6148C" w:rsidRPr="009702A1" w:rsidRDefault="00B6148C" w:rsidP="00B6148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Com fam. sem desp. com moradia</w:t>
            </w:r>
          </w:p>
        </w:tc>
        <w:tc>
          <w:tcPr>
            <w:tcW w:w="1174" w:type="pct"/>
            <w:tcBorders>
              <w:left w:val="none" w:sz="0" w:space="0" w:color="auto"/>
              <w:right w:val="none" w:sz="0" w:space="0" w:color="auto"/>
            </w:tcBorders>
            <w:shd w:val="clear" w:color="auto" w:fill="auto"/>
            <w:noWrap/>
            <w:vAlign w:val="center"/>
            <w:hideMark/>
          </w:tcPr>
          <w:p w14:paraId="2AB48D68" w14:textId="77777777" w:rsidR="00B6148C" w:rsidRPr="009702A1" w:rsidRDefault="00B6148C" w:rsidP="00B6148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93</w:t>
            </w:r>
          </w:p>
        </w:tc>
        <w:tc>
          <w:tcPr>
            <w:tcW w:w="939" w:type="pct"/>
            <w:tcBorders>
              <w:left w:val="none" w:sz="0" w:space="0" w:color="auto"/>
              <w:right w:val="none" w:sz="0" w:space="0" w:color="auto"/>
            </w:tcBorders>
            <w:shd w:val="clear" w:color="auto" w:fill="auto"/>
            <w:noWrap/>
            <w:vAlign w:val="center"/>
            <w:hideMark/>
          </w:tcPr>
          <w:p w14:paraId="6BA19177" w14:textId="77777777" w:rsidR="00B6148C" w:rsidRPr="009702A1" w:rsidRDefault="00B6148C" w:rsidP="00B6148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28,27</w:t>
            </w:r>
          </w:p>
        </w:tc>
      </w:tr>
      <w:tr w:rsidR="00B6148C" w:rsidRPr="009702A1" w14:paraId="4CCD976A" w14:textId="77777777" w:rsidTr="00B6148C">
        <w:trPr>
          <w:trHeight w:val="270"/>
          <w:jc w:val="center"/>
        </w:trPr>
        <w:tc>
          <w:tcPr>
            <w:cnfStyle w:val="001000000000" w:firstRow="0" w:lastRow="0" w:firstColumn="1" w:lastColumn="0" w:oddVBand="0" w:evenVBand="0" w:oddHBand="0" w:evenHBand="0" w:firstRowFirstColumn="0" w:firstRowLastColumn="0" w:lastRowFirstColumn="0" w:lastRowLastColumn="0"/>
            <w:tcW w:w="856" w:type="pct"/>
            <w:vMerge w:val="restart"/>
            <w:shd w:val="clear" w:color="auto" w:fill="auto"/>
            <w:noWrap/>
            <w:vAlign w:val="center"/>
            <w:hideMark/>
          </w:tcPr>
          <w:p w14:paraId="7FE28492" w14:textId="77777777" w:rsidR="00B6148C" w:rsidRPr="009702A1" w:rsidRDefault="00B6148C" w:rsidP="00B6148C">
            <w:pPr>
              <w:ind w:firstLine="0"/>
              <w:jc w:val="center"/>
              <w:rPr>
                <w:rFonts w:ascii="Times New Roman" w:eastAsia="Times New Roman" w:hAnsi="Times New Roman"/>
                <w:sz w:val="20"/>
              </w:rPr>
            </w:pPr>
            <w:r w:rsidRPr="009702A1">
              <w:rPr>
                <w:rFonts w:ascii="Times New Roman" w:eastAsia="Times New Roman" w:hAnsi="Times New Roman"/>
                <w:sz w:val="20"/>
              </w:rPr>
              <w:t>Trabalha</w:t>
            </w:r>
          </w:p>
        </w:tc>
        <w:tc>
          <w:tcPr>
            <w:tcW w:w="2030" w:type="pct"/>
            <w:shd w:val="clear" w:color="auto" w:fill="auto"/>
            <w:noWrap/>
            <w:vAlign w:val="center"/>
            <w:hideMark/>
          </w:tcPr>
          <w:p w14:paraId="3004CFEC" w14:textId="77777777" w:rsidR="00B6148C" w:rsidRPr="009702A1" w:rsidRDefault="00B6148C" w:rsidP="00B6148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Sim</w:t>
            </w:r>
          </w:p>
        </w:tc>
        <w:tc>
          <w:tcPr>
            <w:tcW w:w="1174" w:type="pct"/>
            <w:shd w:val="clear" w:color="auto" w:fill="auto"/>
            <w:noWrap/>
            <w:vAlign w:val="center"/>
            <w:hideMark/>
          </w:tcPr>
          <w:p w14:paraId="43A96661" w14:textId="77777777" w:rsidR="00B6148C" w:rsidRPr="009702A1" w:rsidRDefault="00B6148C" w:rsidP="00B6148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233</w:t>
            </w:r>
          </w:p>
        </w:tc>
        <w:tc>
          <w:tcPr>
            <w:tcW w:w="939" w:type="pct"/>
            <w:shd w:val="clear" w:color="auto" w:fill="auto"/>
            <w:noWrap/>
            <w:vAlign w:val="center"/>
            <w:hideMark/>
          </w:tcPr>
          <w:p w14:paraId="54C96251" w14:textId="77777777" w:rsidR="00B6148C" w:rsidRPr="009702A1" w:rsidRDefault="00B6148C" w:rsidP="00B6148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70,82</w:t>
            </w:r>
          </w:p>
        </w:tc>
      </w:tr>
      <w:tr w:rsidR="00B6148C" w:rsidRPr="009702A1" w14:paraId="17D13484" w14:textId="77777777" w:rsidTr="00B6148C">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56" w:type="pct"/>
            <w:vMerge/>
            <w:tcBorders>
              <w:left w:val="none" w:sz="0" w:space="0" w:color="auto"/>
              <w:right w:val="none" w:sz="0" w:space="0" w:color="auto"/>
            </w:tcBorders>
            <w:shd w:val="clear" w:color="auto" w:fill="auto"/>
            <w:noWrap/>
            <w:vAlign w:val="center"/>
            <w:hideMark/>
          </w:tcPr>
          <w:p w14:paraId="06369D1F" w14:textId="77777777" w:rsidR="00B6148C" w:rsidRPr="009702A1" w:rsidRDefault="00B6148C" w:rsidP="00B6148C">
            <w:pPr>
              <w:ind w:firstLine="0"/>
              <w:jc w:val="center"/>
              <w:rPr>
                <w:rFonts w:ascii="Times New Roman" w:eastAsia="Times New Roman" w:hAnsi="Times New Roman"/>
                <w:sz w:val="20"/>
              </w:rPr>
            </w:pPr>
          </w:p>
        </w:tc>
        <w:tc>
          <w:tcPr>
            <w:tcW w:w="2030" w:type="pct"/>
            <w:tcBorders>
              <w:left w:val="none" w:sz="0" w:space="0" w:color="auto"/>
              <w:right w:val="none" w:sz="0" w:space="0" w:color="auto"/>
            </w:tcBorders>
            <w:shd w:val="clear" w:color="auto" w:fill="auto"/>
            <w:noWrap/>
            <w:vAlign w:val="center"/>
            <w:hideMark/>
          </w:tcPr>
          <w:p w14:paraId="7836590B" w14:textId="77777777" w:rsidR="00B6148C" w:rsidRPr="009702A1" w:rsidRDefault="00B6148C" w:rsidP="00B6148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Não</w:t>
            </w:r>
          </w:p>
        </w:tc>
        <w:tc>
          <w:tcPr>
            <w:tcW w:w="1174" w:type="pct"/>
            <w:tcBorders>
              <w:left w:val="none" w:sz="0" w:space="0" w:color="auto"/>
              <w:right w:val="none" w:sz="0" w:space="0" w:color="auto"/>
            </w:tcBorders>
            <w:shd w:val="clear" w:color="auto" w:fill="auto"/>
            <w:noWrap/>
            <w:vAlign w:val="center"/>
            <w:hideMark/>
          </w:tcPr>
          <w:p w14:paraId="5802F055" w14:textId="77777777" w:rsidR="00B6148C" w:rsidRPr="009702A1" w:rsidRDefault="00B6148C" w:rsidP="00B6148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96</w:t>
            </w:r>
          </w:p>
        </w:tc>
        <w:tc>
          <w:tcPr>
            <w:tcW w:w="939" w:type="pct"/>
            <w:tcBorders>
              <w:left w:val="none" w:sz="0" w:space="0" w:color="auto"/>
              <w:right w:val="none" w:sz="0" w:space="0" w:color="auto"/>
            </w:tcBorders>
            <w:shd w:val="clear" w:color="auto" w:fill="auto"/>
            <w:noWrap/>
            <w:vAlign w:val="center"/>
            <w:hideMark/>
          </w:tcPr>
          <w:p w14:paraId="03CAD81B" w14:textId="77777777" w:rsidR="00B6148C" w:rsidRPr="009702A1" w:rsidRDefault="00B6148C" w:rsidP="00B6148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29,18</w:t>
            </w:r>
          </w:p>
        </w:tc>
      </w:tr>
      <w:tr w:rsidR="00B6148C" w:rsidRPr="009702A1" w14:paraId="347C140D" w14:textId="77777777" w:rsidTr="00B6148C">
        <w:trPr>
          <w:trHeight w:val="270"/>
          <w:jc w:val="center"/>
        </w:trPr>
        <w:tc>
          <w:tcPr>
            <w:cnfStyle w:val="001000000000" w:firstRow="0" w:lastRow="0" w:firstColumn="1" w:lastColumn="0" w:oddVBand="0" w:evenVBand="0" w:oddHBand="0" w:evenHBand="0" w:firstRowFirstColumn="0" w:firstRowLastColumn="0" w:lastRowFirstColumn="0" w:lastRowLastColumn="0"/>
            <w:tcW w:w="856" w:type="pct"/>
            <w:vMerge w:val="restart"/>
            <w:shd w:val="clear" w:color="auto" w:fill="auto"/>
            <w:noWrap/>
            <w:vAlign w:val="center"/>
            <w:hideMark/>
          </w:tcPr>
          <w:p w14:paraId="4FD861FA" w14:textId="77777777" w:rsidR="00B6148C" w:rsidRPr="009702A1" w:rsidRDefault="00B6148C" w:rsidP="00B6148C">
            <w:pPr>
              <w:ind w:firstLine="0"/>
              <w:jc w:val="center"/>
              <w:rPr>
                <w:rFonts w:ascii="Times New Roman" w:eastAsia="Times New Roman" w:hAnsi="Times New Roman"/>
                <w:sz w:val="20"/>
              </w:rPr>
            </w:pPr>
            <w:r w:rsidRPr="009702A1">
              <w:rPr>
                <w:rFonts w:ascii="Times New Roman" w:eastAsia="Times New Roman" w:hAnsi="Times New Roman"/>
                <w:sz w:val="20"/>
              </w:rPr>
              <w:t>Renda Mensal</w:t>
            </w:r>
          </w:p>
        </w:tc>
        <w:tc>
          <w:tcPr>
            <w:tcW w:w="2030" w:type="pct"/>
            <w:shd w:val="clear" w:color="auto" w:fill="auto"/>
            <w:noWrap/>
            <w:vAlign w:val="center"/>
            <w:hideMark/>
          </w:tcPr>
          <w:p w14:paraId="3B338C3C" w14:textId="77777777" w:rsidR="00B6148C" w:rsidRPr="009702A1" w:rsidRDefault="00B6148C" w:rsidP="00B6148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Até um salário mínimo</w:t>
            </w:r>
          </w:p>
        </w:tc>
        <w:tc>
          <w:tcPr>
            <w:tcW w:w="1174" w:type="pct"/>
            <w:shd w:val="clear" w:color="auto" w:fill="auto"/>
            <w:noWrap/>
            <w:vAlign w:val="center"/>
            <w:hideMark/>
          </w:tcPr>
          <w:p w14:paraId="4397C086" w14:textId="77777777" w:rsidR="00B6148C" w:rsidRPr="009702A1" w:rsidRDefault="00B6148C" w:rsidP="00B6148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52</w:t>
            </w:r>
          </w:p>
        </w:tc>
        <w:tc>
          <w:tcPr>
            <w:tcW w:w="939" w:type="pct"/>
            <w:shd w:val="clear" w:color="auto" w:fill="auto"/>
            <w:noWrap/>
            <w:vAlign w:val="center"/>
            <w:hideMark/>
          </w:tcPr>
          <w:p w14:paraId="2FC1AFA5" w14:textId="77777777" w:rsidR="00B6148C" w:rsidRPr="009702A1" w:rsidRDefault="00B6148C" w:rsidP="00B6148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15,81</w:t>
            </w:r>
          </w:p>
        </w:tc>
      </w:tr>
      <w:tr w:rsidR="00B6148C" w:rsidRPr="009702A1" w14:paraId="10D965A1" w14:textId="77777777" w:rsidTr="00B6148C">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56" w:type="pct"/>
            <w:vMerge/>
            <w:tcBorders>
              <w:left w:val="none" w:sz="0" w:space="0" w:color="auto"/>
              <w:right w:val="none" w:sz="0" w:space="0" w:color="auto"/>
            </w:tcBorders>
            <w:shd w:val="clear" w:color="auto" w:fill="auto"/>
            <w:noWrap/>
            <w:vAlign w:val="center"/>
            <w:hideMark/>
          </w:tcPr>
          <w:p w14:paraId="1719F8AA" w14:textId="77777777" w:rsidR="00B6148C" w:rsidRPr="009702A1" w:rsidRDefault="00B6148C" w:rsidP="00B6148C">
            <w:pPr>
              <w:rPr>
                <w:rFonts w:ascii="Times New Roman" w:eastAsia="Times New Roman" w:hAnsi="Times New Roman"/>
                <w:sz w:val="20"/>
              </w:rPr>
            </w:pPr>
          </w:p>
        </w:tc>
        <w:tc>
          <w:tcPr>
            <w:tcW w:w="2030" w:type="pct"/>
            <w:tcBorders>
              <w:left w:val="none" w:sz="0" w:space="0" w:color="auto"/>
              <w:right w:val="none" w:sz="0" w:space="0" w:color="auto"/>
            </w:tcBorders>
            <w:shd w:val="clear" w:color="auto" w:fill="auto"/>
            <w:noWrap/>
            <w:vAlign w:val="center"/>
            <w:hideMark/>
          </w:tcPr>
          <w:p w14:paraId="5A653F3D" w14:textId="77777777" w:rsidR="00B6148C" w:rsidRPr="009702A1" w:rsidRDefault="00B6148C" w:rsidP="00B6148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De um a dois salários mínimos</w:t>
            </w:r>
          </w:p>
        </w:tc>
        <w:tc>
          <w:tcPr>
            <w:tcW w:w="1174" w:type="pct"/>
            <w:tcBorders>
              <w:left w:val="none" w:sz="0" w:space="0" w:color="auto"/>
              <w:right w:val="none" w:sz="0" w:space="0" w:color="auto"/>
            </w:tcBorders>
            <w:shd w:val="clear" w:color="auto" w:fill="auto"/>
            <w:noWrap/>
            <w:vAlign w:val="center"/>
            <w:hideMark/>
          </w:tcPr>
          <w:p w14:paraId="7937EAD0" w14:textId="77777777" w:rsidR="00B6148C" w:rsidRPr="009702A1" w:rsidRDefault="00B6148C" w:rsidP="00B6148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106</w:t>
            </w:r>
          </w:p>
        </w:tc>
        <w:tc>
          <w:tcPr>
            <w:tcW w:w="939" w:type="pct"/>
            <w:tcBorders>
              <w:left w:val="none" w:sz="0" w:space="0" w:color="auto"/>
              <w:right w:val="none" w:sz="0" w:space="0" w:color="auto"/>
            </w:tcBorders>
            <w:shd w:val="clear" w:color="auto" w:fill="auto"/>
            <w:noWrap/>
            <w:vAlign w:val="center"/>
            <w:hideMark/>
          </w:tcPr>
          <w:p w14:paraId="71381DBA" w14:textId="77777777" w:rsidR="00B6148C" w:rsidRPr="009702A1" w:rsidRDefault="00B6148C" w:rsidP="00B6148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32,22</w:t>
            </w:r>
          </w:p>
        </w:tc>
      </w:tr>
      <w:tr w:rsidR="00B6148C" w:rsidRPr="009702A1" w14:paraId="4201399C" w14:textId="77777777" w:rsidTr="00B6148C">
        <w:trPr>
          <w:trHeight w:val="270"/>
          <w:jc w:val="center"/>
        </w:trPr>
        <w:tc>
          <w:tcPr>
            <w:cnfStyle w:val="001000000000" w:firstRow="0" w:lastRow="0" w:firstColumn="1" w:lastColumn="0" w:oddVBand="0" w:evenVBand="0" w:oddHBand="0" w:evenHBand="0" w:firstRowFirstColumn="0" w:firstRowLastColumn="0" w:lastRowFirstColumn="0" w:lastRowLastColumn="0"/>
            <w:tcW w:w="856" w:type="pct"/>
            <w:vMerge/>
            <w:shd w:val="clear" w:color="auto" w:fill="auto"/>
            <w:noWrap/>
            <w:vAlign w:val="center"/>
            <w:hideMark/>
          </w:tcPr>
          <w:p w14:paraId="7F1C8B1B" w14:textId="77777777" w:rsidR="00B6148C" w:rsidRPr="009702A1" w:rsidRDefault="00B6148C" w:rsidP="00B6148C">
            <w:pPr>
              <w:rPr>
                <w:rFonts w:ascii="Times New Roman" w:eastAsia="Times New Roman" w:hAnsi="Times New Roman"/>
                <w:sz w:val="20"/>
              </w:rPr>
            </w:pPr>
          </w:p>
        </w:tc>
        <w:tc>
          <w:tcPr>
            <w:tcW w:w="2030" w:type="pct"/>
            <w:shd w:val="clear" w:color="auto" w:fill="auto"/>
            <w:noWrap/>
            <w:vAlign w:val="center"/>
            <w:hideMark/>
          </w:tcPr>
          <w:p w14:paraId="05117ECD" w14:textId="77777777" w:rsidR="00B6148C" w:rsidRPr="009702A1" w:rsidRDefault="00B6148C" w:rsidP="00B6148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De dois a três salários mínimos</w:t>
            </w:r>
          </w:p>
        </w:tc>
        <w:tc>
          <w:tcPr>
            <w:tcW w:w="1174" w:type="pct"/>
            <w:shd w:val="clear" w:color="auto" w:fill="auto"/>
            <w:noWrap/>
            <w:vAlign w:val="center"/>
            <w:hideMark/>
          </w:tcPr>
          <w:p w14:paraId="0B3A38D8" w14:textId="77777777" w:rsidR="00B6148C" w:rsidRPr="009702A1" w:rsidRDefault="00B6148C" w:rsidP="00B6148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56</w:t>
            </w:r>
          </w:p>
        </w:tc>
        <w:tc>
          <w:tcPr>
            <w:tcW w:w="939" w:type="pct"/>
            <w:shd w:val="clear" w:color="auto" w:fill="auto"/>
            <w:noWrap/>
            <w:vAlign w:val="center"/>
            <w:hideMark/>
          </w:tcPr>
          <w:p w14:paraId="53A37D0D" w14:textId="77777777" w:rsidR="00B6148C" w:rsidRPr="009702A1" w:rsidRDefault="00B6148C" w:rsidP="00B6148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17,02</w:t>
            </w:r>
          </w:p>
        </w:tc>
      </w:tr>
      <w:tr w:rsidR="00B6148C" w:rsidRPr="009702A1" w14:paraId="19426845" w14:textId="77777777" w:rsidTr="00B6148C">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56" w:type="pct"/>
            <w:vMerge/>
            <w:tcBorders>
              <w:left w:val="none" w:sz="0" w:space="0" w:color="auto"/>
              <w:right w:val="none" w:sz="0" w:space="0" w:color="auto"/>
            </w:tcBorders>
            <w:shd w:val="clear" w:color="auto" w:fill="auto"/>
            <w:noWrap/>
            <w:vAlign w:val="center"/>
            <w:hideMark/>
          </w:tcPr>
          <w:p w14:paraId="440BE000" w14:textId="77777777" w:rsidR="00B6148C" w:rsidRPr="009702A1" w:rsidRDefault="00B6148C" w:rsidP="00B6148C">
            <w:pPr>
              <w:rPr>
                <w:rFonts w:ascii="Times New Roman" w:eastAsia="Times New Roman" w:hAnsi="Times New Roman"/>
                <w:sz w:val="20"/>
              </w:rPr>
            </w:pPr>
          </w:p>
        </w:tc>
        <w:tc>
          <w:tcPr>
            <w:tcW w:w="2030" w:type="pct"/>
            <w:tcBorders>
              <w:left w:val="none" w:sz="0" w:space="0" w:color="auto"/>
              <w:right w:val="none" w:sz="0" w:space="0" w:color="auto"/>
            </w:tcBorders>
            <w:shd w:val="clear" w:color="auto" w:fill="auto"/>
            <w:noWrap/>
            <w:vAlign w:val="center"/>
            <w:hideMark/>
          </w:tcPr>
          <w:p w14:paraId="169D4109" w14:textId="77777777" w:rsidR="00B6148C" w:rsidRPr="009702A1" w:rsidRDefault="00B6148C" w:rsidP="00B6148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De três a cinco salários mínimos</w:t>
            </w:r>
          </w:p>
        </w:tc>
        <w:tc>
          <w:tcPr>
            <w:tcW w:w="1174" w:type="pct"/>
            <w:tcBorders>
              <w:left w:val="none" w:sz="0" w:space="0" w:color="auto"/>
              <w:right w:val="none" w:sz="0" w:space="0" w:color="auto"/>
            </w:tcBorders>
            <w:shd w:val="clear" w:color="auto" w:fill="auto"/>
            <w:noWrap/>
            <w:vAlign w:val="center"/>
            <w:hideMark/>
          </w:tcPr>
          <w:p w14:paraId="29D4B25D" w14:textId="77777777" w:rsidR="00B6148C" w:rsidRPr="009702A1" w:rsidRDefault="00B6148C" w:rsidP="00B6148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28</w:t>
            </w:r>
          </w:p>
        </w:tc>
        <w:tc>
          <w:tcPr>
            <w:tcW w:w="939" w:type="pct"/>
            <w:tcBorders>
              <w:left w:val="none" w:sz="0" w:space="0" w:color="auto"/>
              <w:right w:val="none" w:sz="0" w:space="0" w:color="auto"/>
            </w:tcBorders>
            <w:shd w:val="clear" w:color="auto" w:fill="auto"/>
            <w:noWrap/>
            <w:vAlign w:val="center"/>
            <w:hideMark/>
          </w:tcPr>
          <w:p w14:paraId="5FCB672F" w14:textId="77777777" w:rsidR="00B6148C" w:rsidRPr="009702A1" w:rsidRDefault="00B6148C" w:rsidP="00B6148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8,51</w:t>
            </w:r>
          </w:p>
        </w:tc>
      </w:tr>
      <w:tr w:rsidR="00B6148C" w:rsidRPr="009702A1" w14:paraId="174EB93C" w14:textId="77777777" w:rsidTr="00B6148C">
        <w:trPr>
          <w:trHeight w:val="270"/>
          <w:jc w:val="center"/>
        </w:trPr>
        <w:tc>
          <w:tcPr>
            <w:cnfStyle w:val="001000000000" w:firstRow="0" w:lastRow="0" w:firstColumn="1" w:lastColumn="0" w:oddVBand="0" w:evenVBand="0" w:oddHBand="0" w:evenHBand="0" w:firstRowFirstColumn="0" w:firstRowLastColumn="0" w:lastRowFirstColumn="0" w:lastRowLastColumn="0"/>
            <w:tcW w:w="856" w:type="pct"/>
            <w:vMerge/>
            <w:shd w:val="clear" w:color="auto" w:fill="auto"/>
            <w:noWrap/>
            <w:vAlign w:val="center"/>
            <w:hideMark/>
          </w:tcPr>
          <w:p w14:paraId="23A6CBA7" w14:textId="77777777" w:rsidR="00B6148C" w:rsidRPr="009702A1" w:rsidRDefault="00B6148C" w:rsidP="00B6148C">
            <w:pPr>
              <w:rPr>
                <w:rFonts w:ascii="Times New Roman" w:eastAsia="Times New Roman" w:hAnsi="Times New Roman"/>
                <w:sz w:val="20"/>
              </w:rPr>
            </w:pPr>
          </w:p>
        </w:tc>
        <w:tc>
          <w:tcPr>
            <w:tcW w:w="2030" w:type="pct"/>
            <w:shd w:val="clear" w:color="auto" w:fill="auto"/>
            <w:noWrap/>
            <w:vAlign w:val="center"/>
            <w:hideMark/>
          </w:tcPr>
          <w:p w14:paraId="50DF7C11" w14:textId="77777777" w:rsidR="00B6148C" w:rsidRPr="009702A1" w:rsidRDefault="00B6148C" w:rsidP="00B6148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Mais de cinco salários mínimos</w:t>
            </w:r>
          </w:p>
        </w:tc>
        <w:tc>
          <w:tcPr>
            <w:tcW w:w="1174" w:type="pct"/>
            <w:shd w:val="clear" w:color="auto" w:fill="auto"/>
            <w:noWrap/>
            <w:vAlign w:val="center"/>
            <w:hideMark/>
          </w:tcPr>
          <w:p w14:paraId="28A76D12" w14:textId="77777777" w:rsidR="00B6148C" w:rsidRPr="009702A1" w:rsidRDefault="00B6148C" w:rsidP="00B6148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15</w:t>
            </w:r>
          </w:p>
        </w:tc>
        <w:tc>
          <w:tcPr>
            <w:tcW w:w="939" w:type="pct"/>
            <w:shd w:val="clear" w:color="auto" w:fill="auto"/>
            <w:noWrap/>
            <w:vAlign w:val="center"/>
            <w:hideMark/>
          </w:tcPr>
          <w:p w14:paraId="3A101DA9" w14:textId="77777777" w:rsidR="00B6148C" w:rsidRPr="009702A1" w:rsidRDefault="00B6148C" w:rsidP="00B6148C">
            <w:pPr>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4,56</w:t>
            </w:r>
          </w:p>
        </w:tc>
      </w:tr>
      <w:tr w:rsidR="00B6148C" w:rsidRPr="009702A1" w14:paraId="27D12ED0" w14:textId="77777777" w:rsidTr="00B6148C">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856" w:type="pct"/>
            <w:vMerge/>
            <w:tcBorders>
              <w:left w:val="none" w:sz="0" w:space="0" w:color="auto"/>
              <w:right w:val="none" w:sz="0" w:space="0" w:color="auto"/>
            </w:tcBorders>
            <w:shd w:val="clear" w:color="auto" w:fill="auto"/>
            <w:noWrap/>
            <w:vAlign w:val="center"/>
            <w:hideMark/>
          </w:tcPr>
          <w:p w14:paraId="4224E84C" w14:textId="77777777" w:rsidR="00B6148C" w:rsidRPr="009702A1" w:rsidRDefault="00B6148C" w:rsidP="00B6148C">
            <w:pPr>
              <w:ind w:firstLine="0"/>
              <w:rPr>
                <w:rFonts w:ascii="Times New Roman" w:eastAsia="Times New Roman" w:hAnsi="Times New Roman"/>
                <w:sz w:val="20"/>
              </w:rPr>
            </w:pPr>
          </w:p>
        </w:tc>
        <w:tc>
          <w:tcPr>
            <w:tcW w:w="2030" w:type="pct"/>
            <w:tcBorders>
              <w:left w:val="none" w:sz="0" w:space="0" w:color="auto"/>
              <w:right w:val="none" w:sz="0" w:space="0" w:color="auto"/>
            </w:tcBorders>
            <w:shd w:val="clear" w:color="auto" w:fill="auto"/>
            <w:noWrap/>
            <w:vAlign w:val="center"/>
            <w:hideMark/>
          </w:tcPr>
          <w:p w14:paraId="1CF0799D" w14:textId="77777777" w:rsidR="00B6148C" w:rsidRPr="009702A1" w:rsidRDefault="00B6148C" w:rsidP="00B6148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Não possuo renda</w:t>
            </w:r>
          </w:p>
        </w:tc>
        <w:tc>
          <w:tcPr>
            <w:tcW w:w="1174" w:type="pct"/>
            <w:tcBorders>
              <w:left w:val="none" w:sz="0" w:space="0" w:color="auto"/>
              <w:right w:val="none" w:sz="0" w:space="0" w:color="auto"/>
            </w:tcBorders>
            <w:shd w:val="clear" w:color="auto" w:fill="auto"/>
            <w:noWrap/>
            <w:vAlign w:val="center"/>
            <w:hideMark/>
          </w:tcPr>
          <w:p w14:paraId="507632E2" w14:textId="77777777" w:rsidR="00B6148C" w:rsidRPr="009702A1" w:rsidRDefault="00B6148C" w:rsidP="00B6148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72</w:t>
            </w:r>
          </w:p>
        </w:tc>
        <w:tc>
          <w:tcPr>
            <w:tcW w:w="939" w:type="pct"/>
            <w:tcBorders>
              <w:left w:val="none" w:sz="0" w:space="0" w:color="auto"/>
              <w:right w:val="none" w:sz="0" w:space="0" w:color="auto"/>
            </w:tcBorders>
            <w:shd w:val="clear" w:color="auto" w:fill="auto"/>
            <w:noWrap/>
            <w:vAlign w:val="center"/>
            <w:hideMark/>
          </w:tcPr>
          <w:p w14:paraId="618AE071" w14:textId="77777777" w:rsidR="00B6148C" w:rsidRPr="009702A1" w:rsidRDefault="00B6148C" w:rsidP="00B6148C">
            <w:pPr>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sz w:val="20"/>
              </w:rPr>
            </w:pPr>
            <w:r w:rsidRPr="009702A1">
              <w:rPr>
                <w:rFonts w:ascii="Times New Roman" w:eastAsia="Times New Roman" w:hAnsi="Times New Roman"/>
                <w:sz w:val="20"/>
              </w:rPr>
              <w:t>21,88</w:t>
            </w:r>
          </w:p>
        </w:tc>
      </w:tr>
    </w:tbl>
    <w:p w14:paraId="1EFD9A49" w14:textId="77777777" w:rsidR="00B6148C" w:rsidRDefault="00B6148C" w:rsidP="00B6148C">
      <w:pPr>
        <w:pStyle w:val="PargrafodaLista"/>
        <w:spacing w:after="0" w:line="240" w:lineRule="auto"/>
        <w:ind w:left="0"/>
        <w:jc w:val="both"/>
        <w:rPr>
          <w:rFonts w:ascii="Times New Roman" w:hAnsi="Times New Roman" w:cs="Times New Roman"/>
          <w:sz w:val="24"/>
          <w:szCs w:val="24"/>
        </w:rPr>
      </w:pPr>
    </w:p>
    <w:p w14:paraId="79D84AE3" w14:textId="77777777" w:rsidR="00B6148C" w:rsidRDefault="00B6148C" w:rsidP="00B6148C">
      <w:pPr>
        <w:pStyle w:val="PargrafodaLista"/>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Os alunos das demais áreas estão divididos pelas seguintes faixas etárias: 46,20% dos estudantes têm entre 17 a 21 anos, 25,23% possuem entre 22 a 26 anos, já os alunos entre 27 a 31 anos correspondem a 13,07% do total, 9,12% têm entre 32 a 36 anos e 6,38% possuem entre 37 a 41 anos. </w:t>
      </w:r>
    </w:p>
    <w:p w14:paraId="0214A942" w14:textId="77777777" w:rsidR="00B6148C" w:rsidRDefault="00B6148C" w:rsidP="00B6148C">
      <w:pPr>
        <w:pStyle w:val="PargrafodaLista"/>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Assim como nos cursos de gestão, o maior percentual de estado civil entre os graduandos dos outros cursos é solteiro (76,60%), na sequência aparecem os casados (10,64%) e então a união estável (8,21%). 74,77% não possuem dependentes, 14,29% possuem um dependente, 9,12% possuem dois dependentes e apenas 1,84% possuem três dependentes ou mais. Já como forma de moradia, 28,27% dos respondentes disseram que moram com a família sem despesas com moradia, 24,62% possuem casa própria quitada e 21,28% moram de aluguel.</w:t>
      </w:r>
    </w:p>
    <w:p w14:paraId="6DADE812" w14:textId="77777777" w:rsidR="00B6148C" w:rsidRDefault="00B6148C" w:rsidP="00B6148C">
      <w:pPr>
        <w:pStyle w:val="PargrafodaLista"/>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Sobre emprego, a maioria dos estudantes dos outros cursos revela que trabalha atualmente (70,82%), já 29,18% não trabalham. Quando questionados sobre o valor de sua renda, 32,22% afirmam ganhar até um salário mínimo; chama atenção o percentual dos alunos que não possuem renda (21,88%), já 17,02% ganha entre um a dois salários mínimos, seguido de três a cincos salários mínimos (8,51%). </w:t>
      </w:r>
      <w:r w:rsidRPr="00176389">
        <w:rPr>
          <w:rFonts w:ascii="Times New Roman" w:hAnsi="Times New Roman" w:cs="Times New Roman"/>
          <w:sz w:val="24"/>
          <w:szCs w:val="24"/>
        </w:rPr>
        <w:t>Todas essas informações são</w:t>
      </w:r>
      <w:r>
        <w:rPr>
          <w:rFonts w:ascii="Times New Roman" w:hAnsi="Times New Roman" w:cs="Times New Roman"/>
          <w:sz w:val="24"/>
          <w:szCs w:val="24"/>
        </w:rPr>
        <w:t xml:space="preserve"> evidenciadas conforme Tabela 4</w:t>
      </w:r>
      <w:r w:rsidRPr="00176389">
        <w:rPr>
          <w:rFonts w:ascii="Times New Roman" w:hAnsi="Times New Roman" w:cs="Times New Roman"/>
          <w:sz w:val="24"/>
          <w:szCs w:val="24"/>
        </w:rPr>
        <w:t>.</w:t>
      </w:r>
    </w:p>
    <w:p w14:paraId="43ACE2FE" w14:textId="77777777" w:rsidR="00B6148C" w:rsidRPr="00176389" w:rsidRDefault="00B6148C" w:rsidP="00B6148C">
      <w:pPr>
        <w:pStyle w:val="PargrafodaLista"/>
        <w:spacing w:after="0" w:line="240" w:lineRule="auto"/>
        <w:ind w:left="0" w:firstLine="709"/>
        <w:jc w:val="both"/>
      </w:pPr>
      <w:r>
        <w:rPr>
          <w:rFonts w:ascii="Times New Roman" w:hAnsi="Times New Roman" w:cs="Times New Roman"/>
          <w:sz w:val="24"/>
          <w:szCs w:val="24"/>
        </w:rPr>
        <w:t>Após a caracterização dos estudantes foi buscado questões relacionadas ao seu endividamento. Quando questionados se já tiveram o nome negativado em algum momento, pode-se verificar que 27,15% dos alunos de gestão já tiveram seu nome negativado, já o percentual dos demais cursos é de 35,26%. Os números apresentam que os alunos do curso de gestão apresentam um melhor histórico quanto ao acúmulo de dívidas. Os dados são corroborados quando pelas respostas dos alunos se esses se consideram ou não endividados. Dos respondentes, 16,74% dos estudantes dos cursos de gestão consideram-se endividados, já 28,57% dos graduandos de outras áreas afirmam estar endividados.</w:t>
      </w:r>
    </w:p>
    <w:p w14:paraId="5A8CFCC5" w14:textId="77777777" w:rsidR="00B6148C" w:rsidRDefault="00B6148C" w:rsidP="00B6148C">
      <w:pPr>
        <w:pStyle w:val="PargrafodaLista"/>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Além da percepção dos próprios alunos, foi buscado </w:t>
      </w:r>
      <w:r w:rsidRPr="001B03A7">
        <w:rPr>
          <w:rFonts w:ascii="Times New Roman" w:hAnsi="Times New Roman" w:cs="Times New Roman"/>
          <w:sz w:val="24"/>
          <w:szCs w:val="24"/>
        </w:rPr>
        <w:t>o percentual da renda que e</w:t>
      </w:r>
      <w:r>
        <w:rPr>
          <w:rFonts w:ascii="Times New Roman" w:hAnsi="Times New Roman" w:cs="Times New Roman"/>
          <w:sz w:val="24"/>
          <w:szCs w:val="24"/>
        </w:rPr>
        <w:t>stá comprometida pelo</w:t>
      </w:r>
      <w:r w:rsidRPr="001B03A7">
        <w:rPr>
          <w:rFonts w:ascii="Times New Roman" w:hAnsi="Times New Roman" w:cs="Times New Roman"/>
          <w:sz w:val="24"/>
          <w:szCs w:val="24"/>
        </w:rPr>
        <w:t xml:space="preserve">s estudantes respondentes. </w:t>
      </w:r>
      <w:r>
        <w:rPr>
          <w:rFonts w:ascii="Times New Roman" w:hAnsi="Times New Roman" w:cs="Times New Roman"/>
          <w:sz w:val="24"/>
          <w:szCs w:val="24"/>
        </w:rPr>
        <w:t>Dos estudantes de cursos de gestão, 27,60% afirmam ter de 1% a 30% da sua renda comprometida, 39,82% consideram ter de 31% a 60%, 19,46% responderam que têm de 61% a 90%, já 13,12% dizem ter de 91% a 100%. Os alunos das demais áreas responderam com os seguintes percentuais: 34,95% dizem ter de 1% a 30% de sua renda comprometida, 32,83% afirmam ter de 31% de 60%, 17,93% consideram ter de 61% a 90% e 14,29% responderam ter de 91% a 100%.</w:t>
      </w:r>
    </w:p>
    <w:p w14:paraId="6DC9EAE1" w14:textId="77777777" w:rsidR="00B6148C" w:rsidRDefault="00B6148C" w:rsidP="00B6148C">
      <w:pPr>
        <w:pStyle w:val="PargrafodaLista"/>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A análise mostra que o percentual de comprometimento da renda, tanto dos estudantes dos cursos de gestão, quanto das demais áreas, é similar. Houve maior disparidade de resultados na primeira (1% a 30%) e na segunda faixa (31% a 60%). Pode-se considerar que os alunos dos cursos de gestão estão mais endividados do que os alunos dos demais cursos, pois 72,40% deles estão com a renda comprometida em mais de 30%, contra 65,05% dos alunos dos demais cursos. Destaca-se ainda que mesmo com um maior percentual de respondentes com mais de 30% de sua renda comprometida, os alunos de gestão não se consideram endividamentos, inclusive podendo ter um melhor controle, visto que houve um menor percentual de estudantes com o nome negativado.</w:t>
      </w:r>
    </w:p>
    <w:p w14:paraId="7644A75B" w14:textId="77777777" w:rsidR="00B6148C" w:rsidRPr="00CE09BA" w:rsidRDefault="00B6148C" w:rsidP="00B6148C">
      <w:pPr>
        <w:pStyle w:val="PargrafodaLista"/>
        <w:spacing w:after="0" w:line="240" w:lineRule="auto"/>
        <w:ind w:left="0" w:firstLine="709"/>
        <w:jc w:val="both"/>
        <w:rPr>
          <w:rFonts w:ascii="Times New Roman" w:hAnsi="Times New Roman" w:cs="Times New Roman"/>
          <w:sz w:val="24"/>
          <w:szCs w:val="24"/>
        </w:rPr>
      </w:pPr>
      <w:r w:rsidRPr="00416626">
        <w:rPr>
          <w:rFonts w:ascii="Times New Roman" w:hAnsi="Times New Roman" w:cs="Times New Roman"/>
          <w:sz w:val="24"/>
          <w:szCs w:val="24"/>
        </w:rPr>
        <w:lastRenderedPageBreak/>
        <w:t>Sobre reserva</w:t>
      </w:r>
      <w:r>
        <w:rPr>
          <w:rFonts w:ascii="Times New Roman" w:hAnsi="Times New Roman" w:cs="Times New Roman"/>
          <w:sz w:val="24"/>
          <w:szCs w:val="24"/>
        </w:rPr>
        <w:t>s</w:t>
      </w:r>
      <w:r w:rsidRPr="00416626">
        <w:rPr>
          <w:rFonts w:ascii="Times New Roman" w:hAnsi="Times New Roman" w:cs="Times New Roman"/>
          <w:sz w:val="24"/>
          <w:szCs w:val="24"/>
        </w:rPr>
        <w:t xml:space="preserve"> de emergência, foi perguntando aos alunos quanto tempo conseguiriam se manter caso tivessem perdido sua renda. Do</w:t>
      </w:r>
      <w:r>
        <w:rPr>
          <w:rFonts w:ascii="Times New Roman" w:hAnsi="Times New Roman" w:cs="Times New Roman"/>
          <w:sz w:val="24"/>
          <w:szCs w:val="24"/>
        </w:rPr>
        <w:t>s</w:t>
      </w:r>
      <w:r w:rsidRPr="00416626">
        <w:rPr>
          <w:rFonts w:ascii="Times New Roman" w:hAnsi="Times New Roman" w:cs="Times New Roman"/>
          <w:sz w:val="24"/>
          <w:szCs w:val="24"/>
        </w:rPr>
        <w:t xml:space="preserve"> respondentes estudantes de gestão, 47,51% afirmam n</w:t>
      </w:r>
      <w:r>
        <w:rPr>
          <w:rFonts w:ascii="Times New Roman" w:hAnsi="Times New Roman" w:cs="Times New Roman"/>
          <w:sz w:val="24"/>
          <w:szCs w:val="24"/>
        </w:rPr>
        <w:t xml:space="preserve">ão ter reservas, 21,72% </w:t>
      </w:r>
      <w:r w:rsidRPr="00416626">
        <w:rPr>
          <w:rFonts w:ascii="Times New Roman" w:hAnsi="Times New Roman" w:cs="Times New Roman"/>
          <w:sz w:val="24"/>
          <w:szCs w:val="24"/>
        </w:rPr>
        <w:t>conseguem se manter de 1 a 3 m</w:t>
      </w:r>
      <w:r>
        <w:rPr>
          <w:rFonts w:ascii="Times New Roman" w:hAnsi="Times New Roman" w:cs="Times New Roman"/>
          <w:sz w:val="24"/>
          <w:szCs w:val="24"/>
        </w:rPr>
        <w:t>eses, 12,67% consideram poder se</w:t>
      </w:r>
      <w:r w:rsidRPr="00416626">
        <w:rPr>
          <w:rFonts w:ascii="Times New Roman" w:hAnsi="Times New Roman" w:cs="Times New Roman"/>
          <w:sz w:val="24"/>
          <w:szCs w:val="24"/>
        </w:rPr>
        <w:t xml:space="preserve"> manter entre 4 a 6 meses e 18,10% mais de 6 meses.</w:t>
      </w:r>
      <w:r>
        <w:rPr>
          <w:rFonts w:ascii="Times New Roman" w:hAnsi="Times New Roman" w:cs="Times New Roman"/>
          <w:sz w:val="24"/>
          <w:szCs w:val="24"/>
        </w:rPr>
        <w:t xml:space="preserve"> Dos alunos das demais áreas, 50,15% não possuem reservas, 22,49% afirmam conseguir se manter entre 1 a 3 meses, 13,07% entre 4 a 6 meses e 14,29% mais de 6 meses. Nesse quesito, não houve muita divergência de percentual entre os grupos. No entanto, chama a atenção o fato de mais de 48,83% do total dos estudantes não possuírem nenhum tipo de reserva.</w:t>
      </w:r>
    </w:p>
    <w:p w14:paraId="42D5445F" w14:textId="77777777" w:rsidR="00B6148C" w:rsidRDefault="00B6148C" w:rsidP="00B6148C">
      <w:pPr>
        <w:pStyle w:val="PargrafodaLista"/>
        <w:spacing w:after="0" w:line="240" w:lineRule="auto"/>
        <w:ind w:left="0" w:firstLine="709"/>
        <w:jc w:val="both"/>
        <w:rPr>
          <w:rFonts w:ascii="Times New Roman" w:hAnsi="Times New Roman" w:cs="Times New Roman"/>
          <w:sz w:val="24"/>
          <w:szCs w:val="24"/>
          <w:lang w:eastAsia="pt-BR"/>
        </w:rPr>
      </w:pPr>
      <w:r>
        <w:rPr>
          <w:rFonts w:ascii="Times New Roman" w:hAnsi="Times New Roman" w:cs="Times New Roman"/>
          <w:sz w:val="24"/>
          <w:szCs w:val="24"/>
          <w:lang w:eastAsia="pt-BR"/>
        </w:rPr>
        <w:t>Além do endividamento foi buscado o percentual que os respondentes conseguem poupar de sua renda, no qual 31,67% dos estudantes de gestão não conseguem poupar, 19,46% poupam de 0,1% a 10%, 29,41% poupam entre 10% a 25%, 17,19% afirmam poupar de 25% a 50% e apenas 2,26% poupam mais de 50%. Dos alunos das demais áreas, 36,78% disseram não conseguir poupar, 18,84% poupam de 0,1% a 10%, 24,62% afirmam poupar entre 10% a 25%, 14,59% conseguem poupar de 25% e 50% e 5,17% poupam mais 50% de sua renda.</w:t>
      </w:r>
    </w:p>
    <w:p w14:paraId="0AACC329" w14:textId="77777777" w:rsidR="00B6148C" w:rsidRPr="00CE09BA" w:rsidRDefault="00B6148C" w:rsidP="00B6148C">
      <w:pPr>
        <w:pStyle w:val="PargrafodaLista"/>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lang w:eastAsia="pt-BR"/>
        </w:rPr>
        <w:t>Mesmo com pouca diferença, pode-se verificar que os alunos de gestão conseguem poupar mais do que estudantes dos outros cursos</w:t>
      </w:r>
      <w:r w:rsidRPr="00DD48E7">
        <w:rPr>
          <w:rFonts w:ascii="Times New Roman" w:hAnsi="Times New Roman" w:cs="Times New Roman"/>
          <w:sz w:val="24"/>
          <w:szCs w:val="24"/>
          <w:lang w:eastAsia="pt-BR"/>
        </w:rPr>
        <w:t xml:space="preserve">. Observa-se, também, que há uma divergência de resultados quando se compara </w:t>
      </w:r>
      <w:r>
        <w:rPr>
          <w:rFonts w:ascii="Times New Roman" w:hAnsi="Times New Roman" w:cs="Times New Roman"/>
          <w:sz w:val="24"/>
          <w:szCs w:val="24"/>
          <w:lang w:eastAsia="pt-BR"/>
        </w:rPr>
        <w:t>com as respostas do percentual que conseguem poupar, visto que</w:t>
      </w:r>
      <w:r w:rsidRPr="00DD48E7">
        <w:rPr>
          <w:rFonts w:ascii="Times New Roman" w:hAnsi="Times New Roman" w:cs="Times New Roman"/>
          <w:sz w:val="24"/>
          <w:szCs w:val="24"/>
          <w:lang w:eastAsia="pt-BR"/>
        </w:rPr>
        <w:t xml:space="preserve"> </w:t>
      </w:r>
      <w:r w:rsidRPr="00DD48E7">
        <w:rPr>
          <w:rFonts w:ascii="Times New Roman" w:hAnsi="Times New Roman" w:cs="Times New Roman"/>
          <w:sz w:val="24"/>
          <w:szCs w:val="24"/>
        </w:rPr>
        <w:t>48,83% do total de alunos afirmam não ter qualquer tipo reserva, e em contrapartida uma média de 34,22% dos alunos afirmam não poupar. Essa diferença chega a 14,61%, o que traz o seguinte questionamento: por que esses estudantes que afirmam conseguir poupar não possuem reserva?</w:t>
      </w:r>
      <w:r>
        <w:rPr>
          <w:rFonts w:ascii="Times New Roman" w:hAnsi="Times New Roman" w:cs="Times New Roman"/>
          <w:sz w:val="24"/>
          <w:szCs w:val="24"/>
        </w:rPr>
        <w:t xml:space="preserve"> Os dados ainda corroboram com os achados da ANBIMA (2017), que encontraram</w:t>
      </w:r>
      <w:r w:rsidRPr="00CE09BA">
        <w:rPr>
          <w:rFonts w:ascii="Times New Roman" w:hAnsi="Times New Roman" w:cs="Times New Roman"/>
          <w:sz w:val="24"/>
          <w:szCs w:val="24"/>
        </w:rPr>
        <w:t xml:space="preserve"> que 40% dos brasileiros não poupam. </w:t>
      </w:r>
    </w:p>
    <w:p w14:paraId="20C7BCC9" w14:textId="77777777" w:rsidR="00B6148C" w:rsidRDefault="00B6148C" w:rsidP="00B6148C">
      <w:pPr>
        <w:pStyle w:val="PargrafodaLista"/>
        <w:spacing w:after="0" w:line="240" w:lineRule="auto"/>
        <w:ind w:left="0" w:firstLine="709"/>
        <w:jc w:val="both"/>
        <w:rPr>
          <w:rFonts w:ascii="Times New Roman" w:hAnsi="Times New Roman" w:cs="Times New Roman"/>
          <w:sz w:val="24"/>
          <w:szCs w:val="24"/>
        </w:rPr>
      </w:pPr>
      <w:r w:rsidRPr="008A5D5F">
        <w:rPr>
          <w:rFonts w:ascii="Times New Roman" w:hAnsi="Times New Roman" w:cs="Times New Roman"/>
          <w:sz w:val="24"/>
          <w:szCs w:val="24"/>
        </w:rPr>
        <w:t>Foi questionado aos respondentes que tipo de investimento possuem, caso tivessem</w:t>
      </w:r>
      <w:r>
        <w:rPr>
          <w:rFonts w:ascii="Times New Roman" w:hAnsi="Times New Roman" w:cs="Times New Roman"/>
          <w:sz w:val="24"/>
          <w:szCs w:val="24"/>
        </w:rPr>
        <w:t xml:space="preserve"> algum</w:t>
      </w:r>
      <w:r w:rsidRPr="008A5D5F">
        <w:rPr>
          <w:rFonts w:ascii="Times New Roman" w:hAnsi="Times New Roman" w:cs="Times New Roman"/>
          <w:sz w:val="24"/>
          <w:szCs w:val="24"/>
        </w:rPr>
        <w:t>. Foram considerados produtos como poupança, CDB, ações, fundos de investimento, títulos públicos e</w:t>
      </w:r>
      <w:r>
        <w:rPr>
          <w:rFonts w:ascii="Times New Roman" w:hAnsi="Times New Roman" w:cs="Times New Roman"/>
          <w:sz w:val="24"/>
          <w:szCs w:val="24"/>
        </w:rPr>
        <w:t xml:space="preserve"> ainda incluída a opção “</w:t>
      </w:r>
      <w:r w:rsidRPr="008A5D5F">
        <w:rPr>
          <w:rFonts w:ascii="Times New Roman" w:hAnsi="Times New Roman" w:cs="Times New Roman"/>
          <w:sz w:val="24"/>
          <w:szCs w:val="24"/>
        </w:rPr>
        <w:t>outros</w:t>
      </w:r>
      <w:r>
        <w:rPr>
          <w:rFonts w:ascii="Times New Roman" w:hAnsi="Times New Roman" w:cs="Times New Roman"/>
          <w:sz w:val="24"/>
          <w:szCs w:val="24"/>
        </w:rPr>
        <w:t>” no questionário</w:t>
      </w:r>
      <w:r w:rsidRPr="008A5D5F">
        <w:rPr>
          <w:rFonts w:ascii="Times New Roman" w:hAnsi="Times New Roman" w:cs="Times New Roman"/>
          <w:sz w:val="24"/>
          <w:szCs w:val="24"/>
        </w:rPr>
        <w:t>.</w:t>
      </w:r>
      <w:r>
        <w:rPr>
          <w:rFonts w:ascii="Times New Roman" w:hAnsi="Times New Roman" w:cs="Times New Roman"/>
          <w:sz w:val="24"/>
          <w:szCs w:val="24"/>
        </w:rPr>
        <w:t xml:space="preserve"> Nessa assertiva os estudantes poderiam marcar mais de uma opção caso optassem tivessem mais de um investimento. A Tabela 5 apresenta os tipos de investimentos dos estudantes.</w:t>
      </w:r>
    </w:p>
    <w:p w14:paraId="29A22A09" w14:textId="77777777" w:rsidR="00B6148C" w:rsidRDefault="00B6148C" w:rsidP="00B6148C">
      <w:pPr>
        <w:pStyle w:val="PargrafodaLista"/>
        <w:spacing w:after="0" w:line="240" w:lineRule="auto"/>
        <w:ind w:left="0"/>
        <w:jc w:val="both"/>
        <w:rPr>
          <w:rFonts w:ascii="Times New Roman" w:hAnsi="Times New Roman" w:cs="Times New Roman"/>
          <w:sz w:val="24"/>
          <w:szCs w:val="24"/>
        </w:rPr>
      </w:pPr>
    </w:p>
    <w:p w14:paraId="4D336BE4" w14:textId="77777777" w:rsidR="00B6148C" w:rsidRPr="001F5A3C" w:rsidRDefault="00B6148C" w:rsidP="00B6148C">
      <w:pPr>
        <w:keepNext/>
        <w:ind w:firstLine="0"/>
        <w:rPr>
          <w:bCs/>
          <w:sz w:val="20"/>
        </w:rPr>
      </w:pPr>
      <w:r w:rsidRPr="001F5A3C">
        <w:rPr>
          <w:bCs/>
          <w:sz w:val="20"/>
        </w:rPr>
        <w:t>Tabela 5. Investimento dos Estudantes</w:t>
      </w:r>
    </w:p>
    <w:tbl>
      <w:tblPr>
        <w:tblW w:w="9067" w:type="dxa"/>
        <w:tblBorders>
          <w:top w:val="single" w:sz="4" w:space="0" w:color="auto"/>
          <w:bottom w:val="single" w:sz="4" w:space="0" w:color="auto"/>
          <w:insideH w:val="single" w:sz="4" w:space="0" w:color="auto"/>
        </w:tblBorders>
        <w:tblCellMar>
          <w:left w:w="70" w:type="dxa"/>
          <w:right w:w="70" w:type="dxa"/>
        </w:tblCellMar>
        <w:tblLook w:val="04A0" w:firstRow="1" w:lastRow="0" w:firstColumn="1" w:lastColumn="0" w:noHBand="0" w:noVBand="1"/>
      </w:tblPr>
      <w:tblGrid>
        <w:gridCol w:w="2263"/>
        <w:gridCol w:w="1701"/>
        <w:gridCol w:w="1701"/>
        <w:gridCol w:w="1560"/>
        <w:gridCol w:w="1842"/>
      </w:tblGrid>
      <w:tr w:rsidR="00B6148C" w:rsidRPr="00237196" w14:paraId="7DADB42B" w14:textId="77777777" w:rsidTr="00B6148C">
        <w:trPr>
          <w:trHeight w:val="181"/>
        </w:trPr>
        <w:tc>
          <w:tcPr>
            <w:tcW w:w="2263" w:type="dxa"/>
            <w:vMerge w:val="restart"/>
            <w:shd w:val="clear" w:color="auto" w:fill="auto"/>
            <w:noWrap/>
            <w:vAlign w:val="bottom"/>
          </w:tcPr>
          <w:p w14:paraId="48BEF4C0" w14:textId="77777777" w:rsidR="00B6148C" w:rsidRPr="00237196" w:rsidRDefault="00B6148C" w:rsidP="00B6148C">
            <w:pPr>
              <w:spacing w:line="480" w:lineRule="auto"/>
              <w:ind w:firstLine="0"/>
              <w:jc w:val="center"/>
              <w:rPr>
                <w:b/>
                <w:color w:val="000000"/>
                <w:sz w:val="20"/>
              </w:rPr>
            </w:pPr>
            <w:r w:rsidRPr="00237196">
              <w:rPr>
                <w:b/>
                <w:color w:val="000000"/>
                <w:sz w:val="20"/>
              </w:rPr>
              <w:t>Investimento</w:t>
            </w:r>
          </w:p>
        </w:tc>
        <w:tc>
          <w:tcPr>
            <w:tcW w:w="3402" w:type="dxa"/>
            <w:gridSpan w:val="2"/>
            <w:shd w:val="clear" w:color="auto" w:fill="auto"/>
            <w:noWrap/>
            <w:vAlign w:val="bottom"/>
          </w:tcPr>
          <w:p w14:paraId="60C04B4E" w14:textId="77777777" w:rsidR="00B6148C" w:rsidRPr="00237196" w:rsidRDefault="00B6148C" w:rsidP="00B6148C">
            <w:pPr>
              <w:ind w:firstLine="0"/>
              <w:jc w:val="center"/>
              <w:rPr>
                <w:b/>
                <w:color w:val="000000"/>
                <w:sz w:val="20"/>
              </w:rPr>
            </w:pPr>
            <w:r w:rsidRPr="00237196">
              <w:rPr>
                <w:b/>
                <w:color w:val="000000"/>
                <w:sz w:val="20"/>
              </w:rPr>
              <w:t>Cursos de Gestão</w:t>
            </w:r>
          </w:p>
        </w:tc>
        <w:tc>
          <w:tcPr>
            <w:tcW w:w="3402" w:type="dxa"/>
            <w:gridSpan w:val="2"/>
            <w:shd w:val="clear" w:color="auto" w:fill="auto"/>
            <w:noWrap/>
            <w:vAlign w:val="bottom"/>
          </w:tcPr>
          <w:p w14:paraId="4C15DC35" w14:textId="77777777" w:rsidR="00B6148C" w:rsidRPr="00237196" w:rsidRDefault="00B6148C" w:rsidP="00B6148C">
            <w:pPr>
              <w:ind w:firstLine="0"/>
              <w:jc w:val="center"/>
              <w:rPr>
                <w:b/>
                <w:color w:val="000000"/>
                <w:sz w:val="20"/>
              </w:rPr>
            </w:pPr>
            <w:r w:rsidRPr="00237196">
              <w:rPr>
                <w:b/>
                <w:color w:val="000000"/>
                <w:sz w:val="20"/>
              </w:rPr>
              <w:t>Demais Cursos</w:t>
            </w:r>
          </w:p>
        </w:tc>
      </w:tr>
      <w:tr w:rsidR="00B6148C" w:rsidRPr="00237196" w14:paraId="5F0CE88E" w14:textId="77777777" w:rsidTr="00B6148C">
        <w:trPr>
          <w:trHeight w:val="300"/>
        </w:trPr>
        <w:tc>
          <w:tcPr>
            <w:tcW w:w="2263" w:type="dxa"/>
            <w:vMerge/>
            <w:shd w:val="clear" w:color="auto" w:fill="auto"/>
            <w:noWrap/>
            <w:vAlign w:val="bottom"/>
          </w:tcPr>
          <w:p w14:paraId="0BE5CA70" w14:textId="77777777" w:rsidR="00B6148C" w:rsidRPr="00237196" w:rsidRDefault="00B6148C" w:rsidP="00B6148C">
            <w:pPr>
              <w:ind w:firstLine="0"/>
              <w:rPr>
                <w:color w:val="000000"/>
                <w:sz w:val="20"/>
              </w:rPr>
            </w:pPr>
          </w:p>
        </w:tc>
        <w:tc>
          <w:tcPr>
            <w:tcW w:w="1701" w:type="dxa"/>
            <w:shd w:val="clear" w:color="auto" w:fill="auto"/>
            <w:noWrap/>
            <w:vAlign w:val="center"/>
          </w:tcPr>
          <w:p w14:paraId="0993E50F" w14:textId="77777777" w:rsidR="00B6148C" w:rsidRDefault="00B6148C" w:rsidP="00B6148C">
            <w:pPr>
              <w:ind w:firstLine="0"/>
              <w:jc w:val="center"/>
              <w:rPr>
                <w:b/>
                <w:bCs/>
                <w:color w:val="000000"/>
                <w:sz w:val="20"/>
              </w:rPr>
            </w:pPr>
            <w:r w:rsidRPr="00AA2632">
              <w:rPr>
                <w:color w:val="000000"/>
                <w:sz w:val="20"/>
              </w:rPr>
              <w:t>Frequência</w:t>
            </w:r>
          </w:p>
          <w:p w14:paraId="09C73709" w14:textId="77777777" w:rsidR="00B6148C" w:rsidRPr="00237196" w:rsidRDefault="00B6148C" w:rsidP="00B6148C">
            <w:pPr>
              <w:ind w:firstLine="0"/>
              <w:jc w:val="center"/>
              <w:rPr>
                <w:color w:val="000000"/>
                <w:sz w:val="20"/>
              </w:rPr>
            </w:pPr>
            <w:r>
              <w:rPr>
                <w:color w:val="000000"/>
                <w:sz w:val="20"/>
              </w:rPr>
              <w:t>Absoluta</w:t>
            </w:r>
          </w:p>
        </w:tc>
        <w:tc>
          <w:tcPr>
            <w:tcW w:w="1701" w:type="dxa"/>
            <w:shd w:val="clear" w:color="auto" w:fill="auto"/>
            <w:noWrap/>
            <w:vAlign w:val="center"/>
          </w:tcPr>
          <w:p w14:paraId="3A970BCB" w14:textId="77777777" w:rsidR="00B6148C" w:rsidRPr="00237196" w:rsidRDefault="00B6148C" w:rsidP="00B6148C">
            <w:pPr>
              <w:ind w:firstLine="0"/>
              <w:jc w:val="center"/>
              <w:rPr>
                <w:color w:val="000000"/>
                <w:sz w:val="20"/>
              </w:rPr>
            </w:pPr>
            <w:r w:rsidRPr="00AA2632">
              <w:rPr>
                <w:color w:val="000000"/>
                <w:sz w:val="20"/>
              </w:rPr>
              <w:t>Frequência</w:t>
            </w:r>
            <w:r>
              <w:rPr>
                <w:color w:val="000000"/>
                <w:sz w:val="20"/>
              </w:rPr>
              <w:t xml:space="preserve"> Relativa (%)</w:t>
            </w:r>
          </w:p>
        </w:tc>
        <w:tc>
          <w:tcPr>
            <w:tcW w:w="1560" w:type="dxa"/>
            <w:shd w:val="clear" w:color="auto" w:fill="auto"/>
            <w:noWrap/>
            <w:vAlign w:val="center"/>
          </w:tcPr>
          <w:p w14:paraId="4FAC3513" w14:textId="77777777" w:rsidR="00B6148C" w:rsidRDefault="00B6148C" w:rsidP="00B6148C">
            <w:pPr>
              <w:ind w:firstLine="0"/>
              <w:jc w:val="center"/>
              <w:rPr>
                <w:b/>
                <w:bCs/>
                <w:color w:val="000000"/>
                <w:sz w:val="20"/>
              </w:rPr>
            </w:pPr>
            <w:r w:rsidRPr="00AA2632">
              <w:rPr>
                <w:color w:val="000000"/>
                <w:sz w:val="20"/>
              </w:rPr>
              <w:t>Frequência</w:t>
            </w:r>
          </w:p>
          <w:p w14:paraId="1C7CFAF0" w14:textId="77777777" w:rsidR="00B6148C" w:rsidRPr="00237196" w:rsidRDefault="00B6148C" w:rsidP="00B6148C">
            <w:pPr>
              <w:ind w:firstLine="0"/>
              <w:jc w:val="center"/>
              <w:rPr>
                <w:color w:val="000000"/>
                <w:sz w:val="20"/>
              </w:rPr>
            </w:pPr>
            <w:r>
              <w:rPr>
                <w:color w:val="000000"/>
                <w:sz w:val="20"/>
              </w:rPr>
              <w:t>Absoluta</w:t>
            </w:r>
          </w:p>
        </w:tc>
        <w:tc>
          <w:tcPr>
            <w:tcW w:w="1842" w:type="dxa"/>
            <w:shd w:val="clear" w:color="auto" w:fill="auto"/>
            <w:noWrap/>
            <w:vAlign w:val="center"/>
          </w:tcPr>
          <w:p w14:paraId="01B38549" w14:textId="77777777" w:rsidR="00B6148C" w:rsidRPr="00237196" w:rsidRDefault="00B6148C" w:rsidP="00B6148C">
            <w:pPr>
              <w:ind w:firstLine="0"/>
              <w:jc w:val="center"/>
              <w:rPr>
                <w:color w:val="000000"/>
                <w:sz w:val="20"/>
              </w:rPr>
            </w:pPr>
            <w:r w:rsidRPr="00AA2632">
              <w:rPr>
                <w:color w:val="000000"/>
                <w:sz w:val="20"/>
              </w:rPr>
              <w:t>Frequência</w:t>
            </w:r>
            <w:r>
              <w:rPr>
                <w:color w:val="000000"/>
                <w:sz w:val="20"/>
              </w:rPr>
              <w:t xml:space="preserve"> Relativa (%)</w:t>
            </w:r>
          </w:p>
        </w:tc>
      </w:tr>
      <w:tr w:rsidR="00B6148C" w:rsidRPr="00237196" w14:paraId="1B0ED1CB" w14:textId="77777777" w:rsidTr="00B6148C">
        <w:trPr>
          <w:trHeight w:val="160"/>
        </w:trPr>
        <w:tc>
          <w:tcPr>
            <w:tcW w:w="2263" w:type="dxa"/>
            <w:shd w:val="clear" w:color="auto" w:fill="auto"/>
            <w:noWrap/>
            <w:vAlign w:val="bottom"/>
            <w:hideMark/>
          </w:tcPr>
          <w:p w14:paraId="0D4281C8" w14:textId="77777777" w:rsidR="00B6148C" w:rsidRPr="00237196" w:rsidRDefault="00B6148C" w:rsidP="00B6148C">
            <w:pPr>
              <w:ind w:firstLine="0"/>
              <w:rPr>
                <w:color w:val="000000"/>
                <w:sz w:val="20"/>
              </w:rPr>
            </w:pPr>
            <w:r w:rsidRPr="00237196">
              <w:rPr>
                <w:color w:val="000000"/>
                <w:sz w:val="20"/>
              </w:rPr>
              <w:t>Ações</w:t>
            </w:r>
          </w:p>
        </w:tc>
        <w:tc>
          <w:tcPr>
            <w:tcW w:w="1701" w:type="dxa"/>
            <w:shd w:val="clear" w:color="auto" w:fill="auto"/>
            <w:noWrap/>
            <w:vAlign w:val="bottom"/>
            <w:hideMark/>
          </w:tcPr>
          <w:p w14:paraId="4B79993E" w14:textId="77777777" w:rsidR="00B6148C" w:rsidRPr="00237196" w:rsidRDefault="00B6148C" w:rsidP="00B6148C">
            <w:pPr>
              <w:ind w:firstLine="0"/>
              <w:jc w:val="center"/>
              <w:rPr>
                <w:color w:val="000000"/>
                <w:sz w:val="20"/>
              </w:rPr>
            </w:pPr>
            <w:r w:rsidRPr="00237196">
              <w:rPr>
                <w:color w:val="000000"/>
                <w:sz w:val="20"/>
              </w:rPr>
              <w:t>11</w:t>
            </w:r>
          </w:p>
        </w:tc>
        <w:tc>
          <w:tcPr>
            <w:tcW w:w="1701" w:type="dxa"/>
            <w:shd w:val="clear" w:color="auto" w:fill="auto"/>
            <w:noWrap/>
            <w:vAlign w:val="bottom"/>
            <w:hideMark/>
          </w:tcPr>
          <w:p w14:paraId="12F8B339" w14:textId="77777777" w:rsidR="00B6148C" w:rsidRPr="00237196" w:rsidRDefault="00B6148C" w:rsidP="00B6148C">
            <w:pPr>
              <w:ind w:firstLine="0"/>
              <w:jc w:val="center"/>
              <w:rPr>
                <w:color w:val="000000"/>
                <w:sz w:val="20"/>
              </w:rPr>
            </w:pPr>
            <w:r w:rsidRPr="00237196">
              <w:rPr>
                <w:color w:val="000000"/>
                <w:sz w:val="20"/>
              </w:rPr>
              <w:t>4,42%</w:t>
            </w:r>
          </w:p>
        </w:tc>
        <w:tc>
          <w:tcPr>
            <w:tcW w:w="1560" w:type="dxa"/>
            <w:shd w:val="clear" w:color="auto" w:fill="auto"/>
            <w:noWrap/>
            <w:vAlign w:val="bottom"/>
            <w:hideMark/>
          </w:tcPr>
          <w:p w14:paraId="6A00410F" w14:textId="77777777" w:rsidR="00B6148C" w:rsidRPr="00237196" w:rsidRDefault="00B6148C" w:rsidP="00B6148C">
            <w:pPr>
              <w:ind w:firstLine="0"/>
              <w:jc w:val="center"/>
              <w:rPr>
                <w:color w:val="000000"/>
                <w:sz w:val="20"/>
              </w:rPr>
            </w:pPr>
            <w:r w:rsidRPr="00237196">
              <w:rPr>
                <w:color w:val="000000"/>
                <w:sz w:val="20"/>
              </w:rPr>
              <w:t>5</w:t>
            </w:r>
          </w:p>
        </w:tc>
        <w:tc>
          <w:tcPr>
            <w:tcW w:w="1842" w:type="dxa"/>
            <w:shd w:val="clear" w:color="auto" w:fill="auto"/>
            <w:noWrap/>
            <w:vAlign w:val="bottom"/>
            <w:hideMark/>
          </w:tcPr>
          <w:p w14:paraId="26CCD4DC" w14:textId="77777777" w:rsidR="00B6148C" w:rsidRPr="00237196" w:rsidRDefault="00B6148C" w:rsidP="00B6148C">
            <w:pPr>
              <w:ind w:firstLine="0"/>
              <w:jc w:val="center"/>
              <w:rPr>
                <w:color w:val="000000"/>
                <w:sz w:val="20"/>
              </w:rPr>
            </w:pPr>
            <w:r w:rsidRPr="00237196">
              <w:rPr>
                <w:color w:val="000000"/>
                <w:sz w:val="20"/>
              </w:rPr>
              <w:t>1,46%</w:t>
            </w:r>
          </w:p>
        </w:tc>
      </w:tr>
      <w:tr w:rsidR="00B6148C" w:rsidRPr="00237196" w14:paraId="433DF9FE" w14:textId="77777777" w:rsidTr="00B6148C">
        <w:trPr>
          <w:trHeight w:val="121"/>
        </w:trPr>
        <w:tc>
          <w:tcPr>
            <w:tcW w:w="2263" w:type="dxa"/>
            <w:shd w:val="clear" w:color="auto" w:fill="auto"/>
            <w:noWrap/>
            <w:vAlign w:val="bottom"/>
            <w:hideMark/>
          </w:tcPr>
          <w:p w14:paraId="2293125E" w14:textId="77777777" w:rsidR="00B6148C" w:rsidRPr="00237196" w:rsidRDefault="00B6148C" w:rsidP="00B6148C">
            <w:pPr>
              <w:ind w:firstLine="0"/>
              <w:rPr>
                <w:color w:val="000000"/>
                <w:sz w:val="20"/>
              </w:rPr>
            </w:pPr>
            <w:r w:rsidRPr="00237196">
              <w:rPr>
                <w:color w:val="000000"/>
                <w:sz w:val="20"/>
              </w:rPr>
              <w:t>CDB</w:t>
            </w:r>
          </w:p>
        </w:tc>
        <w:tc>
          <w:tcPr>
            <w:tcW w:w="1701" w:type="dxa"/>
            <w:shd w:val="clear" w:color="auto" w:fill="auto"/>
            <w:noWrap/>
            <w:vAlign w:val="bottom"/>
            <w:hideMark/>
          </w:tcPr>
          <w:p w14:paraId="7F346DC5" w14:textId="77777777" w:rsidR="00B6148C" w:rsidRPr="00237196" w:rsidRDefault="00B6148C" w:rsidP="00B6148C">
            <w:pPr>
              <w:ind w:firstLine="0"/>
              <w:jc w:val="center"/>
              <w:rPr>
                <w:color w:val="000000"/>
                <w:sz w:val="20"/>
              </w:rPr>
            </w:pPr>
            <w:r w:rsidRPr="00237196">
              <w:rPr>
                <w:color w:val="000000"/>
                <w:sz w:val="20"/>
              </w:rPr>
              <w:t>8</w:t>
            </w:r>
          </w:p>
        </w:tc>
        <w:tc>
          <w:tcPr>
            <w:tcW w:w="1701" w:type="dxa"/>
            <w:shd w:val="clear" w:color="auto" w:fill="auto"/>
            <w:noWrap/>
            <w:vAlign w:val="bottom"/>
            <w:hideMark/>
          </w:tcPr>
          <w:p w14:paraId="196425AA" w14:textId="77777777" w:rsidR="00B6148C" w:rsidRPr="00237196" w:rsidRDefault="00B6148C" w:rsidP="00B6148C">
            <w:pPr>
              <w:ind w:firstLine="0"/>
              <w:jc w:val="center"/>
              <w:rPr>
                <w:color w:val="000000"/>
                <w:sz w:val="20"/>
              </w:rPr>
            </w:pPr>
            <w:r w:rsidRPr="00237196">
              <w:rPr>
                <w:color w:val="000000"/>
                <w:sz w:val="20"/>
              </w:rPr>
              <w:t>3,21%</w:t>
            </w:r>
          </w:p>
        </w:tc>
        <w:tc>
          <w:tcPr>
            <w:tcW w:w="1560" w:type="dxa"/>
            <w:shd w:val="clear" w:color="auto" w:fill="auto"/>
            <w:noWrap/>
            <w:vAlign w:val="bottom"/>
            <w:hideMark/>
          </w:tcPr>
          <w:p w14:paraId="3205B16B" w14:textId="77777777" w:rsidR="00B6148C" w:rsidRPr="00237196" w:rsidRDefault="00B6148C" w:rsidP="00B6148C">
            <w:pPr>
              <w:ind w:firstLine="0"/>
              <w:jc w:val="center"/>
              <w:rPr>
                <w:color w:val="000000"/>
                <w:sz w:val="20"/>
              </w:rPr>
            </w:pPr>
            <w:r w:rsidRPr="00237196">
              <w:rPr>
                <w:color w:val="000000"/>
                <w:sz w:val="20"/>
              </w:rPr>
              <w:t>5</w:t>
            </w:r>
          </w:p>
        </w:tc>
        <w:tc>
          <w:tcPr>
            <w:tcW w:w="1842" w:type="dxa"/>
            <w:shd w:val="clear" w:color="auto" w:fill="auto"/>
            <w:noWrap/>
            <w:vAlign w:val="bottom"/>
            <w:hideMark/>
          </w:tcPr>
          <w:p w14:paraId="1F74145D" w14:textId="77777777" w:rsidR="00B6148C" w:rsidRPr="00237196" w:rsidRDefault="00B6148C" w:rsidP="00B6148C">
            <w:pPr>
              <w:ind w:firstLine="0"/>
              <w:jc w:val="center"/>
              <w:rPr>
                <w:color w:val="000000"/>
                <w:sz w:val="20"/>
              </w:rPr>
            </w:pPr>
            <w:r w:rsidRPr="00237196">
              <w:rPr>
                <w:color w:val="000000"/>
                <w:sz w:val="20"/>
              </w:rPr>
              <w:t>1,46%</w:t>
            </w:r>
          </w:p>
        </w:tc>
      </w:tr>
      <w:tr w:rsidR="00B6148C" w:rsidRPr="00237196" w14:paraId="44DA9446" w14:textId="77777777" w:rsidTr="00B6148C">
        <w:trPr>
          <w:trHeight w:val="98"/>
        </w:trPr>
        <w:tc>
          <w:tcPr>
            <w:tcW w:w="2263" w:type="dxa"/>
            <w:shd w:val="clear" w:color="auto" w:fill="auto"/>
            <w:noWrap/>
            <w:vAlign w:val="bottom"/>
            <w:hideMark/>
          </w:tcPr>
          <w:p w14:paraId="3BAC66AE" w14:textId="77777777" w:rsidR="00B6148C" w:rsidRPr="00237196" w:rsidRDefault="00B6148C" w:rsidP="00B6148C">
            <w:pPr>
              <w:ind w:firstLine="0"/>
              <w:rPr>
                <w:color w:val="000000"/>
                <w:sz w:val="20"/>
              </w:rPr>
            </w:pPr>
            <w:r w:rsidRPr="00237196">
              <w:rPr>
                <w:color w:val="000000"/>
                <w:sz w:val="20"/>
              </w:rPr>
              <w:t>Fundo de Investimento</w:t>
            </w:r>
          </w:p>
        </w:tc>
        <w:tc>
          <w:tcPr>
            <w:tcW w:w="1701" w:type="dxa"/>
            <w:shd w:val="clear" w:color="auto" w:fill="auto"/>
            <w:noWrap/>
            <w:vAlign w:val="bottom"/>
            <w:hideMark/>
          </w:tcPr>
          <w:p w14:paraId="5FEC0025" w14:textId="77777777" w:rsidR="00B6148C" w:rsidRPr="00237196" w:rsidRDefault="00B6148C" w:rsidP="00B6148C">
            <w:pPr>
              <w:ind w:firstLine="0"/>
              <w:jc w:val="center"/>
              <w:rPr>
                <w:color w:val="000000"/>
                <w:sz w:val="20"/>
              </w:rPr>
            </w:pPr>
            <w:r w:rsidRPr="00237196">
              <w:rPr>
                <w:color w:val="000000"/>
                <w:sz w:val="20"/>
              </w:rPr>
              <w:t>11</w:t>
            </w:r>
          </w:p>
        </w:tc>
        <w:tc>
          <w:tcPr>
            <w:tcW w:w="1701" w:type="dxa"/>
            <w:shd w:val="clear" w:color="auto" w:fill="auto"/>
            <w:noWrap/>
            <w:vAlign w:val="bottom"/>
            <w:hideMark/>
          </w:tcPr>
          <w:p w14:paraId="7BCE6A99" w14:textId="77777777" w:rsidR="00B6148C" w:rsidRPr="00237196" w:rsidRDefault="00B6148C" w:rsidP="00B6148C">
            <w:pPr>
              <w:ind w:firstLine="0"/>
              <w:jc w:val="center"/>
              <w:rPr>
                <w:color w:val="000000"/>
                <w:sz w:val="20"/>
              </w:rPr>
            </w:pPr>
            <w:r w:rsidRPr="00237196">
              <w:rPr>
                <w:color w:val="000000"/>
                <w:sz w:val="20"/>
              </w:rPr>
              <w:t>4,42%</w:t>
            </w:r>
          </w:p>
        </w:tc>
        <w:tc>
          <w:tcPr>
            <w:tcW w:w="1560" w:type="dxa"/>
            <w:shd w:val="clear" w:color="auto" w:fill="auto"/>
            <w:noWrap/>
            <w:vAlign w:val="bottom"/>
            <w:hideMark/>
          </w:tcPr>
          <w:p w14:paraId="38DC63A6" w14:textId="77777777" w:rsidR="00B6148C" w:rsidRPr="00237196" w:rsidRDefault="00B6148C" w:rsidP="00B6148C">
            <w:pPr>
              <w:ind w:firstLine="0"/>
              <w:jc w:val="center"/>
              <w:rPr>
                <w:color w:val="000000"/>
                <w:sz w:val="20"/>
              </w:rPr>
            </w:pPr>
            <w:r w:rsidRPr="00237196">
              <w:rPr>
                <w:color w:val="000000"/>
                <w:sz w:val="20"/>
              </w:rPr>
              <w:t>13</w:t>
            </w:r>
          </w:p>
        </w:tc>
        <w:tc>
          <w:tcPr>
            <w:tcW w:w="1842" w:type="dxa"/>
            <w:shd w:val="clear" w:color="auto" w:fill="auto"/>
            <w:noWrap/>
            <w:vAlign w:val="bottom"/>
            <w:hideMark/>
          </w:tcPr>
          <w:p w14:paraId="79E798B7" w14:textId="77777777" w:rsidR="00B6148C" w:rsidRPr="00237196" w:rsidRDefault="00B6148C" w:rsidP="00B6148C">
            <w:pPr>
              <w:ind w:firstLine="0"/>
              <w:jc w:val="center"/>
              <w:rPr>
                <w:color w:val="000000"/>
                <w:sz w:val="20"/>
              </w:rPr>
            </w:pPr>
            <w:r w:rsidRPr="00237196">
              <w:rPr>
                <w:color w:val="000000"/>
                <w:sz w:val="20"/>
              </w:rPr>
              <w:t>3,79%</w:t>
            </w:r>
          </w:p>
        </w:tc>
      </w:tr>
      <w:tr w:rsidR="00B6148C" w:rsidRPr="00237196" w14:paraId="4325EB96" w14:textId="77777777" w:rsidTr="00B6148C">
        <w:trPr>
          <w:trHeight w:val="144"/>
        </w:trPr>
        <w:tc>
          <w:tcPr>
            <w:tcW w:w="2263" w:type="dxa"/>
            <w:shd w:val="clear" w:color="auto" w:fill="auto"/>
            <w:noWrap/>
            <w:vAlign w:val="bottom"/>
            <w:hideMark/>
          </w:tcPr>
          <w:p w14:paraId="10771B92" w14:textId="77777777" w:rsidR="00B6148C" w:rsidRPr="00237196" w:rsidRDefault="00B6148C" w:rsidP="00B6148C">
            <w:pPr>
              <w:ind w:firstLine="0"/>
              <w:rPr>
                <w:color w:val="000000"/>
                <w:sz w:val="20"/>
              </w:rPr>
            </w:pPr>
            <w:r w:rsidRPr="00237196">
              <w:rPr>
                <w:color w:val="000000"/>
                <w:sz w:val="20"/>
              </w:rPr>
              <w:t>Outros</w:t>
            </w:r>
          </w:p>
        </w:tc>
        <w:tc>
          <w:tcPr>
            <w:tcW w:w="1701" w:type="dxa"/>
            <w:shd w:val="clear" w:color="auto" w:fill="auto"/>
            <w:noWrap/>
            <w:vAlign w:val="bottom"/>
            <w:hideMark/>
          </w:tcPr>
          <w:p w14:paraId="44697739" w14:textId="77777777" w:rsidR="00B6148C" w:rsidRPr="00237196" w:rsidRDefault="00B6148C" w:rsidP="00B6148C">
            <w:pPr>
              <w:ind w:firstLine="0"/>
              <w:jc w:val="center"/>
              <w:rPr>
                <w:color w:val="000000"/>
                <w:sz w:val="20"/>
              </w:rPr>
            </w:pPr>
            <w:r w:rsidRPr="00237196">
              <w:rPr>
                <w:color w:val="000000"/>
                <w:sz w:val="20"/>
              </w:rPr>
              <w:t>25</w:t>
            </w:r>
          </w:p>
        </w:tc>
        <w:tc>
          <w:tcPr>
            <w:tcW w:w="1701" w:type="dxa"/>
            <w:shd w:val="clear" w:color="auto" w:fill="auto"/>
            <w:noWrap/>
            <w:vAlign w:val="bottom"/>
            <w:hideMark/>
          </w:tcPr>
          <w:p w14:paraId="1D0F8E9D" w14:textId="77777777" w:rsidR="00B6148C" w:rsidRPr="00237196" w:rsidRDefault="00B6148C" w:rsidP="00B6148C">
            <w:pPr>
              <w:ind w:firstLine="0"/>
              <w:jc w:val="center"/>
              <w:rPr>
                <w:color w:val="000000"/>
                <w:sz w:val="20"/>
              </w:rPr>
            </w:pPr>
            <w:r w:rsidRPr="00237196">
              <w:rPr>
                <w:color w:val="000000"/>
                <w:sz w:val="20"/>
              </w:rPr>
              <w:t>10,04%</w:t>
            </w:r>
          </w:p>
        </w:tc>
        <w:tc>
          <w:tcPr>
            <w:tcW w:w="1560" w:type="dxa"/>
            <w:shd w:val="clear" w:color="auto" w:fill="auto"/>
            <w:noWrap/>
            <w:vAlign w:val="bottom"/>
            <w:hideMark/>
          </w:tcPr>
          <w:p w14:paraId="78DEECC1" w14:textId="77777777" w:rsidR="00B6148C" w:rsidRPr="00237196" w:rsidRDefault="00B6148C" w:rsidP="00B6148C">
            <w:pPr>
              <w:ind w:firstLine="0"/>
              <w:jc w:val="center"/>
              <w:rPr>
                <w:color w:val="000000"/>
                <w:sz w:val="20"/>
              </w:rPr>
            </w:pPr>
            <w:r w:rsidRPr="00237196">
              <w:rPr>
                <w:color w:val="000000"/>
                <w:sz w:val="20"/>
              </w:rPr>
              <w:t>25</w:t>
            </w:r>
          </w:p>
        </w:tc>
        <w:tc>
          <w:tcPr>
            <w:tcW w:w="1842" w:type="dxa"/>
            <w:shd w:val="clear" w:color="auto" w:fill="auto"/>
            <w:noWrap/>
            <w:vAlign w:val="bottom"/>
            <w:hideMark/>
          </w:tcPr>
          <w:p w14:paraId="1B2DB282" w14:textId="77777777" w:rsidR="00B6148C" w:rsidRPr="00237196" w:rsidRDefault="00B6148C" w:rsidP="00B6148C">
            <w:pPr>
              <w:ind w:firstLine="0"/>
              <w:jc w:val="center"/>
              <w:rPr>
                <w:color w:val="000000"/>
                <w:sz w:val="20"/>
              </w:rPr>
            </w:pPr>
            <w:r w:rsidRPr="00237196">
              <w:rPr>
                <w:color w:val="000000"/>
                <w:sz w:val="20"/>
              </w:rPr>
              <w:t>7,29%</w:t>
            </w:r>
          </w:p>
        </w:tc>
      </w:tr>
      <w:tr w:rsidR="00B6148C" w:rsidRPr="00237196" w14:paraId="2888AFBF" w14:textId="77777777" w:rsidTr="00B6148C">
        <w:trPr>
          <w:trHeight w:val="70"/>
        </w:trPr>
        <w:tc>
          <w:tcPr>
            <w:tcW w:w="2263" w:type="dxa"/>
            <w:shd w:val="clear" w:color="auto" w:fill="auto"/>
            <w:noWrap/>
            <w:vAlign w:val="bottom"/>
            <w:hideMark/>
          </w:tcPr>
          <w:p w14:paraId="20CBA279" w14:textId="77777777" w:rsidR="00B6148C" w:rsidRPr="00237196" w:rsidRDefault="00B6148C" w:rsidP="00B6148C">
            <w:pPr>
              <w:ind w:firstLine="0"/>
              <w:rPr>
                <w:color w:val="000000"/>
                <w:sz w:val="20"/>
              </w:rPr>
            </w:pPr>
            <w:r w:rsidRPr="00237196">
              <w:rPr>
                <w:color w:val="000000"/>
                <w:sz w:val="20"/>
              </w:rPr>
              <w:t>Títulos Públicos</w:t>
            </w:r>
          </w:p>
        </w:tc>
        <w:tc>
          <w:tcPr>
            <w:tcW w:w="1701" w:type="dxa"/>
            <w:shd w:val="clear" w:color="auto" w:fill="auto"/>
            <w:noWrap/>
            <w:vAlign w:val="bottom"/>
            <w:hideMark/>
          </w:tcPr>
          <w:p w14:paraId="3F24D2A6" w14:textId="77777777" w:rsidR="00B6148C" w:rsidRPr="00237196" w:rsidRDefault="00B6148C" w:rsidP="00B6148C">
            <w:pPr>
              <w:ind w:firstLine="0"/>
              <w:jc w:val="center"/>
              <w:rPr>
                <w:color w:val="000000"/>
                <w:sz w:val="20"/>
              </w:rPr>
            </w:pPr>
            <w:r w:rsidRPr="00237196">
              <w:rPr>
                <w:color w:val="000000"/>
                <w:sz w:val="20"/>
              </w:rPr>
              <w:t>3</w:t>
            </w:r>
          </w:p>
        </w:tc>
        <w:tc>
          <w:tcPr>
            <w:tcW w:w="1701" w:type="dxa"/>
            <w:shd w:val="clear" w:color="auto" w:fill="auto"/>
            <w:noWrap/>
            <w:vAlign w:val="bottom"/>
            <w:hideMark/>
          </w:tcPr>
          <w:p w14:paraId="02B20A38" w14:textId="77777777" w:rsidR="00B6148C" w:rsidRPr="00237196" w:rsidRDefault="00B6148C" w:rsidP="00B6148C">
            <w:pPr>
              <w:ind w:firstLine="0"/>
              <w:jc w:val="center"/>
              <w:rPr>
                <w:color w:val="000000"/>
                <w:sz w:val="20"/>
              </w:rPr>
            </w:pPr>
            <w:r w:rsidRPr="00237196">
              <w:rPr>
                <w:color w:val="000000"/>
                <w:sz w:val="20"/>
              </w:rPr>
              <w:t>1,20%</w:t>
            </w:r>
          </w:p>
        </w:tc>
        <w:tc>
          <w:tcPr>
            <w:tcW w:w="1560" w:type="dxa"/>
            <w:shd w:val="clear" w:color="auto" w:fill="auto"/>
            <w:noWrap/>
            <w:vAlign w:val="bottom"/>
            <w:hideMark/>
          </w:tcPr>
          <w:p w14:paraId="033EA6A4" w14:textId="77777777" w:rsidR="00B6148C" w:rsidRPr="00237196" w:rsidRDefault="00B6148C" w:rsidP="00B6148C">
            <w:pPr>
              <w:ind w:firstLine="0"/>
              <w:jc w:val="center"/>
              <w:rPr>
                <w:color w:val="000000"/>
                <w:sz w:val="20"/>
              </w:rPr>
            </w:pPr>
            <w:r w:rsidRPr="00237196">
              <w:rPr>
                <w:color w:val="000000"/>
                <w:sz w:val="20"/>
              </w:rPr>
              <w:t>3</w:t>
            </w:r>
          </w:p>
        </w:tc>
        <w:tc>
          <w:tcPr>
            <w:tcW w:w="1842" w:type="dxa"/>
            <w:shd w:val="clear" w:color="auto" w:fill="auto"/>
            <w:noWrap/>
            <w:vAlign w:val="bottom"/>
            <w:hideMark/>
          </w:tcPr>
          <w:p w14:paraId="158BA013" w14:textId="77777777" w:rsidR="00B6148C" w:rsidRPr="00237196" w:rsidRDefault="00B6148C" w:rsidP="00B6148C">
            <w:pPr>
              <w:ind w:firstLine="0"/>
              <w:jc w:val="center"/>
              <w:rPr>
                <w:color w:val="000000"/>
                <w:sz w:val="20"/>
              </w:rPr>
            </w:pPr>
            <w:r w:rsidRPr="00237196">
              <w:rPr>
                <w:color w:val="000000"/>
                <w:sz w:val="20"/>
              </w:rPr>
              <w:t>0,87%</w:t>
            </w:r>
          </w:p>
        </w:tc>
      </w:tr>
      <w:tr w:rsidR="00B6148C" w:rsidRPr="00237196" w14:paraId="71FF2AC7" w14:textId="77777777" w:rsidTr="00B6148C">
        <w:trPr>
          <w:trHeight w:val="80"/>
        </w:trPr>
        <w:tc>
          <w:tcPr>
            <w:tcW w:w="2263" w:type="dxa"/>
            <w:shd w:val="clear" w:color="auto" w:fill="auto"/>
            <w:noWrap/>
            <w:vAlign w:val="bottom"/>
            <w:hideMark/>
          </w:tcPr>
          <w:p w14:paraId="1ECB031B" w14:textId="77777777" w:rsidR="00B6148C" w:rsidRPr="00237196" w:rsidRDefault="00B6148C" w:rsidP="00B6148C">
            <w:pPr>
              <w:ind w:firstLine="0"/>
              <w:rPr>
                <w:color w:val="000000"/>
                <w:sz w:val="20"/>
              </w:rPr>
            </w:pPr>
            <w:r w:rsidRPr="00237196">
              <w:rPr>
                <w:color w:val="000000"/>
                <w:sz w:val="20"/>
              </w:rPr>
              <w:t>Não possuo investimento</w:t>
            </w:r>
          </w:p>
        </w:tc>
        <w:tc>
          <w:tcPr>
            <w:tcW w:w="1701" w:type="dxa"/>
            <w:shd w:val="clear" w:color="auto" w:fill="auto"/>
            <w:noWrap/>
            <w:vAlign w:val="bottom"/>
            <w:hideMark/>
          </w:tcPr>
          <w:p w14:paraId="6D42E677" w14:textId="77777777" w:rsidR="00B6148C" w:rsidRPr="00237196" w:rsidRDefault="00B6148C" w:rsidP="00B6148C">
            <w:pPr>
              <w:ind w:firstLine="0"/>
              <w:jc w:val="center"/>
              <w:rPr>
                <w:color w:val="000000"/>
                <w:sz w:val="20"/>
              </w:rPr>
            </w:pPr>
            <w:r w:rsidRPr="00237196">
              <w:rPr>
                <w:color w:val="000000"/>
                <w:sz w:val="20"/>
              </w:rPr>
              <w:t>94</w:t>
            </w:r>
          </w:p>
        </w:tc>
        <w:tc>
          <w:tcPr>
            <w:tcW w:w="1701" w:type="dxa"/>
            <w:shd w:val="clear" w:color="auto" w:fill="auto"/>
            <w:noWrap/>
            <w:vAlign w:val="bottom"/>
            <w:hideMark/>
          </w:tcPr>
          <w:p w14:paraId="3A906442" w14:textId="77777777" w:rsidR="00B6148C" w:rsidRPr="00237196" w:rsidRDefault="00B6148C" w:rsidP="00B6148C">
            <w:pPr>
              <w:ind w:firstLine="0"/>
              <w:jc w:val="center"/>
              <w:rPr>
                <w:color w:val="000000"/>
                <w:sz w:val="20"/>
              </w:rPr>
            </w:pPr>
            <w:r w:rsidRPr="00237196">
              <w:rPr>
                <w:color w:val="000000"/>
                <w:sz w:val="20"/>
              </w:rPr>
              <w:t>37,75%</w:t>
            </w:r>
          </w:p>
        </w:tc>
        <w:tc>
          <w:tcPr>
            <w:tcW w:w="1560" w:type="dxa"/>
            <w:shd w:val="clear" w:color="auto" w:fill="auto"/>
            <w:noWrap/>
            <w:vAlign w:val="bottom"/>
            <w:hideMark/>
          </w:tcPr>
          <w:p w14:paraId="506309B9" w14:textId="77777777" w:rsidR="00B6148C" w:rsidRPr="00237196" w:rsidRDefault="00B6148C" w:rsidP="00B6148C">
            <w:pPr>
              <w:ind w:firstLine="0"/>
              <w:jc w:val="center"/>
              <w:rPr>
                <w:color w:val="000000"/>
                <w:sz w:val="20"/>
              </w:rPr>
            </w:pPr>
            <w:r w:rsidRPr="00237196">
              <w:rPr>
                <w:color w:val="000000"/>
                <w:sz w:val="20"/>
              </w:rPr>
              <w:t>148</w:t>
            </w:r>
          </w:p>
        </w:tc>
        <w:tc>
          <w:tcPr>
            <w:tcW w:w="1842" w:type="dxa"/>
            <w:shd w:val="clear" w:color="auto" w:fill="auto"/>
            <w:noWrap/>
            <w:vAlign w:val="bottom"/>
            <w:hideMark/>
          </w:tcPr>
          <w:p w14:paraId="0278DE92" w14:textId="77777777" w:rsidR="00B6148C" w:rsidRPr="00237196" w:rsidRDefault="00B6148C" w:rsidP="00B6148C">
            <w:pPr>
              <w:ind w:firstLine="0"/>
              <w:jc w:val="center"/>
              <w:rPr>
                <w:color w:val="000000"/>
                <w:sz w:val="20"/>
              </w:rPr>
            </w:pPr>
            <w:r w:rsidRPr="00237196">
              <w:rPr>
                <w:color w:val="000000"/>
                <w:sz w:val="20"/>
              </w:rPr>
              <w:t>43,15%</w:t>
            </w:r>
          </w:p>
        </w:tc>
      </w:tr>
      <w:tr w:rsidR="00B6148C" w:rsidRPr="00237196" w14:paraId="465C7C5A" w14:textId="77777777" w:rsidTr="00B6148C">
        <w:trPr>
          <w:trHeight w:val="126"/>
        </w:trPr>
        <w:tc>
          <w:tcPr>
            <w:tcW w:w="2263" w:type="dxa"/>
            <w:shd w:val="clear" w:color="auto" w:fill="auto"/>
            <w:noWrap/>
            <w:vAlign w:val="bottom"/>
            <w:hideMark/>
          </w:tcPr>
          <w:p w14:paraId="651906C9" w14:textId="77777777" w:rsidR="00B6148C" w:rsidRPr="00237196" w:rsidRDefault="00B6148C" w:rsidP="00B6148C">
            <w:pPr>
              <w:ind w:firstLine="0"/>
              <w:rPr>
                <w:color w:val="000000"/>
                <w:sz w:val="20"/>
              </w:rPr>
            </w:pPr>
            <w:r w:rsidRPr="00237196">
              <w:rPr>
                <w:color w:val="000000"/>
                <w:sz w:val="20"/>
              </w:rPr>
              <w:t>Poupança</w:t>
            </w:r>
          </w:p>
        </w:tc>
        <w:tc>
          <w:tcPr>
            <w:tcW w:w="1701" w:type="dxa"/>
            <w:shd w:val="clear" w:color="auto" w:fill="auto"/>
            <w:noWrap/>
            <w:vAlign w:val="bottom"/>
            <w:hideMark/>
          </w:tcPr>
          <w:p w14:paraId="0C262C8E" w14:textId="77777777" w:rsidR="00B6148C" w:rsidRPr="00237196" w:rsidRDefault="00B6148C" w:rsidP="00B6148C">
            <w:pPr>
              <w:ind w:firstLine="0"/>
              <w:jc w:val="center"/>
              <w:rPr>
                <w:color w:val="000000"/>
                <w:sz w:val="20"/>
              </w:rPr>
            </w:pPr>
            <w:r w:rsidRPr="00237196">
              <w:rPr>
                <w:color w:val="000000"/>
                <w:sz w:val="20"/>
              </w:rPr>
              <w:t>97</w:t>
            </w:r>
          </w:p>
        </w:tc>
        <w:tc>
          <w:tcPr>
            <w:tcW w:w="1701" w:type="dxa"/>
            <w:shd w:val="clear" w:color="auto" w:fill="auto"/>
            <w:noWrap/>
            <w:vAlign w:val="bottom"/>
            <w:hideMark/>
          </w:tcPr>
          <w:p w14:paraId="2F880DC4" w14:textId="77777777" w:rsidR="00B6148C" w:rsidRPr="00237196" w:rsidRDefault="00B6148C" w:rsidP="00B6148C">
            <w:pPr>
              <w:ind w:firstLine="0"/>
              <w:jc w:val="center"/>
              <w:rPr>
                <w:color w:val="000000"/>
                <w:sz w:val="20"/>
              </w:rPr>
            </w:pPr>
            <w:r w:rsidRPr="00237196">
              <w:rPr>
                <w:color w:val="000000"/>
                <w:sz w:val="20"/>
              </w:rPr>
              <w:t>38,96%</w:t>
            </w:r>
          </w:p>
        </w:tc>
        <w:tc>
          <w:tcPr>
            <w:tcW w:w="1560" w:type="dxa"/>
            <w:shd w:val="clear" w:color="auto" w:fill="auto"/>
            <w:noWrap/>
            <w:vAlign w:val="bottom"/>
            <w:hideMark/>
          </w:tcPr>
          <w:p w14:paraId="1184EB4D" w14:textId="77777777" w:rsidR="00B6148C" w:rsidRPr="00237196" w:rsidRDefault="00B6148C" w:rsidP="00B6148C">
            <w:pPr>
              <w:ind w:firstLine="0"/>
              <w:jc w:val="center"/>
              <w:rPr>
                <w:color w:val="000000"/>
                <w:sz w:val="20"/>
              </w:rPr>
            </w:pPr>
            <w:r w:rsidRPr="00237196">
              <w:rPr>
                <w:color w:val="000000"/>
                <w:sz w:val="20"/>
              </w:rPr>
              <w:t>144</w:t>
            </w:r>
          </w:p>
        </w:tc>
        <w:tc>
          <w:tcPr>
            <w:tcW w:w="1842" w:type="dxa"/>
            <w:shd w:val="clear" w:color="auto" w:fill="auto"/>
            <w:noWrap/>
            <w:vAlign w:val="bottom"/>
            <w:hideMark/>
          </w:tcPr>
          <w:p w14:paraId="3343AD4F" w14:textId="77777777" w:rsidR="00B6148C" w:rsidRPr="00237196" w:rsidRDefault="00B6148C" w:rsidP="00B6148C">
            <w:pPr>
              <w:ind w:firstLine="0"/>
              <w:jc w:val="center"/>
              <w:rPr>
                <w:color w:val="000000"/>
                <w:sz w:val="20"/>
              </w:rPr>
            </w:pPr>
            <w:r w:rsidRPr="00237196">
              <w:rPr>
                <w:color w:val="000000"/>
                <w:sz w:val="20"/>
              </w:rPr>
              <w:t>41,98%</w:t>
            </w:r>
          </w:p>
        </w:tc>
      </w:tr>
      <w:tr w:rsidR="00B6148C" w:rsidRPr="00237196" w14:paraId="090A7B8B" w14:textId="77777777" w:rsidTr="00B6148C">
        <w:trPr>
          <w:trHeight w:val="70"/>
        </w:trPr>
        <w:tc>
          <w:tcPr>
            <w:tcW w:w="2263" w:type="dxa"/>
            <w:shd w:val="clear" w:color="auto" w:fill="auto"/>
            <w:noWrap/>
            <w:vAlign w:val="bottom"/>
            <w:hideMark/>
          </w:tcPr>
          <w:p w14:paraId="651B5B90" w14:textId="77777777" w:rsidR="00B6148C" w:rsidRPr="00237196" w:rsidRDefault="00B6148C" w:rsidP="00B6148C">
            <w:pPr>
              <w:ind w:firstLine="0"/>
              <w:rPr>
                <w:b/>
                <w:color w:val="000000"/>
                <w:sz w:val="20"/>
              </w:rPr>
            </w:pPr>
            <w:r w:rsidRPr="00237196">
              <w:rPr>
                <w:b/>
                <w:color w:val="000000"/>
                <w:sz w:val="20"/>
              </w:rPr>
              <w:t>Total</w:t>
            </w:r>
          </w:p>
        </w:tc>
        <w:tc>
          <w:tcPr>
            <w:tcW w:w="1701" w:type="dxa"/>
            <w:shd w:val="clear" w:color="auto" w:fill="auto"/>
            <w:noWrap/>
            <w:vAlign w:val="bottom"/>
            <w:hideMark/>
          </w:tcPr>
          <w:p w14:paraId="65949F77" w14:textId="77777777" w:rsidR="00B6148C" w:rsidRPr="00237196" w:rsidRDefault="00B6148C" w:rsidP="00B6148C">
            <w:pPr>
              <w:ind w:firstLine="0"/>
              <w:jc w:val="center"/>
              <w:rPr>
                <w:b/>
                <w:color w:val="000000"/>
                <w:sz w:val="20"/>
              </w:rPr>
            </w:pPr>
            <w:r w:rsidRPr="00237196">
              <w:rPr>
                <w:b/>
                <w:color w:val="000000"/>
                <w:sz w:val="20"/>
              </w:rPr>
              <w:t>249</w:t>
            </w:r>
          </w:p>
        </w:tc>
        <w:tc>
          <w:tcPr>
            <w:tcW w:w="1701" w:type="dxa"/>
            <w:shd w:val="clear" w:color="auto" w:fill="auto"/>
            <w:noWrap/>
            <w:vAlign w:val="bottom"/>
            <w:hideMark/>
          </w:tcPr>
          <w:p w14:paraId="11B6979D" w14:textId="77777777" w:rsidR="00B6148C" w:rsidRPr="00237196" w:rsidRDefault="00B6148C" w:rsidP="00B6148C">
            <w:pPr>
              <w:ind w:firstLine="0"/>
              <w:jc w:val="center"/>
              <w:rPr>
                <w:b/>
                <w:color w:val="000000"/>
                <w:sz w:val="20"/>
              </w:rPr>
            </w:pPr>
            <w:r w:rsidRPr="00237196">
              <w:rPr>
                <w:b/>
                <w:color w:val="000000"/>
                <w:sz w:val="20"/>
              </w:rPr>
              <w:t>100%</w:t>
            </w:r>
          </w:p>
        </w:tc>
        <w:tc>
          <w:tcPr>
            <w:tcW w:w="1560" w:type="dxa"/>
            <w:shd w:val="clear" w:color="auto" w:fill="auto"/>
            <w:noWrap/>
            <w:vAlign w:val="bottom"/>
            <w:hideMark/>
          </w:tcPr>
          <w:p w14:paraId="24E30D6C" w14:textId="77777777" w:rsidR="00B6148C" w:rsidRPr="00237196" w:rsidRDefault="00B6148C" w:rsidP="00B6148C">
            <w:pPr>
              <w:ind w:firstLine="0"/>
              <w:jc w:val="center"/>
              <w:rPr>
                <w:b/>
                <w:color w:val="000000"/>
                <w:sz w:val="20"/>
              </w:rPr>
            </w:pPr>
            <w:r w:rsidRPr="00237196">
              <w:rPr>
                <w:b/>
                <w:color w:val="000000"/>
                <w:sz w:val="20"/>
              </w:rPr>
              <w:t>343</w:t>
            </w:r>
          </w:p>
        </w:tc>
        <w:tc>
          <w:tcPr>
            <w:tcW w:w="1842" w:type="dxa"/>
            <w:shd w:val="clear" w:color="auto" w:fill="auto"/>
            <w:noWrap/>
            <w:vAlign w:val="bottom"/>
            <w:hideMark/>
          </w:tcPr>
          <w:p w14:paraId="3586A23B" w14:textId="77777777" w:rsidR="00B6148C" w:rsidRPr="00237196" w:rsidRDefault="00B6148C" w:rsidP="00B6148C">
            <w:pPr>
              <w:ind w:firstLine="0"/>
              <w:jc w:val="center"/>
              <w:rPr>
                <w:b/>
                <w:color w:val="000000"/>
                <w:sz w:val="20"/>
              </w:rPr>
            </w:pPr>
            <w:r w:rsidRPr="00237196">
              <w:rPr>
                <w:b/>
                <w:color w:val="000000"/>
                <w:sz w:val="20"/>
              </w:rPr>
              <w:t>100%</w:t>
            </w:r>
          </w:p>
        </w:tc>
      </w:tr>
    </w:tbl>
    <w:p w14:paraId="72322942" w14:textId="77777777" w:rsidR="00B6148C" w:rsidRDefault="00B6148C" w:rsidP="00B6148C">
      <w:pPr>
        <w:pStyle w:val="PargrafodaLista"/>
        <w:spacing w:after="0" w:line="240" w:lineRule="auto"/>
        <w:ind w:left="0"/>
        <w:jc w:val="both"/>
        <w:rPr>
          <w:rFonts w:ascii="Times New Roman" w:hAnsi="Times New Roman" w:cs="Times New Roman"/>
          <w:sz w:val="24"/>
          <w:szCs w:val="24"/>
        </w:rPr>
      </w:pPr>
    </w:p>
    <w:p w14:paraId="0965B7CD" w14:textId="77777777" w:rsidR="00B6148C" w:rsidRDefault="00B6148C" w:rsidP="00B6148C">
      <w:pPr>
        <w:pStyle w:val="PargrafodaLista"/>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lastRenderedPageBreak/>
        <w:t>Dos alunos dos cursos de gestão, 62,25% afirmam ter algum tipo de investimento entre os citados acima. Já entre os estudantes de outras áreas, 55,02% declaram possuir investimentos. Constata-se que não há divergência relevante de resultado entre os dois grupos nesse quesito.</w:t>
      </w:r>
    </w:p>
    <w:p w14:paraId="1E48D977" w14:textId="77777777" w:rsidR="00B6148C" w:rsidRDefault="00B6148C" w:rsidP="00B6148C">
      <w:pPr>
        <w:pStyle w:val="PargrafodaLista"/>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A</w:t>
      </w:r>
      <w:r w:rsidRPr="006C61D2">
        <w:rPr>
          <w:rFonts w:ascii="Times New Roman" w:hAnsi="Times New Roman" w:cs="Times New Roman"/>
          <w:sz w:val="24"/>
          <w:szCs w:val="24"/>
        </w:rPr>
        <w:t>nalisou-se</w:t>
      </w:r>
      <w:r>
        <w:rPr>
          <w:rFonts w:ascii="Times New Roman" w:hAnsi="Times New Roman" w:cs="Times New Roman"/>
          <w:sz w:val="24"/>
          <w:szCs w:val="24"/>
        </w:rPr>
        <w:t>,</w:t>
      </w:r>
      <w:r w:rsidRPr="006C61D2">
        <w:rPr>
          <w:rFonts w:ascii="Times New Roman" w:hAnsi="Times New Roman" w:cs="Times New Roman"/>
          <w:sz w:val="24"/>
          <w:szCs w:val="24"/>
        </w:rPr>
        <w:t xml:space="preserve"> ainda</w:t>
      </w:r>
      <w:r>
        <w:rPr>
          <w:rFonts w:ascii="Times New Roman" w:hAnsi="Times New Roman" w:cs="Times New Roman"/>
          <w:sz w:val="24"/>
          <w:szCs w:val="24"/>
        </w:rPr>
        <w:t>,</w:t>
      </w:r>
      <w:r w:rsidRPr="006C61D2">
        <w:rPr>
          <w:rFonts w:ascii="Times New Roman" w:hAnsi="Times New Roman" w:cs="Times New Roman"/>
          <w:sz w:val="24"/>
          <w:szCs w:val="24"/>
        </w:rPr>
        <w:t xml:space="preserve"> se os estudantes possuíam investimentos além da poupança.</w:t>
      </w:r>
      <w:r>
        <w:rPr>
          <w:rFonts w:ascii="Times New Roman" w:hAnsi="Times New Roman" w:cs="Times New Roman"/>
          <w:sz w:val="24"/>
          <w:szCs w:val="24"/>
        </w:rPr>
        <w:t xml:space="preserve"> Apesar de boa parte dos estudantes informarem que possuem investimentos, se constatou que apenas 23,29% dos alunos de gestão possuem investimentos além da poupança. Os números são ainda inferiores nos acadêmicos dos demais cursos, no qual apenas 14,87% possuem outras formas de investimentos. Tal análise corrobora com a afirmação de </w:t>
      </w:r>
      <w:proofErr w:type="spellStart"/>
      <w:r>
        <w:rPr>
          <w:rFonts w:ascii="Times New Roman" w:hAnsi="Times New Roman" w:cs="Times New Roman"/>
          <w:sz w:val="24"/>
          <w:szCs w:val="24"/>
        </w:rPr>
        <w:t>Cerbasi</w:t>
      </w:r>
      <w:proofErr w:type="spellEnd"/>
      <w:r>
        <w:rPr>
          <w:rFonts w:ascii="Times New Roman" w:hAnsi="Times New Roman" w:cs="Times New Roman"/>
          <w:sz w:val="24"/>
          <w:szCs w:val="24"/>
        </w:rPr>
        <w:t xml:space="preserve"> (2008), quando diz que a poupança é o investimento mais popular no Brasil.</w:t>
      </w:r>
    </w:p>
    <w:p w14:paraId="6BCB613A" w14:textId="77777777" w:rsidR="00B6148C" w:rsidRDefault="00B6148C" w:rsidP="00B6148C">
      <w:pPr>
        <w:pStyle w:val="PargrafodaLista"/>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Os dados apresentados pelos estudantes apontam o quanto esses são conservadores quanto aos seus investimentos, tendo a grande maioria investimentos em formas mais conservadoras, com baixo risco e consequente baixo retorno. Os números ficam ainda mais evidentes ao buscar os estudantes que fazem investimentos em ações, tendo pouca popularidade dessa forma de investimentos na amostra estudada. </w:t>
      </w:r>
    </w:p>
    <w:p w14:paraId="745DD458" w14:textId="77777777" w:rsidR="00B6148C" w:rsidRDefault="00B6148C" w:rsidP="00B6148C">
      <w:pPr>
        <w:pStyle w:val="PargrafodaLista"/>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Aponta-se que uma parte da amostra estudada não possuem renda, o que implica em uma não preocupação em investimentos. Tem-se ainda que que boa parte dos estudantes não conseguem poupar seus rendimentos que acaba influenciando nos dados de investimentos evidenciados.</w:t>
      </w:r>
    </w:p>
    <w:p w14:paraId="4EA831EC" w14:textId="77777777" w:rsidR="00B6148C" w:rsidRDefault="00B6148C" w:rsidP="00B6148C">
      <w:pPr>
        <w:pStyle w:val="PargrafodaLista"/>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Dando continuidade aos procedimentos metodológicos elencados previamente, são apresentados na Tabela 6 os resultados da análise fatorial exploratória realizada para os 3 constructos acerca do Controle e Orçamento dispostos no questionário da pesquisa, quais sejam: a</w:t>
      </w:r>
      <w:r w:rsidRPr="00FD712B">
        <w:rPr>
          <w:rFonts w:ascii="Times New Roman" w:hAnsi="Times New Roman" w:cs="Times New Roman"/>
          <w:sz w:val="24"/>
          <w:szCs w:val="24"/>
        </w:rPr>
        <w:t xml:space="preserve">noto e controlo gastos pessoais; </w:t>
      </w:r>
      <w:r>
        <w:rPr>
          <w:rFonts w:ascii="Times New Roman" w:hAnsi="Times New Roman" w:cs="Times New Roman"/>
          <w:sz w:val="24"/>
          <w:szCs w:val="24"/>
        </w:rPr>
        <w:t>e</w:t>
      </w:r>
      <w:r w:rsidRPr="00FD712B">
        <w:rPr>
          <w:rFonts w:ascii="Times New Roman" w:hAnsi="Times New Roman" w:cs="Times New Roman"/>
          <w:sz w:val="24"/>
          <w:szCs w:val="24"/>
        </w:rPr>
        <w:t xml:space="preserve">stabeleço metas financeiras; </w:t>
      </w:r>
      <w:r>
        <w:rPr>
          <w:rFonts w:ascii="Times New Roman" w:hAnsi="Times New Roman" w:cs="Times New Roman"/>
          <w:sz w:val="24"/>
          <w:szCs w:val="24"/>
        </w:rPr>
        <w:t>s</w:t>
      </w:r>
      <w:r w:rsidRPr="00FD712B">
        <w:rPr>
          <w:rFonts w:ascii="Times New Roman" w:hAnsi="Times New Roman" w:cs="Times New Roman"/>
          <w:sz w:val="24"/>
          <w:szCs w:val="24"/>
        </w:rPr>
        <w:t>igo um orçamento ou plano de gastos</w:t>
      </w:r>
      <w:r>
        <w:rPr>
          <w:rFonts w:ascii="Times New Roman" w:hAnsi="Times New Roman" w:cs="Times New Roman"/>
          <w:sz w:val="24"/>
          <w:szCs w:val="24"/>
        </w:rPr>
        <w:t>. Ressalta-se que este procedimento foi feito visando reduzir a escala de variáveis, unificando as variâncias dos referidos constructos em uma única variável com propriedades métricas.</w:t>
      </w:r>
    </w:p>
    <w:p w14:paraId="2590119D" w14:textId="77777777" w:rsidR="00B6148C" w:rsidRPr="00976262" w:rsidRDefault="00B6148C" w:rsidP="00B6148C">
      <w:pPr>
        <w:pStyle w:val="PargrafodaLista"/>
        <w:spacing w:after="0" w:line="240" w:lineRule="auto"/>
        <w:ind w:left="0"/>
        <w:jc w:val="both"/>
        <w:rPr>
          <w:rFonts w:ascii="Times New Roman" w:hAnsi="Times New Roman" w:cs="Times New Roman"/>
          <w:sz w:val="24"/>
          <w:szCs w:val="24"/>
          <w:lang w:eastAsia="pt-BR"/>
        </w:rPr>
      </w:pPr>
    </w:p>
    <w:p w14:paraId="23007693" w14:textId="77777777" w:rsidR="00B6148C" w:rsidRPr="001F5A3C" w:rsidRDefault="00B6148C" w:rsidP="00B6148C">
      <w:pPr>
        <w:keepNext/>
        <w:ind w:firstLine="0"/>
        <w:rPr>
          <w:bCs/>
          <w:sz w:val="20"/>
        </w:rPr>
      </w:pPr>
      <w:r w:rsidRPr="001F5A3C">
        <w:rPr>
          <w:bCs/>
          <w:sz w:val="20"/>
        </w:rPr>
        <w:t>Tabela 6. Análise fatorial exploratória dos constructos</w:t>
      </w:r>
    </w:p>
    <w:tbl>
      <w:tblPr>
        <w:tblStyle w:val="Tabelacomgrade1"/>
        <w:tblW w:w="5000" w:type="pct"/>
        <w:tblBorders>
          <w:top w:val="single" w:sz="4" w:space="0" w:color="auto"/>
          <w:left w:val="none" w:sz="0" w:space="0" w:color="auto"/>
          <w:bottom w:val="single" w:sz="4" w:space="0" w:color="auto"/>
          <w:right w:val="none" w:sz="0" w:space="0" w:color="auto"/>
        </w:tblBorders>
        <w:tblLook w:val="04A0" w:firstRow="1" w:lastRow="0" w:firstColumn="1" w:lastColumn="0" w:noHBand="0" w:noVBand="1"/>
      </w:tblPr>
      <w:tblGrid>
        <w:gridCol w:w="1574"/>
        <w:gridCol w:w="1134"/>
        <w:gridCol w:w="997"/>
        <w:gridCol w:w="997"/>
        <w:gridCol w:w="1140"/>
        <w:gridCol w:w="997"/>
        <w:gridCol w:w="1283"/>
        <w:gridCol w:w="1283"/>
      </w:tblGrid>
      <w:tr w:rsidR="00B6148C" w:rsidRPr="00807D56" w14:paraId="32A1761B" w14:textId="77777777" w:rsidTr="00B6148C">
        <w:tc>
          <w:tcPr>
            <w:tcW w:w="837" w:type="pct"/>
            <w:tcBorders>
              <w:top w:val="single" w:sz="4" w:space="0" w:color="auto"/>
              <w:left w:val="nil"/>
              <w:bottom w:val="single" w:sz="4" w:space="0" w:color="000000"/>
              <w:right w:val="nil"/>
            </w:tcBorders>
            <w:vAlign w:val="center"/>
            <w:hideMark/>
          </w:tcPr>
          <w:p w14:paraId="63D1A444" w14:textId="77777777" w:rsidR="00B6148C" w:rsidRPr="00807D56" w:rsidRDefault="00B6148C" w:rsidP="00B6148C">
            <w:pPr>
              <w:ind w:firstLine="0"/>
              <w:jc w:val="center"/>
              <w:rPr>
                <w:rFonts w:ascii="Times New Roman" w:hAnsi="Times New Roman"/>
                <w:b/>
                <w:sz w:val="20"/>
              </w:rPr>
            </w:pPr>
            <w:r w:rsidRPr="00807D56">
              <w:rPr>
                <w:rFonts w:ascii="Times New Roman" w:hAnsi="Times New Roman"/>
                <w:b/>
                <w:sz w:val="20"/>
              </w:rPr>
              <w:t>Constructo</w:t>
            </w:r>
          </w:p>
        </w:tc>
        <w:tc>
          <w:tcPr>
            <w:tcW w:w="603" w:type="pct"/>
            <w:tcBorders>
              <w:top w:val="single" w:sz="4" w:space="0" w:color="auto"/>
              <w:left w:val="nil"/>
              <w:bottom w:val="single" w:sz="4" w:space="0" w:color="000000"/>
              <w:right w:val="nil"/>
            </w:tcBorders>
            <w:vAlign w:val="center"/>
            <w:hideMark/>
          </w:tcPr>
          <w:p w14:paraId="7C97ADC0" w14:textId="77777777" w:rsidR="00B6148C" w:rsidRPr="00807D56" w:rsidRDefault="00B6148C" w:rsidP="00B6148C">
            <w:pPr>
              <w:ind w:firstLine="0"/>
              <w:jc w:val="center"/>
              <w:rPr>
                <w:rFonts w:ascii="Times New Roman" w:hAnsi="Times New Roman"/>
                <w:b/>
                <w:sz w:val="20"/>
              </w:rPr>
            </w:pPr>
            <w:r w:rsidRPr="00807D56">
              <w:rPr>
                <w:rFonts w:ascii="Times New Roman" w:hAnsi="Times New Roman"/>
                <w:b/>
                <w:sz w:val="20"/>
              </w:rPr>
              <w:t>Questão</w:t>
            </w:r>
          </w:p>
        </w:tc>
        <w:tc>
          <w:tcPr>
            <w:tcW w:w="530" w:type="pct"/>
            <w:tcBorders>
              <w:top w:val="single" w:sz="4" w:space="0" w:color="auto"/>
              <w:left w:val="nil"/>
              <w:bottom w:val="single" w:sz="4" w:space="0" w:color="000000"/>
              <w:right w:val="nil"/>
            </w:tcBorders>
            <w:vAlign w:val="center"/>
            <w:hideMark/>
          </w:tcPr>
          <w:p w14:paraId="61F191EA" w14:textId="77777777" w:rsidR="00B6148C" w:rsidRPr="00807D56" w:rsidRDefault="00B6148C" w:rsidP="00B6148C">
            <w:pPr>
              <w:ind w:firstLine="0"/>
              <w:jc w:val="center"/>
              <w:rPr>
                <w:rFonts w:ascii="Times New Roman" w:hAnsi="Times New Roman"/>
                <w:b/>
                <w:sz w:val="20"/>
              </w:rPr>
            </w:pPr>
            <w:r w:rsidRPr="00807D56">
              <w:rPr>
                <w:rFonts w:ascii="Times New Roman" w:hAnsi="Times New Roman"/>
                <w:b/>
                <w:sz w:val="20"/>
              </w:rPr>
              <w:t>Fator</w:t>
            </w:r>
          </w:p>
        </w:tc>
        <w:tc>
          <w:tcPr>
            <w:tcW w:w="530" w:type="pct"/>
            <w:tcBorders>
              <w:top w:val="single" w:sz="4" w:space="0" w:color="auto"/>
              <w:left w:val="nil"/>
              <w:bottom w:val="single" w:sz="4" w:space="0" w:color="000000"/>
              <w:right w:val="nil"/>
            </w:tcBorders>
            <w:vAlign w:val="center"/>
            <w:hideMark/>
          </w:tcPr>
          <w:p w14:paraId="0B779EE5" w14:textId="77777777" w:rsidR="00B6148C" w:rsidRPr="00807D56" w:rsidRDefault="00B6148C" w:rsidP="00B6148C">
            <w:pPr>
              <w:ind w:firstLine="0"/>
              <w:jc w:val="center"/>
              <w:rPr>
                <w:rFonts w:ascii="Times New Roman" w:hAnsi="Times New Roman"/>
                <w:b/>
                <w:sz w:val="20"/>
              </w:rPr>
            </w:pPr>
            <w:r w:rsidRPr="00807D56">
              <w:rPr>
                <w:rFonts w:ascii="Times New Roman" w:hAnsi="Times New Roman"/>
                <w:b/>
                <w:sz w:val="20"/>
              </w:rPr>
              <w:t>H²</w:t>
            </w:r>
          </w:p>
        </w:tc>
        <w:tc>
          <w:tcPr>
            <w:tcW w:w="606" w:type="pct"/>
            <w:tcBorders>
              <w:top w:val="single" w:sz="4" w:space="0" w:color="auto"/>
              <w:left w:val="nil"/>
              <w:bottom w:val="single" w:sz="4" w:space="0" w:color="000000"/>
              <w:right w:val="nil"/>
            </w:tcBorders>
            <w:vAlign w:val="center"/>
            <w:hideMark/>
          </w:tcPr>
          <w:p w14:paraId="0717655A" w14:textId="77777777" w:rsidR="00B6148C" w:rsidRPr="00807D56" w:rsidRDefault="00B6148C" w:rsidP="00B6148C">
            <w:pPr>
              <w:ind w:firstLine="0"/>
              <w:jc w:val="center"/>
              <w:rPr>
                <w:rFonts w:ascii="Times New Roman" w:hAnsi="Times New Roman"/>
                <w:b/>
                <w:sz w:val="20"/>
              </w:rPr>
            </w:pPr>
            <w:r w:rsidRPr="00807D56">
              <w:rPr>
                <w:rFonts w:ascii="Times New Roman" w:hAnsi="Times New Roman"/>
                <w:b/>
                <w:sz w:val="20"/>
              </w:rPr>
              <w:t>MSA</w:t>
            </w:r>
          </w:p>
        </w:tc>
        <w:tc>
          <w:tcPr>
            <w:tcW w:w="530" w:type="pct"/>
            <w:tcBorders>
              <w:top w:val="single" w:sz="4" w:space="0" w:color="auto"/>
              <w:left w:val="nil"/>
              <w:bottom w:val="single" w:sz="4" w:space="0" w:color="000000"/>
              <w:right w:val="nil"/>
            </w:tcBorders>
            <w:vAlign w:val="center"/>
            <w:hideMark/>
          </w:tcPr>
          <w:p w14:paraId="2797DCFA" w14:textId="77777777" w:rsidR="00B6148C" w:rsidRPr="00807D56" w:rsidRDefault="00B6148C" w:rsidP="00B6148C">
            <w:pPr>
              <w:ind w:firstLine="0"/>
              <w:jc w:val="center"/>
              <w:rPr>
                <w:rFonts w:ascii="Times New Roman" w:hAnsi="Times New Roman"/>
                <w:b/>
                <w:sz w:val="20"/>
              </w:rPr>
            </w:pPr>
            <w:r w:rsidRPr="00807D56">
              <w:rPr>
                <w:rFonts w:ascii="Times New Roman" w:hAnsi="Times New Roman"/>
                <w:b/>
                <w:sz w:val="20"/>
              </w:rPr>
              <w:t>KMO</w:t>
            </w:r>
          </w:p>
        </w:tc>
        <w:tc>
          <w:tcPr>
            <w:tcW w:w="682" w:type="pct"/>
            <w:tcBorders>
              <w:top w:val="single" w:sz="4" w:space="0" w:color="auto"/>
              <w:left w:val="nil"/>
              <w:bottom w:val="single" w:sz="4" w:space="0" w:color="000000"/>
              <w:right w:val="nil"/>
            </w:tcBorders>
            <w:vAlign w:val="center"/>
            <w:hideMark/>
          </w:tcPr>
          <w:p w14:paraId="08052DE7" w14:textId="77777777" w:rsidR="00B6148C" w:rsidRPr="00807D56" w:rsidRDefault="00B6148C" w:rsidP="00B6148C">
            <w:pPr>
              <w:ind w:firstLine="0"/>
              <w:jc w:val="center"/>
              <w:rPr>
                <w:rFonts w:ascii="Times New Roman" w:hAnsi="Times New Roman"/>
                <w:b/>
                <w:sz w:val="20"/>
              </w:rPr>
            </w:pPr>
            <w:r w:rsidRPr="00807D56">
              <w:rPr>
                <w:rFonts w:ascii="Times New Roman" w:hAnsi="Times New Roman"/>
                <w:b/>
                <w:sz w:val="20"/>
              </w:rPr>
              <w:t xml:space="preserve">Teste de </w:t>
            </w:r>
            <w:proofErr w:type="spellStart"/>
            <w:r w:rsidRPr="00807D56">
              <w:rPr>
                <w:rFonts w:ascii="Times New Roman" w:hAnsi="Times New Roman"/>
                <w:b/>
                <w:sz w:val="20"/>
              </w:rPr>
              <w:t>Bartlett</w:t>
            </w:r>
            <w:proofErr w:type="spellEnd"/>
          </w:p>
        </w:tc>
        <w:tc>
          <w:tcPr>
            <w:tcW w:w="682" w:type="pct"/>
            <w:tcBorders>
              <w:top w:val="single" w:sz="4" w:space="0" w:color="auto"/>
              <w:left w:val="nil"/>
              <w:bottom w:val="single" w:sz="4" w:space="0" w:color="000000"/>
              <w:right w:val="nil"/>
            </w:tcBorders>
            <w:vAlign w:val="center"/>
            <w:hideMark/>
          </w:tcPr>
          <w:p w14:paraId="49BEAA8B" w14:textId="77777777" w:rsidR="00B6148C" w:rsidRPr="00807D56" w:rsidRDefault="00B6148C" w:rsidP="00B6148C">
            <w:pPr>
              <w:ind w:firstLine="0"/>
              <w:jc w:val="center"/>
              <w:rPr>
                <w:rFonts w:ascii="Times New Roman" w:hAnsi="Times New Roman"/>
                <w:b/>
                <w:i/>
                <w:sz w:val="20"/>
              </w:rPr>
            </w:pPr>
            <w:r w:rsidRPr="00807D56">
              <w:rPr>
                <w:rFonts w:ascii="Times New Roman" w:hAnsi="Times New Roman"/>
                <w:b/>
                <w:i/>
                <w:sz w:val="20"/>
              </w:rPr>
              <w:t>Alfa de Cronbach</w:t>
            </w:r>
          </w:p>
        </w:tc>
      </w:tr>
      <w:tr w:rsidR="00B6148C" w:rsidRPr="00807D56" w14:paraId="6AA8B249" w14:textId="77777777" w:rsidTr="00B6148C">
        <w:tc>
          <w:tcPr>
            <w:tcW w:w="837" w:type="pct"/>
            <w:vMerge w:val="restart"/>
            <w:tcBorders>
              <w:top w:val="single" w:sz="4" w:space="0" w:color="000000"/>
              <w:left w:val="nil"/>
              <w:bottom w:val="single" w:sz="4" w:space="0" w:color="auto"/>
              <w:right w:val="nil"/>
            </w:tcBorders>
          </w:tcPr>
          <w:p w14:paraId="773CBAF4" w14:textId="77777777" w:rsidR="00B6148C" w:rsidRPr="00807D56" w:rsidRDefault="00B6148C" w:rsidP="00B6148C">
            <w:pPr>
              <w:spacing w:before="120"/>
              <w:ind w:firstLine="0"/>
              <w:jc w:val="center"/>
              <w:rPr>
                <w:rFonts w:ascii="Times New Roman" w:hAnsi="Times New Roman"/>
                <w:sz w:val="20"/>
              </w:rPr>
            </w:pPr>
            <w:r>
              <w:rPr>
                <w:rFonts w:ascii="Times New Roman" w:hAnsi="Times New Roman"/>
                <w:sz w:val="20"/>
              </w:rPr>
              <w:t>Controle e Orçamento</w:t>
            </w:r>
          </w:p>
        </w:tc>
        <w:tc>
          <w:tcPr>
            <w:tcW w:w="603" w:type="pct"/>
            <w:tcBorders>
              <w:top w:val="single" w:sz="4" w:space="0" w:color="000000"/>
              <w:left w:val="nil"/>
              <w:bottom w:val="nil"/>
              <w:right w:val="nil"/>
            </w:tcBorders>
            <w:hideMark/>
          </w:tcPr>
          <w:p w14:paraId="6FDD17FA" w14:textId="77777777" w:rsidR="00B6148C" w:rsidRPr="00807D56" w:rsidRDefault="00B6148C" w:rsidP="00B6148C">
            <w:pPr>
              <w:ind w:firstLine="0"/>
              <w:jc w:val="center"/>
              <w:rPr>
                <w:rFonts w:ascii="Times New Roman" w:hAnsi="Times New Roman"/>
                <w:sz w:val="20"/>
              </w:rPr>
            </w:pPr>
            <w:r>
              <w:rPr>
                <w:rFonts w:ascii="Times New Roman" w:hAnsi="Times New Roman"/>
                <w:sz w:val="20"/>
              </w:rPr>
              <w:t>CF</w:t>
            </w:r>
            <w:r w:rsidRPr="00807D56">
              <w:rPr>
                <w:rFonts w:ascii="Times New Roman" w:hAnsi="Times New Roman"/>
                <w:sz w:val="20"/>
              </w:rPr>
              <w:t>1</w:t>
            </w:r>
          </w:p>
        </w:tc>
        <w:tc>
          <w:tcPr>
            <w:tcW w:w="530" w:type="pct"/>
            <w:tcBorders>
              <w:top w:val="single" w:sz="4" w:space="0" w:color="000000"/>
              <w:left w:val="nil"/>
              <w:bottom w:val="nil"/>
              <w:right w:val="nil"/>
            </w:tcBorders>
            <w:hideMark/>
          </w:tcPr>
          <w:p w14:paraId="0FEDBD0C" w14:textId="77777777" w:rsidR="00B6148C" w:rsidRPr="00807D56" w:rsidRDefault="00B6148C" w:rsidP="00B6148C">
            <w:pPr>
              <w:ind w:firstLine="0"/>
              <w:jc w:val="center"/>
              <w:rPr>
                <w:rFonts w:ascii="Times New Roman" w:hAnsi="Times New Roman"/>
                <w:sz w:val="20"/>
              </w:rPr>
            </w:pPr>
            <w:r>
              <w:rPr>
                <w:rFonts w:ascii="Times New Roman" w:hAnsi="Times New Roman"/>
                <w:sz w:val="20"/>
              </w:rPr>
              <w:t>0,832</w:t>
            </w:r>
          </w:p>
        </w:tc>
        <w:tc>
          <w:tcPr>
            <w:tcW w:w="530" w:type="pct"/>
            <w:tcBorders>
              <w:top w:val="single" w:sz="4" w:space="0" w:color="000000"/>
              <w:left w:val="nil"/>
              <w:bottom w:val="nil"/>
              <w:right w:val="nil"/>
            </w:tcBorders>
            <w:hideMark/>
          </w:tcPr>
          <w:p w14:paraId="2E7A2624" w14:textId="77777777" w:rsidR="00B6148C" w:rsidRPr="00807D56" w:rsidRDefault="00B6148C" w:rsidP="00B6148C">
            <w:pPr>
              <w:ind w:firstLine="0"/>
              <w:jc w:val="center"/>
              <w:rPr>
                <w:rFonts w:ascii="Times New Roman" w:hAnsi="Times New Roman"/>
                <w:sz w:val="20"/>
              </w:rPr>
            </w:pPr>
            <w:r>
              <w:rPr>
                <w:rFonts w:ascii="Times New Roman" w:hAnsi="Times New Roman"/>
                <w:sz w:val="20"/>
              </w:rPr>
              <w:t>0,693</w:t>
            </w:r>
          </w:p>
        </w:tc>
        <w:tc>
          <w:tcPr>
            <w:tcW w:w="606" w:type="pct"/>
            <w:tcBorders>
              <w:top w:val="single" w:sz="4" w:space="0" w:color="000000"/>
              <w:left w:val="nil"/>
              <w:bottom w:val="nil"/>
              <w:right w:val="nil"/>
            </w:tcBorders>
            <w:hideMark/>
          </w:tcPr>
          <w:p w14:paraId="1F15F012" w14:textId="77777777" w:rsidR="00B6148C" w:rsidRPr="00807D56" w:rsidRDefault="00B6148C" w:rsidP="00B6148C">
            <w:pPr>
              <w:ind w:firstLine="0"/>
              <w:jc w:val="center"/>
              <w:rPr>
                <w:rFonts w:ascii="Times New Roman" w:hAnsi="Times New Roman"/>
                <w:sz w:val="20"/>
              </w:rPr>
            </w:pPr>
            <w:r>
              <w:rPr>
                <w:rFonts w:ascii="Times New Roman" w:hAnsi="Times New Roman"/>
                <w:sz w:val="20"/>
              </w:rPr>
              <w:t>0,731</w:t>
            </w:r>
          </w:p>
        </w:tc>
        <w:tc>
          <w:tcPr>
            <w:tcW w:w="530" w:type="pct"/>
            <w:vMerge w:val="restart"/>
            <w:tcBorders>
              <w:top w:val="single" w:sz="4" w:space="0" w:color="000000"/>
              <w:left w:val="nil"/>
              <w:bottom w:val="single" w:sz="4" w:space="0" w:color="auto"/>
              <w:right w:val="nil"/>
            </w:tcBorders>
          </w:tcPr>
          <w:p w14:paraId="27A7B6D6" w14:textId="77777777" w:rsidR="00B6148C" w:rsidRPr="00807D56" w:rsidRDefault="00B6148C" w:rsidP="00B6148C">
            <w:pPr>
              <w:ind w:firstLine="0"/>
              <w:jc w:val="center"/>
              <w:rPr>
                <w:rFonts w:ascii="Times New Roman" w:hAnsi="Times New Roman"/>
                <w:sz w:val="20"/>
              </w:rPr>
            </w:pPr>
          </w:p>
          <w:p w14:paraId="681DF07A" w14:textId="77777777" w:rsidR="00B6148C" w:rsidRPr="00807D56" w:rsidRDefault="00B6148C" w:rsidP="00B6148C">
            <w:pPr>
              <w:ind w:firstLine="0"/>
              <w:jc w:val="center"/>
              <w:rPr>
                <w:rFonts w:ascii="Times New Roman" w:hAnsi="Times New Roman"/>
                <w:sz w:val="20"/>
              </w:rPr>
            </w:pPr>
            <w:r>
              <w:rPr>
                <w:rFonts w:ascii="Times New Roman" w:hAnsi="Times New Roman"/>
                <w:sz w:val="20"/>
              </w:rPr>
              <w:t>0,705</w:t>
            </w:r>
          </w:p>
        </w:tc>
        <w:tc>
          <w:tcPr>
            <w:tcW w:w="682" w:type="pct"/>
            <w:vMerge w:val="restart"/>
            <w:tcBorders>
              <w:top w:val="single" w:sz="4" w:space="0" w:color="000000"/>
              <w:left w:val="nil"/>
              <w:bottom w:val="single" w:sz="4" w:space="0" w:color="000000"/>
              <w:right w:val="nil"/>
            </w:tcBorders>
          </w:tcPr>
          <w:p w14:paraId="5F9F7620" w14:textId="77777777" w:rsidR="00B6148C" w:rsidRPr="00807D56" w:rsidRDefault="00B6148C" w:rsidP="00B6148C">
            <w:pPr>
              <w:spacing w:before="120"/>
              <w:ind w:firstLine="0"/>
              <w:jc w:val="center"/>
              <w:rPr>
                <w:rFonts w:ascii="Times New Roman" w:hAnsi="Times New Roman"/>
                <w:sz w:val="20"/>
              </w:rPr>
            </w:pPr>
            <w:r>
              <w:rPr>
                <w:rFonts w:ascii="Times New Roman" w:hAnsi="Times New Roman"/>
                <w:sz w:val="20"/>
              </w:rPr>
              <w:t>X²=534,957</w:t>
            </w:r>
          </w:p>
          <w:p w14:paraId="0383827E" w14:textId="77777777" w:rsidR="00B6148C" w:rsidRPr="00807D56" w:rsidRDefault="00B6148C" w:rsidP="00B6148C">
            <w:pPr>
              <w:ind w:firstLine="0"/>
              <w:jc w:val="center"/>
              <w:rPr>
                <w:rFonts w:ascii="Times New Roman" w:hAnsi="Times New Roman"/>
                <w:sz w:val="20"/>
              </w:rPr>
            </w:pPr>
            <w:proofErr w:type="spellStart"/>
            <w:r w:rsidRPr="00807D56">
              <w:rPr>
                <w:rFonts w:ascii="Times New Roman" w:hAnsi="Times New Roman"/>
                <w:sz w:val="20"/>
              </w:rPr>
              <w:t>Sig</w:t>
            </w:r>
            <w:proofErr w:type="spellEnd"/>
            <w:r w:rsidRPr="00807D56">
              <w:rPr>
                <w:rFonts w:ascii="Times New Roman" w:hAnsi="Times New Roman"/>
                <w:sz w:val="20"/>
              </w:rPr>
              <w:t>=0,000</w:t>
            </w:r>
          </w:p>
        </w:tc>
        <w:tc>
          <w:tcPr>
            <w:tcW w:w="682" w:type="pct"/>
            <w:vMerge w:val="restart"/>
            <w:tcBorders>
              <w:top w:val="single" w:sz="4" w:space="0" w:color="000000"/>
              <w:left w:val="nil"/>
              <w:bottom w:val="single" w:sz="4" w:space="0" w:color="auto"/>
              <w:right w:val="nil"/>
            </w:tcBorders>
          </w:tcPr>
          <w:p w14:paraId="6731DF95" w14:textId="77777777" w:rsidR="00B6148C" w:rsidRPr="00807D56" w:rsidRDefault="00B6148C" w:rsidP="00B6148C">
            <w:pPr>
              <w:ind w:firstLine="0"/>
              <w:jc w:val="center"/>
              <w:rPr>
                <w:rFonts w:ascii="Times New Roman" w:hAnsi="Times New Roman"/>
                <w:sz w:val="20"/>
              </w:rPr>
            </w:pPr>
          </w:p>
          <w:p w14:paraId="7F5B3FBA" w14:textId="77777777" w:rsidR="00B6148C" w:rsidRPr="00807D56" w:rsidRDefault="00B6148C" w:rsidP="00B6148C">
            <w:pPr>
              <w:ind w:firstLine="0"/>
              <w:jc w:val="center"/>
              <w:rPr>
                <w:rFonts w:ascii="Times New Roman" w:hAnsi="Times New Roman"/>
                <w:sz w:val="20"/>
              </w:rPr>
            </w:pPr>
            <w:r>
              <w:rPr>
                <w:rFonts w:ascii="Times New Roman" w:hAnsi="Times New Roman"/>
                <w:sz w:val="20"/>
              </w:rPr>
              <w:t>0,804</w:t>
            </w:r>
          </w:p>
        </w:tc>
      </w:tr>
      <w:tr w:rsidR="00B6148C" w:rsidRPr="00807D56" w14:paraId="4A18A4DC" w14:textId="77777777" w:rsidTr="00B6148C">
        <w:tc>
          <w:tcPr>
            <w:tcW w:w="0" w:type="auto"/>
            <w:vMerge/>
            <w:tcBorders>
              <w:top w:val="single" w:sz="4" w:space="0" w:color="auto"/>
              <w:left w:val="nil"/>
              <w:bottom w:val="single" w:sz="4" w:space="0" w:color="000000"/>
              <w:right w:val="nil"/>
            </w:tcBorders>
            <w:vAlign w:val="center"/>
            <w:hideMark/>
          </w:tcPr>
          <w:p w14:paraId="64CC9420" w14:textId="77777777" w:rsidR="00B6148C" w:rsidRPr="00807D56" w:rsidRDefault="00B6148C" w:rsidP="00B6148C">
            <w:pPr>
              <w:ind w:firstLine="0"/>
              <w:rPr>
                <w:rFonts w:ascii="Times New Roman" w:hAnsi="Times New Roman"/>
                <w:sz w:val="20"/>
              </w:rPr>
            </w:pPr>
          </w:p>
        </w:tc>
        <w:tc>
          <w:tcPr>
            <w:tcW w:w="603" w:type="pct"/>
            <w:tcBorders>
              <w:top w:val="nil"/>
              <w:left w:val="nil"/>
              <w:bottom w:val="nil"/>
              <w:right w:val="nil"/>
            </w:tcBorders>
            <w:hideMark/>
          </w:tcPr>
          <w:p w14:paraId="175B8843" w14:textId="77777777" w:rsidR="00B6148C" w:rsidRPr="00807D56" w:rsidRDefault="00B6148C" w:rsidP="00B6148C">
            <w:pPr>
              <w:ind w:firstLine="0"/>
              <w:jc w:val="center"/>
              <w:rPr>
                <w:rFonts w:ascii="Times New Roman" w:hAnsi="Times New Roman"/>
                <w:sz w:val="19"/>
                <w:szCs w:val="24"/>
              </w:rPr>
            </w:pPr>
            <w:r>
              <w:rPr>
                <w:rFonts w:ascii="Times New Roman" w:hAnsi="Times New Roman"/>
                <w:sz w:val="20"/>
              </w:rPr>
              <w:t>CF</w:t>
            </w:r>
            <w:r w:rsidRPr="00807D56">
              <w:rPr>
                <w:rFonts w:ascii="Times New Roman" w:hAnsi="Times New Roman"/>
                <w:sz w:val="20"/>
              </w:rPr>
              <w:t>2</w:t>
            </w:r>
          </w:p>
        </w:tc>
        <w:tc>
          <w:tcPr>
            <w:tcW w:w="530" w:type="pct"/>
            <w:tcBorders>
              <w:top w:val="nil"/>
              <w:left w:val="nil"/>
              <w:bottom w:val="nil"/>
              <w:right w:val="nil"/>
            </w:tcBorders>
            <w:hideMark/>
          </w:tcPr>
          <w:p w14:paraId="2D8736C0" w14:textId="77777777" w:rsidR="00B6148C" w:rsidRPr="00807D56" w:rsidRDefault="00B6148C" w:rsidP="00B6148C">
            <w:pPr>
              <w:ind w:firstLine="0"/>
              <w:jc w:val="center"/>
              <w:rPr>
                <w:rFonts w:ascii="Times New Roman" w:hAnsi="Times New Roman"/>
                <w:sz w:val="20"/>
              </w:rPr>
            </w:pPr>
            <w:r>
              <w:rPr>
                <w:rFonts w:ascii="Times New Roman" w:hAnsi="Times New Roman"/>
                <w:sz w:val="20"/>
              </w:rPr>
              <w:t>0,839</w:t>
            </w:r>
          </w:p>
        </w:tc>
        <w:tc>
          <w:tcPr>
            <w:tcW w:w="530" w:type="pct"/>
            <w:tcBorders>
              <w:top w:val="nil"/>
              <w:left w:val="nil"/>
              <w:bottom w:val="nil"/>
              <w:right w:val="nil"/>
            </w:tcBorders>
            <w:hideMark/>
          </w:tcPr>
          <w:p w14:paraId="374C375F" w14:textId="77777777" w:rsidR="00B6148C" w:rsidRPr="00807D56" w:rsidRDefault="00B6148C" w:rsidP="00B6148C">
            <w:pPr>
              <w:ind w:firstLine="0"/>
              <w:jc w:val="center"/>
              <w:rPr>
                <w:rFonts w:ascii="Times New Roman" w:hAnsi="Times New Roman"/>
                <w:sz w:val="20"/>
              </w:rPr>
            </w:pPr>
            <w:r>
              <w:rPr>
                <w:rFonts w:ascii="Times New Roman" w:hAnsi="Times New Roman"/>
                <w:sz w:val="20"/>
              </w:rPr>
              <w:t>0,704</w:t>
            </w:r>
          </w:p>
        </w:tc>
        <w:tc>
          <w:tcPr>
            <w:tcW w:w="606" w:type="pct"/>
            <w:tcBorders>
              <w:top w:val="nil"/>
              <w:left w:val="nil"/>
              <w:bottom w:val="nil"/>
              <w:right w:val="nil"/>
            </w:tcBorders>
            <w:hideMark/>
          </w:tcPr>
          <w:p w14:paraId="01F50644" w14:textId="77777777" w:rsidR="00B6148C" w:rsidRPr="00807D56" w:rsidRDefault="00B6148C" w:rsidP="00B6148C">
            <w:pPr>
              <w:ind w:firstLine="0"/>
              <w:jc w:val="center"/>
              <w:rPr>
                <w:rFonts w:ascii="Times New Roman" w:hAnsi="Times New Roman"/>
                <w:sz w:val="20"/>
              </w:rPr>
            </w:pPr>
            <w:r>
              <w:rPr>
                <w:rFonts w:ascii="Times New Roman" w:hAnsi="Times New Roman"/>
                <w:sz w:val="20"/>
              </w:rPr>
              <w:t>0,720</w:t>
            </w:r>
          </w:p>
        </w:tc>
        <w:tc>
          <w:tcPr>
            <w:tcW w:w="0" w:type="auto"/>
            <w:vMerge/>
            <w:tcBorders>
              <w:top w:val="single" w:sz="4" w:space="0" w:color="auto"/>
              <w:left w:val="nil"/>
              <w:bottom w:val="single" w:sz="4" w:space="0" w:color="000000"/>
              <w:right w:val="nil"/>
            </w:tcBorders>
            <w:vAlign w:val="center"/>
            <w:hideMark/>
          </w:tcPr>
          <w:p w14:paraId="2FFE0E82" w14:textId="77777777" w:rsidR="00B6148C" w:rsidRPr="00807D56" w:rsidRDefault="00B6148C" w:rsidP="00B6148C">
            <w:pPr>
              <w:ind w:firstLine="0"/>
              <w:rPr>
                <w:rFonts w:ascii="Times New Roman" w:hAnsi="Times New Roman"/>
                <w:sz w:val="20"/>
              </w:rPr>
            </w:pPr>
          </w:p>
        </w:tc>
        <w:tc>
          <w:tcPr>
            <w:tcW w:w="0" w:type="auto"/>
            <w:vMerge/>
            <w:tcBorders>
              <w:top w:val="single" w:sz="4" w:space="0" w:color="000000"/>
              <w:left w:val="nil"/>
              <w:bottom w:val="single" w:sz="4" w:space="0" w:color="000000"/>
              <w:right w:val="nil"/>
            </w:tcBorders>
            <w:vAlign w:val="center"/>
            <w:hideMark/>
          </w:tcPr>
          <w:p w14:paraId="407F66B9" w14:textId="77777777" w:rsidR="00B6148C" w:rsidRPr="00807D56" w:rsidRDefault="00B6148C" w:rsidP="00B6148C">
            <w:pPr>
              <w:ind w:firstLine="0"/>
              <w:rPr>
                <w:rFonts w:ascii="Times New Roman" w:hAnsi="Times New Roman"/>
                <w:sz w:val="20"/>
              </w:rPr>
            </w:pPr>
          </w:p>
        </w:tc>
        <w:tc>
          <w:tcPr>
            <w:tcW w:w="0" w:type="auto"/>
            <w:vMerge/>
            <w:tcBorders>
              <w:top w:val="single" w:sz="4" w:space="0" w:color="auto"/>
              <w:left w:val="nil"/>
              <w:bottom w:val="single" w:sz="4" w:space="0" w:color="000000"/>
              <w:right w:val="nil"/>
            </w:tcBorders>
            <w:vAlign w:val="center"/>
            <w:hideMark/>
          </w:tcPr>
          <w:p w14:paraId="72949B59" w14:textId="77777777" w:rsidR="00B6148C" w:rsidRPr="00807D56" w:rsidRDefault="00B6148C" w:rsidP="00B6148C">
            <w:pPr>
              <w:ind w:firstLine="0"/>
              <w:rPr>
                <w:rFonts w:ascii="Times New Roman" w:hAnsi="Times New Roman"/>
                <w:sz w:val="20"/>
              </w:rPr>
            </w:pPr>
          </w:p>
        </w:tc>
      </w:tr>
      <w:tr w:rsidR="00B6148C" w:rsidRPr="00807D56" w14:paraId="23F5622C" w14:textId="77777777" w:rsidTr="00B6148C">
        <w:tc>
          <w:tcPr>
            <w:tcW w:w="0" w:type="auto"/>
            <w:vMerge/>
            <w:tcBorders>
              <w:top w:val="single" w:sz="4" w:space="0" w:color="000000"/>
              <w:left w:val="nil"/>
              <w:bottom w:val="single" w:sz="4" w:space="0" w:color="000000"/>
              <w:right w:val="nil"/>
            </w:tcBorders>
            <w:vAlign w:val="center"/>
            <w:hideMark/>
          </w:tcPr>
          <w:p w14:paraId="2E796BC2" w14:textId="77777777" w:rsidR="00B6148C" w:rsidRPr="00807D56" w:rsidRDefault="00B6148C" w:rsidP="00B6148C">
            <w:pPr>
              <w:ind w:firstLine="0"/>
              <w:rPr>
                <w:rFonts w:ascii="Times New Roman" w:hAnsi="Times New Roman"/>
                <w:sz w:val="20"/>
              </w:rPr>
            </w:pPr>
          </w:p>
        </w:tc>
        <w:tc>
          <w:tcPr>
            <w:tcW w:w="603" w:type="pct"/>
            <w:tcBorders>
              <w:top w:val="nil"/>
              <w:left w:val="nil"/>
              <w:bottom w:val="single" w:sz="4" w:space="0" w:color="000000"/>
              <w:right w:val="nil"/>
            </w:tcBorders>
            <w:hideMark/>
          </w:tcPr>
          <w:p w14:paraId="0327B12B" w14:textId="77777777" w:rsidR="00B6148C" w:rsidRPr="00807D56" w:rsidRDefault="00B6148C" w:rsidP="00B6148C">
            <w:pPr>
              <w:ind w:firstLine="0"/>
              <w:jc w:val="center"/>
              <w:rPr>
                <w:rFonts w:ascii="Times New Roman" w:hAnsi="Times New Roman"/>
                <w:sz w:val="19"/>
                <w:szCs w:val="24"/>
              </w:rPr>
            </w:pPr>
            <w:r>
              <w:rPr>
                <w:rFonts w:ascii="Times New Roman" w:hAnsi="Times New Roman"/>
                <w:sz w:val="20"/>
              </w:rPr>
              <w:t>CF</w:t>
            </w:r>
            <w:r w:rsidRPr="00807D56">
              <w:rPr>
                <w:rFonts w:ascii="Times New Roman" w:hAnsi="Times New Roman"/>
                <w:sz w:val="20"/>
              </w:rPr>
              <w:t>3</w:t>
            </w:r>
          </w:p>
        </w:tc>
        <w:tc>
          <w:tcPr>
            <w:tcW w:w="530" w:type="pct"/>
            <w:tcBorders>
              <w:top w:val="nil"/>
              <w:left w:val="nil"/>
              <w:bottom w:val="single" w:sz="4" w:space="0" w:color="000000"/>
              <w:right w:val="nil"/>
            </w:tcBorders>
            <w:hideMark/>
          </w:tcPr>
          <w:p w14:paraId="24C4813C" w14:textId="77777777" w:rsidR="00B6148C" w:rsidRPr="00807D56" w:rsidRDefault="00B6148C" w:rsidP="00B6148C">
            <w:pPr>
              <w:ind w:firstLine="0"/>
              <w:jc w:val="center"/>
              <w:rPr>
                <w:rFonts w:ascii="Times New Roman" w:hAnsi="Times New Roman"/>
                <w:sz w:val="20"/>
              </w:rPr>
            </w:pPr>
            <w:r>
              <w:rPr>
                <w:rFonts w:ascii="Times New Roman" w:hAnsi="Times New Roman"/>
                <w:sz w:val="20"/>
              </w:rPr>
              <w:t>0,873</w:t>
            </w:r>
          </w:p>
        </w:tc>
        <w:tc>
          <w:tcPr>
            <w:tcW w:w="530" w:type="pct"/>
            <w:tcBorders>
              <w:top w:val="nil"/>
              <w:left w:val="nil"/>
              <w:bottom w:val="single" w:sz="4" w:space="0" w:color="000000"/>
              <w:right w:val="nil"/>
            </w:tcBorders>
            <w:hideMark/>
          </w:tcPr>
          <w:p w14:paraId="219EA0A2" w14:textId="77777777" w:rsidR="00B6148C" w:rsidRPr="00807D56" w:rsidRDefault="00B6148C" w:rsidP="00B6148C">
            <w:pPr>
              <w:ind w:firstLine="0"/>
              <w:jc w:val="center"/>
              <w:rPr>
                <w:rFonts w:ascii="Times New Roman" w:hAnsi="Times New Roman"/>
                <w:sz w:val="20"/>
              </w:rPr>
            </w:pPr>
            <w:r>
              <w:rPr>
                <w:rFonts w:ascii="Times New Roman" w:hAnsi="Times New Roman"/>
                <w:sz w:val="20"/>
              </w:rPr>
              <w:t>0,762</w:t>
            </w:r>
          </w:p>
        </w:tc>
        <w:tc>
          <w:tcPr>
            <w:tcW w:w="606" w:type="pct"/>
            <w:tcBorders>
              <w:top w:val="nil"/>
              <w:left w:val="nil"/>
              <w:bottom w:val="single" w:sz="4" w:space="0" w:color="000000"/>
              <w:right w:val="nil"/>
            </w:tcBorders>
            <w:hideMark/>
          </w:tcPr>
          <w:p w14:paraId="5D853C6B" w14:textId="77777777" w:rsidR="00B6148C" w:rsidRPr="00807D56" w:rsidRDefault="00B6148C" w:rsidP="00B6148C">
            <w:pPr>
              <w:ind w:firstLine="0"/>
              <w:jc w:val="center"/>
              <w:rPr>
                <w:rFonts w:ascii="Times New Roman" w:hAnsi="Times New Roman"/>
                <w:sz w:val="20"/>
              </w:rPr>
            </w:pPr>
            <w:r>
              <w:rPr>
                <w:rFonts w:ascii="Times New Roman" w:hAnsi="Times New Roman"/>
                <w:sz w:val="20"/>
              </w:rPr>
              <w:t>0,671</w:t>
            </w:r>
          </w:p>
        </w:tc>
        <w:tc>
          <w:tcPr>
            <w:tcW w:w="0" w:type="auto"/>
            <w:vMerge/>
            <w:tcBorders>
              <w:top w:val="single" w:sz="4" w:space="0" w:color="000000"/>
              <w:left w:val="nil"/>
              <w:bottom w:val="single" w:sz="4" w:space="0" w:color="000000"/>
              <w:right w:val="nil"/>
            </w:tcBorders>
            <w:vAlign w:val="center"/>
            <w:hideMark/>
          </w:tcPr>
          <w:p w14:paraId="5B6BBF58" w14:textId="77777777" w:rsidR="00B6148C" w:rsidRPr="00807D56" w:rsidRDefault="00B6148C" w:rsidP="00B6148C">
            <w:pPr>
              <w:ind w:firstLine="0"/>
              <w:rPr>
                <w:rFonts w:ascii="Times New Roman" w:hAnsi="Times New Roman"/>
                <w:sz w:val="20"/>
              </w:rPr>
            </w:pPr>
          </w:p>
        </w:tc>
        <w:tc>
          <w:tcPr>
            <w:tcW w:w="0" w:type="auto"/>
            <w:vMerge/>
            <w:tcBorders>
              <w:top w:val="single" w:sz="4" w:space="0" w:color="000000"/>
              <w:left w:val="nil"/>
              <w:bottom w:val="single" w:sz="4" w:space="0" w:color="000000"/>
              <w:right w:val="nil"/>
            </w:tcBorders>
            <w:vAlign w:val="center"/>
            <w:hideMark/>
          </w:tcPr>
          <w:p w14:paraId="4F987114" w14:textId="77777777" w:rsidR="00B6148C" w:rsidRPr="00807D56" w:rsidRDefault="00B6148C" w:rsidP="00B6148C">
            <w:pPr>
              <w:ind w:firstLine="0"/>
              <w:rPr>
                <w:rFonts w:ascii="Times New Roman" w:hAnsi="Times New Roman"/>
                <w:sz w:val="20"/>
              </w:rPr>
            </w:pPr>
          </w:p>
        </w:tc>
        <w:tc>
          <w:tcPr>
            <w:tcW w:w="0" w:type="auto"/>
            <w:vMerge/>
            <w:tcBorders>
              <w:top w:val="single" w:sz="4" w:space="0" w:color="000000"/>
              <w:left w:val="nil"/>
              <w:bottom w:val="single" w:sz="4" w:space="0" w:color="000000"/>
              <w:right w:val="nil"/>
            </w:tcBorders>
            <w:vAlign w:val="center"/>
            <w:hideMark/>
          </w:tcPr>
          <w:p w14:paraId="2636EB80" w14:textId="77777777" w:rsidR="00B6148C" w:rsidRPr="00807D56" w:rsidRDefault="00B6148C" w:rsidP="00B6148C">
            <w:pPr>
              <w:ind w:firstLine="0"/>
              <w:rPr>
                <w:rFonts w:ascii="Times New Roman" w:hAnsi="Times New Roman"/>
                <w:sz w:val="20"/>
              </w:rPr>
            </w:pPr>
          </w:p>
        </w:tc>
      </w:tr>
    </w:tbl>
    <w:p w14:paraId="17C3EF34" w14:textId="77777777" w:rsidR="00B6148C" w:rsidRPr="00807D56" w:rsidRDefault="00B6148C" w:rsidP="00B6148C">
      <w:pPr>
        <w:ind w:firstLine="0"/>
        <w:rPr>
          <w:sz w:val="20"/>
        </w:rPr>
      </w:pPr>
      <w:r w:rsidRPr="00807D56">
        <w:rPr>
          <w:sz w:val="20"/>
        </w:rPr>
        <w:t xml:space="preserve">Legenda: H² = </w:t>
      </w:r>
      <w:proofErr w:type="spellStart"/>
      <w:r w:rsidRPr="00807D56">
        <w:rPr>
          <w:sz w:val="20"/>
        </w:rPr>
        <w:t>Comunalidades</w:t>
      </w:r>
      <w:proofErr w:type="spellEnd"/>
      <w:r w:rsidRPr="00807D56">
        <w:rPr>
          <w:sz w:val="20"/>
        </w:rPr>
        <w:t xml:space="preserve">; MSA = Análise de matriz de </w:t>
      </w:r>
      <w:proofErr w:type="spellStart"/>
      <w:r w:rsidRPr="00807D56">
        <w:rPr>
          <w:sz w:val="20"/>
        </w:rPr>
        <w:t>anti-imagem</w:t>
      </w:r>
      <w:proofErr w:type="spellEnd"/>
      <w:r w:rsidRPr="00807D56">
        <w:rPr>
          <w:sz w:val="20"/>
        </w:rPr>
        <w:t>; KMO = teste de adequação da amostra de Kaiser-Meyer-</w:t>
      </w:r>
      <w:proofErr w:type="spellStart"/>
      <w:r w:rsidRPr="00807D56">
        <w:rPr>
          <w:sz w:val="20"/>
        </w:rPr>
        <w:t>Olklin</w:t>
      </w:r>
      <w:proofErr w:type="spellEnd"/>
      <w:r w:rsidRPr="00807D56">
        <w:rPr>
          <w:sz w:val="20"/>
        </w:rPr>
        <w:t>.</w:t>
      </w:r>
    </w:p>
    <w:p w14:paraId="52BC60BA" w14:textId="77777777" w:rsidR="00B6148C" w:rsidRDefault="00B6148C" w:rsidP="00B6148C">
      <w:pPr>
        <w:pStyle w:val="PargrafodaLista"/>
        <w:spacing w:after="0" w:line="240" w:lineRule="auto"/>
        <w:ind w:left="0"/>
        <w:jc w:val="both"/>
        <w:rPr>
          <w:rFonts w:ascii="Times New Roman" w:hAnsi="Times New Roman" w:cs="Times New Roman"/>
          <w:sz w:val="24"/>
          <w:szCs w:val="24"/>
          <w:lang w:eastAsia="pt-BR"/>
        </w:rPr>
      </w:pPr>
    </w:p>
    <w:p w14:paraId="1FD79A50" w14:textId="77777777" w:rsidR="00B6148C" w:rsidRDefault="00B6148C" w:rsidP="00B6148C">
      <w:pPr>
        <w:rPr>
          <w:szCs w:val="24"/>
        </w:rPr>
      </w:pPr>
      <w:r>
        <w:rPr>
          <w:szCs w:val="24"/>
        </w:rPr>
        <w:t>O procedimento foi considerado adequado</w:t>
      </w:r>
      <w:r w:rsidRPr="00976262">
        <w:rPr>
          <w:szCs w:val="24"/>
        </w:rPr>
        <w:t xml:space="preserve"> a partir </w:t>
      </w:r>
      <w:r>
        <w:rPr>
          <w:szCs w:val="24"/>
        </w:rPr>
        <w:t xml:space="preserve">do aceite </w:t>
      </w:r>
      <w:r w:rsidRPr="00976262">
        <w:rPr>
          <w:szCs w:val="24"/>
        </w:rPr>
        <w:t>dos critérios</w:t>
      </w:r>
      <w:r>
        <w:rPr>
          <w:szCs w:val="24"/>
        </w:rPr>
        <w:t xml:space="preserve"> mínimos</w:t>
      </w:r>
      <w:r w:rsidRPr="00976262">
        <w:rPr>
          <w:szCs w:val="24"/>
        </w:rPr>
        <w:t xml:space="preserve"> estabelecidos por Fávero </w:t>
      </w:r>
      <w:r>
        <w:rPr>
          <w:szCs w:val="24"/>
        </w:rPr>
        <w:t xml:space="preserve">et al. </w:t>
      </w:r>
      <w:r w:rsidRPr="00976262">
        <w:rPr>
          <w:szCs w:val="24"/>
        </w:rPr>
        <w:t>(20</w:t>
      </w:r>
      <w:r>
        <w:rPr>
          <w:szCs w:val="24"/>
        </w:rPr>
        <w:t>09</w:t>
      </w:r>
      <w:r w:rsidRPr="00976262">
        <w:rPr>
          <w:szCs w:val="24"/>
        </w:rPr>
        <w:t>)</w:t>
      </w:r>
      <w:r>
        <w:rPr>
          <w:szCs w:val="24"/>
        </w:rPr>
        <w:t xml:space="preserve"> para todos os referidos itens. Com isso, a variável CF pôde ser adotada como variável de resposta na Equação 1.</w:t>
      </w:r>
    </w:p>
    <w:p w14:paraId="2D47A144" w14:textId="77777777" w:rsidR="00B6148C" w:rsidRDefault="00B6148C" w:rsidP="00B6148C">
      <w:pPr>
        <w:rPr>
          <w:szCs w:val="24"/>
        </w:rPr>
      </w:pPr>
      <w:r>
        <w:rPr>
          <w:szCs w:val="24"/>
        </w:rPr>
        <w:t xml:space="preserve">Os resíduos da regressão não apresentaram características de normalidade, dado que o p-valor obtido no teste </w:t>
      </w:r>
      <w:proofErr w:type="spellStart"/>
      <w:r>
        <w:rPr>
          <w:szCs w:val="24"/>
        </w:rPr>
        <w:t>Jarque-Bera</w:t>
      </w:r>
      <w:proofErr w:type="spellEnd"/>
      <w:r>
        <w:rPr>
          <w:szCs w:val="24"/>
        </w:rPr>
        <w:t xml:space="preserve"> foi &lt; 0,000. Todavia, considerando o tamanho da amostra (n = 550) e o Teorema do Limite Central, este pressuposto pôde ser relaxado (</w:t>
      </w:r>
      <w:proofErr w:type="spellStart"/>
      <w:r>
        <w:rPr>
          <w:szCs w:val="24"/>
        </w:rPr>
        <w:t>Gujarati</w:t>
      </w:r>
      <w:proofErr w:type="spellEnd"/>
      <w:r>
        <w:rPr>
          <w:szCs w:val="24"/>
        </w:rPr>
        <w:t xml:space="preserve"> &amp; Porter, 2011).</w:t>
      </w:r>
    </w:p>
    <w:p w14:paraId="30027C01" w14:textId="77777777" w:rsidR="00B6148C" w:rsidRDefault="00B6148C" w:rsidP="00B6148C">
      <w:pPr>
        <w:rPr>
          <w:szCs w:val="24"/>
        </w:rPr>
      </w:pPr>
      <w:r>
        <w:rPr>
          <w:szCs w:val="24"/>
        </w:rPr>
        <w:t xml:space="preserve">Já no que diz respeito à condição de homocedasticidade, o teste de </w:t>
      </w:r>
      <w:proofErr w:type="spellStart"/>
      <w:r>
        <w:rPr>
          <w:szCs w:val="24"/>
        </w:rPr>
        <w:t>Breusch-Pagan</w:t>
      </w:r>
      <w:proofErr w:type="spellEnd"/>
      <w:r>
        <w:rPr>
          <w:szCs w:val="24"/>
        </w:rPr>
        <w:t xml:space="preserve"> reportou um p-valor aproximado de 0,004. Sendo assim, a hipótese nula do referido teste não foi aceita, indicando problemas de </w:t>
      </w:r>
      <w:proofErr w:type="spellStart"/>
      <w:r>
        <w:rPr>
          <w:szCs w:val="24"/>
        </w:rPr>
        <w:t>heterocedasticidade</w:t>
      </w:r>
      <w:proofErr w:type="spellEnd"/>
      <w:r>
        <w:rPr>
          <w:szCs w:val="24"/>
        </w:rPr>
        <w:t>. Foi adotada a correção de White como medida de ajuste para tal resistência.</w:t>
      </w:r>
    </w:p>
    <w:p w14:paraId="673BE4D9" w14:textId="180E264E" w:rsidR="00B6148C" w:rsidRDefault="00B6148C" w:rsidP="00660D8E">
      <w:pPr>
        <w:rPr>
          <w:szCs w:val="24"/>
        </w:rPr>
      </w:pPr>
      <w:r>
        <w:rPr>
          <w:szCs w:val="24"/>
        </w:rPr>
        <w:lastRenderedPageBreak/>
        <w:t xml:space="preserve">E, por fim, os Fatores de Inflação da Variância (FIV) das variáveis independentes foram de: FASE (1,408); IDADE (1,035); </w:t>
      </w:r>
      <w:proofErr w:type="spellStart"/>
      <w:r>
        <w:rPr>
          <w:szCs w:val="24"/>
        </w:rPr>
        <w:t>d.CURSO</w:t>
      </w:r>
      <w:proofErr w:type="spellEnd"/>
      <w:r>
        <w:rPr>
          <w:szCs w:val="24"/>
        </w:rPr>
        <w:t xml:space="preserve">(1,380). Destarte, considerando que os valores são inferiores a 10 unidades, tem-se que não há problemas de </w:t>
      </w:r>
      <w:proofErr w:type="spellStart"/>
      <w:r>
        <w:rPr>
          <w:szCs w:val="24"/>
        </w:rPr>
        <w:t>multicolinearidade</w:t>
      </w:r>
      <w:proofErr w:type="spellEnd"/>
      <w:r>
        <w:rPr>
          <w:szCs w:val="24"/>
        </w:rPr>
        <w:t xml:space="preserve"> con</w:t>
      </w:r>
      <w:r w:rsidR="00660D8E">
        <w:rPr>
          <w:szCs w:val="24"/>
        </w:rPr>
        <w:t xml:space="preserve">forme </w:t>
      </w:r>
      <w:proofErr w:type="spellStart"/>
      <w:r w:rsidR="00660D8E">
        <w:rPr>
          <w:szCs w:val="24"/>
        </w:rPr>
        <w:t>Gujarati</w:t>
      </w:r>
      <w:proofErr w:type="spellEnd"/>
      <w:r w:rsidR="00660D8E">
        <w:rPr>
          <w:szCs w:val="24"/>
        </w:rPr>
        <w:t xml:space="preserve"> e Porter (2011). </w:t>
      </w:r>
      <w:r>
        <w:rPr>
          <w:szCs w:val="24"/>
        </w:rPr>
        <w:t>Dado isso, são apresentados, a seguir, os resultados da Equação 1, na Tabela 7.</w:t>
      </w:r>
    </w:p>
    <w:p w14:paraId="7FC73A16" w14:textId="77777777" w:rsidR="00B6148C" w:rsidRDefault="00B6148C" w:rsidP="00B6148C">
      <w:pPr>
        <w:pStyle w:val="PargrafodaLista"/>
        <w:spacing w:after="0" w:line="240" w:lineRule="auto"/>
        <w:ind w:left="0"/>
        <w:rPr>
          <w:rFonts w:ascii="Times New Roman" w:hAnsi="Times New Roman" w:cs="Times New Roman"/>
          <w:sz w:val="24"/>
          <w:szCs w:val="24"/>
          <w:lang w:eastAsia="pt-BR"/>
        </w:rPr>
      </w:pPr>
    </w:p>
    <w:p w14:paraId="190C555B" w14:textId="77777777" w:rsidR="00B6148C" w:rsidRPr="00E633FD" w:rsidRDefault="00B6148C" w:rsidP="00B6148C">
      <w:pPr>
        <w:keepNext/>
        <w:ind w:firstLine="0"/>
        <w:rPr>
          <w:bCs/>
          <w:sz w:val="20"/>
        </w:rPr>
      </w:pPr>
      <w:r w:rsidRPr="00E633FD">
        <w:rPr>
          <w:bCs/>
          <w:sz w:val="20"/>
        </w:rPr>
        <w:t>Tabela 7. Análise de regressão.</w:t>
      </w:r>
    </w:p>
    <w:tbl>
      <w:tblPr>
        <w:tblW w:w="5000" w:type="pct"/>
        <w:jc w:val="center"/>
        <w:tblBorders>
          <w:top w:val="single" w:sz="4" w:space="0" w:color="auto"/>
          <w:bottom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2794"/>
        <w:gridCol w:w="1307"/>
        <w:gridCol w:w="2073"/>
        <w:gridCol w:w="1469"/>
        <w:gridCol w:w="1762"/>
      </w:tblGrid>
      <w:tr w:rsidR="00B6148C" w:rsidRPr="003A1C39" w14:paraId="0EF17CE8" w14:textId="77777777" w:rsidTr="00B6148C">
        <w:trPr>
          <w:trHeight w:val="262"/>
          <w:jc w:val="center"/>
        </w:trPr>
        <w:tc>
          <w:tcPr>
            <w:tcW w:w="5000" w:type="pct"/>
            <w:gridSpan w:val="5"/>
            <w:tcBorders>
              <w:bottom w:val="single" w:sz="4" w:space="0" w:color="auto"/>
            </w:tcBorders>
          </w:tcPr>
          <w:p w14:paraId="0933452D" w14:textId="77777777" w:rsidR="00B6148C" w:rsidRPr="00111D03" w:rsidRDefault="00B6148C" w:rsidP="00B6148C">
            <w:pPr>
              <w:autoSpaceDE w:val="0"/>
              <w:autoSpaceDN w:val="0"/>
              <w:adjustRightInd w:val="0"/>
              <w:ind w:firstLine="0"/>
              <w:jc w:val="center"/>
              <w:rPr>
                <w:rFonts w:eastAsia="Calibri"/>
                <w:b/>
                <w:iCs/>
                <w:sz w:val="20"/>
              </w:rPr>
            </w:pPr>
            <w:r>
              <w:rPr>
                <w:rFonts w:eastAsia="Calibri"/>
                <w:b/>
                <w:iCs/>
                <w:sz w:val="20"/>
              </w:rPr>
              <w:t>Painel A</w:t>
            </w:r>
          </w:p>
        </w:tc>
      </w:tr>
      <w:tr w:rsidR="00B6148C" w:rsidRPr="003A1C39" w14:paraId="7BEC09A6" w14:textId="77777777" w:rsidTr="00B6148C">
        <w:trPr>
          <w:trHeight w:val="262"/>
          <w:jc w:val="center"/>
        </w:trPr>
        <w:tc>
          <w:tcPr>
            <w:tcW w:w="1485" w:type="pct"/>
            <w:tcBorders>
              <w:right w:val="nil"/>
            </w:tcBorders>
          </w:tcPr>
          <w:p w14:paraId="6151948A" w14:textId="77777777" w:rsidR="00B6148C" w:rsidRPr="003A1C39" w:rsidRDefault="00B6148C" w:rsidP="00B6148C">
            <w:pPr>
              <w:autoSpaceDE w:val="0"/>
              <w:autoSpaceDN w:val="0"/>
              <w:adjustRightInd w:val="0"/>
              <w:ind w:firstLine="0"/>
              <w:jc w:val="center"/>
              <w:rPr>
                <w:rFonts w:eastAsia="Calibri"/>
                <w:sz w:val="20"/>
              </w:rPr>
            </w:pPr>
          </w:p>
        </w:tc>
        <w:tc>
          <w:tcPr>
            <w:tcW w:w="695" w:type="pct"/>
            <w:tcBorders>
              <w:left w:val="nil"/>
              <w:right w:val="nil"/>
            </w:tcBorders>
          </w:tcPr>
          <w:p w14:paraId="11BC5E2F" w14:textId="77777777" w:rsidR="00B6148C" w:rsidRPr="00111D03" w:rsidRDefault="00B6148C" w:rsidP="00B6148C">
            <w:pPr>
              <w:autoSpaceDE w:val="0"/>
              <w:autoSpaceDN w:val="0"/>
              <w:adjustRightInd w:val="0"/>
              <w:ind w:firstLine="0"/>
              <w:jc w:val="center"/>
              <w:rPr>
                <w:rFonts w:eastAsia="Calibri"/>
                <w:b/>
                <w:sz w:val="20"/>
              </w:rPr>
            </w:pPr>
            <w:r w:rsidRPr="00111D03">
              <w:rPr>
                <w:rFonts w:eastAsia="Calibri"/>
                <w:b/>
                <w:iCs/>
                <w:sz w:val="20"/>
              </w:rPr>
              <w:t>Coeficiente</w:t>
            </w:r>
          </w:p>
        </w:tc>
        <w:tc>
          <w:tcPr>
            <w:tcW w:w="1102" w:type="pct"/>
            <w:tcBorders>
              <w:left w:val="nil"/>
              <w:right w:val="nil"/>
            </w:tcBorders>
          </w:tcPr>
          <w:p w14:paraId="0275E1B5" w14:textId="77777777" w:rsidR="00B6148C" w:rsidRPr="00111D03" w:rsidRDefault="00B6148C" w:rsidP="00B6148C">
            <w:pPr>
              <w:autoSpaceDE w:val="0"/>
              <w:autoSpaceDN w:val="0"/>
              <w:adjustRightInd w:val="0"/>
              <w:ind w:firstLine="0"/>
              <w:jc w:val="center"/>
              <w:rPr>
                <w:rFonts w:eastAsia="Calibri"/>
                <w:b/>
                <w:sz w:val="20"/>
              </w:rPr>
            </w:pPr>
            <w:r w:rsidRPr="00111D03">
              <w:rPr>
                <w:rFonts w:eastAsia="Calibri"/>
                <w:b/>
                <w:iCs/>
                <w:sz w:val="20"/>
              </w:rPr>
              <w:t>Erro Padrão</w:t>
            </w:r>
          </w:p>
        </w:tc>
        <w:tc>
          <w:tcPr>
            <w:tcW w:w="781" w:type="pct"/>
            <w:tcBorders>
              <w:left w:val="nil"/>
              <w:right w:val="nil"/>
            </w:tcBorders>
          </w:tcPr>
          <w:p w14:paraId="7F608BCE" w14:textId="77777777" w:rsidR="00B6148C" w:rsidRPr="00111D03" w:rsidRDefault="00B6148C" w:rsidP="00B6148C">
            <w:pPr>
              <w:autoSpaceDE w:val="0"/>
              <w:autoSpaceDN w:val="0"/>
              <w:adjustRightInd w:val="0"/>
              <w:ind w:firstLine="0"/>
              <w:jc w:val="center"/>
              <w:rPr>
                <w:rFonts w:eastAsia="Calibri"/>
                <w:b/>
                <w:sz w:val="20"/>
              </w:rPr>
            </w:pPr>
            <w:proofErr w:type="gramStart"/>
            <w:r w:rsidRPr="00111D03">
              <w:rPr>
                <w:rFonts w:eastAsia="Calibri"/>
                <w:b/>
                <w:iCs/>
                <w:sz w:val="20"/>
              </w:rPr>
              <w:t>razão</w:t>
            </w:r>
            <w:proofErr w:type="gramEnd"/>
            <w:r w:rsidRPr="00111D03">
              <w:rPr>
                <w:rFonts w:eastAsia="Calibri"/>
                <w:b/>
                <w:iCs/>
                <w:sz w:val="20"/>
              </w:rPr>
              <w:t>-t</w:t>
            </w:r>
          </w:p>
        </w:tc>
        <w:tc>
          <w:tcPr>
            <w:tcW w:w="937" w:type="pct"/>
            <w:tcBorders>
              <w:left w:val="nil"/>
            </w:tcBorders>
          </w:tcPr>
          <w:p w14:paraId="35E060BD" w14:textId="77777777" w:rsidR="00B6148C" w:rsidRPr="00111D03" w:rsidRDefault="00B6148C" w:rsidP="00B6148C">
            <w:pPr>
              <w:autoSpaceDE w:val="0"/>
              <w:autoSpaceDN w:val="0"/>
              <w:adjustRightInd w:val="0"/>
              <w:ind w:firstLine="0"/>
              <w:jc w:val="center"/>
              <w:rPr>
                <w:rFonts w:eastAsia="Calibri"/>
                <w:b/>
                <w:sz w:val="20"/>
              </w:rPr>
            </w:pPr>
            <w:proofErr w:type="gramStart"/>
            <w:r w:rsidRPr="00111D03">
              <w:rPr>
                <w:rFonts w:eastAsia="Calibri"/>
                <w:b/>
                <w:iCs/>
                <w:sz w:val="20"/>
              </w:rPr>
              <w:t>p</w:t>
            </w:r>
            <w:proofErr w:type="gramEnd"/>
            <w:r w:rsidRPr="00111D03">
              <w:rPr>
                <w:rFonts w:eastAsia="Calibri"/>
                <w:b/>
                <w:iCs/>
                <w:sz w:val="20"/>
              </w:rPr>
              <w:t>-valor</w:t>
            </w:r>
          </w:p>
        </w:tc>
      </w:tr>
      <w:tr w:rsidR="00B6148C" w:rsidRPr="003A1C39" w14:paraId="49769ABF" w14:textId="77777777" w:rsidTr="00B6148C">
        <w:trPr>
          <w:trHeight w:val="262"/>
          <w:jc w:val="center"/>
        </w:trPr>
        <w:tc>
          <w:tcPr>
            <w:tcW w:w="1485" w:type="pct"/>
            <w:tcBorders>
              <w:right w:val="nil"/>
            </w:tcBorders>
          </w:tcPr>
          <w:p w14:paraId="293B2117" w14:textId="77777777" w:rsidR="00B6148C" w:rsidRPr="00111D03" w:rsidRDefault="00B6148C" w:rsidP="00B6148C">
            <w:pPr>
              <w:autoSpaceDE w:val="0"/>
              <w:autoSpaceDN w:val="0"/>
              <w:adjustRightInd w:val="0"/>
              <w:ind w:firstLine="0"/>
              <w:jc w:val="center"/>
              <w:rPr>
                <w:rFonts w:eastAsia="Calibri"/>
                <w:b/>
                <w:sz w:val="20"/>
              </w:rPr>
            </w:pPr>
            <w:r>
              <w:rPr>
                <w:rFonts w:eastAsia="Calibri"/>
                <w:b/>
                <w:sz w:val="20"/>
              </w:rPr>
              <w:t>Intercepto</w:t>
            </w:r>
          </w:p>
        </w:tc>
        <w:tc>
          <w:tcPr>
            <w:tcW w:w="695" w:type="pct"/>
            <w:tcBorders>
              <w:left w:val="nil"/>
              <w:right w:val="nil"/>
            </w:tcBorders>
          </w:tcPr>
          <w:p w14:paraId="5C712587" w14:textId="77777777" w:rsidR="00B6148C" w:rsidRPr="003A1C39" w:rsidRDefault="00B6148C" w:rsidP="00B6148C">
            <w:pPr>
              <w:autoSpaceDE w:val="0"/>
              <w:autoSpaceDN w:val="0"/>
              <w:adjustRightInd w:val="0"/>
              <w:ind w:firstLine="0"/>
              <w:jc w:val="center"/>
              <w:rPr>
                <w:rFonts w:eastAsia="Calibri"/>
                <w:sz w:val="20"/>
              </w:rPr>
            </w:pPr>
            <w:r w:rsidRPr="003A1C39">
              <w:rPr>
                <w:rFonts w:eastAsia="Calibri"/>
                <w:sz w:val="20"/>
              </w:rPr>
              <w:t>−0,0159235</w:t>
            </w:r>
          </w:p>
        </w:tc>
        <w:tc>
          <w:tcPr>
            <w:tcW w:w="1102" w:type="pct"/>
            <w:tcBorders>
              <w:left w:val="nil"/>
              <w:right w:val="nil"/>
            </w:tcBorders>
          </w:tcPr>
          <w:p w14:paraId="7BB99264" w14:textId="77777777" w:rsidR="00B6148C" w:rsidRPr="003A1C39" w:rsidRDefault="00B6148C" w:rsidP="00B6148C">
            <w:pPr>
              <w:autoSpaceDE w:val="0"/>
              <w:autoSpaceDN w:val="0"/>
              <w:adjustRightInd w:val="0"/>
              <w:ind w:firstLine="0"/>
              <w:jc w:val="center"/>
              <w:rPr>
                <w:rFonts w:eastAsia="Calibri"/>
                <w:sz w:val="20"/>
              </w:rPr>
            </w:pPr>
            <w:r w:rsidRPr="003A1C39">
              <w:rPr>
                <w:rFonts w:eastAsia="Calibri"/>
                <w:sz w:val="20"/>
              </w:rPr>
              <w:t>0,177963</w:t>
            </w:r>
          </w:p>
        </w:tc>
        <w:tc>
          <w:tcPr>
            <w:tcW w:w="781" w:type="pct"/>
            <w:tcBorders>
              <w:left w:val="nil"/>
              <w:right w:val="nil"/>
            </w:tcBorders>
          </w:tcPr>
          <w:p w14:paraId="19320B2E" w14:textId="77777777" w:rsidR="00B6148C" w:rsidRPr="003A1C39" w:rsidRDefault="00B6148C" w:rsidP="00B6148C">
            <w:pPr>
              <w:autoSpaceDE w:val="0"/>
              <w:autoSpaceDN w:val="0"/>
              <w:adjustRightInd w:val="0"/>
              <w:ind w:firstLine="0"/>
              <w:jc w:val="center"/>
              <w:rPr>
                <w:rFonts w:eastAsia="Calibri"/>
                <w:sz w:val="20"/>
              </w:rPr>
            </w:pPr>
            <w:r w:rsidRPr="003A1C39">
              <w:rPr>
                <w:rFonts w:eastAsia="Calibri"/>
                <w:sz w:val="20"/>
              </w:rPr>
              <w:t>−0,08948</w:t>
            </w:r>
          </w:p>
        </w:tc>
        <w:tc>
          <w:tcPr>
            <w:tcW w:w="937" w:type="pct"/>
            <w:tcBorders>
              <w:left w:val="nil"/>
            </w:tcBorders>
          </w:tcPr>
          <w:p w14:paraId="2FE39923" w14:textId="77777777" w:rsidR="00B6148C" w:rsidRPr="003A1C39" w:rsidRDefault="00B6148C" w:rsidP="00B6148C">
            <w:pPr>
              <w:autoSpaceDE w:val="0"/>
              <w:autoSpaceDN w:val="0"/>
              <w:adjustRightInd w:val="0"/>
              <w:ind w:firstLine="0"/>
              <w:jc w:val="center"/>
              <w:rPr>
                <w:rFonts w:eastAsia="Calibri"/>
                <w:sz w:val="20"/>
              </w:rPr>
            </w:pPr>
            <w:r w:rsidRPr="003A1C39">
              <w:rPr>
                <w:rFonts w:eastAsia="Calibri"/>
                <w:sz w:val="20"/>
              </w:rPr>
              <w:t>0,9287</w:t>
            </w:r>
          </w:p>
        </w:tc>
      </w:tr>
      <w:tr w:rsidR="00B6148C" w:rsidRPr="003A1C39" w14:paraId="6ADAF457" w14:textId="77777777" w:rsidTr="00B6148C">
        <w:trPr>
          <w:trHeight w:val="262"/>
          <w:jc w:val="center"/>
        </w:trPr>
        <w:tc>
          <w:tcPr>
            <w:tcW w:w="1485" w:type="pct"/>
            <w:tcBorders>
              <w:right w:val="nil"/>
            </w:tcBorders>
          </w:tcPr>
          <w:p w14:paraId="661B72B7" w14:textId="77777777" w:rsidR="00B6148C" w:rsidRPr="00111D03" w:rsidRDefault="00B6148C" w:rsidP="00B6148C">
            <w:pPr>
              <w:autoSpaceDE w:val="0"/>
              <w:autoSpaceDN w:val="0"/>
              <w:adjustRightInd w:val="0"/>
              <w:ind w:firstLine="0"/>
              <w:jc w:val="center"/>
              <w:rPr>
                <w:rFonts w:eastAsia="Calibri"/>
                <w:b/>
                <w:sz w:val="20"/>
              </w:rPr>
            </w:pPr>
            <w:r w:rsidRPr="00111D03">
              <w:rPr>
                <w:rFonts w:eastAsia="Calibri"/>
                <w:b/>
                <w:sz w:val="20"/>
              </w:rPr>
              <w:t>Fase</w:t>
            </w:r>
          </w:p>
        </w:tc>
        <w:tc>
          <w:tcPr>
            <w:tcW w:w="695" w:type="pct"/>
            <w:tcBorders>
              <w:left w:val="nil"/>
              <w:right w:val="nil"/>
            </w:tcBorders>
          </w:tcPr>
          <w:p w14:paraId="460CD4CF" w14:textId="77777777" w:rsidR="00B6148C" w:rsidRPr="003A1C39" w:rsidRDefault="00B6148C" w:rsidP="00B6148C">
            <w:pPr>
              <w:autoSpaceDE w:val="0"/>
              <w:autoSpaceDN w:val="0"/>
              <w:adjustRightInd w:val="0"/>
              <w:ind w:firstLine="0"/>
              <w:jc w:val="center"/>
              <w:rPr>
                <w:rFonts w:eastAsia="Calibri"/>
                <w:sz w:val="20"/>
              </w:rPr>
            </w:pPr>
            <w:r w:rsidRPr="003A1C39">
              <w:rPr>
                <w:rFonts w:eastAsia="Calibri"/>
                <w:sz w:val="20"/>
              </w:rPr>
              <w:t>0,0197455</w:t>
            </w:r>
          </w:p>
        </w:tc>
        <w:tc>
          <w:tcPr>
            <w:tcW w:w="1102" w:type="pct"/>
            <w:tcBorders>
              <w:left w:val="nil"/>
              <w:right w:val="nil"/>
            </w:tcBorders>
          </w:tcPr>
          <w:p w14:paraId="754CEC7A" w14:textId="77777777" w:rsidR="00B6148C" w:rsidRPr="003A1C39" w:rsidRDefault="00B6148C" w:rsidP="00B6148C">
            <w:pPr>
              <w:autoSpaceDE w:val="0"/>
              <w:autoSpaceDN w:val="0"/>
              <w:adjustRightInd w:val="0"/>
              <w:ind w:firstLine="0"/>
              <w:jc w:val="center"/>
              <w:rPr>
                <w:rFonts w:eastAsia="Calibri"/>
                <w:sz w:val="20"/>
              </w:rPr>
            </w:pPr>
            <w:r w:rsidRPr="003A1C39">
              <w:rPr>
                <w:rFonts w:eastAsia="Calibri"/>
                <w:sz w:val="20"/>
              </w:rPr>
              <w:t>0,0191195</w:t>
            </w:r>
          </w:p>
        </w:tc>
        <w:tc>
          <w:tcPr>
            <w:tcW w:w="781" w:type="pct"/>
            <w:tcBorders>
              <w:left w:val="nil"/>
              <w:right w:val="nil"/>
            </w:tcBorders>
          </w:tcPr>
          <w:p w14:paraId="2318F803" w14:textId="77777777" w:rsidR="00B6148C" w:rsidRPr="003A1C39" w:rsidRDefault="00B6148C" w:rsidP="00B6148C">
            <w:pPr>
              <w:autoSpaceDE w:val="0"/>
              <w:autoSpaceDN w:val="0"/>
              <w:adjustRightInd w:val="0"/>
              <w:ind w:firstLine="0"/>
              <w:jc w:val="center"/>
              <w:rPr>
                <w:rFonts w:eastAsia="Calibri"/>
                <w:sz w:val="20"/>
              </w:rPr>
            </w:pPr>
            <w:r w:rsidRPr="003A1C39">
              <w:rPr>
                <w:rFonts w:eastAsia="Calibri"/>
                <w:sz w:val="20"/>
              </w:rPr>
              <w:t>1,033</w:t>
            </w:r>
          </w:p>
        </w:tc>
        <w:tc>
          <w:tcPr>
            <w:tcW w:w="937" w:type="pct"/>
            <w:tcBorders>
              <w:left w:val="nil"/>
            </w:tcBorders>
          </w:tcPr>
          <w:p w14:paraId="0FEF4FF4" w14:textId="77777777" w:rsidR="00B6148C" w:rsidRPr="003A1C39" w:rsidRDefault="00B6148C" w:rsidP="00B6148C">
            <w:pPr>
              <w:autoSpaceDE w:val="0"/>
              <w:autoSpaceDN w:val="0"/>
              <w:adjustRightInd w:val="0"/>
              <w:ind w:firstLine="0"/>
              <w:jc w:val="center"/>
              <w:rPr>
                <w:rFonts w:eastAsia="Calibri"/>
                <w:sz w:val="20"/>
              </w:rPr>
            </w:pPr>
            <w:r w:rsidRPr="003A1C39">
              <w:rPr>
                <w:rFonts w:eastAsia="Calibri"/>
                <w:sz w:val="20"/>
              </w:rPr>
              <w:t>0,3022</w:t>
            </w:r>
          </w:p>
        </w:tc>
      </w:tr>
      <w:tr w:rsidR="00B6148C" w:rsidRPr="003A1C39" w14:paraId="0E80EC09" w14:textId="77777777" w:rsidTr="00B6148C">
        <w:trPr>
          <w:trHeight w:val="262"/>
          <w:jc w:val="center"/>
        </w:trPr>
        <w:tc>
          <w:tcPr>
            <w:tcW w:w="1485" w:type="pct"/>
            <w:tcBorders>
              <w:right w:val="nil"/>
            </w:tcBorders>
          </w:tcPr>
          <w:p w14:paraId="6CDCB05A" w14:textId="77777777" w:rsidR="00B6148C" w:rsidRPr="00111D03" w:rsidRDefault="00B6148C" w:rsidP="00B6148C">
            <w:pPr>
              <w:autoSpaceDE w:val="0"/>
              <w:autoSpaceDN w:val="0"/>
              <w:adjustRightInd w:val="0"/>
              <w:ind w:firstLine="0"/>
              <w:jc w:val="center"/>
              <w:rPr>
                <w:rFonts w:eastAsia="Calibri"/>
                <w:b/>
                <w:sz w:val="20"/>
              </w:rPr>
            </w:pPr>
            <w:r w:rsidRPr="00111D03">
              <w:rPr>
                <w:rFonts w:eastAsia="Calibri"/>
                <w:b/>
                <w:sz w:val="20"/>
              </w:rPr>
              <w:t>Idade</w:t>
            </w:r>
          </w:p>
        </w:tc>
        <w:tc>
          <w:tcPr>
            <w:tcW w:w="695" w:type="pct"/>
            <w:tcBorders>
              <w:left w:val="nil"/>
              <w:right w:val="nil"/>
            </w:tcBorders>
          </w:tcPr>
          <w:p w14:paraId="69666B8C" w14:textId="77777777" w:rsidR="00B6148C" w:rsidRPr="003A1C39" w:rsidRDefault="00B6148C" w:rsidP="00B6148C">
            <w:pPr>
              <w:autoSpaceDE w:val="0"/>
              <w:autoSpaceDN w:val="0"/>
              <w:adjustRightInd w:val="0"/>
              <w:ind w:firstLine="0"/>
              <w:jc w:val="center"/>
              <w:rPr>
                <w:rFonts w:eastAsia="Calibri"/>
                <w:sz w:val="20"/>
              </w:rPr>
            </w:pPr>
            <w:r w:rsidRPr="003A1C39">
              <w:rPr>
                <w:rFonts w:eastAsia="Calibri"/>
                <w:sz w:val="20"/>
              </w:rPr>
              <w:t>−0,00678245</w:t>
            </w:r>
          </w:p>
        </w:tc>
        <w:tc>
          <w:tcPr>
            <w:tcW w:w="1102" w:type="pct"/>
            <w:tcBorders>
              <w:left w:val="nil"/>
              <w:right w:val="nil"/>
            </w:tcBorders>
          </w:tcPr>
          <w:p w14:paraId="1938C7A2" w14:textId="77777777" w:rsidR="00B6148C" w:rsidRPr="003A1C39" w:rsidRDefault="00B6148C" w:rsidP="00B6148C">
            <w:pPr>
              <w:autoSpaceDE w:val="0"/>
              <w:autoSpaceDN w:val="0"/>
              <w:adjustRightInd w:val="0"/>
              <w:ind w:firstLine="0"/>
              <w:jc w:val="center"/>
              <w:rPr>
                <w:rFonts w:eastAsia="Calibri"/>
                <w:sz w:val="20"/>
              </w:rPr>
            </w:pPr>
            <w:r w:rsidRPr="003A1C39">
              <w:rPr>
                <w:rFonts w:eastAsia="Calibri"/>
                <w:sz w:val="20"/>
              </w:rPr>
              <w:t>0,00721822</w:t>
            </w:r>
          </w:p>
        </w:tc>
        <w:tc>
          <w:tcPr>
            <w:tcW w:w="781" w:type="pct"/>
            <w:tcBorders>
              <w:left w:val="nil"/>
              <w:right w:val="nil"/>
            </w:tcBorders>
          </w:tcPr>
          <w:p w14:paraId="324F494D" w14:textId="77777777" w:rsidR="00B6148C" w:rsidRPr="003A1C39" w:rsidRDefault="00B6148C" w:rsidP="00B6148C">
            <w:pPr>
              <w:autoSpaceDE w:val="0"/>
              <w:autoSpaceDN w:val="0"/>
              <w:adjustRightInd w:val="0"/>
              <w:ind w:firstLine="0"/>
              <w:jc w:val="center"/>
              <w:rPr>
                <w:rFonts w:eastAsia="Calibri"/>
                <w:sz w:val="20"/>
              </w:rPr>
            </w:pPr>
            <w:r w:rsidRPr="003A1C39">
              <w:rPr>
                <w:rFonts w:eastAsia="Calibri"/>
                <w:sz w:val="20"/>
              </w:rPr>
              <w:t>−0,9396</w:t>
            </w:r>
          </w:p>
        </w:tc>
        <w:tc>
          <w:tcPr>
            <w:tcW w:w="937" w:type="pct"/>
            <w:tcBorders>
              <w:left w:val="nil"/>
            </w:tcBorders>
          </w:tcPr>
          <w:p w14:paraId="26BBD256" w14:textId="77777777" w:rsidR="00B6148C" w:rsidRPr="003A1C39" w:rsidRDefault="00B6148C" w:rsidP="00B6148C">
            <w:pPr>
              <w:autoSpaceDE w:val="0"/>
              <w:autoSpaceDN w:val="0"/>
              <w:adjustRightInd w:val="0"/>
              <w:ind w:firstLine="0"/>
              <w:jc w:val="center"/>
              <w:rPr>
                <w:rFonts w:eastAsia="Calibri"/>
                <w:sz w:val="20"/>
              </w:rPr>
            </w:pPr>
            <w:r w:rsidRPr="003A1C39">
              <w:rPr>
                <w:rFonts w:eastAsia="Calibri"/>
                <w:sz w:val="20"/>
              </w:rPr>
              <w:t>0,3478</w:t>
            </w:r>
          </w:p>
        </w:tc>
      </w:tr>
      <w:tr w:rsidR="00B6148C" w:rsidRPr="003A1C39" w14:paraId="0444CDFA" w14:textId="77777777" w:rsidTr="00B6148C">
        <w:trPr>
          <w:trHeight w:val="262"/>
          <w:jc w:val="center"/>
        </w:trPr>
        <w:tc>
          <w:tcPr>
            <w:tcW w:w="1485" w:type="pct"/>
            <w:tcBorders>
              <w:right w:val="nil"/>
            </w:tcBorders>
          </w:tcPr>
          <w:p w14:paraId="02EBD0FE" w14:textId="77777777" w:rsidR="00B6148C" w:rsidRPr="00111D03" w:rsidRDefault="00B6148C" w:rsidP="00B6148C">
            <w:pPr>
              <w:autoSpaceDE w:val="0"/>
              <w:autoSpaceDN w:val="0"/>
              <w:adjustRightInd w:val="0"/>
              <w:ind w:firstLine="0"/>
              <w:jc w:val="center"/>
              <w:rPr>
                <w:rFonts w:eastAsia="Calibri"/>
                <w:b/>
                <w:sz w:val="20"/>
              </w:rPr>
            </w:pPr>
            <w:proofErr w:type="spellStart"/>
            <w:r w:rsidRPr="00111D03">
              <w:rPr>
                <w:rFonts w:eastAsia="Calibri"/>
                <w:b/>
                <w:sz w:val="20"/>
              </w:rPr>
              <w:t>D.curso</w:t>
            </w:r>
            <w:proofErr w:type="spellEnd"/>
          </w:p>
        </w:tc>
        <w:tc>
          <w:tcPr>
            <w:tcW w:w="695" w:type="pct"/>
            <w:tcBorders>
              <w:left w:val="nil"/>
              <w:right w:val="nil"/>
            </w:tcBorders>
          </w:tcPr>
          <w:p w14:paraId="2BBD4AD6" w14:textId="77777777" w:rsidR="00B6148C" w:rsidRPr="003A1C39" w:rsidRDefault="00B6148C" w:rsidP="00B6148C">
            <w:pPr>
              <w:autoSpaceDE w:val="0"/>
              <w:autoSpaceDN w:val="0"/>
              <w:adjustRightInd w:val="0"/>
              <w:ind w:firstLine="0"/>
              <w:jc w:val="center"/>
              <w:rPr>
                <w:rFonts w:eastAsia="Calibri"/>
                <w:sz w:val="20"/>
              </w:rPr>
            </w:pPr>
            <w:r w:rsidRPr="003A1C39">
              <w:rPr>
                <w:rFonts w:eastAsia="Calibri"/>
                <w:sz w:val="20"/>
              </w:rPr>
              <w:t>0,297434</w:t>
            </w:r>
          </w:p>
        </w:tc>
        <w:tc>
          <w:tcPr>
            <w:tcW w:w="1102" w:type="pct"/>
            <w:tcBorders>
              <w:left w:val="nil"/>
              <w:right w:val="nil"/>
            </w:tcBorders>
          </w:tcPr>
          <w:p w14:paraId="17ECADD1" w14:textId="77777777" w:rsidR="00B6148C" w:rsidRPr="003A1C39" w:rsidRDefault="00B6148C" w:rsidP="00B6148C">
            <w:pPr>
              <w:autoSpaceDE w:val="0"/>
              <w:autoSpaceDN w:val="0"/>
              <w:adjustRightInd w:val="0"/>
              <w:ind w:firstLine="0"/>
              <w:jc w:val="center"/>
              <w:rPr>
                <w:rFonts w:eastAsia="Calibri"/>
                <w:sz w:val="20"/>
              </w:rPr>
            </w:pPr>
            <w:r w:rsidRPr="003A1C39">
              <w:rPr>
                <w:rFonts w:eastAsia="Calibri"/>
                <w:sz w:val="20"/>
              </w:rPr>
              <w:t>0,0942005</w:t>
            </w:r>
          </w:p>
        </w:tc>
        <w:tc>
          <w:tcPr>
            <w:tcW w:w="781" w:type="pct"/>
            <w:tcBorders>
              <w:left w:val="nil"/>
              <w:right w:val="nil"/>
            </w:tcBorders>
          </w:tcPr>
          <w:p w14:paraId="6DD4ECA3" w14:textId="77777777" w:rsidR="00B6148C" w:rsidRPr="003A1C39" w:rsidRDefault="00B6148C" w:rsidP="00B6148C">
            <w:pPr>
              <w:autoSpaceDE w:val="0"/>
              <w:autoSpaceDN w:val="0"/>
              <w:adjustRightInd w:val="0"/>
              <w:ind w:firstLine="0"/>
              <w:jc w:val="center"/>
              <w:rPr>
                <w:rFonts w:eastAsia="Calibri"/>
                <w:sz w:val="20"/>
              </w:rPr>
            </w:pPr>
            <w:r w:rsidRPr="003A1C39">
              <w:rPr>
                <w:rFonts w:eastAsia="Calibri"/>
                <w:sz w:val="20"/>
              </w:rPr>
              <w:t>3,157</w:t>
            </w:r>
          </w:p>
        </w:tc>
        <w:tc>
          <w:tcPr>
            <w:tcW w:w="937" w:type="pct"/>
            <w:tcBorders>
              <w:left w:val="nil"/>
            </w:tcBorders>
          </w:tcPr>
          <w:p w14:paraId="1C870E85" w14:textId="77777777" w:rsidR="00B6148C" w:rsidRPr="003A1C39" w:rsidRDefault="00B6148C" w:rsidP="00B6148C">
            <w:pPr>
              <w:autoSpaceDE w:val="0"/>
              <w:autoSpaceDN w:val="0"/>
              <w:adjustRightInd w:val="0"/>
              <w:ind w:firstLine="0"/>
              <w:jc w:val="center"/>
              <w:rPr>
                <w:rFonts w:eastAsia="Calibri"/>
                <w:sz w:val="20"/>
              </w:rPr>
            </w:pPr>
            <w:r w:rsidRPr="003A1C39">
              <w:rPr>
                <w:rFonts w:eastAsia="Calibri"/>
                <w:sz w:val="20"/>
              </w:rPr>
              <w:t>0,0017</w:t>
            </w:r>
          </w:p>
        </w:tc>
      </w:tr>
      <w:tr w:rsidR="00B6148C" w:rsidRPr="003A1C39" w14:paraId="045929E7" w14:textId="77777777" w:rsidTr="00B6148C">
        <w:trPr>
          <w:trHeight w:val="262"/>
          <w:jc w:val="center"/>
        </w:trPr>
        <w:tc>
          <w:tcPr>
            <w:tcW w:w="5000" w:type="pct"/>
            <w:gridSpan w:val="5"/>
          </w:tcPr>
          <w:p w14:paraId="5E9E9223" w14:textId="77777777" w:rsidR="00B6148C" w:rsidRPr="00343F65" w:rsidRDefault="00B6148C" w:rsidP="00B6148C">
            <w:pPr>
              <w:autoSpaceDE w:val="0"/>
              <w:autoSpaceDN w:val="0"/>
              <w:adjustRightInd w:val="0"/>
              <w:ind w:firstLine="0"/>
              <w:jc w:val="center"/>
              <w:rPr>
                <w:rFonts w:eastAsia="Calibri"/>
                <w:b/>
                <w:bCs/>
                <w:sz w:val="20"/>
              </w:rPr>
            </w:pPr>
            <w:r w:rsidRPr="00343F65">
              <w:rPr>
                <w:rFonts w:eastAsia="Calibri"/>
                <w:b/>
                <w:bCs/>
                <w:sz w:val="20"/>
              </w:rPr>
              <w:t>Painel B</w:t>
            </w:r>
          </w:p>
        </w:tc>
      </w:tr>
      <w:tr w:rsidR="00B6148C" w:rsidRPr="003A1C39" w14:paraId="09314157" w14:textId="77777777" w:rsidTr="00B6148C">
        <w:trPr>
          <w:trHeight w:val="262"/>
          <w:jc w:val="center"/>
        </w:trPr>
        <w:tc>
          <w:tcPr>
            <w:tcW w:w="1485" w:type="pct"/>
            <w:tcBorders>
              <w:right w:val="nil"/>
            </w:tcBorders>
          </w:tcPr>
          <w:p w14:paraId="6BA92695" w14:textId="77777777" w:rsidR="00B6148C" w:rsidRPr="006D6AE0" w:rsidRDefault="00B6148C" w:rsidP="00B6148C">
            <w:pPr>
              <w:autoSpaceDE w:val="0"/>
              <w:autoSpaceDN w:val="0"/>
              <w:adjustRightInd w:val="0"/>
              <w:ind w:firstLine="0"/>
              <w:jc w:val="center"/>
              <w:rPr>
                <w:rFonts w:eastAsia="Calibri"/>
                <w:b/>
                <w:bCs/>
                <w:sz w:val="20"/>
              </w:rPr>
            </w:pPr>
            <w:r w:rsidRPr="006D6AE0">
              <w:rPr>
                <w:rFonts w:eastAsia="Calibri"/>
                <w:b/>
                <w:bCs/>
                <w:sz w:val="20"/>
              </w:rPr>
              <w:t>R</w:t>
            </w:r>
            <w:r w:rsidRPr="006D6AE0">
              <w:rPr>
                <w:rFonts w:eastAsia="Calibri"/>
                <w:b/>
                <w:bCs/>
                <w:sz w:val="20"/>
                <w:vertAlign w:val="superscript"/>
              </w:rPr>
              <w:t>2</w:t>
            </w:r>
          </w:p>
        </w:tc>
        <w:tc>
          <w:tcPr>
            <w:tcW w:w="1797" w:type="pct"/>
            <w:gridSpan w:val="2"/>
            <w:tcBorders>
              <w:left w:val="nil"/>
              <w:right w:val="nil"/>
            </w:tcBorders>
          </w:tcPr>
          <w:p w14:paraId="533A0DA6" w14:textId="77777777" w:rsidR="00B6148C" w:rsidRPr="003A1C39" w:rsidRDefault="00B6148C" w:rsidP="00B6148C">
            <w:pPr>
              <w:autoSpaceDE w:val="0"/>
              <w:autoSpaceDN w:val="0"/>
              <w:adjustRightInd w:val="0"/>
              <w:ind w:firstLine="0"/>
              <w:jc w:val="center"/>
              <w:rPr>
                <w:rFonts w:eastAsia="Calibri"/>
                <w:sz w:val="20"/>
              </w:rPr>
            </w:pPr>
            <w:r w:rsidRPr="003A1C39">
              <w:rPr>
                <w:rFonts w:eastAsia="Calibri"/>
                <w:sz w:val="20"/>
              </w:rPr>
              <w:t>0,032249</w:t>
            </w:r>
          </w:p>
        </w:tc>
        <w:tc>
          <w:tcPr>
            <w:tcW w:w="781" w:type="pct"/>
            <w:tcBorders>
              <w:left w:val="nil"/>
              <w:right w:val="nil"/>
            </w:tcBorders>
          </w:tcPr>
          <w:p w14:paraId="752A8C51" w14:textId="77777777" w:rsidR="00B6148C" w:rsidRPr="006D6AE0" w:rsidRDefault="00B6148C" w:rsidP="00B6148C">
            <w:pPr>
              <w:autoSpaceDE w:val="0"/>
              <w:autoSpaceDN w:val="0"/>
              <w:adjustRightInd w:val="0"/>
              <w:ind w:firstLine="0"/>
              <w:jc w:val="center"/>
              <w:rPr>
                <w:rFonts w:eastAsia="Calibri"/>
                <w:b/>
                <w:bCs/>
                <w:sz w:val="20"/>
              </w:rPr>
            </w:pPr>
            <w:r w:rsidRPr="006D6AE0">
              <w:rPr>
                <w:rFonts w:eastAsia="Calibri"/>
                <w:b/>
                <w:bCs/>
                <w:sz w:val="20"/>
              </w:rPr>
              <w:t>R</w:t>
            </w:r>
            <w:r w:rsidRPr="006D6AE0">
              <w:rPr>
                <w:rFonts w:eastAsia="Calibri"/>
                <w:b/>
                <w:bCs/>
                <w:sz w:val="20"/>
                <w:vertAlign w:val="superscript"/>
              </w:rPr>
              <w:t>2</w:t>
            </w:r>
            <w:r w:rsidRPr="006D6AE0">
              <w:rPr>
                <w:rFonts w:eastAsia="Calibri"/>
                <w:b/>
                <w:bCs/>
                <w:sz w:val="20"/>
              </w:rPr>
              <w:t xml:space="preserve"> ajustado</w:t>
            </w:r>
          </w:p>
        </w:tc>
        <w:tc>
          <w:tcPr>
            <w:tcW w:w="937" w:type="pct"/>
            <w:tcBorders>
              <w:left w:val="nil"/>
            </w:tcBorders>
          </w:tcPr>
          <w:p w14:paraId="7C55F8A8" w14:textId="77777777" w:rsidR="00B6148C" w:rsidRPr="003A1C39" w:rsidRDefault="00B6148C" w:rsidP="00B6148C">
            <w:pPr>
              <w:autoSpaceDE w:val="0"/>
              <w:autoSpaceDN w:val="0"/>
              <w:adjustRightInd w:val="0"/>
              <w:ind w:firstLine="0"/>
              <w:jc w:val="center"/>
              <w:rPr>
                <w:rFonts w:eastAsia="Calibri"/>
                <w:sz w:val="20"/>
              </w:rPr>
            </w:pPr>
            <w:r w:rsidRPr="003A1C39">
              <w:rPr>
                <w:rFonts w:eastAsia="Calibri"/>
                <w:sz w:val="20"/>
              </w:rPr>
              <w:t>0,026932</w:t>
            </w:r>
          </w:p>
        </w:tc>
      </w:tr>
      <w:tr w:rsidR="00B6148C" w:rsidRPr="003A1C39" w14:paraId="2B745DCA" w14:textId="77777777" w:rsidTr="00B6148C">
        <w:trPr>
          <w:trHeight w:val="262"/>
          <w:jc w:val="center"/>
        </w:trPr>
        <w:tc>
          <w:tcPr>
            <w:tcW w:w="1485" w:type="pct"/>
            <w:tcBorders>
              <w:right w:val="nil"/>
            </w:tcBorders>
          </w:tcPr>
          <w:p w14:paraId="41A46745" w14:textId="77777777" w:rsidR="00B6148C" w:rsidRPr="006D6AE0" w:rsidRDefault="00B6148C" w:rsidP="00B6148C">
            <w:pPr>
              <w:autoSpaceDE w:val="0"/>
              <w:autoSpaceDN w:val="0"/>
              <w:adjustRightInd w:val="0"/>
              <w:ind w:firstLine="0"/>
              <w:jc w:val="center"/>
              <w:rPr>
                <w:rFonts w:eastAsia="Calibri"/>
                <w:b/>
                <w:bCs/>
                <w:sz w:val="20"/>
              </w:rPr>
            </w:pPr>
            <w:proofErr w:type="gramStart"/>
            <w:r w:rsidRPr="006D6AE0">
              <w:rPr>
                <w:rFonts w:eastAsia="Calibri"/>
                <w:b/>
                <w:bCs/>
                <w:sz w:val="20"/>
              </w:rPr>
              <w:t>F(</w:t>
            </w:r>
            <w:proofErr w:type="gramEnd"/>
            <w:r w:rsidRPr="006D6AE0">
              <w:rPr>
                <w:rFonts w:eastAsia="Calibri"/>
                <w:b/>
                <w:bCs/>
                <w:sz w:val="20"/>
              </w:rPr>
              <w:t>3, 546)</w:t>
            </w:r>
          </w:p>
        </w:tc>
        <w:tc>
          <w:tcPr>
            <w:tcW w:w="1797" w:type="pct"/>
            <w:gridSpan w:val="2"/>
            <w:tcBorders>
              <w:left w:val="nil"/>
              <w:right w:val="nil"/>
            </w:tcBorders>
          </w:tcPr>
          <w:p w14:paraId="5B1A928A" w14:textId="77777777" w:rsidR="00B6148C" w:rsidRPr="003A1C39" w:rsidRDefault="00B6148C" w:rsidP="00B6148C">
            <w:pPr>
              <w:autoSpaceDE w:val="0"/>
              <w:autoSpaceDN w:val="0"/>
              <w:adjustRightInd w:val="0"/>
              <w:ind w:firstLine="0"/>
              <w:jc w:val="center"/>
              <w:rPr>
                <w:rFonts w:eastAsia="Calibri"/>
                <w:sz w:val="20"/>
              </w:rPr>
            </w:pPr>
            <w:r w:rsidRPr="003A1C39">
              <w:rPr>
                <w:rFonts w:eastAsia="Calibri"/>
                <w:sz w:val="20"/>
              </w:rPr>
              <w:t>6,394331</w:t>
            </w:r>
          </w:p>
        </w:tc>
        <w:tc>
          <w:tcPr>
            <w:tcW w:w="781" w:type="pct"/>
            <w:tcBorders>
              <w:left w:val="nil"/>
              <w:right w:val="nil"/>
            </w:tcBorders>
          </w:tcPr>
          <w:p w14:paraId="2574951F" w14:textId="77777777" w:rsidR="00B6148C" w:rsidRPr="006D6AE0" w:rsidRDefault="00B6148C" w:rsidP="00B6148C">
            <w:pPr>
              <w:autoSpaceDE w:val="0"/>
              <w:autoSpaceDN w:val="0"/>
              <w:adjustRightInd w:val="0"/>
              <w:ind w:firstLine="0"/>
              <w:jc w:val="center"/>
              <w:rPr>
                <w:rFonts w:eastAsia="Calibri"/>
                <w:b/>
                <w:bCs/>
                <w:sz w:val="20"/>
              </w:rPr>
            </w:pPr>
            <w:r w:rsidRPr="006D6AE0">
              <w:rPr>
                <w:rFonts w:eastAsia="Calibri"/>
                <w:b/>
                <w:bCs/>
                <w:sz w:val="20"/>
              </w:rPr>
              <w:t>P-valor(F)</w:t>
            </w:r>
          </w:p>
        </w:tc>
        <w:tc>
          <w:tcPr>
            <w:tcW w:w="937" w:type="pct"/>
            <w:tcBorders>
              <w:left w:val="nil"/>
            </w:tcBorders>
          </w:tcPr>
          <w:p w14:paraId="048989B3" w14:textId="77777777" w:rsidR="00B6148C" w:rsidRPr="003A1C39" w:rsidRDefault="00B6148C" w:rsidP="00B6148C">
            <w:pPr>
              <w:autoSpaceDE w:val="0"/>
              <w:autoSpaceDN w:val="0"/>
              <w:adjustRightInd w:val="0"/>
              <w:ind w:firstLine="0"/>
              <w:jc w:val="center"/>
              <w:rPr>
                <w:rFonts w:eastAsia="Calibri"/>
                <w:sz w:val="20"/>
              </w:rPr>
            </w:pPr>
            <w:r w:rsidRPr="003A1C39">
              <w:rPr>
                <w:rFonts w:eastAsia="Calibri"/>
                <w:sz w:val="20"/>
              </w:rPr>
              <w:t>0,000291</w:t>
            </w:r>
          </w:p>
        </w:tc>
      </w:tr>
    </w:tbl>
    <w:p w14:paraId="2A3EC5FB" w14:textId="77777777" w:rsidR="00B6148C" w:rsidRDefault="00B6148C" w:rsidP="00B6148C">
      <w:pPr>
        <w:pStyle w:val="PargrafodaLista"/>
        <w:spacing w:after="0" w:line="240" w:lineRule="auto"/>
        <w:ind w:left="0"/>
        <w:rPr>
          <w:rFonts w:ascii="Times New Roman" w:hAnsi="Times New Roman" w:cs="Times New Roman"/>
          <w:sz w:val="24"/>
          <w:szCs w:val="24"/>
        </w:rPr>
      </w:pPr>
    </w:p>
    <w:p w14:paraId="453DFF7B" w14:textId="77777777" w:rsidR="00B6148C" w:rsidRDefault="00B6148C" w:rsidP="00B6148C">
      <w:pPr>
        <w:pStyle w:val="PargrafodaLista"/>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Nota-se que o modelo como um todo é estatisticamente significativo, dado que o P-valor (F) é &lt; 0,05. Ademais, tem-se que o modelo apresenta capacidade preditiva de cerca de 3,2%. </w:t>
      </w:r>
    </w:p>
    <w:p w14:paraId="767EEE97" w14:textId="77777777" w:rsidR="00B6148C" w:rsidRDefault="00B6148C" w:rsidP="00B6148C">
      <w:pPr>
        <w:pStyle w:val="PargrafodaLista"/>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A variável Fase apresenta um p-valor de 0,3022, demonstrando que essa variável não possui influência sobre o nível de educação financeira dos alunos. Essa análise reforça o estudo de Vieira et al. (2014), quando verificaram que o nível de conhecimento de conceitos de finanças entre os alunos das primeiras e últimas fases dos cursos de </w:t>
      </w:r>
      <w:r w:rsidRPr="001F2255">
        <w:rPr>
          <w:rFonts w:ascii="Times New Roman" w:hAnsi="Times New Roman" w:cs="Times New Roman"/>
          <w:sz w:val="24"/>
          <w:szCs w:val="24"/>
        </w:rPr>
        <w:t>Administração, Ciências Econômicas e Ciências Contábeis</w:t>
      </w:r>
      <w:r>
        <w:rPr>
          <w:rFonts w:ascii="Times New Roman" w:hAnsi="Times New Roman" w:cs="Times New Roman"/>
          <w:sz w:val="24"/>
          <w:szCs w:val="24"/>
        </w:rPr>
        <w:t xml:space="preserve"> se equiparava.</w:t>
      </w:r>
    </w:p>
    <w:p w14:paraId="7E94200C" w14:textId="77777777" w:rsidR="00B6148C" w:rsidRDefault="00B6148C" w:rsidP="00B6148C">
      <w:pPr>
        <w:pStyle w:val="PargrafodaLista"/>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Em relação a variável Idade, o p-valor foi de 0,3478, ou seja, a idade também não influencia no entendimento sobre finanças dos estudantes. Isso sugere uma inexistência de impacto na educação financeira em função do amadurecimento do discente ao longo dos anos, coadunando com o resultado anterior percebido na variável Fase.  </w:t>
      </w:r>
    </w:p>
    <w:p w14:paraId="139E5CAE" w14:textId="77777777" w:rsidR="00B6148C" w:rsidRDefault="00B6148C" w:rsidP="00B6148C">
      <w:pPr>
        <w:pStyle w:val="PargrafodaLista"/>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Em contrapartida, a terceira variável, que representa o interesse da presente pesquisa, aponta para uma significância de 1%, indicando que o curso exerce influência no nível de educação financeira dos graduandos. O sinal positivo desse coeficiente sugere que, para a amostra obtida, estar matriculado em um dos cursos de gestão favorece o comportamento de controle financeiro do discente. Destarte, tem-se que a H1 não pode ser rejeitada. </w:t>
      </w:r>
    </w:p>
    <w:p w14:paraId="3D563D7A" w14:textId="77777777" w:rsidR="00B6148C" w:rsidRDefault="00B6148C" w:rsidP="00B6148C">
      <w:pPr>
        <w:pStyle w:val="PargrafodaLista"/>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Este resultado corrobora com o estudo de </w:t>
      </w:r>
      <w:r w:rsidRPr="002675F6">
        <w:rPr>
          <w:rFonts w:ascii="Times New Roman" w:hAnsi="Times New Roman" w:cs="Times New Roman"/>
          <w:bCs/>
          <w:sz w:val="24"/>
          <w:szCs w:val="24"/>
        </w:rPr>
        <w:t>Andrade e Lucena (2018)</w:t>
      </w:r>
      <w:r>
        <w:rPr>
          <w:rFonts w:ascii="Times New Roman" w:hAnsi="Times New Roman" w:cs="Times New Roman"/>
          <w:bCs/>
          <w:sz w:val="24"/>
          <w:szCs w:val="24"/>
        </w:rPr>
        <w:t xml:space="preserve"> apontando que os conhecimentos adquiridos nos cursos de gestão influenciam em um melhor comportamento de controle financeiro.</w:t>
      </w:r>
    </w:p>
    <w:p w14:paraId="308148FD" w14:textId="77777777" w:rsidR="00B6148C" w:rsidRDefault="00B6148C" w:rsidP="00B6148C">
      <w:pPr>
        <w:pStyle w:val="PargrafodaLista"/>
        <w:spacing w:after="0" w:line="240" w:lineRule="auto"/>
        <w:ind w:left="0" w:firstLine="709"/>
        <w:jc w:val="both"/>
        <w:rPr>
          <w:rFonts w:ascii="Times New Roman" w:hAnsi="Times New Roman" w:cs="Times New Roman"/>
          <w:bCs/>
          <w:sz w:val="24"/>
          <w:szCs w:val="24"/>
        </w:rPr>
      </w:pPr>
      <w:r>
        <w:rPr>
          <w:rFonts w:ascii="Times New Roman" w:hAnsi="Times New Roman" w:cs="Times New Roman"/>
          <w:sz w:val="24"/>
          <w:szCs w:val="24"/>
        </w:rPr>
        <w:t xml:space="preserve">Contudo, conforme apontam </w:t>
      </w:r>
      <w:r>
        <w:rPr>
          <w:rFonts w:ascii="Times New Roman" w:hAnsi="Times New Roman" w:cs="Times New Roman"/>
          <w:bCs/>
          <w:sz w:val="24"/>
          <w:szCs w:val="24"/>
        </w:rPr>
        <w:t xml:space="preserve">Rodrigues e Carvalho (2017), cabe destacar que, ainda assim, o nível de conhecimento dos alunos sobre o tema é insatisfatório, visto que uma parcela significativa destes investem apenas em </w:t>
      </w:r>
      <w:r w:rsidRPr="002A3647">
        <w:rPr>
          <w:rFonts w:ascii="Times New Roman" w:hAnsi="Times New Roman" w:cs="Times New Roman"/>
          <w:bCs/>
          <w:sz w:val="24"/>
          <w:szCs w:val="24"/>
        </w:rPr>
        <w:t>poupança ou não têm investimentos, não possuem reserva de emergência, têm boa parte da renda comprometida e não tem noção de endividamento. A</w:t>
      </w:r>
      <w:r>
        <w:rPr>
          <w:rFonts w:ascii="Times New Roman" w:hAnsi="Times New Roman" w:cs="Times New Roman"/>
          <w:bCs/>
          <w:sz w:val="24"/>
          <w:szCs w:val="24"/>
        </w:rPr>
        <w:t>lém disso</w:t>
      </w:r>
      <w:r w:rsidRPr="002A3647">
        <w:rPr>
          <w:rFonts w:ascii="Times New Roman" w:hAnsi="Times New Roman" w:cs="Times New Roman"/>
          <w:bCs/>
          <w:sz w:val="24"/>
          <w:szCs w:val="24"/>
        </w:rPr>
        <w:t>, em alguns quesitos, como por exemplo, na questão de noção de endividamento os demais cursos demonstraram um melhor desempenho.</w:t>
      </w:r>
      <w:r>
        <w:rPr>
          <w:rFonts w:ascii="Times New Roman" w:hAnsi="Times New Roman" w:cs="Times New Roman"/>
          <w:bCs/>
          <w:sz w:val="24"/>
          <w:szCs w:val="24"/>
        </w:rPr>
        <w:t xml:space="preserve"> </w:t>
      </w:r>
    </w:p>
    <w:p w14:paraId="6AD9D951" w14:textId="77777777" w:rsidR="00B6148C" w:rsidRDefault="00B6148C" w:rsidP="00B6148C">
      <w:pPr>
        <w:pStyle w:val="PargrafodaLista"/>
        <w:spacing w:after="0" w:line="240" w:lineRule="auto"/>
        <w:ind w:left="0"/>
      </w:pPr>
    </w:p>
    <w:p w14:paraId="4272D63C" w14:textId="77777777" w:rsidR="00B6148C" w:rsidRDefault="00B6148C" w:rsidP="00B6148C">
      <w:pPr>
        <w:pStyle w:val="PargrafodaLista"/>
        <w:spacing w:after="0" w:line="240" w:lineRule="auto"/>
        <w:ind w:left="0"/>
        <w:rPr>
          <w:rFonts w:ascii="Times New Roman" w:hAnsi="Times New Roman" w:cs="Times New Roman"/>
          <w:b/>
          <w:sz w:val="24"/>
          <w:szCs w:val="24"/>
        </w:rPr>
      </w:pPr>
      <w:r>
        <w:rPr>
          <w:rFonts w:ascii="Times New Roman" w:hAnsi="Times New Roman" w:cs="Times New Roman"/>
          <w:b/>
          <w:sz w:val="24"/>
          <w:szCs w:val="24"/>
        </w:rPr>
        <w:lastRenderedPageBreak/>
        <w:t>5</w:t>
      </w:r>
      <w:r w:rsidRPr="008F0F91">
        <w:rPr>
          <w:rFonts w:ascii="Times New Roman" w:hAnsi="Times New Roman" w:cs="Times New Roman"/>
          <w:b/>
          <w:sz w:val="24"/>
          <w:szCs w:val="24"/>
        </w:rPr>
        <w:t xml:space="preserve"> Co</w:t>
      </w:r>
      <w:r>
        <w:rPr>
          <w:rFonts w:ascii="Times New Roman" w:hAnsi="Times New Roman" w:cs="Times New Roman"/>
          <w:b/>
          <w:sz w:val="24"/>
          <w:szCs w:val="24"/>
        </w:rPr>
        <w:t>nsiderações Finais</w:t>
      </w:r>
    </w:p>
    <w:p w14:paraId="4A91A585" w14:textId="77777777" w:rsidR="00B6148C" w:rsidRDefault="00B6148C" w:rsidP="00660D8E">
      <w:pPr>
        <w:pStyle w:val="PargrafodaLista"/>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Diante de tantas reportagens sobre o crescimento do endividamento dos brasileiros, faz-se importante adotar medidas, tanto por parte do poder público quanto de empresas privadas, com foco em orientar as pessoas na gestão de seus recursos. </w:t>
      </w:r>
    </w:p>
    <w:p w14:paraId="5087C478" w14:textId="77777777" w:rsidR="00B6148C" w:rsidRDefault="00B6148C" w:rsidP="00660D8E">
      <w:pPr>
        <w:pStyle w:val="PargrafodaLista"/>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O presente estudo trouxe o tema educação financeira como objetivo central, trazendo diversos conceitos sobre o assunto. Apresentou um breve panorama da situação econômica do cidadão brasileiro e a importância de disseminar esse tema no meio acadêmico. Considerando a situação evidenciada, foi realizada uma amostra que foi dividida em dois grupos: cursos de gestão de uma universidade particular de Santa Catarina. Foi comparado o nível de educação financeira dos alunos de gestão e dos alunos dos demais cursos.</w:t>
      </w:r>
    </w:p>
    <w:p w14:paraId="038911AE" w14:textId="77777777" w:rsidR="00B6148C" w:rsidRDefault="00B6148C" w:rsidP="00660D8E">
      <w:pPr>
        <w:pStyle w:val="PargrafodaLista"/>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Um questionário contendo perguntas de características descritivas e comportamento financeiro foi aplicado aos alunos para alcançar o objetivo da pesquisa visando elaborar uma análise comparativa. Com base nos dados coletados e das análises realizadas, foi possível verificar o perfil sócio econômico e demográfico desses alunos, revelando, por exemplo, que a maior concentração de alunos na faixa etária está entre 17 a 21 anos. A média de idade dos grupos analisados é praticamente igual, 24,03 entre os alunos de gestão e 24,57 dos estudantes dos demais cursos, bem como o percentual que cada sexo representa dentro desses grupos.</w:t>
      </w:r>
    </w:p>
    <w:p w14:paraId="3C77EAC5" w14:textId="77777777" w:rsidR="00B6148C" w:rsidRDefault="00B6148C" w:rsidP="00660D8E">
      <w:pPr>
        <w:pStyle w:val="PargrafodaLista"/>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Verificou-se que os alunos dos cursos de Administração e Contabilidade, em geral, possuíam melhor gestão financeira que os demais alunos, como revelam os gráficos e a análise de regressão. Porém, mesmo havendo certa vantagem, ainda assim é notável que o nível de educação financeira destes alunos é baixo, visto que o nível de reserva de emergência e investimentos é consideravelmente baixo. A hipótese desse estudo não foi rejeitada, já que os cursos de gestão possuem relevância quando se trata de educação financeira.</w:t>
      </w:r>
    </w:p>
    <w:p w14:paraId="5F7667FF" w14:textId="77777777" w:rsidR="00B6148C" w:rsidRDefault="00B6148C" w:rsidP="00660D8E">
      <w:pPr>
        <w:pStyle w:val="PargrafodaLista"/>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A educação financeira é necessária não só na área de gestão, mas sim para qualquer profissional, independentemente de sua renda. Por meio desse estudo foi possível determinar o perfil socioeconômico dos acadêmicos de uma universidade particular, sendo possível fazer uma comparação com outros estudos da área, confirmando algumas hipóteses e trazendo novas perspectivas sobre o tema.</w:t>
      </w:r>
    </w:p>
    <w:p w14:paraId="5C809912" w14:textId="77777777" w:rsidR="00B6148C" w:rsidRDefault="00B6148C" w:rsidP="00660D8E">
      <w:pPr>
        <w:pStyle w:val="PargrafodaLista"/>
        <w:spacing w:after="0" w:line="240" w:lineRule="auto"/>
        <w:ind w:left="0" w:firstLine="709"/>
        <w:jc w:val="both"/>
        <w:rPr>
          <w:rFonts w:ascii="Times New Roman" w:hAnsi="Times New Roman" w:cs="Times New Roman"/>
          <w:sz w:val="24"/>
          <w:szCs w:val="24"/>
        </w:rPr>
      </w:pPr>
      <w:r>
        <w:rPr>
          <w:rFonts w:ascii="Times New Roman" w:hAnsi="Times New Roman" w:cs="Times New Roman"/>
          <w:sz w:val="24"/>
          <w:szCs w:val="24"/>
        </w:rPr>
        <w:t xml:space="preserve">O estudo apresenta limitações quanto a sua amostra, já que estudantes do período matutino não foram inclusos, bem como o de outros polos. Para pesquisas futuras, sugere-se uma averiguação desta vertente, já que há uma tendência de discrepância entre resultados obtidos entre os períodos matutinos e vespertinos em função da possível diferença em quesitos como renda mensal, número de dependentes etc. Outra possibilidade de estudo seria utilizar a mesma </w:t>
      </w:r>
      <w:proofErr w:type="spellStart"/>
      <w:r>
        <w:rPr>
          <w:rFonts w:ascii="Times New Roman" w:hAnsi="Times New Roman" w:cs="Times New Roman"/>
          <w:i/>
          <w:sz w:val="24"/>
          <w:szCs w:val="24"/>
        </w:rPr>
        <w:t>survey</w:t>
      </w:r>
      <w:proofErr w:type="spellEnd"/>
      <w:r>
        <w:rPr>
          <w:rFonts w:ascii="Times New Roman" w:hAnsi="Times New Roman" w:cs="Times New Roman"/>
          <w:sz w:val="24"/>
          <w:szCs w:val="24"/>
        </w:rPr>
        <w:t xml:space="preserve"> em cursos de gestão de uma faculdade particular e uma instituição pública, visando identificar possíveis discrepâncias entre os discentes destas unidades.</w:t>
      </w:r>
    </w:p>
    <w:p w14:paraId="4C7D35E8" w14:textId="77777777" w:rsidR="00B6148C" w:rsidRPr="00324DDC" w:rsidRDefault="00B6148C" w:rsidP="00B6148C">
      <w:pPr>
        <w:pStyle w:val="PargrafodaLista"/>
        <w:spacing w:after="0" w:line="240" w:lineRule="auto"/>
        <w:ind w:left="0" w:firstLine="709"/>
        <w:jc w:val="both"/>
        <w:rPr>
          <w:rFonts w:ascii="Times New Roman" w:hAnsi="Times New Roman" w:cs="Times New Roman"/>
          <w:sz w:val="24"/>
          <w:szCs w:val="24"/>
        </w:rPr>
      </w:pPr>
    </w:p>
    <w:p w14:paraId="7A89F479" w14:textId="77777777" w:rsidR="00B6148C" w:rsidRPr="003F4B26" w:rsidRDefault="00B6148C" w:rsidP="00B6148C">
      <w:pPr>
        <w:ind w:firstLine="0"/>
        <w:rPr>
          <w:b/>
          <w:szCs w:val="24"/>
        </w:rPr>
      </w:pPr>
      <w:r w:rsidRPr="003F4B26">
        <w:rPr>
          <w:b/>
          <w:szCs w:val="24"/>
        </w:rPr>
        <w:t>REFERÊNCIAS</w:t>
      </w:r>
    </w:p>
    <w:p w14:paraId="1974B514" w14:textId="77777777" w:rsidR="00B6148C" w:rsidRPr="00AB49B1" w:rsidRDefault="00B6148C" w:rsidP="00AB49B1">
      <w:pPr>
        <w:ind w:left="709" w:hanging="709"/>
        <w:jc w:val="left"/>
        <w:rPr>
          <w:szCs w:val="24"/>
        </w:rPr>
      </w:pPr>
      <w:r w:rsidRPr="00AB49B1">
        <w:rPr>
          <w:szCs w:val="24"/>
        </w:rPr>
        <w:t xml:space="preserve">ANBIMA. (2017). </w:t>
      </w:r>
      <w:r w:rsidRPr="00AB49B1">
        <w:rPr>
          <w:i/>
          <w:szCs w:val="24"/>
        </w:rPr>
        <w:t>O raio x do investidor brasileiro.</w:t>
      </w:r>
      <w:r w:rsidRPr="00AB49B1">
        <w:rPr>
          <w:szCs w:val="24"/>
        </w:rPr>
        <w:t xml:space="preserve"> Recuperado de: https://cointimes.com.br/wp-content/uploads/2018/08/Relatorio-Raio-X-Investidor-PT.pdf </w:t>
      </w:r>
    </w:p>
    <w:p w14:paraId="2D538221" w14:textId="77777777" w:rsidR="00B6148C" w:rsidRPr="00AB49B1" w:rsidRDefault="00B6148C" w:rsidP="00AB49B1">
      <w:pPr>
        <w:ind w:left="709" w:hanging="709"/>
        <w:jc w:val="left"/>
        <w:rPr>
          <w:szCs w:val="24"/>
        </w:rPr>
      </w:pPr>
      <w:r w:rsidRPr="00AB49B1">
        <w:rPr>
          <w:szCs w:val="24"/>
          <w:shd w:val="clear" w:color="auto" w:fill="FFFFFF"/>
        </w:rPr>
        <w:t>Andrade, J. P., &amp; Lucena, W. G. L. (2018). Educação financeira: uma análise de grupos acadêmicos. </w:t>
      </w:r>
      <w:r w:rsidRPr="00AB49B1">
        <w:rPr>
          <w:i/>
          <w:iCs/>
          <w:szCs w:val="24"/>
          <w:shd w:val="clear" w:color="auto" w:fill="FFFFFF"/>
        </w:rPr>
        <w:t>Revista Economia &amp; Gestão</w:t>
      </w:r>
      <w:r w:rsidRPr="00AB49B1">
        <w:rPr>
          <w:szCs w:val="24"/>
          <w:shd w:val="clear" w:color="auto" w:fill="FFFFFF"/>
        </w:rPr>
        <w:t>, </w:t>
      </w:r>
      <w:r w:rsidRPr="00AB49B1">
        <w:rPr>
          <w:i/>
          <w:iCs/>
          <w:szCs w:val="24"/>
          <w:shd w:val="clear" w:color="auto" w:fill="FFFFFF"/>
        </w:rPr>
        <w:t>18</w:t>
      </w:r>
      <w:r w:rsidRPr="00AB49B1">
        <w:rPr>
          <w:szCs w:val="24"/>
          <w:shd w:val="clear" w:color="auto" w:fill="FFFFFF"/>
        </w:rPr>
        <w:t>(49), 103-121.</w:t>
      </w:r>
    </w:p>
    <w:p w14:paraId="77B3F8DD" w14:textId="77777777" w:rsidR="00B6148C" w:rsidRPr="00AB49B1" w:rsidRDefault="00B6148C" w:rsidP="00AB49B1">
      <w:pPr>
        <w:ind w:left="709" w:hanging="709"/>
        <w:jc w:val="left"/>
        <w:rPr>
          <w:szCs w:val="24"/>
          <w:shd w:val="clear" w:color="auto" w:fill="FFFFFF"/>
        </w:rPr>
      </w:pPr>
      <w:proofErr w:type="spellStart"/>
      <w:r w:rsidRPr="00AB49B1">
        <w:rPr>
          <w:szCs w:val="24"/>
        </w:rPr>
        <w:t>Arcuri</w:t>
      </w:r>
      <w:proofErr w:type="spellEnd"/>
      <w:r w:rsidRPr="00AB49B1">
        <w:rPr>
          <w:szCs w:val="24"/>
        </w:rPr>
        <w:t xml:space="preserve">, N. (2018) Me poupe! 10 passos para nunca mais faltar dinheiro no seu bolso. </w:t>
      </w:r>
      <w:r w:rsidRPr="00AB49B1">
        <w:rPr>
          <w:i/>
          <w:szCs w:val="24"/>
          <w:shd w:val="clear" w:color="auto" w:fill="FFFFFF"/>
        </w:rPr>
        <w:t xml:space="preserve">Rio de </w:t>
      </w:r>
      <w:r w:rsidRPr="00AB49B1">
        <w:rPr>
          <w:i/>
          <w:szCs w:val="24"/>
          <w:shd w:val="clear" w:color="auto" w:fill="FFFFFF"/>
        </w:rPr>
        <w:lastRenderedPageBreak/>
        <w:t>Janeiro: Sextante</w:t>
      </w:r>
      <w:r w:rsidRPr="00AB49B1">
        <w:rPr>
          <w:szCs w:val="24"/>
          <w:shd w:val="clear" w:color="auto" w:fill="FFFFFF"/>
        </w:rPr>
        <w:t>, 1.</w:t>
      </w:r>
    </w:p>
    <w:p w14:paraId="4E5F1E0F" w14:textId="167E872F" w:rsidR="00B6148C" w:rsidRPr="00AB49B1" w:rsidRDefault="00B6148C" w:rsidP="00AB49B1">
      <w:pPr>
        <w:ind w:left="709" w:hanging="709"/>
        <w:jc w:val="left"/>
        <w:rPr>
          <w:szCs w:val="24"/>
        </w:rPr>
      </w:pPr>
      <w:r w:rsidRPr="00AB49B1">
        <w:rPr>
          <w:szCs w:val="24"/>
        </w:rPr>
        <w:t xml:space="preserve">Banco Central do Brasil. (2011). </w:t>
      </w:r>
      <w:r w:rsidRPr="00AB49B1">
        <w:rPr>
          <w:i/>
          <w:szCs w:val="24"/>
        </w:rPr>
        <w:t>Estratégia Nacional de Educação Financeira (ENEF).</w:t>
      </w:r>
      <w:r w:rsidRPr="00AB49B1">
        <w:rPr>
          <w:b/>
          <w:szCs w:val="24"/>
        </w:rPr>
        <w:t xml:space="preserve"> </w:t>
      </w:r>
      <w:r w:rsidR="00AB49B1" w:rsidRPr="00AB49B1">
        <w:rPr>
          <w:szCs w:val="24"/>
        </w:rPr>
        <w:t xml:space="preserve">Recuperado de: </w:t>
      </w:r>
      <w:r w:rsidRPr="00AB49B1">
        <w:rPr>
          <w:szCs w:val="24"/>
        </w:rPr>
        <w:t>https://www.bcb.gov.br/acessoinformacao/legado?url=https:%2F%2Fwww.bcb.gov.br%2Fpre%2Fpef%2FPORT%2Fenef.asp</w:t>
      </w:r>
    </w:p>
    <w:p w14:paraId="32111551" w14:textId="40164E77" w:rsidR="00B6148C" w:rsidRPr="00AB49B1" w:rsidRDefault="00B6148C" w:rsidP="00AB49B1">
      <w:pPr>
        <w:ind w:left="709" w:hanging="709"/>
        <w:jc w:val="left"/>
        <w:rPr>
          <w:szCs w:val="24"/>
        </w:rPr>
      </w:pPr>
      <w:r w:rsidRPr="00AB49B1">
        <w:rPr>
          <w:szCs w:val="24"/>
        </w:rPr>
        <w:t xml:space="preserve">Banco Central do Brasil. (2017). </w:t>
      </w:r>
      <w:r w:rsidRPr="00AB49B1">
        <w:rPr>
          <w:i/>
          <w:szCs w:val="24"/>
        </w:rPr>
        <w:t>Série Cidadania Financeira Estudos sobre Educação, Proteção e Inclusão.</w:t>
      </w:r>
      <w:r w:rsidRPr="00AB49B1">
        <w:rPr>
          <w:szCs w:val="24"/>
        </w:rPr>
        <w:t xml:space="preserve"> </w:t>
      </w:r>
      <w:r w:rsidR="00AB49B1" w:rsidRPr="00AB49B1">
        <w:rPr>
          <w:szCs w:val="24"/>
        </w:rPr>
        <w:t xml:space="preserve">Recuperado de: </w:t>
      </w:r>
      <w:r w:rsidRPr="00AB49B1">
        <w:rPr>
          <w:szCs w:val="24"/>
        </w:rPr>
        <w:t>https://www.bcb.gov.br/nor/relincfin/serie_cidadania_financeira_pesqui</w:t>
      </w:r>
      <w:r w:rsidR="00AB49B1" w:rsidRPr="00AB49B1">
        <w:rPr>
          <w:szCs w:val="24"/>
        </w:rPr>
        <w:t>sa_infe_br_%200443_2017.pdf</w:t>
      </w:r>
    </w:p>
    <w:p w14:paraId="546BA588" w14:textId="77777777" w:rsidR="00B6148C" w:rsidRPr="00AB49B1" w:rsidRDefault="00B6148C" w:rsidP="00AB49B1">
      <w:pPr>
        <w:ind w:left="709" w:hanging="709"/>
        <w:jc w:val="left"/>
        <w:rPr>
          <w:szCs w:val="24"/>
          <w:shd w:val="clear" w:color="auto" w:fill="FFFFFF"/>
          <w:lang w:val="en-US"/>
        </w:rPr>
      </w:pPr>
      <w:r w:rsidRPr="00AB49B1">
        <w:rPr>
          <w:szCs w:val="24"/>
          <w:shd w:val="clear" w:color="auto" w:fill="FFFFFF"/>
        </w:rPr>
        <w:t xml:space="preserve">Brito, L. S., Baptista, J., Silva, S., Braz, S., &amp; Henrique, M. (2013). A importância da </w:t>
      </w:r>
      <w:proofErr w:type="spellStart"/>
      <w:r w:rsidRPr="00AB49B1">
        <w:rPr>
          <w:szCs w:val="24"/>
          <w:shd w:val="clear" w:color="auto" w:fill="FFFFFF"/>
        </w:rPr>
        <w:t>educaçao</w:t>
      </w:r>
      <w:proofErr w:type="spellEnd"/>
      <w:r w:rsidRPr="00AB49B1">
        <w:rPr>
          <w:szCs w:val="24"/>
          <w:shd w:val="clear" w:color="auto" w:fill="FFFFFF"/>
        </w:rPr>
        <w:t xml:space="preserve"> financeira nos contextos acadêmico e profissional: um levantamento de dados com alunos universitários. </w:t>
      </w:r>
      <w:r w:rsidRPr="00AB49B1">
        <w:rPr>
          <w:iCs/>
          <w:szCs w:val="24"/>
          <w:shd w:val="clear" w:color="auto" w:fill="FFFFFF"/>
          <w:lang w:val="en-US"/>
        </w:rPr>
        <w:t xml:space="preserve">IX </w:t>
      </w:r>
      <w:proofErr w:type="spellStart"/>
      <w:r w:rsidRPr="00AB49B1">
        <w:rPr>
          <w:iCs/>
          <w:szCs w:val="24"/>
          <w:shd w:val="clear" w:color="auto" w:fill="FFFFFF"/>
          <w:lang w:val="en-US"/>
        </w:rPr>
        <w:t>SeGet</w:t>
      </w:r>
      <w:proofErr w:type="spellEnd"/>
      <w:r w:rsidRPr="00AB49B1">
        <w:rPr>
          <w:iCs/>
          <w:szCs w:val="24"/>
          <w:shd w:val="clear" w:color="auto" w:fill="FFFFFF"/>
          <w:lang w:val="en-US"/>
        </w:rPr>
        <w:t>.</w:t>
      </w:r>
    </w:p>
    <w:p w14:paraId="40BA3BD5" w14:textId="77777777" w:rsidR="00B6148C" w:rsidRPr="00AB49B1" w:rsidRDefault="00B6148C" w:rsidP="00AB49B1">
      <w:pPr>
        <w:ind w:left="709" w:hanging="709"/>
        <w:jc w:val="left"/>
        <w:rPr>
          <w:szCs w:val="24"/>
          <w:shd w:val="clear" w:color="auto" w:fill="FFFFFF"/>
          <w:lang w:val="en-US"/>
        </w:rPr>
      </w:pPr>
      <w:proofErr w:type="spellStart"/>
      <w:r w:rsidRPr="00AB49B1">
        <w:rPr>
          <w:szCs w:val="24"/>
          <w:shd w:val="clear" w:color="auto" w:fill="FFFFFF"/>
          <w:lang w:val="en-US"/>
        </w:rPr>
        <w:t>Bryman</w:t>
      </w:r>
      <w:proofErr w:type="spellEnd"/>
      <w:r w:rsidRPr="00AB49B1">
        <w:rPr>
          <w:szCs w:val="24"/>
          <w:shd w:val="clear" w:color="auto" w:fill="FFFFFF"/>
          <w:lang w:val="en-US"/>
        </w:rPr>
        <w:t>, A. (2003). </w:t>
      </w:r>
      <w:r w:rsidRPr="00AB49B1">
        <w:rPr>
          <w:i/>
          <w:iCs/>
          <w:szCs w:val="24"/>
          <w:shd w:val="clear" w:color="auto" w:fill="FFFFFF"/>
          <w:lang w:val="en-US"/>
        </w:rPr>
        <w:t>Research methods and organization studies</w:t>
      </w:r>
      <w:r w:rsidRPr="00AB49B1">
        <w:rPr>
          <w:szCs w:val="24"/>
          <w:shd w:val="clear" w:color="auto" w:fill="FFFFFF"/>
          <w:lang w:val="en-US"/>
        </w:rPr>
        <w:t xml:space="preserve">. </w:t>
      </w:r>
      <w:proofErr w:type="spellStart"/>
      <w:r w:rsidRPr="00AB49B1">
        <w:rPr>
          <w:szCs w:val="24"/>
          <w:shd w:val="clear" w:color="auto" w:fill="FFFFFF"/>
          <w:lang w:val="en-US"/>
        </w:rPr>
        <w:t>Routledge</w:t>
      </w:r>
      <w:proofErr w:type="spellEnd"/>
      <w:r w:rsidRPr="00AB49B1">
        <w:rPr>
          <w:szCs w:val="24"/>
          <w:shd w:val="clear" w:color="auto" w:fill="FFFFFF"/>
          <w:lang w:val="en-US"/>
        </w:rPr>
        <w:t>.</w:t>
      </w:r>
    </w:p>
    <w:p w14:paraId="439623A9" w14:textId="77777777" w:rsidR="00B6148C" w:rsidRPr="00AB49B1" w:rsidRDefault="00B6148C" w:rsidP="00AB49B1">
      <w:pPr>
        <w:ind w:left="709" w:hanging="709"/>
        <w:jc w:val="left"/>
        <w:rPr>
          <w:bCs/>
          <w:szCs w:val="24"/>
        </w:rPr>
      </w:pPr>
      <w:proofErr w:type="spellStart"/>
      <w:r w:rsidRPr="00AB49B1">
        <w:rPr>
          <w:szCs w:val="24"/>
          <w:shd w:val="clear" w:color="auto" w:fill="FFFFFF"/>
        </w:rPr>
        <w:t>Cerbasi</w:t>
      </w:r>
      <w:proofErr w:type="spellEnd"/>
      <w:r w:rsidRPr="00AB49B1">
        <w:rPr>
          <w:szCs w:val="24"/>
          <w:shd w:val="clear" w:color="auto" w:fill="FFFFFF"/>
        </w:rPr>
        <w:t>, G. (2008). </w:t>
      </w:r>
      <w:r w:rsidRPr="00AB49B1">
        <w:rPr>
          <w:i/>
          <w:iCs/>
          <w:szCs w:val="24"/>
          <w:shd w:val="clear" w:color="auto" w:fill="FFFFFF"/>
        </w:rPr>
        <w:t>Investimentos inteligentes</w:t>
      </w:r>
      <w:r w:rsidRPr="00AB49B1">
        <w:rPr>
          <w:szCs w:val="24"/>
          <w:shd w:val="clear" w:color="auto" w:fill="FFFFFF"/>
        </w:rPr>
        <w:t>. Thomas Nelson Brasil.</w:t>
      </w:r>
      <w:r w:rsidRPr="00AB49B1">
        <w:rPr>
          <w:bCs/>
          <w:szCs w:val="24"/>
        </w:rPr>
        <w:t xml:space="preserve"> </w:t>
      </w:r>
    </w:p>
    <w:p w14:paraId="71E2D698" w14:textId="1AE28B44" w:rsidR="00B6148C" w:rsidRPr="00AB49B1" w:rsidRDefault="00B6148C" w:rsidP="00AB49B1">
      <w:pPr>
        <w:ind w:left="709" w:hanging="709"/>
        <w:jc w:val="left"/>
        <w:rPr>
          <w:szCs w:val="24"/>
        </w:rPr>
      </w:pPr>
      <w:r w:rsidRPr="00AB49B1">
        <w:rPr>
          <w:bCs/>
          <w:szCs w:val="24"/>
        </w:rPr>
        <w:t xml:space="preserve">Confederação Nacional dos Dirigentes Lojistas (CNDL); </w:t>
      </w:r>
      <w:r w:rsidRPr="00AB49B1">
        <w:rPr>
          <w:szCs w:val="24"/>
        </w:rPr>
        <w:t xml:space="preserve">Serviço De Proteção Ao Crédito Do Brasil (SPC Brasil). (2018). </w:t>
      </w:r>
      <w:r w:rsidRPr="00AB49B1">
        <w:rPr>
          <w:i/>
          <w:szCs w:val="24"/>
        </w:rPr>
        <w:t xml:space="preserve">Cenário da Poupança e dos Investimentos dos Brasileiros. </w:t>
      </w:r>
      <w:r w:rsidR="00AB49B1" w:rsidRPr="00AB49B1">
        <w:rPr>
          <w:szCs w:val="24"/>
        </w:rPr>
        <w:t xml:space="preserve">Recuperado de: </w:t>
      </w:r>
      <w:r w:rsidRPr="00AB49B1">
        <w:rPr>
          <w:szCs w:val="24"/>
        </w:rPr>
        <w:t>&lt;http://www.cvm.gov.br/export/sites/cvm/menu/investidor/estudos/pesquisas/20181002_estudo_spc_cenario_da_poupanca_e_dos_investimentos_dos_brasileiros.pdf</w:t>
      </w:r>
    </w:p>
    <w:p w14:paraId="264F7B02" w14:textId="77777777" w:rsidR="00B6148C" w:rsidRPr="00AB49B1" w:rsidRDefault="00B6148C" w:rsidP="00AB49B1">
      <w:pPr>
        <w:ind w:left="709" w:hanging="709"/>
        <w:jc w:val="left"/>
        <w:rPr>
          <w:szCs w:val="24"/>
          <w:shd w:val="clear" w:color="auto" w:fill="FFFFFF"/>
        </w:rPr>
      </w:pPr>
      <w:proofErr w:type="spellStart"/>
      <w:r w:rsidRPr="00AB49B1">
        <w:rPr>
          <w:szCs w:val="24"/>
          <w:shd w:val="clear" w:color="auto" w:fill="FFFFFF"/>
        </w:rPr>
        <w:t>Donadio</w:t>
      </w:r>
      <w:proofErr w:type="spellEnd"/>
      <w:r w:rsidRPr="00AB49B1">
        <w:rPr>
          <w:szCs w:val="24"/>
          <w:shd w:val="clear" w:color="auto" w:fill="FFFFFF"/>
        </w:rPr>
        <w:t>, R. (2014). Educação financeira de estudantes universitários: uma análise dos fatores de influência.</w:t>
      </w:r>
    </w:p>
    <w:p w14:paraId="522EC3E2" w14:textId="77777777" w:rsidR="00B6148C" w:rsidRPr="00AB49B1" w:rsidRDefault="00B6148C" w:rsidP="00AB49B1">
      <w:pPr>
        <w:ind w:left="709" w:hanging="709"/>
        <w:jc w:val="left"/>
        <w:rPr>
          <w:szCs w:val="24"/>
          <w:shd w:val="clear" w:color="auto" w:fill="FFFFFF"/>
        </w:rPr>
      </w:pPr>
      <w:r w:rsidRPr="00AB49B1">
        <w:rPr>
          <w:szCs w:val="24"/>
          <w:shd w:val="clear" w:color="auto" w:fill="FFFFFF"/>
        </w:rPr>
        <w:t xml:space="preserve">Fávero, L. P. L., </w:t>
      </w:r>
      <w:proofErr w:type="spellStart"/>
      <w:r w:rsidRPr="00AB49B1">
        <w:rPr>
          <w:szCs w:val="24"/>
          <w:shd w:val="clear" w:color="auto" w:fill="FFFFFF"/>
        </w:rPr>
        <w:t>Belfiore</w:t>
      </w:r>
      <w:proofErr w:type="spellEnd"/>
      <w:r w:rsidRPr="00AB49B1">
        <w:rPr>
          <w:szCs w:val="24"/>
          <w:shd w:val="clear" w:color="auto" w:fill="FFFFFF"/>
        </w:rPr>
        <w:t>, P. P., Silva, F. L. D., &amp; Chan, B. L. (2009). Análise de dados: modelagem multivariada para tomada de decisões.</w:t>
      </w:r>
    </w:p>
    <w:p w14:paraId="671D8BDE" w14:textId="77777777" w:rsidR="00B6148C" w:rsidRPr="00AB49B1" w:rsidRDefault="00B6148C" w:rsidP="00AB49B1">
      <w:pPr>
        <w:ind w:left="709" w:hanging="709"/>
        <w:jc w:val="left"/>
        <w:rPr>
          <w:szCs w:val="24"/>
          <w:shd w:val="clear" w:color="auto" w:fill="FFFFFF"/>
        </w:rPr>
      </w:pPr>
      <w:proofErr w:type="spellStart"/>
      <w:r w:rsidRPr="00AB49B1">
        <w:rPr>
          <w:szCs w:val="24"/>
          <w:shd w:val="clear" w:color="auto" w:fill="FFFFFF"/>
        </w:rPr>
        <w:t>Frankenberg</w:t>
      </w:r>
      <w:proofErr w:type="spellEnd"/>
      <w:r w:rsidRPr="00AB49B1">
        <w:rPr>
          <w:szCs w:val="24"/>
          <w:shd w:val="clear" w:color="auto" w:fill="FFFFFF"/>
        </w:rPr>
        <w:t>, L. (1999). </w:t>
      </w:r>
      <w:r w:rsidRPr="00AB49B1">
        <w:rPr>
          <w:i/>
          <w:iCs/>
          <w:szCs w:val="24"/>
          <w:shd w:val="clear" w:color="auto" w:fill="FFFFFF"/>
        </w:rPr>
        <w:t>Seu futuro financeiro: você é o maior responsável</w:t>
      </w:r>
      <w:r w:rsidRPr="00AB49B1">
        <w:rPr>
          <w:szCs w:val="24"/>
          <w:shd w:val="clear" w:color="auto" w:fill="FFFFFF"/>
        </w:rPr>
        <w:t xml:space="preserve">. </w:t>
      </w:r>
      <w:proofErr w:type="spellStart"/>
      <w:r w:rsidRPr="00AB49B1">
        <w:rPr>
          <w:szCs w:val="24"/>
          <w:shd w:val="clear" w:color="auto" w:fill="FFFFFF"/>
        </w:rPr>
        <w:t>Gulf</w:t>
      </w:r>
      <w:proofErr w:type="spellEnd"/>
      <w:r w:rsidRPr="00AB49B1">
        <w:rPr>
          <w:szCs w:val="24"/>
          <w:shd w:val="clear" w:color="auto" w:fill="FFFFFF"/>
        </w:rPr>
        <w:t xml:space="preserve"> Professional </w:t>
      </w:r>
      <w:proofErr w:type="spellStart"/>
      <w:r w:rsidRPr="00AB49B1">
        <w:rPr>
          <w:szCs w:val="24"/>
          <w:shd w:val="clear" w:color="auto" w:fill="FFFFFF"/>
        </w:rPr>
        <w:t>Publishing</w:t>
      </w:r>
      <w:proofErr w:type="spellEnd"/>
      <w:r w:rsidRPr="00AB49B1">
        <w:rPr>
          <w:szCs w:val="24"/>
          <w:shd w:val="clear" w:color="auto" w:fill="FFFFFF"/>
        </w:rPr>
        <w:t>.</w:t>
      </w:r>
    </w:p>
    <w:p w14:paraId="738BAA86" w14:textId="77777777" w:rsidR="00B6148C" w:rsidRPr="00AB49B1" w:rsidRDefault="00B6148C" w:rsidP="00AB49B1">
      <w:pPr>
        <w:ind w:left="709" w:hanging="709"/>
        <w:jc w:val="left"/>
        <w:rPr>
          <w:szCs w:val="24"/>
        </w:rPr>
      </w:pPr>
      <w:proofErr w:type="spellStart"/>
      <w:r w:rsidRPr="00AB49B1">
        <w:rPr>
          <w:szCs w:val="24"/>
          <w:shd w:val="clear" w:color="auto" w:fill="FFFFFF"/>
        </w:rPr>
        <w:t>Giareta</w:t>
      </w:r>
      <w:proofErr w:type="spellEnd"/>
      <w:r w:rsidRPr="00AB49B1">
        <w:rPr>
          <w:szCs w:val="24"/>
          <w:shd w:val="clear" w:color="auto" w:fill="FFFFFF"/>
        </w:rPr>
        <w:t>, M. (2011). Planejamento Financeiro Pessoal: Uma proposta de controle de fluxo de caixa para orçamento familiar.</w:t>
      </w:r>
      <w:r w:rsidRPr="00AB49B1">
        <w:rPr>
          <w:szCs w:val="24"/>
        </w:rPr>
        <w:t xml:space="preserve"> </w:t>
      </w:r>
    </w:p>
    <w:p w14:paraId="5019BF94" w14:textId="77777777" w:rsidR="00B6148C" w:rsidRPr="00666D8F" w:rsidRDefault="00B6148C" w:rsidP="00AB49B1">
      <w:pPr>
        <w:ind w:left="482" w:hanging="482"/>
        <w:jc w:val="left"/>
        <w:rPr>
          <w:szCs w:val="24"/>
          <w:lang w:val="en-US"/>
        </w:rPr>
      </w:pPr>
      <w:proofErr w:type="spellStart"/>
      <w:r w:rsidRPr="00AB49B1">
        <w:t>Gujarati</w:t>
      </w:r>
      <w:proofErr w:type="spellEnd"/>
      <w:r w:rsidRPr="00AB49B1">
        <w:t>, D</w:t>
      </w:r>
      <w:r w:rsidRPr="00666D8F">
        <w:rPr>
          <w:szCs w:val="24"/>
        </w:rPr>
        <w:t xml:space="preserve">. N., &amp; Porter, D. C. (2011). </w:t>
      </w:r>
      <w:r w:rsidRPr="00666D8F">
        <w:rPr>
          <w:i/>
          <w:iCs/>
          <w:szCs w:val="24"/>
          <w:lang w:val="en-US"/>
        </w:rPr>
        <w:t>Basic econometrics</w:t>
      </w:r>
      <w:r w:rsidRPr="00666D8F">
        <w:rPr>
          <w:szCs w:val="24"/>
          <w:lang w:val="en-US"/>
        </w:rPr>
        <w:t>. Boston, Mass: McGraw-Hill.</w:t>
      </w:r>
    </w:p>
    <w:p w14:paraId="558194D4" w14:textId="587FD376" w:rsidR="00666D8F" w:rsidRPr="00666D8F" w:rsidRDefault="00666D8F" w:rsidP="00AB49B1">
      <w:pPr>
        <w:ind w:left="482" w:hanging="482"/>
        <w:jc w:val="left"/>
        <w:rPr>
          <w:szCs w:val="24"/>
          <w:lang w:val="en-US"/>
        </w:rPr>
      </w:pPr>
      <w:proofErr w:type="spellStart"/>
      <w:r w:rsidRPr="00666D8F">
        <w:rPr>
          <w:szCs w:val="24"/>
          <w:shd w:val="clear" w:color="auto" w:fill="FFFFFF"/>
          <w:lang w:val="en-US"/>
        </w:rPr>
        <w:t>Halles</w:t>
      </w:r>
      <w:proofErr w:type="spellEnd"/>
      <w:r w:rsidRPr="00666D8F">
        <w:rPr>
          <w:szCs w:val="24"/>
          <w:shd w:val="clear" w:color="auto" w:fill="FFFFFF"/>
          <w:lang w:val="en-US"/>
        </w:rPr>
        <w:t xml:space="preserve">, C. R., </w:t>
      </w:r>
      <w:proofErr w:type="spellStart"/>
      <w:r w:rsidRPr="00666D8F">
        <w:rPr>
          <w:szCs w:val="24"/>
          <w:shd w:val="clear" w:color="auto" w:fill="FFFFFF"/>
          <w:lang w:val="en-US"/>
        </w:rPr>
        <w:t>Sokolowski</w:t>
      </w:r>
      <w:proofErr w:type="spellEnd"/>
      <w:r w:rsidRPr="00666D8F">
        <w:rPr>
          <w:szCs w:val="24"/>
          <w:shd w:val="clear" w:color="auto" w:fill="FFFFFF"/>
          <w:lang w:val="en-US"/>
        </w:rPr>
        <w:t xml:space="preserve">, R., &amp; </w:t>
      </w:r>
      <w:proofErr w:type="spellStart"/>
      <w:r w:rsidRPr="00666D8F">
        <w:rPr>
          <w:szCs w:val="24"/>
          <w:shd w:val="clear" w:color="auto" w:fill="FFFFFF"/>
          <w:lang w:val="en-US"/>
        </w:rPr>
        <w:t>Hilgemberg</w:t>
      </w:r>
      <w:proofErr w:type="spellEnd"/>
      <w:r w:rsidRPr="00666D8F">
        <w:rPr>
          <w:szCs w:val="24"/>
          <w:shd w:val="clear" w:color="auto" w:fill="FFFFFF"/>
          <w:lang w:val="en-US"/>
        </w:rPr>
        <w:t xml:space="preserve">, E. M. (2008). </w:t>
      </w:r>
      <w:r w:rsidRPr="00666D8F">
        <w:rPr>
          <w:szCs w:val="24"/>
          <w:shd w:val="clear" w:color="auto" w:fill="FFFFFF"/>
        </w:rPr>
        <w:t>O planejamento financeiro como instrumento de qualidade de vida. </w:t>
      </w:r>
      <w:r w:rsidRPr="00666D8F">
        <w:rPr>
          <w:i/>
          <w:iCs/>
          <w:szCs w:val="24"/>
          <w:shd w:val="clear" w:color="auto" w:fill="FFFFFF"/>
        </w:rPr>
        <w:t>I Seminário de Políticas Públicas no Paraná: Escola do Governo e Universidades Estaduais. Curitiba</w:t>
      </w:r>
      <w:r w:rsidRPr="00666D8F">
        <w:rPr>
          <w:szCs w:val="24"/>
          <w:shd w:val="clear" w:color="auto" w:fill="FFFFFF"/>
        </w:rPr>
        <w:t>.</w:t>
      </w:r>
    </w:p>
    <w:p w14:paraId="06D775FF" w14:textId="77777777" w:rsidR="00B6148C" w:rsidRPr="00666D8F" w:rsidRDefault="00B6148C" w:rsidP="00AB49B1">
      <w:pPr>
        <w:ind w:left="709" w:hanging="709"/>
        <w:jc w:val="left"/>
        <w:rPr>
          <w:szCs w:val="24"/>
          <w:shd w:val="clear" w:color="auto" w:fill="FFFFFF"/>
        </w:rPr>
      </w:pPr>
      <w:proofErr w:type="spellStart"/>
      <w:r w:rsidRPr="00666D8F">
        <w:rPr>
          <w:szCs w:val="24"/>
          <w:shd w:val="clear" w:color="auto" w:fill="FFFFFF"/>
          <w:lang w:val="en-US"/>
        </w:rPr>
        <w:t>Kiyosaki</w:t>
      </w:r>
      <w:proofErr w:type="spellEnd"/>
      <w:r w:rsidRPr="00666D8F">
        <w:rPr>
          <w:szCs w:val="24"/>
          <w:shd w:val="clear" w:color="auto" w:fill="FFFFFF"/>
          <w:lang w:val="en-US"/>
        </w:rPr>
        <w:t xml:space="preserve">, R. T., &amp; </w:t>
      </w:r>
      <w:proofErr w:type="spellStart"/>
      <w:r w:rsidRPr="00666D8F">
        <w:rPr>
          <w:szCs w:val="24"/>
          <w:shd w:val="clear" w:color="auto" w:fill="FFFFFF"/>
          <w:lang w:val="en-US"/>
        </w:rPr>
        <w:t>Lechter</w:t>
      </w:r>
      <w:proofErr w:type="spellEnd"/>
      <w:r w:rsidRPr="00666D8F">
        <w:rPr>
          <w:szCs w:val="24"/>
          <w:shd w:val="clear" w:color="auto" w:fill="FFFFFF"/>
          <w:lang w:val="en-US"/>
        </w:rPr>
        <w:t xml:space="preserve">, S. L. (2000). </w:t>
      </w:r>
      <w:r w:rsidRPr="00666D8F">
        <w:rPr>
          <w:szCs w:val="24"/>
          <w:shd w:val="clear" w:color="auto" w:fill="FFFFFF"/>
        </w:rPr>
        <w:t>Pai rico pai pobre. </w:t>
      </w:r>
      <w:r w:rsidRPr="00666D8F">
        <w:rPr>
          <w:i/>
          <w:iCs/>
          <w:szCs w:val="24"/>
          <w:shd w:val="clear" w:color="auto" w:fill="FFFFFF"/>
        </w:rPr>
        <w:t>Rio de Janeiro: Campus</w:t>
      </w:r>
      <w:r w:rsidRPr="00666D8F">
        <w:rPr>
          <w:szCs w:val="24"/>
          <w:shd w:val="clear" w:color="auto" w:fill="FFFFFF"/>
        </w:rPr>
        <w:t>.</w:t>
      </w:r>
    </w:p>
    <w:p w14:paraId="12D67A53" w14:textId="77777777" w:rsidR="00B6148C" w:rsidRPr="00AB49B1" w:rsidRDefault="00B6148C" w:rsidP="00AB49B1">
      <w:pPr>
        <w:pStyle w:val="PargrafodaLista"/>
        <w:spacing w:after="0" w:line="240" w:lineRule="auto"/>
        <w:ind w:left="709" w:hanging="709"/>
        <w:rPr>
          <w:rFonts w:ascii="Times New Roman" w:hAnsi="Times New Roman" w:cs="Times New Roman"/>
          <w:sz w:val="24"/>
          <w:szCs w:val="24"/>
          <w:shd w:val="clear" w:color="auto" w:fill="FFFFFF"/>
        </w:rPr>
      </w:pPr>
      <w:r w:rsidRPr="00666D8F">
        <w:rPr>
          <w:rFonts w:ascii="Times New Roman" w:hAnsi="Times New Roman" w:cs="Times New Roman"/>
          <w:sz w:val="24"/>
          <w:szCs w:val="24"/>
          <w:shd w:val="clear" w:color="auto" w:fill="FFFFFF"/>
        </w:rPr>
        <w:t>Leal, C. P., &amp; Nascimento, J. A. R. (2015). Planejamento financeiro pessoal. </w:t>
      </w:r>
      <w:r w:rsidRPr="00666D8F">
        <w:rPr>
          <w:rFonts w:ascii="Times New Roman" w:hAnsi="Times New Roman" w:cs="Times New Roman"/>
          <w:i/>
          <w:iCs/>
          <w:sz w:val="24"/>
          <w:szCs w:val="24"/>
          <w:shd w:val="clear" w:color="auto" w:fill="FFFFFF"/>
        </w:rPr>
        <w:t>Revista de Ciências Gerenciais</w:t>
      </w:r>
      <w:r w:rsidRPr="00666D8F">
        <w:rPr>
          <w:rFonts w:ascii="Times New Roman" w:hAnsi="Times New Roman" w:cs="Times New Roman"/>
          <w:sz w:val="24"/>
          <w:szCs w:val="24"/>
          <w:shd w:val="clear" w:color="auto" w:fill="FFFFFF"/>
        </w:rPr>
        <w:t>, </w:t>
      </w:r>
      <w:r w:rsidRPr="00666D8F">
        <w:rPr>
          <w:rFonts w:ascii="Times New Roman" w:hAnsi="Times New Roman" w:cs="Times New Roman"/>
          <w:i/>
          <w:iCs/>
          <w:sz w:val="24"/>
          <w:szCs w:val="24"/>
          <w:shd w:val="clear" w:color="auto" w:fill="FFFFFF"/>
        </w:rPr>
        <w:t>15</w:t>
      </w:r>
      <w:r w:rsidRPr="00666D8F">
        <w:rPr>
          <w:rFonts w:ascii="Times New Roman" w:hAnsi="Times New Roman" w:cs="Times New Roman"/>
          <w:sz w:val="24"/>
          <w:szCs w:val="24"/>
          <w:shd w:val="clear" w:color="auto" w:fill="FFFFFF"/>
        </w:rPr>
        <w:t>(22</w:t>
      </w:r>
      <w:r w:rsidRPr="00AB49B1">
        <w:rPr>
          <w:rFonts w:ascii="Times New Roman" w:hAnsi="Times New Roman" w:cs="Times New Roman"/>
          <w:sz w:val="24"/>
          <w:szCs w:val="24"/>
          <w:shd w:val="clear" w:color="auto" w:fill="FFFFFF"/>
        </w:rPr>
        <w:t>).</w:t>
      </w:r>
    </w:p>
    <w:p w14:paraId="491F8EF4" w14:textId="77777777" w:rsidR="00B6148C" w:rsidRPr="00AB49B1" w:rsidRDefault="00B6148C" w:rsidP="00AB49B1">
      <w:pPr>
        <w:ind w:left="709" w:hanging="709"/>
        <w:jc w:val="left"/>
        <w:rPr>
          <w:szCs w:val="24"/>
          <w:shd w:val="clear" w:color="auto" w:fill="FFFFFF"/>
        </w:rPr>
      </w:pPr>
      <w:r w:rsidRPr="00AB49B1">
        <w:rPr>
          <w:szCs w:val="24"/>
          <w:shd w:val="clear" w:color="auto" w:fill="FFFFFF"/>
        </w:rPr>
        <w:t xml:space="preserve">Leal, D. T. &amp; Melo, S. de. (2008). A contribuição da Educação Financeira para a formação de Investidores. </w:t>
      </w:r>
    </w:p>
    <w:p w14:paraId="5ABC0772" w14:textId="77777777" w:rsidR="00B6148C" w:rsidRPr="00AB49B1" w:rsidRDefault="00B6148C" w:rsidP="00AB49B1">
      <w:pPr>
        <w:ind w:left="709" w:hanging="709"/>
        <w:jc w:val="left"/>
        <w:rPr>
          <w:szCs w:val="24"/>
        </w:rPr>
      </w:pPr>
      <w:proofErr w:type="spellStart"/>
      <w:r w:rsidRPr="00AB49B1">
        <w:rPr>
          <w:szCs w:val="24"/>
          <w:shd w:val="clear" w:color="auto" w:fill="FFFFFF"/>
        </w:rPr>
        <w:t>Lucci</w:t>
      </w:r>
      <w:proofErr w:type="spellEnd"/>
      <w:r w:rsidRPr="00AB49B1">
        <w:rPr>
          <w:szCs w:val="24"/>
          <w:shd w:val="clear" w:color="auto" w:fill="FFFFFF"/>
        </w:rPr>
        <w:t xml:space="preserve">, C. R., </w:t>
      </w:r>
      <w:proofErr w:type="spellStart"/>
      <w:r w:rsidRPr="00AB49B1">
        <w:rPr>
          <w:szCs w:val="24"/>
          <w:shd w:val="clear" w:color="auto" w:fill="FFFFFF"/>
        </w:rPr>
        <w:t>Zerrenner</w:t>
      </w:r>
      <w:proofErr w:type="spellEnd"/>
      <w:r w:rsidRPr="00AB49B1">
        <w:rPr>
          <w:szCs w:val="24"/>
          <w:shd w:val="clear" w:color="auto" w:fill="FFFFFF"/>
        </w:rPr>
        <w:t xml:space="preserve">, S. A., </w:t>
      </w:r>
      <w:proofErr w:type="spellStart"/>
      <w:r w:rsidRPr="00AB49B1">
        <w:rPr>
          <w:szCs w:val="24"/>
          <w:shd w:val="clear" w:color="auto" w:fill="FFFFFF"/>
        </w:rPr>
        <w:t>Verrone</w:t>
      </w:r>
      <w:proofErr w:type="spellEnd"/>
      <w:r w:rsidRPr="00AB49B1">
        <w:rPr>
          <w:szCs w:val="24"/>
          <w:shd w:val="clear" w:color="auto" w:fill="FFFFFF"/>
        </w:rPr>
        <w:t>, M. A. G., &amp; Santos, S. D. (2006). A influência da educação financeira nas decisões de consumo e investimento dos indivíduos. </w:t>
      </w:r>
      <w:r w:rsidRPr="00AB49B1">
        <w:rPr>
          <w:i/>
          <w:iCs/>
          <w:szCs w:val="24"/>
          <w:shd w:val="clear" w:color="auto" w:fill="FFFFFF"/>
        </w:rPr>
        <w:t>Seminário em Administração</w:t>
      </w:r>
      <w:r w:rsidRPr="00AB49B1">
        <w:rPr>
          <w:szCs w:val="24"/>
          <w:shd w:val="clear" w:color="auto" w:fill="FFFFFF"/>
        </w:rPr>
        <w:t>, </w:t>
      </w:r>
      <w:r w:rsidRPr="00AB49B1">
        <w:rPr>
          <w:i/>
          <w:iCs/>
          <w:szCs w:val="24"/>
          <w:shd w:val="clear" w:color="auto" w:fill="FFFFFF"/>
        </w:rPr>
        <w:t>9</w:t>
      </w:r>
      <w:r w:rsidRPr="00AB49B1">
        <w:rPr>
          <w:szCs w:val="24"/>
          <w:shd w:val="clear" w:color="auto" w:fill="FFFFFF"/>
        </w:rPr>
        <w:t>.</w:t>
      </w:r>
      <w:r w:rsidRPr="00AB49B1">
        <w:rPr>
          <w:szCs w:val="24"/>
        </w:rPr>
        <w:t xml:space="preserve"> </w:t>
      </w:r>
    </w:p>
    <w:p w14:paraId="32253448" w14:textId="77777777" w:rsidR="00B6148C" w:rsidRPr="00AB49B1" w:rsidRDefault="00B6148C" w:rsidP="00AB49B1">
      <w:pPr>
        <w:ind w:left="709" w:hanging="709"/>
        <w:jc w:val="left"/>
        <w:rPr>
          <w:szCs w:val="24"/>
        </w:rPr>
      </w:pPr>
      <w:r w:rsidRPr="00AB49B1">
        <w:rPr>
          <w:szCs w:val="24"/>
        </w:rPr>
        <w:t xml:space="preserve">OCDE - Organização para Cooperação e Desenvolvimento Econômico. (2005). </w:t>
      </w:r>
      <w:proofErr w:type="spellStart"/>
      <w:r w:rsidRPr="00AB49B1">
        <w:rPr>
          <w:szCs w:val="24"/>
        </w:rPr>
        <w:t>Improving</w:t>
      </w:r>
      <w:proofErr w:type="spellEnd"/>
      <w:r w:rsidRPr="00AB49B1">
        <w:rPr>
          <w:szCs w:val="24"/>
        </w:rPr>
        <w:t xml:space="preserve"> financial </w:t>
      </w:r>
      <w:proofErr w:type="spellStart"/>
      <w:r w:rsidRPr="00AB49B1">
        <w:rPr>
          <w:szCs w:val="24"/>
        </w:rPr>
        <w:t>literacy</w:t>
      </w:r>
      <w:proofErr w:type="spellEnd"/>
      <w:r w:rsidRPr="00AB49B1">
        <w:rPr>
          <w:szCs w:val="24"/>
        </w:rPr>
        <w:t xml:space="preserve">: </w:t>
      </w:r>
      <w:proofErr w:type="spellStart"/>
      <w:r w:rsidRPr="00AB49B1">
        <w:rPr>
          <w:szCs w:val="24"/>
        </w:rPr>
        <w:t>analysis</w:t>
      </w:r>
      <w:proofErr w:type="spellEnd"/>
      <w:r w:rsidRPr="00AB49B1">
        <w:rPr>
          <w:szCs w:val="24"/>
        </w:rPr>
        <w:t xml:space="preserve"> </w:t>
      </w:r>
      <w:proofErr w:type="spellStart"/>
      <w:r w:rsidRPr="00AB49B1">
        <w:rPr>
          <w:szCs w:val="24"/>
        </w:rPr>
        <w:t>of</w:t>
      </w:r>
      <w:proofErr w:type="spellEnd"/>
      <w:r w:rsidRPr="00AB49B1">
        <w:rPr>
          <w:szCs w:val="24"/>
        </w:rPr>
        <w:t xml:space="preserve"> </w:t>
      </w:r>
      <w:proofErr w:type="spellStart"/>
      <w:r w:rsidRPr="00AB49B1">
        <w:rPr>
          <w:szCs w:val="24"/>
        </w:rPr>
        <w:t>issues</w:t>
      </w:r>
      <w:proofErr w:type="spellEnd"/>
      <w:r w:rsidRPr="00AB49B1">
        <w:rPr>
          <w:szCs w:val="24"/>
        </w:rPr>
        <w:t xml:space="preserve"> </w:t>
      </w:r>
      <w:proofErr w:type="spellStart"/>
      <w:r w:rsidRPr="00AB49B1">
        <w:rPr>
          <w:szCs w:val="24"/>
        </w:rPr>
        <w:t>and</w:t>
      </w:r>
      <w:proofErr w:type="spellEnd"/>
      <w:r w:rsidRPr="00AB49B1">
        <w:rPr>
          <w:szCs w:val="24"/>
        </w:rPr>
        <w:t xml:space="preserve"> policies</w:t>
      </w:r>
      <w:r w:rsidRPr="00AB49B1">
        <w:rPr>
          <w:b/>
          <w:szCs w:val="24"/>
        </w:rPr>
        <w:t xml:space="preserve">. </w:t>
      </w:r>
    </w:p>
    <w:p w14:paraId="58537902" w14:textId="77777777" w:rsidR="00B6148C" w:rsidRPr="00AB49B1" w:rsidRDefault="00B6148C" w:rsidP="00AB49B1">
      <w:pPr>
        <w:ind w:left="709" w:hanging="709"/>
        <w:jc w:val="left"/>
        <w:rPr>
          <w:szCs w:val="24"/>
          <w:shd w:val="clear" w:color="auto" w:fill="FFFFFF"/>
        </w:rPr>
      </w:pPr>
      <w:r w:rsidRPr="00AB49B1">
        <w:rPr>
          <w:szCs w:val="24"/>
          <w:shd w:val="clear" w:color="auto" w:fill="FFFFFF"/>
        </w:rPr>
        <w:t xml:space="preserve">Pastore, A. C., &amp; Pinotti, M. C. (1999). Inflação e Estabilização: Algumas Lições da I </w:t>
      </w:r>
      <w:r w:rsidRPr="00AB49B1">
        <w:rPr>
          <w:szCs w:val="24"/>
          <w:shd w:val="clear" w:color="auto" w:fill="FFFFFF"/>
        </w:rPr>
        <w:lastRenderedPageBreak/>
        <w:t>Experiência Brasileira. </w:t>
      </w:r>
      <w:r w:rsidRPr="00AB49B1">
        <w:rPr>
          <w:i/>
          <w:iCs/>
          <w:szCs w:val="24"/>
          <w:shd w:val="clear" w:color="auto" w:fill="FFFFFF"/>
        </w:rPr>
        <w:t>Revista Brasileira de Economia</w:t>
      </w:r>
      <w:r w:rsidRPr="00AB49B1">
        <w:rPr>
          <w:szCs w:val="24"/>
          <w:shd w:val="clear" w:color="auto" w:fill="FFFFFF"/>
        </w:rPr>
        <w:t>, </w:t>
      </w:r>
      <w:r w:rsidRPr="00AB49B1">
        <w:rPr>
          <w:i/>
          <w:iCs/>
          <w:szCs w:val="24"/>
          <w:shd w:val="clear" w:color="auto" w:fill="FFFFFF"/>
        </w:rPr>
        <w:t>53</w:t>
      </w:r>
      <w:r w:rsidRPr="00AB49B1">
        <w:rPr>
          <w:szCs w:val="24"/>
          <w:shd w:val="clear" w:color="auto" w:fill="FFFFFF"/>
        </w:rPr>
        <w:t>(1), 3-40.</w:t>
      </w:r>
    </w:p>
    <w:p w14:paraId="15562D2D" w14:textId="77777777" w:rsidR="00B6148C" w:rsidRPr="00AB49B1" w:rsidRDefault="00B6148C" w:rsidP="00AB49B1">
      <w:pPr>
        <w:ind w:left="709" w:hanging="709"/>
        <w:jc w:val="left"/>
        <w:rPr>
          <w:szCs w:val="24"/>
          <w:shd w:val="clear" w:color="auto" w:fill="FFFFFF"/>
        </w:rPr>
      </w:pPr>
      <w:r w:rsidRPr="00AB49B1">
        <w:rPr>
          <w:szCs w:val="24"/>
          <w:shd w:val="clear" w:color="auto" w:fill="FFFFFF"/>
        </w:rPr>
        <w:t>Pereira, D. J. (2010). Finanças pessoais: estratégias de investimentos.</w:t>
      </w:r>
    </w:p>
    <w:p w14:paraId="260FDCF5" w14:textId="77777777" w:rsidR="00B6148C" w:rsidRPr="00AB49B1" w:rsidRDefault="00B6148C" w:rsidP="00AB49B1">
      <w:pPr>
        <w:ind w:left="709" w:hanging="709"/>
        <w:jc w:val="left"/>
        <w:rPr>
          <w:szCs w:val="24"/>
          <w:shd w:val="clear" w:color="auto" w:fill="FFFFFF"/>
        </w:rPr>
      </w:pPr>
      <w:proofErr w:type="spellStart"/>
      <w:r w:rsidRPr="00AB49B1">
        <w:rPr>
          <w:szCs w:val="24"/>
          <w:shd w:val="clear" w:color="auto" w:fill="FFFFFF"/>
        </w:rPr>
        <w:t>Piaia</w:t>
      </w:r>
      <w:proofErr w:type="spellEnd"/>
      <w:r w:rsidRPr="00AB49B1">
        <w:rPr>
          <w:szCs w:val="24"/>
          <w:shd w:val="clear" w:color="auto" w:fill="FFFFFF"/>
        </w:rPr>
        <w:t>, C. F. (2008). Finanças pessoais e independência financeira: a educação e organização financeira como instrumentos de melhoria na vida das pessoas.</w:t>
      </w:r>
    </w:p>
    <w:p w14:paraId="499C7307" w14:textId="77777777" w:rsidR="00B6148C" w:rsidRPr="00AB49B1" w:rsidRDefault="00B6148C" w:rsidP="00AB49B1">
      <w:pPr>
        <w:ind w:left="709" w:hanging="709"/>
        <w:jc w:val="left"/>
        <w:rPr>
          <w:szCs w:val="24"/>
          <w:shd w:val="clear" w:color="auto" w:fill="FFFFFF"/>
        </w:rPr>
      </w:pPr>
      <w:proofErr w:type="spellStart"/>
      <w:r w:rsidRPr="00AB49B1">
        <w:rPr>
          <w:szCs w:val="24"/>
          <w:shd w:val="clear" w:color="auto" w:fill="FFFFFF"/>
          <w:lang w:val="en-US"/>
        </w:rPr>
        <w:t>Remund</w:t>
      </w:r>
      <w:proofErr w:type="spellEnd"/>
      <w:r w:rsidRPr="00AB49B1">
        <w:rPr>
          <w:szCs w:val="24"/>
          <w:shd w:val="clear" w:color="auto" w:fill="FFFFFF"/>
          <w:lang w:val="en-US"/>
        </w:rPr>
        <w:t xml:space="preserve">, D. L. (2010). Financial literacy </w:t>
      </w:r>
      <w:proofErr w:type="gramStart"/>
      <w:r w:rsidRPr="00AB49B1">
        <w:rPr>
          <w:szCs w:val="24"/>
          <w:shd w:val="clear" w:color="auto" w:fill="FFFFFF"/>
          <w:lang w:val="en-US"/>
        </w:rPr>
        <w:t>explicated: The</w:t>
      </w:r>
      <w:proofErr w:type="gramEnd"/>
      <w:r w:rsidRPr="00AB49B1">
        <w:rPr>
          <w:szCs w:val="24"/>
          <w:shd w:val="clear" w:color="auto" w:fill="FFFFFF"/>
          <w:lang w:val="en-US"/>
        </w:rPr>
        <w:t xml:space="preserve"> case for a clearer definition in an increasingly complex economy. </w:t>
      </w:r>
      <w:proofErr w:type="spellStart"/>
      <w:r w:rsidRPr="00AB49B1">
        <w:rPr>
          <w:i/>
          <w:iCs/>
          <w:szCs w:val="24"/>
          <w:shd w:val="clear" w:color="auto" w:fill="FFFFFF"/>
        </w:rPr>
        <w:t>Journal</w:t>
      </w:r>
      <w:proofErr w:type="spellEnd"/>
      <w:r w:rsidRPr="00AB49B1">
        <w:rPr>
          <w:i/>
          <w:iCs/>
          <w:szCs w:val="24"/>
          <w:shd w:val="clear" w:color="auto" w:fill="FFFFFF"/>
        </w:rPr>
        <w:t xml:space="preserve"> </w:t>
      </w:r>
      <w:proofErr w:type="spellStart"/>
      <w:r w:rsidRPr="00AB49B1">
        <w:rPr>
          <w:i/>
          <w:iCs/>
          <w:szCs w:val="24"/>
          <w:shd w:val="clear" w:color="auto" w:fill="FFFFFF"/>
        </w:rPr>
        <w:t>of</w:t>
      </w:r>
      <w:proofErr w:type="spellEnd"/>
      <w:r w:rsidRPr="00AB49B1">
        <w:rPr>
          <w:i/>
          <w:iCs/>
          <w:szCs w:val="24"/>
          <w:shd w:val="clear" w:color="auto" w:fill="FFFFFF"/>
        </w:rPr>
        <w:t xml:space="preserve"> </w:t>
      </w:r>
      <w:proofErr w:type="spellStart"/>
      <w:r w:rsidRPr="00AB49B1">
        <w:rPr>
          <w:i/>
          <w:iCs/>
          <w:szCs w:val="24"/>
          <w:shd w:val="clear" w:color="auto" w:fill="FFFFFF"/>
        </w:rPr>
        <w:t>consumer</w:t>
      </w:r>
      <w:proofErr w:type="spellEnd"/>
      <w:r w:rsidRPr="00AB49B1">
        <w:rPr>
          <w:i/>
          <w:iCs/>
          <w:szCs w:val="24"/>
          <w:shd w:val="clear" w:color="auto" w:fill="FFFFFF"/>
        </w:rPr>
        <w:t xml:space="preserve"> </w:t>
      </w:r>
      <w:proofErr w:type="spellStart"/>
      <w:r w:rsidRPr="00AB49B1">
        <w:rPr>
          <w:i/>
          <w:iCs/>
          <w:szCs w:val="24"/>
          <w:shd w:val="clear" w:color="auto" w:fill="FFFFFF"/>
        </w:rPr>
        <w:t>affairs</w:t>
      </w:r>
      <w:proofErr w:type="spellEnd"/>
      <w:r w:rsidRPr="00AB49B1">
        <w:rPr>
          <w:szCs w:val="24"/>
          <w:shd w:val="clear" w:color="auto" w:fill="FFFFFF"/>
        </w:rPr>
        <w:t>, </w:t>
      </w:r>
      <w:r w:rsidRPr="00AB49B1">
        <w:rPr>
          <w:i/>
          <w:iCs/>
          <w:szCs w:val="24"/>
          <w:shd w:val="clear" w:color="auto" w:fill="FFFFFF"/>
        </w:rPr>
        <w:t>44</w:t>
      </w:r>
      <w:r w:rsidRPr="00AB49B1">
        <w:rPr>
          <w:szCs w:val="24"/>
          <w:shd w:val="clear" w:color="auto" w:fill="FFFFFF"/>
        </w:rPr>
        <w:t>(2), 276-295.</w:t>
      </w:r>
    </w:p>
    <w:p w14:paraId="11F5AD16" w14:textId="77777777" w:rsidR="00B6148C" w:rsidRPr="00AB49B1" w:rsidRDefault="00B6148C" w:rsidP="00AB49B1">
      <w:pPr>
        <w:ind w:left="709" w:hanging="709"/>
        <w:jc w:val="left"/>
        <w:rPr>
          <w:szCs w:val="24"/>
          <w:shd w:val="clear" w:color="auto" w:fill="FFFFFF"/>
        </w:rPr>
      </w:pPr>
      <w:r w:rsidRPr="00AB49B1">
        <w:rPr>
          <w:szCs w:val="24"/>
          <w:shd w:val="clear" w:color="auto" w:fill="FFFFFF"/>
        </w:rPr>
        <w:t>Richardson, R. J. (1999). Pesquisa Social: métodos e técnicas. </w:t>
      </w:r>
      <w:r w:rsidRPr="00AB49B1">
        <w:rPr>
          <w:i/>
          <w:iCs/>
          <w:szCs w:val="24"/>
          <w:shd w:val="clear" w:color="auto" w:fill="FFFFFF"/>
        </w:rPr>
        <w:t>São Paulo: Atlas</w:t>
      </w:r>
      <w:r w:rsidRPr="00AB49B1">
        <w:rPr>
          <w:szCs w:val="24"/>
          <w:shd w:val="clear" w:color="auto" w:fill="FFFFFF"/>
        </w:rPr>
        <w:t>, 79.</w:t>
      </w:r>
    </w:p>
    <w:p w14:paraId="18FDDACB" w14:textId="493F55A6" w:rsidR="00B6148C" w:rsidRPr="00AB49B1" w:rsidRDefault="00AB49B1" w:rsidP="00AB49B1">
      <w:pPr>
        <w:ind w:left="709" w:hanging="709"/>
        <w:jc w:val="left"/>
        <w:rPr>
          <w:szCs w:val="24"/>
        </w:rPr>
      </w:pPr>
      <w:r w:rsidRPr="00AB49B1">
        <w:rPr>
          <w:szCs w:val="24"/>
        </w:rPr>
        <w:t>Rocha, S. (2000)</w:t>
      </w:r>
      <w:r w:rsidR="00B6148C" w:rsidRPr="00AB49B1">
        <w:rPr>
          <w:szCs w:val="24"/>
        </w:rPr>
        <w:t xml:space="preserve"> </w:t>
      </w:r>
      <w:r w:rsidR="00B6148C" w:rsidRPr="00AB49B1">
        <w:rPr>
          <w:i/>
          <w:szCs w:val="24"/>
        </w:rPr>
        <w:t>Pobreza e desigualdade no Brasil: o esgotamento dos efeitos distributivos do Plano Real.</w:t>
      </w:r>
      <w:r w:rsidRPr="00AB49B1">
        <w:rPr>
          <w:szCs w:val="24"/>
        </w:rPr>
        <w:t xml:space="preserve"> </w:t>
      </w:r>
      <w:r w:rsidRPr="00AB49B1">
        <w:rPr>
          <w:szCs w:val="24"/>
        </w:rPr>
        <w:t xml:space="preserve">Recuperado de: </w:t>
      </w:r>
      <w:r w:rsidR="00B6148C" w:rsidRPr="00AB49B1">
        <w:rPr>
          <w:szCs w:val="24"/>
        </w:rPr>
        <w:t>http://repositorio.ipea.gov.br/bitstream/11058/2365/1/TD_721.pdf</w:t>
      </w:r>
    </w:p>
    <w:p w14:paraId="5DBF6141" w14:textId="77777777" w:rsidR="00B6148C" w:rsidRPr="00AB49B1" w:rsidRDefault="00B6148C" w:rsidP="00AB49B1">
      <w:pPr>
        <w:ind w:left="709" w:hanging="709"/>
        <w:jc w:val="left"/>
        <w:rPr>
          <w:szCs w:val="24"/>
        </w:rPr>
      </w:pPr>
      <w:r w:rsidRPr="00AB49B1">
        <w:rPr>
          <w:szCs w:val="24"/>
        </w:rPr>
        <w:t xml:space="preserve">Rodrigues, I. M. S. &amp; Carvalho, H. A. (2017). Gestão Financeira Pessoal: Uma análise sobre educação financeira com acadêmicos de administração e contabilidade. </w:t>
      </w:r>
    </w:p>
    <w:p w14:paraId="1202EDB5" w14:textId="77777777" w:rsidR="00B6148C" w:rsidRPr="00AB49B1" w:rsidRDefault="00B6148C" w:rsidP="00AB49B1">
      <w:pPr>
        <w:ind w:left="709" w:hanging="709"/>
        <w:jc w:val="left"/>
        <w:rPr>
          <w:szCs w:val="24"/>
          <w:shd w:val="clear" w:color="auto" w:fill="FFFFFF"/>
        </w:rPr>
      </w:pPr>
      <w:r w:rsidRPr="00AB49B1">
        <w:rPr>
          <w:szCs w:val="24"/>
          <w:shd w:val="clear" w:color="auto" w:fill="FFFFFF"/>
        </w:rPr>
        <w:t>Santos, E. A., Moura, I. V., &amp; de Almeida, L. B. (2018). Intenção dos Alunos em seguir carreira na área de Contabilidade sob a Perspectiva da Teoria do Comportamento Planejado. </w:t>
      </w:r>
      <w:r w:rsidRPr="00AB49B1">
        <w:rPr>
          <w:i/>
          <w:iCs/>
          <w:szCs w:val="24"/>
          <w:shd w:val="clear" w:color="auto" w:fill="FFFFFF"/>
        </w:rPr>
        <w:t>Revista de Educação e Pesquisa em Contabilidade (</w:t>
      </w:r>
      <w:proofErr w:type="spellStart"/>
      <w:r w:rsidRPr="00AB49B1">
        <w:rPr>
          <w:i/>
          <w:iCs/>
          <w:szCs w:val="24"/>
          <w:shd w:val="clear" w:color="auto" w:fill="FFFFFF"/>
        </w:rPr>
        <w:t>REPeC</w:t>
      </w:r>
      <w:proofErr w:type="spellEnd"/>
      <w:r w:rsidRPr="00AB49B1">
        <w:rPr>
          <w:i/>
          <w:iCs/>
          <w:szCs w:val="24"/>
          <w:shd w:val="clear" w:color="auto" w:fill="FFFFFF"/>
        </w:rPr>
        <w:t>)</w:t>
      </w:r>
      <w:r w:rsidRPr="00AB49B1">
        <w:rPr>
          <w:szCs w:val="24"/>
          <w:shd w:val="clear" w:color="auto" w:fill="FFFFFF"/>
        </w:rPr>
        <w:t>, </w:t>
      </w:r>
      <w:r w:rsidRPr="00AB49B1">
        <w:rPr>
          <w:i/>
          <w:iCs/>
          <w:szCs w:val="24"/>
          <w:shd w:val="clear" w:color="auto" w:fill="FFFFFF"/>
        </w:rPr>
        <w:t>12</w:t>
      </w:r>
      <w:r w:rsidRPr="00AB49B1">
        <w:rPr>
          <w:szCs w:val="24"/>
          <w:shd w:val="clear" w:color="auto" w:fill="FFFFFF"/>
        </w:rPr>
        <w:t>(1).</w:t>
      </w:r>
    </w:p>
    <w:p w14:paraId="1565EC3C" w14:textId="77777777" w:rsidR="00B6148C" w:rsidRPr="00AB49B1" w:rsidRDefault="00B6148C" w:rsidP="00AB49B1">
      <w:pPr>
        <w:ind w:left="709" w:hanging="709"/>
        <w:jc w:val="left"/>
        <w:rPr>
          <w:szCs w:val="24"/>
          <w:shd w:val="clear" w:color="auto" w:fill="FFFFFF"/>
        </w:rPr>
      </w:pPr>
      <w:r w:rsidRPr="00AB49B1">
        <w:rPr>
          <w:szCs w:val="24"/>
          <w:shd w:val="clear" w:color="auto" w:fill="FFFFFF"/>
        </w:rPr>
        <w:t>Savoia, J. R. F., Saito, A. T., &amp; de Angelis Santana, F. (2007). Paradigmas da educação financeira no Brasil. </w:t>
      </w:r>
      <w:r w:rsidRPr="00AB49B1">
        <w:rPr>
          <w:i/>
          <w:iCs/>
          <w:szCs w:val="24"/>
          <w:shd w:val="clear" w:color="auto" w:fill="FFFFFF"/>
        </w:rPr>
        <w:t>Revista de Administração pública</w:t>
      </w:r>
      <w:r w:rsidRPr="00AB49B1">
        <w:rPr>
          <w:szCs w:val="24"/>
          <w:shd w:val="clear" w:color="auto" w:fill="FFFFFF"/>
        </w:rPr>
        <w:t>, </w:t>
      </w:r>
      <w:r w:rsidRPr="00AB49B1">
        <w:rPr>
          <w:i/>
          <w:iCs/>
          <w:szCs w:val="24"/>
          <w:shd w:val="clear" w:color="auto" w:fill="FFFFFF"/>
        </w:rPr>
        <w:t>41</w:t>
      </w:r>
      <w:r w:rsidRPr="00AB49B1">
        <w:rPr>
          <w:szCs w:val="24"/>
          <w:shd w:val="clear" w:color="auto" w:fill="FFFFFF"/>
        </w:rPr>
        <w:t>(6), 1121-1141.</w:t>
      </w:r>
    </w:p>
    <w:p w14:paraId="0224651C" w14:textId="77777777" w:rsidR="00B6148C" w:rsidRPr="00AB49B1" w:rsidRDefault="00B6148C" w:rsidP="00AB49B1">
      <w:pPr>
        <w:ind w:left="709" w:hanging="709"/>
        <w:jc w:val="left"/>
        <w:rPr>
          <w:szCs w:val="24"/>
        </w:rPr>
      </w:pPr>
      <w:proofErr w:type="spellStart"/>
      <w:r w:rsidRPr="00AB49B1">
        <w:rPr>
          <w:szCs w:val="24"/>
          <w:shd w:val="clear" w:color="auto" w:fill="FFFFFF"/>
        </w:rPr>
        <w:t>Sbicca</w:t>
      </w:r>
      <w:proofErr w:type="spellEnd"/>
      <w:r w:rsidRPr="00AB49B1">
        <w:rPr>
          <w:szCs w:val="24"/>
          <w:shd w:val="clear" w:color="auto" w:fill="FFFFFF"/>
        </w:rPr>
        <w:t xml:space="preserve">, A., </w:t>
      </w:r>
      <w:proofErr w:type="spellStart"/>
      <w:r w:rsidRPr="00AB49B1">
        <w:rPr>
          <w:szCs w:val="24"/>
          <w:shd w:val="clear" w:color="auto" w:fill="FFFFFF"/>
        </w:rPr>
        <w:t>Floriani</w:t>
      </w:r>
      <w:proofErr w:type="spellEnd"/>
      <w:r w:rsidRPr="00AB49B1">
        <w:rPr>
          <w:szCs w:val="24"/>
          <w:shd w:val="clear" w:color="auto" w:fill="FFFFFF"/>
        </w:rPr>
        <w:t xml:space="preserve">, V., &amp; </w:t>
      </w:r>
      <w:proofErr w:type="spellStart"/>
      <w:r w:rsidRPr="00AB49B1">
        <w:rPr>
          <w:szCs w:val="24"/>
          <w:shd w:val="clear" w:color="auto" w:fill="FFFFFF"/>
        </w:rPr>
        <w:t>Juk</w:t>
      </w:r>
      <w:proofErr w:type="spellEnd"/>
      <w:r w:rsidRPr="00AB49B1">
        <w:rPr>
          <w:szCs w:val="24"/>
          <w:shd w:val="clear" w:color="auto" w:fill="FFFFFF"/>
        </w:rPr>
        <w:t>, Y. (2012). Expansão do crédito no Brasil e a vulnerabilidade do consumidor. </w:t>
      </w:r>
      <w:r w:rsidRPr="00AB49B1">
        <w:rPr>
          <w:i/>
          <w:iCs/>
          <w:szCs w:val="24"/>
          <w:shd w:val="clear" w:color="auto" w:fill="FFFFFF"/>
        </w:rPr>
        <w:t>Revista Economia &amp; Tecnologia</w:t>
      </w:r>
      <w:r w:rsidRPr="00AB49B1">
        <w:rPr>
          <w:szCs w:val="24"/>
          <w:shd w:val="clear" w:color="auto" w:fill="FFFFFF"/>
        </w:rPr>
        <w:t>, </w:t>
      </w:r>
      <w:r w:rsidRPr="00AB49B1">
        <w:rPr>
          <w:i/>
          <w:iCs/>
          <w:szCs w:val="24"/>
          <w:shd w:val="clear" w:color="auto" w:fill="FFFFFF"/>
        </w:rPr>
        <w:t>8</w:t>
      </w:r>
      <w:r w:rsidRPr="00AB49B1">
        <w:rPr>
          <w:szCs w:val="24"/>
          <w:shd w:val="clear" w:color="auto" w:fill="FFFFFF"/>
        </w:rPr>
        <w:t>(4).</w:t>
      </w:r>
      <w:r w:rsidRPr="00AB49B1">
        <w:rPr>
          <w:szCs w:val="24"/>
        </w:rPr>
        <w:t xml:space="preserve"> </w:t>
      </w:r>
    </w:p>
    <w:p w14:paraId="49479633" w14:textId="77777777" w:rsidR="00B6148C" w:rsidRPr="00AB49B1" w:rsidRDefault="00B6148C" w:rsidP="00AB49B1">
      <w:pPr>
        <w:ind w:left="709" w:hanging="709"/>
        <w:jc w:val="left"/>
        <w:rPr>
          <w:szCs w:val="24"/>
          <w:shd w:val="clear" w:color="auto" w:fill="FFFFFF"/>
        </w:rPr>
      </w:pPr>
      <w:r w:rsidRPr="00AB49B1">
        <w:rPr>
          <w:szCs w:val="24"/>
          <w:shd w:val="clear" w:color="auto" w:fill="FFFFFF"/>
        </w:rPr>
        <w:t>Silva, J. G., Neto, O. S. S., &amp; Araújo, R. C. (2017). Educação financeira de servidores públicos: hábitos de consumo, investimento e percepção de risco. </w:t>
      </w:r>
      <w:r w:rsidRPr="00AB49B1">
        <w:rPr>
          <w:i/>
          <w:iCs/>
          <w:szCs w:val="24"/>
          <w:shd w:val="clear" w:color="auto" w:fill="FFFFFF"/>
        </w:rPr>
        <w:t>Revista Evidenciação Contábil &amp; Finanças</w:t>
      </w:r>
      <w:r w:rsidRPr="00AB49B1">
        <w:rPr>
          <w:szCs w:val="24"/>
          <w:shd w:val="clear" w:color="auto" w:fill="FFFFFF"/>
        </w:rPr>
        <w:t>, </w:t>
      </w:r>
      <w:r w:rsidRPr="00AB49B1">
        <w:rPr>
          <w:i/>
          <w:iCs/>
          <w:szCs w:val="24"/>
          <w:shd w:val="clear" w:color="auto" w:fill="FFFFFF"/>
        </w:rPr>
        <w:t>5</w:t>
      </w:r>
      <w:r w:rsidRPr="00AB49B1">
        <w:rPr>
          <w:szCs w:val="24"/>
          <w:shd w:val="clear" w:color="auto" w:fill="FFFFFF"/>
        </w:rPr>
        <w:t>(2), 104-120.</w:t>
      </w:r>
    </w:p>
    <w:p w14:paraId="5A59F0C1" w14:textId="77777777" w:rsidR="00B6148C" w:rsidRPr="00AB49B1" w:rsidRDefault="00B6148C" w:rsidP="00AB49B1">
      <w:pPr>
        <w:ind w:left="709" w:hanging="709"/>
        <w:jc w:val="left"/>
        <w:rPr>
          <w:szCs w:val="24"/>
        </w:rPr>
      </w:pPr>
      <w:r w:rsidRPr="00AB49B1">
        <w:rPr>
          <w:szCs w:val="24"/>
          <w:shd w:val="clear" w:color="auto" w:fill="FFFFFF"/>
        </w:rPr>
        <w:t>Silveira, T. S., Casagrande, M. C., Batista, T. C., &amp; Marçal, R. R. (2018) Ética Profissional: Um estudo sobre a percepção dos alunos de Ciências Contábeis da UFRJ. </w:t>
      </w:r>
      <w:r w:rsidRPr="00AB49B1">
        <w:rPr>
          <w:i/>
          <w:iCs/>
          <w:szCs w:val="24"/>
          <w:shd w:val="clear" w:color="auto" w:fill="FFFFFF"/>
        </w:rPr>
        <w:t>Revista de Contabilidade e Gestão Contemporânea</w:t>
      </w:r>
      <w:r w:rsidRPr="00AB49B1">
        <w:rPr>
          <w:szCs w:val="24"/>
          <w:shd w:val="clear" w:color="auto" w:fill="FFFFFF"/>
        </w:rPr>
        <w:t>, </w:t>
      </w:r>
      <w:r w:rsidRPr="00AB49B1">
        <w:rPr>
          <w:i/>
          <w:iCs/>
          <w:szCs w:val="24"/>
          <w:shd w:val="clear" w:color="auto" w:fill="FFFFFF"/>
        </w:rPr>
        <w:t>1</w:t>
      </w:r>
      <w:r w:rsidRPr="00AB49B1">
        <w:rPr>
          <w:szCs w:val="24"/>
          <w:shd w:val="clear" w:color="auto" w:fill="FFFFFF"/>
        </w:rPr>
        <w:t>(2), 106-125.</w:t>
      </w:r>
    </w:p>
    <w:p w14:paraId="4775FEDE" w14:textId="77777777" w:rsidR="00B6148C" w:rsidRPr="00AB49B1" w:rsidRDefault="00B6148C" w:rsidP="00AB49B1">
      <w:pPr>
        <w:ind w:left="709" w:hanging="709"/>
        <w:jc w:val="left"/>
        <w:rPr>
          <w:szCs w:val="24"/>
        </w:rPr>
      </w:pPr>
      <w:r w:rsidRPr="00AB49B1">
        <w:rPr>
          <w:szCs w:val="24"/>
          <w:shd w:val="clear" w:color="auto" w:fill="FFFFFF"/>
        </w:rPr>
        <w:t>Silvestre, A. L. (2007). </w:t>
      </w:r>
      <w:r w:rsidRPr="00AB49B1">
        <w:rPr>
          <w:i/>
          <w:iCs/>
          <w:szCs w:val="24"/>
          <w:shd w:val="clear" w:color="auto" w:fill="FFFFFF"/>
        </w:rPr>
        <w:t>Análise de dados e estatística descritiva</w:t>
      </w:r>
      <w:r w:rsidRPr="00AB49B1">
        <w:rPr>
          <w:szCs w:val="24"/>
          <w:shd w:val="clear" w:color="auto" w:fill="FFFFFF"/>
        </w:rPr>
        <w:t>. Escolar editora.</w:t>
      </w:r>
      <w:r w:rsidRPr="00AB49B1">
        <w:rPr>
          <w:szCs w:val="24"/>
        </w:rPr>
        <w:t xml:space="preserve"> </w:t>
      </w:r>
    </w:p>
    <w:p w14:paraId="14BF73ED" w14:textId="2D931ADB" w:rsidR="00B6148C" w:rsidRPr="00AB49B1" w:rsidRDefault="00AB49B1" w:rsidP="00AB49B1">
      <w:pPr>
        <w:ind w:left="709" w:hanging="709"/>
        <w:jc w:val="left"/>
        <w:rPr>
          <w:szCs w:val="24"/>
        </w:rPr>
      </w:pPr>
      <w:proofErr w:type="spellStart"/>
      <w:r w:rsidRPr="00AB49B1">
        <w:rPr>
          <w:szCs w:val="24"/>
        </w:rPr>
        <w:t>Sotto</w:t>
      </w:r>
      <w:proofErr w:type="spellEnd"/>
      <w:r w:rsidRPr="00AB49B1">
        <w:rPr>
          <w:szCs w:val="24"/>
        </w:rPr>
        <w:t>-Maior, F. (2015</w:t>
      </w:r>
      <w:r w:rsidR="00B6148C" w:rsidRPr="00AB49B1">
        <w:rPr>
          <w:szCs w:val="24"/>
        </w:rPr>
        <w:t xml:space="preserve">). </w:t>
      </w:r>
      <w:r w:rsidR="00B6148C" w:rsidRPr="00AB49B1">
        <w:rPr>
          <w:i/>
          <w:szCs w:val="24"/>
        </w:rPr>
        <w:t xml:space="preserve">Fundos de Investimento: o que são. </w:t>
      </w:r>
      <w:r w:rsidRPr="00AB49B1">
        <w:rPr>
          <w:szCs w:val="24"/>
        </w:rPr>
        <w:t xml:space="preserve">Recuperado de: </w:t>
      </w:r>
      <w:r w:rsidR="00B6148C" w:rsidRPr="00AB49B1">
        <w:rPr>
          <w:szCs w:val="24"/>
        </w:rPr>
        <w:t>https://verios.com.br/blog/fundos-de-investimento-o-que-sao/</w:t>
      </w:r>
    </w:p>
    <w:p w14:paraId="0FCF0672" w14:textId="3BEB2310" w:rsidR="00B6148C" w:rsidRPr="00AB49B1" w:rsidRDefault="00B6148C" w:rsidP="00AB49B1">
      <w:pPr>
        <w:ind w:left="709" w:hanging="709"/>
        <w:jc w:val="left"/>
        <w:rPr>
          <w:szCs w:val="24"/>
        </w:rPr>
      </w:pPr>
      <w:r w:rsidRPr="00AB49B1">
        <w:rPr>
          <w:szCs w:val="24"/>
        </w:rPr>
        <w:t xml:space="preserve">SPC BRASIL; Confederação Nacional dos Dirigentes Lojistas. (2018). </w:t>
      </w:r>
      <w:r w:rsidRPr="00AB49B1">
        <w:rPr>
          <w:i/>
          <w:szCs w:val="24"/>
        </w:rPr>
        <w:t>Além dos efeitos da crise, descontrole financeiro está entre principais causas da inadimplência no país.</w:t>
      </w:r>
      <w:r w:rsidRPr="00AB49B1">
        <w:rPr>
          <w:szCs w:val="24"/>
        </w:rPr>
        <w:t xml:space="preserve"> </w:t>
      </w:r>
      <w:r w:rsidR="00AB49B1" w:rsidRPr="00AB49B1">
        <w:rPr>
          <w:szCs w:val="24"/>
        </w:rPr>
        <w:t xml:space="preserve">Recuperado de: </w:t>
      </w:r>
      <w:r w:rsidRPr="00AB49B1">
        <w:rPr>
          <w:szCs w:val="24"/>
        </w:rPr>
        <w:t>https://www.spcbrasil.org.br/pesquisas/pesquisa/5233</w:t>
      </w:r>
    </w:p>
    <w:p w14:paraId="1436F17F" w14:textId="3DE43A71" w:rsidR="00B6148C" w:rsidRPr="00AB49B1" w:rsidRDefault="00B6148C" w:rsidP="00AB49B1">
      <w:pPr>
        <w:ind w:left="709" w:hanging="709"/>
        <w:jc w:val="left"/>
        <w:rPr>
          <w:szCs w:val="24"/>
        </w:rPr>
      </w:pPr>
      <w:proofErr w:type="gramStart"/>
      <w:r w:rsidRPr="00AB49B1">
        <w:rPr>
          <w:bCs/>
          <w:szCs w:val="24"/>
          <w:lang w:val="en-US"/>
        </w:rPr>
        <w:t>Standard &amp; Poor’s</w:t>
      </w:r>
      <w:proofErr w:type="gramEnd"/>
      <w:r w:rsidRPr="00AB49B1">
        <w:rPr>
          <w:bCs/>
          <w:szCs w:val="24"/>
          <w:lang w:val="en-US"/>
        </w:rPr>
        <w:t>.</w:t>
      </w:r>
      <w:r w:rsidR="00AB49B1" w:rsidRPr="00AB49B1">
        <w:rPr>
          <w:bCs/>
          <w:szCs w:val="24"/>
          <w:lang w:val="en-US"/>
        </w:rPr>
        <w:t xml:space="preserve"> (2019)</w:t>
      </w:r>
      <w:r w:rsidRPr="00AB49B1">
        <w:rPr>
          <w:bCs/>
          <w:szCs w:val="24"/>
          <w:lang w:val="en-US"/>
        </w:rPr>
        <w:t xml:space="preserve"> </w:t>
      </w:r>
      <w:r w:rsidRPr="00AB49B1">
        <w:rPr>
          <w:bCs/>
          <w:i/>
          <w:szCs w:val="24"/>
          <w:lang w:val="en-US"/>
        </w:rPr>
        <w:t>S&amp;P Ratings Services Global Financial Literacy Survey</w:t>
      </w:r>
      <w:r w:rsidRPr="00AB49B1">
        <w:rPr>
          <w:i/>
          <w:szCs w:val="24"/>
          <w:lang w:val="en-US"/>
        </w:rPr>
        <w:t>.</w:t>
      </w:r>
      <w:r w:rsidRPr="00AB49B1">
        <w:rPr>
          <w:szCs w:val="24"/>
          <w:lang w:val="en-US"/>
        </w:rPr>
        <w:t xml:space="preserve"> </w:t>
      </w:r>
      <w:r w:rsidR="00AB49B1" w:rsidRPr="00AB49B1">
        <w:rPr>
          <w:szCs w:val="24"/>
        </w:rPr>
        <w:t xml:space="preserve">Recuperado de: </w:t>
      </w:r>
      <w:r w:rsidRPr="00AB49B1">
        <w:rPr>
          <w:szCs w:val="24"/>
        </w:rPr>
        <w:t xml:space="preserve">https://gflec.org/wp-content/uploads/2015/11/3313-Finlit_Report_FINAL-5.11.16.pdf?x37611 </w:t>
      </w:r>
    </w:p>
    <w:p w14:paraId="1ADB63D0" w14:textId="77777777" w:rsidR="00B6148C" w:rsidRPr="00AB49B1" w:rsidRDefault="00B6148C" w:rsidP="00AB49B1">
      <w:pPr>
        <w:ind w:left="709" w:hanging="709"/>
        <w:jc w:val="left"/>
        <w:rPr>
          <w:szCs w:val="24"/>
          <w:shd w:val="clear" w:color="auto" w:fill="FFFFFF"/>
        </w:rPr>
      </w:pPr>
      <w:proofErr w:type="spellStart"/>
      <w:r w:rsidRPr="00AB49B1">
        <w:rPr>
          <w:szCs w:val="24"/>
          <w:shd w:val="clear" w:color="auto" w:fill="FFFFFF"/>
        </w:rPr>
        <w:t>Tommasi</w:t>
      </w:r>
      <w:proofErr w:type="spellEnd"/>
      <w:r w:rsidRPr="00AB49B1">
        <w:rPr>
          <w:szCs w:val="24"/>
          <w:shd w:val="clear" w:color="auto" w:fill="FFFFFF"/>
        </w:rPr>
        <w:t>, A., &amp; Lima, F. (2007). Viva Melhor Sabendo administrar suas finanças.</w:t>
      </w:r>
    </w:p>
    <w:p w14:paraId="6D90F1C2" w14:textId="77777777" w:rsidR="00B6148C" w:rsidRPr="003F4B26" w:rsidRDefault="00B6148C" w:rsidP="00AB49B1">
      <w:pPr>
        <w:ind w:left="709" w:hanging="709"/>
        <w:jc w:val="left"/>
        <w:rPr>
          <w:szCs w:val="24"/>
          <w:shd w:val="clear" w:color="auto" w:fill="FFFFFF"/>
        </w:rPr>
      </w:pPr>
      <w:r w:rsidRPr="00AB49B1">
        <w:rPr>
          <w:szCs w:val="24"/>
          <w:shd w:val="clear" w:color="auto" w:fill="FFFFFF"/>
        </w:rPr>
        <w:t>Vieira, S. F. A., Bataglia, R. T. M., &amp; Sereia, V. J. (2011). Educação financeira e decisões de consumo, investimento e poupança: uma análise dos alunos de uma universidade pública do norte do Paraná. </w:t>
      </w:r>
      <w:r w:rsidRPr="00AB49B1">
        <w:rPr>
          <w:i/>
          <w:iCs/>
          <w:szCs w:val="24"/>
          <w:shd w:val="clear" w:color="auto" w:fill="FFFFFF"/>
        </w:rPr>
        <w:t>Revista de Administração</w:t>
      </w:r>
      <w:r w:rsidRPr="00AB49B1">
        <w:rPr>
          <w:szCs w:val="24"/>
          <w:shd w:val="clear" w:color="auto" w:fill="FFFFFF"/>
        </w:rPr>
        <w:t>, </w:t>
      </w:r>
      <w:r w:rsidRPr="00AB49B1">
        <w:rPr>
          <w:i/>
          <w:iCs/>
          <w:szCs w:val="24"/>
          <w:shd w:val="clear" w:color="auto" w:fill="FFFFFF"/>
        </w:rPr>
        <w:t>9</w:t>
      </w:r>
      <w:r w:rsidRPr="00AB49B1">
        <w:rPr>
          <w:szCs w:val="24"/>
          <w:shd w:val="clear" w:color="auto" w:fill="FFFFFF"/>
        </w:rPr>
        <w:t>(3), 61-86.</w:t>
      </w:r>
    </w:p>
    <w:p w14:paraId="1A521466" w14:textId="6C05D6A1" w:rsidR="003938B9" w:rsidRPr="00A264D4" w:rsidRDefault="003938B9" w:rsidP="00AB49B1">
      <w:pPr>
        <w:widowControl/>
        <w:ind w:firstLine="720"/>
        <w:jc w:val="left"/>
        <w:rPr>
          <w:b/>
          <w:szCs w:val="24"/>
        </w:rPr>
      </w:pPr>
    </w:p>
    <w:sectPr w:rsidR="003938B9" w:rsidRPr="00A264D4" w:rsidSect="00C271A6">
      <w:headerReference w:type="default" r:id="rId8"/>
      <w:footerReference w:type="default" r:id="rId9"/>
      <w:pgSz w:w="12240" w:h="15840" w:code="119"/>
      <w:pgMar w:top="1701" w:right="1134" w:bottom="1701" w:left="1701" w:header="142" w:footer="0"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D8B2918" w16cid:durableId="20BB8BC5"/>
  <w16cid:commentId w16cid:paraId="329F7513" w16cid:durableId="20BC6C85"/>
  <w16cid:commentId w16cid:paraId="29C53D93" w16cid:durableId="20BB8BF6"/>
  <w16cid:commentId w16cid:paraId="4B50BD95" w16cid:durableId="20BB8C13"/>
  <w16cid:commentId w16cid:paraId="3652D2EE" w16cid:durableId="20BB8C18"/>
  <w16cid:commentId w16cid:paraId="7F1FE753" w16cid:durableId="20BB8C29"/>
  <w16cid:commentId w16cid:paraId="3CEAC447" w16cid:durableId="20BB8C2C"/>
  <w16cid:commentId w16cid:paraId="4767DB92" w16cid:durableId="20BB8C35"/>
  <w16cid:commentId w16cid:paraId="0D754394" w16cid:durableId="20BC6525"/>
  <w16cid:commentId w16cid:paraId="71DB76E6" w16cid:durableId="20BC6601"/>
  <w16cid:commentId w16cid:paraId="65D3507A" w16cid:durableId="20BB8CC5"/>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5948A1" w14:textId="77777777" w:rsidR="00415C22" w:rsidRDefault="00415C22" w:rsidP="005840EF">
      <w:r>
        <w:separator/>
      </w:r>
    </w:p>
  </w:endnote>
  <w:endnote w:type="continuationSeparator" w:id="0">
    <w:p w14:paraId="2EF72CEC" w14:textId="77777777" w:rsidR="00415C22" w:rsidRDefault="00415C22" w:rsidP="0058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w:panose1 w:val="00000000000000000000"/>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09FF1" w14:textId="77777777" w:rsidR="00B6148C" w:rsidRPr="00F05FBB" w:rsidRDefault="00B6148C" w:rsidP="00D2342D">
    <w:pPr>
      <w:pStyle w:val="Rodap"/>
      <w:jc w:val="right"/>
      <w:rPr>
        <w:sz w:val="20"/>
      </w:rPr>
    </w:pPr>
    <w:r w:rsidRPr="00F05FBB">
      <w:rPr>
        <w:sz w:val="20"/>
      </w:rPr>
      <w:fldChar w:fldCharType="begin"/>
    </w:r>
    <w:r w:rsidRPr="00F05FBB">
      <w:rPr>
        <w:sz w:val="20"/>
      </w:rPr>
      <w:instrText>PAGE   \* MERGEFORMAT</w:instrText>
    </w:r>
    <w:r w:rsidRPr="00F05FBB">
      <w:rPr>
        <w:sz w:val="20"/>
      </w:rPr>
      <w:fldChar w:fldCharType="separate"/>
    </w:r>
    <w:r w:rsidR="00E726CA">
      <w:rPr>
        <w:noProof/>
        <w:sz w:val="20"/>
      </w:rPr>
      <w:t>17</w:t>
    </w:r>
    <w:r w:rsidRPr="00F05FBB">
      <w:rPr>
        <w:sz w:val="20"/>
      </w:rPr>
      <w:fldChar w:fldCharType="end"/>
    </w:r>
  </w:p>
  <w:p w14:paraId="37F4E241" w14:textId="77777777" w:rsidR="00B6148C" w:rsidRPr="00862FD2" w:rsidRDefault="00B6148C" w:rsidP="004E0B39">
    <w:pPr>
      <w:pStyle w:val="Rodap"/>
      <w:ind w:firstLine="0"/>
      <w:jc w:val="center"/>
    </w:pPr>
    <w:r>
      <w:rPr>
        <w:noProof/>
        <w:lang w:val="pt-BR" w:eastAsia="pt-BR"/>
      </w:rPr>
      <w:drawing>
        <wp:inline distT="0" distB="0" distL="0" distR="0" wp14:anchorId="6C48FDCF" wp14:editId="473DCE55">
          <wp:extent cx="3895725" cy="971550"/>
          <wp:effectExtent l="0" t="0" r="9525" b="0"/>
          <wp:docPr id="2" name="Imagem 2" descr="logosarti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logosartigo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5725" cy="97155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05CDBA" w14:textId="77777777" w:rsidR="00415C22" w:rsidRDefault="00415C22" w:rsidP="005840EF">
      <w:r>
        <w:separator/>
      </w:r>
    </w:p>
  </w:footnote>
  <w:footnote w:type="continuationSeparator" w:id="0">
    <w:p w14:paraId="4D6C737A" w14:textId="77777777" w:rsidR="00415C22" w:rsidRDefault="00415C22" w:rsidP="005840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B4F55" w14:textId="77777777" w:rsidR="00B6148C" w:rsidRPr="004E0B39" w:rsidRDefault="00B6148C" w:rsidP="004E0B39">
    <w:pPr>
      <w:pStyle w:val="Cabealho"/>
      <w:ind w:firstLine="0"/>
      <w:jc w:val="center"/>
    </w:pPr>
    <w:r>
      <w:rPr>
        <w:noProof/>
      </w:rPr>
      <w:drawing>
        <wp:inline distT="0" distB="0" distL="0" distR="0" wp14:anchorId="4A95AB6D" wp14:editId="6ADE46A4">
          <wp:extent cx="6010275" cy="1485900"/>
          <wp:effectExtent l="0" t="0" r="9525" b="0"/>
          <wp:docPr id="1" name="Imagem 1" descr="Cabecal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becalh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0275" cy="14859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A4083"/>
    <w:multiLevelType w:val="multilevel"/>
    <w:tmpl w:val="352098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6401B0"/>
    <w:multiLevelType w:val="multilevel"/>
    <w:tmpl w:val="D862A170"/>
    <w:lvl w:ilvl="0">
      <w:start w:val="4"/>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nsid w:val="0C9D277D"/>
    <w:multiLevelType w:val="hybridMultilevel"/>
    <w:tmpl w:val="3B5CBD4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0F44639B"/>
    <w:multiLevelType w:val="hybridMultilevel"/>
    <w:tmpl w:val="1DB2867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1DB4125"/>
    <w:multiLevelType w:val="multilevel"/>
    <w:tmpl w:val="5B567342"/>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5">
    <w:nsid w:val="140A6A84"/>
    <w:multiLevelType w:val="multilevel"/>
    <w:tmpl w:val="3320DB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47218B1"/>
    <w:multiLevelType w:val="hybridMultilevel"/>
    <w:tmpl w:val="2FB0BEE0"/>
    <w:lvl w:ilvl="0" w:tplc="EB4206B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16CE00BA"/>
    <w:multiLevelType w:val="multilevel"/>
    <w:tmpl w:val="2DF6C56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F1510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nsid w:val="1CE95C0F"/>
    <w:multiLevelType w:val="multilevel"/>
    <w:tmpl w:val="E03C0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E5C771D"/>
    <w:multiLevelType w:val="multilevel"/>
    <w:tmpl w:val="DF7C59B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EF85A46"/>
    <w:multiLevelType w:val="multilevel"/>
    <w:tmpl w:val="CB7C0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8D7D24"/>
    <w:multiLevelType w:val="hybridMultilevel"/>
    <w:tmpl w:val="843215D2"/>
    <w:lvl w:ilvl="0" w:tplc="AB5A0FEE">
      <w:start w:val="1"/>
      <w:numFmt w:val="lowerLetter"/>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3">
    <w:nsid w:val="26BB1B27"/>
    <w:multiLevelType w:val="multilevel"/>
    <w:tmpl w:val="955A22A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A0F43FA"/>
    <w:multiLevelType w:val="singleLevel"/>
    <w:tmpl w:val="04160001"/>
    <w:lvl w:ilvl="0">
      <w:numFmt w:val="bullet"/>
      <w:lvlText w:val=""/>
      <w:lvlJc w:val="left"/>
      <w:pPr>
        <w:tabs>
          <w:tab w:val="num" w:pos="360"/>
        </w:tabs>
        <w:ind w:left="360" w:hanging="360"/>
      </w:pPr>
      <w:rPr>
        <w:rFonts w:ascii="Symbol" w:hAnsi="Symbol" w:hint="default"/>
      </w:rPr>
    </w:lvl>
  </w:abstractNum>
  <w:abstractNum w:abstractNumId="15">
    <w:nsid w:val="2E540E9B"/>
    <w:multiLevelType w:val="multilevel"/>
    <w:tmpl w:val="04E87FC4"/>
    <w:lvl w:ilvl="0">
      <w:start w:val="5"/>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6">
    <w:nsid w:val="2EE65CB1"/>
    <w:multiLevelType w:val="multilevel"/>
    <w:tmpl w:val="7034070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2F226DE4"/>
    <w:multiLevelType w:val="multilevel"/>
    <w:tmpl w:val="284EA8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02708AF"/>
    <w:multiLevelType w:val="multilevel"/>
    <w:tmpl w:val="A74C828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0DA2C63"/>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0">
    <w:nsid w:val="47886BCE"/>
    <w:multiLevelType w:val="hybridMultilevel"/>
    <w:tmpl w:val="ADB4658E"/>
    <w:lvl w:ilvl="0" w:tplc="2880358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49FC0AA7"/>
    <w:multiLevelType w:val="hybridMultilevel"/>
    <w:tmpl w:val="E78202BE"/>
    <w:lvl w:ilvl="0" w:tplc="B42EF9B6">
      <w:start w:val="1"/>
      <w:numFmt w:val="decimal"/>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4B012C4E"/>
    <w:multiLevelType w:val="hybridMultilevel"/>
    <w:tmpl w:val="BEBCD8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4F332619"/>
    <w:multiLevelType w:val="multilevel"/>
    <w:tmpl w:val="9B709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6891E91"/>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25">
    <w:nsid w:val="589D3C57"/>
    <w:multiLevelType w:val="multilevel"/>
    <w:tmpl w:val="08F4B5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E80185E"/>
    <w:multiLevelType w:val="multilevel"/>
    <w:tmpl w:val="28F0C7C6"/>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03176DD"/>
    <w:multiLevelType w:val="multilevel"/>
    <w:tmpl w:val="BEA8D6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14C6693"/>
    <w:multiLevelType w:val="multilevel"/>
    <w:tmpl w:val="CDD850E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9">
    <w:nsid w:val="62053439"/>
    <w:multiLevelType w:val="multilevel"/>
    <w:tmpl w:val="5866BB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2326CFF"/>
    <w:multiLevelType w:val="multilevel"/>
    <w:tmpl w:val="A7980A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3131B35"/>
    <w:multiLevelType w:val="multilevel"/>
    <w:tmpl w:val="123E37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nsid w:val="64142036"/>
    <w:multiLevelType w:val="multilevel"/>
    <w:tmpl w:val="D38E6C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46F53FF"/>
    <w:multiLevelType w:val="hybridMultilevel"/>
    <w:tmpl w:val="FB1E5FC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nsid w:val="64850CDA"/>
    <w:multiLevelType w:val="multilevel"/>
    <w:tmpl w:val="4F04B6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8D214CF"/>
    <w:multiLevelType w:val="multilevel"/>
    <w:tmpl w:val="E2CC330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94D0DF2"/>
    <w:multiLevelType w:val="multilevel"/>
    <w:tmpl w:val="4FEC7996"/>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7">
    <w:nsid w:val="6F8D4E7A"/>
    <w:multiLevelType w:val="multilevel"/>
    <w:tmpl w:val="C1509C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1EF383F"/>
    <w:multiLevelType w:val="multilevel"/>
    <w:tmpl w:val="23F86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2591976"/>
    <w:multiLevelType w:val="multilevel"/>
    <w:tmpl w:val="09D82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2917D1D"/>
    <w:multiLevelType w:val="hybridMultilevel"/>
    <w:tmpl w:val="F0EC33BA"/>
    <w:lvl w:ilvl="0" w:tplc="758C07D0">
      <w:start w:val="1"/>
      <w:numFmt w:val="lowerLetter"/>
      <w:lvlText w:val="%1)"/>
      <w:lvlJc w:val="left"/>
      <w:pPr>
        <w:tabs>
          <w:tab w:val="num" w:pos="360"/>
        </w:tabs>
        <w:ind w:left="360" w:hanging="360"/>
      </w:pPr>
      <w:rPr>
        <w:rFonts w:hint="default"/>
        <w:b/>
        <w:i w:val="0"/>
        <w:color w:val="000000"/>
        <w:sz w:val="24"/>
        <w:szCs w:val="24"/>
      </w:rPr>
    </w:lvl>
    <w:lvl w:ilvl="1" w:tplc="0E38EB8C" w:tentative="1">
      <w:start w:val="1"/>
      <w:numFmt w:val="bullet"/>
      <w:lvlText w:val="o"/>
      <w:lvlJc w:val="left"/>
      <w:pPr>
        <w:tabs>
          <w:tab w:val="num" w:pos="1440"/>
        </w:tabs>
        <w:ind w:left="1440" w:hanging="360"/>
      </w:pPr>
      <w:rPr>
        <w:rFonts w:ascii="Courier New" w:hAnsi="Courier New" w:cs="Courier New" w:hint="default"/>
      </w:rPr>
    </w:lvl>
    <w:lvl w:ilvl="2" w:tplc="E6E8DEDC" w:tentative="1">
      <w:start w:val="1"/>
      <w:numFmt w:val="bullet"/>
      <w:lvlText w:val=""/>
      <w:lvlJc w:val="left"/>
      <w:pPr>
        <w:tabs>
          <w:tab w:val="num" w:pos="2160"/>
        </w:tabs>
        <w:ind w:left="2160" w:hanging="360"/>
      </w:pPr>
      <w:rPr>
        <w:rFonts w:ascii="Wingdings" w:hAnsi="Wingdings" w:hint="default"/>
      </w:rPr>
    </w:lvl>
    <w:lvl w:ilvl="3" w:tplc="5F548456" w:tentative="1">
      <w:start w:val="1"/>
      <w:numFmt w:val="bullet"/>
      <w:lvlText w:val=""/>
      <w:lvlJc w:val="left"/>
      <w:pPr>
        <w:tabs>
          <w:tab w:val="num" w:pos="2880"/>
        </w:tabs>
        <w:ind w:left="2880" w:hanging="360"/>
      </w:pPr>
      <w:rPr>
        <w:rFonts w:ascii="Symbol" w:hAnsi="Symbol" w:hint="default"/>
      </w:rPr>
    </w:lvl>
    <w:lvl w:ilvl="4" w:tplc="5694FDD6" w:tentative="1">
      <w:start w:val="1"/>
      <w:numFmt w:val="bullet"/>
      <w:lvlText w:val="o"/>
      <w:lvlJc w:val="left"/>
      <w:pPr>
        <w:tabs>
          <w:tab w:val="num" w:pos="3600"/>
        </w:tabs>
        <w:ind w:left="3600" w:hanging="360"/>
      </w:pPr>
      <w:rPr>
        <w:rFonts w:ascii="Courier New" w:hAnsi="Courier New" w:cs="Courier New" w:hint="default"/>
      </w:rPr>
    </w:lvl>
    <w:lvl w:ilvl="5" w:tplc="C5943616" w:tentative="1">
      <w:start w:val="1"/>
      <w:numFmt w:val="bullet"/>
      <w:lvlText w:val=""/>
      <w:lvlJc w:val="left"/>
      <w:pPr>
        <w:tabs>
          <w:tab w:val="num" w:pos="4320"/>
        </w:tabs>
        <w:ind w:left="4320" w:hanging="360"/>
      </w:pPr>
      <w:rPr>
        <w:rFonts w:ascii="Wingdings" w:hAnsi="Wingdings" w:hint="default"/>
      </w:rPr>
    </w:lvl>
    <w:lvl w:ilvl="6" w:tplc="34FE79AE" w:tentative="1">
      <w:start w:val="1"/>
      <w:numFmt w:val="bullet"/>
      <w:lvlText w:val=""/>
      <w:lvlJc w:val="left"/>
      <w:pPr>
        <w:tabs>
          <w:tab w:val="num" w:pos="5040"/>
        </w:tabs>
        <w:ind w:left="5040" w:hanging="360"/>
      </w:pPr>
      <w:rPr>
        <w:rFonts w:ascii="Symbol" w:hAnsi="Symbol" w:hint="default"/>
      </w:rPr>
    </w:lvl>
    <w:lvl w:ilvl="7" w:tplc="849CC0B4" w:tentative="1">
      <w:start w:val="1"/>
      <w:numFmt w:val="bullet"/>
      <w:lvlText w:val="o"/>
      <w:lvlJc w:val="left"/>
      <w:pPr>
        <w:tabs>
          <w:tab w:val="num" w:pos="5760"/>
        </w:tabs>
        <w:ind w:left="5760" w:hanging="360"/>
      </w:pPr>
      <w:rPr>
        <w:rFonts w:ascii="Courier New" w:hAnsi="Courier New" w:cs="Courier New" w:hint="default"/>
      </w:rPr>
    </w:lvl>
    <w:lvl w:ilvl="8" w:tplc="2A78AC7E" w:tentative="1">
      <w:start w:val="1"/>
      <w:numFmt w:val="bullet"/>
      <w:lvlText w:val=""/>
      <w:lvlJc w:val="left"/>
      <w:pPr>
        <w:tabs>
          <w:tab w:val="num" w:pos="6480"/>
        </w:tabs>
        <w:ind w:left="6480" w:hanging="360"/>
      </w:pPr>
      <w:rPr>
        <w:rFonts w:ascii="Wingdings" w:hAnsi="Wingdings" w:hint="default"/>
      </w:rPr>
    </w:lvl>
  </w:abstractNum>
  <w:abstractNum w:abstractNumId="41">
    <w:nsid w:val="74E00380"/>
    <w:multiLevelType w:val="hybridMultilevel"/>
    <w:tmpl w:val="E500B252"/>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nsid w:val="782E4126"/>
    <w:multiLevelType w:val="multilevel"/>
    <w:tmpl w:val="3E9AF9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B4C76FC"/>
    <w:multiLevelType w:val="hybridMultilevel"/>
    <w:tmpl w:val="0AA6E3D8"/>
    <w:lvl w:ilvl="0" w:tplc="BE94D32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nsid w:val="7C081029"/>
    <w:multiLevelType w:val="multilevel"/>
    <w:tmpl w:val="4AE0CEB0"/>
    <w:lvl w:ilvl="0">
      <w:start w:val="4"/>
      <w:numFmt w:val="decimal"/>
      <w:lvlText w:val="%1"/>
      <w:lvlJc w:val="left"/>
      <w:pPr>
        <w:ind w:left="360" w:hanging="360"/>
      </w:pPr>
      <w:rPr>
        <w:sz w:val="24"/>
        <w:szCs w:val="24"/>
      </w:rPr>
    </w:lvl>
    <w:lvl w:ilvl="1">
      <w:start w:val="3"/>
      <w:numFmt w:val="decimal"/>
      <w:lvlText w:val="%1.%2"/>
      <w:lvlJc w:val="left"/>
      <w:pPr>
        <w:ind w:left="360" w:hanging="360"/>
      </w:pPr>
      <w:rPr>
        <w:sz w:val="24"/>
        <w:szCs w:val="24"/>
      </w:rPr>
    </w:lvl>
    <w:lvl w:ilvl="2">
      <w:start w:val="1"/>
      <w:numFmt w:val="decimal"/>
      <w:lvlText w:val="%1.%2.%3"/>
      <w:lvlJc w:val="left"/>
      <w:pPr>
        <w:ind w:left="720" w:hanging="720"/>
      </w:pPr>
      <w:rPr>
        <w:sz w:val="24"/>
        <w:szCs w:val="24"/>
      </w:rPr>
    </w:lvl>
    <w:lvl w:ilvl="3">
      <w:start w:val="1"/>
      <w:numFmt w:val="decimal"/>
      <w:lvlText w:val="%1.%2.%3.%4"/>
      <w:lvlJc w:val="left"/>
      <w:pPr>
        <w:ind w:left="720" w:hanging="720"/>
      </w:pPr>
      <w:rPr>
        <w:sz w:val="24"/>
        <w:szCs w:val="24"/>
      </w:rPr>
    </w:lvl>
    <w:lvl w:ilvl="4">
      <w:start w:val="1"/>
      <w:numFmt w:val="decimal"/>
      <w:lvlText w:val="%1.%2.%3.%4.%5"/>
      <w:lvlJc w:val="left"/>
      <w:pPr>
        <w:ind w:left="720" w:hanging="720"/>
      </w:pPr>
      <w:rPr>
        <w:sz w:val="24"/>
        <w:szCs w:val="24"/>
      </w:rPr>
    </w:lvl>
    <w:lvl w:ilvl="5">
      <w:start w:val="1"/>
      <w:numFmt w:val="decimal"/>
      <w:lvlText w:val="%1.%2.%3.%4.%5.%6"/>
      <w:lvlJc w:val="left"/>
      <w:pPr>
        <w:ind w:left="1080" w:hanging="1080"/>
      </w:pPr>
      <w:rPr>
        <w:sz w:val="24"/>
        <w:szCs w:val="24"/>
      </w:rPr>
    </w:lvl>
    <w:lvl w:ilvl="6">
      <w:start w:val="1"/>
      <w:numFmt w:val="decimal"/>
      <w:lvlText w:val="%1.%2.%3.%4.%5.%6.%7"/>
      <w:lvlJc w:val="left"/>
      <w:pPr>
        <w:ind w:left="1080" w:hanging="1080"/>
      </w:pPr>
      <w:rPr>
        <w:sz w:val="24"/>
        <w:szCs w:val="24"/>
      </w:rPr>
    </w:lvl>
    <w:lvl w:ilvl="7">
      <w:start w:val="1"/>
      <w:numFmt w:val="decimal"/>
      <w:lvlText w:val="%1.%2.%3.%4.%5.%6.%7.%8"/>
      <w:lvlJc w:val="left"/>
      <w:pPr>
        <w:ind w:left="1440" w:hanging="1440"/>
      </w:pPr>
      <w:rPr>
        <w:sz w:val="24"/>
        <w:szCs w:val="24"/>
      </w:rPr>
    </w:lvl>
    <w:lvl w:ilvl="8">
      <w:start w:val="1"/>
      <w:numFmt w:val="decimal"/>
      <w:lvlText w:val="%1.%2.%3.%4.%5.%6.%7.%8.%9"/>
      <w:lvlJc w:val="left"/>
      <w:pPr>
        <w:ind w:left="1440" w:hanging="1440"/>
      </w:pPr>
      <w:rPr>
        <w:sz w:val="24"/>
        <w:szCs w:val="24"/>
      </w:rPr>
    </w:lvl>
  </w:abstractNum>
  <w:abstractNum w:abstractNumId="45">
    <w:nsid w:val="7C407252"/>
    <w:multiLevelType w:val="multilevel"/>
    <w:tmpl w:val="21DA1C74"/>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46">
    <w:nsid w:val="7CE360E6"/>
    <w:multiLevelType w:val="hybridMultilevel"/>
    <w:tmpl w:val="040A6C44"/>
    <w:lvl w:ilvl="0" w:tplc="16E477D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4"/>
  </w:num>
  <w:num w:numId="2">
    <w:abstractNumId w:val="14"/>
  </w:num>
  <w:num w:numId="3">
    <w:abstractNumId w:val="19"/>
  </w:num>
  <w:num w:numId="4">
    <w:abstractNumId w:val="40"/>
  </w:num>
  <w:num w:numId="5">
    <w:abstractNumId w:val="12"/>
  </w:num>
  <w:num w:numId="6">
    <w:abstractNumId w:val="6"/>
  </w:num>
  <w:num w:numId="7">
    <w:abstractNumId w:val="4"/>
  </w:num>
  <w:num w:numId="8">
    <w:abstractNumId w:val="8"/>
  </w:num>
  <w:num w:numId="9">
    <w:abstractNumId w:val="8"/>
  </w:num>
  <w:num w:numId="10">
    <w:abstractNumId w:val="30"/>
  </w:num>
  <w:num w:numId="11">
    <w:abstractNumId w:val="38"/>
  </w:num>
  <w:num w:numId="12">
    <w:abstractNumId w:val="9"/>
  </w:num>
  <w:num w:numId="13">
    <w:abstractNumId w:val="41"/>
  </w:num>
  <w:num w:numId="14">
    <w:abstractNumId w:val="21"/>
  </w:num>
  <w:num w:numId="15">
    <w:abstractNumId w:val="3"/>
  </w:num>
  <w:num w:numId="16">
    <w:abstractNumId w:val="2"/>
  </w:num>
  <w:num w:numId="17">
    <w:abstractNumId w:val="28"/>
  </w:num>
  <w:num w:numId="18">
    <w:abstractNumId w:val="39"/>
  </w:num>
  <w:num w:numId="19">
    <w:abstractNumId w:val="0"/>
  </w:num>
  <w:num w:numId="20">
    <w:abstractNumId w:val="17"/>
  </w:num>
  <w:num w:numId="21">
    <w:abstractNumId w:val="34"/>
  </w:num>
  <w:num w:numId="22">
    <w:abstractNumId w:val="42"/>
  </w:num>
  <w:num w:numId="23">
    <w:abstractNumId w:val="37"/>
  </w:num>
  <w:num w:numId="24">
    <w:abstractNumId w:val="45"/>
  </w:num>
  <w:num w:numId="25">
    <w:abstractNumId w:val="23"/>
  </w:num>
  <w:num w:numId="26">
    <w:abstractNumId w:val="29"/>
  </w:num>
  <w:num w:numId="27">
    <w:abstractNumId w:val="5"/>
  </w:num>
  <w:num w:numId="28">
    <w:abstractNumId w:val="32"/>
  </w:num>
  <w:num w:numId="29">
    <w:abstractNumId w:val="36"/>
  </w:num>
  <w:num w:numId="30">
    <w:abstractNumId w:val="25"/>
  </w:num>
  <w:num w:numId="31">
    <w:abstractNumId w:val="27"/>
  </w:num>
  <w:num w:numId="32">
    <w:abstractNumId w:val="18"/>
  </w:num>
  <w:num w:numId="33">
    <w:abstractNumId w:val="10"/>
  </w:num>
  <w:num w:numId="34">
    <w:abstractNumId w:val="16"/>
  </w:num>
  <w:num w:numId="35">
    <w:abstractNumId w:val="1"/>
  </w:num>
  <w:num w:numId="36">
    <w:abstractNumId w:val="13"/>
  </w:num>
  <w:num w:numId="37">
    <w:abstractNumId w:val="35"/>
  </w:num>
  <w:num w:numId="38">
    <w:abstractNumId w:val="26"/>
  </w:num>
  <w:num w:numId="39">
    <w:abstractNumId w:val="15"/>
  </w:num>
  <w:num w:numId="40">
    <w:abstractNumId w:val="7"/>
  </w:num>
  <w:num w:numId="41">
    <w:abstractNumId w:val="31"/>
  </w:num>
  <w:num w:numId="42">
    <w:abstractNumId w:val="44"/>
  </w:num>
  <w:num w:numId="43">
    <w:abstractNumId w:val="22"/>
  </w:num>
  <w:num w:numId="44">
    <w:abstractNumId w:val="33"/>
  </w:num>
  <w:num w:numId="45">
    <w:abstractNumId w:val="46"/>
  </w:num>
  <w:num w:numId="46">
    <w:abstractNumId w:val="43"/>
  </w:num>
  <w:num w:numId="47">
    <w:abstractNumId w:val="20"/>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40F"/>
    <w:rsid w:val="000011A2"/>
    <w:rsid w:val="000103E0"/>
    <w:rsid w:val="00021054"/>
    <w:rsid w:val="00025F5C"/>
    <w:rsid w:val="0005620A"/>
    <w:rsid w:val="0006261D"/>
    <w:rsid w:val="000720BF"/>
    <w:rsid w:val="00072269"/>
    <w:rsid w:val="000872DF"/>
    <w:rsid w:val="000D2661"/>
    <w:rsid w:val="000D7722"/>
    <w:rsid w:val="000F0530"/>
    <w:rsid w:val="00104279"/>
    <w:rsid w:val="001206E1"/>
    <w:rsid w:val="001457BE"/>
    <w:rsid w:val="0015683C"/>
    <w:rsid w:val="00160E08"/>
    <w:rsid w:val="001B6C6C"/>
    <w:rsid w:val="001E18B4"/>
    <w:rsid w:val="001E2E6C"/>
    <w:rsid w:val="0020354A"/>
    <w:rsid w:val="002056D7"/>
    <w:rsid w:val="002136AE"/>
    <w:rsid w:val="00244401"/>
    <w:rsid w:val="00244C0A"/>
    <w:rsid w:val="0024618A"/>
    <w:rsid w:val="002566DC"/>
    <w:rsid w:val="00263CEF"/>
    <w:rsid w:val="002826C0"/>
    <w:rsid w:val="00290EBC"/>
    <w:rsid w:val="002B4420"/>
    <w:rsid w:val="002B78FC"/>
    <w:rsid w:val="002C2717"/>
    <w:rsid w:val="002C7235"/>
    <w:rsid w:val="00303C6F"/>
    <w:rsid w:val="00307F77"/>
    <w:rsid w:val="00366455"/>
    <w:rsid w:val="00371DFF"/>
    <w:rsid w:val="003923C3"/>
    <w:rsid w:val="003938B9"/>
    <w:rsid w:val="00395244"/>
    <w:rsid w:val="003A3639"/>
    <w:rsid w:val="00406C08"/>
    <w:rsid w:val="00415C22"/>
    <w:rsid w:val="00423365"/>
    <w:rsid w:val="004251EF"/>
    <w:rsid w:val="004577A0"/>
    <w:rsid w:val="00472EE1"/>
    <w:rsid w:val="0048579A"/>
    <w:rsid w:val="0049262F"/>
    <w:rsid w:val="00493F6C"/>
    <w:rsid w:val="004D0CC3"/>
    <w:rsid w:val="004D4ACA"/>
    <w:rsid w:val="004E0B39"/>
    <w:rsid w:val="004E3206"/>
    <w:rsid w:val="004F4410"/>
    <w:rsid w:val="00523BAB"/>
    <w:rsid w:val="00531A76"/>
    <w:rsid w:val="00534790"/>
    <w:rsid w:val="0055088A"/>
    <w:rsid w:val="005840EF"/>
    <w:rsid w:val="00585278"/>
    <w:rsid w:val="005D0785"/>
    <w:rsid w:val="005D711E"/>
    <w:rsid w:val="00606F36"/>
    <w:rsid w:val="006161CB"/>
    <w:rsid w:val="0063432D"/>
    <w:rsid w:val="00660D8E"/>
    <w:rsid w:val="00666D8F"/>
    <w:rsid w:val="006750E6"/>
    <w:rsid w:val="00683BE5"/>
    <w:rsid w:val="006861CD"/>
    <w:rsid w:val="006C284A"/>
    <w:rsid w:val="006D02CA"/>
    <w:rsid w:val="006D340F"/>
    <w:rsid w:val="006D4596"/>
    <w:rsid w:val="006F7C3C"/>
    <w:rsid w:val="00707F6C"/>
    <w:rsid w:val="00710D8D"/>
    <w:rsid w:val="00714245"/>
    <w:rsid w:val="00727EEA"/>
    <w:rsid w:val="007513F2"/>
    <w:rsid w:val="007578C0"/>
    <w:rsid w:val="007610C6"/>
    <w:rsid w:val="00761153"/>
    <w:rsid w:val="00780BB1"/>
    <w:rsid w:val="007952EE"/>
    <w:rsid w:val="007A31B7"/>
    <w:rsid w:val="007C0C2C"/>
    <w:rsid w:val="007F1447"/>
    <w:rsid w:val="008457A6"/>
    <w:rsid w:val="00862FD2"/>
    <w:rsid w:val="00865A23"/>
    <w:rsid w:val="00866591"/>
    <w:rsid w:val="008902BE"/>
    <w:rsid w:val="008A1488"/>
    <w:rsid w:val="008B21BE"/>
    <w:rsid w:val="008D7C71"/>
    <w:rsid w:val="008F1B7C"/>
    <w:rsid w:val="008F67F7"/>
    <w:rsid w:val="00905C69"/>
    <w:rsid w:val="0092413C"/>
    <w:rsid w:val="009252D6"/>
    <w:rsid w:val="00926063"/>
    <w:rsid w:val="00927FC5"/>
    <w:rsid w:val="00943459"/>
    <w:rsid w:val="00952306"/>
    <w:rsid w:val="00961D0C"/>
    <w:rsid w:val="009724D8"/>
    <w:rsid w:val="009976D2"/>
    <w:rsid w:val="009A7A29"/>
    <w:rsid w:val="009B11E7"/>
    <w:rsid w:val="009B3488"/>
    <w:rsid w:val="009C7DFA"/>
    <w:rsid w:val="009D68AF"/>
    <w:rsid w:val="00A01395"/>
    <w:rsid w:val="00A03E2F"/>
    <w:rsid w:val="00A12ECB"/>
    <w:rsid w:val="00A16D53"/>
    <w:rsid w:val="00A264D4"/>
    <w:rsid w:val="00A40696"/>
    <w:rsid w:val="00A76349"/>
    <w:rsid w:val="00A80641"/>
    <w:rsid w:val="00AB49B1"/>
    <w:rsid w:val="00AB5527"/>
    <w:rsid w:val="00AC1A56"/>
    <w:rsid w:val="00AC61AF"/>
    <w:rsid w:val="00AC7E25"/>
    <w:rsid w:val="00B12485"/>
    <w:rsid w:val="00B169EE"/>
    <w:rsid w:val="00B25FFE"/>
    <w:rsid w:val="00B36A6A"/>
    <w:rsid w:val="00B6148C"/>
    <w:rsid w:val="00B801AB"/>
    <w:rsid w:val="00BA6DF3"/>
    <w:rsid w:val="00BB37D8"/>
    <w:rsid w:val="00BC4277"/>
    <w:rsid w:val="00BE4B71"/>
    <w:rsid w:val="00BE7633"/>
    <w:rsid w:val="00BE769E"/>
    <w:rsid w:val="00C01F1F"/>
    <w:rsid w:val="00C22A7A"/>
    <w:rsid w:val="00C271A6"/>
    <w:rsid w:val="00C34122"/>
    <w:rsid w:val="00C671EC"/>
    <w:rsid w:val="00C84F71"/>
    <w:rsid w:val="00CA4B4F"/>
    <w:rsid w:val="00CB21ED"/>
    <w:rsid w:val="00CF0D35"/>
    <w:rsid w:val="00D2342D"/>
    <w:rsid w:val="00D7241A"/>
    <w:rsid w:val="00D86B5F"/>
    <w:rsid w:val="00D94E67"/>
    <w:rsid w:val="00DA5E5B"/>
    <w:rsid w:val="00DB7A29"/>
    <w:rsid w:val="00DE1E14"/>
    <w:rsid w:val="00DE631D"/>
    <w:rsid w:val="00DE75F7"/>
    <w:rsid w:val="00E1786F"/>
    <w:rsid w:val="00E24E18"/>
    <w:rsid w:val="00E43ACB"/>
    <w:rsid w:val="00E726CA"/>
    <w:rsid w:val="00E86123"/>
    <w:rsid w:val="00E94A5E"/>
    <w:rsid w:val="00EC6EDB"/>
    <w:rsid w:val="00ED6578"/>
    <w:rsid w:val="00EE602D"/>
    <w:rsid w:val="00EF213A"/>
    <w:rsid w:val="00F05FBB"/>
    <w:rsid w:val="00F31AF4"/>
    <w:rsid w:val="00F451E2"/>
    <w:rsid w:val="00F66CBD"/>
    <w:rsid w:val="00F70D09"/>
    <w:rsid w:val="00F91568"/>
    <w:rsid w:val="00FB530E"/>
    <w:rsid w:val="00FC1C7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02999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56D7"/>
    <w:pPr>
      <w:widowControl w:val="0"/>
      <w:suppressLineNumbers/>
      <w:suppressAutoHyphens/>
      <w:ind w:firstLine="709"/>
      <w:jc w:val="both"/>
    </w:pPr>
    <w:rPr>
      <w:sz w:val="24"/>
    </w:rPr>
  </w:style>
  <w:style w:type="paragraph" w:styleId="Ttulo1">
    <w:name w:val="heading 1"/>
    <w:basedOn w:val="Normal"/>
    <w:next w:val="Normal"/>
    <w:link w:val="Ttulo1Char"/>
    <w:uiPriority w:val="9"/>
    <w:qFormat/>
    <w:rsid w:val="002056D7"/>
    <w:pPr>
      <w:keepNext/>
      <w:numPr>
        <w:numId w:val="8"/>
      </w:numPr>
      <w:spacing w:before="120" w:after="120"/>
      <w:ind w:left="431" w:hanging="431"/>
      <w:outlineLvl w:val="0"/>
    </w:pPr>
    <w:rPr>
      <w:b/>
      <w:sz w:val="22"/>
      <w:lang w:val="x-none" w:eastAsia="x-none"/>
    </w:rPr>
  </w:style>
  <w:style w:type="paragraph" w:styleId="Ttulo2">
    <w:name w:val="heading 2"/>
    <w:basedOn w:val="Normal"/>
    <w:next w:val="Normal"/>
    <w:link w:val="Ttulo2Char"/>
    <w:qFormat/>
    <w:rsid w:val="002056D7"/>
    <w:pPr>
      <w:keepNext/>
      <w:numPr>
        <w:ilvl w:val="1"/>
        <w:numId w:val="8"/>
      </w:numPr>
      <w:outlineLvl w:val="1"/>
    </w:pPr>
    <w:rPr>
      <w:caps/>
      <w:lang w:val="x-none" w:eastAsia="x-none"/>
    </w:rPr>
  </w:style>
  <w:style w:type="paragraph" w:styleId="Ttulo3">
    <w:name w:val="heading 3"/>
    <w:basedOn w:val="Normal"/>
    <w:next w:val="Normal"/>
    <w:link w:val="Ttulo3Char"/>
    <w:qFormat/>
    <w:pPr>
      <w:keepNext/>
      <w:numPr>
        <w:ilvl w:val="2"/>
        <w:numId w:val="8"/>
      </w:numPr>
      <w:tabs>
        <w:tab w:val="left" w:pos="0"/>
      </w:tabs>
      <w:outlineLvl w:val="2"/>
    </w:pPr>
    <w:rPr>
      <w:b/>
      <w:sz w:val="22"/>
      <w:u w:val="single"/>
      <w:lang w:val="x-none" w:eastAsia="x-none"/>
    </w:rPr>
  </w:style>
  <w:style w:type="paragraph" w:styleId="Ttulo4">
    <w:name w:val="heading 4"/>
    <w:basedOn w:val="Normal"/>
    <w:next w:val="Normal"/>
    <w:link w:val="Ttulo4Char"/>
    <w:qFormat/>
    <w:pPr>
      <w:keepNext/>
      <w:numPr>
        <w:ilvl w:val="3"/>
        <w:numId w:val="8"/>
      </w:numPr>
      <w:outlineLvl w:val="3"/>
    </w:pPr>
    <w:rPr>
      <w:rFonts w:ascii="Arial" w:hAnsi="Arial"/>
      <w:szCs w:val="24"/>
      <w:lang w:val="x-none" w:eastAsia="x-none"/>
    </w:rPr>
  </w:style>
  <w:style w:type="paragraph" w:styleId="Ttulo5">
    <w:name w:val="heading 5"/>
    <w:basedOn w:val="Normal"/>
    <w:next w:val="Normal"/>
    <w:link w:val="Ttulo5Char"/>
    <w:qFormat/>
    <w:pPr>
      <w:keepNext/>
      <w:numPr>
        <w:ilvl w:val="4"/>
        <w:numId w:val="8"/>
      </w:numPr>
      <w:tabs>
        <w:tab w:val="left" w:pos="0"/>
      </w:tabs>
      <w:jc w:val="center"/>
      <w:outlineLvl w:val="4"/>
    </w:pPr>
    <w:rPr>
      <w:b/>
      <w:sz w:val="22"/>
      <w:lang w:val="x-none" w:eastAsia="x-none"/>
    </w:rPr>
  </w:style>
  <w:style w:type="paragraph" w:styleId="Ttulo6">
    <w:name w:val="heading 6"/>
    <w:basedOn w:val="Normal"/>
    <w:next w:val="Normal"/>
    <w:link w:val="Ttulo6Char"/>
    <w:unhideWhenUsed/>
    <w:qFormat/>
    <w:rsid w:val="00E24E18"/>
    <w:pPr>
      <w:numPr>
        <w:ilvl w:val="5"/>
        <w:numId w:val="8"/>
      </w:numPr>
      <w:spacing w:before="240" w:after="60"/>
      <w:outlineLvl w:val="5"/>
    </w:pPr>
    <w:rPr>
      <w:rFonts w:ascii="Calibri" w:hAnsi="Calibri"/>
      <w:b/>
      <w:bCs/>
      <w:sz w:val="22"/>
      <w:szCs w:val="22"/>
      <w:lang w:val="x-none" w:eastAsia="en-US"/>
    </w:rPr>
  </w:style>
  <w:style w:type="paragraph" w:styleId="Ttulo7">
    <w:name w:val="heading 7"/>
    <w:basedOn w:val="Normal"/>
    <w:next w:val="Normal"/>
    <w:link w:val="Ttulo7Char"/>
    <w:uiPriority w:val="9"/>
    <w:semiHidden/>
    <w:unhideWhenUsed/>
    <w:qFormat/>
    <w:rsid w:val="00E24E18"/>
    <w:pPr>
      <w:numPr>
        <w:ilvl w:val="6"/>
        <w:numId w:val="8"/>
      </w:numPr>
      <w:spacing w:before="240" w:after="60"/>
      <w:outlineLvl w:val="6"/>
    </w:pPr>
    <w:rPr>
      <w:rFonts w:ascii="Calibri" w:hAnsi="Calibri"/>
      <w:szCs w:val="24"/>
      <w:lang w:val="x-none" w:eastAsia="en-US"/>
    </w:rPr>
  </w:style>
  <w:style w:type="paragraph" w:styleId="Ttulo8">
    <w:name w:val="heading 8"/>
    <w:basedOn w:val="Normal"/>
    <w:next w:val="Normal"/>
    <w:link w:val="Ttulo8Char"/>
    <w:uiPriority w:val="9"/>
    <w:semiHidden/>
    <w:unhideWhenUsed/>
    <w:qFormat/>
    <w:rsid w:val="00E24E18"/>
    <w:pPr>
      <w:numPr>
        <w:ilvl w:val="7"/>
        <w:numId w:val="8"/>
      </w:numPr>
      <w:spacing w:before="240" w:after="60"/>
      <w:outlineLvl w:val="7"/>
    </w:pPr>
    <w:rPr>
      <w:rFonts w:ascii="Calibri" w:hAnsi="Calibri"/>
      <w:i/>
      <w:iCs/>
      <w:szCs w:val="24"/>
      <w:lang w:val="x-none" w:eastAsia="en-US"/>
    </w:rPr>
  </w:style>
  <w:style w:type="paragraph" w:styleId="Ttulo9">
    <w:name w:val="heading 9"/>
    <w:basedOn w:val="Normal"/>
    <w:next w:val="Normal"/>
    <w:link w:val="Ttulo9Char"/>
    <w:uiPriority w:val="9"/>
    <w:semiHidden/>
    <w:unhideWhenUsed/>
    <w:qFormat/>
    <w:rsid w:val="00E24E18"/>
    <w:pPr>
      <w:numPr>
        <w:ilvl w:val="8"/>
        <w:numId w:val="8"/>
      </w:numPr>
      <w:spacing w:before="240" w:after="60"/>
      <w:outlineLvl w:val="8"/>
    </w:pPr>
    <w:rPr>
      <w:rFonts w:ascii="Cambria" w:hAnsi="Cambria"/>
      <w:sz w:val="22"/>
      <w:szCs w:val="22"/>
      <w:lang w:val="x-none"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rsid w:val="002056D7"/>
    <w:rPr>
      <w:b/>
      <w:sz w:val="22"/>
      <w:lang w:val="x-none" w:eastAsia="x-none"/>
    </w:rPr>
  </w:style>
  <w:style w:type="character" w:customStyle="1" w:styleId="Ttulo2Char">
    <w:name w:val="Título 2 Char"/>
    <w:link w:val="Ttulo2"/>
    <w:uiPriority w:val="9"/>
    <w:rsid w:val="002056D7"/>
    <w:rPr>
      <w:caps/>
      <w:sz w:val="24"/>
    </w:rPr>
  </w:style>
  <w:style w:type="character" w:customStyle="1" w:styleId="Ttulo3Char">
    <w:name w:val="Título 3 Char"/>
    <w:link w:val="Ttulo3"/>
    <w:uiPriority w:val="9"/>
    <w:rsid w:val="00E24E18"/>
    <w:rPr>
      <w:b/>
      <w:sz w:val="22"/>
      <w:u w:val="single"/>
    </w:rPr>
  </w:style>
  <w:style w:type="character" w:customStyle="1" w:styleId="Ttulo4Char">
    <w:name w:val="Título 4 Char"/>
    <w:link w:val="Ttulo4"/>
    <w:uiPriority w:val="9"/>
    <w:rsid w:val="00E24E18"/>
    <w:rPr>
      <w:rFonts w:ascii="Arial" w:hAnsi="Arial" w:cs="Arial"/>
      <w:sz w:val="24"/>
      <w:szCs w:val="24"/>
    </w:rPr>
  </w:style>
  <w:style w:type="character" w:customStyle="1" w:styleId="Ttulo5Char">
    <w:name w:val="Título 5 Char"/>
    <w:link w:val="Ttulo5"/>
    <w:uiPriority w:val="9"/>
    <w:rsid w:val="00E24E18"/>
    <w:rPr>
      <w:b/>
      <w:sz w:val="22"/>
    </w:rPr>
  </w:style>
  <w:style w:type="character" w:customStyle="1" w:styleId="Ttulo6Char">
    <w:name w:val="Título 6 Char"/>
    <w:link w:val="Ttulo6"/>
    <w:uiPriority w:val="9"/>
    <w:semiHidden/>
    <w:rsid w:val="00E24E18"/>
    <w:rPr>
      <w:rFonts w:ascii="Calibri" w:hAnsi="Calibri"/>
      <w:b/>
      <w:bCs/>
      <w:sz w:val="22"/>
      <w:szCs w:val="22"/>
      <w:lang w:val="x-none" w:eastAsia="en-US"/>
    </w:rPr>
  </w:style>
  <w:style w:type="character" w:customStyle="1" w:styleId="Ttulo7Char">
    <w:name w:val="Título 7 Char"/>
    <w:link w:val="Ttulo7"/>
    <w:uiPriority w:val="9"/>
    <w:semiHidden/>
    <w:rsid w:val="00E24E18"/>
    <w:rPr>
      <w:rFonts w:ascii="Calibri" w:hAnsi="Calibri"/>
      <w:sz w:val="24"/>
      <w:szCs w:val="24"/>
      <w:lang w:val="x-none" w:eastAsia="en-US"/>
    </w:rPr>
  </w:style>
  <w:style w:type="character" w:customStyle="1" w:styleId="Ttulo8Char">
    <w:name w:val="Título 8 Char"/>
    <w:link w:val="Ttulo8"/>
    <w:uiPriority w:val="9"/>
    <w:semiHidden/>
    <w:rsid w:val="00E24E18"/>
    <w:rPr>
      <w:rFonts w:ascii="Calibri" w:hAnsi="Calibri"/>
      <w:i/>
      <w:iCs/>
      <w:sz w:val="24"/>
      <w:szCs w:val="24"/>
      <w:lang w:val="x-none" w:eastAsia="en-US"/>
    </w:rPr>
  </w:style>
  <w:style w:type="character" w:customStyle="1" w:styleId="Ttulo9Char">
    <w:name w:val="Título 9 Char"/>
    <w:link w:val="Ttulo9"/>
    <w:uiPriority w:val="9"/>
    <w:semiHidden/>
    <w:rsid w:val="00E24E18"/>
    <w:rPr>
      <w:rFonts w:ascii="Cambria" w:hAnsi="Cambria"/>
      <w:sz w:val="22"/>
      <w:szCs w:val="22"/>
      <w:lang w:val="x-none" w:eastAsia="en-US"/>
    </w:rPr>
  </w:style>
  <w:style w:type="paragraph" w:styleId="Corpodetexto2">
    <w:name w:val="Body Text 2"/>
    <w:basedOn w:val="Normal"/>
    <w:semiHidden/>
    <w:pPr>
      <w:tabs>
        <w:tab w:val="left" w:pos="0"/>
      </w:tabs>
    </w:pPr>
    <w:rPr>
      <w:sz w:val="22"/>
    </w:rPr>
  </w:style>
  <w:style w:type="paragraph" w:styleId="Rodap">
    <w:name w:val="footer"/>
    <w:basedOn w:val="Normal"/>
    <w:link w:val="RodapChar"/>
    <w:uiPriority w:val="99"/>
    <w:pPr>
      <w:tabs>
        <w:tab w:val="center" w:pos="4419"/>
        <w:tab w:val="right" w:pos="8838"/>
      </w:tabs>
    </w:pPr>
    <w:rPr>
      <w:szCs w:val="24"/>
      <w:lang w:val="x-none" w:eastAsia="x-none"/>
    </w:rPr>
  </w:style>
  <w:style w:type="character" w:customStyle="1" w:styleId="RodapChar">
    <w:name w:val="Rodapé Char"/>
    <w:link w:val="Rodap"/>
    <w:uiPriority w:val="99"/>
    <w:rsid w:val="005D711E"/>
    <w:rPr>
      <w:sz w:val="24"/>
      <w:szCs w:val="24"/>
    </w:rPr>
  </w:style>
  <w:style w:type="character" w:styleId="Hyperlink">
    <w:name w:val="Hyperlink"/>
    <w:uiPriority w:val="99"/>
    <w:rPr>
      <w:color w:val="0000FF"/>
      <w:u w:val="single"/>
    </w:rPr>
  </w:style>
  <w:style w:type="paragraph" w:styleId="Textodenotaderodap">
    <w:name w:val="footnote text"/>
    <w:basedOn w:val="Normal"/>
    <w:link w:val="TextodenotaderodapChar"/>
    <w:uiPriority w:val="99"/>
    <w:semiHidden/>
    <w:unhideWhenUsed/>
    <w:rsid w:val="005840EF"/>
  </w:style>
  <w:style w:type="character" w:customStyle="1" w:styleId="TextodenotaderodapChar">
    <w:name w:val="Texto de nota de rodapé Char"/>
    <w:basedOn w:val="Fontepargpadro"/>
    <w:link w:val="Textodenotaderodap"/>
    <w:uiPriority w:val="99"/>
    <w:semiHidden/>
    <w:rsid w:val="005840EF"/>
  </w:style>
  <w:style w:type="character" w:styleId="Refdenotaderodap">
    <w:name w:val="footnote reference"/>
    <w:uiPriority w:val="99"/>
    <w:semiHidden/>
    <w:unhideWhenUsed/>
    <w:rsid w:val="005840EF"/>
    <w:rPr>
      <w:vertAlign w:val="superscript"/>
    </w:rPr>
  </w:style>
  <w:style w:type="paragraph" w:styleId="Cabealho">
    <w:name w:val="header"/>
    <w:basedOn w:val="Normal"/>
    <w:link w:val="CabealhoChar"/>
    <w:uiPriority w:val="99"/>
    <w:unhideWhenUsed/>
    <w:rsid w:val="005D711E"/>
    <w:pPr>
      <w:tabs>
        <w:tab w:val="center" w:pos="4252"/>
        <w:tab w:val="right" w:pos="8504"/>
      </w:tabs>
    </w:pPr>
  </w:style>
  <w:style w:type="character" w:customStyle="1" w:styleId="CabealhoChar">
    <w:name w:val="Cabeçalho Char"/>
    <w:basedOn w:val="Fontepargpadro"/>
    <w:link w:val="Cabealho"/>
    <w:uiPriority w:val="99"/>
    <w:rsid w:val="005D711E"/>
  </w:style>
  <w:style w:type="paragraph" w:styleId="Textodebalo">
    <w:name w:val="Balloon Text"/>
    <w:basedOn w:val="Normal"/>
    <w:link w:val="TextodebaloChar"/>
    <w:uiPriority w:val="99"/>
    <w:semiHidden/>
    <w:unhideWhenUsed/>
    <w:rsid w:val="005D711E"/>
    <w:rPr>
      <w:rFonts w:ascii="Tahoma" w:hAnsi="Tahoma"/>
      <w:sz w:val="16"/>
      <w:szCs w:val="16"/>
      <w:lang w:val="x-none" w:eastAsia="x-none"/>
    </w:rPr>
  </w:style>
  <w:style w:type="character" w:customStyle="1" w:styleId="TextodebaloChar">
    <w:name w:val="Texto de balão Char"/>
    <w:link w:val="Textodebalo"/>
    <w:uiPriority w:val="99"/>
    <w:semiHidden/>
    <w:rsid w:val="005D711E"/>
    <w:rPr>
      <w:rFonts w:ascii="Tahoma" w:hAnsi="Tahoma" w:cs="Tahoma"/>
      <w:sz w:val="16"/>
      <w:szCs w:val="16"/>
    </w:rPr>
  </w:style>
  <w:style w:type="character" w:styleId="Forte">
    <w:name w:val="Strong"/>
    <w:uiPriority w:val="22"/>
    <w:qFormat/>
    <w:rsid w:val="009B11E7"/>
    <w:rPr>
      <w:b/>
      <w:bCs/>
    </w:rPr>
  </w:style>
  <w:style w:type="character" w:customStyle="1" w:styleId="apple-converted-space">
    <w:name w:val="apple-converted-space"/>
    <w:rsid w:val="000720BF"/>
  </w:style>
  <w:style w:type="table" w:customStyle="1" w:styleId="Tabelacomgrade1">
    <w:name w:val="Tabela com grade1"/>
    <w:basedOn w:val="Tabelanormal"/>
    <w:next w:val="Tabelacomgrade"/>
    <w:uiPriority w:val="59"/>
    <w:rsid w:val="00E24E18"/>
    <w:rPr>
      <w:rFonts w:ascii="Calibri" w:eastAsia="Calibri" w:hAnsi="Calibri"/>
      <w:sz w:val="22"/>
      <w:szCs w:val="22"/>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elacomgrade">
    <w:name w:val="Table Grid"/>
    <w:basedOn w:val="Tabelanormal"/>
    <w:uiPriority w:val="59"/>
    <w:rsid w:val="00E24E18"/>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unhideWhenUsed/>
    <w:qFormat/>
    <w:rsid w:val="00E24E18"/>
    <w:pPr>
      <w:ind w:firstLine="567"/>
    </w:pPr>
    <w:rPr>
      <w:rFonts w:eastAsia="Calibri"/>
      <w:b/>
      <w:bCs/>
    </w:rPr>
  </w:style>
  <w:style w:type="paragraph" w:styleId="NormalWeb">
    <w:name w:val="Normal (Web)"/>
    <w:basedOn w:val="Normal"/>
    <w:uiPriority w:val="99"/>
    <w:unhideWhenUsed/>
    <w:rsid w:val="00E24E18"/>
    <w:pPr>
      <w:spacing w:before="100" w:beforeAutospacing="1" w:after="100" w:afterAutospacing="1"/>
    </w:pPr>
    <w:rPr>
      <w:szCs w:val="24"/>
    </w:rPr>
  </w:style>
  <w:style w:type="table" w:styleId="SombreamentoClaro">
    <w:name w:val="Light Shading"/>
    <w:basedOn w:val="Tabelanormal"/>
    <w:uiPriority w:val="60"/>
    <w:rsid w:val="00E24E18"/>
    <w:rPr>
      <w:rFonts w:ascii="Calibri" w:eastAsia="Calibri" w:hAnsi="Calibri"/>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Refdecomentrio">
    <w:name w:val="annotation reference"/>
    <w:uiPriority w:val="99"/>
    <w:semiHidden/>
    <w:unhideWhenUsed/>
    <w:rsid w:val="00E24E18"/>
    <w:rPr>
      <w:sz w:val="16"/>
      <w:szCs w:val="16"/>
    </w:rPr>
  </w:style>
  <w:style w:type="paragraph" w:styleId="Textodecomentrio">
    <w:name w:val="annotation text"/>
    <w:basedOn w:val="Normal"/>
    <w:link w:val="TextodecomentrioChar"/>
    <w:uiPriority w:val="99"/>
    <w:semiHidden/>
    <w:unhideWhenUsed/>
    <w:rsid w:val="00E24E18"/>
    <w:pPr>
      <w:ind w:firstLine="567"/>
    </w:pPr>
    <w:rPr>
      <w:rFonts w:eastAsia="Calibri"/>
      <w:sz w:val="20"/>
      <w:lang w:val="x-none" w:eastAsia="x-none"/>
    </w:rPr>
  </w:style>
  <w:style w:type="character" w:customStyle="1" w:styleId="TextodecomentrioChar">
    <w:name w:val="Texto de comentário Char"/>
    <w:link w:val="Textodecomentrio"/>
    <w:uiPriority w:val="99"/>
    <w:semiHidden/>
    <w:rsid w:val="00E24E18"/>
    <w:rPr>
      <w:rFonts w:eastAsia="Calibri"/>
    </w:rPr>
  </w:style>
  <w:style w:type="paragraph" w:styleId="Assuntodocomentrio">
    <w:name w:val="annotation subject"/>
    <w:basedOn w:val="Textodecomentrio"/>
    <w:next w:val="Textodecomentrio"/>
    <w:link w:val="AssuntodocomentrioChar"/>
    <w:uiPriority w:val="99"/>
    <w:semiHidden/>
    <w:unhideWhenUsed/>
    <w:rsid w:val="00E24E18"/>
    <w:rPr>
      <w:b/>
      <w:bCs/>
    </w:rPr>
  </w:style>
  <w:style w:type="character" w:customStyle="1" w:styleId="AssuntodocomentrioChar">
    <w:name w:val="Assunto do comentário Char"/>
    <w:link w:val="Assuntodocomentrio"/>
    <w:uiPriority w:val="99"/>
    <w:semiHidden/>
    <w:rsid w:val="00E24E18"/>
    <w:rPr>
      <w:rFonts w:eastAsia="Calibri"/>
      <w:b/>
      <w:bCs/>
    </w:rPr>
  </w:style>
  <w:style w:type="paragraph" w:styleId="SemEspaamento">
    <w:name w:val="No Spacing"/>
    <w:uiPriority w:val="1"/>
    <w:qFormat/>
    <w:rsid w:val="00E24E18"/>
    <w:pPr>
      <w:jc w:val="both"/>
    </w:pPr>
    <w:rPr>
      <w:sz w:val="24"/>
    </w:rPr>
  </w:style>
  <w:style w:type="paragraph" w:styleId="Corpodetexto">
    <w:name w:val="Body Text"/>
    <w:basedOn w:val="Normal"/>
    <w:link w:val="CorpodetextoChar"/>
    <w:uiPriority w:val="99"/>
    <w:semiHidden/>
    <w:unhideWhenUsed/>
    <w:rsid w:val="002C2717"/>
    <w:pPr>
      <w:spacing w:after="120"/>
    </w:pPr>
  </w:style>
  <w:style w:type="character" w:customStyle="1" w:styleId="CorpodetextoChar">
    <w:name w:val="Corpo de texto Char"/>
    <w:basedOn w:val="Fontepargpadro"/>
    <w:link w:val="Corpodetexto"/>
    <w:uiPriority w:val="99"/>
    <w:semiHidden/>
    <w:rsid w:val="002C2717"/>
    <w:rPr>
      <w:sz w:val="24"/>
    </w:rPr>
  </w:style>
  <w:style w:type="character" w:styleId="nfase">
    <w:name w:val="Emphasis"/>
    <w:uiPriority w:val="20"/>
    <w:qFormat/>
    <w:rsid w:val="002C2717"/>
    <w:rPr>
      <w:i/>
      <w:iCs/>
    </w:rPr>
  </w:style>
  <w:style w:type="character" w:customStyle="1" w:styleId="st1">
    <w:name w:val="st1"/>
    <w:rsid w:val="002C2717"/>
  </w:style>
  <w:style w:type="paragraph" w:customStyle="1" w:styleId="QuadrosTabelaseGrficos">
    <w:name w:val="Quadros Tabelas e Gráficos"/>
    <w:qFormat/>
    <w:rsid w:val="002C2717"/>
    <w:rPr>
      <w:rFonts w:eastAsia="Calibri"/>
      <w:szCs w:val="22"/>
      <w:lang w:eastAsia="en-US"/>
    </w:rPr>
  </w:style>
  <w:style w:type="table" w:customStyle="1" w:styleId="SombreamentoClaro1">
    <w:name w:val="Sombreamento Claro1"/>
    <w:basedOn w:val="Tabelanormal"/>
    <w:uiPriority w:val="60"/>
    <w:rsid w:val="00307F77"/>
    <w:rPr>
      <w:rFonts w:asciiTheme="minorHAnsi" w:eastAsiaTheme="minorHAnsi" w:hAnsiTheme="minorHAnsi" w:cstheme="minorBidi"/>
      <w:color w:val="000000" w:themeColor="text1" w:themeShade="BF"/>
      <w:sz w:val="22"/>
      <w:szCs w:val="22"/>
      <w:lang w:eastAsia="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argrafodaLista">
    <w:name w:val="List Paragraph"/>
    <w:basedOn w:val="Normal"/>
    <w:uiPriority w:val="34"/>
    <w:qFormat/>
    <w:rsid w:val="00307F77"/>
    <w:pPr>
      <w:widowControl/>
      <w:suppressLineNumbers w:val="0"/>
      <w:suppressAutoHyphens w:val="0"/>
      <w:spacing w:after="200" w:line="276" w:lineRule="auto"/>
      <w:ind w:left="720" w:firstLine="0"/>
      <w:contextualSpacing/>
      <w:jc w:val="left"/>
    </w:pPr>
    <w:rPr>
      <w:rFonts w:asciiTheme="minorHAnsi" w:eastAsiaTheme="minorHAnsi" w:hAnsiTheme="minorHAnsi" w:cstheme="minorBidi"/>
      <w:sz w:val="22"/>
      <w:szCs w:val="22"/>
      <w:lang w:eastAsia="en-US"/>
    </w:rPr>
  </w:style>
  <w:style w:type="character" w:customStyle="1" w:styleId="normaltextrun">
    <w:name w:val="normaltextrun"/>
    <w:basedOn w:val="Fontepargpadro"/>
    <w:rsid w:val="00307F77"/>
  </w:style>
  <w:style w:type="character" w:styleId="TextodoEspaoReservado">
    <w:name w:val="Placeholder Text"/>
    <w:basedOn w:val="Fontepargpadro"/>
    <w:uiPriority w:val="99"/>
    <w:semiHidden/>
    <w:rsid w:val="00307F77"/>
    <w:rPr>
      <w:color w:val="808080"/>
    </w:rPr>
  </w:style>
  <w:style w:type="paragraph" w:customStyle="1" w:styleId="paragraph">
    <w:name w:val="paragraph"/>
    <w:basedOn w:val="Normal"/>
    <w:rsid w:val="00307F77"/>
    <w:pPr>
      <w:widowControl/>
      <w:suppressLineNumbers w:val="0"/>
      <w:suppressAutoHyphens w:val="0"/>
      <w:spacing w:before="100" w:beforeAutospacing="1" w:after="100" w:afterAutospacing="1"/>
      <w:ind w:firstLine="0"/>
      <w:jc w:val="left"/>
    </w:pPr>
    <w:rPr>
      <w:szCs w:val="24"/>
    </w:rPr>
  </w:style>
  <w:style w:type="character" w:customStyle="1" w:styleId="eop">
    <w:name w:val="eop"/>
    <w:basedOn w:val="Fontepargpadro"/>
    <w:rsid w:val="00307F77"/>
  </w:style>
  <w:style w:type="character" w:customStyle="1" w:styleId="spellingerror">
    <w:name w:val="spellingerror"/>
    <w:basedOn w:val="Fontepargpadro"/>
    <w:rsid w:val="00307F77"/>
  </w:style>
  <w:style w:type="paragraph" w:styleId="Ttulo">
    <w:name w:val="Title"/>
    <w:basedOn w:val="Normal"/>
    <w:next w:val="Normal"/>
    <w:link w:val="TtuloChar"/>
    <w:rsid w:val="003938B9"/>
    <w:pPr>
      <w:keepNext/>
      <w:keepLines/>
      <w:suppressLineNumbers w:val="0"/>
      <w:suppressAutoHyphens w:val="0"/>
      <w:spacing w:before="480" w:after="120" w:line="276" w:lineRule="auto"/>
      <w:ind w:firstLine="0"/>
      <w:jc w:val="left"/>
    </w:pPr>
    <w:rPr>
      <w:rFonts w:ascii="Arial" w:eastAsia="Arial" w:hAnsi="Arial" w:cs="Arial"/>
      <w:b/>
      <w:sz w:val="72"/>
      <w:szCs w:val="72"/>
    </w:rPr>
  </w:style>
  <w:style w:type="character" w:customStyle="1" w:styleId="TtuloChar">
    <w:name w:val="Título Char"/>
    <w:basedOn w:val="Fontepargpadro"/>
    <w:link w:val="Ttulo"/>
    <w:rsid w:val="003938B9"/>
    <w:rPr>
      <w:rFonts w:ascii="Arial" w:eastAsia="Arial" w:hAnsi="Arial" w:cs="Arial"/>
      <w:b/>
      <w:sz w:val="72"/>
      <w:szCs w:val="72"/>
    </w:rPr>
  </w:style>
  <w:style w:type="paragraph" w:styleId="Subttulo">
    <w:name w:val="Subtitle"/>
    <w:basedOn w:val="Normal"/>
    <w:next w:val="Normal"/>
    <w:link w:val="SubttuloChar"/>
    <w:rsid w:val="003938B9"/>
    <w:pPr>
      <w:keepNext/>
      <w:keepLines/>
      <w:suppressLineNumbers w:val="0"/>
      <w:suppressAutoHyphens w:val="0"/>
      <w:spacing w:before="360" w:after="80" w:line="276" w:lineRule="auto"/>
      <w:ind w:firstLine="0"/>
      <w:jc w:val="left"/>
    </w:pPr>
    <w:rPr>
      <w:rFonts w:ascii="Georgia" w:eastAsia="Georgia" w:hAnsi="Georgia" w:cs="Georgia"/>
      <w:i/>
      <w:color w:val="666666"/>
      <w:sz w:val="48"/>
      <w:szCs w:val="48"/>
    </w:rPr>
  </w:style>
  <w:style w:type="character" w:customStyle="1" w:styleId="SubttuloChar">
    <w:name w:val="Subtítulo Char"/>
    <w:basedOn w:val="Fontepargpadro"/>
    <w:link w:val="Subttulo"/>
    <w:rsid w:val="003938B9"/>
    <w:rPr>
      <w:rFonts w:ascii="Georgia" w:eastAsia="Georgia" w:hAnsi="Georgia" w:cs="Georgia"/>
      <w:i/>
      <w:color w:val="666666"/>
      <w:sz w:val="48"/>
      <w:szCs w:val="48"/>
    </w:rPr>
  </w:style>
  <w:style w:type="character" w:customStyle="1" w:styleId="Pr-formataoHTMLChar">
    <w:name w:val="Pré-formatação HTML Char"/>
    <w:basedOn w:val="Fontepargpadro"/>
    <w:link w:val="Pr-formataoHTML"/>
    <w:uiPriority w:val="99"/>
    <w:semiHidden/>
    <w:rsid w:val="00B6148C"/>
    <w:rPr>
      <w:rFonts w:ascii="Courier New" w:hAnsi="Courier New" w:cs="Courier New"/>
    </w:rPr>
  </w:style>
  <w:style w:type="paragraph" w:styleId="Pr-formataoHTML">
    <w:name w:val="HTML Preformatted"/>
    <w:basedOn w:val="Normal"/>
    <w:link w:val="Pr-formataoHTMLChar"/>
    <w:uiPriority w:val="99"/>
    <w:semiHidden/>
    <w:unhideWhenUsed/>
    <w:rsid w:val="00B6148C"/>
    <w:pPr>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pPr>
    <w:rPr>
      <w:rFonts w:ascii="Courier New" w:hAnsi="Courier New" w:cs="Courier New"/>
      <w:sz w:val="20"/>
    </w:rPr>
  </w:style>
  <w:style w:type="character" w:customStyle="1" w:styleId="TextodenotadefimChar">
    <w:name w:val="Texto de nota de fim Char"/>
    <w:basedOn w:val="Fontepargpadro"/>
    <w:link w:val="Textodenotadefim"/>
    <w:uiPriority w:val="99"/>
    <w:semiHidden/>
    <w:rsid w:val="00B6148C"/>
    <w:rPr>
      <w:rFonts w:asciiTheme="minorHAnsi" w:eastAsiaTheme="minorHAnsi" w:hAnsiTheme="minorHAnsi" w:cstheme="minorBidi"/>
      <w:lang w:eastAsia="en-US"/>
    </w:rPr>
  </w:style>
  <w:style w:type="paragraph" w:styleId="Textodenotadefim">
    <w:name w:val="endnote text"/>
    <w:basedOn w:val="Normal"/>
    <w:link w:val="TextodenotadefimChar"/>
    <w:uiPriority w:val="99"/>
    <w:semiHidden/>
    <w:unhideWhenUsed/>
    <w:rsid w:val="00B6148C"/>
    <w:pPr>
      <w:widowControl/>
      <w:suppressLineNumbers w:val="0"/>
      <w:suppressAutoHyphens w:val="0"/>
      <w:ind w:firstLine="851"/>
      <w:jc w:val="left"/>
    </w:pPr>
    <w:rPr>
      <w:rFonts w:asciiTheme="minorHAnsi" w:eastAsiaTheme="minorHAnsi" w:hAnsiTheme="minorHAnsi" w:cstheme="minorBidi"/>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138670">
      <w:bodyDiv w:val="1"/>
      <w:marLeft w:val="0"/>
      <w:marRight w:val="0"/>
      <w:marTop w:val="0"/>
      <w:marBottom w:val="0"/>
      <w:divBdr>
        <w:top w:val="none" w:sz="0" w:space="0" w:color="auto"/>
        <w:left w:val="none" w:sz="0" w:space="0" w:color="auto"/>
        <w:bottom w:val="none" w:sz="0" w:space="0" w:color="auto"/>
        <w:right w:val="none" w:sz="0" w:space="0" w:color="auto"/>
      </w:divBdr>
    </w:div>
    <w:div w:id="212892478">
      <w:bodyDiv w:val="1"/>
      <w:marLeft w:val="0"/>
      <w:marRight w:val="0"/>
      <w:marTop w:val="0"/>
      <w:marBottom w:val="0"/>
      <w:divBdr>
        <w:top w:val="none" w:sz="0" w:space="0" w:color="auto"/>
        <w:left w:val="none" w:sz="0" w:space="0" w:color="auto"/>
        <w:bottom w:val="none" w:sz="0" w:space="0" w:color="auto"/>
        <w:right w:val="none" w:sz="0" w:space="0" w:color="auto"/>
      </w:divBdr>
      <w:divsChild>
        <w:div w:id="1533304145">
          <w:marLeft w:val="0"/>
          <w:marRight w:val="0"/>
          <w:marTop w:val="0"/>
          <w:marBottom w:val="0"/>
          <w:divBdr>
            <w:top w:val="none" w:sz="0" w:space="0" w:color="auto"/>
            <w:left w:val="none" w:sz="0" w:space="0" w:color="auto"/>
            <w:bottom w:val="none" w:sz="0" w:space="0" w:color="auto"/>
            <w:right w:val="none" w:sz="0" w:space="0" w:color="auto"/>
          </w:divBdr>
        </w:div>
      </w:divsChild>
    </w:div>
    <w:div w:id="1332172582">
      <w:bodyDiv w:val="1"/>
      <w:marLeft w:val="0"/>
      <w:marRight w:val="0"/>
      <w:marTop w:val="0"/>
      <w:marBottom w:val="0"/>
      <w:divBdr>
        <w:top w:val="none" w:sz="0" w:space="0" w:color="auto"/>
        <w:left w:val="none" w:sz="0" w:space="0" w:color="auto"/>
        <w:bottom w:val="none" w:sz="0" w:space="0" w:color="auto"/>
        <w:right w:val="none" w:sz="0" w:space="0" w:color="auto"/>
      </w:divBdr>
      <w:divsChild>
        <w:div w:id="2029211345">
          <w:marLeft w:val="0"/>
          <w:marRight w:val="0"/>
          <w:marTop w:val="0"/>
          <w:marBottom w:val="0"/>
          <w:divBdr>
            <w:top w:val="none" w:sz="0" w:space="0" w:color="auto"/>
            <w:left w:val="none" w:sz="0" w:space="0" w:color="auto"/>
            <w:bottom w:val="none" w:sz="0" w:space="0" w:color="auto"/>
            <w:right w:val="none" w:sz="0" w:space="0" w:color="auto"/>
          </w:divBdr>
          <w:divsChild>
            <w:div w:id="1272132698">
              <w:marLeft w:val="0"/>
              <w:marRight w:val="0"/>
              <w:marTop w:val="0"/>
              <w:marBottom w:val="0"/>
              <w:divBdr>
                <w:top w:val="none" w:sz="0" w:space="0" w:color="auto"/>
                <w:left w:val="none" w:sz="0" w:space="0" w:color="auto"/>
                <w:bottom w:val="none" w:sz="0" w:space="0" w:color="auto"/>
                <w:right w:val="none" w:sz="0" w:space="0" w:color="auto"/>
              </w:divBdr>
              <w:divsChild>
                <w:div w:id="206994589">
                  <w:marLeft w:val="0"/>
                  <w:marRight w:val="0"/>
                  <w:marTop w:val="0"/>
                  <w:marBottom w:val="0"/>
                  <w:divBdr>
                    <w:top w:val="none" w:sz="0" w:space="0" w:color="auto"/>
                    <w:left w:val="none" w:sz="0" w:space="0" w:color="auto"/>
                    <w:bottom w:val="none" w:sz="0" w:space="0" w:color="auto"/>
                    <w:right w:val="none" w:sz="0" w:space="0" w:color="auto"/>
                  </w:divBdr>
                  <w:divsChild>
                    <w:div w:id="451557233">
                      <w:marLeft w:val="0"/>
                      <w:marRight w:val="0"/>
                      <w:marTop w:val="0"/>
                      <w:marBottom w:val="0"/>
                      <w:divBdr>
                        <w:top w:val="none" w:sz="0" w:space="0" w:color="auto"/>
                        <w:left w:val="none" w:sz="0" w:space="0" w:color="auto"/>
                        <w:bottom w:val="none" w:sz="0" w:space="0" w:color="auto"/>
                        <w:right w:val="none" w:sz="0" w:space="0" w:color="auto"/>
                      </w:divBdr>
                    </w:div>
                    <w:div w:id="739715317">
                      <w:marLeft w:val="0"/>
                      <w:marRight w:val="0"/>
                      <w:marTop w:val="0"/>
                      <w:marBottom w:val="0"/>
                      <w:divBdr>
                        <w:top w:val="none" w:sz="0" w:space="0" w:color="auto"/>
                        <w:left w:val="none" w:sz="0" w:space="0" w:color="auto"/>
                        <w:bottom w:val="none" w:sz="0" w:space="0" w:color="auto"/>
                        <w:right w:val="none" w:sz="0" w:space="0" w:color="auto"/>
                      </w:divBdr>
                    </w:div>
                    <w:div w:id="1050686217">
                      <w:marLeft w:val="0"/>
                      <w:marRight w:val="0"/>
                      <w:marTop w:val="0"/>
                      <w:marBottom w:val="0"/>
                      <w:divBdr>
                        <w:top w:val="none" w:sz="0" w:space="0" w:color="auto"/>
                        <w:left w:val="none" w:sz="0" w:space="0" w:color="auto"/>
                        <w:bottom w:val="none" w:sz="0" w:space="0" w:color="auto"/>
                        <w:right w:val="none" w:sz="0" w:space="0" w:color="auto"/>
                      </w:divBdr>
                    </w:div>
                    <w:div w:id="1472482789">
                      <w:marLeft w:val="0"/>
                      <w:marRight w:val="0"/>
                      <w:marTop w:val="0"/>
                      <w:marBottom w:val="0"/>
                      <w:divBdr>
                        <w:top w:val="none" w:sz="0" w:space="0" w:color="auto"/>
                        <w:left w:val="none" w:sz="0" w:space="0" w:color="auto"/>
                        <w:bottom w:val="none" w:sz="0" w:space="0" w:color="auto"/>
                        <w:right w:val="none" w:sz="0" w:space="0" w:color="auto"/>
                      </w:divBdr>
                    </w:div>
                    <w:div w:id="1857964169">
                      <w:marLeft w:val="0"/>
                      <w:marRight w:val="0"/>
                      <w:marTop w:val="0"/>
                      <w:marBottom w:val="0"/>
                      <w:divBdr>
                        <w:top w:val="none" w:sz="0" w:space="0" w:color="auto"/>
                        <w:left w:val="none" w:sz="0" w:space="0" w:color="auto"/>
                        <w:bottom w:val="none" w:sz="0" w:space="0" w:color="auto"/>
                        <w:right w:val="none" w:sz="0" w:space="0" w:color="auto"/>
                      </w:divBdr>
                    </w:div>
                    <w:div w:id="1868714935">
                      <w:marLeft w:val="0"/>
                      <w:marRight w:val="0"/>
                      <w:marTop w:val="0"/>
                      <w:marBottom w:val="0"/>
                      <w:divBdr>
                        <w:top w:val="none" w:sz="0" w:space="0" w:color="auto"/>
                        <w:left w:val="none" w:sz="0" w:space="0" w:color="auto"/>
                        <w:bottom w:val="none" w:sz="0" w:space="0" w:color="auto"/>
                        <w:right w:val="none" w:sz="0" w:space="0" w:color="auto"/>
                      </w:divBdr>
                    </w:div>
                    <w:div w:id="213116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549379">
      <w:bodyDiv w:val="1"/>
      <w:marLeft w:val="0"/>
      <w:marRight w:val="0"/>
      <w:marTop w:val="0"/>
      <w:marBottom w:val="0"/>
      <w:divBdr>
        <w:top w:val="none" w:sz="0" w:space="0" w:color="auto"/>
        <w:left w:val="none" w:sz="0" w:space="0" w:color="auto"/>
        <w:bottom w:val="none" w:sz="0" w:space="0" w:color="auto"/>
        <w:right w:val="none" w:sz="0" w:space="0" w:color="auto"/>
      </w:divBdr>
    </w:div>
    <w:div w:id="1399552226">
      <w:bodyDiv w:val="1"/>
      <w:marLeft w:val="0"/>
      <w:marRight w:val="0"/>
      <w:marTop w:val="0"/>
      <w:marBottom w:val="0"/>
      <w:divBdr>
        <w:top w:val="none" w:sz="0" w:space="0" w:color="auto"/>
        <w:left w:val="none" w:sz="0" w:space="0" w:color="auto"/>
        <w:bottom w:val="none" w:sz="0" w:space="0" w:color="auto"/>
        <w:right w:val="none" w:sz="0" w:space="0" w:color="auto"/>
      </w:divBdr>
    </w:div>
    <w:div w:id="185684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D2BAE-6302-438C-AB92-006BF1D64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7470</Words>
  <Characters>40340</Characters>
  <Application>Microsoft Office Word</Application>
  <DocSecurity>0</DocSecurity>
  <Lines>336</Lines>
  <Paragraphs>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2019-07-15T18:53:00Z</dcterms:created>
  <dcterms:modified xsi:type="dcterms:W3CDTF">2019-07-16T02:23:00Z</dcterms:modified>
</cp:coreProperties>
</file>