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Growth Trial Summary Report — Batch A</w:t>
      </w:r>
    </w:p>
    <w:p>
      <w:r>
        <w:t xml:space="preserve">Prepared by: Dr. R. Okafor, Plant Physiology Lab</w:t>
      </w:r>
    </w:p>
    <w:p>
      <w:r>
        <w:t xml:space="preserve">Date: 2023-03-20</w:t>
      </w:r>
    </w:p>
    <w:p>
      <w:r>
        <w:t xml:space="preserve"/>
      </w:r>
    </w:p>
    <w:p>
      <w:r>
        <w:t xml:space="preserve">This report summarizes salinity stress responses for Arabidopsis thaliana samples S-01 through S-03 from Batch A.</w:t>
      </w:r>
    </w:p>
    <w:p>
      <w:r>
        <w:t xml:space="preserve"/>
      </w:r>
    </w:p>
    <w:p>
      <w:r>
        <w:t xml:space="preserve">Sample S-01 (50 mM NaCl treatment) reached a final height of approximately 12.5 cm, consistent with mild salinity stress.</w:t>
      </w:r>
    </w:p>
    <w:p>
      <w:r>
        <w:t xml:space="preserve">Sample S-02 (control) showed the strongest growth at 15.1 cm final height, germinating in 3 days.</w:t>
      </w:r>
    </w:p>
    <w:p>
      <w:r>
        <w:t xml:space="preserve">Sample S-03 (100 mM NaCl treatment) showed clear growth inhibition, reaching only 8.2 cm, with germination delayed to day 6.</w:t>
      </w:r>
    </w:p>
    <w:p>
      <w:r>
        <w:t xml:space="preserve"/>
      </w:r>
    </w:p>
    <w:p>
      <w:r>
        <w:t xml:space="preserve">A fourth sample, S-04, was treated at 150 mM NaCl in a follow-up run and is reported separately in the reanalysis spreadsheet.</w:t>
      </w:r>
    </w:p>
    <w:p>
      <w:r>
        <w:t xml:space="preserve"/>
      </w:r>
    </w:p>
    <w:p>
      <w:r>
        <w:t xml:space="preserve">Note: measurement equipment was recalibrated between the initial notebook readings and the K. Chen reanalysis; minor discrepancies (less than 0.3 cm) in height measurements between sources are expected and within instrument tolerance.</w:t>
      </w:r>
    </w:p>
  </w:body>
</w:document>
</file>

<file path=word/_rels/document.xml.rels><?xml version="1.0" encoding="UTF-8" standalone="yes"?>
<Relationships xmlns="http://schemas.openxmlformats.org/package/2006/relationships">
</Relationships>
</file>