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OCR Results - Vollmacht  (2).pdf</w:t>
      </w:r>
    </w:p>
    <w:p>
      <w:r>
        <w:t>Der Bevollmachtigte ist berechtigt, eine Untervolimacht, die den Umfang dieser Vollmacht nicht Uberschreiten</w:t>
      </w:r>
    </w:p>
    <w:p>
      <w:r>
        <w:t>darf, zu erteilen und zu widerrufen. (The authorised party has the right to issue and to revoke a sub-</w:t>
      </w:r>
    </w:p>
    <w:p>
      <w:r>
        <w:t>authorisation, which must not exceed the scope of this authorisation.)</w:t>
      </w:r>
    </w:p>
    <w:p>
      <w:r>
        <w:t>Hinweis (Note)</w:t>
      </w:r>
    </w:p>
    <w:p>
      <w:r>
        <w:t>Auf die Méglichkelt der Verwendung des Musters fir die Untervolimacht als Aniage zu einer Volimacht nach § Abs. 1 AufenthG wird</w:t>
      </w:r>
    </w:p>
    <w:p>
      <w:r>
        <w:t>hingewiesen. (Please be advised that the form for the sub-authorisation may be used as an annex fo an authorisation in accordance with</w:t>
      </w:r>
    </w:p>
    <w:p>
      <w:r>
        <w:t>Section (1) of the Residence Act)</w:t>
      </w:r>
    </w:p>
    <w:p>
      <w:r>
        <w:t>Die Volimacht erlischt mit Abschiuss des beschieunigten Fachkrafteverfahrens. (The authorisation expires</w:t>
      </w:r>
    </w:p>
    <w:p>
      <w:r>
        <w:t>upon completion of the fast-track procedure for skilled workers.)</w:t>
      </w:r>
    </w:p>
    <w:p>
      <w:r>
        <w:t>Da diese Volimacht meine rechtliche Méglichkeit selbst zu handeln nicht ausschlie&amp;, bitte ich um direk-</w:t>
      </w:r>
    </w:p>
    <w:p>
      <w:r>
        <w:t>ten Kontakt zu mir, sofern dies zur Kiarung von Sachverhalten und zur Verfahrensbeschleunigung er-</w:t>
      </w:r>
    </w:p>
    <w:p>
      <w:r>
        <w:t>forderlich erscheint. (Because this authorisation does not exclude my legal ability to take action myself, |</w:t>
      </w:r>
    </w:p>
    <w:p>
      <w:r>
        <w:t>ask that you contact me directly if this seems necessary in order to clarify circumstances and to speed up the</w:t>
      </w:r>
    </w:p>
    <w:p>
      <w:r>
        <w:t>procedures.)</w:t>
      </w:r>
    </w:p>
    <w:p>
      <w:r>
        <w:t>Vf (A ob. 9 a¢ / Fachkraft</w:t>
      </w:r>
    </w:p>
    <w:p>
      <w:r>
        <w:t>Ort, Datum (Place, date achtgeber</w:t>
      </w:r>
    </w:p>
    <w:p>
      <w:r>
        <w:t>(Signature of the granting authorisation)</w:t>
      </w:r>
    </w:p>
    <w:p>
      <w:r>
        <w:t>Bansin, 11.06.2025 Hotel</w:t>
      </w:r>
    </w:p>
    <w:p>
      <w:r>
        <w:t>Ort, Datum (Place, date) Unterschrift Bevollmachtigte/Bevolimachtigter</w:t>
      </w:r>
    </w:p>
    <w:p>
      <w:pPr>
        <w:pStyle w:val="ListBullet"/>
      </w:pPr>
      <w:r>
        <w:t>(Signature of the authorised party)</w:t>
      </w:r>
    </w:p>
    <w:p>
      <w:r>
        <w:t>Beschleunigtes Fachkrafteverfahren — Volimacht nach § Abs. 1 AufenthG /</w:t>
      </w:r>
    </w:p>
    <w:p>
      <w:r>
        <w:t>Fast-track procedure for skilled workers — Authonsation in accordance with Section (1) of the German Residence Act Seite 3 von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