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color w:val="A68B3E"/>
          <w:spacing w:val="200"/>
          <w:sz w:val="16"/>
          <w:szCs w:val="16"/>
        </w:rPr>
        <w:t xml:space="preserve">NUVÉ BY ACUMEN HOLDING</w:t>
      </w:r>
    </w:p>
    <w:p>
      <w:pPr>
        <w:pBdr>
          <w:bottom w:val="single" w:color="C5A55A" w:sz="6"/>
        </w:pBdr>
        <w:spacing w:after="140" w:before="60"/>
      </w:pPr>
    </w:p>
    <w:p>
      <w:pPr>
        <w:spacing w:after="100"/>
      </w:pPr>
      <w:r>
        <w:rPr>
          <w:rFonts w:ascii="Arial" w:cs="Arial" w:eastAsia="Arial" w:hAnsi="Arial"/>
          <w:b/>
          <w:bCs/>
          <w:color w:val="1B2A4A"/>
          <w:sz w:val="48"/>
          <w:szCs w:val="48"/>
        </w:rPr>
        <w:t xml:space="preserve">Feature Design Guide</w:t>
      </w:r>
    </w:p>
    <w:p>
      <w:pPr>
        <w:spacing w:after="40"/>
      </w:pPr>
      <w:r>
        <w:rPr>
          <w:rFonts w:ascii="Arial" w:cs="Arial" w:eastAsia="Arial" w:hAnsi="Arial"/>
          <w:color w:val="1B2A4A"/>
          <w:sz w:val="36"/>
          <w:szCs w:val="36"/>
        </w:rPr>
        <w:t xml:space="preserve">Business + Technical Perspectives</w:t>
      </w:r>
    </w:p>
    <w:p>
      <w:pPr>
        <w:pBdr>
          <w:top w:val="single" w:color="C5A55A" w:sz="4"/>
        </w:pBdr>
        <w:spacing w:before="140"/>
      </w:pPr>
    </w:p>
    <w:p>
      <w:pPr>
        <w:spacing w:after="30"/>
      </w:pPr>
      <w:r>
        <w:rPr>
          <w:rFonts w:ascii="Arial" w:cs="Arial" w:eastAsia="Arial" w:hAnsi="Arial"/>
          <w:color w:val="5A6C7E"/>
          <w:sz w:val="20"/>
          <w:szCs w:val="20"/>
        </w:rPr>
        <w:t xml:space="preserve">27 Features · 6 Categories · For Figma Design Precision</w:t>
      </w:r>
    </w:p>
    <w:p>
      <w:pPr>
        <w:spacing w:before="10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Document Control</w:t>
            </w:r>
          </w:p>
        </w:tc>
        <w:tc>
          <w:tcPr>
            <w:tcW w:type="dxa" w:w="71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
            </w:r>
          </w:p>
        </w:tc>
      </w:tr>
      <w:tr>
        <w:tc>
          <w:tcPr>
            <w:tcW w:type="dxa" w:w="24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Version</w:t>
            </w:r>
          </w:p>
        </w:tc>
        <w:tc>
          <w:tcPr>
            <w:tcW w:type="dxa" w:w="71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1.0</w:t>
            </w:r>
          </w:p>
        </w:tc>
      </w:tr>
      <w:tr>
        <w:tc>
          <w:tcPr>
            <w:tcW w:type="dxa" w:w="24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Date</w:t>
            </w:r>
          </w:p>
        </w:tc>
        <w:tc>
          <w:tcPr>
            <w:tcW w:type="dxa" w:w="71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March 27, 2026</w:t>
            </w:r>
          </w:p>
        </w:tc>
      </w:tr>
      <w:tr>
        <w:tc>
          <w:tcPr>
            <w:tcW w:type="dxa" w:w="24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Purpose</w:t>
            </w:r>
          </w:p>
        </w:tc>
        <w:tc>
          <w:tcPr>
            <w:tcW w:type="dxa" w:w="71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Figma design reference — business logic + technical architecture per feature</w:t>
            </w:r>
          </w:p>
        </w:tc>
      </w:tr>
      <w:tr>
        <w:tc>
          <w:tcPr>
            <w:tcW w:type="dxa" w:w="24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Classification</w:t>
            </w:r>
          </w:p>
        </w:tc>
        <w:tc>
          <w:tcPr>
            <w:tcW w:type="dxa" w:w="71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Confidential</w:t>
            </w:r>
          </w:p>
        </w:tc>
      </w:tr>
      <w:tr>
        <w:tc>
          <w:tcPr>
            <w:tcW w:type="dxa" w:w="24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Source Document</w:t>
            </w:r>
          </w:p>
        </w:tc>
        <w:tc>
          <w:tcPr>
            <w:tcW w:type="dxa" w:w="71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Nuvé BRD v1.0 (all 27 functional requirements)</w:t>
            </w:r>
          </w:p>
        </w:tc>
      </w:tr>
    </w:tbl>
    <w:p>
      <w:pPr>
        <w:sectPr>
          <w:pgSz w:w="11906" w:h="16838" w:orient="portrait"/>
          <w:pgMar w:top="1440" w:right="1100" w:bottom="1440" w:left="1300" w:header="708" w:footer="708" w:gutter="0"/>
          <w:pgNumType/>
          <w:docGrid w:linePitch="360"/>
        </w:sectPr>
      </w:pPr>
    </w:p>
    <w:p>
      <w:pPr>
        <w:pStyle w:val="Heading1"/>
      </w:pPr>
      <w:r>
        <w:t xml:space="preserve">Nuvé — Feature Design Guide</w:t>
      </w:r>
    </w:p>
    <w:p>
      <w:pPr>
        <w:pBdr>
          <w:bottom w:val="single" w:color="C5A55A" w:sz="6"/>
        </w:pBdr>
        <w:spacing w:after="140" w:before="60"/>
      </w:pPr>
    </w:p>
    <w:p>
      <w:pPr>
        <w:spacing w:after="120" w:line="300"/>
        <w:jc w:val="both"/>
      </w:pPr>
      <w:r>
        <w:rPr>
          <w:rFonts w:ascii="Arial" w:cs="Arial" w:eastAsia="Arial" w:hAnsi="Arial"/>
          <w:color w:val="2C3E50"/>
          <w:sz w:val="19"/>
          <w:szCs w:val="19"/>
        </w:rPr>
        <w:t xml:space="preserve">This document breaks down all 27 BRD features into two perspectives for each: a Business Description (how the feature works from a product/user perspective — what the user sees, what decisions they make, what value they receive) and a Technical Description (how the feature is implemented — data models, APIs, integrations, algorithms, and infrastructure — so a Figma designer understands the data flow behind each screen).</w:t>
      </w:r>
    </w:p>
    <w:p>
      <w:pPr>
        <w:spacing w:after="120" w:line="300"/>
        <w:jc w:val="both"/>
      </w:pPr>
      <w:r>
        <w:rPr>
          <w:rFonts w:ascii="Arial" w:cs="Arial" w:eastAsia="Arial" w:hAnsi="Arial"/>
          <w:color w:val="2C3E50"/>
          <w:sz w:val="19"/>
          <w:szCs w:val="19"/>
        </w:rPr>
        <w:t xml:space="preserve">Use this alongside the UX Design Specification to design every feature precisely in Figma. The Business Description tells you WHAT to show on each screen. The Technical Description tells you WHERE the data comes from, what's computed vs. static, what changes in real-time vs. daily, and what constraints exist.</w:t>
      </w:r>
    </w:p>
    <w:p>
      <w:r>
        <w:br w:type="page"/>
      </w:r>
    </w:p>
    <w:p>
      <w:pPr>
        <w:pStyle w:val="Heading2"/>
      </w:pPr>
      <w:r>
        <w:t xml:space="preserve">Feature Summary</w:t>
      </w:r>
    </w:p>
    <w:p>
      <w:pPr>
        <w:pBdr>
          <w:bottom w:val="single" w:color="C5A55A" w:sz="6"/>
        </w:pBdr>
        <w:spacing w:after="14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900"/>
        <w:gridCol w:w="5206"/>
      </w:tblGrid>
      <w:tr>
        <w:tc>
          <w:tcPr>
            <w:tcW w:type="dxa" w:w="8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ID</w:t>
            </w:r>
          </w:p>
        </w:tc>
        <w:tc>
          <w:tcPr>
            <w:tcW w:type="dxa" w:w="26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Feature</w:t>
            </w:r>
          </w:p>
        </w:tc>
        <w:tc>
          <w:tcPr>
            <w:tcW w:type="dxa" w:w="9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Phase</w:t>
            </w:r>
          </w:p>
        </w:tc>
        <w:tc>
          <w:tcPr>
            <w:tcW w:type="dxa" w:w="52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Category</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IWE-1</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Goal-Based Portfolio Builder</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Wealth Engine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IWE-2</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AI Risk Profiler</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Wealth Engine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IWE-3</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Smart Rebalancing Engine</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Wealth Engine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IWE-4</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Scenario Modeling</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Wealth Engine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IWE-5</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Multi-Asset Universe</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Wealth Engine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IWE-6</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Acumen Research Integration</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Wealth Engine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TRU-1</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Transparent Fee Engine</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Trust Infrastructure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TRU-2</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FRA Compliance Dashboard</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Trust Infrastructure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TRU-3</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Biometric Security</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Trust Infrastructure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TRU-4</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Real-Time Transparency</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Trust Infrastructure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TRU-5</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Digital Onboarding + eKYC</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Trust Infrastructure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TRU-6</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Activity Audit Trail</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Trust Infrastructure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PAY-1</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InstaPay Integration</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Egypt-Native Payments</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PAY-2</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Mobile Wallet Integration</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Egypt-Native Payments</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PAY-3</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Meeza Card Support</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Egypt-Native Payments</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PAY-4</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Recurring Investment Plans</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Egypt-Native Payments</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PAY-5</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Fawry Cash Deposit</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Egypt-Native Payments</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INS-1</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Portfolio Health Score</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Insights &amp; Intelligence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INS-2</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Inflation-Adjusted Returns</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Insights &amp; Intelligence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INS-3</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Market Pulse Feed</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Insights &amp; Intelligence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INS-4</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Dividend &amp; Income Tracker</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Insights &amp; Intelligence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INS-5</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Currency Exposure Monitor</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3</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Insights &amp; Intelligence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UXE-1</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Bilingual AR/EN</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 Experience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UXE-2</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Progressive Onboarding</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 Experience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UXE-3</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Milestones &amp; Streaks</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 Experience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UXE-4</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Financial Learning Hub</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 Experience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UXE-5</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Intelligent Notifications</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 Experience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UXE-6</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Empathetic Error States</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MVP</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 Experience</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EXP-1</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Expat Remote Investing</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3</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Expansion &amp; Premium</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EXP-2</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Advisor Chat</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3</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Expansion &amp; Premium</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EXP-3</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Family Portfolio Views</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3</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Expansion &amp; Premium</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EXP-4</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Zakat Calculator</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2</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Expansion &amp; Premium</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EXP-5</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Tax Reporting Assistant</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3</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Expansion &amp; Premium</w:t>
            </w:r>
          </w:p>
        </w:tc>
      </w:tr>
      <w:tr>
        <w:tc>
          <w:tcPr>
            <w:tcW w:type="dxa" w:w="8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EXP-6</w:t>
            </w:r>
          </w:p>
        </w:tc>
        <w:tc>
          <w:tcPr>
            <w:tcW w:type="dxa" w:w="26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SME / Family Office Dashboard</w:t>
            </w:r>
          </w:p>
        </w:tc>
        <w:tc>
          <w:tcPr>
            <w:tcW w:type="dxa" w:w="900"/>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Phase 3</w:t>
            </w:r>
          </w:p>
        </w:tc>
        <w:tc>
          <w:tcPr>
            <w:tcW w:type="dxa" w:w="52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Expansion &amp; Premium</w:t>
            </w:r>
          </w:p>
        </w:tc>
      </w:tr>
    </w:tbl>
    <w:p>
      <w:r>
        <w:br w:type="page"/>
      </w:r>
    </w:p>
    <w:p>
      <w:pPr>
        <w:pStyle w:val="Heading2"/>
      </w:pPr>
      <w:r>
        <w:t xml:space="preserve">Intelligent Wealth Engine</w:t>
      </w:r>
    </w:p>
    <w:p>
      <w:pPr>
        <w:pBdr>
          <w:bottom w:val="single" w:color="C5A55A" w:sz="6"/>
        </w:pBdr>
        <w:spacing w:after="140" w:before="60"/>
      </w:pPr>
    </w:p>
    <w:p>
      <w:pPr>
        <w:pStyle w:val="Heading3"/>
      </w:pPr>
      <w:r>
        <w:t xml:space="preserve">IWE-1: Goal-Based Portfolio Builder</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Intelligent Wealth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create life goals — buying a home, children's education, Hajj pilgrimage, retirement, or an emergency fund — each with a target amount in EGP and a target date. The app then recommends how to split their money across different asset classes (stocks, bonds, gold, etc.) based on how long they have until they need the money and how much risk they can handle. Each goal is tracked independently on the dashboard with a progress bar showing how close they are to their target. Users can adjust a risk slider and immediately see how the allocation changes. The projected outcome shows three scenarios (optimistic, expected, conservative) so users understand the range of possible results. This is the core differentiator from trading apps — Nuvé is about life goals, not day trading.</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goal creation form captures: goal name (free text), goal type (enum: home/education/hajj/retirement/emergency/custom), target amount (EGP integer), and target date (month/year picker). On submission, the portfolio-service runs an allocation algorithm that takes the user's risk score (from IWE-2), time horizon (months until target date), and current market conditions to produce a weighted allocation across available asset classes. The allocation output is a JSON object: {equities: 40, mutual_funds: 30, tbills: 20, gold: 10}. Projected outcomes use Monte Carlo simulation with 1,000 iterations to produce 30th/50th/70th percentile projections. The risk slider (range 1-10) triggers a real-time API call that recalculates allocations within 200ms. Goals are stored in PostgreSQL with a one-to-many relationship to the user record. Dashboard rendering pulls from a Redis cache refreshed every 60 seconds. Maximum 10 goals per user. Each goal has its own allocation, independent of other goals.</w:t>
            </w:r>
          </w:p>
        </w:tc>
      </w:tr>
    </w:tbl>
    <w:p>
      <w:pPr>
        <w:spacing w:before="120"/>
      </w:pPr>
    </w:p>
    <w:p>
      <w:pPr>
        <w:pStyle w:val="Heading3"/>
      </w:pPr>
      <w:r>
        <w:t xml:space="preserve">IWE-2: AI Risk Profiler</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Intelligent Wealth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During onboarding, new users answer 8 questions about their financial situation and attitudes toward risk. The questions are adaptive — later questions change based on earlier answers (e.g., if you say you have no investment experience, the system skips advanced questions and asks more about your comfort with losing money). At the end, users receive a risk score from 1 to 10 with a visual gauge and a plain-language personality label like "Growth-Oriented" or "Conservative Saver." The explanation avoids jargon — instead of "You have a moderate risk tolerance with an aggressive tilt," it says "You're comfortable with moderate fluctuations in exchange for higher long-term growth." Users can retake the assessment at any time from Settings if their situation changes (e.g., new job, new family).</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questionnaire engine stores a question bank of 15+ questions with branching logic defined as a decision tree in JSON. Each question has 3-5 answer options, each carrying a weighted score. The adaptive algorithm selects the next question based on cumulative score after each answer. Minimum path: 8 questions. Maximum path: 12 questions. Risk score calculation: weighted sum of all answers normalized to a 1.0-10.0 float, stored with two decimal precision. The score maps to a risk_profile enum: conservative (1-2), moderate (3-4), balanced (5-6), growth (7-8), aggressive (9-10). This enum feeds directly into IWE-1's allocation engine. The questionnaire state is persisted in session storage so users can resume if they close the app mid-assessment. Retake creates a new assessment record (history preserved) and triggers a reallocation proposal for all active goals.</w:t>
            </w:r>
          </w:p>
        </w:tc>
      </w:tr>
    </w:tbl>
    <w:p>
      <w:pPr>
        <w:spacing w:before="120"/>
      </w:pPr>
    </w:p>
    <w:p>
      <w:pPr>
        <w:pStyle w:val="Heading3"/>
      </w:pPr>
      <w:r>
        <w:t xml:space="preserve">IWE-3: Smart Rebalancing Engine</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Intelligent Wealth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Over time, market movements cause a portfolio's actual allocation to drift from its target. For example, if stocks go up 20%, they might now be 68% of the portfolio instead of the target 60%. The rebalancing engine detects when any asset class drifts more than 5% from its target and sends the user a notification explaining: what drifted, why (market movement), and the proposed trades to get back on target. The user can approve the rebalance (executes immediately), defer it (asks again in 7 days), or modify it (adjust the proposed trades). The notification uses confident, factual language — no alarmism. All rebalancing events are logged in the activity audit trail.</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 scheduled job runs daily at market close (3:00 PM CLT) for all active portfolios. For each goal-portfolio, it compares current_allocation (calculated from live market prices × position quantities) against target_allocation (from IWE-1). If abs(current - target) &gt; 5% for any asset class, a rebalancing proposal is generated. The proposal is a set of buy/sell orders that would restore target weights. The proposal is stored in a rebalance_proposals table with status enum: pending/approved/deferred/modified/executed. Push notification sent via FCM with deep-link to the proposal screen. User response updates the status. If approved, orders are queued in the order-execution service and processed at next market open. If deferred, a follow-up notification is scheduled for T+7 days. Drift threshold (default 5%) is configurable per user and globally by admin. All events written to the append-only audit trail in PostgreSQL.</w:t>
            </w:r>
          </w:p>
        </w:tc>
      </w:tr>
    </w:tbl>
    <w:p>
      <w:pPr>
        <w:spacing w:before="120"/>
      </w:pPr>
    </w:p>
    <w:p>
      <w:r>
        <w:br w:type="page"/>
      </w:r>
    </w:p>
    <w:p>
      <w:pPr>
        <w:pStyle w:val="Heading3"/>
      </w:pPr>
      <w:r>
        <w:t xml:space="preserve">IWE-4: Scenario Modeling</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Intelligent Wealth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can run "What If" experiments to see how different decisions would affect their projected wealth. They adjust sliders for: monthly contribution amount, investment timeline, expected inflation rate, expected market return, and one-time withdrawal. The screen shows a real-time before/after comparison — the current projection versus the scenario projection — with the percentage improvement or decline. All projections show both nominal and inflation-adjusted (real) numbers, so users see the true purchasing-power impact. Results are attributed to "Acumen's market models" to reinforce institutional credibility. A disclaimer always notes that actual results may vary.</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scenario engine is a client-side calculation layer that takes current portfolio parameters and applies user-modified variables. Inputs: monthly_contribution (EGP), timeline_months (integer), inflation_rate (float, default from CAPMAS CPI API), expected_return (float, default from Acumen market model API). The calculation uses compound growth formula with monthly compounding: FV = PV × (1 + r)^n + PMT × ((1 + r)^n - 1) / r, adjusted for inflation. The baseline projection uses current parameters; the scenario projection uses modified parameters. The delta is computed and displayed as percentage improvement. Both nominal and real (inflation-adjusted) values are computed. No server call needed — calculation runs in React Native with the mathjs library. Results are not persisted unless user explicitly saves a scenario.</w:t>
            </w:r>
          </w:p>
        </w:tc>
      </w:tr>
    </w:tbl>
    <w:p>
      <w:pPr>
        <w:spacing w:before="120"/>
      </w:pPr>
    </w:p>
    <w:p>
      <w:pPr>
        <w:pStyle w:val="Heading3"/>
      </w:pPr>
      <w:r>
        <w:t xml:space="preserve">IWE-5: Multi-Asset Universe</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Intelligent Wealth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can browse and invest in 6+ asset classes: EGX stocks (individual equities traded on the Egyptian Exchange), mutual funds (including Acumen-managed funds and third-party funds), treasury bills (government fixed-income instruments), money market funds, gold, and fixed income. Each asset has a plain-language explainer (3 sentences max) and a risk indicator on a 1-5 scale so users who've never invested can understand what they're buying. Users can search by name, filter by asset class/risk level/performance, and view per-asset price charts with benchmark comparisons. Acumen-managed funds are badged distinctly to highlight the institutional connection.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asset registry is maintained in the portfolio-service PostgreSQL database. Each asset record contains: id, name (EN+AR), type (enum: stock/mutual_fund/tbill/money_market/gold/fixed_income), risk_rating (1-5), description (EN+AR, max 300 chars), data_source_config (API endpoint for price feeds), min_investment (EGP), max_investment (EGP), fee_structure (JSON), is_acumen_managed (boolean), benchmark_id (foreign key). Price data is ingested from EGX market feed (real-time via WebSocket during trading hours, closing price after hours), CBE for T-bill yields, and commodity feeds for gold. Search uses Elasticsearch with Arabic morphological analysis. Filter API: GET /api/v1/assets?type=stock&amp;risk_max=3&amp;sort=performance_1y. Per-asset chart data stored in TimescaleDB with daily granularity.</w:t>
            </w:r>
          </w:p>
        </w:tc>
      </w:tr>
    </w:tbl>
    <w:p>
      <w:pPr>
        <w:spacing w:before="120"/>
      </w:pPr>
    </w:p>
    <w:p>
      <w:pPr>
        <w:pStyle w:val="Heading3"/>
      </w:pPr>
      <w:r>
        <w:t xml:space="preserve">IWE-6: Acumen Research Integration</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Intelligent Wealth Engine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Acumen's Advisory team publishes market research reports (minimum 4 per month) that are delivered directly into the app. Each report is tagged to relevant sectors and stocks, so users see a notification like "New report on Banking Sector — relevant to 23% of your portfolio." Reports are available in both Arabic and English (transcreated, not machine-translated) with an estimated read time. This creates a unique value proposition — users get institutional-grade research that's personalized to their holdings, something no competitor in Egypt offers. Reports are displayed in a dedicated Research section accessible from the Insights tab.</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Reports are uploaded by the Investment Team via the Admin Panel (ADM-CNT-03) as PDF files with metadata: title (EN+AR), author, sector_tags (multi-select from sector taxonomy), asset_tags (multi-select from asset registry). On upload, the content-service stores the PDF in S3 and metadata in PostgreSQL. A relevance engine computes portfolio_relevance_pct for each user by matching report sector_tags against the user's current holdings (from portfolio-service). Users with relevance &gt; 0% receive a push notification. The notification payload includes: title, relevance_percentage, read_time_minutes. In-app, reports render via an embedded PDF viewer (react-native-pdf) or as rich text if HTML version is provided. Read tracking: a read_reports table logs user_id, report_id, timestamp, read_duration.</w:t>
            </w:r>
          </w:p>
        </w:tc>
      </w:tr>
    </w:tbl>
    <w:p>
      <w:pPr>
        <w:spacing w:before="120"/>
      </w:pPr>
    </w:p>
    <w:p>
      <w:r>
        <w:br w:type="page"/>
      </w:r>
    </w:p>
    <w:p>
      <w:pPr>
        <w:pStyle w:val="Heading2"/>
      </w:pPr>
      <w:r>
        <w:t xml:space="preserve">Trust Infrastructure</w:t>
      </w:r>
    </w:p>
    <w:p>
      <w:pPr>
        <w:pBdr>
          <w:bottom w:val="single" w:color="C5A55A" w:sz="6"/>
        </w:pBdr>
        <w:spacing w:after="140" w:before="60"/>
      </w:pPr>
    </w:p>
    <w:p>
      <w:pPr>
        <w:pStyle w:val="Heading3"/>
      </w:pPr>
      <w:r>
        <w:t xml:space="preserve">TRU-1: Transparent Fee Engine</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Trust Infrastructure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Before every transaction, users see the exact fee in EGP and as a percentage, plus a comparison to the industry average — so they can judge if the fee is fair. For example: "This fund charges 1.5% annually. Industry average: 1.75%." An annual fee summary shows total fees paid versus total returns generated, so users can evaluate the cost-to-value ratio. Fee breakdowns distinguish between management fees, transaction fees, and fund expense ratios. The principle is: zero hidden charges. Every fee is visible before the user takes action, never discovered after.</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Fee configuration is stored in the admin-service fee_schedule table with fields: fee_type (enum: management/transaction/withdrawal/premium), rate (decimal, percentage or flat EGP), effective_date, approved_by. The fee engine is a middleware in the order-execution pipeline that calculates fees before order confirmation. Pre-transaction API response includes: fee_amount_egp, fee_percentage, industry_average (from a reference table of competitor fees), fee_breakdown (array of {type, amount} objects). The annual fee summary is computed by aggregating all fee_transactions for the user's fiscal year. Fee changes require dual approval in admin (Operations Manager + Finance) and are audit-logged. The comparison data (industry averages) is updated quarterly by the Product team in the admin panel.</w:t>
            </w:r>
          </w:p>
        </w:tc>
      </w:tr>
    </w:tbl>
    <w:p>
      <w:pPr>
        <w:spacing w:before="120"/>
      </w:pPr>
    </w:p>
    <w:p>
      <w:pPr>
        <w:pStyle w:val="Heading3"/>
      </w:pPr>
      <w:r>
        <w:t xml:space="preserve">TRU-2: FRA Compliance Dashboard</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Trust Infrastructure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can verify Acumen's regulatory status directly from the app's main menu (not buried in "About"). The screen displays: FRA license number, issue date (2010), last renewal date, last audit date, compliance status, and subsidiaries covered (Asset Management, Securities Brokerage, Advisory &amp; Activism). A link to the FRA public registry (fra.gov.eg) lets users independently verify the license. This is updated within 48 hours of any regulatory event. The goal is proactive trust — users shouldn't have to search for proof of legitimacy. It's always visible and accessible.</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Compliance data is stored in the admin-service compliance_config table, editable only by Compliance role admins via ADM-CMP-01. Fields: license_number (string), license_type (string), issue_date (date), last_renewal_date (date), next_audit_date (date), status (enum: full_compliance/conditional/under_review), subsidiaries (JSON array), registry_url (string). Changes are immediately reflected on the user-facing COMP-01 screen via a simple GET /api/v1/compliance/fra endpoint (cached in CDN for 1 hour). Auto-alerts are configured to notify Compliance admins 30/60/90 days before next_audit_date. All changes to this table are audit-logged with admin_user_id and timestamp.</w:t>
            </w:r>
          </w:p>
        </w:tc>
      </w:tr>
    </w:tbl>
    <w:p>
      <w:pPr>
        <w:spacing w:before="120"/>
      </w:pPr>
    </w:p>
    <w:p>
      <w:pPr>
        <w:pStyle w:val="Heading3"/>
      </w:pPr>
      <w:r>
        <w:t xml:space="preserve">TRU-3: Biometric Security</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Trust Infrastructure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app uses Face ID or fingerprint as the primary login method — fast and secure. For transactions above a user-defined threshold (e.g., withdrawals over EGP 10,000), a second biometric confirmation is required. A 6-digit PIN serves as the fallback if biometric authentication isn't available. The app auto-locks after 5 minutes of inactivity (configurable by the user). The security messaging uses warm language: "Your identity is confirmed. Proceeding securely." — not cold, technical copy. The goal is to make security feel protective, not restrictive.</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Authentication uses react-native-biometrics for Face ID/Touch ID with fallback to 6-digit PIN (bcrypt hashed, stored in device secure keychain — never transmitted to server). Session management: JWT access tokens (15-minute expiry) + refresh tokens (30-day expiry, stored in encrypted AsyncStorage). Auto-lock: app state listener triggers lock screen after configurable inactivity period (default 300 seconds). Transaction threshold: user-configurable amount stored in user_preferences table; transactions above threshold require re-authentication before order execution. Failed auth: 5 consecutive failures → 30-minute lockout + push notification to user's email. All auth events logged in audit trail: timestamp, method (biometric/pin), result (success/fail), device_id.</w:t>
            </w:r>
          </w:p>
        </w:tc>
      </w:tr>
    </w:tbl>
    <w:p>
      <w:pPr>
        <w:spacing w:before="120"/>
      </w:pPr>
    </w:p>
    <w:p>
      <w:r>
        <w:br w:type="page"/>
      </w:r>
    </w:p>
    <w:p>
      <w:pPr>
        <w:pStyle w:val="Heading3"/>
      </w:pPr>
      <w:r>
        <w:t xml:space="preserve">TRU-4: Real-Time Transparency</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Trust Infrastructure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see their holdings, allocations, and performance 24/7 with no artificial delay. Every position shows: current market value, cost basis (what they paid), gain/loss in both EGP and percentage, and portfolio weight (what percentage of their total portfolio this asset represents). Performance is compared against benchmarks (EGX30 index, money market rate) so users can judge if their portfolio is outperforming or underperforming the market. There are no "delayed data" disclaimers — if data is real-time, it says so; if it's a closing price, it's clearly labeled. Users can export a portfolio snapshot as PDF at any time.</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Portfolio values are computed by the portfolio-service which maintains a positions table: user_id, goal_id, asset_id, quantity, avg_cost_basis. Current prices come from the market-data service (EGX WebSocket feed during trading hours 10:00-14:30 CLT Sun-Thu; closing prices after hours). The portfolio API (GET /api/v1/portfolio/{goal_id}) returns: positions array (each with current_value, cost_basis, unrealized_gain_loss, weight_pct), total_value, total_cost, total_return_pct, benchmark_comparison (EGX30 return for same period). Values are cached in Redis with 60-second TTL during market hours, 1-hour TTL after hours. PDF export uses a Puppeteer-based PDF generator with Acumen-branded template. WebSocket push updates portfolio values on the client in real-time during market hours.</w:t>
            </w:r>
          </w:p>
        </w:tc>
      </w:tr>
    </w:tbl>
    <w:p>
      <w:pPr>
        <w:spacing w:before="120"/>
      </w:pPr>
    </w:p>
    <w:p>
      <w:pPr>
        <w:pStyle w:val="Heading3"/>
      </w:pPr>
      <w:r>
        <w:t xml:space="preserve">TRU-5: Digital Onboarding + eKYC</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Trust Infrastructure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New users open their account entirely on their phone in under 5 minutes — no branch visit required. The process has three parts: (1) Scan the front and back of their Egyptian National ID card, with the camera auto-detecting the card and extracting data via OCR. (2) Take a selfie with liveness detection (the app asks them to blink or turn their head to prove they're a real person, not a photo). (3) Sign the account agreement electronically. The onboarding copy is warm and guided: "Let's build your wealth strategy together." If verification fails, the error message is empathetic: "We couldn't verify your identity. Here's what you can try." — never "Verification Failed Error 403."</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eKYC flow uses a third-party SDK (Shufti Pro or similar certified provider) integrated via react-native bridge. ID scanning: device camera captures images → SDK processes OCR (extracts name, national ID number, date of birth, address, expiry) → images encrypted and sent to eKYC provider API. Liveness check: SDK performs 3 checks (face presence, blink detection, head pose change). Matching: selfie compared to ID photo with confidence threshold ≥ 85%. Results returned via webhook to identity-service. If auto-approved (all checks pass + confidence ≥ 95%), user status updated to kyc_verified immediately. If flagged (confidence 85-95% or OCR mismatch), routed to admin KYC review queue (ADM-KYC-01). If rejected (confidence &lt; 85%), user shown ONB-12 rejection screen with retry option. Max 3 attempts before escalation to manual review. All KYC documents stored encrypted in S3 with 7-year retention per FRA requirements.</w:t>
            </w:r>
          </w:p>
        </w:tc>
      </w:tr>
    </w:tbl>
    <w:p>
      <w:pPr>
        <w:spacing w:before="120"/>
      </w:pPr>
    </w:p>
    <w:p>
      <w:pPr>
        <w:pStyle w:val="Heading3"/>
      </w:pPr>
      <w:r>
        <w:t xml:space="preserve">TRU-6: Activity Audit Trail</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Trust Infrastructure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have a complete, searchable log of everything that's ever happened on their account: deposits, withdrawals, investments, rebalancing events, fee deductions, login sessions, and settings changes. They can filter by date range, transaction type, and amount. The log can be exported as a branded PDF for personal records or tax filing. Every entry uses plain-language descriptions — "Deposited EGP 5,000 via InstaPay" instead of "TXN-DEPOSIT-INSTAPAY-00847." This feature builds trust because users can always verify what happened and when.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audit trail is powered by the audit-service, which maintains an append-only PostgreSQL table (audit_events) with cryptographic chaining (each record includes a hash of the previous record for tamper detection). Fields: id, user_id, timestamp (microsecond precision), event_type (enum: deposit/withdrawal/buy/sell/rebalance/fee/login/logout/settings_change), service_origin (which microservice generated the event), description (plain text, generated by templates in notification-service), amount (nullable), metadata (JSONB for additional context). Query API: GET /api/v1/audit?user_id=X&amp;type=deposit&amp;from=2026-01-01&amp;to=2026-03-31&amp;min_amount=1000. PDF export via Puppeteer with Acumen branding. Retention: 7 years per FRA regulations. Searchable via Elasticsearch index synced from PostgreSQL via Debezium CDC.</w:t>
            </w:r>
          </w:p>
        </w:tc>
      </w:tr>
    </w:tbl>
    <w:p>
      <w:pPr>
        <w:spacing w:before="120"/>
      </w:pPr>
    </w:p>
    <w:p>
      <w:r>
        <w:br w:type="page"/>
      </w:r>
    </w:p>
    <w:p>
      <w:pPr>
        <w:pStyle w:val="Heading2"/>
      </w:pPr>
      <w:r>
        <w:t xml:space="preserve">Egypt-Native Payments</w:t>
      </w:r>
    </w:p>
    <w:p>
      <w:pPr>
        <w:pBdr>
          <w:bottom w:val="single" w:color="C5A55A" w:sz="6"/>
        </w:pBdr>
        <w:spacing w:after="140" w:before="60"/>
      </w:pPr>
    </w:p>
    <w:p>
      <w:pPr>
        <w:pStyle w:val="Heading3"/>
      </w:pPr>
      <w:r>
        <w:t xml:space="preserve">PAY-1: InstaPay Integration</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Egypt-Native Payments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fund their Nuvé wallet instantly from any Egyptian bank account via InstaPay — the national instant payment system. Transfers settle in under 30 seconds (not hours or days). Both deposits (fund-in) and withdrawals (fund-out) are supported. After a successful deposit, the confirmation says "Your EGP 5,000 has arrived. Ready to invest." — warm, specific, action-oriented. InstaPay's fee structure is shown transparently before the transfer. This is the primary funding method for the majority of users who have bank accounts.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Integration with InstaPay via the Egyptian Banks Company (EBC) API. Fund-in flow: user initiates transfer in-app → payment-service generates a unique transaction reference → sends IPN (Instant Payment Notification) request to EBC API with user's bank IBAN + amount → EBC processes via the Automated Clearing House → settlement confirmation received via webhook (typically &lt; 30 seconds) → payment-service credits user's wallet balance → push notification sent. Fund-out (withdrawal): reverse flow — debit wallet → send IPN to EBC → funds credited to user's bank account. Transaction limits per CBE regulations. Reconciliation: daily automated matching of Nuvé ledger vs. EBC settlement reports via payment-service reconciliation engine. All transactions logged in payment_transactions table with provider_reference for audit.</w:t>
            </w:r>
          </w:p>
        </w:tc>
      </w:tr>
    </w:tbl>
    <w:p>
      <w:pPr>
        <w:spacing w:before="120"/>
      </w:pPr>
    </w:p>
    <w:p>
      <w:pPr>
        <w:pStyle w:val="Heading3"/>
      </w:pPr>
      <w:r>
        <w:t xml:space="preserve">PAY-2: Mobile Wallet Integration</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Egypt-Native Payments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For the 55% of Egyptian mobile money users without traditional bank accounts, Nuvé supports deposits via Vodafone Cash (priority — largest market share), Orange Cash, e&amp; Cash, and WE Pay. Users transfer money from their mobile wallet to their Nuvé account using their phone number. Confirmation arrives within 60 seconds. Each provider's specific fee is displayed transparently before the transfer. Vodafone Cash is required at launch; other providers can follow. This feature is critical for financial inclusion — it means anyone with a mobile wallet can start investing.</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Integration with each mobile wallet provider via their respective B2B APIs. Vodafone Cash: merchant API with webhook callbacks for payment confirmation. Flow: user enters amount → selects wallet provider → payment-service sends payment request to provider API → user confirms on their wallet app → provider sends callback to Nuvé webhook endpoint → wallet balance credited. Each provider has its own API adapter in the payment-service (strategy pattern). Provider configuration stored in admin: API keys, webhook URLs, fee schedules, transaction limits. Minimum viable: Vodafone Cash API at launch. Integration testing requires sandbox environments from each provider. Timeout handling: if no confirmation within 120 seconds, transaction marked as "pending" with polling retry every 30 seconds for 5 minutes.</w:t>
            </w:r>
          </w:p>
        </w:tc>
      </w:tr>
    </w:tbl>
    <w:p>
      <w:pPr>
        <w:spacing w:before="120"/>
      </w:pPr>
    </w:p>
    <w:p>
      <w:pPr>
        <w:pStyle w:val="Heading3"/>
      </w:pPr>
      <w:r>
        <w:t xml:space="preserve">PAY-3: Meeza Card Support</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Egypt-Native Payments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with Meeza prepaid cards (Egypt's national payment card) can deposit funds by entering their card details in a secure form. This serves users who have a Meeza card but no bank account or mobile wallet — another bridge to financial inclusion. Card verification follows PCI-DSS standards (the card number is never stored by Nuvé, only tokenized). Deposit limits follow CBE regulations. A confirmation and receipt are generated for every transaction.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Integration via a PCI-DSS compliant payment gateway (e.g., PayMob, Fawry Pay, or Accept). Card data captured in an iframe/WebView from the gateway (never touches Nuvé servers — PCI scope reduction). Flow: user enters card details in gateway iframe → gateway tokenizes card → sends token to payment-service → payment-service initiates charge via gateway API → 3DS authentication if required → charge confirmed → wallet credited. Card tokens stored for repeat transactions (user opt-in). Transaction limits enforced per CBE e-payment regulations. Receipts generated as PDF and stored in S3.</w:t>
            </w:r>
          </w:p>
        </w:tc>
      </w:tr>
    </w:tbl>
    <w:p>
      <w:pPr>
        <w:spacing w:before="120"/>
      </w:pPr>
    </w:p>
    <w:p>
      <w:r>
        <w:br w:type="page"/>
      </w:r>
    </w:p>
    <w:p>
      <w:pPr>
        <w:pStyle w:val="Heading3"/>
      </w:pPr>
      <w:r>
        <w:t xml:space="preserve">PAY-4: Recurring Investment Plans</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Egypt-Native Payments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set up automatic investments that execute weekly, biweekly, or monthly. They define: the amount (e.g., EGP 3,000), the frequency, and how the money should split across their goals (e.g., 60% to Home, 25% to Education, 15% to Emergency). Investments execute automatically on the chosen day via InstaPay standing order. After each execution, a notification confirms: the amount invested, what was purchased, and the updated balance. Users can pause, resume, or cancel anytime. The messaging reinforces the compounding habit: "EGP 1,000 invested on the 1st of every month. Set it, let your wealth compound."</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Recurring plans stored in recurring_plans table: user_id, amount_egp, frequency (enum: weekly/biweekly/monthly), execution_day (1-28 for monthly, day-of-week for weekly), allocation (JSON: {goal_id: percentage}), payment_method, status (active/paused/cancelled). A BullMQ scheduled job runs at 6:00 AM CLT on each plan's execution day. Job flow: check plan status → verify payment method valid → initiate payment via payment-service → on success, split amount across goals per allocation → execute buy orders per each goal's target allocation → send confirmation notification. Failure handling: retry 3 times over 24 hours → if all fail, notify user + auto-pause plan. Pause/resume/cancel via PUT /api/v1/recurring/{plan_id}. Execution history stored in recurring_executions table with status and order references.</w:t>
            </w:r>
          </w:p>
        </w:tc>
      </w:tr>
    </w:tbl>
    <w:p>
      <w:pPr>
        <w:spacing w:before="120"/>
      </w:pPr>
    </w:p>
    <w:p>
      <w:pPr>
        <w:pStyle w:val="Heading3"/>
      </w:pPr>
      <w:r>
        <w:t xml:space="preserve">PAY-5: Fawry Cash Deposit</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Egypt-Native Payments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For users who prefer cash, Nuvé generates a unique deposit code that can be paid at any of Fawry's 372,000+ agent locations across Egypt. The user enters their desired deposit amount, taps "Generate Code," and receives a numeric code plus a QR code valid for 24 hours. They take this to any Fawry agent, pay cash, and their Nuvé wallet is credited within 30 minutes. Both SMS and in-app confirmations are sent. This bridges the gap between cash and digital investing — a user who only has cash can now invest in EGX stocks.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Integration with Fawry's merchant payment API. Flow: user requests deposit code → payment-service calls Fawry API to generate a unique reference number (6-8 digits) → reference stored in payment_transactions with status "awaiting_payment" and expiry (24 hours). Fawry agent collects cash and processes payment → Fawry sends payment confirmation via callback webhook to Nuvé → payment-service updates transaction status to "completed" → credits wallet → sends push notification + SMS (via Twilio). Expired codes automatically cancelled by a cleanup job. QR code generated client-side encoding the Fawry reference number. Transaction limits: min EGP 100, max EGP 50,000 per transaction. Reconciliation: daily matching against Fawry settlement reports.</w:t>
            </w:r>
          </w:p>
        </w:tc>
      </w:tr>
    </w:tbl>
    <w:p>
      <w:pPr>
        <w:spacing w:before="120"/>
      </w:pPr>
    </w:p>
    <w:p>
      <w:pPr>
        <w:pStyle w:val="Heading2"/>
      </w:pPr>
      <w:r>
        <w:t xml:space="preserve">Insights &amp; Intelligence</w:t>
      </w:r>
    </w:p>
    <w:p>
      <w:pPr>
        <w:pBdr>
          <w:bottom w:val="single" w:color="C5A55A" w:sz="6"/>
        </w:pBdr>
        <w:spacing w:after="140" w:before="60"/>
      </w:pPr>
    </w:p>
    <w:p>
      <w:pPr>
        <w:pStyle w:val="Heading3"/>
      </w:pPr>
      <w:r>
        <w:t xml:space="preserve">INS-1: Portfolio Health Score</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Insights &amp;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 single 0-100 score that tells users how "healthy" their portfolio is, updated daily. The score weighs five factors: diversification (25%) — how well-spread the portfolio is across asset classes; goal alignment (25%) — whether allocations match each goal's timeline; risk-adjusted returns (20%) — returns relative to the risk taken; fee efficiency (15%) — whether the user is paying reasonable fees; rebalancing freshness (15%) — whether the portfolio has been rebalanced recently. Each score comes with 2-3 actionable recommendations, e.g., "Your score is 78. Adding fixed income could improve diversification by 12 points." This makes portfolio management intuitive for non-experts.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Health score computed daily by a scheduled job in the insights-service. For each user, it queries: portfolio-service (current allocation, historical returns), fee data (from payment-service), rebalancing history (from portfolio-service). Each factor is scored 0-100 independently, then combined via weighted average. Diversification score: Herfindahl-Hirschman Index (HHI) of asset class weights, inverted and normalized. Goal alignment: cosine similarity between current allocation and target allocation for each goal. Risk-adjusted returns: Sharpe ratio normalized to 0-100 scale. Fee efficiency: user's effective fee rate vs. category average. Rebalancing freshness: days since last rebalance, mapped to score (0 days = 100, &gt;90 days = 0). Recommendations generated by rule engine: if diversification &lt; 70 AND tbill_weight &lt; 10%, suggest "Adding fixed income." Score stored in user_health_scores table with daily snapshots for trend charting. Exposed via GET /api/v1/insights/health-score/{user_id}.</w:t>
            </w:r>
          </w:p>
        </w:tc>
      </w:tr>
    </w:tbl>
    <w:p>
      <w:pPr>
        <w:spacing w:before="120"/>
      </w:pPr>
    </w:p>
    <w:p>
      <w:r>
        <w:br w:type="page"/>
      </w:r>
    </w:p>
    <w:p>
      <w:pPr>
        <w:pStyle w:val="Heading3"/>
      </w:pPr>
      <w:r>
        <w:t xml:space="preserve">INS-2: Inflation-Adjusted Returns</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Insights &amp;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 Egypt's high-inflation environment (18%+ CPI), a 22% nominal return might sound great — but the real gain is only 4%. Nuvé shows every return metric in three values: nominal return, current inflation rate, and real (inflation-adjusted) return. The copy explains it plainly: "Your portfolio returned 22.4%. After inflation (18.1%), your real gain is 4.3% — your wealth grew in purchasing power." Users can toggle between nominal and real views. Historical real returns are charted over time. This is Nuvé's most distinctive intelligence feature — no competitor in Egypt does this.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Inflation data sourced from CAPMAS (Central Agency for Public Mobilization and Statistics) monthly CPI releases, supplemented by CBE inflation reports. Data ingested via a scheduled job that scrapes/fetches the latest CPI figure monthly and stores it in a reference table (inflation_data: month, yoy_cpi_pct). Real return calculation: real_return = ((1 + nominal_return) / (1 + inflation_rate)) - 1. This is computed at multiple levels: per-position, per-goal, and total portfolio. The insights-service exposes an endpoint GET /api/v1/insights/returns/{goal_id}?adjusted=true that returns both nominal and real return objects. Historical chart data: daily nominal returns stored in TimescaleDB; real returns computed on-the-fly by joining with inflation_data table. Toggle state (nominal/real) is a client-side UI toggle, no separate API call.</w:t>
            </w:r>
          </w:p>
        </w:tc>
      </w:tr>
    </w:tbl>
    <w:p>
      <w:pPr>
        <w:spacing w:before="120"/>
      </w:pPr>
    </w:p>
    <w:p>
      <w:pPr>
        <w:pStyle w:val="Heading3"/>
      </w:pPr>
      <w:r>
        <w:t xml:space="preserve">INS-3: Market Pulse Feed</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Insights &amp;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 curated bilingual news feed showing market events relevant to the user's portfolio. Each update is tagged to specific sectors and assets, so users see portfolio-impact tags like "CBE raised rates by 200bps — positive for your T-bill holdings." Content covers: EGX movements, USD/EGP exchange rate, CBE interest rate decisions, oil prices, and global macro events. Updates are published in both Arabic and English (transcreated by human copywriters, not machine-translated). Minimum 3 updates per trading day. Sources are always attributed.</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Market updates are created by the Content Team via the Admin Panel (ADM-CNT-02). Each update has: headline (EN+AR), body (EN+AR), source_attribution, sector_tags (multi-select), asset_tags (multi-select), urgency (normal/breaking). On publish, the content-service stores the update and triggers the relevance engine: for each user, compute portfolio_relevance_pct by matching sector_tags against user's holdings. Users with relevance &gt; 0% see the update tagged with "Relevant to X% of your portfolio." Breaking updates trigger immediate push notification to relevant users. Feed API: GET /api/v1/content/market-pulse?lang=en&amp;limit=20, paginated. Brand voice checker (ADM-CNT-05) validates all copy against the word bank before publish.</w:t>
            </w:r>
          </w:p>
        </w:tc>
      </w:tr>
    </w:tbl>
    <w:p>
      <w:pPr>
        <w:spacing w:before="120"/>
      </w:pPr>
    </w:p>
    <w:p>
      <w:pPr>
        <w:pStyle w:val="Heading3"/>
      </w:pPr>
      <w:r>
        <w:t xml:space="preserve">INS-4: Dividend &amp; Income Tracker</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Insights &amp;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An aggregated view of all income the user has received from their investments: stock dividends, T-bill coupon payments, and mutual fund distributions. Users see: total income received (year-to-date), next expected payment (amount + date), and projected annual income based on current holdings. A historical timeline shows income growth over months and years. The data is exportable as PDF for tax records. This makes the abstract concept of "passive income" tangible and motivating.</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Income events are captured by the portfolio-service when corporate actions (dividends, distributions) are processed. Each event is stored in income_events table: user_id, goal_id, asset_id, event_type (dividend/coupon/distribution), amount_egp, ex_date, payment_date, status (projected/confirmed/paid). Projected income is calculated from: current holdings × historical dividend yield (for stocks), coupon rate × face value (for T-bills), trailing 12-month distribution rate (for funds). API: GET /api/v1/insights/income/{user_id}?period=ytd returns: total_received, next_expected ({amount, date, source}), projected_annual, monthly_breakdown array. Historical chart data aggregated monthly in TimescaleDB. PDF export via the same Puppeteer pipeline as TRU-6.</w:t>
            </w:r>
          </w:p>
        </w:tc>
      </w:tr>
    </w:tbl>
    <w:p>
      <w:pPr>
        <w:spacing w:before="120"/>
      </w:pPr>
    </w:p>
    <w:p>
      <w:r>
        <w:br w:type="page"/>
      </w:r>
    </w:p>
    <w:p>
      <w:pPr>
        <w:pStyle w:val="Heading3"/>
      </w:pPr>
      <w:r>
        <w:t xml:space="preserve">INS-5: Currency Exposure Monitor</w:t>
      </w:r>
    </w:p>
    <w:p>
      <w:pPr>
        <w:spacing w:after="60"/>
      </w:pPr>
      <w:r>
        <w:rPr>
          <w:rFonts w:ascii="Arial" w:cs="Arial" w:eastAsia="Arial" w:hAnsi="Arial"/>
          <w:b/>
          <w:bCs/>
          <w:color w:val="A68B3E"/>
          <w:sz w:val="14"/>
          <w:szCs w:val="14"/>
        </w:rPr>
        <w:t xml:space="preserve">Phase: Phase 3</w:t>
      </w:r>
      <w:r>
        <w:rPr>
          <w:rFonts w:ascii="Arial" w:cs="Arial" w:eastAsia="Arial" w:hAnsi="Arial"/>
          <w:color w:val="5A6C7E"/>
          <w:sz w:val="14"/>
          <w:szCs w:val="14"/>
        </w:rPr>
        <w:t xml:space="preserve">  |  Category: Insights &amp;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For Egyptian investors worried about EGP devaluation, this feature shows their portfolio's breakdown by currency exposure: what percentage is in EGP-denominated assets, USD-linked assets (like gold or dollar-settled funds), and other currencies. A plain-language explanation says "35% of your portfolio is in USD-linked assets, helping protect against EGP depreciation." A historical trend shows how currency exposure has changed over time. A scenario tool shows: "If EGP depreciates 10%, your portfolio would gain/lose X%." This addresses the #1 macroeconomic anxiety of Egyptian investors.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Currency exposure is computed by the insights-service by classifying each asset in the user's portfolio by its currency denomination: EGP (stocks, T-bills, EGP money market), USD-linked (gold priced in USD, dollar funds), multi-currency (some mutual funds with international exposure). Classification is a static attribute on each asset in the asset registry (currency_exposure: enum array). Aggregate computation: sum(position_value) grouped by currency_exposure, expressed as percentages. Scenario calculation: apply FX rate change to USD-linked portion → compute portfolio impact. Historical data: daily currency exposure snapshots stored in TimescaleDB. API: GET /api/v1/insights/currency-exposure/{user_id}. FX rates sourced from CBE daily rates API.</w:t>
            </w:r>
          </w:p>
        </w:tc>
      </w:tr>
    </w:tbl>
    <w:p>
      <w:pPr>
        <w:spacing w:before="120"/>
      </w:pPr>
    </w:p>
    <w:p>
      <w:pPr>
        <w:pStyle w:val="Heading2"/>
      </w:pPr>
      <w:r>
        <w:t xml:space="preserve">User Experience</w:t>
      </w:r>
    </w:p>
    <w:p>
      <w:pPr>
        <w:pBdr>
          <w:bottom w:val="single" w:color="C5A55A" w:sz="6"/>
        </w:pBdr>
        <w:spacing w:after="140" w:before="60"/>
      </w:pPr>
    </w:p>
    <w:p>
      <w:pPr>
        <w:pStyle w:val="Heading3"/>
      </w:pPr>
      <w:r>
        <w:t xml:space="preserve">UXE-1: Bilingual AR/EN</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User Experience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entire app is available in Arabic and English with proper right-to-left (RTL) layout mirroring in Arabic mode. Arabic numerals use Eastern Arabic-Indic digits (٠١٢٣). Financial terms use established Arabic vocabulary (not literal translations). Typography pairs a Latin font (Helvetica or similar) with Cairo or IBM Plex Sans Arabic. The language toggle is accessible from both Settings and the onboarding flow. All copy is transcreated by a native Arabic copywriter — never machine-translated. This ensures the app feels natural and culturally appropriate in both languages.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Internationalization uses react-i18next with two locale bundles (en.json, ar.json). RTL layout: React Native's I18nManager.forceRTL(true) when Arabic is selected, which mirrors all flexbox layouts, margins, paddings, and text alignment. Number formatting: Intl.NumberFormat with locale 'ar-EG' for Arabic-Indic numerals. Font loading: custom fonts registered via react-native-asset. Language preference stored in user_preferences and AsyncStorage for offline. All API responses include both EN and AR text fields (e.g., asset.name_en, asset.name_ar). The client renders the appropriate field based on current locale. RTL testing: every screen must be visually verified in both LTR and RTL modes.</w:t>
            </w:r>
          </w:p>
        </w:tc>
      </w:tr>
    </w:tbl>
    <w:p>
      <w:pPr>
        <w:spacing w:before="120"/>
      </w:pPr>
    </w:p>
    <w:p>
      <w:pPr>
        <w:pStyle w:val="Heading3"/>
      </w:pPr>
      <w:r>
        <w:t xml:space="preserve">UXE-2: Progressive Onboarding</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User Experience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Onboarding is a guided 3-stage journey designed to feel quick and encouraging, not bureaucratic. Stage 1: Account creation + eKYC verification (target: 3 minutes). Stage 2: Risk profiling + first goal creation (target: 5 minutes). Stage 3: First investment (target: 2 minutes). Progress is saved between sessions — if a user closes the app mid-onboarding, they resume exactly where they left off. Celebratory copy appears at each stage completion. Stage 3 has a skip option (users can invest later). The overall tone is warm: "Let's get started" → "Your account is ready" → "You're all set!"</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Onboarding state tracked in a user_onboarding table: user_id, current_stage (1/2/3/completed), stage_1_status (pending/completed), stage_2_status, stage_3_status, last_active_step (specific screen ID for resume), created_at, updated_at. On app launch, if onboarding != completed, the router redirects to the appropriate screen based on last_active_step. Stage completion triggers: status update + celebratory screen + push notification scheduling (welcome notification 24h after completion). Skip logic: if user skips Stage 3, status set to "completed" with stage_3_status = "skipped" — a re-engagement notification is scheduled for T+3 days. Analytics events fire at each step for funnel analysis (tracked in Mixpanel).</w:t>
            </w:r>
          </w:p>
        </w:tc>
      </w:tr>
    </w:tbl>
    <w:p>
      <w:pPr>
        <w:spacing w:before="120"/>
      </w:pPr>
    </w:p>
    <w:p>
      <w:r>
        <w:br w:type="page"/>
      </w:r>
    </w:p>
    <w:p>
      <w:pPr>
        <w:pStyle w:val="Heading3"/>
      </w:pPr>
      <w:r>
        <w:t xml:space="preserve">UXE-3: Milestones &amp; Streaks</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User Experience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Users are celebrated for consistent investing behavior with milestone notifications. Types include: first investment, 3-month investing streak, 6-month streak, 12-month streak, first dividend received, portfolio doubles in value, goal reaches 50%, goal fully achieved. Each milestone has a unique animation and message using the brand word bank: "build, grow, compound, progress." These are genuine celebrations of financial progress — not gamification gimmicks like points or badges. The tone is encouraging and specific: "You've invested consistently for 6 months. Your portfolio has grown 14.2% since you started."</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Milestones tracked by the insights-service via event listeners. Streak detection: a scheduled job runs daily checking each user's investment activity (any buy order or recurring execution in the trailing period). Streak data stored in user_milestones table: user_id, milestone_type (enum), achieved_at, notified (boolean). Milestone triggers: first_investment (first buy order), streak_3m (investment in each of last 3 calendar months), streak_6m, streak_12m, first_dividend (first income_event), portfolio_double (current_value &gt;= 2 * total_deposits), goal_50 (goal progress &gt;= 50%), goal_achieved (goal progress &gt;= 100%). On trigger: insert milestone record → send push notification with milestone-specific template (from notification-service) → mark notified = true. Animation assets stored as Lottie JSON files in the app bundle, keyed by milestone_type.</w:t>
            </w:r>
          </w:p>
        </w:tc>
      </w:tr>
    </w:tbl>
    <w:p>
      <w:pPr>
        <w:spacing w:before="120"/>
      </w:pPr>
    </w:p>
    <w:p>
      <w:pPr>
        <w:pStyle w:val="Heading3"/>
      </w:pPr>
      <w:r>
        <w:t xml:space="preserve">UXE-4: Financial Learning Hub</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User Experience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 learning section woven into the app with three content types: explainer articles (2-3 minute reads), short videos (60 seconds), and an interactive glossary. Content is contextual — tapping any financial term in the app shows an inline definition popup. Topics cover: investing basics, understanding the EGX, mutual funds explained, reading financial statements, and how inflation affects savings. The language follows the Sage-Guide personality: "understand, explore, learn, discover." Never: "let us explain" or "you should know." Content is available in both Arabic and English.</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Content managed via the Admin Panel CMS (ADM-CNT-01). Content types stored in learning_content table: id, type (article/video/glossary_term), title_en, title_ar, body_en (HTML), body_ar (HTML), category, read_time_seconds, status (draft/published/archived), created_by, published_at. Glossary terms stored in glossary table: term_en, term_ar, definition_en, definition_ar, related_asset_types. Contextual glossary: the mobile app parses rendered text for terms matching glossary entries and wraps them in tappable spans (using a custom React Native text component). Tap → bottom sheet with definition. Video hosting: uploaded to S3, streamed via CloudFront CDN. Read tracking: learning_progress table logs user_id, content_id, started_at, completed_at for engagement analytics.</w:t>
            </w:r>
          </w:p>
        </w:tc>
      </w:tr>
    </w:tbl>
    <w:p>
      <w:pPr>
        <w:spacing w:before="120"/>
      </w:pPr>
    </w:p>
    <w:p>
      <w:pPr>
        <w:pStyle w:val="Heading3"/>
      </w:pPr>
      <w:r>
        <w:t xml:space="preserve">UXE-5: Intelligent Notifications</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User Experience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Push notifications follow strict brand voice rules across four categories. Market updates: "EGX30 rose 2.1% today. Your portfolio is up 1.8%." — informative, never alarmist. Milestones: celebratory with specific numbers. Rebalancing: explanatory with an approve/defer call-to-action. Regulatory: factual and neutral. NEVER used: "ACT NOW," "markets crashing," "don't miss out" — these violate the brand word bank. Users can customize which notification categories they receive and set quiet hours (e.g., no notifications between 10 PM and 8 AM). Every notification is reviewed against voice pillars before deployment.</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Notifications sent via Firebase Cloud Messaging (FCM) for push and the notification-service for in-app messages. Templates stored in notification_templates table: template_id, category (market/milestone/rebalance/regulatory/system), title_template, body_template (with variable placeholders like {first_name}, {portfolio_value}), channels (push/in_app/email). User preferences stored in notification_preferences: user_id, category, enabled (boolean), quiet_hours_start, quiet_hours_end. Before sending, the notification-service checks: (1) user has category enabled, (2) current time is outside quiet hours, (3) template passes brand voice lint (checked at template creation in admin). Delivery tracking: notification_logs table with user_id, template_id, channel, sent_at, delivered_at, opened_at. Rate limiting: max 5 push notifications per user per day.</w:t>
            </w:r>
          </w:p>
        </w:tc>
      </w:tr>
    </w:tbl>
    <w:p>
      <w:pPr>
        <w:spacing w:before="120"/>
      </w:pPr>
    </w:p>
    <w:p>
      <w:r>
        <w:br w:type="page"/>
      </w:r>
    </w:p>
    <w:p>
      <w:pPr>
        <w:pStyle w:val="Heading3"/>
      </w:pPr>
      <w:r>
        <w:t xml:space="preserve">UXE-6: Empathetic Error States</w:t>
      </w:r>
    </w:p>
    <w:p>
      <w:pPr>
        <w:spacing w:after="60"/>
      </w:pPr>
      <w:r>
        <w:rPr>
          <w:rFonts w:ascii="Arial" w:cs="Arial" w:eastAsia="Arial" w:hAnsi="Arial"/>
          <w:b/>
          <w:bCs/>
          <w:color w:val="A68B3E"/>
          <w:sz w:val="14"/>
          <w:szCs w:val="14"/>
        </w:rPr>
        <w:t xml:space="preserve">Phase: MVP</w:t>
      </w:r>
      <w:r>
        <w:rPr>
          <w:rFonts w:ascii="Arial" w:cs="Arial" w:eastAsia="Arial" w:hAnsi="Arial"/>
          <w:color w:val="5A6C7E"/>
          <w:sz w:val="14"/>
          <w:szCs w:val="14"/>
        </w:rPr>
        <w:t xml:space="preserve">  |  Category: User Experience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Every error message follows a three-part pattern: [What happened] + [Reassurance] + [Next step]. Example: "This transfer couldn't be completed. Your funds haven't been moved. Try again or contact support." NEVER shown: system codes ("Error 403"), technical jargon ("Transaction failed — null reference"), or blame language. All error copy is reviewed against the Warm Voice and Clear Voice pillars. A support channel (chat or phone) is accessible from every error screen. Error screens use amber warning icons (not alarming red) and empathetic messaging. The goal: users should feel supported during errors, not abandoned.</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Error handling is standardized across all services via an error response schema: {error_code (internal, never shown to user), error_type (enum: network/server/auth/payment/validation), user_message_en, user_message_ar, reassurance_en, reassurance_ar, action_label_en, action_label_ar, action_deep_link, support_available (boolean)}. Client-side error handler maps error responses to the appropriate error screen component (ERR-01 through ERR-04, or inline error for form validation). Network errors detected client-side trigger ERR-01 (offline) with cached data fallback. Server 5xx errors trigger ERR-02. Auth errors trigger ERR-03 (session expired). All error occurrences logged in error_events table for monitoring. Support deep-link opens Odoo Helpdesk chat widget. Error copy templates maintained in the notification-service template system with brand voice lint validation.</w:t>
            </w:r>
          </w:p>
        </w:tc>
      </w:tr>
    </w:tbl>
    <w:p>
      <w:pPr>
        <w:spacing w:before="120"/>
      </w:pPr>
    </w:p>
    <w:p>
      <w:pPr>
        <w:pStyle w:val="Heading2"/>
      </w:pPr>
      <w:r>
        <w:t xml:space="preserve">Expansion &amp; Premium</w:t>
      </w:r>
    </w:p>
    <w:p>
      <w:pPr>
        <w:pBdr>
          <w:bottom w:val="single" w:color="C5A55A" w:sz="6"/>
        </w:pBdr>
        <w:spacing w:after="140" w:before="60"/>
      </w:pPr>
    </w:p>
    <w:p>
      <w:pPr>
        <w:pStyle w:val="Heading3"/>
      </w:pPr>
      <w:r>
        <w:t xml:space="preserve">EXP-1: Expat Remote Investing</w:t>
      </w:r>
    </w:p>
    <w:p>
      <w:pPr>
        <w:spacing w:after="60"/>
      </w:pPr>
      <w:r>
        <w:rPr>
          <w:rFonts w:ascii="Arial" w:cs="Arial" w:eastAsia="Arial" w:hAnsi="Arial"/>
          <w:b/>
          <w:bCs/>
          <w:color w:val="A68B3E"/>
          <w:sz w:val="14"/>
          <w:szCs w:val="14"/>
        </w:rPr>
        <w:t xml:space="preserve">Phase: Phase 3</w:t>
      </w:r>
      <w:r>
        <w:rPr>
          <w:rFonts w:ascii="Arial" w:cs="Arial" w:eastAsia="Arial" w:hAnsi="Arial"/>
          <w:color w:val="5A6C7E"/>
          <w:sz w:val="14"/>
          <w:szCs w:val="14"/>
        </w:rPr>
        <w:t xml:space="preserve">  |  Category: Expansion &amp; Premium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Egyptian expats living in the Gulf, Europe, or elsewhere can open and manage an investment account entirely from abroad. Onboarding uses their passport instead of a national ID, plus a proof of residence from their host country. They can deposit in foreign currencies — AED, SAR, USD, EUR — with the FX conversion rate shown transparently before the transfer. The messaging speaks to their identity: "Stay connected to Egypt's growth story — invest from anywhere." The feature must comply with both Egyptian and host country regulations (particularly around cross-border financial services).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Modified onboarding flow (EXPAT-03): passport OCR (different eKYC model than national ID), proof of address upload (utility bill/residence permit — manual review in admin), country of residence selector (impacts regulatory requirements), tax residency declaration form. Multi-currency deposits via international payment rails: SWIFT/IBAN for bank transfers, international card payments via payment gateway. FX conversion: real-time rates from CBE FX API, rate locked for 60 seconds after quote, conversion executed at locked rate. FX fee calculated and displayed transparently. Compliance: additional screening against OFAC/EU sanctions lists. User record extended with: passport_number, country_of_residence, tax_residency, is_expat (boolean). Separate KYC approval workflow in admin for expat applications (higher scrutiny).</w:t>
            </w:r>
          </w:p>
        </w:tc>
      </w:tr>
    </w:tbl>
    <w:p>
      <w:pPr>
        <w:spacing w:before="120"/>
      </w:pPr>
    </w:p>
    <w:p>
      <w:pPr>
        <w:pStyle w:val="Heading3"/>
      </w:pPr>
      <w:r>
        <w:t xml:space="preserve">EXP-2: Advisor Chat</w:t>
      </w:r>
    </w:p>
    <w:p>
      <w:pPr>
        <w:spacing w:after="60"/>
      </w:pPr>
      <w:r>
        <w:rPr>
          <w:rFonts w:ascii="Arial" w:cs="Arial" w:eastAsia="Arial" w:hAnsi="Arial"/>
          <w:b/>
          <w:bCs/>
          <w:color w:val="A68B3E"/>
          <w:sz w:val="14"/>
          <w:szCs w:val="14"/>
        </w:rPr>
        <w:t xml:space="preserve">Phase: Phase 3</w:t>
      </w:r>
      <w:r>
        <w:rPr>
          <w:rFonts w:ascii="Arial" w:cs="Arial" w:eastAsia="Arial" w:hAnsi="Arial"/>
          <w:color w:val="5A6C7E"/>
          <w:sz w:val="14"/>
          <w:szCs w:val="14"/>
        </w:rPr>
        <w:t xml:space="preserve">  |  Category: Expansion &amp; Premium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Premium investors can message Acumen's advisory team directly within the app and schedule 30-minute video consultations. Messages are encrypted and logged. During video calls, the advisor can view the user's portfolio (with user permission) to give specific guidance. This is a paid feature — either bundled with a premium subscription tier or available to users above a certain AUM threshold. It integrates Acumen Advisory and Activism's existing team, creating a direct channel between institutional expertise and individual investors.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In-app messaging via a real-time chat service (WebSocket-based, or integration with a managed service like SendBird/Stream). Messages stored encrypted (AES-256) in chat_messages table: conversation_id, sender_type (user/advisor), message_text, attachments, timestamp, read_at. Video consultations: scheduling via Google Calendar API integration, video via a WebRTC-based service (Daily.co, Twilio Video, or Agora). During call, portfolio sharing: advisor's view pulls from GET /api/v1/portfolio/{user_id} (requires user's explicit permission toggle during session). Access control: premium feature gated by subscription_tier or aum_threshold in user record. Advisor UI: integrated into admin panel as a dedicated module with conversation list, user portfolio preview, and scheduling calendar.</w:t>
            </w:r>
          </w:p>
        </w:tc>
      </w:tr>
    </w:tbl>
    <w:p>
      <w:pPr>
        <w:spacing w:before="120"/>
      </w:pPr>
    </w:p>
    <w:p>
      <w:r>
        <w:br w:type="page"/>
      </w:r>
    </w:p>
    <w:p>
      <w:pPr>
        <w:pStyle w:val="Heading3"/>
      </w:pPr>
      <w:r>
        <w:t xml:space="preserve">EXP-3: Family Portfolio Views</w:t>
      </w:r>
    </w:p>
    <w:p>
      <w:pPr>
        <w:spacing w:after="60"/>
      </w:pPr>
      <w:r>
        <w:rPr>
          <w:rFonts w:ascii="Arial" w:cs="Arial" w:eastAsia="Arial" w:hAnsi="Arial"/>
          <w:b/>
          <w:bCs/>
          <w:color w:val="A68B3E"/>
          <w:sz w:val="14"/>
          <w:szCs w:val="14"/>
        </w:rPr>
        <w:t xml:space="preserve">Phase: Phase 3</w:t>
      </w:r>
      <w:r>
        <w:rPr>
          <w:rFonts w:ascii="Arial" w:cs="Arial" w:eastAsia="Arial" w:hAnsi="Arial"/>
          <w:color w:val="5A6C7E"/>
          <w:sz w:val="14"/>
          <w:szCs w:val="14"/>
        </w:rPr>
        <w:t xml:space="preserve">  |  Category: Expansion &amp; Premium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Parents can create up to 5 linked sub-portfolios for children's education, family emergency reserves, or household wealth tracking. Each sub-portfolio has its own goal, timeline, and progress visualization. A household-level dashboard rolls up all sub-portfolios into a combined view showing total family wealth. Family members can be given view-only access (they can see progress but can't trade), while the primary account holder retains full management control. The copy reinforces family values: "Your family's wealth, growing together."</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Data model: family_group table (family_id, primary_user_id), family_members table (family_id, member_user_id, relationship, permission_level: view_only/manage). Sub-portfolios are standard goal records with a family_group_id foreign key. Household dashboard aggregates: SELECT SUM(current_value) FROM portfolios WHERE goal_id IN (SELECT id FROM goals WHERE user_id IN (SELECT member_user_id FROM family_members WHERE family_id = X)). Permission enforcement: API middleware checks permission_level before allowing write operations on family member portfolios. Invitation flow: primary user sends invite via email/SMS → invitee creates account (simplified onboarding, no separate KYC if minor) → linked to family group. Maximum 5 sub-portfolios per family group. Family dashboard is a separate screen (FAM-01) with aggregate stats and per-member cards.</w:t>
            </w:r>
          </w:p>
        </w:tc>
      </w:tr>
    </w:tbl>
    <w:p>
      <w:pPr>
        <w:spacing w:before="120"/>
      </w:pPr>
    </w:p>
    <w:p>
      <w:pPr>
        <w:pStyle w:val="Heading3"/>
      </w:pPr>
      <w:r>
        <w:t xml:space="preserve">EXP-4: Zakat Calculator</w:t>
      </w:r>
    </w:p>
    <w:p>
      <w:pPr>
        <w:spacing w:after="60"/>
      </w:pPr>
      <w:r>
        <w:rPr>
          <w:rFonts w:ascii="Arial" w:cs="Arial" w:eastAsia="Arial" w:hAnsi="Arial"/>
          <w:b/>
          <w:bCs/>
          <w:color w:val="A68B3E"/>
          <w:sz w:val="14"/>
          <w:szCs w:val="14"/>
        </w:rPr>
        <w:t xml:space="preserve">Phase: Phase 2</w:t>
      </w:r>
      <w:r>
        <w:rPr>
          <w:rFonts w:ascii="Arial" w:cs="Arial" w:eastAsia="Arial" w:hAnsi="Arial"/>
          <w:color w:val="5A6C7E"/>
          <w:sz w:val="14"/>
          <w:szCs w:val="14"/>
        </w:rPr>
        <w:t xml:space="preserve">  |  Category: Expansion &amp; Premium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app automatically calculates the user's annual Zakat obligation based on their portfolio value, asset types, and the current nisab threshold (the minimum wealth above which Zakat is due). The calculation breaks down by asset class: stocks, gold, and cash each have specific Zakat rules. Users can add assets held outside Nuvé (savings accounts, real estate value) for a complete picture. One-tap payment to verified charitable organizations is available. The feature is prominently promoted during Ramadan. The voice is facilitative and respectful — never preachy or presumptuous about religious obligations.</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Zakat calculation engine in the insights-service. Inputs: portfolio positions (from portfolio-service), wallet balance, user-entered external assets (stored in user_zakat_data table). Nisab threshold: computed from current gold price × 85 grams (stored in reference table, updated daily from gold price feed). Calculation: for each asset class, apply Zakat rate (2.5% of market value for stocks/cash/gold held &gt; 1 lunar year). Output: zakat_total, breakdown by asset class, nisab_threshold_egp. Charity payment: integration with verified charities via their payment APIs (list managed in admin). Payment flow: user selects charity → confirms amount → payment-service processes transfer → receipt generated. Ramadan promotion: feature flag in admin controls seasonal UI emphasis (banner on Insights dashboard during Ramadan dates). API: GET /api/v1/zakat/calculate/{user_id}, POST /api/v1/zakat/pay.</w:t>
            </w:r>
          </w:p>
        </w:tc>
      </w:tr>
    </w:tbl>
    <w:p>
      <w:pPr>
        <w:spacing w:before="120"/>
      </w:pPr>
    </w:p>
    <w:p>
      <w:pPr>
        <w:pStyle w:val="Heading3"/>
      </w:pPr>
      <w:r>
        <w:t xml:space="preserve">EXP-5: Tax Reporting Assistant</w:t>
      </w:r>
    </w:p>
    <w:p>
      <w:pPr>
        <w:spacing w:after="60"/>
      </w:pPr>
      <w:r>
        <w:rPr>
          <w:rFonts w:ascii="Arial" w:cs="Arial" w:eastAsia="Arial" w:hAnsi="Arial"/>
          <w:b/>
          <w:bCs/>
          <w:color w:val="A68B3E"/>
          <w:sz w:val="14"/>
          <w:szCs w:val="14"/>
        </w:rPr>
        <w:t xml:space="preserve">Phase: Phase 3</w:t>
      </w:r>
      <w:r>
        <w:rPr>
          <w:rFonts w:ascii="Arial" w:cs="Arial" w:eastAsia="Arial" w:hAnsi="Arial"/>
          <w:color w:val="5A6C7E"/>
          <w:sz w:val="14"/>
          <w:szCs w:val="14"/>
        </w:rPr>
        <w:t xml:space="preserve">  |  Category: Expansion &amp; Premium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The app generates capital gains reports for Egyptian tax filing, automatically calculating holding periods and classifying gains as short-term or long-term. Users see: total realized gains/losses, per-position detail (buy date, sell date, buy price, sell price, gain/loss, holding period), and total dividend income. Reports are exportable as PDF formatted for the Egyptian tax authority. The copy is empowering: "Your tax summary is ready. Here's what you need for filing." A disclaimer advises users to consult their tax advisor for final filing.</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Tax computation engine in the insights-service. Data sources: closed positions from portfolio-service (positions table where quantity = 0, with buy_date, sell_date, avg_cost_basis, sell_price), income events from income_events table. Holding period: diff(sell_date, buy_date) in days. Classification: &lt; 365 days = short-term, &gt;= 365 days = long-term (per Egyptian capital gains tax law). Report generation: API GET /api/v1/tax/report/{user_id}?year=2026 returns: total_realized_gains, short_term_gains, long_term_gains, total_dividend_income, per_position_detail array. PDF export uses a tax-specific template with fields matching Egyptian Tax Authority requirements. Disclaimer text included in every generated report. Report history stored for 7 years per retention policy.</w:t>
            </w:r>
          </w:p>
        </w:tc>
      </w:tr>
    </w:tbl>
    <w:p>
      <w:pPr>
        <w:spacing w:before="120"/>
      </w:pPr>
    </w:p>
    <w:p>
      <w:r>
        <w:br w:type="page"/>
      </w:r>
    </w:p>
    <w:p>
      <w:pPr>
        <w:pStyle w:val="Heading3"/>
      </w:pPr>
      <w:r>
        <w:t xml:space="preserve">EXP-6: SME / Family Office Dashboard</w:t>
      </w:r>
    </w:p>
    <w:p>
      <w:pPr>
        <w:spacing w:after="60"/>
      </w:pPr>
      <w:r>
        <w:rPr>
          <w:rFonts w:ascii="Arial" w:cs="Arial" w:eastAsia="Arial" w:hAnsi="Arial"/>
          <w:b/>
          <w:bCs/>
          <w:color w:val="A68B3E"/>
          <w:sz w:val="14"/>
          <w:szCs w:val="14"/>
        </w:rPr>
        <w:t xml:space="preserve">Phase: Phase 3</w:t>
      </w:r>
      <w:r>
        <w:rPr>
          <w:rFonts w:ascii="Arial" w:cs="Arial" w:eastAsia="Arial" w:hAnsi="Arial"/>
          <w:color w:val="5A6C7E"/>
          <w:sz w:val="14"/>
          <w:szCs w:val="14"/>
        </w:rPr>
        <w:t xml:space="preserve">  |  Category: Expansion &amp; Premium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c>
          <w:tcPr>
            <w:tcW w:type="dxa" w:w="1100"/>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Perspective</w:t>
            </w:r>
          </w:p>
        </w:tc>
        <w:tc>
          <w:tcPr>
            <w:tcW w:type="dxa" w:w="8406"/>
            <w:tcBorders>
              <w:top w:val="single" w:color="E8E4DC" w:sz="1"/>
              <w:left w:val="single" w:color="E8E4DC" w:sz="1"/>
              <w:bottom w:val="single" w:color="E8E4DC" w:sz="1"/>
              <w:right w:val="single" w:color="E8E4D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Description</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Business</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A separate interface tier for institutional clients (SMEs, family offices) with features not available to individual investors: multi-portfolio views for treasury management, delegate access with role-based permissions (viewer, operator, admin), custom reporting (performance, allocation, compliance), and API integration with existing treasury/ERP systems. This feature bridges Nuvé (consumer product) to Acumen's existing B2B advisory business. It positions Nuvé as a platform that can serve both retail investors and institutional clients from a single technology stack.</w:t>
            </w:r>
          </w:p>
        </w:tc>
      </w:tr>
      <w:tr>
        <w:tc>
          <w:tcPr>
            <w:tcW w:type="dxa" w:w="1100"/>
            <w:tcBorders>
              <w:top w:val="single" w:color="E8E4DC" w:sz="1"/>
              <w:left w:val="single" w:color="E8E4DC" w:sz="1"/>
              <w:bottom w:val="single" w:color="E8E4DC" w:sz="1"/>
              <w:right w:val="single" w:color="E8E4DC" w:sz="1"/>
            </w:tcBorders>
            <w:shd w:fill="F7F6F2" w:val="clear"/>
            <w:tcMar>
              <w:top w:type="dxa" w:w="60"/>
              <w:left w:type="dxa" w:w="100"/>
              <w:bottom w:type="dxa" w:w="60"/>
              <w:right w:type="dxa" w:w="100"/>
            </w:tcMar>
          </w:tcPr>
          <w:p>
            <w:pPr>
              <w:spacing w:line="280"/>
            </w:pPr>
            <w:r>
              <w:rPr>
                <w:rFonts w:ascii="Arial" w:cs="Arial" w:eastAsia="Arial" w:hAnsi="Arial"/>
                <w:color w:val="2C3E50"/>
                <w:sz w:val="16"/>
                <w:szCs w:val="16"/>
              </w:rPr>
              <w:t xml:space="preserve">⚙️ Technical</w:t>
            </w:r>
          </w:p>
        </w:tc>
        <w:tc>
          <w:tcPr>
            <w:tcW w:type="dxa" w:w="8406"/>
            <w:tcBorders>
              <w:top w:val="single" w:color="E8E4DC" w:sz="1"/>
              <w:left w:val="single" w:color="E8E4DC" w:sz="1"/>
              <w:bottom w:val="single" w:color="E8E4DC" w:sz="1"/>
              <w:right w:val="single" w:color="E8E4DC" w:sz="1"/>
            </w:tcBorders>
            <w:shd w:fill="FFFFFF" w:val="clear"/>
            <w:tcMar>
              <w:top w:type="dxa" w:w="60"/>
              <w:left w:type="dxa" w:w="100"/>
              <w:bottom w:type="dxa" w:w="60"/>
              <w:right w:type="dxa" w:w="100"/>
            </w:tcMar>
          </w:tcPr>
          <w:p>
            <w:pPr>
              <w:spacing w:line="280"/>
            </w:pPr>
            <w:r>
              <w:rPr>
                <w:rFonts w:ascii="Arial" w:cs="Arial" w:eastAsia="Arial" w:hAnsi="Arial"/>
                <w:color w:val="2C3E50"/>
                <w:sz w:val="16"/>
                <w:szCs w:val="16"/>
              </w:rPr>
              <w:t xml:space="preserve">Implemented as a separate web portal (not mobile) using Next.js 14 with Ant Design Pro. Authentication: Odoo SSO (same as admin panel) with additional role: "institutional_client." Data model: institution table (institution_id, name, type: sme/family_office), institution_users (institution_id, user_id, role: viewer/operator/admin), institution_portfolios (institution_id, portfolio_id). Custom reporting: scheduled report generation via Puppeteer with institution-branded templates. API integration: REST API with API key authentication, endpoints for: portfolio positions, transaction history, NAV calculations, allocation reports. Rate-limited to 100 requests/minute. Webhook support for real-time position updates. Documentation via Swagger/OpenAPI. Bridges to Acumen's existing CRM in Odoo via JSON-RPC sync.</w:t>
            </w:r>
          </w:p>
        </w:tc>
      </w:tr>
    </w:tbl>
    <w:p>
      <w:pPr>
        <w:spacing w:before="120"/>
      </w:pPr>
    </w:p>
    <w:p>
      <w:pPr>
        <w:pBdr>
          <w:bottom w:val="single" w:color="C5A55A" w:sz="6"/>
        </w:pBdr>
        <w:spacing w:after="140" w:before="60"/>
      </w:pPr>
    </w:p>
    <w:p>
      <w:pPr>
        <w:spacing w:after="80" w:before="200"/>
        <w:jc w:val="center"/>
      </w:pPr>
      <w:r>
        <w:rPr>
          <w:rFonts w:ascii="Arial" w:cs="Arial" w:eastAsia="Arial" w:hAnsi="Arial"/>
          <w:color w:val="5A6C7E"/>
          <w:sz w:val="18"/>
          <w:szCs w:val="18"/>
        </w:rPr>
        <w:t xml:space="preserve">End of Feature Design Guide</w:t>
      </w:r>
    </w:p>
    <w:p>
      <w:pPr>
        <w:jc w:val="center"/>
      </w:pPr>
      <w:r>
        <w:rPr>
          <w:rFonts w:ascii="Arial" w:cs="Arial" w:eastAsia="Arial" w:hAnsi="Arial"/>
          <w:color w:val="A68B3E"/>
          <w:sz w:val="16"/>
          <w:szCs w:val="16"/>
        </w:rPr>
        <w:t xml:space="preserve">27 Features · 6 Categories · Business + Technical Perspectives · Nuvé by Acumen</w:t>
      </w:r>
    </w:p>
    <w:sectPr>
      <w:headerReference w:type="default" r:id="rId7"/>
      <w:footerReference w:type="default" r:id="rId8"/>
      <w:pgSz w:w="11906" w:h="16838" w:orient="portrait"/>
      <w:pgMar w:top="1600" w:right="11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2" w:space="4"/>
      </w:pBdr>
      <w:tabs>
        <w:tab w:val="right" w:pos="9506"/>
      </w:tabs>
    </w:pPr>
    <w:r>
      <w:rPr>
        <w:rFonts w:ascii="Arial" w:cs="Arial" w:eastAsia="Arial" w:hAnsi="Arial"/>
        <w:color w:val="5A6C7E"/>
        <w:sz w:val="12"/>
        <w:szCs w:val="12"/>
      </w:rPr>
      <w:t xml:space="preserve">© 2026 Acumen Holding</w:t>
    </w:r>
    <w:r>
      <w:rPr>
        <w:rFonts w:ascii="Arial" w:cs="Arial" w:eastAsia="Arial" w:hAnsi="Arial"/>
        <w:color w:val="5A6C7E"/>
        <w:sz w:val="12"/>
        <w:szCs w:val="12"/>
      </w:rPr>
      <w:t xml:space="preserve">	Page </w:t>
    </w:r>
    <w:r>
      <w:rPr>
        <w:rFonts w:ascii="Arial" w:cs="Arial" w:eastAsia="Arial" w:hAnsi="Arial"/>
        <w:color w:val="5A6C7E"/>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4" w:space="4"/>
      </w:pBdr>
      <w:tabs>
        <w:tab w:val="right" w:pos="9506"/>
      </w:tabs>
    </w:pPr>
    <w:r>
      <w:rPr>
        <w:rFonts w:ascii="Arial" w:cs="Arial" w:eastAsia="Arial" w:hAnsi="Arial"/>
        <w:b/>
        <w:bCs/>
        <w:color w:val="1B2A4A"/>
        <w:sz w:val="12"/>
        <w:szCs w:val="12"/>
      </w:rPr>
      <w:t xml:space="preserve">NUVÉ</w:t>
    </w:r>
    <w:r>
      <w:rPr>
        <w:rFonts w:ascii="Arial" w:cs="Arial" w:eastAsia="Arial" w:hAnsi="Arial"/>
        <w:color w:val="5A6C7E"/>
        <w:sz w:val="12"/>
        <w:szCs w:val="12"/>
      </w:rPr>
      <w:t xml:space="preserve">	Feature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Arial" w:cs="Arial" w:eastAsia="Arial" w:hAnsi="Arial"/>
      <w:b/>
      <w:bCs/>
      <w:color w:val="1B2A4A"/>
      <w:sz w:val="32"/>
      <w:szCs w:val="32"/>
    </w:rPr>
  </w:style>
  <w:style w:type="paragraph" w:styleId="Heading2">
    <w:name w:val="Heading 2"/>
    <w:basedOn w:val="Normal"/>
    <w:next w:val="Normal"/>
    <w:qFormat/>
    <w:pPr>
      <w:spacing w:after="110" w:before="220"/>
    </w:pPr>
    <w:rPr>
      <w:rFonts w:ascii="Arial" w:cs="Arial" w:eastAsia="Arial" w:hAnsi="Arial"/>
      <w:b/>
      <w:bCs/>
      <w:color w:val="1B2A4A"/>
      <w:sz w:val="26"/>
      <w:szCs w:val="26"/>
    </w:rPr>
  </w:style>
  <w:style w:type="paragraph" w:styleId="Heading3">
    <w:name w:val="Heading 3"/>
    <w:basedOn w:val="Normal"/>
    <w:next w:val="Normal"/>
    <w:qFormat/>
    <w:pPr>
      <w:spacing w:after="80" w:before="160"/>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2026-03-27T00:48:28.546Z</dcterms:created>
  <dcterms:modified xsi:type="dcterms:W3CDTF">2026-03-27T00:48:28.547Z</dcterms:modified>
</cp:coreProperties>
</file>

<file path=docProps/custom.xml><?xml version="1.0" encoding="utf-8"?>
<Properties xmlns="http://schemas.openxmlformats.org/officeDocument/2006/custom-properties" xmlns:vt="http://schemas.openxmlformats.org/officeDocument/2006/docPropsVTypes"/>
</file>