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4F2A" w14:textId="77777777" w:rsidR="00116ADD" w:rsidRDefault="00000000">
      <w:pPr>
        <w:spacing w:after="40" w:line="240" w:lineRule="auto"/>
        <w:jc w:val="center"/>
      </w:pPr>
      <w:r>
        <w:rPr>
          <w:b/>
        </w:rPr>
        <w:t>MOST SIGNIFICANT CONTRIBUTIONS</w:t>
      </w:r>
    </w:p>
    <w:p w14:paraId="4520E6C8" w14:textId="77777777" w:rsidR="00116ADD" w:rsidRDefault="00000000">
      <w:pPr>
        <w:spacing w:after="100" w:line="240" w:lineRule="auto"/>
        <w:jc w:val="center"/>
      </w:pPr>
      <w:r>
        <w:t>Suryadipto Sarkar, PhD</w:t>
      </w:r>
    </w:p>
    <w:p w14:paraId="0880E915" w14:textId="77777777" w:rsidR="00396932" w:rsidRDefault="00396932">
      <w:pPr>
        <w:spacing w:after="60" w:line="240" w:lineRule="auto"/>
        <w:rPr>
          <w:b/>
        </w:rPr>
      </w:pPr>
    </w:p>
    <w:p w14:paraId="1A426F69" w14:textId="0E13D0DD" w:rsidR="00116ADD" w:rsidRDefault="00653E36">
      <w:pPr>
        <w:spacing w:after="60" w:line="240" w:lineRule="auto"/>
      </w:pPr>
      <w:r>
        <w:rPr>
          <w:b/>
        </w:rPr>
        <w:t xml:space="preserve">Contribution </w:t>
      </w:r>
      <w:r w:rsidR="00000000">
        <w:rPr>
          <w:b/>
        </w:rPr>
        <w:t>1</w:t>
      </w:r>
      <w:r w:rsidR="00092010">
        <w:rPr>
          <w:b/>
        </w:rPr>
        <w:t>:</w:t>
      </w:r>
      <w:r w:rsidR="00000000">
        <w:rPr>
          <w:b/>
        </w:rPr>
        <w:t xml:space="preserve"> Bias</w:t>
      </w:r>
      <w:r w:rsidR="00092010">
        <w:rPr>
          <w:b/>
        </w:rPr>
        <w:t>-</w:t>
      </w:r>
      <w:r w:rsidR="00000000">
        <w:rPr>
          <w:b/>
        </w:rPr>
        <w:t>aware network medicine and accessible computational research tools</w:t>
      </w:r>
    </w:p>
    <w:p w14:paraId="01B8C014" w14:textId="77777777" w:rsidR="00116ADD" w:rsidRDefault="00000000">
      <w:pPr>
        <w:spacing w:after="80" w:line="240" w:lineRule="auto"/>
      </w:pPr>
      <w:r>
        <w:t>During my PhD in Biomedical Engineering at Friedrich-Alexander University Erlangen-Nuremberg, I developed computational approaches combining network medicine, algorithm development, and reusable biomedical software. A central contribution was ROBUST-Web, an online framework for bias-aware disease-module mining reported in my first-author Bioinformatics paper (2023). Disease-module methods identify connected regions of molecular interaction networks associated with disease, but their results can be distorted by biases in biological networks and disease-associated input data. My work translated bias-aware methodology into an accessible framework through which researchers can run and interpret analyses without reconstructing the underlying computational pipeline.</w:t>
      </w:r>
    </w:p>
    <w:p w14:paraId="27AD63D5" w14:textId="77777777" w:rsidR="00116ADD" w:rsidRDefault="00000000">
      <w:pPr>
        <w:spacing w:after="80" w:line="240" w:lineRule="auto"/>
      </w:pPr>
      <w:r>
        <w:t>My contribution included computational development, implementation, analysis, and dissemination. The software ecosystem includes the ROBUST-bias-aware Python backend and ROBUST-Web front end, with case studies including COVID-19 and precocious puberty. I subsequently contributed to robust disease-module mining using diverse prize-collecting Steiner trees and co-authored Drugst.One, a plug-and-play platform for systems medicine and network-based drug repurposing published in Nucleic Acids Research (2024). I have also worked on ENQUIRE-Web, further extending my experience in translating network methods into accessible software.</w:t>
      </w:r>
    </w:p>
    <w:p w14:paraId="41DBAE6F" w14:textId="77777777" w:rsidR="00116ADD" w:rsidRDefault="00000000">
      <w:pPr>
        <w:spacing w:after="80" w:line="240" w:lineRule="auto"/>
      </w:pPr>
      <w:r>
        <w:t>This work generated a first-author peer-reviewed publication, reusable software, and first-author presentations at GCB 2023 and GCB 2024. Its broader significance is the integration of methodological rigor, usability, and reproducibility: rather than treating software as separate from scientific methodology, I helped build infrastructure through which network-medicine methods can be evaluated and applied in biomedical contexts. It established a recurring theme of my research - developing computational methods while critically examining the assumptions and biases that shape their biological interpretation.</w:t>
      </w:r>
    </w:p>
    <w:p w14:paraId="786778F2" w14:textId="77777777" w:rsidR="00396932" w:rsidRDefault="00396932">
      <w:pPr>
        <w:spacing w:after="60" w:line="240" w:lineRule="auto"/>
        <w:rPr>
          <w:b/>
        </w:rPr>
      </w:pPr>
    </w:p>
    <w:p w14:paraId="23BFB0D1" w14:textId="2BE7C0F8" w:rsidR="00116ADD" w:rsidRDefault="00092010">
      <w:pPr>
        <w:spacing w:after="60" w:line="240" w:lineRule="auto"/>
      </w:pPr>
      <w:r>
        <w:rPr>
          <w:b/>
        </w:rPr>
        <w:t xml:space="preserve">Contribution </w:t>
      </w:r>
      <w:r w:rsidR="00000000">
        <w:rPr>
          <w:b/>
        </w:rPr>
        <w:t>2</w:t>
      </w:r>
      <w:r>
        <w:rPr>
          <w:b/>
        </w:rPr>
        <w:t>:</w:t>
      </w:r>
      <w:r w:rsidR="00000000">
        <w:rPr>
          <w:b/>
        </w:rPr>
        <w:t xml:space="preserve"> Spatial cell-graph analysis of tissue organization in cutaneous T-cell lymphoma</w:t>
      </w:r>
    </w:p>
    <w:p w14:paraId="0BEF0943" w14:textId="77777777" w:rsidR="00116ADD" w:rsidRDefault="00000000">
      <w:pPr>
        <w:spacing w:after="80" w:line="240" w:lineRule="auto"/>
      </w:pPr>
      <w:r>
        <w:t>A second major contribution was my work on spatial tissue organization in cutaneous T-cell lymphoma (CTCL). I led computational work using cell graphs to represent spatial relationships within tissue, resulting in the first-author article “Spatial cell graph analysis reveals skin tissue organization characteristic for cutaneous T cell lymphoma” in npj Systems Biology and Applications (2024). Rather than reducing tissue to independent measurements of cell abundance, the approach represents cells and their spatial relationships as a graph, enabling quantitative investigation of tissue architecture and local cellular organization.</w:t>
      </w:r>
    </w:p>
    <w:p w14:paraId="6C42FFD1" w14:textId="77777777" w:rsidR="00116ADD" w:rsidRDefault="00000000">
      <w:pPr>
        <w:spacing w:after="80" w:line="240" w:lineRule="auto"/>
      </w:pPr>
      <w:r>
        <w:t>My role centered on computational and graph-based analysis and on translating spatial biological observations into interpretable quantitative representations. I developed SHouT (Spatial Heterogeneity Quantification Tool), a Python package for quantifying spatial heterogeneity that includes the CTCL analysis as a case study, and presented this research at ECCB 2024, GCB 2024, and the AIBE Conference. This contribution moved my network-science expertise from molecular interaction networks into spatially organized biological systems. It now provides a methodological foundation for spatial multi-omics, where cellular identity, molecular state, spatial context, and tissue architecture must be integrated.</w:t>
      </w:r>
    </w:p>
    <w:p w14:paraId="615CE2C5" w14:textId="77777777" w:rsidR="00116ADD" w:rsidRDefault="00000000">
      <w:r>
        <w:br w:type="page"/>
      </w:r>
    </w:p>
    <w:p w14:paraId="4374847F" w14:textId="7613824D" w:rsidR="00116ADD" w:rsidRDefault="00092010">
      <w:pPr>
        <w:spacing w:after="60" w:line="240" w:lineRule="auto"/>
      </w:pPr>
      <w:r>
        <w:rPr>
          <w:b/>
        </w:rPr>
        <w:lastRenderedPageBreak/>
        <w:t xml:space="preserve">Contribution </w:t>
      </w:r>
      <w:r w:rsidR="00000000">
        <w:rPr>
          <w:b/>
        </w:rPr>
        <w:t>3</w:t>
      </w:r>
      <w:r>
        <w:rPr>
          <w:b/>
        </w:rPr>
        <w:t>:</w:t>
      </w:r>
      <w:r w:rsidR="00000000">
        <w:rPr>
          <w:b/>
        </w:rPr>
        <w:t xml:space="preserve"> Biomedical AI, quantitative imaging, and progression toward mechanistic network biology</w:t>
      </w:r>
    </w:p>
    <w:p w14:paraId="680BC950" w14:textId="77777777" w:rsidR="00116ADD" w:rsidRDefault="00000000">
      <w:pPr>
        <w:spacing w:after="80" w:line="240" w:lineRule="auto"/>
      </w:pPr>
      <w:r>
        <w:t>My third contribution is a sustained program of applying artificial intelligence and quantitative methods to biomedical problems, followed by progression toward mechanistic systems-level inference. As first author, I developed a transfer-learning framework for classifying lymph-node metastasis in prostate cancer (Biomedicines, 2024) and a hybrid deep/machine-learning approach for automatic identification and staging of urothelial carcinoma (Cancers, 2023). I also contributed to U-Net-based small-object detection, feature-selection methodology, and computational assessment of chemotherapy response in bladder cancer. These projects taught me to formulate computational analyses around biomedical questions rather than treating predictive performance as an end in itself.</w:t>
      </w:r>
    </w:p>
    <w:p w14:paraId="2736DF5A" w14:textId="77777777" w:rsidR="00116ADD" w:rsidRDefault="00000000">
      <w:pPr>
        <w:spacing w:after="80" w:line="240" w:lineRule="auto"/>
      </w:pPr>
      <w:r>
        <w:t>I extended this perspective during my postdoctoral research in Radiology at St. Jude Children’s Research Hospital, where I developed quantitative approaches for evaluating automated CT organ segmentation beyond conventional overlap accuracy. The work examined systematic geometric and volumetric bias using complementary performance measures and patient- and organ-level interpretation. The motivating question was whether a segmentation that appears accurate by a conventional metric can nevertheless contain systematic errors relevant to downstream quantitative imaging. This strengthened my experience in rigorous evaluation of biomedical AI and in distinguishing aggregate performance from clinically meaningful error.</w:t>
      </w:r>
    </w:p>
    <w:p w14:paraId="7F2338A3" w14:textId="77777777" w:rsidR="00116ADD" w:rsidRDefault="00000000">
      <w:pPr>
        <w:spacing w:after="80" w:line="240" w:lineRule="auto"/>
      </w:pPr>
      <w:r>
        <w:t>In parallel, my network research increasingly addressed the validity of biological representations. In my first-author 2025 contribution, “Gene Co-expression Networks are Poor Proxies for Expert-Curated Gene Regulatory Networks,” I examined whether networks constructed from statistical co-expression reproduce regulatory relationships represented in expert-curated gene regulatory networks. This addresses a fundamental interpretive problem: statistical association between genes should not automatically be treated as evidence of regulatory mechanism. The study reinforced my interest in determining what computational network representations actually capture biologically.</w:t>
      </w:r>
    </w:p>
    <w:p w14:paraId="6AF00DFA" w14:textId="77777777" w:rsidR="007807D0" w:rsidRDefault="007807D0">
      <w:pPr>
        <w:spacing w:after="80" w:line="240" w:lineRule="auto"/>
      </w:pPr>
    </w:p>
    <w:p w14:paraId="5C5CB0B8" w14:textId="3735AC77" w:rsidR="007807D0" w:rsidRPr="007807D0" w:rsidRDefault="007807D0">
      <w:pPr>
        <w:spacing w:after="80" w:line="240" w:lineRule="auto"/>
        <w:rPr>
          <w:b/>
          <w:bCs/>
        </w:rPr>
      </w:pPr>
      <w:r w:rsidRPr="007807D0">
        <w:rPr>
          <w:b/>
          <w:bCs/>
        </w:rPr>
        <w:t>Conclusion</w:t>
      </w:r>
    </w:p>
    <w:p w14:paraId="0540C738" w14:textId="16552AEE" w:rsidR="00116ADD" w:rsidRDefault="00000000">
      <w:pPr>
        <w:spacing w:after="80" w:line="240" w:lineRule="auto"/>
      </w:pPr>
      <w:r>
        <w:t>Together, these contributions show a coherent progression from biomedical machine learning to rigorous evaluation of AI-derived outputs, network medicine, spatial graph analysis, and regulatory-network inference. Across these projects, my recurring contribution has been to connect computational methodology with the biomedical question: developing models and software, testing their assumptions and biases, and translating complex outputs into interpretable biological or clinical information.</w:t>
      </w:r>
    </w:p>
    <w:p w14:paraId="21276884" w14:textId="77777777" w:rsidR="00116ADD" w:rsidRDefault="00000000">
      <w:pPr>
        <w:spacing w:after="80" w:line="240" w:lineRule="auto"/>
      </w:pPr>
      <w:r>
        <w:t>This trajectory provides the foundation for my current postdoctoral direction at Sunnybrook Research Institute and the University of Toronto. I am extending these methods to developmental and regenerative biology through spatial multi-omics and gene-regulatory analysis, including comparisons of regulatory networks across developmental stages associated with regenerative and non-regenerative states and integration of RNA, chromatin-accessibility, and spatial information. This is a substantial extension beyond my doctoral work while building directly on my expertise in network medicine, spatial analysis, biomedical AI, and critical evaluation of biological networks.</w:t>
      </w:r>
    </w:p>
    <w:sectPr w:rsidR="00116ADD"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4E9B" w14:textId="77777777" w:rsidR="00571F9B" w:rsidRDefault="00571F9B">
      <w:pPr>
        <w:spacing w:after="0" w:line="240" w:lineRule="auto"/>
      </w:pPr>
      <w:r>
        <w:separator/>
      </w:r>
    </w:p>
  </w:endnote>
  <w:endnote w:type="continuationSeparator" w:id="0">
    <w:p w14:paraId="45227782" w14:textId="77777777" w:rsidR="00571F9B" w:rsidRDefault="00571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C95F" w14:textId="77777777" w:rsidR="00571F9B" w:rsidRDefault="00571F9B">
      <w:pPr>
        <w:spacing w:after="0" w:line="240" w:lineRule="auto"/>
      </w:pPr>
      <w:r>
        <w:separator/>
      </w:r>
    </w:p>
  </w:footnote>
  <w:footnote w:type="continuationSeparator" w:id="0">
    <w:p w14:paraId="640E49DA" w14:textId="77777777" w:rsidR="00571F9B" w:rsidRDefault="00571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10"/>
    <w:rsid w:val="00116ADD"/>
    <w:rsid w:val="0015074B"/>
    <w:rsid w:val="0029639D"/>
    <w:rsid w:val="00326F90"/>
    <w:rsid w:val="00396932"/>
    <w:rsid w:val="00571F9B"/>
    <w:rsid w:val="00653E36"/>
    <w:rsid w:val="007807D0"/>
    <w:rsid w:val="00AA1D8D"/>
    <w:rsid w:val="00B47730"/>
    <w:rsid w:val="00CB0664"/>
    <w:rsid w:val="00F726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5</cp:revision>
  <dcterms:created xsi:type="dcterms:W3CDTF">2013-12-23T23:15:00Z</dcterms:created>
  <dcterms:modified xsi:type="dcterms:W3CDTF">2026-08-15T22:21:00Z</dcterms:modified>
  <cp:category/>
</cp:coreProperties>
</file>