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6386" w14:textId="131683E6" w:rsidR="00AE5E9D" w:rsidRDefault="00992A2F" w:rsidP="00AE5E9D">
      <w:pPr>
        <w:spacing w:after="40" w:line="240" w:lineRule="auto"/>
        <w:ind w:firstLine="720"/>
        <w:jc w:val="center"/>
      </w:pPr>
      <w:r>
        <w:rPr>
          <w:b/>
        </w:rPr>
        <w:t>EXTENDED RESEARCH PROPOSAL</w:t>
      </w:r>
    </w:p>
    <w:p w14:paraId="4520E6C8" w14:textId="73E41DB2" w:rsidR="00116ADD" w:rsidRDefault="00270926" w:rsidP="005B1BFB">
      <w:pPr>
        <w:spacing w:after="40" w:line="240" w:lineRule="auto"/>
      </w:pPr>
      <w:r>
        <w:t xml:space="preserve">   </w:t>
      </w:r>
      <w:r w:rsidR="00A94585" w:rsidRPr="00067A4D">
        <w:rPr>
          <w:i/>
          <w:iCs/>
        </w:rPr>
        <w:t>Building a Spatial Multi-</w:t>
      </w:r>
      <w:proofErr w:type="spellStart"/>
      <w:r w:rsidR="00A94585" w:rsidRPr="00067A4D">
        <w:rPr>
          <w:i/>
          <w:iCs/>
        </w:rPr>
        <w:t>Omic</w:t>
      </w:r>
      <w:proofErr w:type="spellEnd"/>
      <w:r w:rsidR="00A94585" w:rsidRPr="00067A4D">
        <w:rPr>
          <w:i/>
          <w:iCs/>
        </w:rPr>
        <w:t xml:space="preserve"> Atlas to Understand Human Inner-Ear Development and Regen</w:t>
      </w:r>
      <w:r w:rsidR="00A94585" w:rsidRPr="00FD41E7">
        <w:t>eration</w:t>
      </w:r>
    </w:p>
    <w:p w14:paraId="0880E915" w14:textId="77777777" w:rsidR="00396932" w:rsidRPr="000966E4" w:rsidRDefault="00396932">
      <w:pPr>
        <w:spacing w:after="60" w:line="240" w:lineRule="auto"/>
        <w:rPr>
          <w:bCs/>
        </w:rPr>
      </w:pPr>
    </w:p>
    <w:p w14:paraId="2DB9A932" w14:textId="76C31163" w:rsidR="002A66D7" w:rsidRDefault="002A66D7">
      <w:pPr>
        <w:spacing w:after="60" w:line="240" w:lineRule="auto"/>
        <w:rPr>
          <w:b/>
        </w:rPr>
      </w:pPr>
      <w:r>
        <w:rPr>
          <w:b/>
        </w:rPr>
        <w:t>Introduction</w:t>
      </w:r>
    </w:p>
    <w:p w14:paraId="0A7A3AD4" w14:textId="77777777" w:rsidR="003D213A" w:rsidRDefault="003D213A">
      <w:pPr>
        <w:spacing w:after="80" w:line="240" w:lineRule="auto"/>
        <w:rPr>
          <w:bCs/>
        </w:rPr>
      </w:pPr>
      <w:r w:rsidRPr="003D213A">
        <w:rPr>
          <w:bCs/>
        </w:rPr>
        <w:t>Hearing loss is among the most prevalent sensory disorders worldwide and frequently results from irreversible loss or dysfunction of sensory hair cells within the inner ear. Unlike non-mammalian vertebrates such as birds, which retain substantial capacity to replace damaged sensory hair cells, regenerative capacity in the mammalian inner ear is highly restricted [1,2]. Understanding the molecular mechanisms that distinguish regenerative from non-regenerative states therefore represents an important step toward identifying strategies capable of promoting sensory-cell regeneration.</w:t>
      </w:r>
    </w:p>
    <w:p w14:paraId="1D65531F" w14:textId="7A903CD2" w:rsidR="003D213A" w:rsidRDefault="003D213A">
      <w:pPr>
        <w:spacing w:after="80" w:line="240" w:lineRule="auto"/>
        <w:rPr>
          <w:bCs/>
        </w:rPr>
      </w:pPr>
      <w:r w:rsidRPr="003D213A">
        <w:rPr>
          <w:bCs/>
        </w:rPr>
        <w:t>Single-cell genomics has transformed our understanding of inner-ear cellular diversity and development. Studies in experimental model systems, particularly mice and birds, have identified previously unresolved sensory and supporting cell populations and characterized their developmental transcriptional programs [1–3]. Kolla et al., for example, profiled approximately 30,000 mouse cochlear cells across four developmental stages, revealing transcriptional trajectories associated with cochlear differentiation [3]. Comparable single-cell studies of the avian inner ear have provided insights into cellular populations within a system that retains regenerative capacity [1,2].</w:t>
      </w:r>
    </w:p>
    <w:p w14:paraId="52F1BDA6" w14:textId="652D1A0C" w:rsidR="003D213A" w:rsidRDefault="003D213A">
      <w:pPr>
        <w:spacing w:after="80" w:line="240" w:lineRule="auto"/>
        <w:rPr>
          <w:bCs/>
        </w:rPr>
      </w:pPr>
      <w:r w:rsidRPr="003D213A">
        <w:rPr>
          <w:bCs/>
        </w:rPr>
        <w:t xml:space="preserve">Human inner-ear single-cell resources have begun to emerge but remain substantially more limited. van der Valk et al. generated single-cell profiles of fetal human cochlear and vestibular tissue together with adult vestibular tissue [4], while Wang et al. recently produced a high-resolution single-cell transcriptomic atlas of the mature human utricle and identified putative hair-cell precursor populations [5]. Large community resources such as CZ </w:t>
      </w:r>
      <w:proofErr w:type="spellStart"/>
      <w:r w:rsidRPr="003D213A">
        <w:rPr>
          <w:bCs/>
        </w:rPr>
        <w:t>CELLxGENE</w:t>
      </w:r>
      <w:proofErr w:type="spellEnd"/>
      <w:r w:rsidRPr="003D213A">
        <w:rPr>
          <w:bCs/>
        </w:rPr>
        <w:t xml:space="preserve"> similarly contain human inner-ear cells, including cells derived from the crista </w:t>
      </w:r>
      <w:proofErr w:type="spellStart"/>
      <w:r w:rsidRPr="003D213A">
        <w:rPr>
          <w:bCs/>
        </w:rPr>
        <w:t>ampullaris</w:t>
      </w:r>
      <w:proofErr w:type="spellEnd"/>
      <w:r w:rsidRPr="003D213A">
        <w:rPr>
          <w:bCs/>
        </w:rPr>
        <w:t xml:space="preserve"> and utricle [6]. Nevertheless, these existing resources do not provide a comprehensive developmental representation integrating transcriptional, chromatin-regulatory, and spatial information across the developmental transition associated with loss of regenerative competence.</w:t>
      </w:r>
    </w:p>
    <w:p w14:paraId="429A00AD" w14:textId="4CF32394" w:rsidR="003D213A" w:rsidRDefault="003D213A">
      <w:pPr>
        <w:spacing w:after="80" w:line="240" w:lineRule="auto"/>
        <w:rPr>
          <w:bCs/>
        </w:rPr>
      </w:pPr>
      <w:r w:rsidRPr="003D213A">
        <w:rPr>
          <w:bCs/>
        </w:rPr>
        <w:t>This represents both a biological and computational opportunity. RNA-seq measures the transcriptional state of a cell, whereas ATAC-seq provides complementary information about chromatin accessibility and candidate cis-regulatory elements. Integration of these modalities can therefore reveal not only which genes characterize a developmental state, but also the regulatory landscape potentially responsible for establishing that state. Moreover, preservation of spatial information enables molecular programs to be studied within their native anatomical context rather than treating cells as spatially independent observations.</w:t>
      </w:r>
    </w:p>
    <w:p w14:paraId="30A848DF" w14:textId="427DE672" w:rsidR="003D213A" w:rsidRDefault="003D213A">
      <w:pPr>
        <w:spacing w:after="80" w:line="240" w:lineRule="auto"/>
        <w:rPr>
          <w:bCs/>
        </w:rPr>
      </w:pPr>
      <w:r w:rsidRPr="003D213A">
        <w:rPr>
          <w:bCs/>
        </w:rPr>
        <w:t>The overall objective of this project is to computationally construct an integrated spatial multi-</w:t>
      </w:r>
      <w:proofErr w:type="spellStart"/>
      <w:r w:rsidRPr="003D213A">
        <w:rPr>
          <w:bCs/>
        </w:rPr>
        <w:t>omic</w:t>
      </w:r>
      <w:proofErr w:type="spellEnd"/>
      <w:r w:rsidRPr="003D213A">
        <w:rPr>
          <w:bCs/>
        </w:rPr>
        <w:t xml:space="preserve"> atlas of the developing human inner ear and use this resource to identify molecular and regulatory mechanisms associated with the transition from regenerative competence toward diminished regenerative capacity.</w:t>
      </w:r>
    </w:p>
    <w:p w14:paraId="27268326" w14:textId="65F09B0B" w:rsidR="003D213A" w:rsidRDefault="003D213A">
      <w:pPr>
        <w:spacing w:after="80" w:line="240" w:lineRule="auto"/>
        <w:rPr>
          <w:bCs/>
        </w:rPr>
      </w:pPr>
      <w:r w:rsidRPr="003D213A">
        <w:rPr>
          <w:bCs/>
        </w:rPr>
        <w:t>We hypothesize that this developmental transition is characterized not simply by differential gene expression, but by coordinated transcriptional, epigenomic, spatial, and gene-regulatory network rewiring that can be detected by integrating RNA-seq, ATAC-seq, spatial information, and longitudinal network analysis.</w:t>
      </w:r>
    </w:p>
    <w:p w14:paraId="61F95E48" w14:textId="77777777" w:rsidR="000966E4" w:rsidRDefault="000966E4">
      <w:pPr>
        <w:spacing w:after="80" w:line="240" w:lineRule="auto"/>
        <w:rPr>
          <w:bCs/>
        </w:rPr>
      </w:pPr>
    </w:p>
    <w:p w14:paraId="2167E811" w14:textId="77530868" w:rsidR="000966E4" w:rsidRPr="000966E4" w:rsidRDefault="003D213A">
      <w:pPr>
        <w:spacing w:after="80" w:line="240" w:lineRule="auto"/>
        <w:rPr>
          <w:b/>
        </w:rPr>
      </w:pPr>
      <w:r w:rsidRPr="003D213A">
        <w:rPr>
          <w:b/>
        </w:rPr>
        <w:t>Aim 1: Construct a spatial multi-</w:t>
      </w:r>
      <w:proofErr w:type="spellStart"/>
      <w:r w:rsidRPr="003D213A">
        <w:rPr>
          <w:b/>
        </w:rPr>
        <w:t>omic</w:t>
      </w:r>
      <w:proofErr w:type="spellEnd"/>
      <w:r w:rsidRPr="003D213A">
        <w:rPr>
          <w:b/>
        </w:rPr>
        <w:t xml:space="preserve"> atlas of the developing human inner ear</w:t>
      </w:r>
    </w:p>
    <w:p w14:paraId="4AF715E6" w14:textId="04511F4E" w:rsidR="000966E4" w:rsidRDefault="00B140A3">
      <w:pPr>
        <w:spacing w:after="80" w:line="240" w:lineRule="auto"/>
        <w:rPr>
          <w:bCs/>
        </w:rPr>
      </w:pPr>
      <w:r w:rsidRPr="00B140A3">
        <w:rPr>
          <w:bCs/>
        </w:rPr>
        <w:t xml:space="preserve">I will computationally construct an integrated atlas using RNA-seq and ATAC-seq datasets generated by the Dabdoub Laboratory. RNA-seq will be used to identify cell populations, cellular states, and transcriptional programs, while ATAC-seq will characterize chromatin-accessibility landscapes and </w:t>
      </w:r>
      <w:r w:rsidRPr="00B140A3">
        <w:rPr>
          <w:bCs/>
        </w:rPr>
        <w:lastRenderedPageBreak/>
        <w:t>candidate cis-regulatory elements. Integration of these complementary modalities will connect transcriptional phenotypes with their underlying regulatory landscapes.</w:t>
      </w:r>
    </w:p>
    <w:p w14:paraId="138DBCC0" w14:textId="46602A05" w:rsidR="00937EDB" w:rsidRDefault="00937EDB">
      <w:pPr>
        <w:spacing w:after="80" w:line="240" w:lineRule="auto"/>
        <w:rPr>
          <w:bCs/>
        </w:rPr>
      </w:pPr>
      <w:r w:rsidRPr="00937EDB">
        <w:rPr>
          <w:bCs/>
        </w:rPr>
        <w:t>This multi-</w:t>
      </w:r>
      <w:proofErr w:type="spellStart"/>
      <w:r w:rsidRPr="00937EDB">
        <w:rPr>
          <w:bCs/>
        </w:rPr>
        <w:t>omic</w:t>
      </w:r>
      <w:proofErr w:type="spellEnd"/>
      <w:r w:rsidRPr="00937EDB">
        <w:rPr>
          <w:bCs/>
        </w:rPr>
        <w:t xml:space="preserve"> strategy is particularly important for regulatory inference. Expression-based methods such as SCENIC infer transcription factor (TF)–target relationships using gene co-expression and motif enrichment but cannot identify the precise cis-regulatory element through which a TF may regulate its target [7]. More recent enhancer-driven approaches such as SCENIC+ integrate gene expression with chromatin accessibility and sequence-based motif information to predict </w:t>
      </w:r>
      <w:proofErr w:type="spellStart"/>
      <w:r w:rsidRPr="00937EDB">
        <w:rPr>
          <w:bCs/>
        </w:rPr>
        <w:t>TF→enhancer→target-gene</w:t>
      </w:r>
      <w:proofErr w:type="spellEnd"/>
      <w:r w:rsidRPr="00937EDB">
        <w:rPr>
          <w:bCs/>
        </w:rPr>
        <w:t xml:space="preserve"> relationships [8].</w:t>
      </w:r>
    </w:p>
    <w:p w14:paraId="1F03A943" w14:textId="677B58A5" w:rsidR="000A5035" w:rsidRDefault="000A5035">
      <w:pPr>
        <w:spacing w:after="80" w:line="240" w:lineRule="auto"/>
        <w:rPr>
          <w:bCs/>
        </w:rPr>
      </w:pPr>
      <w:r w:rsidRPr="000A5035">
        <w:rPr>
          <w:bCs/>
        </w:rPr>
        <w:t xml:space="preserve">The spatial nature of the data provides an additional dimension. Cell populations and molecular programs will be mapped within their anatomical context to identify spatially variable transcriptional and chromatin states, characterize cellular </w:t>
      </w:r>
      <w:proofErr w:type="spellStart"/>
      <w:r w:rsidRPr="000A5035">
        <w:rPr>
          <w:bCs/>
        </w:rPr>
        <w:t>neighbourhoods</w:t>
      </w:r>
      <w:proofErr w:type="spellEnd"/>
      <w:r w:rsidRPr="000A5035">
        <w:rPr>
          <w:bCs/>
        </w:rPr>
        <w:t xml:space="preserve">, and determine whether specific molecular programs are restricted to </w:t>
      </w:r>
      <w:proofErr w:type="gramStart"/>
      <w:r w:rsidRPr="000A5035">
        <w:rPr>
          <w:bCs/>
        </w:rPr>
        <w:t>particular inner-ear</w:t>
      </w:r>
      <w:proofErr w:type="gramEnd"/>
      <w:r w:rsidRPr="000A5035">
        <w:rPr>
          <w:bCs/>
        </w:rPr>
        <w:t xml:space="preserve"> regions. Spatial information will also enable anatomically informed investigation of intercellular communication, for example by combining ligand–receptor relationships with spatial proximity between candidate signaling populations [9].</w:t>
      </w:r>
    </w:p>
    <w:p w14:paraId="084D1177" w14:textId="2E1141AD" w:rsidR="000A5035" w:rsidRDefault="00767322">
      <w:pPr>
        <w:spacing w:after="80" w:line="240" w:lineRule="auto"/>
        <w:rPr>
          <w:bCs/>
        </w:rPr>
      </w:pPr>
      <w:r w:rsidRPr="00767322">
        <w:rPr>
          <w:bCs/>
          <w:i/>
          <w:iCs/>
        </w:rPr>
        <w:t>Expected outcome</w:t>
      </w:r>
      <w:r w:rsidRPr="00767322">
        <w:rPr>
          <w:bCs/>
        </w:rPr>
        <w:t>: Aim 1 will generate a multidimensional reference describing which cell populations are present, what they express, which regulatory regions are accessible, and where these molecular states occur within the developing human inner ear.</w:t>
      </w:r>
    </w:p>
    <w:p w14:paraId="481CBF06" w14:textId="77777777" w:rsidR="00416DB6" w:rsidRDefault="00416DB6">
      <w:pPr>
        <w:spacing w:after="80" w:line="240" w:lineRule="auto"/>
        <w:rPr>
          <w:bCs/>
        </w:rPr>
      </w:pPr>
    </w:p>
    <w:p w14:paraId="5224285C" w14:textId="18F20D9B" w:rsidR="00416DB6" w:rsidRPr="00B012D0" w:rsidRDefault="00B901B1">
      <w:pPr>
        <w:spacing w:after="80" w:line="240" w:lineRule="auto"/>
        <w:rPr>
          <w:b/>
        </w:rPr>
      </w:pPr>
      <w:r w:rsidRPr="00B012D0">
        <w:rPr>
          <w:b/>
        </w:rPr>
        <w:t>Aim 2: Define multi-</w:t>
      </w:r>
      <w:proofErr w:type="spellStart"/>
      <w:r w:rsidRPr="00B012D0">
        <w:rPr>
          <w:b/>
        </w:rPr>
        <w:t>omic</w:t>
      </w:r>
      <w:proofErr w:type="spellEnd"/>
      <w:r w:rsidRPr="00B012D0">
        <w:rPr>
          <w:b/>
        </w:rPr>
        <w:t xml:space="preserve"> and spatial changes associated with the transition from regenerative to non-regenerative states</w:t>
      </w:r>
    </w:p>
    <w:p w14:paraId="6BD950BF" w14:textId="77777777" w:rsidR="001F76D9" w:rsidRDefault="00FD69BB">
      <w:pPr>
        <w:spacing w:after="80" w:line="240" w:lineRule="auto"/>
        <w:rPr>
          <w:bCs/>
        </w:rPr>
      </w:pPr>
      <w:r w:rsidRPr="00FD69BB">
        <w:rPr>
          <w:bCs/>
        </w:rPr>
        <w:t>A unique feature of this dataset is the availability of developmental stages at gestational weeks 15, 18, and 20 (G15→G18→G20). Rather than treating these stages as independent atlases, I will analyze them as a developmental series spanning the transition from regenerative competence toward diminished regenerative capacity.</w:t>
      </w:r>
    </w:p>
    <w:p w14:paraId="5498977C" w14:textId="77777777" w:rsidR="004B1A13" w:rsidRDefault="00FD69BB">
      <w:pPr>
        <w:spacing w:after="80" w:line="240" w:lineRule="auto"/>
        <w:rPr>
          <w:bCs/>
        </w:rPr>
      </w:pPr>
      <w:r w:rsidRPr="00FD69BB">
        <w:rPr>
          <w:bCs/>
        </w:rPr>
        <w:t>Differential expression analyses will identify genes and pathways altered across developmental stages, while differential chromatin-accessibility analyses will identify candidate regulatory elements that become accessible or inaccessible. Integration of RNA-seq and ATAC-seq will determine whether transcriptional changes are accompanied by alterations in chromatin accessibility, TF activity, and candidate enhancer activity. Developmental trajectory analyses will further characterize how transcriptional and regulatory states evolve within relevant cell populations.</w:t>
      </w:r>
    </w:p>
    <w:p w14:paraId="6EA05A8A" w14:textId="77777777" w:rsidR="00E87007" w:rsidRDefault="00FD69BB">
      <w:pPr>
        <w:spacing w:after="80" w:line="240" w:lineRule="auto"/>
        <w:rPr>
          <w:bCs/>
        </w:rPr>
      </w:pPr>
      <w:r w:rsidRPr="00FD69BB">
        <w:rPr>
          <w:bCs/>
        </w:rPr>
        <w:t>Importantly, comparisons will separately examine G15→G18 and G18→G20. Regulatory events concentrated during G15→G18 may represent candidate mechanisms associated with the transition away from regenerative competence, whereas changes continuing between G18→G20 may represent broader developmental maturation. This distinction will therefore help separate candidate regeneration-associated mechanisms from general developmental effects.</w:t>
      </w:r>
    </w:p>
    <w:p w14:paraId="392E6856" w14:textId="77777777" w:rsidR="00EF7789" w:rsidRDefault="00FD69BB">
      <w:pPr>
        <w:spacing w:after="80" w:line="240" w:lineRule="auto"/>
        <w:rPr>
          <w:bCs/>
        </w:rPr>
      </w:pPr>
      <w:r w:rsidRPr="00FD69BB">
        <w:rPr>
          <w:bCs/>
        </w:rPr>
        <w:t xml:space="preserve">Spatial analyses will provide an additional level of discrimination. Transcriptional and epigenomic changes will be mapped onto their anatomical locations to determine whether the loss of regeneration-associated programs occurs globally or within specific cellular niches. Spatially informed analyses of cellular </w:t>
      </w:r>
      <w:proofErr w:type="spellStart"/>
      <w:r w:rsidRPr="00FD69BB">
        <w:rPr>
          <w:bCs/>
        </w:rPr>
        <w:t>neighbourhoods</w:t>
      </w:r>
      <w:proofErr w:type="spellEnd"/>
      <w:r w:rsidRPr="00FD69BB">
        <w:rPr>
          <w:bCs/>
        </w:rPr>
        <w:t xml:space="preserve"> and cell–cell communication will further investigate whether altered signaling between neighboring cell populations accompanies this developmental transition [9].</w:t>
      </w:r>
    </w:p>
    <w:p w14:paraId="4AB7A26D" w14:textId="767D1F80" w:rsidR="00B901B1" w:rsidRDefault="00FD69BB">
      <w:pPr>
        <w:spacing w:after="80" w:line="240" w:lineRule="auto"/>
        <w:rPr>
          <w:bCs/>
        </w:rPr>
      </w:pPr>
      <w:r w:rsidRPr="00EF7789">
        <w:rPr>
          <w:bCs/>
          <w:i/>
          <w:iCs/>
        </w:rPr>
        <w:t>Expected outcome</w:t>
      </w:r>
      <w:r w:rsidRPr="00FD69BB">
        <w:rPr>
          <w:bCs/>
        </w:rPr>
        <w:t>: Aim 2 will identify transcriptional programs, accessible regulatory elements, TF activities, developmental trajectories, and spatial niches associated with the transition from regenerative toward non-regenerative inner-ear states.</w:t>
      </w:r>
    </w:p>
    <w:p w14:paraId="1A788635" w14:textId="77777777" w:rsidR="001A786E" w:rsidRDefault="001A786E">
      <w:pPr>
        <w:spacing w:after="80" w:line="240" w:lineRule="auto"/>
        <w:rPr>
          <w:bCs/>
        </w:rPr>
      </w:pPr>
    </w:p>
    <w:p w14:paraId="062DC29D" w14:textId="77777777" w:rsidR="00EF7789" w:rsidRDefault="00EF7789">
      <w:pPr>
        <w:spacing w:after="80" w:line="240" w:lineRule="auto"/>
        <w:rPr>
          <w:bCs/>
        </w:rPr>
      </w:pPr>
    </w:p>
    <w:p w14:paraId="398E05EF" w14:textId="4C2E9C48" w:rsidR="00EF7789" w:rsidRPr="001A786E" w:rsidRDefault="0062475C">
      <w:pPr>
        <w:spacing w:after="80" w:line="240" w:lineRule="auto"/>
        <w:rPr>
          <w:b/>
        </w:rPr>
      </w:pPr>
      <w:r w:rsidRPr="001A786E">
        <w:rPr>
          <w:b/>
        </w:rPr>
        <w:lastRenderedPageBreak/>
        <w:t>Aim 3: Identify regulatory-network rewiring associated with the loss of regenerative competence</w:t>
      </w:r>
    </w:p>
    <w:p w14:paraId="13FBED16" w14:textId="5ABAB3C8" w:rsidR="0062475C" w:rsidRDefault="00ED7F49">
      <w:pPr>
        <w:spacing w:after="80" w:line="240" w:lineRule="auto"/>
        <w:rPr>
          <w:bCs/>
        </w:rPr>
      </w:pPr>
      <w:r w:rsidRPr="00ED7F49">
        <w:rPr>
          <w:bCs/>
        </w:rPr>
        <w:t>The final aim will move beyond differential expression and accessibility to investigate changes in the architecture of gene regulation itself. Conventional GRN inference has an important limitation: computationally inferred regulatory interactions are predictions rather than experimentally established regulatory relationships. SCENIC+, for example, integrates chromatin accessibility, gene expression, and sequence motifs to infer enhancer-driven GRNs (</w:t>
      </w:r>
      <w:proofErr w:type="spellStart"/>
      <w:r w:rsidRPr="00ED7F49">
        <w:rPr>
          <w:bCs/>
        </w:rPr>
        <w:t>eGRNs</w:t>
      </w:r>
      <w:proofErr w:type="spellEnd"/>
      <w:r w:rsidRPr="00ED7F49">
        <w:rPr>
          <w:bCs/>
        </w:rPr>
        <w:t>) [8]. A predicted TF → enhancer → target gene relationship therefore represents a computationally supported regulatory hypothesis; it does not by itself demonstrate physical TF binding or causal enhancer-mediated regulation of the predicted target.</w:t>
      </w:r>
    </w:p>
    <w:p w14:paraId="23B60982" w14:textId="28F06098" w:rsidR="008A4B05" w:rsidRDefault="008A4B05">
      <w:pPr>
        <w:spacing w:after="80" w:line="240" w:lineRule="auto"/>
        <w:rPr>
          <w:bCs/>
        </w:rPr>
      </w:pPr>
      <w:r w:rsidRPr="008A4B05">
        <w:rPr>
          <w:bCs/>
        </w:rPr>
        <w:t xml:space="preserve">The developers of SCENIC+ acknowledge several limitations of current </w:t>
      </w:r>
      <w:proofErr w:type="spellStart"/>
      <w:r w:rsidRPr="008A4B05">
        <w:rPr>
          <w:bCs/>
        </w:rPr>
        <w:t>eGRN</w:t>
      </w:r>
      <w:proofErr w:type="spellEnd"/>
      <w:r w:rsidRPr="008A4B05">
        <w:rPr>
          <w:bCs/>
        </w:rPr>
        <w:t xml:space="preserve"> inference. Standardized ground-truth regulatory networks are lacking, making comprehensive benchmarking difficult; enhancer–gene relationships remain challenging to validate; Hi-C-based validation has limited resolution and physical proximity does not necessarily imply functional regulation; predictive performance decreases in very small, low-coverage datasets; and current </w:t>
      </w:r>
      <w:proofErr w:type="spellStart"/>
      <w:r w:rsidRPr="008A4B05">
        <w:rPr>
          <w:bCs/>
        </w:rPr>
        <w:t>eGRN</w:t>
      </w:r>
      <w:proofErr w:type="spellEnd"/>
      <w:r w:rsidRPr="008A4B05">
        <w:rPr>
          <w:bCs/>
        </w:rPr>
        <w:t xml:space="preserve"> inference remains biased toward activating rather than repressive interactions [8].</w:t>
      </w:r>
    </w:p>
    <w:p w14:paraId="78999B20" w14:textId="3EE3EBD4" w:rsidR="008A4B05" w:rsidRDefault="00A346E9">
      <w:pPr>
        <w:spacing w:after="80" w:line="240" w:lineRule="auto"/>
        <w:rPr>
          <w:bCs/>
        </w:rPr>
      </w:pPr>
      <w:r w:rsidRPr="00A346E9">
        <w:rPr>
          <w:bCs/>
        </w:rPr>
        <w:t>These limitations are particularly relevant when comparing networks across developmental stages because an apparent change in an inferred edge could represent genuine biological rewiring or differences arising from sampling, cellular composition, chromatin coverage, or network reconstruction. Accordingly, I will extend the analysis beyond independently generating G15, G18, and G20 networks.</w:t>
      </w:r>
    </w:p>
    <w:p w14:paraId="50B1F28C" w14:textId="254D901D" w:rsidR="00A346E9" w:rsidRDefault="000A0A7E">
      <w:pPr>
        <w:spacing w:after="80" w:line="240" w:lineRule="auto"/>
        <w:rPr>
          <w:bCs/>
        </w:rPr>
      </w:pPr>
      <w:r w:rsidRPr="000A0A7E">
        <w:rPr>
          <w:bCs/>
        </w:rPr>
        <w:t>First, differential edge analysis will identify regulatory interactions that are conserved, gained, lost, strengthened, or weakened across G15→G18 and G18→G20. Interactions present at G15 but lost or substantially weakened at G18 and G20 will be prioritized as candidate components of regenerative regulatory programs. Differential network analysis has previously been used to identify context-specific network relationships and rewiring across biological states and developmental conditions [10].</w:t>
      </w:r>
    </w:p>
    <w:p w14:paraId="785EACAD" w14:textId="39B00320" w:rsidR="000A0A7E" w:rsidRDefault="00123335">
      <w:pPr>
        <w:spacing w:after="80" w:line="240" w:lineRule="auto"/>
        <w:rPr>
          <w:bCs/>
        </w:rPr>
      </w:pPr>
      <w:r w:rsidRPr="00123335">
        <w:rPr>
          <w:bCs/>
        </w:rPr>
        <w:t>Second, differential hub analysis will quantify changes in degree, weighted connectivity, betweenness, and related centrality measures to identify TFs and genes whose regulatory importance changes across development. A regulator may therefore emerge as biologically important because its network connectivity changes even in the absence of large changes in its expression.</w:t>
      </w:r>
    </w:p>
    <w:p w14:paraId="08805DA4" w14:textId="06D600BE" w:rsidR="00123335" w:rsidRDefault="00290E9B">
      <w:pPr>
        <w:spacing w:after="80" w:line="240" w:lineRule="auto"/>
        <w:rPr>
          <w:bCs/>
        </w:rPr>
      </w:pPr>
      <w:r w:rsidRPr="00290E9B">
        <w:rPr>
          <w:bCs/>
        </w:rPr>
        <w:t xml:space="preserve">Third, regulatory rewiring analysis will compare the </w:t>
      </w:r>
      <w:proofErr w:type="spellStart"/>
      <w:r w:rsidRPr="00290E9B">
        <w:rPr>
          <w:bCs/>
        </w:rPr>
        <w:t>neighbourhood</w:t>
      </w:r>
      <w:proofErr w:type="spellEnd"/>
      <w:r w:rsidRPr="00290E9B">
        <w:rPr>
          <w:bCs/>
        </w:rPr>
        <w:t xml:space="preserve"> of each TF or gene across developmental stages. This is conceptually important because genes can retain comparable expression while undergoing substantial changes in their regulatory partners. Such mechanisms would be difficult to detect using differential expression alone [10].</w:t>
      </w:r>
    </w:p>
    <w:p w14:paraId="72E7CD8E" w14:textId="50003387" w:rsidR="00290E9B" w:rsidRDefault="009D6F94">
      <w:pPr>
        <w:spacing w:after="80" w:line="240" w:lineRule="auto"/>
        <w:rPr>
          <w:bCs/>
        </w:rPr>
      </w:pPr>
      <w:r w:rsidRPr="009D6F94">
        <w:rPr>
          <w:bCs/>
        </w:rPr>
        <w:t>Fourth, community and regulatory-module analyses will identify groups of coordinately regulated genes. Module preservation statistics will be used to determine whether regulatory programs present at G15 are preserved, disrupted, or reorganized at G18 and G20. Statistical frameworks for network-module preservation provide a means of distinguishing preservation of network organization from simple overlap between independently detected modules [11].</w:t>
      </w:r>
    </w:p>
    <w:p w14:paraId="6073105C" w14:textId="5392995C" w:rsidR="009D6F94" w:rsidRDefault="007C2025">
      <w:pPr>
        <w:spacing w:after="80" w:line="240" w:lineRule="auto"/>
        <w:rPr>
          <w:bCs/>
        </w:rPr>
      </w:pPr>
      <w:r w:rsidRPr="007C2025">
        <w:rPr>
          <w:bCs/>
        </w:rPr>
        <w:t>Fifth, global and local network-similarity analyses will quantify the magnitude of regulatory change across the developmental series. This will enable us to test whether regulatory architecture undergoes its largest shift during G15→G18, as expected for a regeneration-associated transition, or instead changes progressively through G20.</w:t>
      </w:r>
    </w:p>
    <w:p w14:paraId="352ECDC5" w14:textId="22EBEB92" w:rsidR="005702E7" w:rsidRDefault="003157F2">
      <w:pPr>
        <w:spacing w:after="80" w:line="240" w:lineRule="auto"/>
        <w:rPr>
          <w:bCs/>
        </w:rPr>
      </w:pPr>
      <w:r w:rsidRPr="003157F2">
        <w:rPr>
          <w:bCs/>
        </w:rPr>
        <w:t>Finally, the network results will be integrated with the transcriptional, epigenomic, developmental, and spatial evidence generated in Aims 1 and 2. Candidate regulators will therefore not be prioritized based solely on a SCENIC+ score. Instead, evidence will be combined across:</w:t>
      </w:r>
      <w:r w:rsidR="009E4B64">
        <w:rPr>
          <w:bCs/>
        </w:rPr>
        <w:t xml:space="preserve"> </w:t>
      </w:r>
      <w:r w:rsidR="005702E7" w:rsidRPr="00A9687F">
        <w:rPr>
          <w:b/>
          <w:i/>
          <w:iCs/>
        </w:rPr>
        <w:t xml:space="preserve">RNA expression → chromatin accessibility → TF motif/activity → enhancer–gene relationships → network connectivity/rewiring </w:t>
      </w:r>
      <w:r w:rsidR="005702E7" w:rsidRPr="00A9687F">
        <w:rPr>
          <w:b/>
          <w:i/>
          <w:iCs/>
        </w:rPr>
        <w:lastRenderedPageBreak/>
        <w:t>→ developmental trajectory → spatial localization</w:t>
      </w:r>
      <w:r w:rsidR="005702E7" w:rsidRPr="005702E7">
        <w:rPr>
          <w:bCs/>
        </w:rPr>
        <w:t>.</w:t>
      </w:r>
      <w:r w:rsidR="009E4B64">
        <w:rPr>
          <w:bCs/>
        </w:rPr>
        <w:t xml:space="preserve"> </w:t>
      </w:r>
      <w:r w:rsidR="009E4B64" w:rsidRPr="009E4B64">
        <w:rPr>
          <w:bCs/>
        </w:rPr>
        <w:t>This convergent strategy will prioritize candidate TFs and regulatory programs supported by multiple independent sources of evidence.</w:t>
      </w:r>
    </w:p>
    <w:p w14:paraId="7589AD6F" w14:textId="7141F66B" w:rsidR="008A7D08" w:rsidRDefault="008A7D08">
      <w:pPr>
        <w:spacing w:after="80" w:line="240" w:lineRule="auto"/>
        <w:rPr>
          <w:bCs/>
        </w:rPr>
      </w:pPr>
      <w:r w:rsidRPr="008A7D08">
        <w:rPr>
          <w:bCs/>
        </w:rPr>
        <w:t>A particularly compelling regeneration-associated signature would consist of a TF or regulatory module that is active and highly connected at G15, undergoes loss of enhancer accessibility, activity, or network connectivity during G15→G18, and remains suppressed or rewired at G20. Conversely, programs gained at G18 and maintained at G20 may identify regulatory mechanisms associated with establishment of the non-regenerative state.</w:t>
      </w:r>
    </w:p>
    <w:p w14:paraId="6BC7A7C1" w14:textId="57B98357" w:rsidR="008A7D08" w:rsidRDefault="00F57B6A">
      <w:pPr>
        <w:spacing w:after="80" w:line="240" w:lineRule="auto"/>
        <w:rPr>
          <w:bCs/>
        </w:rPr>
      </w:pPr>
      <w:r w:rsidRPr="00F57B6A">
        <w:rPr>
          <w:bCs/>
          <w:i/>
          <w:iCs/>
        </w:rPr>
        <w:t>Expected outcome</w:t>
      </w:r>
      <w:r w:rsidRPr="00F57B6A">
        <w:rPr>
          <w:bCs/>
        </w:rPr>
        <w:t>: Aim 3 will generate a prioritized set of TFs, enhancers, regulatory interactions, and network modules associated with regenerative competence and its developmental loss, providing mechanistic hypotheses for subsequent experimental validation.</w:t>
      </w:r>
    </w:p>
    <w:p w14:paraId="5EA1B891" w14:textId="77777777" w:rsidR="00F57B6A" w:rsidRDefault="00F57B6A">
      <w:pPr>
        <w:spacing w:after="80" w:line="240" w:lineRule="auto"/>
        <w:rPr>
          <w:bCs/>
        </w:rPr>
      </w:pPr>
    </w:p>
    <w:p w14:paraId="15B007A5" w14:textId="1AFE48DB" w:rsidR="00F57B6A" w:rsidRPr="00F57B6A" w:rsidRDefault="00F57B6A">
      <w:pPr>
        <w:spacing w:after="80" w:line="240" w:lineRule="auto"/>
        <w:rPr>
          <w:b/>
        </w:rPr>
      </w:pPr>
      <w:r w:rsidRPr="00F57B6A">
        <w:rPr>
          <w:b/>
        </w:rPr>
        <w:t>Conclusion and Outlook</w:t>
      </w:r>
    </w:p>
    <w:p w14:paraId="454FF4AF" w14:textId="3116EBE1" w:rsidR="00F57B6A" w:rsidRDefault="00E26E8F">
      <w:pPr>
        <w:spacing w:after="80" w:line="240" w:lineRule="auto"/>
        <w:rPr>
          <w:bCs/>
        </w:rPr>
      </w:pPr>
      <w:r w:rsidRPr="00E26E8F">
        <w:rPr>
          <w:bCs/>
        </w:rPr>
        <w:t>This project will produce more than a descriptive catalogue of human inner-ear cell types. By combining RNA-seq, ATAC-seq, spatial information, developmental trajectories, and differential regulatory-network analysis, it will establish a multidimensional computational representation of human inner-ear development.</w:t>
      </w:r>
    </w:p>
    <w:p w14:paraId="2FEEB0FE" w14:textId="2184A546" w:rsidR="00E26E8F" w:rsidRDefault="006C14EB">
      <w:pPr>
        <w:spacing w:after="80" w:line="240" w:lineRule="auto"/>
        <w:rPr>
          <w:bCs/>
        </w:rPr>
      </w:pPr>
      <w:r w:rsidRPr="006C14EB">
        <w:rPr>
          <w:bCs/>
        </w:rPr>
        <w:t xml:space="preserve">The proposed framework will enable us to ask three progressively deeper questions: </w:t>
      </w:r>
      <w:r w:rsidRPr="006C14EB">
        <w:rPr>
          <w:b/>
          <w:i/>
          <w:iCs/>
        </w:rPr>
        <w:t>Which cells and molecular states are present? → How do they change from G15→G18→G20? → Which regulatory mechanisms are rewired as regenerative competence is lost?</w:t>
      </w:r>
    </w:p>
    <w:p w14:paraId="3F36A17F" w14:textId="5E508795" w:rsidR="006C14EB" w:rsidRDefault="003073CE">
      <w:pPr>
        <w:spacing w:after="80" w:line="240" w:lineRule="auto"/>
        <w:rPr>
          <w:bCs/>
        </w:rPr>
      </w:pPr>
      <w:r w:rsidRPr="003073CE">
        <w:rPr>
          <w:bCs/>
        </w:rPr>
        <w:t>This distinction is important. Differential gene expression can identify molecular correlates of regenerative competence, but integration with chromatin accessibility and regulatory networks can identify candidate mechanisms responsible for establishing those states, while spatial information can determine where those mechanisms operate within the developing inner ear.</w:t>
      </w:r>
    </w:p>
    <w:p w14:paraId="5200C54E" w14:textId="5D85EC95" w:rsidR="001566CC" w:rsidRDefault="007E6D6B">
      <w:pPr>
        <w:spacing w:after="80" w:line="240" w:lineRule="auto"/>
        <w:rPr>
          <w:bCs/>
        </w:rPr>
      </w:pPr>
      <w:r w:rsidRPr="007E6D6B">
        <w:rPr>
          <w:bCs/>
        </w:rPr>
        <w:t>Ultimately, this project will generate both a reusable spatial multi-</w:t>
      </w:r>
      <w:proofErr w:type="spellStart"/>
      <w:r w:rsidRPr="007E6D6B">
        <w:rPr>
          <w:bCs/>
        </w:rPr>
        <w:t>omic</w:t>
      </w:r>
      <w:proofErr w:type="spellEnd"/>
      <w:r w:rsidRPr="007E6D6B">
        <w:rPr>
          <w:bCs/>
        </w:rPr>
        <w:t xml:space="preserve"> resource for the human inner-ear research community and a prioritized set of candidate regulators associated with regenerative competence. These candidates will provide experimentally testable hypotheses for future studies aimed at understanding—and potentially restoring—regenerative capacity in the human inner ear.</w:t>
      </w:r>
    </w:p>
    <w:p w14:paraId="0586F6CF" w14:textId="77777777" w:rsidR="001566CC" w:rsidRDefault="001566CC">
      <w:pPr>
        <w:spacing w:after="80" w:line="240" w:lineRule="auto"/>
        <w:rPr>
          <w:bCs/>
        </w:rPr>
      </w:pPr>
    </w:p>
    <w:p w14:paraId="7983B852" w14:textId="5A53A78F" w:rsidR="001566CC" w:rsidRPr="00920B45" w:rsidRDefault="003D4519">
      <w:pPr>
        <w:spacing w:after="80" w:line="240" w:lineRule="auto"/>
        <w:rPr>
          <w:b/>
          <w:lang w:val="de-DE"/>
        </w:rPr>
      </w:pPr>
      <w:r w:rsidRPr="00920B45">
        <w:rPr>
          <w:b/>
          <w:lang w:val="de-DE"/>
        </w:rPr>
        <w:t>References</w:t>
      </w:r>
    </w:p>
    <w:p w14:paraId="4583560D" w14:textId="2B41A6A4" w:rsidR="00B42D48" w:rsidRPr="00B42D48" w:rsidRDefault="00C91DDA" w:rsidP="00B42D48">
      <w:pPr>
        <w:spacing w:after="80" w:line="240" w:lineRule="auto"/>
        <w:rPr>
          <w:bCs/>
          <w:lang w:val="en-IN"/>
        </w:rPr>
      </w:pPr>
      <w:r w:rsidRPr="00C91DDA">
        <w:rPr>
          <w:bCs/>
          <w:lang w:val="de-DE"/>
        </w:rPr>
        <w:t xml:space="preserve">[1] </w:t>
      </w:r>
      <w:r w:rsidR="00B42D48" w:rsidRPr="00B42D48">
        <w:rPr>
          <w:bCs/>
          <w:lang w:val="de-DE"/>
        </w:rPr>
        <w:t xml:space="preserve">Janesick A, Scheibinger M, Benkafadar N, et al. </w:t>
      </w:r>
      <w:r w:rsidR="00B42D48" w:rsidRPr="00B42D48">
        <w:rPr>
          <w:bCs/>
          <w:lang w:val="en-IN"/>
        </w:rPr>
        <w:t xml:space="preserve">Cell-type identity of the avian cochlea. </w:t>
      </w:r>
      <w:r w:rsidR="00B42D48" w:rsidRPr="00B42D48">
        <w:rPr>
          <w:bCs/>
          <w:i/>
          <w:iCs/>
          <w:lang w:val="en-IN"/>
        </w:rPr>
        <w:t>Cell Rep.</w:t>
      </w:r>
      <w:r w:rsidR="00B42D48" w:rsidRPr="00B42D48">
        <w:rPr>
          <w:bCs/>
          <w:lang w:val="en-IN"/>
        </w:rPr>
        <w:t xml:space="preserve"> </w:t>
      </w:r>
      <w:proofErr w:type="gramStart"/>
      <w:r w:rsidR="00B42D48" w:rsidRPr="00B42D48">
        <w:rPr>
          <w:bCs/>
          <w:lang w:val="en-IN"/>
        </w:rPr>
        <w:t>2021;34:108900</w:t>
      </w:r>
      <w:proofErr w:type="gramEnd"/>
      <w:r w:rsidR="00B42D48" w:rsidRPr="00B42D48">
        <w:rPr>
          <w:bCs/>
          <w:lang w:val="en-IN"/>
        </w:rPr>
        <w:t>.</w:t>
      </w:r>
    </w:p>
    <w:p w14:paraId="5A88FC79" w14:textId="6939DC2E" w:rsidR="00B42D48" w:rsidRPr="00B42D48" w:rsidRDefault="00B42D48" w:rsidP="00B42D48">
      <w:pPr>
        <w:spacing w:after="80" w:line="240" w:lineRule="auto"/>
        <w:rPr>
          <w:bCs/>
          <w:lang w:val="en-IN"/>
        </w:rPr>
      </w:pPr>
      <w:r w:rsidRPr="00B42D48">
        <w:rPr>
          <w:bCs/>
          <w:lang w:val="de-DE"/>
        </w:rPr>
        <w:t>[2]</w:t>
      </w:r>
      <w:r w:rsidRPr="00B42D48">
        <w:rPr>
          <w:bCs/>
          <w:lang w:val="de-DE"/>
        </w:rPr>
        <w:t xml:space="preserve"> Scheibinger M, Janesick A, Benkafadar N, et al. </w:t>
      </w:r>
      <w:r w:rsidRPr="00B42D48">
        <w:rPr>
          <w:bCs/>
          <w:lang w:val="en-IN"/>
        </w:rPr>
        <w:t xml:space="preserve">Cell-type identity of the avian utricle. </w:t>
      </w:r>
      <w:r w:rsidRPr="00B42D48">
        <w:rPr>
          <w:bCs/>
          <w:i/>
          <w:iCs/>
          <w:lang w:val="en-IN"/>
        </w:rPr>
        <w:t>Cell Rep.</w:t>
      </w:r>
      <w:r w:rsidRPr="00B42D48">
        <w:rPr>
          <w:bCs/>
          <w:lang w:val="en-IN"/>
        </w:rPr>
        <w:t xml:space="preserve"> </w:t>
      </w:r>
      <w:proofErr w:type="gramStart"/>
      <w:r w:rsidRPr="00B42D48">
        <w:rPr>
          <w:bCs/>
          <w:lang w:val="en-IN"/>
        </w:rPr>
        <w:t>2022;40:111432</w:t>
      </w:r>
      <w:proofErr w:type="gramEnd"/>
      <w:r w:rsidRPr="00B42D48">
        <w:rPr>
          <w:bCs/>
          <w:lang w:val="en-IN"/>
        </w:rPr>
        <w:t>.</w:t>
      </w:r>
    </w:p>
    <w:p w14:paraId="544AA04C" w14:textId="2E561F90" w:rsidR="00B42D48" w:rsidRPr="00B42D48" w:rsidRDefault="00B42D48" w:rsidP="00B42D48">
      <w:pPr>
        <w:spacing w:after="80" w:line="240" w:lineRule="auto"/>
        <w:rPr>
          <w:bCs/>
          <w:lang w:val="en-IN"/>
        </w:rPr>
      </w:pPr>
      <w:r w:rsidRPr="00B42D48">
        <w:rPr>
          <w:bCs/>
          <w:lang w:val="de-DE"/>
        </w:rPr>
        <w:t xml:space="preserve">[3] </w:t>
      </w:r>
      <w:r w:rsidRPr="00B42D48">
        <w:rPr>
          <w:bCs/>
          <w:lang w:val="de-DE"/>
        </w:rPr>
        <w:t xml:space="preserve">Kolla L, Kelly MC, Mann ZF, et al. </w:t>
      </w:r>
      <w:r w:rsidRPr="00B42D48">
        <w:rPr>
          <w:bCs/>
          <w:lang w:val="en-IN"/>
        </w:rPr>
        <w:t xml:space="preserve">Characterization of the development of the mouse cochlear epithelium at the single cell level. </w:t>
      </w:r>
      <w:r w:rsidRPr="00B42D48">
        <w:rPr>
          <w:bCs/>
          <w:i/>
          <w:iCs/>
          <w:lang w:val="en-IN"/>
        </w:rPr>
        <w:t>Nat Commun.</w:t>
      </w:r>
      <w:r w:rsidRPr="00B42D48">
        <w:rPr>
          <w:bCs/>
          <w:lang w:val="en-IN"/>
        </w:rPr>
        <w:t xml:space="preserve"> </w:t>
      </w:r>
      <w:proofErr w:type="gramStart"/>
      <w:r w:rsidRPr="00B42D48">
        <w:rPr>
          <w:bCs/>
          <w:lang w:val="en-IN"/>
        </w:rPr>
        <w:t>2020;11:2389</w:t>
      </w:r>
      <w:proofErr w:type="gramEnd"/>
      <w:r w:rsidRPr="00B42D48">
        <w:rPr>
          <w:bCs/>
          <w:lang w:val="en-IN"/>
        </w:rPr>
        <w:t>. doi:10.1038/s41467-020-16113-y.</w:t>
      </w:r>
    </w:p>
    <w:p w14:paraId="4DF4647E" w14:textId="751F3121" w:rsidR="00B42D48" w:rsidRPr="00B42D48" w:rsidRDefault="00B42D48" w:rsidP="00B42D48">
      <w:pPr>
        <w:spacing w:after="80" w:line="240" w:lineRule="auto"/>
        <w:rPr>
          <w:bCs/>
          <w:lang w:val="en-IN"/>
        </w:rPr>
      </w:pPr>
      <w:r w:rsidRPr="001361EF">
        <w:rPr>
          <w:bCs/>
          <w:lang w:val="de-DE"/>
        </w:rPr>
        <w:t xml:space="preserve">[4] </w:t>
      </w:r>
      <w:r w:rsidRPr="001361EF">
        <w:rPr>
          <w:bCs/>
          <w:lang w:val="de-DE"/>
        </w:rPr>
        <w:t xml:space="preserve">van der Valk WH, van Beelen ESA, Steinhart MR, et al. </w:t>
      </w:r>
      <w:r w:rsidRPr="00B42D48">
        <w:rPr>
          <w:bCs/>
          <w:lang w:val="en-IN"/>
        </w:rPr>
        <w:t xml:space="preserve">A single-cell level comparison of human inner ear organoids with the human cochlea and vestibular organs. </w:t>
      </w:r>
      <w:r w:rsidRPr="00B42D48">
        <w:rPr>
          <w:bCs/>
          <w:i/>
          <w:iCs/>
          <w:lang w:val="en-IN"/>
        </w:rPr>
        <w:t>Cell Rep.</w:t>
      </w:r>
      <w:r w:rsidRPr="00B42D48">
        <w:rPr>
          <w:bCs/>
          <w:lang w:val="en-IN"/>
        </w:rPr>
        <w:t xml:space="preserve"> </w:t>
      </w:r>
      <w:proofErr w:type="gramStart"/>
      <w:r w:rsidRPr="00B42D48">
        <w:rPr>
          <w:bCs/>
          <w:lang w:val="en-IN"/>
        </w:rPr>
        <w:t>2023;42:113527</w:t>
      </w:r>
      <w:proofErr w:type="gramEnd"/>
      <w:r w:rsidRPr="00B42D48">
        <w:rPr>
          <w:bCs/>
          <w:lang w:val="en-IN"/>
        </w:rPr>
        <w:t>.</w:t>
      </w:r>
    </w:p>
    <w:p w14:paraId="33C00A4B" w14:textId="7C13948D" w:rsidR="00B42D48" w:rsidRPr="00B42D48" w:rsidRDefault="001361EF" w:rsidP="00B42D48">
      <w:pPr>
        <w:spacing w:after="80" w:line="240" w:lineRule="auto"/>
        <w:rPr>
          <w:bCs/>
          <w:lang w:val="en-IN"/>
        </w:rPr>
      </w:pPr>
      <w:r w:rsidRPr="001361EF">
        <w:rPr>
          <w:bCs/>
          <w:lang w:val="de-DE"/>
        </w:rPr>
        <w:t xml:space="preserve">[5] </w:t>
      </w:r>
      <w:r w:rsidR="00B42D48" w:rsidRPr="001361EF">
        <w:rPr>
          <w:bCs/>
          <w:lang w:val="de-DE"/>
        </w:rPr>
        <w:t xml:space="preserve">Wang T, Ling AH, Billings SE, et al. </w:t>
      </w:r>
      <w:r w:rsidR="00B42D48" w:rsidRPr="00B42D48">
        <w:rPr>
          <w:bCs/>
          <w:lang w:val="en-IN"/>
        </w:rPr>
        <w:t xml:space="preserve">Single-cell transcriptomic atlas reveals increased regeneration in diseased human inner ear balance organs. </w:t>
      </w:r>
      <w:r w:rsidR="00B42D48" w:rsidRPr="00B42D48">
        <w:rPr>
          <w:bCs/>
          <w:i/>
          <w:iCs/>
          <w:lang w:val="en-IN"/>
        </w:rPr>
        <w:t>Nat Commun.</w:t>
      </w:r>
      <w:r w:rsidR="00B42D48" w:rsidRPr="00B42D48">
        <w:rPr>
          <w:bCs/>
          <w:lang w:val="en-IN"/>
        </w:rPr>
        <w:t xml:space="preserve"> </w:t>
      </w:r>
      <w:proofErr w:type="gramStart"/>
      <w:r w:rsidR="00B42D48" w:rsidRPr="00B42D48">
        <w:rPr>
          <w:bCs/>
          <w:lang w:val="en-IN"/>
        </w:rPr>
        <w:t>2024;15:4833</w:t>
      </w:r>
      <w:proofErr w:type="gramEnd"/>
      <w:r w:rsidR="00B42D48" w:rsidRPr="00B42D48">
        <w:rPr>
          <w:bCs/>
          <w:lang w:val="en-IN"/>
        </w:rPr>
        <w:t>. doi:10.1038/s41467-024-48491-y.</w:t>
      </w:r>
    </w:p>
    <w:p w14:paraId="6957B4E3" w14:textId="4E8D0D41" w:rsidR="00B42D48" w:rsidRPr="00B42D48" w:rsidRDefault="001361EF" w:rsidP="00B42D48">
      <w:pPr>
        <w:spacing w:after="80" w:line="240" w:lineRule="auto"/>
        <w:rPr>
          <w:bCs/>
          <w:lang w:val="en-IN"/>
        </w:rPr>
      </w:pPr>
      <w:r>
        <w:rPr>
          <w:bCs/>
          <w:lang w:val="en-IN"/>
        </w:rPr>
        <w:t xml:space="preserve">[6] </w:t>
      </w:r>
      <w:r w:rsidR="00B42D48" w:rsidRPr="00B42D48">
        <w:rPr>
          <w:bCs/>
          <w:lang w:val="en-IN"/>
        </w:rPr>
        <w:t xml:space="preserve">Chan Zuckerberg Initiative. CZ </w:t>
      </w:r>
      <w:proofErr w:type="spellStart"/>
      <w:r w:rsidR="00B42D48" w:rsidRPr="00B42D48">
        <w:rPr>
          <w:bCs/>
          <w:lang w:val="en-IN"/>
        </w:rPr>
        <w:t>CELLxGENE</w:t>
      </w:r>
      <w:proofErr w:type="spellEnd"/>
      <w:r w:rsidR="00B42D48" w:rsidRPr="00B42D48">
        <w:rPr>
          <w:bCs/>
          <w:lang w:val="en-IN"/>
        </w:rPr>
        <w:t xml:space="preserve"> Discover. Tabula Sapiens—Ear. Accessed August 2026.</w:t>
      </w:r>
    </w:p>
    <w:p w14:paraId="64C359E8" w14:textId="48BE988B" w:rsidR="00B42D48" w:rsidRPr="00B42D48" w:rsidRDefault="00FA1F4F" w:rsidP="00B42D48">
      <w:pPr>
        <w:spacing w:after="80" w:line="240" w:lineRule="auto"/>
        <w:rPr>
          <w:bCs/>
          <w:lang w:val="en-IN"/>
        </w:rPr>
      </w:pPr>
      <w:r>
        <w:rPr>
          <w:bCs/>
          <w:lang w:val="en-IN"/>
        </w:rPr>
        <w:t xml:space="preserve">[7] </w:t>
      </w:r>
      <w:r w:rsidR="00B42D48" w:rsidRPr="00B42D48">
        <w:rPr>
          <w:bCs/>
          <w:lang w:val="en-IN"/>
        </w:rPr>
        <w:t xml:space="preserve">Aibar S, González-Blas CB, Moerman T, et al. SCENIC: single-cell regulatory network inference and clustering. </w:t>
      </w:r>
      <w:r w:rsidR="00B42D48" w:rsidRPr="00B42D48">
        <w:rPr>
          <w:bCs/>
          <w:i/>
          <w:iCs/>
          <w:lang w:val="en-IN"/>
        </w:rPr>
        <w:t>Nat Methods.</w:t>
      </w:r>
      <w:r w:rsidR="00B42D48" w:rsidRPr="00B42D48">
        <w:rPr>
          <w:bCs/>
          <w:lang w:val="en-IN"/>
        </w:rPr>
        <w:t xml:space="preserve"> </w:t>
      </w:r>
      <w:proofErr w:type="gramStart"/>
      <w:r w:rsidR="00B42D48" w:rsidRPr="00B42D48">
        <w:rPr>
          <w:bCs/>
          <w:lang w:val="en-IN"/>
        </w:rPr>
        <w:t>2017;14:1083</w:t>
      </w:r>
      <w:proofErr w:type="gramEnd"/>
      <w:r w:rsidR="00B42D48" w:rsidRPr="00B42D48">
        <w:rPr>
          <w:bCs/>
          <w:lang w:val="en-IN"/>
        </w:rPr>
        <w:t>–1086. doi:10.1038/nmeth.4463.</w:t>
      </w:r>
    </w:p>
    <w:p w14:paraId="355CF345" w14:textId="5579E72E" w:rsidR="00B42D48" w:rsidRPr="00B42D48" w:rsidRDefault="00287DE9" w:rsidP="00B42D48">
      <w:pPr>
        <w:spacing w:after="80" w:line="240" w:lineRule="auto"/>
        <w:rPr>
          <w:bCs/>
          <w:lang w:val="en-IN"/>
        </w:rPr>
      </w:pPr>
      <w:r>
        <w:rPr>
          <w:bCs/>
          <w:lang w:val="en-IN"/>
        </w:rPr>
        <w:lastRenderedPageBreak/>
        <w:t xml:space="preserve">[8] </w:t>
      </w:r>
      <w:r w:rsidR="00B42D48" w:rsidRPr="00B42D48">
        <w:rPr>
          <w:bCs/>
          <w:lang w:val="en-IN"/>
        </w:rPr>
        <w:t xml:space="preserve">Bravo González-Blas C, De Winter S, </w:t>
      </w:r>
      <w:proofErr w:type="spellStart"/>
      <w:r w:rsidR="00B42D48" w:rsidRPr="00B42D48">
        <w:rPr>
          <w:bCs/>
          <w:lang w:val="en-IN"/>
        </w:rPr>
        <w:t>Hulselmans</w:t>
      </w:r>
      <w:proofErr w:type="spellEnd"/>
      <w:r w:rsidR="00B42D48" w:rsidRPr="00B42D48">
        <w:rPr>
          <w:bCs/>
          <w:lang w:val="en-IN"/>
        </w:rPr>
        <w:t xml:space="preserve"> G, et al. SCENIC+: single-cell </w:t>
      </w:r>
      <w:proofErr w:type="spellStart"/>
      <w:r w:rsidR="00B42D48" w:rsidRPr="00B42D48">
        <w:rPr>
          <w:bCs/>
          <w:lang w:val="en-IN"/>
        </w:rPr>
        <w:t>multiomic</w:t>
      </w:r>
      <w:proofErr w:type="spellEnd"/>
      <w:r w:rsidR="00B42D48" w:rsidRPr="00B42D48">
        <w:rPr>
          <w:bCs/>
          <w:lang w:val="en-IN"/>
        </w:rPr>
        <w:t xml:space="preserve"> inference of enhancers and gene regulatory networks. </w:t>
      </w:r>
      <w:r w:rsidR="00B42D48" w:rsidRPr="00B42D48">
        <w:rPr>
          <w:bCs/>
          <w:i/>
          <w:iCs/>
          <w:lang w:val="en-IN"/>
        </w:rPr>
        <w:t>Nat Methods.</w:t>
      </w:r>
      <w:r w:rsidR="00B42D48" w:rsidRPr="00B42D48">
        <w:rPr>
          <w:bCs/>
          <w:lang w:val="en-IN"/>
        </w:rPr>
        <w:t xml:space="preserve"> </w:t>
      </w:r>
      <w:proofErr w:type="gramStart"/>
      <w:r w:rsidR="00B42D48" w:rsidRPr="00B42D48">
        <w:rPr>
          <w:bCs/>
          <w:lang w:val="en-IN"/>
        </w:rPr>
        <w:t>2023;20:1355</w:t>
      </w:r>
      <w:proofErr w:type="gramEnd"/>
      <w:r w:rsidR="00B42D48" w:rsidRPr="00B42D48">
        <w:rPr>
          <w:bCs/>
          <w:lang w:val="en-IN"/>
        </w:rPr>
        <w:t>–1367. doi:10.1038/s41592-023-01938-4.</w:t>
      </w:r>
    </w:p>
    <w:p w14:paraId="49ED7DAD" w14:textId="178EB81B" w:rsidR="00B42D48" w:rsidRPr="00B42D48" w:rsidRDefault="00287DE9" w:rsidP="00B42D48">
      <w:pPr>
        <w:spacing w:after="80" w:line="240" w:lineRule="auto"/>
        <w:rPr>
          <w:bCs/>
          <w:lang w:val="en-IN"/>
        </w:rPr>
      </w:pPr>
      <w:r>
        <w:rPr>
          <w:bCs/>
          <w:lang w:val="en-IN"/>
        </w:rPr>
        <w:t xml:space="preserve">[9] </w:t>
      </w:r>
      <w:r w:rsidR="00B42D48" w:rsidRPr="00B42D48">
        <w:rPr>
          <w:bCs/>
          <w:lang w:val="en-IN"/>
        </w:rPr>
        <w:t xml:space="preserve">Jin S, Guerrero-Juarez CF, Zhang L, et al. Inference and analysis of cell-cell communication using </w:t>
      </w:r>
      <w:proofErr w:type="spellStart"/>
      <w:r w:rsidR="00B42D48" w:rsidRPr="00B42D48">
        <w:rPr>
          <w:bCs/>
          <w:lang w:val="en-IN"/>
        </w:rPr>
        <w:t>CellChat</w:t>
      </w:r>
      <w:proofErr w:type="spellEnd"/>
      <w:r w:rsidR="00B42D48" w:rsidRPr="00B42D48">
        <w:rPr>
          <w:bCs/>
          <w:lang w:val="en-IN"/>
        </w:rPr>
        <w:t xml:space="preserve">. </w:t>
      </w:r>
      <w:r w:rsidR="00B42D48" w:rsidRPr="00B42D48">
        <w:rPr>
          <w:bCs/>
          <w:i/>
          <w:iCs/>
          <w:lang w:val="en-IN"/>
        </w:rPr>
        <w:t>Nat Commun.</w:t>
      </w:r>
      <w:r w:rsidR="00B42D48" w:rsidRPr="00B42D48">
        <w:rPr>
          <w:bCs/>
          <w:lang w:val="en-IN"/>
        </w:rPr>
        <w:t xml:space="preserve"> </w:t>
      </w:r>
      <w:proofErr w:type="gramStart"/>
      <w:r w:rsidR="00B42D48" w:rsidRPr="00B42D48">
        <w:rPr>
          <w:bCs/>
          <w:lang w:val="en-IN"/>
        </w:rPr>
        <w:t>2021;12:1088</w:t>
      </w:r>
      <w:proofErr w:type="gramEnd"/>
      <w:r w:rsidR="00B42D48" w:rsidRPr="00B42D48">
        <w:rPr>
          <w:bCs/>
          <w:lang w:val="en-IN"/>
        </w:rPr>
        <w:t>. doi:10.1038/s41467-021-21246-9.</w:t>
      </w:r>
    </w:p>
    <w:p w14:paraId="36FB26FF" w14:textId="760B04AB" w:rsidR="00B42D48" w:rsidRPr="00B42D48" w:rsidRDefault="00287DE9" w:rsidP="00B42D48">
      <w:pPr>
        <w:spacing w:after="80" w:line="240" w:lineRule="auto"/>
        <w:rPr>
          <w:bCs/>
          <w:lang w:val="en-IN"/>
        </w:rPr>
      </w:pPr>
      <w:r>
        <w:rPr>
          <w:bCs/>
          <w:lang w:val="en-IN"/>
        </w:rPr>
        <w:t xml:space="preserve">[10] </w:t>
      </w:r>
      <w:r w:rsidR="00B42D48" w:rsidRPr="00B42D48">
        <w:rPr>
          <w:bCs/>
          <w:lang w:val="en-IN"/>
        </w:rPr>
        <w:t xml:space="preserve">Hudson NJ, Dalrymple BP, </w:t>
      </w:r>
      <w:proofErr w:type="spellStart"/>
      <w:r w:rsidR="00B42D48" w:rsidRPr="00B42D48">
        <w:rPr>
          <w:bCs/>
          <w:lang w:val="en-IN"/>
        </w:rPr>
        <w:t>Reverter</w:t>
      </w:r>
      <w:proofErr w:type="spellEnd"/>
      <w:r w:rsidR="00B42D48" w:rsidRPr="00B42D48">
        <w:rPr>
          <w:bCs/>
          <w:lang w:val="en-IN"/>
        </w:rPr>
        <w:t xml:space="preserve"> A. Beyond differential expression: the quest for causal mutations and effector molecules. </w:t>
      </w:r>
      <w:r w:rsidR="00B42D48" w:rsidRPr="00B42D48">
        <w:rPr>
          <w:bCs/>
          <w:i/>
          <w:iCs/>
          <w:lang w:val="en-IN"/>
        </w:rPr>
        <w:t>BMC Genomics.</w:t>
      </w:r>
      <w:r w:rsidR="00B42D48" w:rsidRPr="00B42D48">
        <w:rPr>
          <w:bCs/>
          <w:lang w:val="en-IN"/>
        </w:rPr>
        <w:t xml:space="preserve"> </w:t>
      </w:r>
      <w:proofErr w:type="gramStart"/>
      <w:r w:rsidR="00B42D48" w:rsidRPr="00B42D48">
        <w:rPr>
          <w:bCs/>
          <w:lang w:val="en-IN"/>
        </w:rPr>
        <w:t>2012;13:356</w:t>
      </w:r>
      <w:proofErr w:type="gramEnd"/>
      <w:r w:rsidR="00B42D48" w:rsidRPr="00B42D48">
        <w:rPr>
          <w:bCs/>
          <w:lang w:val="en-IN"/>
        </w:rPr>
        <w:t>. See also differential-network frameworks for identifying condition-specific network rewiring during development and disease.</w:t>
      </w:r>
    </w:p>
    <w:p w14:paraId="577A9A84" w14:textId="3DE52B2D" w:rsidR="003D4519" w:rsidRPr="00955FFB" w:rsidRDefault="00287DE9" w:rsidP="00B42D48">
      <w:pPr>
        <w:spacing w:after="80" w:line="240" w:lineRule="auto"/>
        <w:rPr>
          <w:bCs/>
        </w:rPr>
      </w:pPr>
      <w:r>
        <w:rPr>
          <w:bCs/>
          <w:lang w:val="en-IN"/>
        </w:rPr>
        <w:t xml:space="preserve">[11] </w:t>
      </w:r>
      <w:r w:rsidR="00B42D48" w:rsidRPr="00B42D48">
        <w:rPr>
          <w:bCs/>
          <w:lang w:val="en-IN"/>
        </w:rPr>
        <w:t xml:space="preserve">Langfelder P, Luo R, Oldham MC, Horvath S. Is my network module preserved and reproducible? </w:t>
      </w:r>
      <w:proofErr w:type="spellStart"/>
      <w:r w:rsidR="00B42D48" w:rsidRPr="00B42D48">
        <w:rPr>
          <w:bCs/>
          <w:i/>
          <w:iCs/>
          <w:lang w:val="en-IN"/>
        </w:rPr>
        <w:t>PLoS</w:t>
      </w:r>
      <w:proofErr w:type="spellEnd"/>
      <w:r w:rsidR="00B42D48" w:rsidRPr="00B42D48">
        <w:rPr>
          <w:bCs/>
          <w:i/>
          <w:iCs/>
          <w:lang w:val="en-IN"/>
        </w:rPr>
        <w:t xml:space="preserve"> </w:t>
      </w:r>
      <w:proofErr w:type="spellStart"/>
      <w:r w:rsidR="00B42D48" w:rsidRPr="00B42D48">
        <w:rPr>
          <w:bCs/>
          <w:i/>
          <w:iCs/>
          <w:lang w:val="en-IN"/>
        </w:rPr>
        <w:t>Comput</w:t>
      </w:r>
      <w:proofErr w:type="spellEnd"/>
      <w:r w:rsidR="00B42D48" w:rsidRPr="00B42D48">
        <w:rPr>
          <w:bCs/>
          <w:i/>
          <w:iCs/>
          <w:lang w:val="en-IN"/>
        </w:rPr>
        <w:t xml:space="preserve"> Biol.</w:t>
      </w:r>
      <w:r w:rsidR="00B42D48" w:rsidRPr="00B42D48">
        <w:rPr>
          <w:bCs/>
          <w:lang w:val="en-IN"/>
        </w:rPr>
        <w:t xml:space="preserve"> 2011;7. </w:t>
      </w:r>
      <w:proofErr w:type="gramStart"/>
      <w:r w:rsidR="00B42D48" w:rsidRPr="00B42D48">
        <w:rPr>
          <w:bCs/>
          <w:lang w:val="en-IN"/>
        </w:rPr>
        <w:t>doi:10.1371/journal.pcbi</w:t>
      </w:r>
      <w:proofErr w:type="gramEnd"/>
      <w:r w:rsidR="00B42D48" w:rsidRPr="00B42D48">
        <w:rPr>
          <w:bCs/>
          <w:lang w:val="en-IN"/>
        </w:rPr>
        <w:t>.1001057.</w:t>
      </w:r>
    </w:p>
    <w:sectPr w:rsidR="003D4519" w:rsidRPr="00955FFB"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50821" w14:textId="77777777" w:rsidR="006E3B2D" w:rsidRDefault="006E3B2D">
      <w:pPr>
        <w:spacing w:after="0" w:line="240" w:lineRule="auto"/>
      </w:pPr>
      <w:r>
        <w:separator/>
      </w:r>
    </w:p>
  </w:endnote>
  <w:endnote w:type="continuationSeparator" w:id="0">
    <w:p w14:paraId="48ED7D80" w14:textId="77777777" w:rsidR="006E3B2D" w:rsidRDefault="006E3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1EF" w14:textId="77777777" w:rsidR="00116ADD" w:rsidRDefault="00FB7113">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A66E1" w14:textId="77777777" w:rsidR="006E3B2D" w:rsidRDefault="006E3B2D">
      <w:pPr>
        <w:spacing w:after="0" w:line="240" w:lineRule="auto"/>
      </w:pPr>
      <w:r>
        <w:separator/>
      </w:r>
    </w:p>
  </w:footnote>
  <w:footnote w:type="continuationSeparator" w:id="0">
    <w:p w14:paraId="59D0E4B1" w14:textId="77777777" w:rsidR="006E3B2D" w:rsidRDefault="006E3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55421">
    <w:abstractNumId w:val="8"/>
  </w:num>
  <w:num w:numId="2" w16cid:durableId="595750120">
    <w:abstractNumId w:val="6"/>
  </w:num>
  <w:num w:numId="3" w16cid:durableId="2130657603">
    <w:abstractNumId w:val="5"/>
  </w:num>
  <w:num w:numId="4" w16cid:durableId="110174181">
    <w:abstractNumId w:val="4"/>
  </w:num>
  <w:num w:numId="5" w16cid:durableId="559824756">
    <w:abstractNumId w:val="7"/>
  </w:num>
  <w:num w:numId="6" w16cid:durableId="1597404366">
    <w:abstractNumId w:val="3"/>
  </w:num>
  <w:num w:numId="7" w16cid:durableId="687026810">
    <w:abstractNumId w:val="2"/>
  </w:num>
  <w:num w:numId="8" w16cid:durableId="1989019556">
    <w:abstractNumId w:val="1"/>
  </w:num>
  <w:num w:numId="9" w16cid:durableId="214487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A4D"/>
    <w:rsid w:val="00092010"/>
    <w:rsid w:val="00092AF7"/>
    <w:rsid w:val="000966E4"/>
    <w:rsid w:val="000A0A7E"/>
    <w:rsid w:val="000A5035"/>
    <w:rsid w:val="00116ADD"/>
    <w:rsid w:val="00123335"/>
    <w:rsid w:val="001361EF"/>
    <w:rsid w:val="0015074B"/>
    <w:rsid w:val="001566CC"/>
    <w:rsid w:val="001A786E"/>
    <w:rsid w:val="001B7DAE"/>
    <w:rsid w:val="001F76D9"/>
    <w:rsid w:val="00270926"/>
    <w:rsid w:val="00287DE9"/>
    <w:rsid w:val="00290E9B"/>
    <w:rsid w:val="0029639D"/>
    <w:rsid w:val="002A66D7"/>
    <w:rsid w:val="003073CE"/>
    <w:rsid w:val="003157F2"/>
    <w:rsid w:val="00316633"/>
    <w:rsid w:val="00323372"/>
    <w:rsid w:val="00326F90"/>
    <w:rsid w:val="00343B16"/>
    <w:rsid w:val="00354D25"/>
    <w:rsid w:val="003658BC"/>
    <w:rsid w:val="00396932"/>
    <w:rsid w:val="003D213A"/>
    <w:rsid w:val="003D4519"/>
    <w:rsid w:val="00416DB6"/>
    <w:rsid w:val="00436841"/>
    <w:rsid w:val="004645A6"/>
    <w:rsid w:val="004B1A13"/>
    <w:rsid w:val="00532465"/>
    <w:rsid w:val="005702E7"/>
    <w:rsid w:val="00571F9B"/>
    <w:rsid w:val="0059046E"/>
    <w:rsid w:val="005B1BFB"/>
    <w:rsid w:val="005D4971"/>
    <w:rsid w:val="00605DD2"/>
    <w:rsid w:val="0062475C"/>
    <w:rsid w:val="00635C4A"/>
    <w:rsid w:val="00653E36"/>
    <w:rsid w:val="0069134D"/>
    <w:rsid w:val="006B1D35"/>
    <w:rsid w:val="006C14EB"/>
    <w:rsid w:val="006E0846"/>
    <w:rsid w:val="006E3B2D"/>
    <w:rsid w:val="006F1B32"/>
    <w:rsid w:val="00746F91"/>
    <w:rsid w:val="00767322"/>
    <w:rsid w:val="007807D0"/>
    <w:rsid w:val="00785870"/>
    <w:rsid w:val="007C2025"/>
    <w:rsid w:val="007E6D6B"/>
    <w:rsid w:val="007F2821"/>
    <w:rsid w:val="007F5DFE"/>
    <w:rsid w:val="008A0F02"/>
    <w:rsid w:val="008A3A62"/>
    <w:rsid w:val="008A4B05"/>
    <w:rsid w:val="008A594C"/>
    <w:rsid w:val="008A7D08"/>
    <w:rsid w:val="008D3FBB"/>
    <w:rsid w:val="008F3DBF"/>
    <w:rsid w:val="008F472A"/>
    <w:rsid w:val="00920B45"/>
    <w:rsid w:val="009316A5"/>
    <w:rsid w:val="00937EDB"/>
    <w:rsid w:val="00951044"/>
    <w:rsid w:val="00955FFB"/>
    <w:rsid w:val="00992A2F"/>
    <w:rsid w:val="009D6F94"/>
    <w:rsid w:val="009E4B64"/>
    <w:rsid w:val="00A00A21"/>
    <w:rsid w:val="00A21E26"/>
    <w:rsid w:val="00A24942"/>
    <w:rsid w:val="00A346E9"/>
    <w:rsid w:val="00A94585"/>
    <w:rsid w:val="00A9687F"/>
    <w:rsid w:val="00AA1D8D"/>
    <w:rsid w:val="00AE5E9D"/>
    <w:rsid w:val="00B012D0"/>
    <w:rsid w:val="00B140A3"/>
    <w:rsid w:val="00B42D48"/>
    <w:rsid w:val="00B47730"/>
    <w:rsid w:val="00B901B1"/>
    <w:rsid w:val="00BC787D"/>
    <w:rsid w:val="00C91DDA"/>
    <w:rsid w:val="00CB0664"/>
    <w:rsid w:val="00CE066A"/>
    <w:rsid w:val="00E26E8F"/>
    <w:rsid w:val="00E610FC"/>
    <w:rsid w:val="00E87007"/>
    <w:rsid w:val="00EB5633"/>
    <w:rsid w:val="00ED7F49"/>
    <w:rsid w:val="00EF7789"/>
    <w:rsid w:val="00F57B6A"/>
    <w:rsid w:val="00F72685"/>
    <w:rsid w:val="00F97214"/>
    <w:rsid w:val="00F975AE"/>
    <w:rsid w:val="00FA1726"/>
    <w:rsid w:val="00FA1F4F"/>
    <w:rsid w:val="00FA7740"/>
    <w:rsid w:val="00FB7113"/>
    <w:rsid w:val="00FC693F"/>
    <w:rsid w:val="00FD69BB"/>
    <w:rsid w:val="00FE46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8FE18-1A94-4132-B2D2-0010B52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5</Pages>
  <Words>2371</Words>
  <Characters>13517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Sarkar</cp:lastModifiedBy>
  <cp:revision>87</cp:revision>
  <dcterms:created xsi:type="dcterms:W3CDTF">2013-12-23T23:15:00Z</dcterms:created>
  <dcterms:modified xsi:type="dcterms:W3CDTF">2026-08-19T05:28:00Z</dcterms:modified>
  <cp:category/>
</cp:coreProperties>
</file>