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238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b-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238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46"/>
        </w:rPr>
        <w:t>Ambientes y Secretos - HU-58</w:t>
      </w:r>
    </w:p>
    <w:p>
      <w:pPr>
        <w:jc w:val="center"/>
      </w:pPr>
      <w:r>
        <w:rPr>
          <w:b/>
          <w:color w:val="1F2937"/>
          <w:sz w:val="26"/>
        </w:rPr>
        <w:t>Simulador de Crédito UPB</w:t>
      </w:r>
    </w:p>
    <w:p>
      <w:pPr>
        <w:jc w:val="center"/>
      </w:pPr>
      <w:r>
        <w:rPr>
          <w:sz w:val="21"/>
        </w:rPr>
        <w:t>Estrategia oficial para variables de entorno, secretos y despliegue seguro en Local, Testing/Staging y Producción WAN.</w:t>
      </w:r>
    </w:p>
    <w:p>
      <w:pPr>
        <w:spacing w:before="100" w:after="160" w:line="259" w:lineRule="auto"/>
        <w:ind w:left="230" w:right="230"/>
        <w:shd w:fill="D9EAF7"/>
      </w:pPr>
      <w:r>
        <w:rPr>
          <w:b/>
          <w:color w:val="1F2937"/>
          <w:sz w:val="21"/>
        </w:rPr>
        <w:t xml:space="preserve">Principio rector: </w:t>
      </w:r>
      <w:r>
        <w:rPr>
          <w:color w:val="1F2937"/>
          <w:sz w:val="21"/>
        </w:rPr>
        <w:t>Los secretos reales nunca se versionan en Git. El repositorio solo contiene .env.example con valores dummy y documentación de referencia.</w:t>
      </w:r>
    </w:p>
    <w:p>
      <w:pPr>
        <w:pStyle w:val="Heading1"/>
      </w:pPr>
      <w:r>
        <w:t>1. Objetivo</w:t>
      </w:r>
    </w:p>
    <w:p>
      <w:r>
        <w:t>Estandarizar cómo frontend y backend consumen variables de entorno, asegurar que no haya credenciales en el código fuente y documentar la estrategia de despliegue para Local, Testing/Staging y Producción WAN.</w:t>
      </w:r>
    </w:p>
    <w:p>
      <w:pPr>
        <w:pStyle w:val="Heading1"/>
      </w:pPr>
      <w:r>
        <w:t>2. Arquitectura de configuración</w:t>
      </w:r>
    </w:p>
    <w:p>
      <w:pPr>
        <w:pStyle w:val="ListBullet"/>
        <w:spacing w:after="40"/>
      </w:pPr>
      <w:r>
        <w:t>.env.example funciona como plantilla segura con valores dummy.</w:t>
      </w:r>
    </w:p>
    <w:p>
      <w:pPr>
        <w:pStyle w:val="ListBullet"/>
        <w:spacing w:after="40"/>
      </w:pPr>
      <w:r>
        <w:t>.gitignore excluye .env, variantes locales, certificados y llaves privadas.</w:t>
      </w:r>
    </w:p>
    <w:p>
      <w:pPr>
        <w:pStyle w:val="ListBullet"/>
        <w:spacing w:after="40"/>
      </w:pPr>
      <w:r>
        <w:t>env.ts valida variables con Zod y detiene el proceso si falta una variable crítica.</w:t>
      </w:r>
    </w:p>
    <w:p>
      <w:pPr>
        <w:pStyle w:val="ListBullet"/>
        <w:spacing w:after="40"/>
      </w:pPr>
      <w:r>
        <w:t>Vite lee variables desde la raíz del monorepo mediante envDir.</w:t>
      </w:r>
    </w:p>
    <w:p>
      <w:pPr>
        <w:pStyle w:val="ListBullet"/>
        <w:spacing w:after="40"/>
      </w:pPr>
      <w:r>
        <w:t>api.ts consume VITE_API_URL para definir la URL base pública de la API.</w:t>
      </w:r>
    </w:p>
    <w:p>
      <w:pPr>
        <w:pStyle w:val="ListBullet"/>
        <w:spacing w:after="40"/>
      </w:pPr>
      <w:r>
        <w:t>PM2, el sistema operativo o CI/CD inyectan secretos reales por ambiente.</w:t>
      </w:r>
    </w:p>
    <w:p>
      <w:pPr>
        <w:pStyle w:val="Heading1"/>
      </w:pPr>
      <w:r>
        <w:t>3. Definición de ambientes</w:t>
      </w:r>
    </w:p>
    <w:p>
      <w:pPr>
        <w:spacing w:after="40"/>
      </w:pPr>
      <w:r>
        <w:rPr>
          <w:b/>
          <w:color w:val="1F4E79"/>
        </w:rPr>
        <w:t xml:space="preserve">Desarrollo local: </w:t>
      </w:r>
      <w:r>
        <w:rPr>
          <w:color w:val="1F2937"/>
        </w:rPr>
        <w:t>Backend en localhost:3000, frontend en localhost:5173, .env local excluido por Git y LDAP/SMTP opcionales.</w:t>
      </w:r>
    </w:p>
    <w:p>
      <w:pPr>
        <w:spacing w:after="40"/>
      </w:pPr>
      <w:r>
        <w:rPr>
          <w:b/>
          <w:color w:val="1F4E79"/>
        </w:rPr>
        <w:t xml:space="preserve">Testing / Staging: </w:t>
      </w:r>
      <w:r>
        <w:rPr>
          <w:color w:val="1F2937"/>
        </w:rPr>
        <w:t>Variables inyectadas por CI/CD o gestor de procesos, datos no productivos y secretos propios del ambiente.</w:t>
      </w:r>
    </w:p>
    <w:p>
      <w:pPr>
        <w:spacing w:after="40"/>
      </w:pPr>
      <w:r>
        <w:rPr>
          <w:b/>
          <w:color w:val="1F4E79"/>
        </w:rPr>
        <w:t xml:space="preserve">Producción WAN: </w:t>
      </w:r>
      <w:r>
        <w:rPr>
          <w:color w:val="1F2937"/>
        </w:rPr>
        <w:t>NODE_ENV=production, DB_SSL=true, dominio real en FRONTEND_URL y VITE_API_URL público del backend.</w:t>
      </w:r>
    </w:p>
    <w:p>
      <w:pPr>
        <w:pStyle w:val="Heading1"/>
      </w:pPr>
      <w:r>
        <w:t>4. Matriz de variables</w:t>
      </w:r>
    </w:p>
    <w:p>
      <w:r>
        <w:t>Formato: VARIABLE | Componente | Obligatoriedad | Propósito.</w:t>
      </w:r>
    </w:p>
    <w:p>
      <w:pPr>
        <w:pStyle w:val="Heading2"/>
      </w:pPr>
      <w:r>
        <w:t>Variables críticas de ejecución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NODE_ENV</w:t>
      </w:r>
      <w:r>
        <w:rPr>
          <w:color w:val="B8860B"/>
          <w:sz w:val="18"/>
        </w:rPr>
        <w:t xml:space="preserve">  |  Backend  |  Obligatoria: Sí  |  </w:t>
      </w:r>
      <w:r>
        <w:rPr>
          <w:color w:val="1F2937"/>
          <w:sz w:val="18"/>
        </w:rPr>
        <w:t>Modo de ejecución: development, test o production.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PORT</w:t>
      </w:r>
      <w:r>
        <w:rPr>
          <w:color w:val="B8860B"/>
          <w:sz w:val="18"/>
        </w:rPr>
        <w:t xml:space="preserve">  |  Backend  |  Obligatoria: No  |  </w:t>
      </w:r>
      <w:r>
        <w:rPr>
          <w:color w:val="1F2937"/>
          <w:sz w:val="18"/>
        </w:rPr>
        <w:t>Puerto HTTP del backend. Por defecto usa 3000.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DB_HOST</w:t>
      </w:r>
      <w:r>
        <w:rPr>
          <w:color w:val="B8860B"/>
          <w:sz w:val="18"/>
        </w:rPr>
        <w:t xml:space="preserve">  |  Backend  |  Obligatoria: Sí  |  </w:t>
      </w:r>
      <w:r>
        <w:rPr>
          <w:color w:val="1F2937"/>
          <w:sz w:val="18"/>
        </w:rPr>
        <w:t>Host de MySQL Aiven o base equivalente.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DB_PORT</w:t>
      </w:r>
      <w:r>
        <w:rPr>
          <w:color w:val="B8860B"/>
          <w:sz w:val="18"/>
        </w:rPr>
        <w:t xml:space="preserve">  |  Backend  |  Obligatoria: Sí  |  </w:t>
      </w:r>
      <w:r>
        <w:rPr>
          <w:color w:val="1F2937"/>
          <w:sz w:val="18"/>
        </w:rPr>
        <w:t>Puerto de conexión MySQL.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DB_NAME</w:t>
      </w:r>
      <w:r>
        <w:rPr>
          <w:color w:val="B8860B"/>
          <w:sz w:val="18"/>
        </w:rPr>
        <w:t xml:space="preserve">  |  Backend  |  Obligatoria: Sí  |  </w:t>
      </w:r>
      <w:r>
        <w:rPr>
          <w:color w:val="1F2937"/>
          <w:sz w:val="18"/>
        </w:rPr>
        <w:t>Nombre de la base de datos.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DB_USER</w:t>
      </w:r>
      <w:r>
        <w:rPr>
          <w:color w:val="B8860B"/>
          <w:sz w:val="18"/>
        </w:rPr>
        <w:t xml:space="preserve">  |  Backend  |  Obligatoria: Sí  |  </w:t>
      </w:r>
      <w:r>
        <w:rPr>
          <w:color w:val="1F2937"/>
          <w:sz w:val="18"/>
        </w:rPr>
        <w:t>Usuario de conexión a la base de datos.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DB_PASSWORD</w:t>
      </w:r>
      <w:r>
        <w:rPr>
          <w:color w:val="B8860B"/>
          <w:sz w:val="18"/>
        </w:rPr>
        <w:t xml:space="preserve">  |  Backend  |  Obligatoria: Sí  |  </w:t>
      </w:r>
      <w:r>
        <w:rPr>
          <w:color w:val="1F2937"/>
          <w:sz w:val="18"/>
        </w:rPr>
        <w:t>Password de base de datos. Secreto por ambiente.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DB_SSL</w:t>
      </w:r>
      <w:r>
        <w:rPr>
          <w:color w:val="B8860B"/>
          <w:sz w:val="18"/>
        </w:rPr>
        <w:t xml:space="preserve">  |  Backend  |  Obligatoria: Producción  |  </w:t>
      </w:r>
      <w:r>
        <w:rPr>
          <w:color w:val="1F2937"/>
          <w:sz w:val="18"/>
        </w:rPr>
        <w:t>Habilita SSL. En producción debe ser true.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JWT_SECRET</w:t>
      </w:r>
      <w:r>
        <w:rPr>
          <w:color w:val="B8860B"/>
          <w:sz w:val="18"/>
        </w:rPr>
        <w:t xml:space="preserve">  |  Backend  |  Obligatoria: Sí  |  </w:t>
      </w:r>
      <w:r>
        <w:rPr>
          <w:color w:val="1F2937"/>
          <w:sz w:val="18"/>
        </w:rPr>
        <w:t>Secreto para firmar/verificar JWT. Mínimo 32 caracteres.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JWT_EXPIRES_IN</w:t>
      </w:r>
      <w:r>
        <w:rPr>
          <w:color w:val="B8860B"/>
          <w:sz w:val="18"/>
        </w:rPr>
        <w:t xml:space="preserve">  |  Backend  |  Obligatoria: Sí  |  </w:t>
      </w:r>
      <w:r>
        <w:rPr>
          <w:color w:val="1F2937"/>
          <w:sz w:val="18"/>
        </w:rPr>
        <w:t>Expiración del token, por ejemplo 15m, 8h o 7d.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VITE_API_URL</w:t>
      </w:r>
      <w:r>
        <w:rPr>
          <w:color w:val="B8860B"/>
          <w:sz w:val="18"/>
        </w:rPr>
        <w:t xml:space="preserve">  |  Frontend  |  Obligatoria: Sí  |  </w:t>
      </w:r>
      <w:r>
        <w:rPr>
          <w:color w:val="1F2937"/>
          <w:sz w:val="18"/>
        </w:rPr>
        <w:t>URL base pública de la API consumida por el cliente.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FRONTEND_URL</w:t>
      </w:r>
      <w:r>
        <w:rPr>
          <w:color w:val="B8860B"/>
          <w:sz w:val="18"/>
        </w:rPr>
        <w:t xml:space="preserve">  |  Backend  |  Obligatoria: Sí  |  </w:t>
      </w:r>
      <w:r>
        <w:rPr>
          <w:color w:val="1F2937"/>
          <w:sz w:val="18"/>
        </w:rPr>
        <w:t>URL base del frontend para enlaces de correo.</w:t>
      </w:r>
    </w:p>
    <w:p>
      <w:pPr>
        <w:pStyle w:val="Heading2"/>
      </w:pPr>
      <w:r>
        <w:t>Integraciones institucionales y correo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LDAP_URL</w:t>
      </w:r>
      <w:r>
        <w:rPr>
          <w:color w:val="B8860B"/>
          <w:sz w:val="18"/>
        </w:rPr>
        <w:t xml:space="preserve">  |  Backend  |  Obligatoria: Producción  |  </w:t>
      </w:r>
      <w:r>
        <w:rPr>
          <w:color w:val="1F2937"/>
          <w:sz w:val="18"/>
        </w:rPr>
        <w:t>URL del servidor LDAP/Active Directory.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LDAP_DOMAIN</w:t>
      </w:r>
      <w:r>
        <w:rPr>
          <w:color w:val="B8860B"/>
          <w:sz w:val="18"/>
        </w:rPr>
        <w:t xml:space="preserve">  |  Backend  |  Obligatoria: Producción  |  </w:t>
      </w:r>
      <w:r>
        <w:rPr>
          <w:color w:val="1F2937"/>
          <w:sz w:val="18"/>
        </w:rPr>
        <w:t>Dominio usado para construir el UPN del usuario.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LDAP_BASE_DN</w:t>
      </w:r>
      <w:r>
        <w:rPr>
          <w:color w:val="B8860B"/>
          <w:sz w:val="18"/>
        </w:rPr>
        <w:t xml:space="preserve">  |  Backend  |  Obligatoria: Producción  |  </w:t>
      </w:r>
      <w:r>
        <w:rPr>
          <w:color w:val="1F2937"/>
          <w:sz w:val="18"/>
        </w:rPr>
        <w:t>Base DN usada para búsquedas de usuarios.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LDAP_BIND_DN</w:t>
      </w:r>
      <w:r>
        <w:rPr>
          <w:color w:val="B8860B"/>
          <w:sz w:val="18"/>
        </w:rPr>
        <w:t xml:space="preserve">  |  Backend  |  Obligatoria: No  |  </w:t>
      </w:r>
      <w:r>
        <w:rPr>
          <w:color w:val="1F2937"/>
          <w:sz w:val="18"/>
        </w:rPr>
        <w:t>DN de cuenta de servicio si se requiere bind dedicado.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LDAP_BIND_PASSWORD</w:t>
      </w:r>
      <w:r>
        <w:rPr>
          <w:color w:val="B8860B"/>
          <w:sz w:val="18"/>
        </w:rPr>
        <w:t xml:space="preserve">  |  Backend  |  Obligatoria: No  |  </w:t>
      </w:r>
      <w:r>
        <w:rPr>
          <w:color w:val="1F2937"/>
          <w:sz w:val="18"/>
        </w:rPr>
        <w:t>Password de cuenta de servicio LDAP. Secreto.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LDAP_TIMEOUT_MS</w:t>
      </w:r>
      <w:r>
        <w:rPr>
          <w:color w:val="B8860B"/>
          <w:sz w:val="18"/>
        </w:rPr>
        <w:t xml:space="preserve">  |  Backend  |  Obligatoria: No  |  </w:t>
      </w:r>
      <w:r>
        <w:rPr>
          <w:color w:val="1F2937"/>
          <w:sz w:val="18"/>
        </w:rPr>
        <w:t>Timeout LDAP. Por defecto usa 5000 ms.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SMTP_HOST</w:t>
      </w:r>
      <w:r>
        <w:rPr>
          <w:color w:val="B8860B"/>
          <w:sz w:val="18"/>
        </w:rPr>
        <w:t xml:space="preserve">  |  Backend  |  Obligatoria: Producción  |  </w:t>
      </w:r>
      <w:r>
        <w:rPr>
          <w:color w:val="1F2937"/>
          <w:sz w:val="18"/>
        </w:rPr>
        <w:t>Host del servicio SMTP.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SMTP_PORT</w:t>
      </w:r>
      <w:r>
        <w:rPr>
          <w:color w:val="B8860B"/>
          <w:sz w:val="18"/>
        </w:rPr>
        <w:t xml:space="preserve">  |  Backend  |  Obligatoria: Producción  |  </w:t>
      </w:r>
      <w:r>
        <w:rPr>
          <w:color w:val="1F2937"/>
          <w:sz w:val="18"/>
        </w:rPr>
        <w:t>Puerto SMTP, normalmente 587 o 465.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SMTP_USER</w:t>
      </w:r>
      <w:r>
        <w:rPr>
          <w:color w:val="B8860B"/>
          <w:sz w:val="18"/>
        </w:rPr>
        <w:t xml:space="preserve">  |  Backend  |  Obligatoria: Producción  |  </w:t>
      </w:r>
      <w:r>
        <w:rPr>
          <w:color w:val="1F2937"/>
          <w:sz w:val="18"/>
        </w:rPr>
        <w:t>Usuario de autenticación SMTP.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SMTP_PASS</w:t>
      </w:r>
      <w:r>
        <w:rPr>
          <w:color w:val="B8860B"/>
          <w:sz w:val="18"/>
        </w:rPr>
        <w:t xml:space="preserve">  |  Backend  |  Obligatoria: Producción  |  </w:t>
      </w:r>
      <w:r>
        <w:rPr>
          <w:color w:val="1F2937"/>
          <w:sz w:val="18"/>
        </w:rPr>
        <w:t>Password o token SMTP. Secreto.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SMTP_FROM_EMAIL</w:t>
      </w:r>
      <w:r>
        <w:rPr>
          <w:color w:val="B8860B"/>
          <w:sz w:val="18"/>
        </w:rPr>
        <w:t xml:space="preserve">  |  Backend  |  Obligatoria: Producción  |  </w:t>
      </w:r>
      <w:r>
        <w:rPr>
          <w:color w:val="1F2937"/>
          <w:sz w:val="18"/>
        </w:rPr>
        <w:t>Remitente para recuperación de contraseña.</w:t>
      </w:r>
    </w:p>
    <w:p>
      <w:pPr>
        <w:pStyle w:val="Heading2"/>
      </w:pPr>
      <w:r>
        <w:t>Variables operativas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ADMIN_DEFAULT_PASSWORD</w:t>
      </w:r>
      <w:r>
        <w:rPr>
          <w:color w:val="B8860B"/>
          <w:sz w:val="18"/>
        </w:rPr>
        <w:t xml:space="preserve">  |  Backend seed  |  Obligatoria: Seed  |  </w:t>
      </w:r>
      <w:r>
        <w:rPr>
          <w:color w:val="1F2937"/>
          <w:sz w:val="18"/>
        </w:rPr>
        <w:t>Password temporal para crear admin inicial.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RETENTION_DAYS</w:t>
      </w:r>
      <w:r>
        <w:rPr>
          <w:color w:val="B8860B"/>
          <w:sz w:val="18"/>
        </w:rPr>
        <w:t xml:space="preserve">  |  Backend  |  Obligatoria: No  |  </w:t>
      </w:r>
      <w:r>
        <w:rPr>
          <w:color w:val="1F2937"/>
          <w:sz w:val="18"/>
        </w:rPr>
        <w:t>Días de retención de simulaciones antes de purga.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PURGE_INTERVAL_HOURS</w:t>
      </w:r>
      <w:r>
        <w:rPr>
          <w:color w:val="B8860B"/>
          <w:sz w:val="18"/>
        </w:rPr>
        <w:t xml:space="preserve">  |  Backend  |  Obligatoria: No  |  </w:t>
      </w:r>
      <w:r>
        <w:rPr>
          <w:color w:val="1F2937"/>
          <w:sz w:val="18"/>
        </w:rPr>
        <w:t>Frecuencia del job de purga de simulaciones.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PURGE_BATCH_SIZE</w:t>
      </w:r>
      <w:r>
        <w:rPr>
          <w:color w:val="B8860B"/>
          <w:sz w:val="18"/>
        </w:rPr>
        <w:t xml:space="preserve">  |  Backend  |  Obligatoria: No  |  </w:t>
      </w:r>
      <w:r>
        <w:rPr>
          <w:color w:val="1F2937"/>
          <w:sz w:val="18"/>
        </w:rPr>
        <w:t>Tamaño máximo del lote de purga de simulaciones.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TOKEN_PURGE_RETENTION_DAYS</w:t>
      </w:r>
      <w:r>
        <w:rPr>
          <w:color w:val="B8860B"/>
          <w:sz w:val="18"/>
        </w:rPr>
        <w:t xml:space="preserve">  |  Backend  |  Obligatoria: No  |  </w:t>
      </w:r>
      <w:r>
        <w:rPr>
          <w:color w:val="1F2937"/>
          <w:sz w:val="18"/>
        </w:rPr>
        <w:t>Retención de tokens de recuperación expirados.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TOKEN_PURGE_INTERVAL_HOURS</w:t>
      </w:r>
      <w:r>
        <w:rPr>
          <w:color w:val="B8860B"/>
          <w:sz w:val="18"/>
        </w:rPr>
        <w:t xml:space="preserve">  |  Backend  |  Obligatoria: No  |  </w:t>
      </w:r>
      <w:r>
        <w:rPr>
          <w:color w:val="1F2937"/>
          <w:sz w:val="18"/>
        </w:rPr>
        <w:t>Frecuencia del job de purga de tokens.</w:t>
      </w:r>
    </w:p>
    <w:p>
      <w:pPr>
        <w:spacing w:after="40" w:line="247" w:lineRule="auto"/>
        <w:ind w:left="259" w:hanging="259"/>
      </w:pPr>
      <w:r>
        <w:rPr>
          <w:rFonts w:ascii="Consolas" w:hAnsi="Consolas"/>
          <w:b/>
          <w:color w:val="1F4E79"/>
          <w:sz w:val="18"/>
        </w:rPr>
        <w:t>TOKEN_PURGE_BATCH_SIZE</w:t>
      </w:r>
      <w:r>
        <w:rPr>
          <w:color w:val="B8860B"/>
          <w:sz w:val="18"/>
        </w:rPr>
        <w:t xml:space="preserve">  |  Backend  |  Obligatoria: No  |  </w:t>
      </w:r>
      <w:r>
        <w:rPr>
          <w:color w:val="1F2937"/>
          <w:sz w:val="18"/>
        </w:rPr>
        <w:t>Tamaño máximo del lote de purga de tokens.</w:t>
      </w:r>
    </w:p>
    <w:p>
      <w:pPr>
        <w:pStyle w:val="Heading1"/>
      </w:pPr>
      <w:r>
        <w:t>5. Estrategia de secretos</w:t>
      </w:r>
    </w:p>
    <w:p>
      <w:pPr>
        <w:spacing w:before="100" w:after="160" w:line="259" w:lineRule="auto"/>
        <w:ind w:left="230" w:right="230"/>
        <w:shd w:fill="FFF2CC"/>
      </w:pPr>
      <w:r>
        <w:rPr>
          <w:b/>
          <w:color w:val="1F2937"/>
          <w:sz w:val="21"/>
        </w:rPr>
        <w:t xml:space="preserve">Exclusión obligatoria: </w:t>
      </w:r>
      <w:r>
        <w:rPr>
          <w:color w:val="1F2937"/>
          <w:sz w:val="21"/>
        </w:rPr>
        <w:t>.env, .env.local, .env.*.local, .env.*, *.pem, *.crt, *.key y server/certs/ deben permanecer fuera del control de versiones.</w:t>
      </w:r>
    </w:p>
    <w:p>
      <w:r>
        <w:t>En producción, los secretos se inyectan por PM2, variables del sistema operativo, pipeline CI/CD o secret manager. El archivo server/ecosystem.config.js no debe contener passwords, tokens ni certificados.</w:t>
      </w:r>
    </w:p>
    <w:p>
      <w:r>
        <w:t>Si se usa certificado CA para Aiven, el archivo debe copiarse al servidor fuera de Git y ubicarse en server/certs/ca.pem o en la ruta definida por operación.</w:t>
      </w:r>
    </w:p>
    <w:p>
      <w:pPr>
        <w:pStyle w:val="Heading1"/>
      </w:pPr>
      <w:r>
        <w:t>6. Guía rápida local</w:t>
      </w:r>
    </w:p>
    <w:p>
      <w:pPr>
        <w:pStyle w:val="ListBullet"/>
        <w:spacing w:after="40"/>
      </w:pPr>
      <w:r>
        <w:t>Copiar .env.example como .env.</w:t>
      </w:r>
    </w:p>
    <w:p>
      <w:pPr>
        <w:pStyle w:val="ListBullet"/>
        <w:spacing w:after="40"/>
      </w:pPr>
      <w:r>
        <w:t>Reemplazar valores dummy por credenciales reales del ambiente local.</w:t>
      </w:r>
    </w:p>
    <w:p>
      <w:pPr>
        <w:pStyle w:val="ListBullet"/>
        <w:spacing w:after="40"/>
      </w:pPr>
      <w:r>
        <w:t>Configurar como mínimo DB_HOST, DB_PORT, DB_NAME, DB_USER, DB_PASSWORD, DB_SSL, JWT_SECRET, JWT_EXPIRES_IN y VITE_API_URL.</w:t>
      </w:r>
    </w:p>
    <w:p>
      <w:pPr>
        <w:pStyle w:val="ListBullet"/>
        <w:spacing w:after="40"/>
      </w:pPr>
      <w:r>
        <w:t>Ejecutar npm install y luego npm run dev.</w:t>
      </w:r>
    </w:p>
    <w:p>
      <w:pPr>
        <w:pStyle w:val="ListBullet"/>
        <w:spacing w:after="40"/>
      </w:pPr>
      <w:r>
        <w:t>Validar http://localhost:3000/api/health y http://localhost:5173.</w:t>
      </w:r>
    </w:p>
    <w:p>
      <w:pPr>
        <w:pStyle w:val="Heading1"/>
      </w:pPr>
      <w:r>
        <w:t>7. Criterios operativos</w:t>
      </w:r>
    </w:p>
    <w:p>
      <w:pPr>
        <w:pStyle w:val="ListBullet"/>
        <w:spacing w:after="40"/>
      </w:pPr>
      <w:r>
        <w:t>Toda variable nueva debe agregarse a .env.example, a la matriz documental y al esquema de validación cuando sea usada por backend.</w:t>
      </w:r>
    </w:p>
    <w:p>
      <w:pPr>
        <w:pStyle w:val="ListBullet"/>
        <w:spacing w:after="40"/>
      </w:pPr>
      <w:r>
        <w:t>Toda variable expuesta al frontend debe iniciar con VITE_ y debe asumirse pública.</w:t>
      </w:r>
    </w:p>
    <w:p>
      <w:pPr>
        <w:pStyle w:val="ListBullet"/>
        <w:spacing w:after="40"/>
      </w:pPr>
      <w:r>
        <w:t>Ningún secreto debe aparecer en código fuente, tests, documentación, logs o archivos de configuración versionados.</w:t>
      </w:r>
    </w:p>
    <w:p>
      <w:pPr>
        <w:pStyle w:val="ListBullet"/>
        <w:spacing w:after="40"/>
      </w:pPr>
      <w:r>
        <w:t>Los valores de cada ambiente deben rotarse de forma independiente; desarrollo, staging y producción no comparten secretos.</w:t>
      </w:r>
    </w:p>
    <w:p>
      <w:pPr>
        <w:pStyle w:val="ListBullet"/>
        <w:spacing w:after="40"/>
      </w:pPr>
      <w:r>
        <w:t>El backend debe fallar rápido si falta un secreto crítico o si producción conserva un valor local como localhost.</w:t>
      </w:r>
    </w:p>
    <w:sectPr w:rsidR="00FC693F" w:rsidRPr="0006063C" w:rsidSect="00034616">
      <w:footerReference w:type="default" r:id="rId10"/>
      <w:pgSz w:w="12240" w:h="15840"/>
      <w:pgMar w:top="1037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Simulador de Crédito UPB - HU-58 Ambientes y Secretos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8860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