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4F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F9F7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Informe de Entrega: HU-62 - Plan de Direccionamiento e Infraestructura Lógica (Sede Cali)</w:t>
      </w:r>
    </w:p>
    <w:p w14:paraId="48758E85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ID del Requerimiento: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HU-62 (Épica EP-17)</w:t>
      </w:r>
    </w:p>
    <w:p w14:paraId="2CDA56BD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Prioridad: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🔴 Alta</w:t>
      </w:r>
    </w:p>
    <w:p w14:paraId="0C2B6DE4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Estado: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Finalizado</w:t>
      </w:r>
    </w:p>
    <w:p w14:paraId="3044210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Resumen Ejecutivo</w:t>
      </w:r>
    </w:p>
    <w:p w14:paraId="6E2C94FC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Se ha implementado con éxito la arquitectura de red para la sede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Cali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definiendo un esquema de direccionamiento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Dual Stack (IPv4/IPv6)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y una segmentación por VLANs que garantiza el aislamiento de funciones y la seguridad del entorno. Esta base lógica soporta la comunicación interna (Inter-VLAN) y la conectividad hacia el resto del país mediante el protocolo de enrutamiento dinámico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OSPF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2793D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5902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Matriz de Segmentación y Direccionamiento (LAN)</w:t>
      </w:r>
    </w:p>
    <w:p w14:paraId="7D32AC2F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La red se ha dividido en cuatro departamentos principales, utilizando el modelo de subinterfaces sobre el enlace troncal </w:t>
      </w:r>
      <w:r>
        <w:rPr>
          <w:rStyle w:val="13"/>
          <w:rFonts w:hint="default" w:ascii="sans-serif" w:hAnsi="sans-serif" w:eastAsia="sans-serif" w:cs="sans-serif"/>
          <w:color w:val="444746"/>
          <w:bdr w:val="none" w:color="444746" w:sz="0" w:space="0"/>
        </w:rPr>
        <w:t>GigabitEthernet0/0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2224"/>
        <w:gridCol w:w="1588"/>
        <w:gridCol w:w="1148"/>
        <w:gridCol w:w="1569"/>
        <w:gridCol w:w="1537"/>
      </w:tblGrid>
      <w:tr w14:paraId="2323E3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3FD8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VLAN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E34C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Departamento / Propósito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8DB4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Red IPv4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AF6F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Gateway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5AAD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IPv6 (Prefix: /64)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FF84F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Host de Ejemplo</w:t>
            </w:r>
          </w:p>
        </w:tc>
      </w:tr>
      <w:tr w14:paraId="06D0AB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1819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88CF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ADMINISTRACION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533C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10.5.1.0/24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46F4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823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280A:5:1::1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897F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PC_Admin (</w:t>
            </w: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10.5.1.10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)</w:t>
            </w:r>
          </w:p>
        </w:tc>
      </w:tr>
      <w:tr w14:paraId="447FEE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336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C562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SERVIDORES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34B6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10.5.2.0/24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246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E08A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280A:5:2::1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D9C0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Servidor_Web (</w:t>
            </w: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10.5.2.10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)</w:t>
            </w:r>
          </w:p>
        </w:tc>
      </w:tr>
      <w:tr w14:paraId="40EEEA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FC02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C12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EMPLEADOS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A93D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10.5.3.0/24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4F7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A8F1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280A:5:3::1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14297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PC_Empleado (</w:t>
            </w: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10.5.3.100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)</w:t>
            </w:r>
          </w:p>
        </w:tc>
      </w:tr>
      <w:tr w14:paraId="366EB8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83C2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82A7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WIFI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FA35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10.5.4.0/24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E8E6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10.5.4.1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F575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280A:5:4::1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C975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Laptop_WiFi (</w:t>
            </w:r>
            <w:r>
              <w:rPr>
                <w:rStyle w:val="13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  <w14:ligatures w14:val="standardContextual"/>
              </w:rPr>
              <w:t>10.5.4.100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)</w:t>
            </w:r>
          </w:p>
        </w:tc>
      </w:tr>
    </w:tbl>
    <w:p w14:paraId="07EC357D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Nota: Para las VLANs 3 y 4 se han excluido las primeras 99 IPs de los pools DHCP para reservar espacio a equipos de infraestructura y servicios críticos.</w:t>
      </w:r>
    </w:p>
    <w:p w14:paraId="09D2B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286F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Infraestructura de Routing (WAN)</w:t>
      </w:r>
    </w:p>
    <w:p w14:paraId="1D3F3B15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Para la comunicación con las sedes de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Tunja, Medellín, Bogotá y Pasto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, se configuraron enlaces seriales punto a punto con direccionamiento optimizado.</w:t>
      </w:r>
    </w:p>
    <w:p w14:paraId="6E24DFC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5EEF7059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Protocolo Dinámico: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Se implementó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OSPF (Open Shortest Path First)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en modo Dual Stack para IPv4 e IPv6.</w:t>
      </w:r>
    </w:p>
    <w:p w14:paraId="740AC29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79B88F6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722EF97D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Convergencia: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El router CALI mantiene adyacencias OSPF activas con los nodos remotos a través de sus interfaces seriales, permitiendo el descubrimiento automático de rutas basadas en el costo de los enlaces.</w:t>
      </w:r>
    </w:p>
    <w:p w14:paraId="6C4E441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3D20DEB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610D7DC1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Gateway de Último Recurso: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Configurado hacia el Core central para la salida de tráfico no local.</w:t>
      </w:r>
    </w:p>
    <w:p w14:paraId="7DD8832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</w:p>
    <w:p w14:paraId="572B0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3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C765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Validación de Criterios de Aceptación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5"/>
        <w:gridCol w:w="1457"/>
        <w:gridCol w:w="4786"/>
      </w:tblGrid>
      <w:tr w14:paraId="5206AE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7282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Criterio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AC45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Estado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5E7D3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Evidencia Técnica</w:t>
            </w:r>
          </w:p>
        </w:tc>
      </w:tr>
      <w:tr w14:paraId="2D7055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4C4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C1: Subredes y GW claros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2EA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✅ Cumplido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B78E0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Matriz de IPs integrada en la configuración del router.</w:t>
            </w:r>
          </w:p>
        </w:tc>
      </w:tr>
      <w:tr w14:paraId="08CBD0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0EE5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C2: Documentación de VLANs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283D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✅ Cumplido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B9A94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Segmentación lógica por departamentos (VLANs 1 a 4).</w:t>
            </w:r>
          </w:p>
        </w:tc>
      </w:tr>
      <w:tr w14:paraId="2897E0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3D28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C3: Esquema de Routing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6806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✅ Cumplido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4DA1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Implementación de Router-on-a-Stick y protocolo OSPF funcional en la red WAN.</w:t>
            </w:r>
          </w:p>
        </w:tc>
      </w:tr>
      <w:tr w14:paraId="1578AC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9969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C4: Pruebas de Conectividad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2643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✅ Cumplido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FF2B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 xml:space="preserve">Interfaces en estado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Up/Up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 xml:space="preserve"> y asignación exitosa de IPs vía DHCP para hosts finales.</w:t>
            </w:r>
          </w:p>
        </w:tc>
      </w:tr>
      <w:tr w14:paraId="70F2E0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55D6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C5: Tabla Consolidada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FAA2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✅ Cumplido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F1644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  <w14:ligatures w14:val="standardContextual"/>
              </w:rPr>
              <w:t>Se adjunta matriz oficial con rangos IPv4/IPv6 y puertos asociados.</w:t>
            </w:r>
          </w:p>
        </w:tc>
      </w:tr>
    </w:tbl>
    <w:p w14:paraId="7C08B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sz w:val="24"/>
          <w:szCs w:val="24"/>
        </w:rPr>
        <w:pict>
          <v:rect id="_x0000_i1034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7C1E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 Conclusión Técnica</w:t>
      </w:r>
    </w:p>
    <w:p w14:paraId="6CC7238D">
      <w:pPr>
        <w:pStyle w:val="1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La infraestructura de la sede Cali está lista para el despliegue de servicios. La segmentación garantiza que el tráfico de los servidores (VLAN 2) pueda ser auditado y protegido de forma independiente al tráfico de empleados o invitados, cumpliendo con los requisitos de diseño, escalabilidad y orden exigidos por el proyecto.</w:t>
      </w:r>
    </w:p>
    <w:p w14:paraId="7DC7E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EAD80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F94"/>
    <w:rsid w:val="003A5C53"/>
    <w:rsid w:val="006242D0"/>
    <w:rsid w:val="00830C2C"/>
    <w:rsid w:val="008A1F94"/>
    <w:rsid w:val="00D936A4"/>
    <w:rsid w:val="2C664E3B"/>
    <w:rsid w:val="31830B23"/>
    <w:rsid w:val="4AF15801"/>
    <w:rsid w:val="6C52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 C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 destacada C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402</Words>
  <Characters>2345</Characters>
  <Lines>19</Lines>
  <Paragraphs>5</Paragraphs>
  <TotalTime>5</TotalTime>
  <ScaleCrop>false</ScaleCrop>
  <LinksUpToDate>false</LinksUpToDate>
  <CharactersWithSpaces>2682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2026-04-15T02:30:00Z</dcterms:created>
  <dc:creator>GABRIEL ARTURO SASTOQUE CADENA</dc:creator>
  <cp:lastModifiedBy>sasto</cp:lastModifiedBy>
  <dcterms:modified xsi:type="dcterms:W3CDTF">2026-04-15T02:44:23Z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eyJoZGlkIjoiZjAyNjRhYzRhODBkOTYxMWZhOWMzZTc5N2VkYzQ5ZmUifQ==</vt:lpwstr>
  </property>
  <property fmtid="{D5CDD505-2E9C-101B-9397-08002B2CF9AE}" pid="3" name="KSOProductBuildVer">
    <vt:lpwstr>2058-12.1.0.25242</vt:lpwstr>
  </property>
  <property fmtid="{D5CDD505-2E9C-101B-9397-08002B2CF9AE}" pid="4" name="ICV">
    <vt:lpwstr>EC2E1250270E4546977C4F1416F35E96_12</vt:lpwstr>
  </property>
</Properties>
</file>