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E7E8" w14:textId="77777777" w:rsidR="0029769F" w:rsidRPr="0029769F" w:rsidRDefault="0029769F" w:rsidP="0029769F">
      <w:r w:rsidRPr="0029769F">
        <w:t>¿Qué son los </w:t>
      </w:r>
      <w:r w:rsidRPr="0029769F">
        <w:rPr>
          <w:b/>
          <w:bCs/>
        </w:rPr>
        <w:t>Pasivos Laborales</w:t>
      </w:r>
      <w:r w:rsidRPr="0029769F">
        <w:t>?</w:t>
      </w:r>
    </w:p>
    <w:p w14:paraId="32986A8D" w14:textId="18686119" w:rsidR="0029769F" w:rsidRPr="0029769F" w:rsidRDefault="0029769F" w:rsidP="0029769F">
      <w:r w:rsidRPr="0029769F">
        <w:t>Los pasivos laborales representan las </w:t>
      </w:r>
      <w:r w:rsidRPr="0029769F">
        <w:rPr>
          <w:b/>
          <w:bCs/>
        </w:rPr>
        <w:t xml:space="preserve">obligaciones </w:t>
      </w:r>
      <w:proofErr w:type="gramStart"/>
      <w:r w:rsidRPr="0029769F">
        <w:rPr>
          <w:b/>
          <w:bCs/>
        </w:rPr>
        <w:t>futuras</w:t>
      </w:r>
      <w:r w:rsidRPr="0029769F">
        <w:t> </w:t>
      </w:r>
      <w:r w:rsidRPr="0029769F">
        <w:rPr>
          <w:color w:val="196B24" w:themeColor="accent3"/>
        </w:rPr>
        <w:t xml:space="preserve"> </w:t>
      </w:r>
      <w:r w:rsidRPr="0029769F">
        <w:t>que</w:t>
      </w:r>
      <w:proofErr w:type="gramEnd"/>
      <w:r w:rsidRPr="0029769F">
        <w:t xml:space="preserve"> una empresa debe cumplir con sus empleados, </w:t>
      </w:r>
      <w:r w:rsidRPr="0029769F">
        <w:rPr>
          <w:color w:val="196B24" w:themeColor="accent3"/>
        </w:rPr>
        <w:t xml:space="preserve">derivadas de la </w:t>
      </w:r>
      <w:r w:rsidRPr="0029769F">
        <w:rPr>
          <w:color w:val="196B24" w:themeColor="accent3"/>
        </w:rPr>
        <w:t xml:space="preserve">Ley Federal del Trabajo por su </w:t>
      </w:r>
      <w:r w:rsidRPr="0029769F">
        <w:t>relación laboral presente y pasada.</w:t>
      </w:r>
    </w:p>
    <w:p w14:paraId="1C3C70B3" w14:textId="77777777" w:rsidR="0029769F" w:rsidRPr="0029769F" w:rsidRDefault="0029769F" w:rsidP="0029769F">
      <w:r w:rsidRPr="0029769F">
        <w:t xml:space="preserve">Estas obligaciones incluyen beneficios </w:t>
      </w:r>
      <w:proofErr w:type="spellStart"/>
      <w:r w:rsidRPr="0029769F">
        <w:t>post-empleo</w:t>
      </w:r>
      <w:proofErr w:type="spellEnd"/>
      <w:r w:rsidRPr="0029769F">
        <w:t>, indemnizaciones, prima de antigüedad y otros compromisos laborales que deben ser </w:t>
      </w:r>
      <w:r w:rsidRPr="0029769F">
        <w:rPr>
          <w:b/>
          <w:bCs/>
        </w:rPr>
        <w:t>valuados, reconocidos y provisionados</w:t>
      </w:r>
      <w:r w:rsidRPr="0029769F">
        <w:t> adecuadamente en los estados financieros.</w:t>
      </w:r>
    </w:p>
    <w:p w14:paraId="55BC55D2" w14:textId="7B05E232" w:rsidR="0029769F" w:rsidRDefault="0029769F" w:rsidP="0029769F">
      <w:pPr>
        <w:rPr>
          <w:rFonts w:ascii="Trebuchet MS" w:hAnsi="Trebuchet MS"/>
          <w:color w:val="196B24" w:themeColor="accent3"/>
        </w:rPr>
      </w:pPr>
      <w:r w:rsidRPr="0029769F">
        <w:t>La correcta gestión de pasivos laborales no solo asegura el </w:t>
      </w:r>
      <w:r w:rsidRPr="0029769F">
        <w:rPr>
          <w:b/>
          <w:bCs/>
        </w:rPr>
        <w:t>cumplimiento normativo</w:t>
      </w:r>
      <w:r w:rsidRPr="0029769F">
        <w:t xml:space="preserve">, sino que también proporciona transparencia </w:t>
      </w:r>
      <w:proofErr w:type="gramStart"/>
      <w:r w:rsidRPr="0029769F">
        <w:t>financiera</w:t>
      </w:r>
      <w:r w:rsidRPr="0029769F">
        <w:rPr>
          <w:color w:val="196B24" w:themeColor="accent3"/>
        </w:rPr>
        <w:t xml:space="preserve"> </w:t>
      </w:r>
      <w:r w:rsidRPr="0029769F">
        <w:rPr>
          <w:color w:val="196B24" w:themeColor="accent3"/>
        </w:rPr>
        <w:t>,</w:t>
      </w:r>
      <w:proofErr w:type="gramEnd"/>
      <w:r w:rsidRPr="0029769F">
        <w:t xml:space="preserve"> reduce riesgos operacionales</w:t>
      </w:r>
      <w:r>
        <w:t xml:space="preserve"> y </w:t>
      </w:r>
      <w:r w:rsidRPr="0029769F">
        <w:rPr>
          <w:rFonts w:ascii="Trebuchet MS" w:hAnsi="Trebuchet MS"/>
          <w:color w:val="196B24" w:themeColor="accent3"/>
        </w:rPr>
        <w:t>de omisiones en auditorías o revisiones fiscales.</w:t>
      </w:r>
    </w:p>
    <w:p w14:paraId="05F90B18" w14:textId="77777777" w:rsidR="0029769F" w:rsidRDefault="0029769F" w:rsidP="0029769F"/>
    <w:p w14:paraId="47923B29" w14:textId="77777777" w:rsidR="0029769F" w:rsidRPr="0029769F" w:rsidRDefault="0029769F" w:rsidP="0029769F">
      <w:pPr>
        <w:rPr>
          <w:b/>
          <w:bCs/>
        </w:rPr>
      </w:pPr>
      <w:r w:rsidRPr="0029769F">
        <w:rPr>
          <w:b/>
          <w:bCs/>
        </w:rPr>
        <w:t>Principales Características</w:t>
      </w:r>
    </w:p>
    <w:p w14:paraId="33ABDC37" w14:textId="77777777" w:rsidR="0029769F" w:rsidRPr="0029769F" w:rsidRDefault="0029769F" w:rsidP="0029769F">
      <w:r w:rsidRPr="0029769F">
        <w:t>Obligaciones futuras por servicios pasados</w:t>
      </w:r>
    </w:p>
    <w:p w14:paraId="632BE77F" w14:textId="77777777" w:rsidR="0029769F" w:rsidRPr="0029769F" w:rsidRDefault="0029769F" w:rsidP="0029769F">
      <w:r w:rsidRPr="0029769F">
        <w:t>Requieren valuación actuarial especializada</w:t>
      </w:r>
    </w:p>
    <w:p w14:paraId="265CD1D9" w14:textId="77777777" w:rsidR="0029769F" w:rsidRPr="0029769F" w:rsidRDefault="0029769F" w:rsidP="0029769F">
      <w:r w:rsidRPr="0029769F">
        <w:t>Impactan estados financieros significativamente</w:t>
      </w:r>
    </w:p>
    <w:p w14:paraId="51EB3C16" w14:textId="7C9587D4" w:rsidR="0029769F" w:rsidRDefault="0029769F" w:rsidP="0029769F">
      <w:pPr>
        <w:rPr>
          <w:color w:val="196B24" w:themeColor="accent3"/>
        </w:rPr>
      </w:pPr>
      <w:r w:rsidRPr="0029769F">
        <w:t>Sujetos a regulación específica por norma</w:t>
      </w:r>
      <w:r>
        <w:t xml:space="preserve"> </w:t>
      </w:r>
      <w:r w:rsidRPr="0029769F">
        <w:rPr>
          <w:color w:val="196B24" w:themeColor="accent3"/>
        </w:rPr>
        <w:t xml:space="preserve">(NIF D3 en México, IAS-19 </w:t>
      </w:r>
      <w:proofErr w:type="gramStart"/>
      <w:r w:rsidRPr="0029769F">
        <w:rPr>
          <w:color w:val="196B24" w:themeColor="accent3"/>
        </w:rPr>
        <w:t>Internacional,  ASC</w:t>
      </w:r>
      <w:proofErr w:type="gramEnd"/>
      <w:r w:rsidRPr="0029769F">
        <w:rPr>
          <w:color w:val="196B24" w:themeColor="accent3"/>
        </w:rPr>
        <w:t>715 en Estados Unidos)</w:t>
      </w:r>
    </w:p>
    <w:p w14:paraId="0FBF9979" w14:textId="77777777" w:rsidR="0029769F" w:rsidRDefault="0029769F" w:rsidP="0029769F">
      <w:pPr>
        <w:rPr>
          <w:color w:val="196B24" w:themeColor="accent3"/>
        </w:rPr>
      </w:pPr>
    </w:p>
    <w:p w14:paraId="6CAF4B67" w14:textId="77777777" w:rsidR="0029769F" w:rsidRPr="0029769F" w:rsidRDefault="0029769F" w:rsidP="0029769F">
      <w:r w:rsidRPr="0029769F">
        <w:t>Tipos de </w:t>
      </w:r>
      <w:r w:rsidRPr="0029769F">
        <w:rPr>
          <w:b/>
          <w:bCs/>
        </w:rPr>
        <w:t>Pasivos Laborales</w:t>
      </w:r>
    </w:p>
    <w:p w14:paraId="1BECAD80" w14:textId="77777777" w:rsidR="0029769F" w:rsidRPr="0029769F" w:rsidRDefault="0029769F" w:rsidP="0029769F">
      <w:r w:rsidRPr="0029769F">
        <w:t>Análisis especializado para cada tipo de obligación laboral según su naturaleza y marco normativo aplicable.</w:t>
      </w:r>
    </w:p>
    <w:p w14:paraId="2601962A" w14:textId="77777777" w:rsidR="0029769F" w:rsidRDefault="0029769F" w:rsidP="0029769F">
      <w:pPr>
        <w:rPr>
          <w:b/>
          <w:bCs/>
        </w:rPr>
      </w:pPr>
    </w:p>
    <w:p w14:paraId="61C8BD5F" w14:textId="7E7D3FB2" w:rsidR="0029769F" w:rsidRPr="0029769F" w:rsidRDefault="0029769F" w:rsidP="0029769F">
      <w:pPr>
        <w:rPr>
          <w:b/>
          <w:bCs/>
        </w:rPr>
      </w:pPr>
      <w:r w:rsidRPr="0029769F">
        <w:rPr>
          <w:b/>
          <w:bCs/>
        </w:rPr>
        <w:t>Prima de Antigüedad</w:t>
      </w:r>
    </w:p>
    <w:p w14:paraId="6D15D65A" w14:textId="1EE846E8" w:rsidR="0029769F" w:rsidRPr="0029769F" w:rsidRDefault="0029769F" w:rsidP="0029769F">
      <w:pPr>
        <w:rPr>
          <w:color w:val="196B24" w:themeColor="accent3"/>
        </w:rPr>
      </w:pPr>
      <w:r w:rsidRPr="0029769F">
        <w:t xml:space="preserve">Obligación patronal establecida por la Ley Federal del Trabajo </w:t>
      </w:r>
      <w:r w:rsidRPr="0029769F">
        <w:rPr>
          <w:color w:val="196B24" w:themeColor="accent3"/>
        </w:rPr>
        <w:t>pa</w:t>
      </w:r>
      <w:r w:rsidRPr="0029769F">
        <w:rPr>
          <w:color w:val="196B24" w:themeColor="accent3"/>
        </w:rPr>
        <w:t>gadera en casos de: muerte</w:t>
      </w:r>
      <w:r>
        <w:rPr>
          <w:color w:val="196B24" w:themeColor="accent3"/>
        </w:rPr>
        <w:t>, invalidez, despido, y separación voluntaria</w:t>
      </w:r>
      <w:r w:rsidRPr="0029769F">
        <w:rPr>
          <w:color w:val="196B24" w:themeColor="accent3"/>
        </w:rPr>
        <w:t xml:space="preserve"> con más de 15 años de servicio.</w:t>
      </w:r>
    </w:p>
    <w:p w14:paraId="79CD29A9" w14:textId="4EA81B6C" w:rsidR="0029769F" w:rsidRPr="0029769F" w:rsidRDefault="0029769F" w:rsidP="0029769F">
      <w:pPr>
        <w:rPr>
          <w:color w:val="196B24" w:themeColor="accent3"/>
        </w:rPr>
      </w:pPr>
      <w:r w:rsidRPr="00964466">
        <w:rPr>
          <w:color w:val="196B24" w:themeColor="accent3"/>
        </w:rPr>
        <w:t xml:space="preserve">Requiere </w:t>
      </w:r>
      <w:r w:rsidRPr="0029769F">
        <w:rPr>
          <w:color w:val="196B24" w:themeColor="accent3"/>
        </w:rPr>
        <w:t>Valuación bajo NIF D-</w:t>
      </w:r>
      <w:proofErr w:type="gramStart"/>
      <w:r w:rsidRPr="0029769F">
        <w:rPr>
          <w:color w:val="196B24" w:themeColor="accent3"/>
        </w:rPr>
        <w:t>3</w:t>
      </w:r>
      <w:r w:rsidRPr="00964466">
        <w:rPr>
          <w:color w:val="196B24" w:themeColor="accent3"/>
        </w:rPr>
        <w:t xml:space="preserve">  /</w:t>
      </w:r>
      <w:proofErr w:type="gramEnd"/>
      <w:r w:rsidRPr="00964466">
        <w:rPr>
          <w:color w:val="196B24" w:themeColor="accent3"/>
        </w:rPr>
        <w:t xml:space="preserve">  ASC </w:t>
      </w:r>
      <w:proofErr w:type="gramStart"/>
      <w:r w:rsidRPr="00964466">
        <w:rPr>
          <w:color w:val="196B24" w:themeColor="accent3"/>
        </w:rPr>
        <w:t>715  /</w:t>
      </w:r>
      <w:proofErr w:type="gramEnd"/>
      <w:r w:rsidRPr="00964466">
        <w:rPr>
          <w:color w:val="196B24" w:themeColor="accent3"/>
        </w:rPr>
        <w:t xml:space="preserve">  IAS-19</w:t>
      </w:r>
    </w:p>
    <w:p w14:paraId="4EC4390C" w14:textId="4B3FCC86" w:rsidR="0029769F" w:rsidRPr="0029769F" w:rsidRDefault="0029769F" w:rsidP="0029769F">
      <w:pPr>
        <w:rPr>
          <w:color w:val="196B24" w:themeColor="accent3"/>
        </w:rPr>
      </w:pPr>
      <w:r w:rsidRPr="0029769F">
        <w:rPr>
          <w:color w:val="196B24" w:themeColor="accent3"/>
        </w:rPr>
        <w:t>Cálculo actuarial completo</w:t>
      </w:r>
      <w:r w:rsidRPr="0029769F">
        <w:rPr>
          <w:color w:val="196B24" w:themeColor="accent3"/>
        </w:rPr>
        <w:t xml:space="preserve"> aplicable a toda empresa con trabajadores</w:t>
      </w:r>
      <w:r w:rsidR="00964466">
        <w:rPr>
          <w:color w:val="196B24" w:themeColor="accent3"/>
        </w:rPr>
        <w:t xml:space="preserve"> sin importar su tamaño</w:t>
      </w:r>
      <w:r w:rsidRPr="0029769F">
        <w:rPr>
          <w:color w:val="196B24" w:themeColor="accent3"/>
        </w:rPr>
        <w:t>.</w:t>
      </w:r>
    </w:p>
    <w:p w14:paraId="07F4E86F" w14:textId="77777777" w:rsidR="0029769F" w:rsidRDefault="0029769F" w:rsidP="0029769F">
      <w:pPr>
        <w:rPr>
          <w:b/>
          <w:bCs/>
        </w:rPr>
      </w:pPr>
    </w:p>
    <w:p w14:paraId="006529B3" w14:textId="619ABA96" w:rsidR="0029769F" w:rsidRPr="0029769F" w:rsidRDefault="0029769F" w:rsidP="0029769F">
      <w:pPr>
        <w:rPr>
          <w:b/>
          <w:bCs/>
        </w:rPr>
      </w:pPr>
      <w:r w:rsidRPr="0029769F">
        <w:rPr>
          <w:b/>
          <w:bCs/>
        </w:rPr>
        <w:t>Indemnizaciones por Despido</w:t>
      </w:r>
    </w:p>
    <w:p w14:paraId="43FD6F06" w14:textId="77777777" w:rsidR="0029769F" w:rsidRPr="0029769F" w:rsidRDefault="0029769F" w:rsidP="0029769F">
      <w:r w:rsidRPr="0029769F">
        <w:t>Pasivos derivados de terminación de relación laboral sin causa justificada o por causa imputable al patrón.</w:t>
      </w:r>
    </w:p>
    <w:p w14:paraId="6A9ABDD1" w14:textId="2AA313B6" w:rsidR="0029769F" w:rsidRDefault="0029769F" w:rsidP="0029769F">
      <w:r w:rsidRPr="0029769F">
        <w:t>Indemnización constitucional</w:t>
      </w:r>
      <w:r w:rsidR="00964466">
        <w:t>, s</w:t>
      </w:r>
      <w:r w:rsidRPr="0029769F">
        <w:t>alarios vencidos</w:t>
      </w:r>
      <w:r w:rsidR="00964466">
        <w:t xml:space="preserve"> y p</w:t>
      </w:r>
      <w:r w:rsidRPr="0029769F">
        <w:t>restaciones pendientes</w:t>
      </w:r>
    </w:p>
    <w:p w14:paraId="768FD7C8" w14:textId="14429938" w:rsidR="00964466" w:rsidRPr="00964466" w:rsidRDefault="00964466" w:rsidP="0029769F">
      <w:pPr>
        <w:rPr>
          <w:color w:val="196B24" w:themeColor="accent3"/>
        </w:rPr>
      </w:pPr>
      <w:r w:rsidRPr="00964466">
        <w:rPr>
          <w:color w:val="196B24" w:themeColor="accent3"/>
        </w:rPr>
        <w:lastRenderedPageBreak/>
        <w:t>Importe conforme a Ley, o montos acordados con el trabajador a cambio de la renuncia voluntaria.</w:t>
      </w:r>
    </w:p>
    <w:p w14:paraId="506A2456" w14:textId="14280600" w:rsidR="00964466" w:rsidRPr="0029769F" w:rsidRDefault="00964466" w:rsidP="0029769F">
      <w:pPr>
        <w:rPr>
          <w:color w:val="196B24" w:themeColor="accent3"/>
        </w:rPr>
      </w:pPr>
      <w:r w:rsidRPr="00964466">
        <w:rPr>
          <w:color w:val="196B24" w:themeColor="accent3"/>
        </w:rPr>
        <w:t>Se pueden dar de forma planeada (reestructuras) o por rotación habitual de personal.</w:t>
      </w:r>
    </w:p>
    <w:p w14:paraId="50F2DD31" w14:textId="77777777" w:rsidR="00964466" w:rsidRPr="0029769F" w:rsidRDefault="00964466" w:rsidP="00964466">
      <w:pPr>
        <w:rPr>
          <w:color w:val="196B24" w:themeColor="accent3"/>
        </w:rPr>
      </w:pPr>
      <w:r w:rsidRPr="00964466">
        <w:rPr>
          <w:color w:val="196B24" w:themeColor="accent3"/>
        </w:rPr>
        <w:t xml:space="preserve">Requiere </w:t>
      </w:r>
      <w:r w:rsidRPr="0029769F">
        <w:rPr>
          <w:color w:val="196B24" w:themeColor="accent3"/>
        </w:rPr>
        <w:t>Valuación bajo NIF D-</w:t>
      </w:r>
      <w:proofErr w:type="gramStart"/>
      <w:r w:rsidRPr="0029769F">
        <w:rPr>
          <w:color w:val="196B24" w:themeColor="accent3"/>
        </w:rPr>
        <w:t>3</w:t>
      </w:r>
      <w:r w:rsidRPr="00964466">
        <w:rPr>
          <w:color w:val="196B24" w:themeColor="accent3"/>
        </w:rPr>
        <w:t xml:space="preserve">  /</w:t>
      </w:r>
      <w:proofErr w:type="gramEnd"/>
      <w:r w:rsidRPr="00964466">
        <w:rPr>
          <w:color w:val="196B24" w:themeColor="accent3"/>
        </w:rPr>
        <w:t xml:space="preserve">  ASC </w:t>
      </w:r>
      <w:proofErr w:type="gramStart"/>
      <w:r w:rsidRPr="00964466">
        <w:rPr>
          <w:color w:val="196B24" w:themeColor="accent3"/>
        </w:rPr>
        <w:t>715  /</w:t>
      </w:r>
      <w:proofErr w:type="gramEnd"/>
      <w:r w:rsidRPr="00964466">
        <w:rPr>
          <w:color w:val="196B24" w:themeColor="accent3"/>
        </w:rPr>
        <w:t xml:space="preserve">  IAS-19</w:t>
      </w:r>
    </w:p>
    <w:p w14:paraId="101C9026" w14:textId="77777777" w:rsidR="00964466" w:rsidRPr="0029769F" w:rsidRDefault="00964466" w:rsidP="00964466">
      <w:pPr>
        <w:rPr>
          <w:color w:val="196B24" w:themeColor="accent3"/>
        </w:rPr>
      </w:pPr>
      <w:r w:rsidRPr="0029769F">
        <w:rPr>
          <w:color w:val="196B24" w:themeColor="accent3"/>
        </w:rPr>
        <w:t>Cálculo actuarial completo aplicable a toda empresa con trabajadores</w:t>
      </w:r>
      <w:r>
        <w:rPr>
          <w:color w:val="196B24" w:themeColor="accent3"/>
        </w:rPr>
        <w:t xml:space="preserve"> sin importar su tamaño</w:t>
      </w:r>
      <w:r w:rsidRPr="0029769F">
        <w:rPr>
          <w:color w:val="196B24" w:themeColor="accent3"/>
        </w:rPr>
        <w:t>.</w:t>
      </w:r>
    </w:p>
    <w:p w14:paraId="39D6DC3E" w14:textId="77777777" w:rsidR="00964466" w:rsidRDefault="00964466" w:rsidP="0029769F">
      <w:pPr>
        <w:rPr>
          <w:b/>
          <w:bCs/>
        </w:rPr>
      </w:pPr>
    </w:p>
    <w:p w14:paraId="686EBF09" w14:textId="77777777" w:rsidR="00964466" w:rsidRDefault="00964466" w:rsidP="0029769F">
      <w:pPr>
        <w:rPr>
          <w:b/>
          <w:bCs/>
        </w:rPr>
      </w:pPr>
    </w:p>
    <w:p w14:paraId="009BA6F8" w14:textId="02CC0880" w:rsidR="0029769F" w:rsidRPr="0029769F" w:rsidRDefault="0029769F" w:rsidP="0029769F">
      <w:pPr>
        <w:rPr>
          <w:b/>
          <w:bCs/>
        </w:rPr>
      </w:pPr>
      <w:r w:rsidRPr="0029769F">
        <w:rPr>
          <w:b/>
          <w:bCs/>
        </w:rPr>
        <w:t>Planes de Pensiones</w:t>
      </w:r>
    </w:p>
    <w:p w14:paraId="6E6125F3" w14:textId="2C63494D" w:rsidR="0029769F" w:rsidRDefault="0029769F" w:rsidP="0029769F">
      <w:r w:rsidRPr="0029769F">
        <w:t xml:space="preserve">Obligaciones </w:t>
      </w:r>
      <w:proofErr w:type="spellStart"/>
      <w:r w:rsidRPr="0029769F">
        <w:t>post-empleo</w:t>
      </w:r>
      <w:proofErr w:type="spellEnd"/>
      <w:r w:rsidRPr="0029769F">
        <w:t xml:space="preserve"> y otros beneficios a largo plazo para empleados</w:t>
      </w:r>
      <w:r w:rsidR="00964466">
        <w:t xml:space="preserve">. </w:t>
      </w:r>
    </w:p>
    <w:p w14:paraId="2AADFD9F" w14:textId="2524AB1C" w:rsidR="00964466" w:rsidRDefault="00964466" w:rsidP="0029769F">
      <w:r>
        <w:t>Provienen de planes privados o beneficios adicionales a los de ley.</w:t>
      </w:r>
    </w:p>
    <w:p w14:paraId="5F2FAF90" w14:textId="77777777" w:rsidR="00964466" w:rsidRDefault="00964466" w:rsidP="0029769F">
      <w:r>
        <w:t>Pueden ser:</w:t>
      </w:r>
    </w:p>
    <w:p w14:paraId="3056D4D9" w14:textId="3DA4778C" w:rsidR="00964466" w:rsidRDefault="00964466" w:rsidP="00964466">
      <w:pPr>
        <w:pStyle w:val="Prrafodelista"/>
        <w:numPr>
          <w:ilvl w:val="0"/>
          <w:numId w:val="1"/>
        </w:numPr>
      </w:pPr>
      <w:r>
        <w:t>Contribución Definida (aportaciones fijas, sin beneficios mínimos a la jubilación)</w:t>
      </w:r>
    </w:p>
    <w:p w14:paraId="0C54CA5E" w14:textId="0E3047DA" w:rsidR="00964466" w:rsidRPr="0029769F" w:rsidRDefault="00964466" w:rsidP="00964466">
      <w:pPr>
        <w:pStyle w:val="Prrafodelista"/>
        <w:numPr>
          <w:ilvl w:val="0"/>
          <w:numId w:val="1"/>
        </w:numPr>
      </w:pPr>
      <w:r>
        <w:t>Beneficio Definido o Híbridos.</w:t>
      </w:r>
    </w:p>
    <w:p w14:paraId="1415CDFC" w14:textId="6D412074" w:rsidR="00964466" w:rsidRPr="0029769F" w:rsidRDefault="00964466" w:rsidP="00964466">
      <w:pPr>
        <w:ind w:left="708"/>
        <w:rPr>
          <w:color w:val="196B24" w:themeColor="accent3"/>
        </w:rPr>
      </w:pPr>
      <w:r w:rsidRPr="00964466">
        <w:rPr>
          <w:color w:val="196B24" w:themeColor="accent3"/>
        </w:rPr>
        <w:t>Requiere</w:t>
      </w:r>
      <w:r>
        <w:rPr>
          <w:color w:val="196B24" w:themeColor="accent3"/>
        </w:rPr>
        <w:t>n</w:t>
      </w:r>
      <w:r w:rsidRPr="00964466">
        <w:rPr>
          <w:color w:val="196B24" w:themeColor="accent3"/>
        </w:rPr>
        <w:t xml:space="preserve"> </w:t>
      </w:r>
      <w:r w:rsidRPr="0029769F">
        <w:rPr>
          <w:color w:val="196B24" w:themeColor="accent3"/>
        </w:rPr>
        <w:t>Valuación bajo NIF D-</w:t>
      </w:r>
      <w:proofErr w:type="gramStart"/>
      <w:r w:rsidRPr="0029769F">
        <w:rPr>
          <w:color w:val="196B24" w:themeColor="accent3"/>
        </w:rPr>
        <w:t>3</w:t>
      </w:r>
      <w:r w:rsidRPr="00964466">
        <w:rPr>
          <w:color w:val="196B24" w:themeColor="accent3"/>
        </w:rPr>
        <w:t xml:space="preserve">  /</w:t>
      </w:r>
      <w:proofErr w:type="gramEnd"/>
      <w:r w:rsidRPr="00964466">
        <w:rPr>
          <w:color w:val="196B24" w:themeColor="accent3"/>
        </w:rPr>
        <w:t xml:space="preserve">  ASC </w:t>
      </w:r>
      <w:proofErr w:type="gramStart"/>
      <w:r w:rsidRPr="00964466">
        <w:rPr>
          <w:color w:val="196B24" w:themeColor="accent3"/>
        </w:rPr>
        <w:t>715  /</w:t>
      </w:r>
      <w:proofErr w:type="gramEnd"/>
      <w:r w:rsidRPr="00964466">
        <w:rPr>
          <w:color w:val="196B24" w:themeColor="accent3"/>
        </w:rPr>
        <w:t xml:space="preserve">  IAS-19</w:t>
      </w:r>
    </w:p>
    <w:p w14:paraId="238BEB61" w14:textId="7686ED0F" w:rsidR="00964466" w:rsidRPr="0029769F" w:rsidRDefault="00964466" w:rsidP="00964466">
      <w:pPr>
        <w:ind w:left="708"/>
        <w:rPr>
          <w:color w:val="196B24" w:themeColor="accent3"/>
        </w:rPr>
      </w:pPr>
      <w:r w:rsidRPr="0029769F">
        <w:rPr>
          <w:color w:val="196B24" w:themeColor="accent3"/>
        </w:rPr>
        <w:t>Cálculo actuarial completo aplicable</w:t>
      </w:r>
    </w:p>
    <w:sectPr w:rsidR="00964466" w:rsidRPr="00297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75D"/>
    <w:multiLevelType w:val="hybridMultilevel"/>
    <w:tmpl w:val="FB5A40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5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9F"/>
    <w:rsid w:val="001228D1"/>
    <w:rsid w:val="0029769F"/>
    <w:rsid w:val="005426D6"/>
    <w:rsid w:val="00843A0A"/>
    <w:rsid w:val="00964466"/>
    <w:rsid w:val="00C7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35DB"/>
  <w15:chartTrackingRefBased/>
  <w15:docId w15:val="{91557022-2183-4D00-860C-D44C6022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6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345</Words>
  <Characters>1986</Characters>
  <Application>Microsoft Office Word</Application>
  <DocSecurity>0</DocSecurity>
  <Lines>62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Elvia Díaz</dc:creator>
  <cp:keywords/>
  <dc:description/>
  <cp:lastModifiedBy>Elvia Díaz</cp:lastModifiedBy>
  <cp:revision>1</cp:revision>
  <dcterms:created xsi:type="dcterms:W3CDTF">2026-01-07T17:50:00Z</dcterms:created>
  <dcterms:modified xsi:type="dcterms:W3CDTF">2026-01-07T18:09:00Z</dcterms:modified>
</cp:coreProperties>
</file>