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5272E466"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651DE2FB"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201966FD">
            <wp:extent cx="5379288" cy="426720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622" cy="4273018"/>
                    </a:xfrm>
                    <a:prstGeom prst="rect">
                      <a:avLst/>
                    </a:prstGeom>
                    <a:noFill/>
                    <a:ln>
                      <a:noFill/>
                    </a:ln>
                  </pic:spPr>
                </pic:pic>
              </a:graphicData>
            </a:graphic>
          </wp:inline>
        </w:drawing>
      </w:r>
    </w:p>
    <w:p w14:paraId="5861EE76" w14:textId="4553472F"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r>
              <w:t>TagID</w:t>
            </w:r>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r>
              <w:t>CategoryID</w:t>
            </w:r>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44320F">
        <w:trPr>
          <w:trHeight w:val="392"/>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358948D1" w:rsidR="0044320F" w:rsidRDefault="0044320F" w:rsidP="002E7B1E">
            <w:r>
              <w:t>ArtworkTag</w:t>
            </w:r>
          </w:p>
        </w:tc>
        <w:tc>
          <w:tcPr>
            <w:tcW w:w="1227" w:type="dxa"/>
            <w:tcBorders>
              <w:top w:val="single" w:sz="4" w:space="0" w:color="000000"/>
              <w:left w:val="single" w:sz="4" w:space="0" w:color="000000"/>
              <w:bottom w:val="single" w:sz="4" w:space="0" w:color="000000"/>
              <w:right w:val="single" w:sz="4" w:space="0" w:color="000000"/>
            </w:tcBorders>
          </w:tcPr>
          <w:p w14:paraId="1F01DE8B" w14:textId="35D3F7BB" w:rsidR="0044320F" w:rsidRDefault="0044320F"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5C32FC6" w14:textId="13F0EF16" w:rsidR="0044320F" w:rsidRDefault="0044320F"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39C60D64" w14:textId="77777777" w:rsidR="0044320F" w:rsidRDefault="0044320F" w:rsidP="002E7B1E">
            <w:pPr>
              <w:rPr>
                <w:lang w:val="vi-VN"/>
              </w:rPr>
            </w:pPr>
            <w:r>
              <w:t>Array contains</w:t>
            </w:r>
            <w:r>
              <w:rPr>
                <w:lang w:val="vi-VN"/>
              </w:rPr>
              <w:t xml:space="preserve"> multiple tags of</w:t>
            </w:r>
          </w:p>
          <w:p w14:paraId="2EE036D7" w14:textId="5555AA4B" w:rsidR="0044320F" w:rsidRPr="0044320F" w:rsidRDefault="0044320F" w:rsidP="0044320F">
            <w:pPr>
              <w:ind w:left="0" w:firstLine="0"/>
              <w:rPr>
                <w:lang w:val="vi-VN"/>
              </w:rPr>
            </w:pPr>
            <w:r>
              <w:rPr>
                <w:lang w:val="vi-VN"/>
              </w:rPr>
              <w:t>1 artwork</w:t>
            </w:r>
          </w:p>
        </w:tc>
      </w:tr>
    </w:tbl>
    <w:p w14:paraId="5AE0C3F7" w14:textId="6D89136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77777777" w:rsidR="00692B8D" w:rsidRDefault="00000000">
            <w:pPr>
              <w:spacing w:after="0" w:line="259" w:lineRule="auto"/>
              <w:ind w:left="0" w:firstLine="0"/>
            </w:pPr>
            <w:r>
              <w:t xml:space="preserve">A person who </w:t>
            </w:r>
            <w:proofErr w:type="gramStart"/>
            <w:r>
              <w:t>visit</w:t>
            </w:r>
            <w:proofErr w:type="gramEnd"/>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Default="00000000">
      <w:pPr>
        <w:pStyle w:val="Heading3"/>
        <w:ind w:left="-5"/>
      </w:pPr>
      <w:r>
        <w:t>2.2 Use Cases</w:t>
      </w:r>
    </w:p>
    <w:p w14:paraId="1D374354" w14:textId="77777777" w:rsidR="00692B8D" w:rsidRDefault="00000000">
      <w:pPr>
        <w:pStyle w:val="Heading4"/>
        <w:ind w:left="-5"/>
      </w:pPr>
      <w:r>
        <w:t>2.2.1 Use Case Diagram(s)</w:t>
      </w: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0"/>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B75B2B">
          <w:headerReference w:type="even" r:id="rId11"/>
          <w:headerReference w:type="default" r:id="rId12"/>
          <w:footerReference w:type="even" r:id="rId13"/>
          <w:footerReference w:type="default" r:id="rId14"/>
          <w:headerReference w:type="first" r:id="rId15"/>
          <w:footerReference w:type="first" r:id="rId16"/>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w:t>
            </w:r>
            <w:proofErr w:type="gramStart"/>
            <w:r>
              <w:t>can’t</w:t>
            </w:r>
            <w:proofErr w:type="gramEnd"/>
            <w:r>
              <w:t xml:space="preserve">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roofErr w:type="gramStart"/>
            <w:r>
              <w:t>”.</w:t>
            </w:r>
            <w:proofErr w:type="gramEnd"/>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roofErr w:type="gramStart"/>
            <w:r>
              <w:t>”.</w:t>
            </w:r>
            <w:proofErr w:type="gramEnd"/>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B75B2B">
          <w:headerReference w:type="even" r:id="rId17"/>
          <w:headerReference w:type="default" r:id="rId18"/>
          <w:footerReference w:type="even" r:id="rId19"/>
          <w:footerReference w:type="default" r:id="rId20"/>
          <w:headerReference w:type="first" r:id="rId21"/>
          <w:footerReference w:type="first" r:id="rId22"/>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B75B2B">
          <w:headerReference w:type="even" r:id="rId23"/>
          <w:headerReference w:type="default" r:id="rId24"/>
          <w:footerReference w:type="even" r:id="rId25"/>
          <w:footerReference w:type="default" r:id="rId26"/>
          <w:headerReference w:type="first" r:id="rId27"/>
          <w:footerReference w:type="first" r:id="rId28"/>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29"/>
      <w:headerReference w:type="default" r:id="rId30"/>
      <w:footerReference w:type="even" r:id="rId31"/>
      <w:footerReference w:type="default" r:id="rId32"/>
      <w:headerReference w:type="first" r:id="rId33"/>
      <w:footerReference w:type="first" r:id="rId34"/>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44093" w14:textId="77777777" w:rsidR="00B75B2B" w:rsidRDefault="00B75B2B">
      <w:pPr>
        <w:spacing w:after="0" w:line="240" w:lineRule="auto"/>
      </w:pPr>
      <w:r>
        <w:separator/>
      </w:r>
    </w:p>
  </w:endnote>
  <w:endnote w:type="continuationSeparator" w:id="0">
    <w:p w14:paraId="10D2DBEE" w14:textId="77777777" w:rsidR="00B75B2B" w:rsidRDefault="00B7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D86E2" w14:textId="77777777" w:rsidR="00B75B2B" w:rsidRDefault="00B75B2B">
      <w:pPr>
        <w:spacing w:after="0" w:line="240" w:lineRule="auto"/>
      </w:pPr>
      <w:r>
        <w:separator/>
      </w:r>
    </w:p>
  </w:footnote>
  <w:footnote w:type="continuationSeparator" w:id="0">
    <w:p w14:paraId="10E077E0" w14:textId="77777777" w:rsidR="00B75B2B" w:rsidRDefault="00B7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77777777" w:rsidR="00692B8D" w:rsidRDefault="00000000">
    <w:pPr>
      <w:spacing w:after="0" w:line="259" w:lineRule="auto"/>
      <w:ind w:left="560" w:firstLine="0"/>
    </w:pPr>
    <w:r>
      <w:rPr>
        <w:b/>
        <w:i/>
      </w:rPr>
      <w:t>Admin Manage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502E5"/>
    <w:rsid w:val="00152838"/>
    <w:rsid w:val="001B797F"/>
    <w:rsid w:val="00224561"/>
    <w:rsid w:val="002A38DA"/>
    <w:rsid w:val="002E7B1E"/>
    <w:rsid w:val="00325385"/>
    <w:rsid w:val="00326704"/>
    <w:rsid w:val="003E0F71"/>
    <w:rsid w:val="00413EA1"/>
    <w:rsid w:val="0044320F"/>
    <w:rsid w:val="005B0F00"/>
    <w:rsid w:val="00603E14"/>
    <w:rsid w:val="00687DB9"/>
    <w:rsid w:val="00692B8D"/>
    <w:rsid w:val="006A79EC"/>
    <w:rsid w:val="007C4BD7"/>
    <w:rsid w:val="007E02F9"/>
    <w:rsid w:val="00804050"/>
    <w:rsid w:val="00823DE6"/>
    <w:rsid w:val="0096542C"/>
    <w:rsid w:val="009D6983"/>
    <w:rsid w:val="00A134E7"/>
    <w:rsid w:val="00A26C3E"/>
    <w:rsid w:val="00A610E6"/>
    <w:rsid w:val="00A67EEB"/>
    <w:rsid w:val="00AE4D50"/>
    <w:rsid w:val="00B00E4A"/>
    <w:rsid w:val="00B75B2B"/>
    <w:rsid w:val="00BB6259"/>
    <w:rsid w:val="00C01103"/>
    <w:rsid w:val="00C07B7C"/>
    <w:rsid w:val="00C34733"/>
    <w:rsid w:val="00C65587"/>
    <w:rsid w:val="00C84F41"/>
    <w:rsid w:val="00CD3D98"/>
    <w:rsid w:val="00D46885"/>
    <w:rsid w:val="00D9269E"/>
    <w:rsid w:val="00DB2386"/>
    <w:rsid w:val="00DD4AA7"/>
    <w:rsid w:val="00DE441C"/>
    <w:rsid w:val="00E05BDF"/>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60</Pages>
  <Words>10304</Words>
  <Characters>58733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14</cp:revision>
  <dcterms:created xsi:type="dcterms:W3CDTF">2024-02-28T06:55:00Z</dcterms:created>
  <dcterms:modified xsi:type="dcterms:W3CDTF">2024-03-19T12:06:00Z</dcterms:modified>
</cp:coreProperties>
</file>