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27</w:t>
      </w:r>
    </w:p>
    <w:p>
      <w:pPr>
        <w:pStyle w:val="Author"/>
      </w:pPr>
      <w:r>
        <w:t xml:space="preserve">Озьяс</w:t>
      </w:r>
      <w:r>
        <w:t xml:space="preserve"> </w:t>
      </w:r>
      <w:r>
        <w:t xml:space="preserve">Стев</w:t>
      </w:r>
      <w:r>
        <w:t xml:space="preserve"> </w:t>
      </w:r>
      <w:r>
        <w:t xml:space="preserve">Икнэль</w:t>
      </w:r>
      <w:r>
        <w:t xml:space="preserve"> </w:t>
      </w:r>
      <w:r>
        <w:t xml:space="preserve">Дани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Будем рассматривать модель конкуренции для двух фирм, производящих взаимозаменяемые товары одинакового качества и находящиеся в одной рыночной нише.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Придумайте свой пример двух конкурирующих фирм с идентичным товаром. Задайте начальные значения и известные составляющие. Постройте графики изменения объемов оборотных средств каждой фирмы. Рассмотрите два случая.</w:t>
      </w:r>
    </w:p>
    <w:p>
      <w:pPr>
        <w:pStyle w:val="Compact"/>
        <w:numPr>
          <w:ilvl w:val="0"/>
          <w:numId w:val="1001"/>
        </w:numPr>
      </w:pPr>
      <w:r>
        <w:t xml:space="preserve">Проанализируйте полученные результаты.</w:t>
      </w:r>
    </w:p>
    <w:p>
      <w:pPr>
        <w:pStyle w:val="Compact"/>
        <w:numPr>
          <w:ilvl w:val="0"/>
          <w:numId w:val="1001"/>
        </w:numPr>
      </w:pPr>
      <w:r>
        <w:t xml:space="preserve">Найдите стационарное состояние системы для первого случая.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rPr>
          <w:b/>
          <w:bCs/>
        </w:rPr>
        <w:t xml:space="preserve">1. Модель одной фирмы</w:t>
      </w:r>
    </w:p>
    <w:p>
      <w:pPr>
        <w:pStyle w:val="BodyText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Compact"/>
        <w:numPr>
          <w:ilvl w:val="0"/>
          <w:numId w:val="1002"/>
        </w:numPr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Compact"/>
        <w:numPr>
          <w:ilvl w:val="0"/>
          <w:numId w:val="1002"/>
        </w:numPr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Compact"/>
        <w:numPr>
          <w:ilvl w:val="0"/>
          <w:numId w:val="1002"/>
        </w:numPr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Compact"/>
        <w:numPr>
          <w:ilvl w:val="0"/>
          <w:numId w:val="1002"/>
        </w:numPr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Compact"/>
        <w:numPr>
          <w:ilvl w:val="0"/>
          <w:numId w:val="1002"/>
        </w:numPr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Compact"/>
        <w:numPr>
          <w:ilvl w:val="0"/>
          <w:numId w:val="1002"/>
        </w:numPr>
      </w:pPr>
      <w:r>
        <w:t xml:space="preserve">$\~{p}$</w:t>
      </w:r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Compact"/>
        <w:numPr>
          <w:ilvl w:val="0"/>
          <w:numId w:val="1002"/>
        </w:numPr>
      </w:pP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</w:p>
    <w:p>
      <w:pPr>
        <w:pStyle w:val="Compact"/>
        <w:numPr>
          <w:ilvl w:val="0"/>
          <w:numId w:val="1002"/>
        </w:numPr>
      </w:pP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 продукции.</w:t>
      </w:r>
    </w:p>
    <w:p>
      <w:pPr>
        <w:pStyle w:val="FirstParagraph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M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M</m:t>
            </m:r>
            <m:r>
              <m:t>δ</m:t>
            </m:r>
          </m:num>
          <m:den>
            <m:r>
              <m:t>τ</m:t>
            </m:r>
          </m:den>
        </m:f>
        <m:r>
          <m:rPr>
            <m:sty m:val="p"/>
          </m:rPr>
          <m:t>+</m:t>
        </m:r>
        <m:r>
          <m:t>N</m:t>
        </m:r>
        <m:r>
          <m:t>Q</m:t>
        </m:r>
        <m:r>
          <m:t>p</m:t>
        </m:r>
        <m:r>
          <m:rPr>
            <m:sty m:val="p"/>
          </m:rPr>
          <m:t>−</m:t>
        </m:r>
        <m:r>
          <m:t>κ</m:t>
        </m:r>
      </m:oMath>
    </w:p>
    <w:p>
      <w:pPr>
        <w:pStyle w:val="BodyText"/>
      </w:pPr>
      <w:r>
        <w:rPr>
          <w:b/>
          <w:bCs/>
        </w:rPr>
        <w:t xml:space="preserve">2. Модель двух фирм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 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какимлибо иным способом.)</w:t>
      </w:r>
    </w:p>
    <w:p>
      <w:pPr>
        <w:pStyle w:val="BodyText"/>
      </w:pPr>
      <w:r>
        <w:t xml:space="preserve">Систему уравнений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Где:</w:t>
      </w:r>
    </w:p>
    <w:p>
      <w:pPr>
        <w:pStyle w:val="BodyText"/>
      </w:pP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t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p</m:t>
            </m:r>
            <m:sSubSup>
              <m:e>
                <m:r>
                  <m:rPr>
                    <m:sty m:val="p"/>
                  </m:rPr>
                  <m:t>̃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t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p</m:t>
            </m:r>
            <m:sSubSup>
              <m:e>
                <m:r>
                  <m:rPr>
                    <m:sty m:val="p"/>
                  </m:rPr>
                  <m:t>̃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t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t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p</m:t>
            </m:r>
            <m:sSubSup>
              <m:e>
                <m:r>
                  <m:rPr>
                    <m:sty m:val="p"/>
                  </m:rPr>
                  <m:t>̃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p</m:t>
            </m:r>
            <m:sSubSup>
              <m:e>
                <m:r>
                  <m:rPr>
                    <m:sty m:val="p"/>
                  </m:rPr>
                  <m:t>̃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r>
              <m:t>p</m:t>
            </m:r>
            <m:sSub>
              <m:e>
                <m:r>
                  <m:rPr>
                    <m:sty m:val="p"/>
                  </m:rPr>
                  <m:t>̃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  <m:r>
              <m:t>p</m:t>
            </m:r>
            <m:sSub>
              <m:e>
                <m:r>
                  <m:rPr>
                    <m:sty m:val="p"/>
                  </m:rPr>
                  <m:t>̃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r>
              <m:t>p</m:t>
            </m:r>
            <m:sSub>
              <m:e>
                <m:r>
                  <m:rPr>
                    <m:sty m:val="p"/>
                  </m:rPr>
                  <m:t>̃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t</m:t>
                </m:r>
              </m:e>
              <m:sub>
                <m:r>
                  <m:t>2</m:t>
                </m:r>
              </m:sub>
            </m:sSub>
            <m:r>
              <m:t>p</m:t>
            </m:r>
            <m:sSub>
              <m:e>
                <m:r>
                  <m:rPr>
                    <m:sty m:val="p"/>
                  </m:rPr>
                  <m:t>̃</m:t>
                </m:r>
              </m:e>
              <m:sub>
                <m:r>
                  <m:t>2</m:t>
                </m:r>
              </m:sub>
            </m:sSub>
          </m:den>
        </m:f>
      </m:oMath>
    </w:p>
    <w:bookmarkEnd w:id="22"/>
    <w:bookmarkStart w:id="23" w:name="теоретический-материал"/>
    <w:p>
      <w:pPr>
        <w:pStyle w:val="Heading2"/>
      </w:pPr>
      <w:r>
        <w:t xml:space="preserve">Теоретический материал</w:t>
      </w:r>
    </w:p>
    <w:p>
      <w:pPr>
        <w:pStyle w:val="FirstParagraph"/>
      </w:pPr>
      <w:r>
        <w:t xml:space="preserve">Поскольку постоянные издержки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κ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κ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пренебрежимо малы 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, задача сводится к решению данной системы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bookmarkEnd w:id="23"/>
    <w:bookmarkStart w:id="30" w:name="задача"/>
    <w:p>
      <w:pPr>
        <w:pStyle w:val="Heading2"/>
      </w:pPr>
      <w:r>
        <w:t xml:space="preserve">Задача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оборотных средств №1 (Julia)" title="" id="25" name="Picture"/>
            <a:graphic>
              <a:graphicData uri="http://schemas.openxmlformats.org/drawingml/2006/picture">
                <pic:pic>
                  <pic:nvPicPr>
                    <pic:cNvPr descr="image/image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изменения оборотных средств №1 (Julia)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0.00017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c</m:t>
                        </m:r>
                        <m:r>
                          <m:t>1</m:t>
                        </m:r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c</m:t>
                        </m:r>
                        <m:r>
                          <m:t>1</m:t>
                        </m:r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оборотных средств №2 (Julia)" title="" id="28" name="Picture"/>
            <a:graphic>
              <a:graphicData uri="http://schemas.openxmlformats.org/drawingml/2006/picture">
                <pic:pic>
                  <pic:nvPicPr>
                    <pic:cNvPr descr="image/image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изменения оборотных средств №2 (Julia)</w:t>
      </w:r>
    </w:p>
    <w:bookmarkEnd w:id="30"/>
    <w:bookmarkStart w:id="31" w:name="код-программы-julia"/>
    <w:p>
      <w:pPr>
        <w:pStyle w:val="Heading2"/>
      </w:pP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#СЛУЧАЙ №1</w:t>
      </w:r>
      <w:r>
        <w:br/>
      </w:r>
      <w:r>
        <w:br/>
      </w:r>
      <w:r>
        <w:rPr>
          <w:rStyle w:val="VerbatimChar"/>
        </w:rPr>
        <w:t xml:space="preserve">p_cr = 39; #критическая стоимость продукта</w:t>
      </w:r>
      <w:r>
        <w:br/>
      </w:r>
      <w:r>
        <w:rPr>
          <w:rStyle w:val="VerbatimChar"/>
        </w:rPr>
        <w:t xml:space="preserve">tau1 = 31; #длительность производственного цикла фирмы 1</w:t>
      </w:r>
      <w:r>
        <w:br/>
      </w:r>
      <w:r>
        <w:rPr>
          <w:rStyle w:val="VerbatimChar"/>
        </w:rPr>
        <w:t xml:space="preserve">p1 = 11.2; #себестоимость продукта у фирмы 1</w:t>
      </w:r>
      <w:r>
        <w:br/>
      </w:r>
      <w:r>
        <w:rPr>
          <w:rStyle w:val="VerbatimChar"/>
        </w:rPr>
        <w:t xml:space="preserve">tau2 = 28; #длительность производственного цикла фирмы 2</w:t>
      </w:r>
      <w:r>
        <w:br/>
      </w:r>
      <w:r>
        <w:rPr>
          <w:rStyle w:val="VerbatimChar"/>
        </w:rPr>
        <w:t xml:space="preserve">p2 = 15.5; #себестоимость продукта у фирмы 2</w:t>
      </w:r>
      <w:r>
        <w:br/>
      </w:r>
      <w:r>
        <w:rPr>
          <w:rStyle w:val="VerbatimChar"/>
        </w:rPr>
        <w:t xml:space="preserve">N = 10; #число потребителей производимого продукта</w:t>
      </w:r>
      <w:r>
        <w:br/>
      </w:r>
      <w:r>
        <w:rPr>
          <w:rStyle w:val="VerbatimChar"/>
        </w:rPr>
        <w:t xml:space="preserve">q = 1; #максимальная потребность одного человека в продукте вединицу времени</w:t>
      </w:r>
      <w:r>
        <w:br/>
      </w:r>
      <w:r>
        <w:br/>
      </w:r>
      <w:r>
        <w:rPr>
          <w:rStyle w:val="VerbatimChar"/>
        </w:rPr>
        <w:t xml:space="preserve">a1 = p_cr/(tau1*tau1*p1*p1*N*q);</w:t>
      </w:r>
      <w:r>
        <w:br/>
      </w:r>
      <w:r>
        <w:rPr>
          <w:rStyle w:val="VerbatimChar"/>
        </w:rPr>
        <w:t xml:space="preserve">a2 = p_cr/(tau2*tau2*p2*p2*N*q);</w:t>
      </w:r>
      <w:r>
        <w:br/>
      </w:r>
      <w:r>
        <w:rPr>
          <w:rStyle w:val="VerbatimChar"/>
        </w:rPr>
        <w:t xml:space="preserve">b = p_cr/(tau1*tau1*tau2*tau2*p1*p1*p2*p2*N*q);</w:t>
      </w:r>
      <w:r>
        <w:br/>
      </w:r>
      <w:r>
        <w:rPr>
          <w:rStyle w:val="VerbatimChar"/>
        </w:rPr>
        <w:t xml:space="preserve">c1 = (p_cr-p1)/(tau1*p1);</w:t>
      </w:r>
      <w:r>
        <w:br/>
      </w:r>
      <w:r>
        <w:rPr>
          <w:rStyle w:val="VerbatimChar"/>
        </w:rPr>
        <w:t xml:space="preserve">c2 = (p_cr-p2)/(tau2*p2);</w:t>
      </w:r>
      <w:r>
        <w:br/>
      </w:r>
      <w:r>
        <w:br/>
      </w:r>
      <w:r>
        <w:rPr>
          <w:rStyle w:val="VerbatimChar"/>
        </w:rPr>
        <w:t xml:space="preserve">function F(du, u, p, t)</w:t>
      </w:r>
      <w:r>
        <w:br/>
      </w:r>
      <w:r>
        <w:rPr>
          <w:rStyle w:val="VerbatimChar"/>
        </w:rPr>
        <w:t xml:space="preserve">    du[1] = u[1] - (a1/c1)*u[1]*u[1] - (b/c1)*u[1]*u[2];</w:t>
      </w:r>
      <w:r>
        <w:br/>
      </w:r>
      <w:r>
        <w:rPr>
          <w:rStyle w:val="VerbatimChar"/>
        </w:rPr>
        <w:t xml:space="preserve">    du[2] = (c2/c1)*u[2] - (a2/c1)*u[2]*u[2] - (b/c1)*u[1]*u[2];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M1_0 = 7.7</w:t>
      </w:r>
      <w:r>
        <w:br/>
      </w:r>
      <w:r>
        <w:rPr>
          <w:rStyle w:val="VerbatimChar"/>
        </w:rPr>
        <w:t xml:space="preserve">M2_0 = 8.8</w:t>
      </w:r>
      <w:r>
        <w:br/>
      </w:r>
      <w:r>
        <w:rPr>
          <w:rStyle w:val="VerbatimChar"/>
        </w:rPr>
        <w:t xml:space="preserve">t = (0,30);</w:t>
      </w:r>
      <w:r>
        <w:br/>
      </w:r>
      <w:r>
        <w:rPr>
          <w:rStyle w:val="VerbatimChar"/>
        </w:rPr>
        <w:t xml:space="preserve">M0 = [M1_0, M2_0]; #вектор начальных значений объема оборотных средств M1 и M2</w:t>
      </w:r>
      <w:r>
        <w:br/>
      </w:r>
      <w:r>
        <w:br/>
      </w:r>
      <w:r>
        <w:rPr>
          <w:rStyle w:val="VerbatimChar"/>
        </w:rPr>
        <w:t xml:space="preserve">prob = ODEProblem(F, M0, t)</w:t>
      </w:r>
      <w:r>
        <w:br/>
      </w:r>
      <w:r>
        <w:br/>
      </w:r>
      <w:r>
        <w:rPr>
          <w:rStyle w:val="VerbatimChar"/>
        </w:rPr>
        <w:t xml:space="preserve">sol = solve(prob)</w:t>
      </w:r>
      <w:r>
        <w:br/>
      </w:r>
      <w:r>
        <w:br/>
      </w:r>
      <w:r>
        <w:rPr>
          <w:rStyle w:val="VerbatimChar"/>
        </w:rPr>
        <w:t xml:space="preserve">plot(sol, label= ["Фирма 1" "Фирма 2"], xlabel = "$\theta$", title="Случай №1")</w:t>
      </w:r>
      <w:r>
        <w:br/>
      </w:r>
      <w:r>
        <w:br/>
      </w:r>
      <w:r>
        <w:rPr>
          <w:rStyle w:val="VerbatimChar"/>
        </w:rPr>
        <w:t xml:space="preserve">savefig("image1.png")</w:t>
      </w:r>
      <w:r>
        <w:br/>
      </w:r>
      <w:r>
        <w:br/>
      </w:r>
      <w:r>
        <w:rPr>
          <w:rStyle w:val="VerbatimChar"/>
        </w:rPr>
        <w:t xml:space="preserve">#СЛУЧАЙ №2</w:t>
      </w:r>
      <w:r>
        <w:br/>
      </w:r>
      <w:r>
        <w:br/>
      </w:r>
      <w:r>
        <w:rPr>
          <w:rStyle w:val="VerbatimChar"/>
        </w:rPr>
        <w:t xml:space="preserve">function F(du, u, p, t)</w:t>
      </w:r>
      <w:r>
        <w:br/>
      </w:r>
      <w:r>
        <w:rPr>
          <w:rStyle w:val="VerbatimChar"/>
        </w:rPr>
        <w:t xml:space="preserve">    du[1] = u[1] - (a1/c1)*u[1]*u[1] - (b/c1 + 0.00017)*u[1]*u[2];</w:t>
      </w:r>
      <w:r>
        <w:br/>
      </w:r>
      <w:r>
        <w:rPr>
          <w:rStyle w:val="VerbatimChar"/>
        </w:rPr>
        <w:t xml:space="preserve">    du[2] = (c2/c1)*u[2] - (a2/c1)*u[2]*u[2] - (b/c1)*u[1]*u[2];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M1_0 = 7.7</w:t>
      </w:r>
      <w:r>
        <w:br/>
      </w:r>
      <w:r>
        <w:rPr>
          <w:rStyle w:val="VerbatimChar"/>
        </w:rPr>
        <w:t xml:space="preserve">M2_0 = 8.8</w:t>
      </w:r>
      <w:r>
        <w:br/>
      </w:r>
      <w:r>
        <w:rPr>
          <w:rStyle w:val="VerbatimChar"/>
        </w:rPr>
        <w:t xml:space="preserve">t = (0,30);</w:t>
      </w:r>
      <w:r>
        <w:br/>
      </w:r>
      <w:r>
        <w:rPr>
          <w:rStyle w:val="VerbatimChar"/>
        </w:rPr>
        <w:t xml:space="preserve">M0 = [M1_0, M2_0]; #вектор начальных значений объема оборотных средств M1 и M2</w:t>
      </w:r>
      <w:r>
        <w:br/>
      </w:r>
      <w:r>
        <w:br/>
      </w:r>
      <w:r>
        <w:rPr>
          <w:rStyle w:val="VerbatimChar"/>
        </w:rPr>
        <w:t xml:space="preserve">prob = ODEProblem(F, M0, t)</w:t>
      </w:r>
      <w:r>
        <w:br/>
      </w:r>
      <w:r>
        <w:br/>
      </w:r>
      <w:r>
        <w:rPr>
          <w:rStyle w:val="VerbatimChar"/>
        </w:rPr>
        <w:t xml:space="preserve">sol = solve(prob)</w:t>
      </w:r>
      <w:r>
        <w:br/>
      </w:r>
      <w:r>
        <w:br/>
      </w:r>
      <w:r>
        <w:rPr>
          <w:rStyle w:val="VerbatimChar"/>
        </w:rPr>
        <w:t xml:space="preserve">plot(sol, label= ["Фирма 1" "Фирма 2"], xlabel = "$\theta$", title="Случай №2")</w:t>
      </w:r>
      <w:r>
        <w:br/>
      </w:r>
      <w:r>
        <w:rPr>
          <w:rStyle w:val="VerbatimChar"/>
        </w:rPr>
        <w:t xml:space="preserve">savefig("image2.png")</w:t>
      </w:r>
    </w:p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моделем двух фирм. Проверили, как работает модель в различных ситуациях, построили графики изменения оборотных средств при данных условиях.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hyperlink r:id="rId34">
        <w:r>
          <w:rPr>
            <w:rStyle w:val="Hyperlink"/>
          </w:rPr>
          <w:t xml:space="preserve">Модель конкуренции двух фирм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34" Target="https://natural-sciences.ru/ru/article/view?id=147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natural-sciences.ru/ru/article/view?id=147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Озьяс Стев Икнэль Дани</dc:creator>
  <dc:language>ru-RU</dc:language>
  <cp:keywords/>
  <dcterms:created xsi:type="dcterms:W3CDTF">2024-03-30T11:52:54Z</dcterms:created>
  <dcterms:modified xsi:type="dcterms:W3CDTF">2024-03-30T11:52:54Z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Цель Работы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Ход Работы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subtitle">
    <vt:lpwstr>Модель конкуренции двух фирм - Вариант 27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</Properties>
</file>