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Будем рассматривать 2 случая ведения боевых действий по модели Ланчестера.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Изучать модель Ланчестера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для обеих армий</w:t>
      </w:r>
    </w:p>
    <w:p>
      <w:pPr>
        <w:pStyle w:val="Compact"/>
        <w:numPr>
          <w:ilvl w:val="0"/>
          <w:numId w:val="1001"/>
        </w:numPr>
      </w:pPr>
      <w:r>
        <w:t xml:space="preserve">Определить кто из них победитель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Будем рассматривать 2 случая ведения боевых действий:</w:t>
      </w:r>
    </w:p>
    <w:p>
      <w:pPr>
        <w:pStyle w:val="Compact"/>
        <w:numPr>
          <w:ilvl w:val="0"/>
          <w:numId w:val="1002"/>
        </w:numPr>
      </w:pPr>
      <w:r>
        <w:t xml:space="preserve">Боевые действия между регулярными войсками</w:t>
      </w:r>
    </w:p>
    <w:p>
      <w:pPr>
        <w:pStyle w:val="Compact"/>
        <w:numPr>
          <w:ilvl w:val="0"/>
          <w:numId w:val="1002"/>
        </w:numPr>
      </w:pP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3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Compact"/>
        <w:numPr>
          <w:ilvl w:val="0"/>
          <w:numId w:val="1003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3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88000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pStyle w:val="Compact"/>
        <w:numPr>
          <w:ilvl w:val="0"/>
          <w:numId w:val="1004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15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в случае 1 (Julia)" title="fig: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численности в случае 1 (Julia)</w:t>
      </w:r>
    </w:p>
    <w:p>
      <w:pPr>
        <w:pStyle w:val="CaptionedFigure"/>
      </w:pPr>
      <w:r>
        <w:drawing>
          <wp:inline>
            <wp:extent cx="3733800" cy="1942199"/>
            <wp:effectExtent b="0" l="0" r="0" t="0"/>
            <wp:docPr descr="График изменения численности в случае 1 (OpenModelica)" title="fig:" id="27" name="Picture"/>
            <a:graphic>
              <a:graphicData uri="http://schemas.openxmlformats.org/drawingml/2006/picture">
                <pic:pic>
                  <pic:nvPicPr>
                    <pic:cNvPr descr="image/imag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численности в случае 1 (OpenModelica)</w:t>
      </w:r>
    </w:p>
    <w:p>
      <w:pPr>
        <w:pStyle w:val="BodyText"/>
      </w:pPr>
      <w:r>
        <w:t xml:space="preserve">По решению модели Ланчестера оказывается что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победитель.</w:t>
      </w:r>
    </w:p>
    <w:p>
      <w:pPr>
        <w:pStyle w:val="Compact"/>
        <w:numPr>
          <w:ilvl w:val="0"/>
          <w:numId w:val="1005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7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8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в случае 2 (Julia)" title="fig:" id="30" name="Picture"/>
            <a:graphic>
              <a:graphicData uri="http://schemas.openxmlformats.org/drawingml/2006/picture">
                <pic:pic>
                  <pic:nvPicPr>
                    <pic:cNvPr descr="image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численности в случае 2 (Julia)</w:t>
      </w:r>
    </w:p>
    <w:p>
      <w:pPr>
        <w:pStyle w:val="CaptionedFigure"/>
      </w:pPr>
      <w:r>
        <w:drawing>
          <wp:inline>
            <wp:extent cx="3733800" cy="1989791"/>
            <wp:effectExtent b="0" l="0" r="0" t="0"/>
            <wp:docPr descr="График изменения численности в случае 2 (OpenModelica)" title="fig: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численности в случае 2 (OpenModelica)</w:t>
      </w:r>
    </w:p>
    <w:p>
      <w:pPr>
        <w:pStyle w:val="BodyText"/>
      </w:pPr>
      <w:r>
        <w:t xml:space="preserve">По решению модели Ланчестера оказывается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победитель.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FirstParagraph"/>
      </w:pPr>
      <w:r>
        <w:t xml:space="preserve">Далее приведен код программы, написанной на языке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88000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99000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#численность второй армии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#начальный момент времени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#предельный момент времени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(t0;tmax);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ПЕРВЫЙ СЛУЧАЙ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     </w:t>
      </w:r>
      <w:r>
        <w:rPr>
          <w:rStyle w:val="CommentTok"/>
        </w:rPr>
        <w:t xml:space="preserve">#возможность подхода подкрепления к армии х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     </w:t>
      </w:r>
      <w:r>
        <w:rPr>
          <w:rStyle w:val="CommentTok"/>
        </w:rPr>
        <w:t xml:space="preserve">#возможность подхода подкрепления к армии у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CommentTok"/>
        </w:rPr>
        <w:t xml:space="preserve">#Система дифференциальных уравнений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(t);        </w:t>
      </w:r>
      <w:r>
        <w:rPr>
          <w:rStyle w:val="CommentTok"/>
        </w:rPr>
        <w:t xml:space="preserve">#изменение численности первой армии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(t);        </w:t>
      </w:r>
      <w:r>
        <w:rPr>
          <w:rStyle w:val="CommentTok"/>
        </w:rPr>
        <w:t xml:space="preserve">#изменение численности второй армии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[x0;y0];    </w:t>
      </w:r>
      <w:r>
        <w:rPr>
          <w:rStyle w:val="CommentTok"/>
        </w:rPr>
        <w:t xml:space="preserve">#Вектор начальных условий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v0,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 X"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"Регулярные войски"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 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br/>
      </w:r>
      <w:r>
        <w:br/>
      </w:r>
      <w:r>
        <w:rPr>
          <w:rStyle w:val="CommentTok"/>
        </w:rPr>
        <w:t xml:space="preserve"># ВТОРОЙ СЛУЧАЙ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     </w:t>
      </w:r>
      <w:r>
        <w:rPr>
          <w:rStyle w:val="CommentTok"/>
        </w:rPr>
        <w:t xml:space="preserve">#возможность подхода подкрепления к армии х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     </w:t>
      </w:r>
      <w:r>
        <w:rPr>
          <w:rStyle w:val="CommentTok"/>
        </w:rPr>
        <w:t xml:space="preserve">#возможность подхода подкрепления к армии у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CommentTok"/>
        </w:rPr>
        <w:t xml:space="preserve">#Система дифференциальных уравнений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(t);        </w:t>
      </w:r>
      <w:r>
        <w:rPr>
          <w:rStyle w:val="CommentTok"/>
        </w:rPr>
        <w:t xml:space="preserve">#изменение численности первой армии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(t);        </w:t>
      </w:r>
      <w:r>
        <w:rPr>
          <w:rStyle w:val="CommentTok"/>
        </w:rPr>
        <w:t xml:space="preserve">#изменение численности второй армии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[x0;y0];    </w:t>
      </w:r>
      <w:r>
        <w:rPr>
          <w:rStyle w:val="CommentTok"/>
        </w:rPr>
        <w:t xml:space="preserve">#Вектор начальных условий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v0,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 X"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"Регулярные войски и партизанские отряды"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 Y"</w:t>
      </w:r>
      <w:r>
        <w:rPr>
          <w:rStyle w:val="NormalTok"/>
        </w:rPr>
        <w:t xml:space="preserve">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FirstParagraph"/>
      </w:pPr>
      <w:r>
        <w:t xml:space="preserve">Далее приведен код программы, написанной в OpenModelica.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ПЕРВЫЙ СЛУЧАЙ</w:t>
      </w:r>
      <w:r>
        <w:br/>
      </w:r>
      <w:r>
        <w:rPr>
          <w:rStyle w:val="NormalTok"/>
        </w:rPr>
        <w:t xml:space="preserve">model lab3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;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эффективность боевых действий армии у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эффективность боевых действий армии х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88000</w:t>
      </w:r>
      <w:r>
        <w:rPr>
          <w:rStyle w:val="NormalTok"/>
        </w:rPr>
        <w:t xml:space="preserve">);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первой армии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99000</w:t>
      </w:r>
      <w:r>
        <w:rPr>
          <w:rStyle w:val="NormalTok"/>
        </w:rPr>
        <w:t xml:space="preserve">);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второй армии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изменение численности первой армии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изменение численности второй армии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lab3;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ВТОРОЙ СЛУЧАЙ</w:t>
      </w:r>
      <w:r>
        <w:br/>
      </w:r>
      <w:r>
        <w:rPr>
          <w:rStyle w:val="NormalTok"/>
        </w:rPr>
        <w:t xml:space="preserve">model lab3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;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эффективность боевых действий армии у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эффективность боевых действий армии х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88000</w:t>
      </w:r>
      <w:r>
        <w:rPr>
          <w:rStyle w:val="NormalTok"/>
        </w:rPr>
        <w:t xml:space="preserve">);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первой армии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99000</w:t>
      </w:r>
      <w:r>
        <w:rPr>
          <w:rStyle w:val="NormalTok"/>
        </w:rPr>
        <w:t xml:space="preserve">);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второй армии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изменение численности первой армии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изменение численности второй армии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моделями Ланчестера. Проверили, как работает модель в различных ситуациях, построили графики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pStyle w:val="Compact"/>
        <w:numPr>
          <w:ilvl w:val="0"/>
          <w:numId w:val="1006"/>
        </w:numPr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pStyle w:val="Compact"/>
        <w:numPr>
          <w:ilvl w:val="0"/>
          <w:numId w:val="1006"/>
        </w:numPr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Озьяс Стев Икнэль Дани</dc:creator>
  <dc:language>ru-RU</dc:language>
  <cp:keywords/>
  <dcterms:created xsi:type="dcterms:W3CDTF">2025-05-28T20:15:24Z</dcterms:created>
  <dcterms:modified xsi:type="dcterms:W3CDTF">2025-05-28T20:15:24Z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Боевых Действий-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