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конкуренции для двух фирм, производящих взаимозаменяемые товары одинакового качества и находящиеся в одной рыночной нише.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Придумайте свой пример двух конкурирующих фирм с идентичным товаром. Задайте начальные значения и известные составляющие. Постройте графики изменения объемов оборотных средств каждой фирмы. Рассмотрите два случая.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полученные результаты.</w:t>
      </w:r>
    </w:p>
    <w:p>
      <w:pPr>
        <w:pStyle w:val="Compact"/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1. 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Compact"/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Compact"/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Compact"/>
        <w:numPr>
          <w:ilvl w:val="0"/>
          <w:numId w:val="1002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2"/>
        </w:numPr>
      </w:pPr>
      <w:r>
        <w:t xml:space="preserve">$\~{p}$</w:t>
      </w: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2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Compact"/>
        <w:numPr>
          <w:ilvl w:val="0"/>
          <w:numId w:val="1002"/>
        </w:numPr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FirstParagraph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r>
          <m:t>p</m:t>
        </m:r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rPr>
          <w:b/>
          <w:bCs/>
        </w:rPr>
        <w:t xml:space="preserve">2. Модель двух фирм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Систему уравнений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den>
        </m:f>
      </m:oMath>
    </w:p>
    <w:bookmarkEnd w:id="22"/>
    <w:bookmarkStart w:id="23" w:name="теоретический-материал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Теоретический материал</w:t>
      </w:r>
    </w:p>
    <w:p>
      <w:pPr>
        <w:pStyle w:val="FirstParagraph"/>
      </w:pPr>
      <w:r>
        <w:t xml:space="preserve">Поскольку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κ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κ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пренебрежимо малы 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, задача сводится к решению данной системы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3"/>
    <w:bookmarkStart w:id="36" w:name="зада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Задача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1 (Julia)" title="fig: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№1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1928388"/>
            <wp:effectExtent b="0" l="0" r="0" t="0"/>
            <wp:docPr descr="График изменения оборотных средств №1 (OpenModelica)" title="fig: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№1 (OpenModelica)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0.00017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2 (Julia)" title="fig:" id="31" name="Picture"/>
            <a:graphic>
              <a:graphicData uri="http://schemas.openxmlformats.org/drawingml/2006/picture">
                <pic:pic>
                  <pic:nvPicPr>
                    <pic:cNvPr descr="image/imag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оборотных средств №2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1961293"/>
            <wp:effectExtent b="0" l="0" r="0" t="0"/>
            <wp:docPr descr="График изменения оборотных средств №1 (OpenModelica)" title="fig: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оборотных средств №1 (OpenModelica)</w:t>
      </w:r>
    </w:p>
    <w:p>
      <w:pPr>
        <w:pStyle w:val="BodyText"/>
      </w:pPr>
      <w:r>
        <w:t xml:space="preserve">В случае №1 очевидно что графики совпадают!</w:t>
      </w:r>
    </w:p>
    <w:p>
      <w:pPr>
        <w:pStyle w:val="BodyText"/>
      </w:pPr>
      <w:r>
        <w:t xml:space="preserve">В случае №1 графики похожие но не совсем совпадают!</w:t>
      </w:r>
    </w:p>
    <w:bookmarkEnd w:id="36"/>
    <w:bookmarkStart w:id="37" w:name="код-программы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#СЛУЧАЙ №1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br/>
      </w:r>
      <w:r>
        <w:rPr>
          <w:rStyle w:val="NormalTok"/>
        </w:rPr>
        <w:t xml:space="preserve">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M2_0]; </w:t>
      </w:r>
      <w:r>
        <w:rPr>
          <w:rStyle w:val="CommentTok"/>
        </w:rPr>
        <w:t xml:space="preserve">#вектор начальных значений объема оборотных средств M1 и M2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1</w:t>
      </w:r>
      <w:r>
        <w:rPr>
          <w:rStyle w:val="StringTok"/>
        </w:rPr>
        <w:t xml:space="preserve">")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#СЛУЧАЙ №2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2</w:t>
      </w:r>
      <w:r>
        <w:rPr>
          <w:rStyle w:val="StringTok"/>
        </w:rPr>
        <w:t xml:space="preserve">")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7"/>
    <w:bookmarkStart w:id="38" w:name="код-программы-openmodelic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 №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 №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двух фирм. Проверили, как работает модель в различных ситуациях, построили графики изменения оборотных средств при данных условиях.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:::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Озьяс Стев Икнэль Дани</dc:creator>
  <dc:language>ru-RU</dc:language>
  <cp:keywords/>
  <dcterms:created xsi:type="dcterms:W3CDTF">2025-05-28T20:21:58Z</dcterms:created>
  <dcterms:modified xsi:type="dcterms:W3CDTF">2025-05-28T20:21:58Z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конкуренции двух фирм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