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Химические</w:t>
      </w:r>
      <w:r>
        <w:t xml:space="preserve"> </w:t>
      </w:r>
      <w:r>
        <w:t xml:space="preserve">реакции,</w:t>
      </w:r>
      <w:r>
        <w:t xml:space="preserve"> </w:t>
      </w:r>
      <w:r>
        <w:t xml:space="preserve">стохастическое</w:t>
      </w:r>
      <w:r>
        <w:t xml:space="preserve"> </w:t>
      </w:r>
      <w:r>
        <w:t xml:space="preserve">горение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1.</w:t>
      </w:r>
      <w:r>
        <w:t xml:space="preserve"> </w:t>
      </w:r>
      <w:r>
        <w:t xml:space="preserve">Теоретическая</w:t>
      </w:r>
      <w:r>
        <w:t xml:space="preserve"> </w:t>
      </w:r>
      <w:r>
        <w:t xml:space="preserve">модель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научная-проблем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Научная проблема</w:t>
      </w:r>
    </w:p>
    <w:p>
      <w:pPr>
        <w:pStyle w:val="FirstParagraph"/>
      </w:pPr>
      <w:r>
        <w:t xml:space="preserve">Моделирование химических реакций в условиях микроскопического ансамбля частиц — это ключ к пониманию динамики горения, катализаторов и других физических явлений. В частности, интерес представляет мономолекулярная экзотермическая реакция, где реакция A → B сопровождается выделением тепла.</w:t>
      </w:r>
      <w:r>
        <w:t xml:space="preserve"> </w:t>
      </w:r>
      <w:r>
        <w:t xml:space="preserve">(</w:t>
      </w:r>
      <w:r>
        <w:rPr>
          <w:b/>
          <w:bCs/>
        </w:rPr>
        <w:t xml:space="preserve">medved:2010?</w:t>
      </w:r>
      <w:r>
        <w:t xml:space="preserve">)</w:t>
      </w:r>
      <w:r>
        <w:t xml:space="preserve">.</w:t>
      </w:r>
    </w:p>
    <w:bookmarkEnd w:id="20"/>
    <w:bookmarkStart w:id="21" w:name="цель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Моделировать химические реакции в условиях микроскопического ансамбля частиц.</w:t>
      </w:r>
    </w:p>
    <w:bookmarkEnd w:id="21"/>
    <w:bookmarkStart w:id="22" w:name="задач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моделирующую ансамбль частиц, в которых возможна мономолекулярная экзотермическая реакция. Рассмотрите случай нулевой теплопроводности. Постройте графики зависимости числа непрореагировавших частиц от времени при разных температурах. Сравните полученные графики с теоретическими зависимостями.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зависимости числа непрореагировавших частиц, температуры и скорости реакции от времени в случае бесконечной теплопроводности внутри области моделирования, считая процесс адиабатическим.</w:t>
      </w:r>
    </w:p>
    <w:bookmarkEnd w:id="22"/>
    <w:bookmarkEnd w:id="23"/>
    <w:bookmarkStart w:id="25" w:name="теоретическое-описание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описание задачи</w:t>
      </w:r>
    </w:p>
    <w:p>
      <w:pPr>
        <w:pStyle w:val="FirstParagraph"/>
      </w:pPr>
      <w:r>
        <w:t xml:space="preserve">Для одной молекулы A вероятность реакции за время τ определяется: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k</m:t>
                  </m:r>
                  <m:r>
                    <m:t>T</m:t>
                  </m:r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E</m:t>
              </m:r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  <m:r>
            <m:t>d</m:t>
          </m:r>
          <m:r>
            <m:t>E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Изменение количества непрореагировавших молекул: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N</m:t>
          </m:r>
          <m:r>
            <m:t>u</m:t>
          </m:r>
          <m:r>
            <m:rPr>
              <m:sty m:val="p"/>
            </m:rPr>
            <m:t>,</m:t>
          </m:r>
          <m:r>
            <m:t> 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Решение: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u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В случае</w:t>
      </w:r>
      <w:r>
        <w:t xml:space="preserve"> </w:t>
      </w:r>
      <w:r>
        <w:rPr>
          <w:b/>
          <w:bCs/>
        </w:rPr>
        <w:t xml:space="preserve">бесконечной теплопроводности</w:t>
      </w:r>
      <w:r>
        <w:t xml:space="preserve">, температура меняется: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τ</m:t>
              </m:r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/</m:t>
              </m:r>
              <m:r>
                <m:t>k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T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q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r>
                <m:t>c</m:t>
              </m:r>
            </m:den>
          </m:f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Start w:id="24" w:name="описание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модели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Частицы</w:t>
      </w:r>
      <w:r>
        <w:t xml:space="preserve"> </w:t>
      </w:r>
      <w:r>
        <w:t xml:space="preserve">находятся в начальном состоянии A.</w:t>
      </w:r>
    </w:p>
    <w:p>
      <w:pPr>
        <w:pStyle w:val="Compact"/>
        <w:numPr>
          <w:ilvl w:val="0"/>
          <w:numId w:val="1002"/>
        </w:numPr>
      </w:pPr>
      <w:r>
        <w:t xml:space="preserve">Для каждой частицы генерируется энергия:</w:t>
      </w:r>
      <w:r>
        <w:t xml:space="preserve"> </w:t>
      </w:r>
      <w:r>
        <w:rPr>
          <w:rStyle w:val="VerbatimChar"/>
        </w:rPr>
        <w:t xml:space="preserve">E = -kT * ln(random())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Реакция происходит, если</w:t>
      </w:r>
      <w:r>
        <w:t xml:space="preserve"> </w:t>
      </w:r>
      <w:r>
        <w:rPr>
          <w:rStyle w:val="VerbatimChar"/>
        </w:rPr>
        <w:t xml:space="preserve">E &gt; Ea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При реакции:</w:t>
      </w:r>
    </w:p>
    <w:p>
      <w:pPr>
        <w:pStyle w:val="Compact"/>
        <w:numPr>
          <w:ilvl w:val="1"/>
          <w:numId w:val="1003"/>
        </w:numPr>
      </w:pPr>
      <w:r>
        <w:t xml:space="preserve">В случае нулевой теплопроводности: температура не меняется.</w:t>
      </w:r>
    </w:p>
    <w:p>
      <w:pPr>
        <w:pStyle w:val="Compact"/>
        <w:numPr>
          <w:ilvl w:val="1"/>
          <w:numId w:val="1003"/>
        </w:numPr>
      </w:pPr>
      <w:r>
        <w:t xml:space="preserve">В случае бесконечной теплопроводности: температура системы возрастает.</w:t>
      </w:r>
    </w:p>
    <w:p>
      <w:pPr>
        <w:pStyle w:val="Compact"/>
        <w:numPr>
          <w:ilvl w:val="0"/>
          <w:numId w:val="1002"/>
        </w:numPr>
      </w:pPr>
      <w:r>
        <w:t xml:space="preserve">Статистика собирается для N(t), T(t), скорости реакции.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первого этапа проекта сделали теоретическое описание моделей химических реакций в условиях микроскопического ансамбля частиц в случаях нулевой теплопроводности и бесконечной теплопроводности. Далее определили задачи дальнейшего исследования.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4"/>
        </w:numPr>
      </w:pPr>
      <w:r>
        <w:t xml:space="preserve">Gillespie D.T. Exact stochastic simulation of coupled chemical reactions. Journal of Physical Chemistry. — 1977. — Vol. 81, No. 25. — P. 2340–2361.</w:t>
      </w:r>
    </w:p>
    <w:p>
      <w:pPr>
        <w:pStyle w:val="Compact"/>
        <w:numPr>
          <w:ilvl w:val="0"/>
          <w:numId w:val="1004"/>
        </w:numPr>
      </w:pPr>
      <w:r>
        <w:t xml:space="preserve">Yu C., Cai L., Chen J.-Y. Stochastic Modeling of Partially Stirred Reactor (PaSR) for the Investigation of the Turbulence-Chemistry Interaction for the Ammonia-Air Combustion. Flow, Turbulence and Combustion. — 2023. — Vol. 111. — P. 575–597.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Химические реакции, стохастическое горение</dc:title>
  <dc:creator>Озьяс Стев Икнэль Дани</dc:creator>
  <dc:language>ru-RU</dc:language>
  <cp:keywords/>
  <dcterms:created xsi:type="dcterms:W3CDTF">2025-05-28T20:24:50Z</dcterms:created>
  <dcterms:modified xsi:type="dcterms:W3CDTF">2025-05-28T20:24:50Z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Этап 1. Теоретическая модель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