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Научная</w:t>
      </w:r>
      <w:r>
        <w:t xml:space="preserve"> </w:t>
      </w:r>
      <w:r>
        <w:t xml:space="preserve">проблема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Неравновестная</w:t>
      </w:r>
      <w:r>
        <w:t xml:space="preserve"> </w:t>
      </w:r>
      <w:r>
        <w:t xml:space="preserve">агрегация,</w:t>
      </w:r>
      <w:r>
        <w:t xml:space="preserve"> </w:t>
      </w:r>
      <w:r>
        <w:t xml:space="preserve">фракталы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</w:t>
      </w:r>
      <w:r>
        <w:t xml:space="preserve"> </w:t>
      </w:r>
      <w:r>
        <w:t xml:space="preserve">М.,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Е.</w:t>
      </w:r>
      <w:r>
        <w:t xml:space="preserve"> </w:t>
      </w:r>
      <w:r>
        <w:t xml:space="preserve">Д.,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М.</w:t>
      </w:r>
      <w:r>
        <w:t xml:space="preserve"> </w:t>
      </w:r>
      <w:r>
        <w:t xml:space="preserve">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Актуальность</w:t>
      </w:r>
    </w:p>
    <w:p>
      <w:pPr>
        <w:pStyle w:val="BodyText"/>
      </w:pPr>
      <w:r>
        <w:t xml:space="preserve">Существуют разнообразные физические процессы, основная черта которых — неравновесная агрегация. Примеры: образование частиц сажи, рост осадков при электрическом осаждении и распространение воды в нефти. Один из важных примеров фракталов появляется при добыче нефти. Нефтяники через одну из скважин заливают в месторождение нефти воду. Из других скважин начинает выходить нефть. Однако вода распространяется внутри месторождения неравномерно, образуя т.н.</w:t>
      </w:r>
      <w:r>
        <w:t xml:space="preserve"> </w:t>
      </w:r>
      <w:r>
        <w:t xml:space="preserve">“</w:t>
      </w:r>
      <w:r>
        <w:t xml:space="preserve">фьорды</w:t>
      </w:r>
      <w:r>
        <w:t xml:space="preserve">”</w:t>
      </w:r>
      <w:r>
        <w:t xml:space="preserve">. Нефть, находящаяся в этих фьордах не выходит наружу и остается не добытой. Поэтому вместо воды необходимо найти жидкость, для которой эти фьорды будут минимальны.</w:t>
      </w:r>
    </w:p>
    <w:p>
      <w:pPr>
        <w:pStyle w:val="BodyText"/>
      </w:pPr>
      <w:r>
        <w:t xml:space="preserve">Во всех случаях происходит необратимое прилипание частиц к растущему кластеру из-за сильного смещения равновесия в сторону твердой фазы, и вырастают разветвленные агрегаты (рост правильных ограненных кристаллов происходит в условиях, близких к равновесным, когда возможно как прилипание частиц, так и их обратный переход в раствор)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Объект и предмет исследования</w:t>
      </w:r>
    </w:p>
    <w:p>
      <w:pPr>
        <w:numPr>
          <w:ilvl w:val="0"/>
          <w:numId w:val="1001"/>
        </w:numPr>
        <w:pStyle w:val="Compact"/>
      </w:pPr>
      <w:r>
        <w:t xml:space="preserve">Модели неравновесной агрегации</w:t>
      </w:r>
    </w:p>
    <w:p>
      <w:pPr>
        <w:numPr>
          <w:ilvl w:val="0"/>
          <w:numId w:val="1001"/>
        </w:numPr>
        <w:pStyle w:val="Compact"/>
      </w:pPr>
      <w:r>
        <w:t xml:space="preserve">Фрактальная размерность</w:t>
      </w:r>
    </w:p>
    <w:p>
      <w:pPr>
        <w:numPr>
          <w:ilvl w:val="0"/>
          <w:numId w:val="1001"/>
        </w:numPr>
        <w:pStyle w:val="Compact"/>
      </w:pPr>
      <w:r>
        <w:t xml:space="preserve">График зависимости числа частиц в кластере от радиуса гирации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Построить модели неравновесной агрегации и выявить их особенности.</w:t>
      </w:r>
    </w:p>
    <w:p>
      <w:pPr>
        <w:pStyle w:val="BodyText"/>
      </w:pPr>
      <w:r>
        <w:rPr>
          <w:bCs/>
          <w:b/>
        </w:rPr>
        <w:t xml:space="preserve">Задачи</w:t>
      </w:r>
    </w:p>
    <w:p>
      <w:pPr>
        <w:numPr>
          <w:ilvl w:val="0"/>
          <w:numId w:val="1002"/>
        </w:numPr>
        <w:pStyle w:val="Compact"/>
      </w:pPr>
      <w:r>
        <w:t xml:space="preserve">Построить модель агрегации, ограниченной диффузией</w:t>
      </w:r>
    </w:p>
    <w:p>
      <w:pPr>
        <w:numPr>
          <w:ilvl w:val="0"/>
          <w:numId w:val="1002"/>
        </w:numPr>
        <w:pStyle w:val="Compact"/>
      </w:pPr>
      <w:r>
        <w:t xml:space="preserve">Построить модель баллистической агрегации</w:t>
      </w:r>
    </w:p>
    <w:p>
      <w:pPr>
        <w:numPr>
          <w:ilvl w:val="0"/>
          <w:numId w:val="1002"/>
        </w:numPr>
        <w:pStyle w:val="Compact"/>
      </w:pPr>
      <w:r>
        <w:t xml:space="preserve">Найти размерность, получившихся кластеров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зависимости числа частиц в кластере от радиуса гирации</w:t>
      </w:r>
    </w:p>
    <w:bookmarkEnd w:id="20"/>
    <w:bookmarkStart w:id="21" w:name="теоретическое-описание-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описание задачи</w:t>
      </w:r>
    </w:p>
    <w:p>
      <w:pPr>
        <w:pStyle w:val="FirstParagraph"/>
      </w:pPr>
      <w:r>
        <w:rPr>
          <w:bCs/>
          <w:b/>
        </w:rPr>
        <w:t xml:space="preserve">Фрактальная размерность</w:t>
      </w:r>
    </w:p>
    <w:p>
      <w:pPr>
        <w:pStyle w:val="BodyText"/>
      </w:pPr>
      <w:r>
        <w:t xml:space="preserve">Если замкнутую ограниченную область на плоскости покрыть квадратной сеткой со стороной</w:t>
      </w:r>
      <w:r>
        <w:t xml:space="preserve"> </w:t>
      </w:r>
      <m:oMath>
        <m:r>
          <m:t>ϵ</m:t>
        </m:r>
      </m:oMath>
      <w:r>
        <w:t xml:space="preserve">, то минимальное число квадратов со стороной</w:t>
      </w:r>
      <w:r>
        <w:t xml:space="preserve"> </w:t>
      </w:r>
      <m:oMath>
        <m:r>
          <m:t>ϵ</m:t>
        </m:r>
      </m:oMath>
      <w:r>
        <w:t xml:space="preserve">, покрывающих область, будет равно: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ϵ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ϵ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Определим фрактальную размерность исходя из выше изложенного в общем случае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ϵ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ϵ</m:t>
                  </m:r>
                </m:e>
                <m:sup>
                  <m:r>
                    <m:t>d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Возьмем логарифм от левой и правой частей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ln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ϵ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ϵ</m:t>
                  </m:r>
                </m:e>
                <m:sup>
                  <m:r>
                    <m:t>d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s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ϵ</m:t>
                  </m:r>
                </m:den>
              </m:f>
            </m:e>
            <m:sup>
              <m:r>
                <m:t>d</m:t>
              </m:r>
            </m:sup>
          </m:sSup>
          <m:r>
            <m:rPr>
              <m:sty m:val="p"/>
            </m:rPr>
            <m:t>=</m:t>
          </m:r>
          <m:r>
            <m:t>d</m:t>
          </m:r>
          <m:r>
            <m:rPr>
              <m:sty m:val="p"/>
            </m:rPr>
            <m:t>ln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ϵ</m:t>
              </m:r>
            </m:den>
          </m:f>
        </m:oMath>
      </m:oMathPara>
    </w:p>
    <w:p>
      <w:pPr>
        <w:pStyle w:val="FirstParagraph"/>
      </w:pPr>
      <w:r>
        <w:t xml:space="preserve">Переходя к пределу при</w:t>
      </w:r>
      <w:r>
        <w:t xml:space="preserve"> </w:t>
      </w:r>
      <m:oMath>
        <m:r>
          <m:t>ϵ</m:t>
        </m:r>
      </m:oMath>
      <w:r>
        <w:t xml:space="preserve">, стремящемся к нулю (</w:t>
      </w:r>
      <m:oMath>
        <m:r>
          <m:t>N</m:t>
        </m:r>
      </m:oMath>
      <w:r>
        <w:t xml:space="preserve">, стремящемся к бесконечности), получим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ϵ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l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ϵ</m:t>
                          </m:r>
                        </m:e>
                      </m:d>
                    </m:e>
                  </m:d>
                </m:num>
                <m:den>
                  <m:r>
                    <m:t>l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ϵ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>
      <w:pPr>
        <w:pStyle w:val="FirstParagraph"/>
      </w:pPr>
      <w:r>
        <w:t xml:space="preserve">Это равенство является определением размерности, которая обозначается</w:t>
      </w:r>
      <w:r>
        <w:t xml:space="preserve"> </w:t>
      </w:r>
      <m:oMath>
        <m:r>
          <m:t>d</m:t>
        </m:r>
      </m:oMath>
      <w:r>
        <w:t xml:space="preserve">. Для построения зависимости между оценкой радиуса и массы кластера (линейна) на логарифмической диаграмме, функция имеет вид: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ϵ</m:t>
                  </m:r>
                </m:e>
              </m:d>
            </m:e>
          </m:d>
          <m:r>
            <m:rPr>
              <m:sty m:val="p"/>
            </m:rPr>
            <m:t>=</m:t>
          </m:r>
          <m:r>
            <m:t>D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фрактальная размерность,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ϵ</m:t>
            </m:r>
          </m:e>
        </m:d>
      </m:oMath>
      <w:r>
        <w:t xml:space="preserve"> </w:t>
      </w:r>
      <w:r>
        <w:t xml:space="preserve">– число частиц на расстоянии меньшем чем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– радиус</w:t>
      </w:r>
    </w:p>
    <w:p>
      <w:pPr>
        <w:pStyle w:val="BodyText"/>
      </w:pPr>
      <w:r>
        <w:rPr>
          <w:bCs/>
          <w:b/>
        </w:rPr>
        <w:t xml:space="preserve">Агрегация, ограниченная диффузией</w:t>
      </w:r>
    </w:p>
    <w:p>
      <w:pPr>
        <w:pStyle w:val="BodyText"/>
      </w:pPr>
      <w:r>
        <w:t xml:space="preserve">Агрегация, ограниченная диффузией (diffusion-limited aggregation, DLA) — первая модель агрегации, разработанная Виттеном и Сандером в 1981 году. Она представляет шумный рост, ограниченный диффузией. Этот процесс довольно распространен в природе, и простой алгоритм дает хорошее представление о крупномасштабной структуре многих природных объектов.</w:t>
      </w:r>
    </w:p>
    <w:p>
      <w:pPr>
        <w:pStyle w:val="BodyText"/>
      </w:pPr>
      <w:r>
        <w:t xml:space="preserve">Алгоритм следующий: предположим, что мы начинаем с центра зарождения, единственной «частицы» радиуса</w:t>
      </w:r>
      <w:r>
        <w:t xml:space="preserve"> </w:t>
      </w:r>
      <m:oMath>
        <m:r>
          <m:t>a</m:t>
        </m:r>
      </m:oMath>
      <w:r>
        <w:t xml:space="preserve">, которую мы располагаем в начале координат. Затем выпускаем еще одну подобную частицу в случайной точке на некотором расстоянии. Новой частице разрешается диффундировать, т. е. делать шаги длиной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случайных направлениях, пока она не окажется в пределах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от первой. Эту частицу фиксируем на данном месте и далее запускаем второго ходока. Она диффундирует до тех пор, пока не окажется в пределах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от любой из первых частиц, и так далее. Кластер DLA размера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является результатом добавления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частиц к исходному центру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У получающегося кластера может быть много различных форм, преимущественно зависящих от трёх факторов:</w:t>
      </w:r>
    </w:p>
    <w:p>
      <w:pPr>
        <w:numPr>
          <w:ilvl w:val="0"/>
          <w:numId w:val="1003"/>
        </w:numPr>
        <w:pStyle w:val="Compact"/>
      </w:pPr>
      <w:r>
        <w:t xml:space="preserve">положение центра агрегации;</w:t>
      </w:r>
    </w:p>
    <w:p>
      <w:pPr>
        <w:numPr>
          <w:ilvl w:val="0"/>
          <w:numId w:val="1003"/>
        </w:numPr>
        <w:pStyle w:val="Compact"/>
      </w:pPr>
      <w:r>
        <w:t xml:space="preserve">начальное положение движущейся частицы;</w:t>
      </w:r>
    </w:p>
    <w:p>
      <w:pPr>
        <w:numPr>
          <w:ilvl w:val="0"/>
          <w:numId w:val="1003"/>
        </w:numPr>
        <w:pStyle w:val="Compact"/>
      </w:pPr>
      <w:r>
        <w:t xml:space="preserve">алгоритм моделирования движения.</w:t>
      </w:r>
    </w:p>
    <w:p>
      <w:pPr>
        <w:pStyle w:val="FirstParagraph"/>
      </w:pPr>
      <w:r>
        <w:t xml:space="preserve">По алгоритму движения частицы существует два подхода к базовому моделированию DLA. Один работает с фиксированной сеткой, а другой — без сетки и использует частицы. Эта разница отражена во многих методах моделирования. Сетки обеспечивают жесткую структуру, которая упрощает модель. В этом случае частица может двигаться по сетке только к одному из четырех соседей. Работа без сетки дает больше свободы, но обычно создает дополнительную сложность, что может означать, что ее сложнее программировать или требуется больше вычислений.</w:t>
      </w:r>
    </w:p>
    <w:p>
      <w:pPr>
        <w:pStyle w:val="BodyText"/>
      </w:pPr>
      <w:r>
        <w:rPr>
          <w:bCs/>
          <w:b/>
        </w:rPr>
        <w:t xml:space="preserve">Агрегация, ограниченная химический реакцией</w:t>
      </w:r>
    </w:p>
    <w:p>
      <w:pPr>
        <w:pStyle w:val="BodyText"/>
      </w:pPr>
      <w:r>
        <w:t xml:space="preserve">Если необходимо проанализировать процессы, кинетика которых определяется химическим взаимодействием, то обычно рассматривают не равную единице вероятность прилипания частицы к кластеру при столкновении. Эта группа моделей получила название reaction limited aggregation (RLA) — «ограниченная реакцией агрегация».</w:t>
      </w:r>
    </w:p>
    <w:p>
      <w:pPr>
        <w:pStyle w:val="BodyText"/>
      </w:pPr>
      <w:r>
        <w:t xml:space="preserve">Поскольку частицы слипаются лишь после нескольких столкновений, мономер имеет возможность проникнуть глубже внутрь кластера, поэтому формирующиеся агрегаты должны быть более плотными, чем в случае модели DLA. Вероятность прилипания к единственному соседу должна быть меньше, чем к двум, так как в последнем случае могут образоваться две связи. Очевидно, что связь тем прочнее, чем больше соседей у данной частицы. Поэтому вероятность прилипания должна увеличиваться при росте числа занятых соседних узлов. Повышение вероятности прилипания частицы к точкам кластера, характеризующимся более высокой локальной плотностью, также способствует его более компактному росту. Действительно, введение в модель указанных изменений в совокупности с постепенным уменьшением вероятности реакции приводит к непрерывному увеличению фрактальной размерности кластеров вплоть до размерности пространства.</w:t>
      </w:r>
    </w:p>
    <w:p>
      <w:pPr>
        <w:pStyle w:val="BodyText"/>
      </w:pPr>
      <w:r>
        <w:rPr>
          <w:bCs/>
          <w:b/>
        </w:rPr>
        <w:t xml:space="preserve">Баллистическая агрегация</w:t>
      </w:r>
    </w:p>
    <w:p>
      <w:pPr>
        <w:pStyle w:val="BodyText"/>
      </w:pPr>
      <w:r>
        <w:t xml:space="preserve">Баллистическая модель (Ballistic particle-cluster aggregation, BPCA) похожа на модель агрегации, ограниченной диффузией. Отличие состоит в том, что зародившееся частица, двигается по прямой в случайно выбранном направлении до столкновения с частицей и последующей агрегацией. Особенностью данной модели является высокая скорость вычислений, так как направление выбирается один раз и частица агрегируется или выходит за границы радиуса уничтожения намного быстрее. Итоговая структура, сгенерированная при помощи данного метода, получается более плотной, чем при использовании DLA, поскольку в алгоритме частица движется прямолинейно, а не моделирует броуновское движение, которое вносит большую разветвленность в структуру</w:t>
      </w:r>
      <w:r>
        <w:t xml:space="preserve">[3]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Кластер-кластерная агрегация</w:t>
      </w:r>
    </w:p>
    <w:p>
      <w:pPr>
        <w:pStyle w:val="BodyText"/>
      </w:pPr>
      <w:r>
        <w:t xml:space="preserve">Дальнейшим развитием модели DLA являлась модель кластер-кластерной агрегации, ограниченной диффузией (diffusion-limited cluster aggregation, DLCA), которая относится к классу моделей</w:t>
      </w:r>
      <w:r>
        <w:t xml:space="preserve"> </w:t>
      </w:r>
      <w:r>
        <w:t xml:space="preserve">“</w:t>
      </w:r>
      <w:r>
        <w:t xml:space="preserve">кластер-кластер</w:t>
      </w:r>
      <w:r>
        <w:t xml:space="preserve">”</w:t>
      </w:r>
      <w:r>
        <w:t xml:space="preserve">. В модели DLCA на поле располагаются подвижные частицы в соответствии с пористостью образца. Частицы совершают хаотичное движение, агрегируя друг с другом при столкновении, пока не образуют единую структуру - кластер, который также движется и может агрегироваться с другими кластерами</w:t>
      </w:r>
      <w:r>
        <w:t xml:space="preserve">[3]</w:t>
      </w:r>
      <w:r>
        <w:t xml:space="preserve">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первого этапа группового проекта мы сделали теоретическое описание моделей неравновесной агрегации и определили задачи дальнейшего исследования.</w:t>
      </w:r>
    </w:p>
    <w:bookmarkEnd w:id="22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Start w:id="23" w:name="ref-medved:201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Медведев Д.А. и др.</w:t>
      </w:r>
      <w:r>
        <w:t xml:space="preserve"> </w:t>
      </w:r>
      <w:r>
        <w:t xml:space="preserve">Моделирование физических процессов и явлений на ПК: Учеб. пособие</w:t>
      </w:r>
      <w:r>
        <w:t xml:space="preserve">. Новосибирск: Новосиб. гос. ун-т, 2010. 101 с.</w:t>
      </w:r>
    </w:p>
    <w:bookmarkEnd w:id="23"/>
    <w:bookmarkStart w:id="24" w:name="ref-sander:200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Sander L.M.</w:t>
      </w:r>
      <w:r>
        <w:t xml:space="preserve"> </w:t>
      </w:r>
      <w:r>
        <w:t xml:space="preserve">Diffusion-limited aggregation: A kinetic critical phenomenon?</w:t>
      </w:r>
      <w:r>
        <w:t xml:space="preserve"> Contemporary Physics, 2000.</w:t>
      </w:r>
    </w:p>
    <w:bookmarkEnd w:id="24"/>
    <w:bookmarkStart w:id="25" w:name="ref-rlavsdla:2017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Тыртышников А.Ю. и др.</w:t>
      </w:r>
      <w:r>
        <w:t xml:space="preserve"> </w:t>
      </w:r>
      <w:r>
        <w:t xml:space="preserve">Сравнение алгоритмов DLA и RLA при моделировании пористых структур</w:t>
      </w:r>
      <w:r>
        <w:t xml:space="preserve">. НИИ «Центрпрограммсистем», 2017. 244 с.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1</dc:title>
  <dc:creator>Беличева Д. М.,; Демидова Е. А.,; Смирнов-Мальцев Е. Д.,; Сунгурова М. М.</dc:creator>
  <dc:language>ru-RU</dc:language>
  <cp:keywords/>
  <dcterms:created xsi:type="dcterms:W3CDTF">2024-02-24T14:47:41Z</dcterms:created>
  <dcterms:modified xsi:type="dcterms:W3CDTF">2024-02-24T14:47:41Z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Научная проблема проекта Неравновестная агрегация, фракталы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