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5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решения</w:t>
      </w:r>
      <w:r>
        <w:t xml:space="preserve"> </w:t>
      </w:r>
      <w:r>
        <w:t xml:space="preserve">задачи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Д.,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Рассмотреть алгоритм моделирования агрегации, ограниченной диффузией(DLA) на сетке.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Описать алгоритм моделирования DLA</w:t>
      </w:r>
    </w:p>
    <w:p>
      <w:pPr>
        <w:numPr>
          <w:ilvl w:val="0"/>
          <w:numId w:val="1001"/>
        </w:numPr>
        <w:pStyle w:val="Compact"/>
      </w:pPr>
      <w:r>
        <w:t xml:space="preserve">Описать алгоритм реализации DLA на сетке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3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описание-алгоритм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алгоритма</w:t>
      </w:r>
    </w:p>
    <w:p>
      <w:pPr>
        <w:pStyle w:val="FirstParagraph"/>
      </w:pPr>
      <w:r>
        <w:t xml:space="preserve">Рассматрим сеточную модель агрегации, ограниченной диффузией (Diffusion</w:t>
      </w:r>
      <w:r>
        <w:t xml:space="preserve"> </w:t>
      </w:r>
      <w:r>
        <w:t xml:space="preserve">Limited Aggregation, DLA</w:t>
      </w:r>
      <w:r>
        <w:t xml:space="preserve"> </w:t>
      </w:r>
      <w:r>
        <w:t xml:space="preserve">[1]</w:t>
      </w:r>
      <w:r>
        <w:t xml:space="preserve">).</w:t>
      </w:r>
    </w:p>
    <w:p>
      <w:pPr>
        <w:pStyle w:val="BodyText"/>
      </w:pPr>
      <w:r>
        <w:t xml:space="preserve">Возьмем регулярную квадратную сетку на плоскости.</w:t>
      </w:r>
      <w:r>
        <w:t xml:space="preserve"> </w:t>
      </w:r>
      <w:r>
        <w:t xml:space="preserve">В центр поместим затравочную частицу. Затем с расстояния чуть больше желаемого максимального радиуса итогового агрегата будем выпускать по одной новые частицы. Выпущенная частица совершает случайные блуждания по сетке, делая шаги в одном из четырех доступных направлений с равной вероятностью. Если частица оказывается по соседству с затравкой, она прилипает и остается в этом узле. Затем выпускаем следующую частицу, которая может прилипнуть к одному из занятых узлов. Шаг решетки в этой модели соответствует диаметру частицы(мы рассматриваем единичный шаг)(рис. ??).</w:t>
      </w:r>
    </w:p>
    <w:p>
      <w:pPr>
        <w:pStyle w:val="CaptionedFigure"/>
      </w:pPr>
      <w:r>
        <w:drawing>
          <wp:inline>
            <wp:extent cx="5334000" cy="9837707"/>
            <wp:effectExtent b="0" l="0" r="0" t="0"/>
            <wp:docPr descr="Блок-схема алгоритма модели DLA" title="fig:" id="23" name="Picture"/>
            <a:graphic>
              <a:graphicData uri="http://schemas.openxmlformats.org/drawingml/2006/picture">
                <pic:pic>
                  <pic:nvPicPr>
                    <pic:cNvPr descr="image/DL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Блок-схема алгоритма модели DLA</w:t>
      </w:r>
    </w:p>
    <w:bookmarkEnd w:id="25"/>
    <w:bookmarkStart w:id="29" w:name="описание-алгоритма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алгоритма</w:t>
      </w:r>
    </w:p>
    <w:p>
      <w:pPr>
        <w:pStyle w:val="FirstParagraph"/>
      </w:pPr>
      <w:r>
        <w:t xml:space="preserve">При реализации будем хранить информацию о частицах в массиве, если частица есть – соответсвующий элемент матрицы равен один, если нет – ноль. Помещаем частицу в центр поля. Новые частицы будем считать, чтобы можно было остановить программу при их желаемом количестве. Для запуска частицы используем функцию randomAtRadius, а для проверки положения частицы и её случайного блуждания checkAround. Новая частица запускается, когда текущая оказывается рядом с уже занятой клеткой. Программа прекращает работу либо если уже было запущено достаточное количество частиц, либо если агрегат достиг максимального радиуса(рис. ??).</w:t>
      </w:r>
    </w:p>
    <w:p>
      <w:pPr>
        <w:pStyle w:val="CaptionedFigure"/>
      </w:pPr>
      <w:r>
        <w:drawing>
          <wp:inline>
            <wp:extent cx="5334000" cy="8376804"/>
            <wp:effectExtent b="0" l="0" r="0" t="0"/>
            <wp:docPr descr="Блок-схема алгоритма реализации модели DLA" title="fig:" id="27" name="Picture"/>
            <a:graphic>
              <a:graphicData uri="http://schemas.openxmlformats.org/drawingml/2006/picture">
                <pic:pic>
                  <pic:nvPicPr>
                    <pic:cNvPr descr="image/dla_al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Блок-схема алгоритма реализации модели DLA</w:t>
      </w:r>
    </w:p>
    <w:bookmarkEnd w:id="29"/>
    <w:bookmarkStart w:id="33" w:name="описание-алгоритма-выпускания-частиц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Описание алгоритма выпускания частицы</w:t>
      </w:r>
    </w:p>
    <w:p>
      <w:pPr>
        <w:pStyle w:val="FirstParagraph"/>
      </w:pPr>
      <w:r>
        <w:t xml:space="preserve">Для ускорения работы программы разумно выпускать частицы с круга радиусом немного больше Rmax текущего максимального радиуса агрегата. Функция генерирует случайное расположение точки на заданном радиусе по формуле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– случайный угол 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2</m:t>
        </m:r>
        <m:r>
          <m:t>π</m:t>
        </m:r>
      </m:oMath>
      <w:r>
        <w:t xml:space="preserve">, заданный формулой:</w:t>
      </w:r>
      <w:r>
        <w:t xml:space="preserve"> </w:t>
      </w:r>
      <m:oMath>
        <m:r>
          <m:t>2</m:t>
        </m:r>
        <m:r>
          <m:t>π</m:t>
        </m:r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</m:oMath>
      <w:r>
        <w:t xml:space="preserve">(рис. ??).</w:t>
      </w:r>
    </w:p>
    <w:p>
      <w:pPr>
        <w:pStyle w:val="CaptionedFigure"/>
      </w:pPr>
      <w:r>
        <w:drawing>
          <wp:inline>
            <wp:extent cx="2425700" cy="4838700"/>
            <wp:effectExtent b="0" l="0" r="0" t="0"/>
            <wp:docPr descr="Блок-схема алгоритма выпускания частицы" title="fig:" id="31" name="Picture"/>
            <a:graphic>
              <a:graphicData uri="http://schemas.openxmlformats.org/drawingml/2006/picture">
                <pic:pic>
                  <pic:nvPicPr>
                    <pic:cNvPr descr="image/randomAtRadiu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Блок-схема алгоритма выпускания частицы</w:t>
      </w:r>
    </w:p>
    <w:bookmarkEnd w:id="33"/>
    <w:bookmarkStart w:id="34" w:name="случайное-блуждан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Случайное блуждане</w:t>
      </w:r>
    </w:p>
    <w:p>
      <w:pPr>
        <w:pStyle w:val="FirstParagraph"/>
      </w:pPr>
      <w:r>
        <w:t xml:space="preserve">Рассмотрим целочисленную решётку</w:t>
      </w:r>
      <w:r>
        <w:t xml:space="preserve"> </w:t>
      </w:r>
      <m:oMath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на плоскости с отмеченной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∈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– началом координат. Каждой точке решётки соответствуют четыре точки, в которые можно из неё шагнуть по выходящим из неё ребрам: мы будем обозначать эти точки</w:t>
      </w:r>
      <w:r>
        <w:t xml:space="preserve"> </w:t>
      </w:r>
      <m:oMath>
        <m:sSup>
          <m:e>
            <m:r>
              <m:t>v</m:t>
            </m:r>
          </m:e>
          <m:sup>
            <m:r>
              <m:t>u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l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для шагов направо, налево, вверх и вниз соответственно.</w:t>
      </w:r>
      <w:r>
        <w:t xml:space="preserve"> </w:t>
      </w:r>
      <w:r>
        <w:t xml:space="preserve">Случайное блуждание – это недетерминированное передвижение по решетке Z^2: стартуя из нуля, мы делаем один шаг в секунду, переходя в одну из соседних вершин к той вершине, в которой мы находились в предыдуший момент. При этом решение, в какую вершину шагнуть, принимается случайным образом.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p>
          <m:e>
            <m:r>
              <m:t>v</m:t>
            </m:r>
          </m:e>
          <m:sup>
            <m:r>
              <m:t>u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l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- шаг на 1 вверх, вниз, влево, вправо соответственно.</w:t>
      </w:r>
    </w:p>
    <w:p>
      <w:pPr>
        <w:pStyle w:val="BodyText"/>
      </w:pPr>
      <m:oMath>
        <m:r>
          <m:rPr>
            <m:sty m:val="p"/>
          </m:rPr>
          <m:t>{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- ряд, описывающий случайное блуждание,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l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шагов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v</m:t>
                  </m:r>
                </m:e>
                <m:sub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v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Sup>
                <m:e>
                  <m:r>
                    <m:t>v</m:t>
                  </m:r>
                </m:e>
                <m:sub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bookmarkEnd w:id="34"/>
    <w:bookmarkStart w:id="38" w:name="описание-алгоритма-движения-частиц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Описание алгоритма движения частицы</w:t>
      </w:r>
    </w:p>
    <w:p>
      <w:pPr>
        <w:pStyle w:val="FirstParagraph"/>
      </w:pPr>
      <w:r>
        <w:t xml:space="preserve">Эта функция проверяет местоположение частицы, чтобы убедиться, что она не находится на краю квадрата.</w:t>
      </w:r>
      <w:r>
        <w:t xml:space="preserve"> </w:t>
      </w:r>
      <w:r>
        <w:t xml:space="preserve">Если не на краю, то проверяется периметр (вверх, вниз, влево, вправо). Булевым переменным foundFriend, exitCircle, nearEdge присваивается значение TRUE, если выполняются соответствующие условия:</w:t>
      </w:r>
      <w:r>
        <w:t xml:space="preserve"> </w:t>
      </w:r>
      <w:r>
        <w:t xml:space="preserve">Сначала проверяется, находится ли частица у края(nearEdge). Если частица не находится рядом с краем, проверяется, не находится ли она рядом с соседом(foundfriend ) или не достигла ли она требуемого радиуса(exitCircle).</w:t>
      </w:r>
      <w:r>
        <w:t xml:space="preserve"> </w:t>
      </w:r>
      <w:r>
        <w:t xml:space="preserve">После проверки местоположения, если оно хорошее, начинается случайное диффундирование — определяется новое местоположение.</w:t>
      </w:r>
      <w:r>
        <w:t xml:space="preserve"> </w:t>
      </w:r>
      <w:r>
        <w:t xml:space="preserve">Функция возвращает новое местоположение(X,Y), foundFriend (BOOLEAN), nearEdge (BOOLEAN), exitCircle(BOOLEAN)(рис. ??).</w:t>
      </w:r>
    </w:p>
    <w:p>
      <w:pPr>
        <w:pStyle w:val="CaptionedFigure"/>
      </w:pPr>
      <w:r>
        <w:drawing>
          <wp:inline>
            <wp:extent cx="5334000" cy="3158735"/>
            <wp:effectExtent b="0" l="0" r="0" t="0"/>
            <wp:docPr descr="Блок-схема алгоритма движения частицы" title="fig:" id="36" name="Picture"/>
            <a:graphic>
              <a:graphicData uri="http://schemas.openxmlformats.org/drawingml/2006/picture">
                <pic:pic>
                  <pic:nvPicPr>
                    <pic:cNvPr descr="image/checkAroun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Блок-схема алгоритма движения частицы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выполнение второго этапа проекта мы описали алгоритм DLA и алгоритм реализации этой модели с помощью блок-схем.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1" w:name="ref-sander:200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Sander L.M.</w:t>
      </w:r>
      <w:r>
        <w:t xml:space="preserve"> </w:t>
      </w:r>
      <w:r>
        <w:t xml:space="preserve">Diffusion-limited aggregation: A kinetic critical phenomenon?</w:t>
      </w:r>
      <w:r>
        <w:t xml:space="preserve"> Contemporary Physics, 2000.</w:t>
      </w:r>
    </w:p>
    <w:bookmarkEnd w:id="41"/>
    <w:bookmarkStart w:id="42" w:name="ref-medved:201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Медведев Д.А. и др.</w:t>
      </w:r>
      <w:r>
        <w:t xml:space="preserve"> </w:t>
      </w:r>
      <w:r>
        <w:t xml:space="preserve">Моделирование физических процессов и явлений на ПК: Учеб. пособие</w:t>
      </w:r>
      <w:r>
        <w:t xml:space="preserve">. Новосибирск: Новосиб. гос. ун-т, 2010. 101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2</dc:title>
  <dc:creator>Беличева Д. М.,; Демидова Е. А.,; Смирнов-Мальцев Е. Д.,; Сунгурова М. М.</dc:creator>
  <dc:language>ru-RU</dc:language>
  <cp:keywords/>
  <dcterms:created xsi:type="dcterms:W3CDTF">2024-03-02T15:43:41Z</dcterms:created>
  <dcterms:modified xsi:type="dcterms:W3CDTF">2024-03-02T15:43:41Z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Алгоритм решения задачи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