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Ransomware Incident Investigation</w:t>
      </w:r>
    </w:p>
    <w:p>
      <w:pPr>
        <w:spacing w:after="4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Incident Handler’s Journal — Entry 1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Portfolio Activity | Google Cybersecurity Certificate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Entry Details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Date: </w:t>
      </w:r>
      <w:r>
        <w:rPr>
          <w:rFonts w:ascii="Arial" w:cs="Arial" w:eastAsia="Arial" w:hAnsi="Arial"/>
          <w:sz w:val="24"/>
          <w:szCs w:val="24"/>
        </w:rPr>
        <w:t xml:space="preserve">May 29, 2026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Entry: </w:t>
      </w:r>
      <w:r>
        <w:rPr>
          <w:rFonts w:ascii="Arial" w:cs="Arial" w:eastAsia="Arial" w:hAnsi="Arial"/>
          <w:sz w:val="24"/>
          <w:szCs w:val="24"/>
        </w:rPr>
        <w:t xml:space="preserve">1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Used: </w:t>
      </w:r>
      <w:r>
        <w:rPr>
          <w:rFonts w:ascii="Arial" w:cs="Arial" w:eastAsia="Arial" w:hAnsi="Arial"/>
          <w:sz w:val="24"/>
          <w:szCs w:val="24"/>
        </w:rPr>
        <w:t xml:space="preserve">None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Description</w:t>
      </w:r>
    </w:p>
    <w:p>
      <w:pPr>
        <w:spacing w:after="300"/>
      </w:pPr>
      <w:r>
        <w:rPr>
          <w:rFonts w:ascii="Arial" w:cs="Arial" w:eastAsia="Arial" w:hAnsi="Arial"/>
          <w:sz w:val="24"/>
          <w:szCs w:val="24"/>
        </w:rPr>
        <w:t xml:space="preserve">A ransomware attack was launched against a U.S. healthcare clinic, encrypting critical files and disrupting business operations. The incident was investigated to identify the cause, impact, and response actions taken.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The 5 W’s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Who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An organized group of unethical hackers known to target healthcare and transportation organizations.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What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 ransomware attack that encrypted the clinic’s files. Employees could not access medical records or software. A ransom note demanded payment for the decryption key.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When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Tuesday morning at approximately 9:00 a.m.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Where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 small U.S. health care clinic’s internal computer systems and network.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Why</w:t>
      </w:r>
    </w:p>
    <w:p>
      <w:pPr>
        <w:spacing w:after="300"/>
      </w:pPr>
      <w:r>
        <w:rPr>
          <w:rFonts w:ascii="Arial" w:cs="Arial" w:eastAsia="Arial" w:hAnsi="Arial"/>
          <w:sz w:val="24"/>
          <w:szCs w:val="24"/>
        </w:rPr>
        <w:t xml:space="preserve">The attackers gained access through phishing emails containing malicious attachments. Once downloaded, ransomware was deployed encrypting all critical files.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Additional Notes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It is important for organizations to train employees to identify phishing emails. Implementing email filtering tools and regular security awareness training could have prevented the initial infection.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2026-05-30T03:11:48.946Z</dcterms:created>
  <dcterms:modified xsi:type="dcterms:W3CDTF">2026-05-30T03:11:48.946Z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