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0" w:firstLine="0"/>
        <w:rPr>
          <w:rFonts w:ascii="Verdana" w:cs="Verdana" w:eastAsia="Verdana" w:hAnsi="Verdana"/>
          <w:sz w:val="18"/>
          <w:szCs w:val="18"/>
          <w:u w:val="none"/>
        </w:rPr>
      </w:pPr>
      <w:r w:rsidDel="00000000" w:rsidR="00000000" w:rsidRPr="00000000">
        <w:rPr>
          <w:rFonts w:ascii="Verdana" w:cs="Verdana" w:eastAsia="Verdana" w:hAnsi="Verdana"/>
          <w:sz w:val="18"/>
          <w:szCs w:val="18"/>
          <w:rtl w:val="0"/>
        </w:rPr>
        <w:t xml:space="preserve">CONTRAT DE SERVICES DE PAIEMENTS DIGITAUX</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before="1" w:lineRule="auto"/>
        <w:rPr>
          <w:rFonts w:ascii="Verdana" w:cs="Verdana" w:eastAsia="Verdana" w:hAnsi="Verdana"/>
          <w:b w:val="1"/>
          <w:sz w:val="18"/>
          <w:szCs w:val="18"/>
        </w:rPr>
      </w:pPr>
      <w:r w:rsidDel="00000000" w:rsidR="00000000" w:rsidRPr="00000000">
        <w:rPr>
          <w:rtl w:val="0"/>
        </w:rPr>
      </w:r>
    </w:p>
    <w:p w:rsidR="00000000" w:rsidDel="00000000" w:rsidP="00000000" w:rsidRDefault="00000000" w:rsidRPr="00000000" w14:paraId="00000003">
      <w:pPr>
        <w:ind w:left="116" w:firstLine="0"/>
        <w:jc w:val="both"/>
        <w:rPr>
          <w:rFonts w:ascii="Verdana" w:cs="Verdana" w:eastAsia="Verdana" w:hAnsi="Verdana"/>
          <w:b w:val="1"/>
          <w:sz w:val="18"/>
          <w:szCs w:val="18"/>
          <w:u w:val="single"/>
        </w:rPr>
      </w:pPr>
      <w:r w:rsidDel="00000000" w:rsidR="00000000" w:rsidRPr="00000000">
        <w:rPr>
          <w:rtl w:val="0"/>
        </w:rPr>
      </w:r>
    </w:p>
    <w:p w:rsidR="00000000" w:rsidDel="00000000" w:rsidP="00000000" w:rsidRDefault="00000000" w:rsidRPr="00000000" w14:paraId="00000004">
      <w:pPr>
        <w:ind w:left="116" w:firstLine="0"/>
        <w:jc w:val="both"/>
        <w:rPr>
          <w:rFonts w:ascii="Verdana" w:cs="Verdana" w:eastAsia="Verdana" w:hAnsi="Verdana"/>
          <w:sz w:val="18"/>
          <w:szCs w:val="18"/>
        </w:rPr>
      </w:pPr>
      <w:r w:rsidDel="00000000" w:rsidR="00000000" w:rsidRPr="00000000">
        <w:rPr>
          <w:rFonts w:ascii="Verdana" w:cs="Verdana" w:eastAsia="Verdana" w:hAnsi="Verdana"/>
          <w:b w:val="1"/>
          <w:sz w:val="18"/>
          <w:szCs w:val="18"/>
          <w:u w:val="single"/>
          <w:rtl w:val="0"/>
        </w:rPr>
        <w:t xml:space="preserve">Entre </w:t>
      </w:r>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005">
      <w:pPr>
        <w:pBdr>
          <w:top w:space="0" w:sz="0" w:val="nil"/>
          <w:left w:space="0" w:sz="0" w:val="nil"/>
          <w:bottom w:space="0" w:sz="0" w:val="nil"/>
          <w:right w:space="0" w:sz="0" w:val="nil"/>
          <w:between w:space="0" w:sz="0" w:val="nil"/>
        </w:pBd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6" w:right="2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PAYDUNYA SERVICES CI SAS,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Société par Actions Simplifiée de droit Ivoirien au capital de 10.000.000 FCFA dont le siège social est au lot n° 292 ilot 26 Akuedo Palmeraie  COCODY Triangle , Abidjan, immatriculée au registre du Commerce sous le numéro CI-ABJ-2019-B-16949 représentée par son Président, Monsieur Aziz Y. YERIMA N.</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line="273" w:lineRule="auto"/>
        <w:ind w:left="116" w:right="216"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line="273" w:lineRule="auto"/>
        <w:ind w:left="116" w:right="216" w:firstLine="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Dénommée ci-après </w:t>
      </w:r>
      <w:r w:rsidDel="00000000" w:rsidR="00000000" w:rsidRPr="00000000">
        <w:rPr>
          <w:rFonts w:ascii="Verdana" w:cs="Verdana" w:eastAsia="Verdana" w:hAnsi="Verdana"/>
          <w:b w:val="1"/>
          <w:sz w:val="18"/>
          <w:szCs w:val="18"/>
          <w:rtl w:val="0"/>
        </w:rPr>
        <w:t xml:space="preserve">« PayDunya»</w:t>
      </w:r>
      <w:r w:rsidDel="00000000" w:rsidR="00000000" w:rsidRPr="00000000">
        <w:rPr>
          <w:rFonts w:ascii="Verdana" w:cs="Verdana" w:eastAsia="Verdana" w:hAnsi="Verdana"/>
          <w:sz w:val="18"/>
          <w:szCs w:val="18"/>
          <w:rtl w:val="0"/>
        </w:rPr>
        <w:t xml:space="preserve">, d’une part</w:t>
      </w:r>
    </w:p>
    <w:p w:rsidR="00000000" w:rsidDel="00000000" w:rsidP="00000000" w:rsidRDefault="00000000" w:rsidRPr="00000000" w14:paraId="00000009">
      <w:pPr>
        <w:spacing w:before="110" w:line="159" w:lineRule="auto"/>
        <w:ind w:left="116" w:firstLine="0"/>
        <w:rPr>
          <w:rFonts w:ascii="Verdana" w:cs="Verdana" w:eastAsia="Verdana" w:hAnsi="Verdana"/>
          <w:sz w:val="18"/>
          <w:szCs w:val="18"/>
        </w:rPr>
      </w:pPr>
      <w:r w:rsidDel="00000000" w:rsidR="00000000" w:rsidRPr="00000000">
        <w:rPr>
          <w:rFonts w:ascii="Verdana" w:cs="Verdana" w:eastAsia="Verdana" w:hAnsi="Verdana"/>
          <w:b w:val="1"/>
          <w:sz w:val="18"/>
          <w:szCs w:val="18"/>
          <w:u w:val="single"/>
          <w:rtl w:val="0"/>
        </w:rPr>
        <w:t xml:space="preserve">Et</w:t>
      </w:r>
      <w:r w:rsidDel="00000000" w:rsidR="00000000" w:rsidRPr="00000000">
        <w:rPr>
          <w:rFonts w:ascii="Verdana" w:cs="Verdana" w:eastAsia="Verdana" w:hAnsi="Verdana"/>
          <w:b w:val="1"/>
          <w:sz w:val="18"/>
          <w:szCs w:val="18"/>
          <w:rtl w:val="0"/>
        </w:rPr>
        <w:t xml:space="preserve"> </w:t>
      </w:r>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00A">
      <w:pPr>
        <w:spacing w:before="110" w:line="159" w:lineRule="auto"/>
        <w:ind w:left="116" w:firstLine="0"/>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before="1" w:lineRule="auto"/>
        <w:rPr>
          <w:rFonts w:ascii="Verdana" w:cs="Verdana" w:eastAsia="Verdana" w:hAnsi="Verdana"/>
          <w:b w:val="1"/>
          <w:sz w:val="18"/>
          <w:szCs w:val="18"/>
        </w:rPr>
      </w:pPr>
      <w:r w:rsidDel="00000000" w:rsidR="00000000" w:rsidRPr="00000000">
        <w:rPr>
          <w:rFonts w:ascii="Verdana" w:cs="Verdana" w:eastAsia="Verdana" w:hAnsi="Verdana"/>
          <w:sz w:val="18"/>
          <w:szCs w:val="18"/>
          <w:rtl w:val="0"/>
        </w:rPr>
        <w:t xml:space="preserve">   Dénomination Sociale :  </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before="1"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Capital social :  </w:t>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before="1"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Siège Social /Adresse :  </w:t>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before="1"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Registre du Commerce et au Crédit Mobilier :  </w:t>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before="1"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Représentée par :  </w:t>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before="1"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En qualité de : </w:t>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before="1" w:lineRule="auto"/>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12">
      <w:pPr>
        <w:ind w:left="116" w:firstLine="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Dénommée ci-après </w:t>
      </w:r>
      <w:r w:rsidDel="00000000" w:rsidR="00000000" w:rsidRPr="00000000">
        <w:rPr>
          <w:rFonts w:ascii="Verdana" w:cs="Verdana" w:eastAsia="Verdana" w:hAnsi="Verdana"/>
          <w:b w:val="1"/>
          <w:sz w:val="18"/>
          <w:szCs w:val="18"/>
          <w:rtl w:val="0"/>
        </w:rPr>
        <w:t xml:space="preserve">« Partenaire »</w:t>
      </w:r>
      <w:r w:rsidDel="00000000" w:rsidR="00000000" w:rsidRPr="00000000">
        <w:rPr>
          <w:rFonts w:ascii="Verdana" w:cs="Verdana" w:eastAsia="Verdana" w:hAnsi="Verdana"/>
          <w:sz w:val="18"/>
          <w:szCs w:val="18"/>
          <w:rtl w:val="0"/>
        </w:rPr>
        <w:t xml:space="preserve">, d’autre part</w:t>
      </w:r>
    </w:p>
    <w:p w:rsidR="00000000" w:rsidDel="00000000" w:rsidP="00000000" w:rsidRDefault="00000000" w:rsidRPr="00000000" w14:paraId="00000013">
      <w:pPr>
        <w:pBdr>
          <w:top w:space="0" w:sz="0" w:val="nil"/>
          <w:left w:space="0" w:sz="0" w:val="nil"/>
          <w:bottom w:space="0" w:sz="0" w:val="nil"/>
          <w:right w:space="0" w:sz="0" w:val="nil"/>
          <w:between w:space="0" w:sz="0" w:val="nil"/>
        </w:pBdr>
        <w:jc w:val="center"/>
        <w:rPr>
          <w:rFonts w:ascii="Verdana" w:cs="Verdana" w:eastAsia="Verdana" w:hAnsi="Verdana"/>
          <w:b w:val="1"/>
          <w:sz w:val="18"/>
          <w:szCs w:val="18"/>
        </w:rPr>
        <w:sectPr>
          <w:headerReference r:id="rId7" w:type="default"/>
          <w:footerReference r:id="rId8" w:type="default"/>
          <w:pgSz w:h="16840" w:w="11910" w:orient="portrait"/>
          <w:pgMar w:bottom="920" w:top="1900" w:left="1300" w:right="1200" w:header="0" w:footer="734"/>
          <w:pgNumType w:start="1"/>
        </w:sectPr>
      </w:pPr>
      <w:r w:rsidDel="00000000" w:rsidR="00000000" w:rsidRPr="00000000">
        <w:rPr>
          <w:rFonts w:ascii="Verdana" w:cs="Verdana" w:eastAsia="Verdana" w:hAnsi="Verdana"/>
          <w:b w:val="1"/>
          <w:sz w:val="18"/>
          <w:szCs w:val="18"/>
          <w:rtl w:val="0"/>
        </w:rPr>
        <w:t xml:space="preserve">Il a été convenu et arrêté ce qui suit :</w:t>
      </w:r>
    </w:p>
    <w:p w:rsidR="00000000" w:rsidDel="00000000" w:rsidP="00000000" w:rsidRDefault="00000000" w:rsidRPr="00000000" w14:paraId="00000014">
      <w:pP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15">
      <w:pP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     ARTICLE 1 : OBJET </w:t>
      </w:r>
    </w:p>
    <w:p w:rsidR="00000000" w:rsidDel="00000000" w:rsidP="00000000" w:rsidRDefault="00000000" w:rsidRPr="00000000" w14:paraId="00000017">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Le présent contrat a pour objet de déterminer les modalités et conditions par lesquelles le Partenaire pourra bénéficier des services de PayDunya. </w:t>
      </w:r>
    </w:p>
    <w:p w:rsidR="00000000" w:rsidDel="00000000" w:rsidP="00000000" w:rsidRDefault="00000000" w:rsidRPr="00000000" w14:paraId="00000019">
      <w:pPr>
        <w:pBdr>
          <w:top w:space="0" w:sz="0" w:val="nil"/>
          <w:left w:space="0" w:sz="0" w:val="nil"/>
          <w:bottom w:space="0" w:sz="0" w:val="nil"/>
          <w:right w:space="0" w:sz="0" w:val="nil"/>
          <w:between w:space="0" w:sz="0" w:val="nil"/>
        </w:pBdr>
        <w:ind w:right="39"/>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ind w:right="39"/>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ind w:left="116" w:right="39" w:firstLine="0"/>
        <w:jc w:val="both"/>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ARTICLE 2 : DEFINITIONS </w:t>
      </w:r>
    </w:p>
    <w:p w:rsidR="00000000" w:rsidDel="00000000" w:rsidP="00000000" w:rsidRDefault="00000000" w:rsidRPr="00000000" w14:paraId="0000001C">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 </w:t>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Dans le cadre du présent contrat les termes ci-après auront le sens qui leur est donné dans les définitions susvisées : </w:t>
      </w:r>
    </w:p>
    <w:p w:rsidR="00000000" w:rsidDel="00000000" w:rsidP="00000000" w:rsidRDefault="00000000" w:rsidRPr="00000000" w14:paraId="0000001E">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1F">
      <w:pPr>
        <w:rPr>
          <w:rFonts w:ascii="Verdana" w:cs="Verdana" w:eastAsia="Verdana" w:hAnsi="Verdana"/>
          <w:sz w:val="18"/>
          <w:szCs w:val="18"/>
        </w:rPr>
      </w:pPr>
      <w:r w:rsidDel="00000000" w:rsidR="00000000" w:rsidRPr="00000000">
        <w:fldChar w:fldCharType="begin"/>
        <w:instrText xml:space="preserve"> HYPERLINK "https://ecfr.eu/special/african-cooperation/cemac/" </w:instrText>
        <w:fldChar w:fldCharType="separate"/>
      </w:r>
      <w:r w:rsidDel="00000000" w:rsidR="00000000" w:rsidRPr="00000000">
        <w:rPr>
          <w:rtl w:val="0"/>
        </w:rPr>
      </w:r>
    </w:p>
    <w:p w:rsidR="00000000" w:rsidDel="00000000" w:rsidP="00000000" w:rsidRDefault="00000000" w:rsidRPr="00000000" w14:paraId="00000020">
      <w:pPr>
        <w:pStyle w:val="Heading3"/>
        <w:spacing w:after="45" w:before="0" w:lineRule="auto"/>
        <w:ind w:left="60" w:firstLine="0"/>
        <w:rPr>
          <w:rFonts w:ascii="Verdana" w:cs="Verdana" w:eastAsia="Verdana" w:hAnsi="Verdana"/>
          <w:b w:val="0"/>
          <w:sz w:val="18"/>
          <w:szCs w:val="18"/>
        </w:rPr>
      </w:pPr>
      <w:r w:rsidDel="00000000" w:rsidR="00000000" w:rsidRPr="00000000">
        <w:rPr>
          <w:rFonts w:ascii="Verdana" w:cs="Verdana" w:eastAsia="Verdana" w:hAnsi="Verdana"/>
          <w:sz w:val="18"/>
          <w:szCs w:val="18"/>
          <w:rtl w:val="0"/>
        </w:rPr>
        <w:t xml:space="preserve">CEMAC </w:t>
      </w:r>
      <w:r w:rsidDel="00000000" w:rsidR="00000000" w:rsidRPr="00000000">
        <w:fldChar w:fldCharType="end"/>
      </w:r>
      <w:hyperlink r:id="rId9">
        <w:r w:rsidDel="00000000" w:rsidR="00000000" w:rsidRPr="00000000">
          <w:rPr>
            <w:rFonts w:ascii="Verdana" w:cs="Verdana" w:eastAsia="Verdana" w:hAnsi="Verdana"/>
            <w:b w:val="0"/>
            <w:sz w:val="18"/>
            <w:szCs w:val="18"/>
            <w:rtl w:val="0"/>
          </w:rPr>
          <w:t xml:space="preserve">:</w:t>
        </w:r>
      </w:hyperlink>
      <w:hyperlink r:id="rId10">
        <w:r w:rsidDel="00000000" w:rsidR="00000000" w:rsidRPr="00000000">
          <w:rPr>
            <w:rFonts w:ascii="Verdana" w:cs="Verdana" w:eastAsia="Verdana" w:hAnsi="Verdana"/>
            <w:b w:val="0"/>
            <w:i w:val="1"/>
            <w:sz w:val="18"/>
            <w:szCs w:val="18"/>
            <w:rtl w:val="0"/>
          </w:rPr>
          <w:t xml:space="preserve"> Economic and Monetary Community of Central Africa</w:t>
        </w:r>
      </w:hyperlink>
      <w:r w:rsidDel="00000000" w:rsidR="00000000" w:rsidRPr="00000000">
        <w:fldChar w:fldCharType="begin"/>
        <w:instrText xml:space="preserve"> HYPERLINK "https://ecfr.eu/special/african-cooperation/cemac/" </w:instrText>
        <w:fldChar w:fldCharType="separate"/>
      </w:r>
      <w:r w:rsidDel="00000000" w:rsidR="00000000" w:rsidRPr="00000000">
        <w:rPr>
          <w:rFonts w:ascii="Verdana" w:cs="Verdana" w:eastAsia="Verdana" w:hAnsi="Verdana"/>
          <w:b w:val="0"/>
          <w:sz w:val="18"/>
          <w:szCs w:val="18"/>
          <w:rtl w:val="0"/>
        </w:rPr>
        <w:t xml:space="preserve"> (Communauté     économique et monétaire de l'Afrique centrale)</w:t>
      </w:r>
    </w:p>
    <w:p w:rsidR="00000000" w:rsidDel="00000000" w:rsidP="00000000" w:rsidRDefault="00000000" w:rsidRPr="00000000" w14:paraId="00000021">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fldChar w:fldCharType="end"/>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Client</w:t>
      </w:r>
      <w:r w:rsidDel="00000000" w:rsidR="00000000" w:rsidRPr="00000000">
        <w:rPr>
          <w:rFonts w:ascii="Verdana" w:cs="Verdana" w:eastAsia="Verdana" w:hAnsi="Verdana"/>
          <w:sz w:val="18"/>
          <w:szCs w:val="18"/>
          <w:rtl w:val="0"/>
        </w:rPr>
        <w:t xml:space="preserve"> : toute personne physique ou morale désirant payer sur la plateforme internet du Partenaire</w:t>
      </w:r>
    </w:p>
    <w:p w:rsidR="00000000" w:rsidDel="00000000" w:rsidP="00000000" w:rsidRDefault="00000000" w:rsidRPr="00000000" w14:paraId="00000023">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Demande de paiement </w:t>
      </w:r>
      <w:r w:rsidDel="00000000" w:rsidR="00000000" w:rsidRPr="00000000">
        <w:rPr>
          <w:rFonts w:ascii="Verdana" w:cs="Verdana" w:eastAsia="Verdana" w:hAnsi="Verdana"/>
          <w:sz w:val="18"/>
          <w:szCs w:val="18"/>
          <w:rtl w:val="0"/>
        </w:rPr>
        <w:t xml:space="preserve">: solution qui permet la réception de paiement par envoi de facture par SMS ou email</w:t>
      </w:r>
    </w:p>
    <w:p w:rsidR="00000000" w:rsidDel="00000000" w:rsidP="00000000" w:rsidRDefault="00000000" w:rsidRPr="00000000" w14:paraId="00000024">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ind w:left="116" w:right="39" w:firstLine="0"/>
        <w:jc w:val="both"/>
        <w:rPr>
          <w:rFonts w:ascii="Verdana" w:cs="Verdana" w:eastAsia="Verdana" w:hAnsi="Verdana"/>
          <w:b w:val="1"/>
          <w:sz w:val="18"/>
          <w:szCs w:val="18"/>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Collect </w:t>
      </w:r>
      <w:r w:rsidDel="00000000" w:rsidR="00000000" w:rsidRPr="00000000">
        <w:rPr>
          <w:rFonts w:ascii="Verdana" w:cs="Verdana" w:eastAsia="Verdana" w:hAnsi="Verdana"/>
          <w:sz w:val="18"/>
          <w:szCs w:val="18"/>
          <w:rtl w:val="0"/>
        </w:rPr>
        <w:t xml:space="preserve">: solution qui permet la réception et digitalisation des collectes récurrentes ou de masse</w:t>
      </w:r>
    </w:p>
    <w:p w:rsidR="00000000" w:rsidDel="00000000" w:rsidP="00000000" w:rsidRDefault="00000000" w:rsidRPr="00000000" w14:paraId="00000027">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Compte</w:t>
      </w:r>
      <w:r w:rsidDel="00000000" w:rsidR="00000000" w:rsidRPr="00000000">
        <w:rPr>
          <w:rFonts w:ascii="Verdana" w:cs="Verdana" w:eastAsia="Verdana" w:hAnsi="Verdana"/>
          <w:sz w:val="18"/>
          <w:szCs w:val="18"/>
          <w:rtl w:val="0"/>
        </w:rPr>
        <w:t xml:space="preserve"> : compte PayDunya du Partenaire</w:t>
      </w:r>
    </w:p>
    <w:p w:rsidR="00000000" w:rsidDel="00000000" w:rsidP="00000000" w:rsidRDefault="00000000" w:rsidRPr="00000000" w14:paraId="00000029">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ind w:left="0"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J :</w:t>
      </w:r>
      <w:r w:rsidDel="00000000" w:rsidR="00000000" w:rsidRPr="00000000">
        <w:rPr>
          <w:rFonts w:ascii="Verdana" w:cs="Verdana" w:eastAsia="Verdana" w:hAnsi="Verdana"/>
          <w:sz w:val="18"/>
          <w:szCs w:val="18"/>
          <w:rtl w:val="0"/>
        </w:rPr>
        <w:t xml:space="preserve"> jour de la demande de retrait d’argent du compte PayDunya du partenaire vers un compte bancaire</w:t>
      </w:r>
    </w:p>
    <w:p w:rsidR="00000000" w:rsidDel="00000000" w:rsidP="00000000" w:rsidRDefault="00000000" w:rsidRPr="00000000" w14:paraId="0000002D">
      <w:pPr>
        <w:pBdr>
          <w:top w:space="0" w:sz="0" w:val="nil"/>
          <w:left w:space="0" w:sz="0" w:val="nil"/>
          <w:bottom w:space="0" w:sz="0" w:val="nil"/>
          <w:right w:space="0" w:sz="0" w:val="nil"/>
          <w:between w:space="0" w:sz="0" w:val="nil"/>
        </w:pBdr>
        <w:ind w:left="116" w:right="39" w:firstLine="0"/>
        <w:jc w:val="both"/>
        <w:rPr>
          <w:rFonts w:ascii="Verdana" w:cs="Verdana" w:eastAsia="Verdana" w:hAnsi="Verdana"/>
          <w:b w:val="1"/>
          <w:sz w:val="18"/>
          <w:szCs w:val="18"/>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MobPay </w:t>
      </w:r>
      <w:r w:rsidDel="00000000" w:rsidR="00000000" w:rsidRPr="00000000">
        <w:rPr>
          <w:rFonts w:ascii="Verdana" w:cs="Verdana" w:eastAsia="Verdana" w:hAnsi="Verdana"/>
          <w:sz w:val="18"/>
          <w:szCs w:val="18"/>
          <w:rtl w:val="0"/>
        </w:rPr>
        <w:t xml:space="preserve">: solution qui permet la réception des paiements sur application mobile</w:t>
      </w:r>
    </w:p>
    <w:p w:rsidR="00000000" w:rsidDel="00000000" w:rsidP="00000000" w:rsidRDefault="00000000" w:rsidRPr="00000000" w14:paraId="0000002F">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Payin</w:t>
      </w:r>
      <w:r w:rsidDel="00000000" w:rsidR="00000000" w:rsidRPr="00000000">
        <w:rPr>
          <w:rFonts w:ascii="Verdana" w:cs="Verdana" w:eastAsia="Verdana" w:hAnsi="Verdana"/>
          <w:sz w:val="18"/>
          <w:szCs w:val="18"/>
          <w:rtl w:val="0"/>
        </w:rPr>
        <w:t xml:space="preserve"> : transaction entrante dans le compte PayDunya</w:t>
      </w:r>
    </w:p>
    <w:p w:rsidR="00000000" w:rsidDel="00000000" w:rsidP="00000000" w:rsidRDefault="00000000" w:rsidRPr="00000000" w14:paraId="00000031">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Payout :</w:t>
      </w:r>
      <w:r w:rsidDel="00000000" w:rsidR="00000000" w:rsidRPr="00000000">
        <w:rPr>
          <w:rFonts w:ascii="Verdana" w:cs="Verdana" w:eastAsia="Verdana" w:hAnsi="Verdana"/>
          <w:sz w:val="18"/>
          <w:szCs w:val="18"/>
          <w:rtl w:val="0"/>
        </w:rPr>
        <w:t xml:space="preserve"> transaction sortante du compte PayDunya vers les comptes bancaires ou mobile money ou cash via la solution de déboursement de masse Push</w:t>
      </w:r>
    </w:p>
    <w:p w:rsidR="00000000" w:rsidDel="00000000" w:rsidP="00000000" w:rsidRDefault="00000000" w:rsidRPr="00000000" w14:paraId="00000033">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34">
      <w:pPr>
        <w:ind w:left="116" w:firstLine="14.000000000000004"/>
        <w:rPr>
          <w:rFonts w:ascii="Verdana" w:cs="Verdana" w:eastAsia="Verdana" w:hAnsi="Verdana"/>
          <w:sz w:val="18"/>
          <w:szCs w:val="18"/>
        </w:rPr>
      </w:pPr>
      <w:bookmarkStart w:colFirst="0" w:colLast="0" w:name="_heading=h.1fob9te" w:id="0"/>
      <w:bookmarkEnd w:id="0"/>
      <w:r w:rsidDel="00000000" w:rsidR="00000000" w:rsidRPr="00000000">
        <w:rPr>
          <w:rFonts w:ascii="Verdana" w:cs="Verdana" w:eastAsia="Verdana" w:hAnsi="Verdana"/>
          <w:b w:val="1"/>
          <w:sz w:val="18"/>
          <w:szCs w:val="18"/>
          <w:rtl w:val="0"/>
        </w:rPr>
        <w:t xml:space="preserve">Procédure de chargeback « Chargeback » : </w:t>
      </w:r>
      <w:r w:rsidDel="00000000" w:rsidR="00000000" w:rsidRPr="00000000">
        <w:rPr>
          <w:rFonts w:ascii="Verdana" w:cs="Verdana" w:eastAsia="Verdana" w:hAnsi="Verdana"/>
          <w:sz w:val="18"/>
          <w:szCs w:val="18"/>
          <w:rtl w:val="0"/>
        </w:rPr>
        <w:t xml:space="preserve">désigne l'annulation d'une transaction ou une demande de remboursement concernant une transaction précédemment réglée et/ou remise qui provient de la banque émettrice, du réseau de paiement (Visa, Mastercard, …) ou d'une autre institution financière.</w:t>
      </w:r>
    </w:p>
    <w:p w:rsidR="00000000" w:rsidDel="00000000" w:rsidP="00000000" w:rsidRDefault="00000000" w:rsidRPr="00000000" w14:paraId="00000035">
      <w:pPr>
        <w:ind w:left="116" w:firstLine="14.000000000000004"/>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Les raisons des Chargeback incluent (mais ne sont pas limitées à) :</w:t>
      </w:r>
    </w:p>
    <w:p w:rsidR="00000000" w:rsidDel="00000000" w:rsidP="00000000" w:rsidRDefault="00000000" w:rsidRPr="00000000" w14:paraId="00000036">
      <w:pPr>
        <w:ind w:left="116" w:firstLine="14.000000000000004"/>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 le montant de la transaction n'est pas autorisé ;</w:t>
      </w:r>
    </w:p>
    <w:p w:rsidR="00000000" w:rsidDel="00000000" w:rsidP="00000000" w:rsidRDefault="00000000" w:rsidRPr="00000000" w14:paraId="00000037">
      <w:pPr>
        <w:ind w:left="116" w:firstLine="14.000000000000004"/>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(b) le titulaire de la carte alléguant :</w:t>
      </w:r>
    </w:p>
    <w:p w:rsidR="00000000" w:rsidDel="00000000" w:rsidP="00000000" w:rsidRDefault="00000000" w:rsidRPr="00000000" w14:paraId="00000038">
      <w:pPr>
        <w:ind w:left="116" w:firstLine="14.000000000000004"/>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-non-participation à la transaction ; ou</w:t>
        <w:tab/>
      </w:r>
    </w:p>
    <w:p w:rsidR="00000000" w:rsidDel="00000000" w:rsidP="00000000" w:rsidRDefault="00000000" w:rsidRPr="00000000" w14:paraId="00000039">
      <w:pPr>
        <w:ind w:left="116" w:firstLine="14.000000000000004"/>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-non-autorisation d'utilisation de la carte ; ou</w:t>
      </w:r>
    </w:p>
    <w:p w:rsidR="00000000" w:rsidDel="00000000" w:rsidP="00000000" w:rsidRDefault="00000000" w:rsidRPr="00000000" w14:paraId="0000003A">
      <w:pPr>
        <w:ind w:left="116" w:firstLine="14.000000000000004"/>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-non-réception des biens et/ou services achetés ;</w:t>
      </w:r>
    </w:p>
    <w:p w:rsidR="00000000" w:rsidDel="00000000" w:rsidP="00000000" w:rsidRDefault="00000000" w:rsidRPr="00000000" w14:paraId="0000003B">
      <w:pPr>
        <w:ind w:left="116" w:firstLine="14.000000000000004"/>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(c) transaction préautorisée annulée ou non complétée ; ou</w:t>
      </w:r>
    </w:p>
    <w:p w:rsidR="00000000" w:rsidDel="00000000" w:rsidP="00000000" w:rsidRDefault="00000000" w:rsidRPr="00000000" w14:paraId="0000003C">
      <w:pPr>
        <w:ind w:left="116" w:firstLine="14.000000000000004"/>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(d) suspicion de fraude à la carte ; ou tout autre nombre de raisons</w:t>
      </w:r>
    </w:p>
    <w:p w:rsidR="00000000" w:rsidDel="00000000" w:rsidP="00000000" w:rsidRDefault="00000000" w:rsidRPr="00000000" w14:paraId="0000003D">
      <w:pP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Push </w:t>
      </w:r>
      <w:r w:rsidDel="00000000" w:rsidR="00000000" w:rsidRPr="00000000">
        <w:rPr>
          <w:rFonts w:ascii="Verdana" w:cs="Verdana" w:eastAsia="Verdana" w:hAnsi="Verdana"/>
          <w:sz w:val="18"/>
          <w:szCs w:val="18"/>
          <w:rtl w:val="0"/>
        </w:rPr>
        <w:t xml:space="preserve">: solution qui permet la digitalisation des déboursements de masse</w:t>
      </w:r>
    </w:p>
    <w:p w:rsidR="00000000" w:rsidDel="00000000" w:rsidP="00000000" w:rsidRDefault="00000000" w:rsidRPr="00000000" w14:paraId="0000003F">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Retrait d’argent</w:t>
      </w:r>
      <w:r w:rsidDel="00000000" w:rsidR="00000000" w:rsidRPr="00000000">
        <w:rPr>
          <w:rFonts w:ascii="Verdana" w:cs="Verdana" w:eastAsia="Verdana" w:hAnsi="Verdana"/>
          <w:sz w:val="18"/>
          <w:szCs w:val="18"/>
          <w:rtl w:val="0"/>
        </w:rPr>
        <w:t xml:space="preserve"> : transaction sortante du compte PayDunya vers les comptes bancaires ou mobile money</w:t>
      </w:r>
    </w:p>
    <w:p w:rsidR="00000000" w:rsidDel="00000000" w:rsidP="00000000" w:rsidRDefault="00000000" w:rsidRPr="00000000" w14:paraId="00000041">
      <w:pPr>
        <w:pBdr>
          <w:top w:space="0" w:sz="0" w:val="nil"/>
          <w:left w:space="0" w:sz="0" w:val="nil"/>
          <w:bottom w:space="0" w:sz="0" w:val="nil"/>
          <w:right w:space="0" w:sz="0" w:val="nil"/>
          <w:between w:space="0" w:sz="0" w:val="nil"/>
        </w:pBdr>
        <w:ind w:right="39"/>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Solde Opération</w:t>
      </w:r>
      <w:r w:rsidDel="00000000" w:rsidR="00000000" w:rsidRPr="00000000">
        <w:rPr>
          <w:rFonts w:ascii="Verdana" w:cs="Verdana" w:eastAsia="Verdana" w:hAnsi="Verdana"/>
          <w:sz w:val="18"/>
          <w:szCs w:val="18"/>
          <w:rtl w:val="0"/>
        </w:rPr>
        <w:t xml:space="preserve"> : partie restante du compte PayDunya du Partenaire. Lorsqu’un retrait d'argent du système PayDunya est demandé, cet argent se retrouve dans ce solde jusqu'à ce qu'il soit viré réellement sur le compte bancaire du Partenaire</w:t>
      </w:r>
    </w:p>
    <w:p w:rsidR="00000000" w:rsidDel="00000000" w:rsidP="00000000" w:rsidRDefault="00000000" w:rsidRPr="00000000" w14:paraId="00000043">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UEMOA </w:t>
      </w:r>
      <w:r w:rsidDel="00000000" w:rsidR="00000000" w:rsidRPr="00000000">
        <w:rPr>
          <w:rFonts w:ascii="Verdana" w:cs="Verdana" w:eastAsia="Verdana" w:hAnsi="Verdana"/>
          <w:sz w:val="18"/>
          <w:szCs w:val="18"/>
          <w:rtl w:val="0"/>
        </w:rPr>
        <w:t xml:space="preserve">: Union Economique et Monétaire Ouest africaine</w:t>
      </w:r>
    </w:p>
    <w:p w:rsidR="00000000" w:rsidDel="00000000" w:rsidP="00000000" w:rsidRDefault="00000000" w:rsidRPr="00000000" w14:paraId="00000045">
      <w:pPr>
        <w:pBdr>
          <w:top w:space="0" w:sz="0" w:val="nil"/>
          <w:left w:space="0" w:sz="0" w:val="nil"/>
          <w:bottom w:space="0" w:sz="0" w:val="nil"/>
          <w:right w:space="0" w:sz="0" w:val="nil"/>
          <w:between w:space="0" w:sz="0" w:val="nil"/>
        </w:pBdr>
        <w:ind w:left="116" w:right="39" w:firstLine="0"/>
        <w:jc w:val="both"/>
        <w:rPr>
          <w:rFonts w:ascii="Verdana" w:cs="Verdana" w:eastAsia="Verdana" w:hAnsi="Verdana"/>
          <w:b w:val="1"/>
          <w:sz w:val="18"/>
          <w:szCs w:val="18"/>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WebPay :</w:t>
      </w:r>
      <w:r w:rsidDel="00000000" w:rsidR="00000000" w:rsidRPr="00000000">
        <w:rPr>
          <w:rFonts w:ascii="Verdana" w:cs="Verdana" w:eastAsia="Verdana" w:hAnsi="Verdana"/>
          <w:sz w:val="18"/>
          <w:szCs w:val="18"/>
          <w:rtl w:val="0"/>
        </w:rPr>
        <w:t xml:space="preserve"> solution qui permet la réception des paiements sur site internet</w:t>
      </w:r>
    </w:p>
    <w:p w:rsidR="00000000" w:rsidDel="00000000" w:rsidP="00000000" w:rsidRDefault="00000000" w:rsidRPr="00000000" w14:paraId="00000047">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Wallet Sénégal</w:t>
      </w:r>
      <w:r w:rsidDel="00000000" w:rsidR="00000000" w:rsidRPr="00000000">
        <w:rPr>
          <w:rFonts w:ascii="Verdana" w:cs="Verdana" w:eastAsia="Verdana" w:hAnsi="Verdana"/>
          <w:sz w:val="18"/>
          <w:szCs w:val="18"/>
          <w:rtl w:val="0"/>
        </w:rPr>
        <w:t xml:space="preserve"> : Orange Money Sénégal, Free Money, E-Money, Wizall Sénégal et Wave Sénégal</w:t>
      </w:r>
    </w:p>
    <w:p w:rsidR="00000000" w:rsidDel="00000000" w:rsidP="00000000" w:rsidRDefault="00000000" w:rsidRPr="00000000" w14:paraId="00000049">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Wallet Bénin :</w:t>
      </w:r>
      <w:r w:rsidDel="00000000" w:rsidR="00000000" w:rsidRPr="00000000">
        <w:rPr>
          <w:rFonts w:ascii="Verdana" w:cs="Verdana" w:eastAsia="Verdana" w:hAnsi="Verdana"/>
          <w:sz w:val="18"/>
          <w:szCs w:val="18"/>
          <w:rtl w:val="0"/>
        </w:rPr>
        <w:t xml:space="preserve"> MTN Mobile Money Bénin, Moov Money Bénin</w:t>
      </w:r>
    </w:p>
    <w:p w:rsidR="00000000" w:rsidDel="00000000" w:rsidP="00000000" w:rsidRDefault="00000000" w:rsidRPr="00000000" w14:paraId="0000004B">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Wallet Côte d’Ivoire</w:t>
      </w:r>
      <w:r w:rsidDel="00000000" w:rsidR="00000000" w:rsidRPr="00000000">
        <w:rPr>
          <w:rFonts w:ascii="Verdana" w:cs="Verdana" w:eastAsia="Verdana" w:hAnsi="Verdana"/>
          <w:sz w:val="18"/>
          <w:szCs w:val="18"/>
          <w:rtl w:val="0"/>
        </w:rPr>
        <w:t xml:space="preserve"> : Orange Money Côte d’Ivoire, MTN Mobile Money Côte d’Ivoire, Moov Money Côte d’Ivoire </w:t>
      </w:r>
    </w:p>
    <w:p w:rsidR="00000000" w:rsidDel="00000000" w:rsidP="00000000" w:rsidRDefault="00000000" w:rsidRPr="00000000" w14:paraId="0000004D">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Wallet Burkina Faso : </w:t>
      </w:r>
      <w:r w:rsidDel="00000000" w:rsidR="00000000" w:rsidRPr="00000000">
        <w:rPr>
          <w:rFonts w:ascii="Verdana" w:cs="Verdana" w:eastAsia="Verdana" w:hAnsi="Verdana"/>
          <w:sz w:val="18"/>
          <w:szCs w:val="18"/>
          <w:rtl w:val="0"/>
        </w:rPr>
        <w:t xml:space="preserve">Orange Money Burkina Faso, Moov Money Burkina Faso</w:t>
      </w:r>
    </w:p>
    <w:p w:rsidR="00000000" w:rsidDel="00000000" w:rsidP="00000000" w:rsidRDefault="00000000" w:rsidRPr="00000000" w14:paraId="0000004F">
      <w:pPr>
        <w:pBdr>
          <w:top w:space="0" w:sz="0" w:val="nil"/>
          <w:left w:space="0" w:sz="0" w:val="nil"/>
          <w:bottom w:space="0" w:sz="0" w:val="nil"/>
          <w:right w:space="0" w:sz="0" w:val="nil"/>
          <w:between w:space="0" w:sz="0" w:val="nil"/>
        </w:pBdr>
        <w:ind w:left="116" w:right="39" w:firstLine="0"/>
        <w:jc w:val="both"/>
        <w:rPr>
          <w:rFonts w:ascii="Verdana" w:cs="Verdana" w:eastAsia="Verdana" w:hAnsi="Verdana"/>
          <w:b w:val="1"/>
          <w:sz w:val="18"/>
          <w:szCs w:val="18"/>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Wallet Mali :</w:t>
      </w:r>
      <w:r w:rsidDel="00000000" w:rsidR="00000000" w:rsidRPr="00000000">
        <w:rPr>
          <w:rFonts w:ascii="Verdana" w:cs="Verdana" w:eastAsia="Verdana" w:hAnsi="Verdana"/>
          <w:sz w:val="18"/>
          <w:szCs w:val="18"/>
          <w:rtl w:val="0"/>
        </w:rPr>
        <w:t xml:space="preserve"> Orange Money Mali, Moov Money</w:t>
      </w:r>
    </w:p>
    <w:p w:rsidR="00000000" w:rsidDel="00000000" w:rsidP="00000000" w:rsidRDefault="00000000" w:rsidRPr="00000000" w14:paraId="00000051">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Wallet Togo :</w:t>
      </w:r>
      <w:r w:rsidDel="00000000" w:rsidR="00000000" w:rsidRPr="00000000">
        <w:rPr>
          <w:rFonts w:ascii="Verdana" w:cs="Verdana" w:eastAsia="Verdana" w:hAnsi="Verdana"/>
          <w:sz w:val="18"/>
          <w:szCs w:val="18"/>
          <w:rtl w:val="0"/>
        </w:rPr>
        <w:t xml:space="preserve"> TMoney, Moov Money</w:t>
      </w:r>
    </w:p>
    <w:p w:rsidR="00000000" w:rsidDel="00000000" w:rsidP="00000000" w:rsidRDefault="00000000" w:rsidRPr="00000000" w14:paraId="00000053">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ind w:left="116" w:right="39" w:firstLine="0"/>
        <w:jc w:val="both"/>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ARTICLE 3 : AGREMENT  </w:t>
      </w:r>
    </w:p>
    <w:p w:rsidR="00000000" w:rsidDel="00000000" w:rsidP="00000000" w:rsidRDefault="00000000" w:rsidRPr="00000000" w14:paraId="00000055">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 </w:t>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Les deux (2) parties reconnaissent que le contrat est élaboré en fonction de critères objectifs et portés préalablement à la connaissance de tous. </w:t>
      </w:r>
    </w:p>
    <w:p w:rsidR="00000000" w:rsidDel="00000000" w:rsidP="00000000" w:rsidRDefault="00000000" w:rsidRPr="00000000" w14:paraId="00000057">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w:t>
      </w:r>
    </w:p>
    <w:p w:rsidR="00000000" w:rsidDel="00000000" w:rsidP="00000000" w:rsidRDefault="00000000" w:rsidRPr="00000000" w14:paraId="00000058">
      <w:pPr>
        <w:pBdr>
          <w:top w:space="0" w:sz="0" w:val="nil"/>
          <w:left w:space="0" w:sz="0" w:val="nil"/>
          <w:bottom w:space="0" w:sz="0" w:val="nil"/>
          <w:right w:space="0" w:sz="0" w:val="nil"/>
          <w:between w:space="0" w:sz="0" w:val="nil"/>
        </w:pBdr>
        <w:ind w:left="0"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ind w:left="116" w:right="39" w:firstLine="0"/>
        <w:jc w:val="both"/>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ARTICLE 4 : OBLIGATIONS DU PARTENAIRE  </w:t>
      </w:r>
    </w:p>
    <w:p w:rsidR="00000000" w:rsidDel="00000000" w:rsidP="00000000" w:rsidRDefault="00000000" w:rsidRPr="00000000" w14:paraId="0000005B">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w:t>
      </w:r>
    </w:p>
    <w:p w:rsidR="00000000" w:rsidDel="00000000" w:rsidP="00000000" w:rsidRDefault="00000000" w:rsidRPr="00000000" w14:paraId="0000005C">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Le Partenaire s’engage à : </w:t>
      </w:r>
    </w:p>
    <w:p w:rsidR="00000000" w:rsidDel="00000000" w:rsidP="00000000" w:rsidRDefault="00000000" w:rsidRPr="00000000" w14:paraId="0000005D">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5E">
      <w:pPr>
        <w:numPr>
          <w:ilvl w:val="0"/>
          <w:numId w:val="1"/>
        </w:numPr>
        <w:pBdr>
          <w:top w:space="0" w:sz="0" w:val="nil"/>
          <w:left w:space="0" w:sz="0" w:val="nil"/>
          <w:bottom w:space="0" w:sz="0" w:val="nil"/>
          <w:right w:space="0" w:sz="0" w:val="nil"/>
          <w:between w:space="0" w:sz="0" w:val="nil"/>
        </w:pBdr>
        <w:ind w:left="720" w:right="39" w:hanging="72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Déclarer un ou plusieurs compte(s) bancaire pour le virement des fonds reçus lors des paiements par ses clients dans le menu principal du Compte ; </w:t>
      </w:r>
    </w:p>
    <w:p w:rsidR="00000000" w:rsidDel="00000000" w:rsidP="00000000" w:rsidRDefault="00000000" w:rsidRPr="00000000" w14:paraId="0000005F">
      <w:pPr>
        <w:numPr>
          <w:ilvl w:val="0"/>
          <w:numId w:val="1"/>
        </w:numPr>
        <w:pBdr>
          <w:top w:space="0" w:sz="0" w:val="nil"/>
          <w:left w:space="0" w:sz="0" w:val="nil"/>
          <w:bottom w:space="0" w:sz="0" w:val="nil"/>
          <w:right w:space="0" w:sz="0" w:val="nil"/>
          <w:between w:space="0" w:sz="0" w:val="nil"/>
        </w:pBdr>
        <w:ind w:left="720" w:right="39" w:hanging="72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Pour tout paiement supérieur à FCFA 500.000 une copie de la facture, du bon de livraison, en sus d’une copie de la Carte Nationale d’identité ou passeport de l’acheteur doivent être conservés par le Partenaire et retranscrit dans un registre spécial ; </w:t>
      </w:r>
    </w:p>
    <w:p w:rsidR="00000000" w:rsidDel="00000000" w:rsidP="00000000" w:rsidRDefault="00000000" w:rsidRPr="00000000" w14:paraId="00000060">
      <w:pPr>
        <w:numPr>
          <w:ilvl w:val="0"/>
          <w:numId w:val="1"/>
        </w:numPr>
        <w:pBdr>
          <w:top w:space="0" w:sz="0" w:val="nil"/>
          <w:left w:space="0" w:sz="0" w:val="nil"/>
          <w:bottom w:space="0" w:sz="0" w:val="nil"/>
          <w:right w:space="0" w:sz="0" w:val="nil"/>
          <w:between w:space="0" w:sz="0" w:val="nil"/>
        </w:pBdr>
        <w:ind w:left="720" w:right="39" w:hanging="72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Travailler avec PayDunya pour mettre en œuvre le 3D-Secure sur son site ou application afin de certifier les transactions du client final ;</w:t>
      </w:r>
    </w:p>
    <w:p w:rsidR="00000000" w:rsidDel="00000000" w:rsidP="00000000" w:rsidRDefault="00000000" w:rsidRPr="00000000" w14:paraId="00000061">
      <w:pPr>
        <w:pBdr>
          <w:top w:space="0" w:sz="0" w:val="nil"/>
          <w:left w:space="0" w:sz="0" w:val="nil"/>
          <w:bottom w:space="0" w:sz="0" w:val="nil"/>
          <w:right w:space="0" w:sz="0" w:val="nil"/>
          <w:between w:space="0" w:sz="0" w:val="nil"/>
        </w:pBdr>
        <w:ind w:left="720"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62">
      <w:pPr>
        <w:numPr>
          <w:ilvl w:val="0"/>
          <w:numId w:val="1"/>
        </w:numPr>
        <w:pBdr>
          <w:top w:space="0" w:sz="0" w:val="nil"/>
          <w:left w:space="0" w:sz="0" w:val="nil"/>
          <w:bottom w:space="0" w:sz="0" w:val="nil"/>
          <w:right w:space="0" w:sz="0" w:val="nil"/>
          <w:between w:space="0" w:sz="0" w:val="nil"/>
        </w:pBdr>
        <w:ind w:left="720" w:right="39" w:hanging="72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Répondre à toutes les demandes de fraude au plus tard deux (2) jours ouvrables à compter de la réception de ladite demande ;</w:t>
      </w:r>
    </w:p>
    <w:p w:rsidR="00000000" w:rsidDel="00000000" w:rsidP="00000000" w:rsidRDefault="00000000" w:rsidRPr="00000000" w14:paraId="00000063">
      <w:pPr>
        <w:pBdr>
          <w:top w:space="0" w:sz="0" w:val="nil"/>
          <w:left w:space="0" w:sz="0" w:val="nil"/>
          <w:bottom w:space="0" w:sz="0" w:val="nil"/>
          <w:right w:space="0" w:sz="0" w:val="nil"/>
          <w:between w:space="0" w:sz="0" w:val="nil"/>
        </w:pBdr>
        <w:ind w:right="39"/>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64">
      <w:pPr>
        <w:numPr>
          <w:ilvl w:val="0"/>
          <w:numId w:val="1"/>
        </w:numPr>
        <w:pBdr>
          <w:top w:space="0" w:sz="0" w:val="nil"/>
          <w:left w:space="0" w:sz="0" w:val="nil"/>
          <w:bottom w:space="0" w:sz="0" w:val="nil"/>
          <w:right w:space="0" w:sz="0" w:val="nil"/>
          <w:between w:space="0" w:sz="0" w:val="nil"/>
        </w:pBdr>
        <w:ind w:left="720" w:right="39" w:hanging="72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Informer rapidement PayDunya de toute violation de sécurité, utilisation abusive, irrégularité, transaction frauduleuse présumée ou activités suspectes pouvant être liées à des tentatives de fraude ou à toute autre activité illégale via l'utilisation du site du partenaire et des mesures correctives que le partenaire a prises ;</w:t>
      </w:r>
    </w:p>
    <w:p w:rsidR="00000000" w:rsidDel="00000000" w:rsidP="00000000" w:rsidRDefault="00000000" w:rsidRPr="00000000" w14:paraId="00000065">
      <w:pPr>
        <w:pBdr>
          <w:top w:space="0" w:sz="0" w:val="nil"/>
          <w:left w:space="0" w:sz="0" w:val="nil"/>
          <w:bottom w:space="0" w:sz="0" w:val="nil"/>
          <w:right w:space="0" w:sz="0" w:val="nil"/>
          <w:between w:space="0" w:sz="0" w:val="nil"/>
        </w:pBdr>
        <w:ind w:left="720"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66">
      <w:pPr>
        <w:numPr>
          <w:ilvl w:val="0"/>
          <w:numId w:val="1"/>
        </w:numPr>
        <w:pBdr>
          <w:top w:space="0" w:sz="0" w:val="nil"/>
          <w:left w:space="0" w:sz="0" w:val="nil"/>
          <w:bottom w:space="0" w:sz="0" w:val="nil"/>
          <w:right w:space="0" w:sz="0" w:val="nil"/>
          <w:between w:space="0" w:sz="0" w:val="nil"/>
        </w:pBdr>
        <w:ind w:left="720" w:right="39" w:hanging="72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Autoriser PAYDUNYA à débiter le compte de règlement bancaire désigné de la valeur totale plus les autres frais légaux concernant toute transaction lorsque le titulaire de la carte est jugé par le réseau de paiement avoir droit à un remboursement ;</w:t>
      </w:r>
    </w:p>
    <w:p w:rsidR="00000000" w:rsidDel="00000000" w:rsidP="00000000" w:rsidRDefault="00000000" w:rsidRPr="00000000" w14:paraId="00000067">
      <w:pPr>
        <w:pBdr>
          <w:top w:space="0" w:sz="0" w:val="nil"/>
          <w:left w:space="0" w:sz="0" w:val="nil"/>
          <w:bottom w:space="0" w:sz="0" w:val="nil"/>
          <w:right w:space="0" w:sz="0" w:val="nil"/>
          <w:between w:space="0" w:sz="0" w:val="nil"/>
        </w:pBdr>
        <w:ind w:right="39"/>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68">
      <w:pPr>
        <w:numPr>
          <w:ilvl w:val="0"/>
          <w:numId w:val="1"/>
        </w:numPr>
        <w:pBdr>
          <w:top w:space="0" w:sz="0" w:val="nil"/>
          <w:left w:space="0" w:sz="0" w:val="nil"/>
          <w:bottom w:space="0" w:sz="0" w:val="nil"/>
          <w:right w:space="0" w:sz="0" w:val="nil"/>
          <w:between w:space="0" w:sz="0" w:val="nil"/>
        </w:pBdr>
        <w:ind w:left="720" w:right="39" w:hanging="72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Informer PayDunya de tout changement d'adresse du siège social et/ou de secteur d'activité avant ce changement ;</w:t>
      </w:r>
    </w:p>
    <w:p w:rsidR="00000000" w:rsidDel="00000000" w:rsidP="00000000" w:rsidRDefault="00000000" w:rsidRPr="00000000" w14:paraId="00000069">
      <w:pPr>
        <w:pBdr>
          <w:top w:space="0" w:sz="0" w:val="nil"/>
          <w:left w:space="0" w:sz="0" w:val="nil"/>
          <w:bottom w:space="0" w:sz="0" w:val="nil"/>
          <w:right w:space="0" w:sz="0" w:val="nil"/>
          <w:between w:space="0" w:sz="0" w:val="nil"/>
        </w:pBdr>
        <w:ind w:right="39"/>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6A">
      <w:pPr>
        <w:numPr>
          <w:ilvl w:val="0"/>
          <w:numId w:val="1"/>
        </w:numPr>
        <w:pBdr>
          <w:top w:space="0" w:sz="0" w:val="nil"/>
          <w:left w:space="0" w:sz="0" w:val="nil"/>
          <w:bottom w:space="0" w:sz="0" w:val="nil"/>
          <w:right w:space="0" w:sz="0" w:val="nil"/>
          <w:between w:space="0" w:sz="0" w:val="nil"/>
        </w:pBdr>
        <w:ind w:left="720" w:right="39" w:hanging="72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Mettre en place des mesures de sécurité appropriées pour surveiller, contrôler et prévenir la fraude sur son site Web et ou application ;</w:t>
      </w:r>
    </w:p>
    <w:p w:rsidR="00000000" w:rsidDel="00000000" w:rsidP="00000000" w:rsidRDefault="00000000" w:rsidRPr="00000000" w14:paraId="0000006B">
      <w:pPr>
        <w:pBdr>
          <w:top w:space="0" w:sz="0" w:val="nil"/>
          <w:left w:space="0" w:sz="0" w:val="nil"/>
          <w:bottom w:space="0" w:sz="0" w:val="nil"/>
          <w:right w:space="0" w:sz="0" w:val="nil"/>
          <w:between w:space="0" w:sz="0" w:val="nil"/>
        </w:pBdr>
        <w:ind w:left="720"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6C">
      <w:pPr>
        <w:numPr>
          <w:ilvl w:val="0"/>
          <w:numId w:val="1"/>
        </w:numPr>
        <w:pBdr>
          <w:top w:space="0" w:sz="0" w:val="nil"/>
          <w:left w:space="0" w:sz="0" w:val="nil"/>
          <w:bottom w:space="0" w:sz="0" w:val="nil"/>
          <w:right w:space="0" w:sz="0" w:val="nil"/>
          <w:between w:space="0" w:sz="0" w:val="nil"/>
        </w:pBdr>
        <w:ind w:left="720" w:right="39" w:hanging="72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Informer immédiatement PayDunya de tout acte, omission ou erreur qui affecte ou peut affecter négativement la capacité du Partenaire à exécuter ses obligations en vertu du présent contrat ou causer des pertes ou des dommages à PayDunya (y compris, mais sans s'y limiter, tout changement important dans la nature ou l'étendue de l'activité du Commerçant) ;</w:t>
      </w:r>
    </w:p>
    <w:p w:rsidR="00000000" w:rsidDel="00000000" w:rsidP="00000000" w:rsidRDefault="00000000" w:rsidRPr="00000000" w14:paraId="0000006D">
      <w:pPr>
        <w:pBdr>
          <w:top w:space="0" w:sz="0" w:val="nil"/>
          <w:left w:space="0" w:sz="0" w:val="nil"/>
          <w:bottom w:space="0" w:sz="0" w:val="nil"/>
          <w:right w:space="0" w:sz="0" w:val="nil"/>
          <w:between w:space="0" w:sz="0" w:val="nil"/>
        </w:pBdr>
        <w:ind w:left="720"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6E">
      <w:pPr>
        <w:numPr>
          <w:ilvl w:val="0"/>
          <w:numId w:val="1"/>
        </w:numPr>
        <w:pBdr>
          <w:top w:space="0" w:sz="0" w:val="nil"/>
          <w:left w:space="0" w:sz="0" w:val="nil"/>
          <w:bottom w:space="0" w:sz="0" w:val="nil"/>
          <w:right w:space="0" w:sz="0" w:val="nil"/>
          <w:between w:space="0" w:sz="0" w:val="nil"/>
        </w:pBdr>
        <w:ind w:left="720" w:right="39" w:hanging="72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Se conformer à toutes les exigences supplémentaires de sécurité, d'authentification, de contrôle des risques ou autres imposées par PayDunya ou un réseau de paiement par carte (VISA, Mastercard, …), </w:t>
      </w:r>
    </w:p>
    <w:p w:rsidR="00000000" w:rsidDel="00000000" w:rsidP="00000000" w:rsidRDefault="00000000" w:rsidRPr="00000000" w14:paraId="0000006F">
      <w:pPr>
        <w:pBdr>
          <w:top w:space="0" w:sz="0" w:val="nil"/>
          <w:left w:space="0" w:sz="0" w:val="nil"/>
          <w:bottom w:space="0" w:sz="0" w:val="nil"/>
          <w:right w:space="0" w:sz="0" w:val="nil"/>
          <w:between w:space="0" w:sz="0" w:val="nil"/>
        </w:pBdr>
        <w:ind w:left="720"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70">
      <w:pPr>
        <w:numPr>
          <w:ilvl w:val="0"/>
          <w:numId w:val="1"/>
        </w:numPr>
        <w:pBdr>
          <w:top w:space="0" w:sz="0" w:val="nil"/>
          <w:left w:space="0" w:sz="0" w:val="nil"/>
          <w:bottom w:space="0" w:sz="0" w:val="nil"/>
          <w:right w:space="0" w:sz="0" w:val="nil"/>
          <w:between w:space="0" w:sz="0" w:val="nil"/>
        </w:pBdr>
        <w:ind w:left="720" w:right="39" w:hanging="72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Se conformer à la loi applicable et à toute règle des réseaux de paiement pertinente à laquelle le Partenaire est soumis. Le Partenaire ne doit pas agir en contravention ou faire en sorte que PayDunya agisse en contravention avec les Règles des réseaux de paiement par carte (VISA, Mastercard, …) auxquelles PayDunya est soumis.</w:t>
      </w:r>
    </w:p>
    <w:p w:rsidR="00000000" w:rsidDel="00000000" w:rsidP="00000000" w:rsidRDefault="00000000" w:rsidRPr="00000000" w14:paraId="00000071">
      <w:pPr>
        <w:pBdr>
          <w:top w:space="0" w:sz="0" w:val="nil"/>
          <w:left w:space="0" w:sz="0" w:val="nil"/>
          <w:bottom w:space="0" w:sz="0" w:val="nil"/>
          <w:right w:space="0" w:sz="0" w:val="nil"/>
          <w:between w:space="0" w:sz="0" w:val="nil"/>
        </w:pBdr>
        <w:ind w:right="39"/>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72">
      <w:pPr>
        <w:numPr>
          <w:ilvl w:val="0"/>
          <w:numId w:val="1"/>
        </w:numPr>
        <w:pBdr>
          <w:top w:space="0" w:sz="0" w:val="nil"/>
          <w:left w:space="0" w:sz="0" w:val="nil"/>
          <w:bottom w:space="0" w:sz="0" w:val="nil"/>
          <w:right w:space="0" w:sz="0" w:val="nil"/>
          <w:between w:space="0" w:sz="0" w:val="nil"/>
        </w:pBdr>
        <w:ind w:left="720" w:right="39" w:hanging="72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Accepter et utiliser une image mise à disposition par PayDunya comme bouton de paiement, cette image contient les logos des moyens de paiements et le logo PayDunya. Ce bouton sera utilisé par les clients pour effectuer les paiements sur la plateforme du Partenaire ; </w:t>
      </w:r>
    </w:p>
    <w:p w:rsidR="00000000" w:rsidDel="00000000" w:rsidP="00000000" w:rsidRDefault="00000000" w:rsidRPr="00000000" w14:paraId="00000073">
      <w:pPr>
        <w:numPr>
          <w:ilvl w:val="0"/>
          <w:numId w:val="1"/>
        </w:numPr>
        <w:pBdr>
          <w:top w:space="0" w:sz="0" w:val="nil"/>
          <w:left w:space="0" w:sz="0" w:val="nil"/>
          <w:bottom w:space="0" w:sz="0" w:val="nil"/>
          <w:right w:space="0" w:sz="0" w:val="nil"/>
          <w:between w:space="0" w:sz="0" w:val="nil"/>
        </w:pBdr>
        <w:ind w:left="720" w:right="39" w:hanging="72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Ne pas entreprendre une activité et/ou action pouvant porter préjudice directement ou indirectement aux droits et/ou à la marque PayDunya; </w:t>
      </w:r>
    </w:p>
    <w:p w:rsidR="00000000" w:rsidDel="00000000" w:rsidP="00000000" w:rsidRDefault="00000000" w:rsidRPr="00000000" w14:paraId="00000074">
      <w:pPr>
        <w:numPr>
          <w:ilvl w:val="0"/>
          <w:numId w:val="1"/>
        </w:numPr>
        <w:pBdr>
          <w:top w:space="0" w:sz="0" w:val="nil"/>
          <w:left w:space="0" w:sz="0" w:val="nil"/>
          <w:bottom w:space="0" w:sz="0" w:val="nil"/>
          <w:right w:space="0" w:sz="0" w:val="nil"/>
          <w:between w:space="0" w:sz="0" w:val="nil"/>
        </w:pBdr>
        <w:ind w:left="720" w:right="39" w:hanging="72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Ne pas céder tout ou une partie du présent contrat ; </w:t>
      </w:r>
    </w:p>
    <w:p w:rsidR="00000000" w:rsidDel="00000000" w:rsidP="00000000" w:rsidRDefault="00000000" w:rsidRPr="00000000" w14:paraId="00000075">
      <w:pPr>
        <w:numPr>
          <w:ilvl w:val="0"/>
          <w:numId w:val="1"/>
        </w:numPr>
        <w:pBdr>
          <w:top w:space="0" w:sz="0" w:val="nil"/>
          <w:left w:space="0" w:sz="0" w:val="nil"/>
          <w:bottom w:space="0" w:sz="0" w:val="nil"/>
          <w:right w:space="0" w:sz="0" w:val="nil"/>
          <w:between w:space="0" w:sz="0" w:val="nil"/>
        </w:pBdr>
        <w:ind w:left="720" w:right="39" w:hanging="72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Informer ses clients de la possibilité d’effectuer leur paiement via PayDunya; </w:t>
      </w:r>
    </w:p>
    <w:p w:rsidR="00000000" w:rsidDel="00000000" w:rsidP="00000000" w:rsidRDefault="00000000" w:rsidRPr="00000000" w14:paraId="00000076">
      <w:pPr>
        <w:numPr>
          <w:ilvl w:val="0"/>
          <w:numId w:val="1"/>
        </w:numPr>
        <w:pBdr>
          <w:top w:space="0" w:sz="0" w:val="nil"/>
          <w:left w:space="0" w:sz="0" w:val="nil"/>
          <w:bottom w:space="0" w:sz="0" w:val="nil"/>
          <w:right w:space="0" w:sz="0" w:val="nil"/>
          <w:between w:space="0" w:sz="0" w:val="nil"/>
        </w:pBdr>
        <w:ind w:left="720" w:right="39" w:hanging="72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Accepter les Conditions d’utilisation et la Politique de Confidentialité présentées lors de la création du Compte et ses mises à jour futures ; </w:t>
      </w:r>
    </w:p>
    <w:p w:rsidR="00000000" w:rsidDel="00000000" w:rsidP="00000000" w:rsidRDefault="00000000" w:rsidRPr="00000000" w14:paraId="00000077">
      <w:pPr>
        <w:numPr>
          <w:ilvl w:val="0"/>
          <w:numId w:val="1"/>
        </w:numPr>
        <w:pBdr>
          <w:top w:space="0" w:sz="0" w:val="nil"/>
          <w:left w:space="0" w:sz="0" w:val="nil"/>
          <w:bottom w:space="0" w:sz="0" w:val="nil"/>
          <w:right w:space="0" w:sz="0" w:val="nil"/>
          <w:between w:space="0" w:sz="0" w:val="nil"/>
        </w:pBdr>
        <w:ind w:left="720" w:right="39" w:hanging="72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Autoriser PayDunya à utiliser le logo et la marque du Partenaire lors de ses campagnes publicitaires et sur les sites web de PayDunya et dans ses supports de communications. </w:t>
      </w:r>
    </w:p>
    <w:p w:rsidR="00000000" w:rsidDel="00000000" w:rsidP="00000000" w:rsidRDefault="00000000" w:rsidRPr="00000000" w14:paraId="00000078">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w:t>
      </w:r>
    </w:p>
    <w:p w:rsidR="00000000" w:rsidDel="00000000" w:rsidP="00000000" w:rsidRDefault="00000000" w:rsidRPr="00000000" w14:paraId="00000079">
      <w:pPr>
        <w:pBdr>
          <w:top w:space="0" w:sz="0" w:val="nil"/>
          <w:left w:space="0" w:sz="0" w:val="nil"/>
          <w:bottom w:space="0" w:sz="0" w:val="nil"/>
          <w:right w:space="0" w:sz="0" w:val="nil"/>
          <w:between w:space="0" w:sz="0" w:val="nil"/>
        </w:pBdr>
        <w:ind w:left="116" w:right="39" w:firstLine="0"/>
        <w:jc w:val="both"/>
        <w:rPr>
          <w:rFonts w:ascii="Verdana" w:cs="Verdana" w:eastAsia="Verdana" w:hAnsi="Verdana"/>
          <w:b w:val="1"/>
          <w:sz w:val="18"/>
          <w:szCs w:val="18"/>
        </w:rPr>
      </w:pPr>
      <w:r w:rsidDel="00000000" w:rsidR="00000000" w:rsidRPr="00000000">
        <w:rPr>
          <w:rFonts w:ascii="Verdana" w:cs="Verdana" w:eastAsia="Verdana" w:hAnsi="Verdana"/>
          <w:sz w:val="18"/>
          <w:szCs w:val="18"/>
          <w:rtl w:val="0"/>
        </w:rPr>
        <w:t xml:space="preserve"> </w:t>
      </w:r>
      <w:r w:rsidDel="00000000" w:rsidR="00000000" w:rsidRPr="00000000">
        <w:rPr>
          <w:rFonts w:ascii="Verdana" w:cs="Verdana" w:eastAsia="Verdana" w:hAnsi="Verdana"/>
          <w:b w:val="1"/>
          <w:sz w:val="18"/>
          <w:szCs w:val="18"/>
          <w:rtl w:val="0"/>
        </w:rPr>
        <w:t xml:space="preserve"> </w:t>
      </w:r>
    </w:p>
    <w:p w:rsidR="00000000" w:rsidDel="00000000" w:rsidP="00000000" w:rsidRDefault="00000000" w:rsidRPr="00000000" w14:paraId="0000007A">
      <w:pPr>
        <w:pBdr>
          <w:top w:space="0" w:sz="0" w:val="nil"/>
          <w:left w:space="0" w:sz="0" w:val="nil"/>
          <w:bottom w:space="0" w:sz="0" w:val="nil"/>
          <w:right w:space="0" w:sz="0" w:val="nil"/>
          <w:between w:space="0" w:sz="0" w:val="nil"/>
        </w:pBdr>
        <w:ind w:left="116" w:right="39" w:firstLine="0"/>
        <w:jc w:val="both"/>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ARTICLE 5 : OBLIGATIONS DE PAYDUNYA  </w:t>
      </w:r>
    </w:p>
    <w:p w:rsidR="00000000" w:rsidDel="00000000" w:rsidP="00000000" w:rsidRDefault="00000000" w:rsidRPr="00000000" w14:paraId="0000007B">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 </w:t>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PayDunya s’engage à : </w:t>
      </w:r>
    </w:p>
    <w:p w:rsidR="00000000" w:rsidDel="00000000" w:rsidP="00000000" w:rsidRDefault="00000000" w:rsidRPr="00000000" w14:paraId="0000007D">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7E">
      <w:pPr>
        <w:numPr>
          <w:ilvl w:val="0"/>
          <w:numId w:val="1"/>
        </w:numPr>
        <w:pBdr>
          <w:top w:space="0" w:sz="0" w:val="nil"/>
          <w:left w:space="0" w:sz="0" w:val="nil"/>
          <w:bottom w:space="0" w:sz="0" w:val="nil"/>
          <w:right w:space="0" w:sz="0" w:val="nil"/>
          <w:between w:space="0" w:sz="0" w:val="nil"/>
        </w:pBdr>
        <w:ind w:left="720" w:right="39" w:hanging="72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Mettre à disposition des clients du Partenaire les moyens de paiement intégrés sur sa plateforme ; </w:t>
      </w:r>
    </w:p>
    <w:p w:rsidR="00000000" w:rsidDel="00000000" w:rsidP="00000000" w:rsidRDefault="00000000" w:rsidRPr="00000000" w14:paraId="0000007F">
      <w:pPr>
        <w:numPr>
          <w:ilvl w:val="0"/>
          <w:numId w:val="1"/>
        </w:numPr>
        <w:pBdr>
          <w:top w:space="0" w:sz="0" w:val="nil"/>
          <w:left w:space="0" w:sz="0" w:val="nil"/>
          <w:bottom w:space="0" w:sz="0" w:val="nil"/>
          <w:right w:space="0" w:sz="0" w:val="nil"/>
          <w:between w:space="0" w:sz="0" w:val="nil"/>
        </w:pBdr>
        <w:ind w:left="720" w:right="39" w:hanging="72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Fournir au Partenaire l’ensemble des services/produits de PayDunya disponibles dans le menu principal du Compte ; </w:t>
      </w:r>
    </w:p>
    <w:p w:rsidR="00000000" w:rsidDel="00000000" w:rsidP="00000000" w:rsidRDefault="00000000" w:rsidRPr="00000000" w14:paraId="00000080">
      <w:pPr>
        <w:numPr>
          <w:ilvl w:val="0"/>
          <w:numId w:val="1"/>
        </w:numPr>
        <w:pBdr>
          <w:top w:space="0" w:sz="0" w:val="nil"/>
          <w:left w:space="0" w:sz="0" w:val="nil"/>
          <w:bottom w:space="0" w:sz="0" w:val="nil"/>
          <w:right w:space="0" w:sz="0" w:val="nil"/>
          <w:between w:space="0" w:sz="0" w:val="nil"/>
        </w:pBdr>
        <w:ind w:left="720" w:right="39" w:hanging="72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Inscrire dans le Solde Opération le(s) montant(s) demandé(s) en retrait et qui sont en cours de virement vers le compte bancaire du Partenaire ; </w:t>
      </w:r>
    </w:p>
    <w:p w:rsidR="00000000" w:rsidDel="00000000" w:rsidP="00000000" w:rsidRDefault="00000000" w:rsidRPr="00000000" w14:paraId="00000081">
      <w:pPr>
        <w:numPr>
          <w:ilvl w:val="0"/>
          <w:numId w:val="1"/>
        </w:numPr>
        <w:pBdr>
          <w:top w:space="0" w:sz="0" w:val="nil"/>
          <w:left w:space="0" w:sz="0" w:val="nil"/>
          <w:bottom w:space="0" w:sz="0" w:val="nil"/>
          <w:right w:space="0" w:sz="0" w:val="nil"/>
          <w:between w:space="0" w:sz="0" w:val="nil"/>
        </w:pBdr>
        <w:ind w:left="720" w:right="39" w:hanging="72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Reverser en principe à J+2 jours ouvrables et au maximum J+5 jours ouvrables les sommes demandées en retrait vers compte bancaire dans la zone UEMOA ; </w:t>
      </w:r>
    </w:p>
    <w:p w:rsidR="00000000" w:rsidDel="00000000" w:rsidP="00000000" w:rsidRDefault="00000000" w:rsidRPr="00000000" w14:paraId="00000082">
      <w:pPr>
        <w:numPr>
          <w:ilvl w:val="0"/>
          <w:numId w:val="1"/>
        </w:numPr>
        <w:pBdr>
          <w:top w:space="0" w:sz="0" w:val="nil"/>
          <w:left w:space="0" w:sz="0" w:val="nil"/>
          <w:bottom w:space="0" w:sz="0" w:val="nil"/>
          <w:right w:space="0" w:sz="0" w:val="nil"/>
          <w:between w:space="0" w:sz="0" w:val="nil"/>
        </w:pBdr>
        <w:ind w:left="720" w:right="39" w:hanging="72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Mettre à disposition du Partenaire un service client et technique ; </w:t>
      </w:r>
    </w:p>
    <w:p w:rsidR="00000000" w:rsidDel="00000000" w:rsidP="00000000" w:rsidRDefault="00000000" w:rsidRPr="00000000" w14:paraId="00000083">
      <w:pPr>
        <w:numPr>
          <w:ilvl w:val="0"/>
          <w:numId w:val="1"/>
        </w:numPr>
        <w:pBdr>
          <w:top w:space="0" w:sz="0" w:val="nil"/>
          <w:left w:space="0" w:sz="0" w:val="nil"/>
          <w:bottom w:space="0" w:sz="0" w:val="nil"/>
          <w:right w:space="0" w:sz="0" w:val="nil"/>
          <w:between w:space="0" w:sz="0" w:val="nil"/>
        </w:pBdr>
        <w:ind w:left="720" w:right="39" w:hanging="72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Ne pas entreprendre une activité et/ou action pouvant porter préjudice directement ou indirectement aux droits et/ou à la marque du Partenaire ; </w:t>
      </w:r>
    </w:p>
    <w:p w:rsidR="00000000" w:rsidDel="00000000" w:rsidP="00000000" w:rsidRDefault="00000000" w:rsidRPr="00000000" w14:paraId="00000084">
      <w:pPr>
        <w:numPr>
          <w:ilvl w:val="0"/>
          <w:numId w:val="1"/>
        </w:numPr>
        <w:pBdr>
          <w:top w:space="0" w:sz="0" w:val="nil"/>
          <w:left w:space="0" w:sz="0" w:val="nil"/>
          <w:bottom w:space="0" w:sz="0" w:val="nil"/>
          <w:right w:space="0" w:sz="0" w:val="nil"/>
          <w:between w:space="0" w:sz="0" w:val="nil"/>
        </w:pBdr>
        <w:ind w:left="720" w:right="39" w:hanging="72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Ne pas céder tout ou partie du présent contrat ; </w:t>
      </w:r>
    </w:p>
    <w:p w:rsidR="00000000" w:rsidDel="00000000" w:rsidP="00000000" w:rsidRDefault="00000000" w:rsidRPr="00000000" w14:paraId="00000085">
      <w:pPr>
        <w:numPr>
          <w:ilvl w:val="0"/>
          <w:numId w:val="1"/>
        </w:numPr>
        <w:pBdr>
          <w:top w:space="0" w:sz="0" w:val="nil"/>
          <w:left w:space="0" w:sz="0" w:val="nil"/>
          <w:bottom w:space="0" w:sz="0" w:val="nil"/>
          <w:right w:space="0" w:sz="0" w:val="nil"/>
          <w:between w:space="0" w:sz="0" w:val="nil"/>
        </w:pBdr>
        <w:ind w:left="720" w:right="39" w:hanging="72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Autoriser le Partenaire à utiliser le logo et la marque de PayDunya lors de ses campagnes publicitaires et sur les sites web du Partenaire et dans ses supports de communications</w:t>
      </w:r>
    </w:p>
    <w:p w:rsidR="00000000" w:rsidDel="00000000" w:rsidP="00000000" w:rsidRDefault="00000000" w:rsidRPr="00000000" w14:paraId="00000086">
      <w:pPr>
        <w:numPr>
          <w:ilvl w:val="0"/>
          <w:numId w:val="1"/>
        </w:numPr>
        <w:pBdr>
          <w:top w:space="0" w:sz="0" w:val="nil"/>
          <w:left w:space="0" w:sz="0" w:val="nil"/>
          <w:bottom w:space="0" w:sz="0" w:val="nil"/>
          <w:right w:space="0" w:sz="0" w:val="nil"/>
          <w:between w:space="0" w:sz="0" w:val="nil"/>
        </w:pBdr>
        <w:ind w:left="720" w:right="39" w:hanging="72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Respecter les conditions générales d’utilisation et la politique de confidentialité ainsi que leurs modifications ultérieures. </w:t>
      </w:r>
    </w:p>
    <w:p w:rsidR="00000000" w:rsidDel="00000000" w:rsidP="00000000" w:rsidRDefault="00000000" w:rsidRPr="00000000" w14:paraId="00000087">
      <w:pPr>
        <w:pBdr>
          <w:top w:space="0" w:sz="0" w:val="nil"/>
          <w:left w:space="0" w:sz="0" w:val="nil"/>
          <w:bottom w:space="0" w:sz="0" w:val="nil"/>
          <w:right w:space="0" w:sz="0" w:val="nil"/>
          <w:between w:space="0" w:sz="0" w:val="nil"/>
        </w:pBdr>
        <w:ind w:right="39"/>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 </w:t>
      </w: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ind w:left="116" w:right="39" w:firstLine="0"/>
        <w:jc w:val="both"/>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ARTICLE 6 : DUREE  </w:t>
      </w:r>
    </w:p>
    <w:p w:rsidR="00000000" w:rsidDel="00000000" w:rsidP="00000000" w:rsidRDefault="00000000" w:rsidRPr="00000000" w14:paraId="0000008B">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Le présent contrat est conclu pour une durée d’Un (1) an à compter de la date de sa signature par les deux (2) parties. A l’expiration, il sera renouvelé tacitement pour une période équivalente initiale sauf dénonciation par l’une des parties au moins 60 jours avant son échéance.  </w:t>
      </w:r>
    </w:p>
    <w:p w:rsidR="00000000" w:rsidDel="00000000" w:rsidP="00000000" w:rsidRDefault="00000000" w:rsidRPr="00000000" w14:paraId="0000008D">
      <w:pPr>
        <w:pBdr>
          <w:top w:space="0" w:sz="0" w:val="nil"/>
          <w:left w:space="0" w:sz="0" w:val="nil"/>
          <w:bottom w:space="0" w:sz="0" w:val="nil"/>
          <w:right w:space="0" w:sz="0" w:val="nil"/>
          <w:between w:space="0" w:sz="0" w:val="nil"/>
        </w:pBdr>
        <w:ind w:right="39"/>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w:t>
      </w:r>
      <w:r w:rsidDel="00000000" w:rsidR="00000000" w:rsidRPr="00000000">
        <w:rPr>
          <w:rFonts w:ascii="Verdana" w:cs="Verdana" w:eastAsia="Verdana" w:hAnsi="Verdana"/>
          <w:b w:val="1"/>
          <w:sz w:val="18"/>
          <w:szCs w:val="18"/>
          <w:rtl w:val="0"/>
        </w:rPr>
        <w:t xml:space="preserve"> </w:t>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ind w:left="116" w:right="39" w:firstLine="0"/>
        <w:jc w:val="both"/>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ARTICLE 7 : FRAIS  </w:t>
      </w:r>
    </w:p>
    <w:p w:rsidR="00000000" w:rsidDel="00000000" w:rsidP="00000000" w:rsidRDefault="00000000" w:rsidRPr="00000000" w14:paraId="00000090">
      <w:pP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91">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Le Partenaire est redevable d’un montant mensuel forfaitaire de 20.000 FCFA en guise de frais de gestion de compte. Ce montant est dû sauf si le Partenaire atteint le second palier de la tarification en dessous. </w:t>
      </w:r>
    </w:p>
    <w:p w:rsidR="00000000" w:rsidDel="00000000" w:rsidP="00000000" w:rsidRDefault="00000000" w:rsidRPr="00000000" w14:paraId="00000092">
      <w:pP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93">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De plus, l’absence de transactions pendant trois (3) mois consécutifs confère au Partenaire la qualité de « Client inactif » et verra son compte suspendu.</w:t>
      </w:r>
    </w:p>
    <w:p w:rsidR="00000000" w:rsidDel="00000000" w:rsidP="00000000" w:rsidRDefault="00000000" w:rsidRPr="00000000" w14:paraId="00000094">
      <w:pP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95">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La réactivation du compte du Partenaire sera possible après versement des arriérés de frais de gestion.</w:t>
      </w:r>
    </w:p>
    <w:p w:rsidR="00000000" w:rsidDel="00000000" w:rsidP="00000000" w:rsidRDefault="00000000" w:rsidRPr="00000000" w14:paraId="00000096">
      <w:pP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97">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Le règlement des frais mensuels de gestion s’opère de manière automatique le 5 du mois suivant par débit du compte PayDunya du Partenaire.</w:t>
      </w:r>
    </w:p>
    <w:p w:rsidR="00000000" w:rsidDel="00000000" w:rsidP="00000000" w:rsidRDefault="00000000" w:rsidRPr="00000000" w14:paraId="00000098">
      <w:pP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99">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Le client peut suspendre son compte afin de ne pas subir les facturations mensuelles et le réactiver quand il est de nouveau prêt à utiliser son compte.</w:t>
      </w:r>
    </w:p>
    <w:p w:rsidR="00000000" w:rsidDel="00000000" w:rsidP="00000000" w:rsidRDefault="00000000" w:rsidRPr="00000000" w14:paraId="0000009A">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Tous les montants sont exprimés en F CFA. Les taux ci-dessous sont appliqués sur le montant total de la transaction toutes taxes comprises (« TTC ») et les frais à la charge du Partenaire sont réputés TTC, le cas échéant.</w:t>
      </w:r>
    </w:p>
    <w:p w:rsidR="00000000" w:rsidDel="00000000" w:rsidP="00000000" w:rsidRDefault="00000000" w:rsidRPr="00000000" w14:paraId="0000009C">
      <w:pPr>
        <w:pBdr>
          <w:top w:space="0" w:sz="0" w:val="nil"/>
          <w:left w:space="0" w:sz="0" w:val="nil"/>
          <w:bottom w:space="0" w:sz="0" w:val="nil"/>
          <w:right w:space="0" w:sz="0" w:val="nil"/>
          <w:between w:space="0" w:sz="0" w:val="nil"/>
        </w:pBdr>
        <w:ind w:left="116" w:right="39" w:firstLine="0"/>
        <w:jc w:val="both"/>
        <w:rPr>
          <w:rFonts w:ascii="Verdana" w:cs="Verdana" w:eastAsia="Verdana" w:hAnsi="Verdana"/>
          <w:b w:val="1"/>
          <w:sz w:val="18"/>
          <w:szCs w:val="18"/>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ind w:left="116" w:right="39" w:firstLine="0"/>
        <w:jc w:val="both"/>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7.1 Frais WebPay, MobPay, Collect et Demande de paiement par transaction</w:t>
      </w:r>
    </w:p>
    <w:p w:rsidR="00000000" w:rsidDel="00000000" w:rsidP="00000000" w:rsidRDefault="00000000" w:rsidRPr="00000000" w14:paraId="0000009F">
      <w:pPr>
        <w:pBdr>
          <w:top w:space="0" w:sz="0" w:val="nil"/>
          <w:left w:space="0" w:sz="0" w:val="nil"/>
          <w:bottom w:space="0" w:sz="0" w:val="nil"/>
          <w:right w:space="0" w:sz="0" w:val="nil"/>
          <w:between w:space="0" w:sz="0" w:val="nil"/>
        </w:pBdr>
        <w:ind w:right="39"/>
        <w:jc w:val="both"/>
        <w:rPr>
          <w:rFonts w:ascii="Verdana" w:cs="Verdana" w:eastAsia="Verdana" w:hAnsi="Verdana"/>
          <w:b w:val="1"/>
          <w:sz w:val="18"/>
          <w:szCs w:val="18"/>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ind w:left="116" w:right="39" w:firstLine="0"/>
        <w:jc w:val="both"/>
        <w:rPr>
          <w:rFonts w:ascii="Verdana" w:cs="Verdana" w:eastAsia="Verdana" w:hAnsi="Verdana"/>
          <w:b w:val="1"/>
          <w:sz w:val="18"/>
          <w:szCs w:val="18"/>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ind w:left="116" w:right="39" w:firstLine="0"/>
        <w:jc w:val="both"/>
        <w:rPr>
          <w:rFonts w:ascii="Verdana" w:cs="Verdana" w:eastAsia="Verdana" w:hAnsi="Verdana"/>
          <w:b w:val="1"/>
          <w:sz w:val="18"/>
          <w:szCs w:val="18"/>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ind w:left="116" w:right="39" w:firstLine="0"/>
        <w:jc w:val="both"/>
        <w:rPr>
          <w:rFonts w:ascii="Verdana" w:cs="Verdana" w:eastAsia="Verdana" w:hAnsi="Verdana"/>
          <w:b w:val="1"/>
          <w:sz w:val="18"/>
          <w:szCs w:val="18"/>
        </w:rPr>
      </w:pPr>
      <w:r w:rsidDel="00000000" w:rsidR="00000000" w:rsidRPr="00000000">
        <w:rPr>
          <w:rtl w:val="0"/>
        </w:rPr>
      </w:r>
    </w:p>
    <w:tbl>
      <w:tblPr>
        <w:tblStyle w:val="Table1"/>
        <w:tblW w:w="9394.0" w:type="dxa"/>
        <w:jc w:val="left"/>
        <w:tblLayout w:type="fixed"/>
        <w:tblLook w:val="0400"/>
      </w:tblPr>
      <w:tblGrid>
        <w:gridCol w:w="1410"/>
        <w:gridCol w:w="1559"/>
        <w:gridCol w:w="1701"/>
        <w:gridCol w:w="2300"/>
        <w:gridCol w:w="1143"/>
        <w:gridCol w:w="1281"/>
        <w:tblGridChange w:id="0">
          <w:tblGrid>
            <w:gridCol w:w="1410"/>
            <w:gridCol w:w="1559"/>
            <w:gridCol w:w="1701"/>
            <w:gridCol w:w="2300"/>
            <w:gridCol w:w="1143"/>
            <w:gridCol w:w="1281"/>
          </w:tblGrid>
        </w:tblGridChange>
      </w:tblGrid>
      <w:tr>
        <w:trPr>
          <w:cantSplit w:val="0"/>
          <w:trHeight w:val="315" w:hRule="atLeast"/>
          <w:tblHeader w:val="0"/>
        </w:trPr>
        <w:tc>
          <w:tcPr>
            <w:gridSpan w:val="6"/>
            <w:tcBorders>
              <w:top w:color="000000" w:space="0" w:sz="6" w:val="single"/>
              <w:left w:color="000000" w:space="0" w:sz="6" w:val="single"/>
              <w:bottom w:color="000000" w:space="0" w:sz="6" w:val="single"/>
              <w:right w:color="000000" w:space="0" w:sz="6" w:val="single"/>
            </w:tcBorders>
            <w:shd w:fill="d9d9d9" w:val="clear"/>
            <w:tcMar>
              <w:top w:w="30.0" w:type="dxa"/>
              <w:left w:w="45.0" w:type="dxa"/>
              <w:bottom w:w="30.0" w:type="dxa"/>
              <w:right w:w="45.0" w:type="dxa"/>
            </w:tcMar>
            <w:vAlign w:val="bottom"/>
          </w:tcPr>
          <w:p w:rsidR="00000000" w:rsidDel="00000000" w:rsidP="00000000" w:rsidRDefault="00000000" w:rsidRPr="00000000" w14:paraId="000000A3">
            <w:pPr>
              <w:pBdr>
                <w:top w:space="0" w:sz="0" w:val="nil"/>
                <w:left w:space="0" w:sz="0" w:val="nil"/>
                <w:bottom w:space="0" w:sz="0" w:val="nil"/>
                <w:right w:space="0" w:sz="0" w:val="nil"/>
                <w:between w:space="0" w:sz="0" w:val="nil"/>
              </w:pBdr>
              <w:ind w:left="116" w:right="39" w:firstLine="0"/>
              <w:jc w:val="center"/>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Frais Payin</w:t>
            </w:r>
          </w:p>
        </w:tc>
      </w:tr>
      <w:tr>
        <w:trPr>
          <w:cantSplit w:val="0"/>
          <w:trHeight w:val="1080" w:hRule="atLeast"/>
          <w:tblHeader w:val="0"/>
        </w:trPr>
        <w:tc>
          <w:tcPr>
            <w:gridSpan w:val="2"/>
            <w:tcBorders>
              <w:top w:color="cccccc" w:space="0" w:sz="6" w:val="single"/>
              <w:left w:color="000000" w:space="0" w:sz="6" w:val="single"/>
              <w:bottom w:color="000000" w:space="0" w:sz="6" w:val="single"/>
              <w:right w:color="000000" w:space="0" w:sz="6" w:val="single"/>
            </w:tcBorders>
            <w:shd w:fill="d9d9d9" w:val="clear"/>
            <w:tcMar>
              <w:top w:w="30.0" w:type="dxa"/>
              <w:left w:w="45.0" w:type="dxa"/>
              <w:bottom w:w="30.0" w:type="dxa"/>
              <w:right w:w="45.0" w:type="dxa"/>
            </w:tcMar>
            <w:vAlign w:val="bottom"/>
          </w:tcPr>
          <w:p w:rsidR="00000000" w:rsidDel="00000000" w:rsidP="00000000" w:rsidRDefault="00000000" w:rsidRPr="00000000" w14:paraId="000000A9">
            <w:pPr>
              <w:pBdr>
                <w:top w:space="0" w:sz="0" w:val="nil"/>
                <w:left w:space="0" w:sz="0" w:val="nil"/>
                <w:bottom w:space="0" w:sz="0" w:val="nil"/>
                <w:right w:space="0" w:sz="0" w:val="nil"/>
                <w:between w:space="0" w:sz="0" w:val="nil"/>
              </w:pBdr>
              <w:ind w:left="116" w:right="39" w:firstLine="0"/>
              <w:jc w:val="both"/>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Flux (FCFA)</w:t>
            </w:r>
          </w:p>
        </w:tc>
        <w:tc>
          <w:tcPr>
            <w:tcBorders>
              <w:top w:color="cccccc" w:space="0" w:sz="6" w:val="single"/>
              <w:left w:color="cccccc" w:space="0" w:sz="6" w:val="single"/>
              <w:bottom w:color="000000" w:space="0" w:sz="6" w:val="single"/>
              <w:right w:color="000000" w:space="0" w:sz="6" w:val="single"/>
            </w:tcBorders>
            <w:shd w:fill="d9d9d9" w:val="clear"/>
            <w:tcMar>
              <w:top w:w="30.0" w:type="dxa"/>
              <w:left w:w="45.0" w:type="dxa"/>
              <w:bottom w:w="30.0" w:type="dxa"/>
              <w:right w:w="45.0" w:type="dxa"/>
            </w:tcMar>
            <w:vAlign w:val="bottom"/>
          </w:tcPr>
          <w:p w:rsidR="00000000" w:rsidDel="00000000" w:rsidP="00000000" w:rsidRDefault="00000000" w:rsidRPr="00000000" w14:paraId="000000AB">
            <w:pPr>
              <w:pBdr>
                <w:top w:space="0" w:sz="0" w:val="nil"/>
                <w:left w:space="0" w:sz="0" w:val="nil"/>
                <w:bottom w:space="0" w:sz="0" w:val="nil"/>
                <w:right w:space="0" w:sz="0" w:val="nil"/>
                <w:between w:space="0" w:sz="0" w:val="nil"/>
              </w:pBdr>
              <w:ind w:left="116" w:right="39" w:firstLine="0"/>
              <w:jc w:val="both"/>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Wallet Bénin: </w:t>
            </w:r>
            <w:r w:rsidDel="00000000" w:rsidR="00000000" w:rsidRPr="00000000">
              <w:rPr>
                <w:rFonts w:ascii="Verdana" w:cs="Verdana" w:eastAsia="Verdana" w:hAnsi="Verdana"/>
                <w:sz w:val="18"/>
                <w:szCs w:val="18"/>
                <w:rtl w:val="0"/>
              </w:rPr>
              <w:t xml:space="preserve">Moov Money, MTN Mobile Money</w:t>
              <w:br w:type="textWrapping"/>
            </w:r>
            <w:r w:rsidDel="00000000" w:rsidR="00000000" w:rsidRPr="00000000">
              <w:rPr>
                <w:rFonts w:ascii="Verdana" w:cs="Verdana" w:eastAsia="Verdana" w:hAnsi="Verdana"/>
                <w:b w:val="1"/>
                <w:sz w:val="18"/>
                <w:szCs w:val="18"/>
                <w:rtl w:val="0"/>
              </w:rPr>
              <w:t xml:space="preserve">Wallet Sénégal: </w:t>
            </w:r>
            <w:r w:rsidDel="00000000" w:rsidR="00000000" w:rsidRPr="00000000">
              <w:rPr>
                <w:rFonts w:ascii="Verdana" w:cs="Verdana" w:eastAsia="Verdana" w:hAnsi="Verdana"/>
                <w:sz w:val="18"/>
                <w:szCs w:val="18"/>
                <w:rtl w:val="0"/>
              </w:rPr>
              <w:t xml:space="preserve">Orange Money, Free Money, E-Money, Wizall Money</w:t>
            </w:r>
            <w:r w:rsidDel="00000000" w:rsidR="00000000" w:rsidRPr="00000000">
              <w:rPr>
                <w:rFonts w:ascii="Verdana" w:cs="Verdana" w:eastAsia="Verdana" w:hAnsi="Verdana"/>
                <w:b w:val="1"/>
                <w:sz w:val="18"/>
                <w:szCs w:val="18"/>
                <w:rtl w:val="0"/>
              </w:rPr>
              <w:br w:type="textWrapping"/>
              <w:t xml:space="preserve">Wallet Mali: </w:t>
            </w:r>
            <w:r w:rsidDel="00000000" w:rsidR="00000000" w:rsidRPr="00000000">
              <w:rPr>
                <w:rFonts w:ascii="Verdana" w:cs="Verdana" w:eastAsia="Verdana" w:hAnsi="Verdana"/>
                <w:sz w:val="18"/>
                <w:szCs w:val="18"/>
                <w:rtl w:val="0"/>
              </w:rPr>
              <w:t xml:space="preserve">Orange Money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d9d9" w:val="clear"/>
            <w:tcMar>
              <w:top w:w="30.0" w:type="dxa"/>
              <w:left w:w="45.0" w:type="dxa"/>
              <w:bottom w:w="30.0" w:type="dxa"/>
              <w:right w:w="45.0" w:type="dxa"/>
            </w:tcMar>
            <w:vAlign w:val="bottom"/>
          </w:tcPr>
          <w:p w:rsidR="00000000" w:rsidDel="00000000" w:rsidP="00000000" w:rsidRDefault="00000000" w:rsidRPr="00000000" w14:paraId="000000AC">
            <w:pPr>
              <w:pBdr>
                <w:top w:space="0" w:sz="0" w:val="nil"/>
                <w:left w:space="0" w:sz="0" w:val="nil"/>
                <w:bottom w:space="0" w:sz="0" w:val="nil"/>
                <w:right w:space="0" w:sz="0" w:val="nil"/>
                <w:between w:space="0" w:sz="0" w:val="nil"/>
              </w:pBdr>
              <w:ind w:left="116" w:right="39" w:firstLine="0"/>
              <w:jc w:val="both"/>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Wallet Bukina: </w:t>
            </w:r>
            <w:r w:rsidDel="00000000" w:rsidR="00000000" w:rsidRPr="00000000">
              <w:rPr>
                <w:rFonts w:ascii="Verdana" w:cs="Verdana" w:eastAsia="Verdana" w:hAnsi="Verdana"/>
                <w:sz w:val="18"/>
                <w:szCs w:val="18"/>
                <w:rtl w:val="0"/>
              </w:rPr>
              <w:t xml:space="preserve">Orange Money, moov</w:t>
            </w:r>
            <w:r w:rsidDel="00000000" w:rsidR="00000000" w:rsidRPr="00000000">
              <w:rPr>
                <w:rFonts w:ascii="Verdana" w:cs="Verdana" w:eastAsia="Verdana" w:hAnsi="Verdana"/>
                <w:b w:val="1"/>
                <w:sz w:val="18"/>
                <w:szCs w:val="18"/>
                <w:rtl w:val="0"/>
              </w:rPr>
              <w:br w:type="textWrapping"/>
              <w:t xml:space="preserve">Wallet Côte d’Ivoire: </w:t>
            </w:r>
            <w:r w:rsidDel="00000000" w:rsidR="00000000" w:rsidRPr="00000000">
              <w:rPr>
                <w:rFonts w:ascii="Verdana" w:cs="Verdana" w:eastAsia="Verdana" w:hAnsi="Verdana"/>
                <w:sz w:val="18"/>
                <w:szCs w:val="18"/>
                <w:rtl w:val="0"/>
              </w:rPr>
              <w:t xml:space="preserve">Orange Money, MTN Mobile Money, moov Money</w:t>
              <w:br w:type="textWrapping"/>
            </w:r>
            <w:r w:rsidDel="00000000" w:rsidR="00000000" w:rsidRPr="00000000">
              <w:rPr>
                <w:rFonts w:ascii="Verdana" w:cs="Verdana" w:eastAsia="Verdana" w:hAnsi="Verdana"/>
                <w:b w:val="1"/>
                <w:sz w:val="18"/>
                <w:szCs w:val="18"/>
                <w:rtl w:val="0"/>
              </w:rPr>
              <w:t xml:space="preserve">Wallet Mali: </w:t>
            </w:r>
            <w:r w:rsidDel="00000000" w:rsidR="00000000" w:rsidRPr="00000000">
              <w:rPr>
                <w:rFonts w:ascii="Verdana" w:cs="Verdana" w:eastAsia="Verdana" w:hAnsi="Verdana"/>
                <w:sz w:val="18"/>
                <w:szCs w:val="18"/>
                <w:rtl w:val="0"/>
              </w:rPr>
              <w:t xml:space="preserve">Moov Mobile Money</w:t>
            </w:r>
            <w:r w:rsidDel="00000000" w:rsidR="00000000" w:rsidRPr="00000000">
              <w:rPr>
                <w:rFonts w:ascii="Verdana" w:cs="Verdana" w:eastAsia="Verdana" w:hAnsi="Verdana"/>
                <w:b w:val="1"/>
                <w:sz w:val="18"/>
                <w:szCs w:val="18"/>
                <w:rtl w:val="0"/>
              </w:rPr>
              <w:br w:type="textWrapping"/>
              <w:t xml:space="preserve">Wallet Togo: </w:t>
            </w:r>
            <w:r w:rsidDel="00000000" w:rsidR="00000000" w:rsidRPr="00000000">
              <w:rPr>
                <w:rFonts w:ascii="Verdana" w:cs="Verdana" w:eastAsia="Verdana" w:hAnsi="Verdana"/>
                <w:sz w:val="18"/>
                <w:szCs w:val="18"/>
                <w:rtl w:val="0"/>
              </w:rPr>
              <w:t xml:space="preserve">T-money, Moov Money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d9d9" w:val="clear"/>
            <w:tcMar>
              <w:top w:w="30.0" w:type="dxa"/>
              <w:left w:w="45.0" w:type="dxa"/>
              <w:bottom w:w="30.0" w:type="dxa"/>
              <w:right w:w="45.0" w:type="dxa"/>
            </w:tcMar>
            <w:vAlign w:val="bottom"/>
          </w:tcPr>
          <w:p w:rsidR="00000000" w:rsidDel="00000000" w:rsidP="00000000" w:rsidRDefault="00000000" w:rsidRPr="00000000" w14:paraId="000000AD">
            <w:pPr>
              <w:pBdr>
                <w:top w:space="0" w:sz="0" w:val="nil"/>
                <w:left w:space="0" w:sz="0" w:val="nil"/>
                <w:bottom w:space="0" w:sz="0" w:val="nil"/>
                <w:right w:space="0" w:sz="0" w:val="nil"/>
                <w:between w:space="0" w:sz="0" w:val="nil"/>
              </w:pBdr>
              <w:ind w:left="116" w:right="39" w:firstLine="0"/>
              <w:jc w:val="both"/>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Wave Sénégal et Wave Côte d’Ivoire </w:t>
            </w:r>
          </w:p>
        </w:tc>
        <w:tc>
          <w:tcPr>
            <w:tcBorders>
              <w:top w:color="cccccc" w:space="0" w:sz="6" w:val="single"/>
              <w:left w:color="cccccc" w:space="0" w:sz="6" w:val="single"/>
              <w:bottom w:color="000000" w:space="0" w:sz="6" w:val="single"/>
              <w:right w:color="000000" w:space="0" w:sz="6" w:val="single"/>
            </w:tcBorders>
            <w:shd w:fill="cccccc" w:val="clear"/>
            <w:tcMar>
              <w:top w:w="30.0" w:type="dxa"/>
              <w:left w:w="45.0" w:type="dxa"/>
              <w:bottom w:w="30.0" w:type="dxa"/>
              <w:right w:w="45.0" w:type="dxa"/>
            </w:tcMar>
            <w:vAlign w:val="bottom"/>
          </w:tcPr>
          <w:p w:rsidR="00000000" w:rsidDel="00000000" w:rsidP="00000000" w:rsidRDefault="00000000" w:rsidRPr="00000000" w14:paraId="000000AE">
            <w:pPr>
              <w:pBdr>
                <w:top w:space="0" w:sz="0" w:val="nil"/>
                <w:left w:space="0" w:sz="0" w:val="nil"/>
                <w:bottom w:space="0" w:sz="0" w:val="nil"/>
                <w:right w:space="0" w:sz="0" w:val="nil"/>
                <w:between w:space="0" w:sz="0" w:val="nil"/>
              </w:pBdr>
              <w:ind w:left="116" w:right="39" w:firstLine="0"/>
              <w:jc w:val="both"/>
              <w:rPr>
                <w:rFonts w:ascii="Verdana" w:cs="Verdana" w:eastAsia="Verdana" w:hAnsi="Verdana"/>
                <w:b w:val="1"/>
                <w:sz w:val="18"/>
                <w:szCs w:val="18"/>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ind w:left="116" w:right="39" w:firstLine="0"/>
              <w:jc w:val="both"/>
              <w:rPr>
                <w:rFonts w:ascii="Verdana" w:cs="Verdana" w:eastAsia="Verdana" w:hAnsi="Verdana"/>
                <w:b w:val="1"/>
                <w:sz w:val="18"/>
                <w:szCs w:val="18"/>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ind w:left="116" w:right="39" w:firstLine="0"/>
              <w:jc w:val="both"/>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Cartes bancaires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30.0" w:type="dxa"/>
              <w:left w:w="45.0" w:type="dxa"/>
              <w:bottom w:w="30.0" w:type="dxa"/>
              <w:right w:w="45.0" w:type="dxa"/>
            </w:tcMar>
            <w:vAlign w:val="bottom"/>
          </w:tcPr>
          <w:p w:rsidR="00000000" w:rsidDel="00000000" w:rsidP="00000000" w:rsidRDefault="00000000" w:rsidRPr="00000000" w14:paraId="000000B1">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200</w:t>
            </w:r>
          </w:p>
        </w:tc>
        <w:tc>
          <w:tcPr>
            <w:tcBorders>
              <w:top w:color="cccccc" w:space="0" w:sz="6" w:val="single"/>
              <w:left w:color="cccccc" w:space="0" w:sz="6" w:val="single"/>
              <w:bottom w:color="000000" w:space="0" w:sz="6" w:val="single"/>
              <w:right w:color="000000" w:space="0" w:sz="6" w:val="single"/>
            </w:tcBorders>
            <w:shd w:fill="ffffff" w:val="clear"/>
            <w:tcMar>
              <w:top w:w="30.0" w:type="dxa"/>
              <w:left w:w="45.0" w:type="dxa"/>
              <w:bottom w:w="30.0" w:type="dxa"/>
              <w:right w:w="45.0" w:type="dxa"/>
            </w:tcMar>
            <w:vAlign w:val="bottom"/>
          </w:tcPr>
          <w:p w:rsidR="00000000" w:rsidDel="00000000" w:rsidP="00000000" w:rsidRDefault="00000000" w:rsidRPr="00000000" w14:paraId="000000B2">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99 999 999</w:t>
            </w:r>
          </w:p>
        </w:tc>
        <w:tc>
          <w:tcPr>
            <w:tcBorders>
              <w:top w:color="cccccc" w:space="0" w:sz="6" w:val="single"/>
              <w:left w:color="cccccc" w:space="0" w:sz="6" w:val="single"/>
              <w:bottom w:color="000000" w:space="0" w:sz="6" w:val="single"/>
              <w:right w:color="000000" w:space="0" w:sz="6" w:val="single"/>
            </w:tcBorders>
            <w:shd w:fill="ffffff" w:val="clear"/>
            <w:tcMar>
              <w:top w:w="30.0" w:type="dxa"/>
              <w:left w:w="45.0" w:type="dxa"/>
              <w:bottom w:w="30.0" w:type="dxa"/>
              <w:right w:w="45.0" w:type="dxa"/>
            </w:tcMar>
            <w:vAlign w:val="bottom"/>
          </w:tcPr>
          <w:p w:rsidR="00000000" w:rsidDel="00000000" w:rsidP="00000000" w:rsidRDefault="00000000" w:rsidRPr="00000000" w14:paraId="000000B3">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1,5%</w:t>
            </w:r>
          </w:p>
        </w:tc>
        <w:tc>
          <w:tcPr>
            <w:tcBorders>
              <w:top w:color="cccccc" w:space="0" w:sz="6" w:val="single"/>
              <w:left w:color="cccccc" w:space="0" w:sz="6" w:val="single"/>
              <w:bottom w:color="000000" w:space="0" w:sz="6" w:val="single"/>
              <w:right w:color="000000" w:space="0" w:sz="6" w:val="single"/>
            </w:tcBorders>
            <w:shd w:fill="ffffff" w:val="clear"/>
            <w:tcMar>
              <w:top w:w="30.0" w:type="dxa"/>
              <w:left w:w="45.0" w:type="dxa"/>
              <w:bottom w:w="30.0" w:type="dxa"/>
              <w:right w:w="45.0" w:type="dxa"/>
            </w:tcMar>
            <w:vAlign w:val="bottom"/>
          </w:tcPr>
          <w:p w:rsidR="00000000" w:rsidDel="00000000" w:rsidP="00000000" w:rsidRDefault="00000000" w:rsidRPr="00000000" w14:paraId="000000B4">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2,5%</w:t>
            </w:r>
          </w:p>
        </w:tc>
        <w:tc>
          <w:tcPr>
            <w:tcBorders>
              <w:top w:color="cccccc" w:space="0" w:sz="6" w:val="single"/>
              <w:left w:color="cccccc" w:space="0" w:sz="6" w:val="single"/>
              <w:bottom w:color="000000" w:space="0" w:sz="6" w:val="single"/>
              <w:right w:color="000000" w:space="0" w:sz="6" w:val="single"/>
            </w:tcBorders>
            <w:shd w:fill="ffffff" w:val="clear"/>
            <w:tcMar>
              <w:top w:w="30.0" w:type="dxa"/>
              <w:left w:w="45.0" w:type="dxa"/>
              <w:bottom w:w="30.0" w:type="dxa"/>
              <w:right w:w="45.0" w:type="dxa"/>
            </w:tcMar>
            <w:vAlign w:val="bottom"/>
          </w:tcPr>
          <w:p w:rsidR="00000000" w:rsidDel="00000000" w:rsidP="00000000" w:rsidRDefault="00000000" w:rsidRPr="00000000" w14:paraId="000000B5">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2%</w:t>
            </w:r>
          </w:p>
        </w:tc>
        <w:tc>
          <w:tcPr>
            <w:vMerge w:val="restart"/>
            <w:tcBorders>
              <w:top w:color="cccccc" w:space="0" w:sz="6" w:val="single"/>
              <w:left w:color="cccccc" w:space="0" w:sz="6" w:val="single"/>
              <w:bottom w:color="000000" w:space="0" w:sz="6" w:val="single"/>
              <w:right w:color="000000" w:space="0" w:sz="6" w:val="single"/>
            </w:tcBorders>
            <w:shd w:fill="ffffff" w:val="clear"/>
            <w:tcMar>
              <w:top w:w="30.0" w:type="dxa"/>
              <w:left w:w="45.0" w:type="dxa"/>
              <w:bottom w:w="30.0" w:type="dxa"/>
              <w:right w:w="45.0" w:type="dxa"/>
            </w:tcMar>
            <w:vAlign w:val="bottom"/>
          </w:tcPr>
          <w:p w:rsidR="00000000" w:rsidDel="00000000" w:rsidP="00000000" w:rsidRDefault="00000000" w:rsidRPr="00000000" w14:paraId="000000B6">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30.0" w:type="dxa"/>
              <w:left w:w="45.0" w:type="dxa"/>
              <w:bottom w:w="30.0" w:type="dxa"/>
              <w:right w:w="45.0" w:type="dxa"/>
            </w:tcMar>
            <w:vAlign w:val="bottom"/>
          </w:tcPr>
          <w:p w:rsidR="00000000" w:rsidDel="00000000" w:rsidP="00000000" w:rsidRDefault="00000000" w:rsidRPr="00000000" w14:paraId="000000B7">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100 000 000</w:t>
            </w:r>
          </w:p>
        </w:tc>
        <w:tc>
          <w:tcPr>
            <w:tcBorders>
              <w:top w:color="cccccc" w:space="0" w:sz="6" w:val="single"/>
              <w:left w:color="cccccc" w:space="0" w:sz="6" w:val="single"/>
              <w:bottom w:color="000000" w:space="0" w:sz="6" w:val="single"/>
              <w:right w:color="000000" w:space="0" w:sz="6" w:val="single"/>
            </w:tcBorders>
            <w:shd w:fill="ffffff" w:val="clear"/>
            <w:tcMar>
              <w:top w:w="30.0" w:type="dxa"/>
              <w:left w:w="45.0" w:type="dxa"/>
              <w:bottom w:w="30.0" w:type="dxa"/>
              <w:right w:w="45.0" w:type="dxa"/>
            </w:tcMar>
            <w:vAlign w:val="bottom"/>
          </w:tcPr>
          <w:p w:rsidR="00000000" w:rsidDel="00000000" w:rsidP="00000000" w:rsidRDefault="00000000" w:rsidRPr="00000000" w14:paraId="000000B8">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999 999 999</w:t>
            </w:r>
          </w:p>
        </w:tc>
        <w:tc>
          <w:tcPr>
            <w:tcBorders>
              <w:top w:color="cccccc" w:space="0" w:sz="6" w:val="single"/>
              <w:left w:color="cccccc" w:space="0" w:sz="6" w:val="single"/>
              <w:bottom w:color="000000" w:space="0" w:sz="6" w:val="single"/>
              <w:right w:color="000000" w:space="0" w:sz="6" w:val="single"/>
            </w:tcBorders>
            <w:shd w:fill="ffffff" w:val="clear"/>
            <w:tcMar>
              <w:top w:w="30.0" w:type="dxa"/>
              <w:left w:w="45.0" w:type="dxa"/>
              <w:bottom w:w="30.0" w:type="dxa"/>
              <w:right w:w="45.0" w:type="dxa"/>
            </w:tcMar>
            <w:vAlign w:val="bottom"/>
          </w:tcPr>
          <w:p w:rsidR="00000000" w:rsidDel="00000000" w:rsidP="00000000" w:rsidRDefault="00000000" w:rsidRPr="00000000" w14:paraId="000000B9">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1,3%</w:t>
            </w:r>
          </w:p>
        </w:tc>
        <w:tc>
          <w:tcPr>
            <w:tcBorders>
              <w:top w:color="cccccc" w:space="0" w:sz="6" w:val="single"/>
              <w:left w:color="cccccc" w:space="0" w:sz="6" w:val="single"/>
              <w:bottom w:color="000000" w:space="0" w:sz="6" w:val="single"/>
              <w:right w:color="000000" w:space="0" w:sz="6" w:val="single"/>
            </w:tcBorders>
            <w:shd w:fill="ffffff" w:val="clear"/>
            <w:tcMar>
              <w:top w:w="30.0" w:type="dxa"/>
              <w:left w:w="45.0" w:type="dxa"/>
              <w:bottom w:w="30.0" w:type="dxa"/>
              <w:right w:w="45.0" w:type="dxa"/>
            </w:tcMar>
            <w:vAlign w:val="bottom"/>
          </w:tcPr>
          <w:p w:rsidR="00000000" w:rsidDel="00000000" w:rsidP="00000000" w:rsidRDefault="00000000" w:rsidRPr="00000000" w14:paraId="000000BA">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2,3%</w:t>
            </w:r>
          </w:p>
        </w:tc>
        <w:tc>
          <w:tcPr>
            <w:tcBorders>
              <w:top w:color="cccccc" w:space="0" w:sz="6" w:val="single"/>
              <w:left w:color="cccccc" w:space="0" w:sz="6" w:val="single"/>
              <w:bottom w:color="000000" w:space="0" w:sz="6" w:val="single"/>
              <w:right w:color="000000" w:space="0" w:sz="6" w:val="single"/>
            </w:tcBorders>
            <w:shd w:fill="ffffff" w:val="clear"/>
            <w:tcMar>
              <w:top w:w="30.0" w:type="dxa"/>
              <w:left w:w="45.0" w:type="dxa"/>
              <w:bottom w:w="30.0" w:type="dxa"/>
              <w:right w:w="45.0" w:type="dxa"/>
            </w:tcMar>
            <w:vAlign w:val="bottom"/>
          </w:tcPr>
          <w:p w:rsidR="00000000" w:rsidDel="00000000" w:rsidP="00000000" w:rsidRDefault="00000000" w:rsidRPr="00000000" w14:paraId="000000BB">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1,8%</w:t>
            </w:r>
          </w:p>
        </w:tc>
        <w:tc>
          <w:tcPr>
            <w:vMerge w:val="continue"/>
            <w:tcBorders>
              <w:top w:color="cccccc" w:space="0" w:sz="6" w:val="single"/>
              <w:left w:color="cccccc" w:space="0" w:sz="6" w:val="single"/>
              <w:bottom w:color="000000" w:space="0" w:sz="6" w:val="single"/>
              <w:right w:color="000000" w:space="0" w:sz="6" w:val="single"/>
            </w:tcBorders>
            <w:shd w:fill="ffffff" w:val="clear"/>
            <w:tcMar>
              <w:top w:w="30.0" w:type="dxa"/>
              <w:left w:w="45.0" w:type="dxa"/>
              <w:bottom w:w="30.0" w:type="dxa"/>
              <w:right w:w="45.0" w:type="dxa"/>
            </w:tcMar>
            <w:vAlign w:val="bottom"/>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18"/>
                <w:szCs w:val="18"/>
              </w:rPr>
            </w:pPr>
            <w:r w:rsidDel="00000000" w:rsidR="00000000" w:rsidRPr="00000000">
              <w:rPr>
                <w:rtl w:val="0"/>
              </w:rPr>
            </w:r>
          </w:p>
        </w:tc>
      </w:tr>
      <w:tr>
        <w:trPr>
          <w:cantSplit w:val="0"/>
          <w:trHeight w:val="315" w:hRule="atLeast"/>
          <w:tblHeader w:val="0"/>
        </w:trPr>
        <w:tc>
          <w:tcPr>
            <w:gridSpan w:val="2"/>
            <w:tcBorders>
              <w:top w:color="cccccc" w:space="0" w:sz="6" w:val="single"/>
              <w:left w:color="000000" w:space="0" w:sz="6" w:val="single"/>
              <w:bottom w:color="000000" w:space="0" w:sz="6" w:val="single"/>
              <w:right w:color="000000" w:space="0" w:sz="6" w:val="single"/>
            </w:tcBorders>
            <w:shd w:fill="ffffff" w:val="clear"/>
            <w:tcMar>
              <w:top w:w="30.0" w:type="dxa"/>
              <w:left w:w="45.0" w:type="dxa"/>
              <w:bottom w:w="30.0" w:type="dxa"/>
              <w:right w:w="45.0" w:type="dxa"/>
            </w:tcMar>
            <w:vAlign w:val="bottom"/>
          </w:tcPr>
          <w:p w:rsidR="00000000" w:rsidDel="00000000" w:rsidP="00000000" w:rsidRDefault="00000000" w:rsidRPr="00000000" w14:paraId="000000BD">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1 000 000 000 et plus </w:t>
            </w:r>
          </w:p>
        </w:tc>
        <w:tc>
          <w:tcPr>
            <w:tcBorders>
              <w:top w:color="cccccc" w:space="0" w:sz="6" w:val="single"/>
              <w:left w:color="cccccc" w:space="0" w:sz="6" w:val="single"/>
              <w:bottom w:color="000000" w:space="0" w:sz="6" w:val="single"/>
              <w:right w:color="000000" w:space="0" w:sz="6" w:val="single"/>
            </w:tcBorders>
            <w:shd w:fill="ffffff" w:val="clear"/>
            <w:tcMar>
              <w:top w:w="30.0" w:type="dxa"/>
              <w:left w:w="45.0" w:type="dxa"/>
              <w:bottom w:w="30.0" w:type="dxa"/>
              <w:right w:w="45.0" w:type="dxa"/>
            </w:tcMar>
            <w:vAlign w:val="bottom"/>
          </w:tcPr>
          <w:p w:rsidR="00000000" w:rsidDel="00000000" w:rsidP="00000000" w:rsidRDefault="00000000" w:rsidRPr="00000000" w14:paraId="000000BF">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1,2%</w:t>
            </w:r>
          </w:p>
        </w:tc>
        <w:tc>
          <w:tcPr>
            <w:tcBorders>
              <w:top w:color="cccccc" w:space="0" w:sz="6" w:val="single"/>
              <w:left w:color="cccccc" w:space="0" w:sz="6" w:val="single"/>
              <w:bottom w:color="000000" w:space="0" w:sz="6" w:val="single"/>
              <w:right w:color="000000" w:space="0" w:sz="6" w:val="single"/>
            </w:tcBorders>
            <w:shd w:fill="ffffff" w:val="clear"/>
            <w:tcMar>
              <w:top w:w="30.0" w:type="dxa"/>
              <w:left w:w="45.0" w:type="dxa"/>
              <w:bottom w:w="30.0" w:type="dxa"/>
              <w:right w:w="45.0" w:type="dxa"/>
            </w:tcMar>
            <w:vAlign w:val="bottom"/>
          </w:tcPr>
          <w:p w:rsidR="00000000" w:rsidDel="00000000" w:rsidP="00000000" w:rsidRDefault="00000000" w:rsidRPr="00000000" w14:paraId="000000C0">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2,2%</w:t>
            </w:r>
          </w:p>
        </w:tc>
        <w:tc>
          <w:tcPr>
            <w:tcBorders>
              <w:top w:color="cccccc" w:space="0" w:sz="6" w:val="single"/>
              <w:left w:color="cccccc" w:space="0" w:sz="6" w:val="single"/>
              <w:bottom w:color="000000" w:space="0" w:sz="6" w:val="single"/>
              <w:right w:color="000000" w:space="0" w:sz="6" w:val="single"/>
            </w:tcBorders>
            <w:shd w:fill="ffffff" w:val="clear"/>
            <w:tcMar>
              <w:top w:w="30.0" w:type="dxa"/>
              <w:left w:w="45.0" w:type="dxa"/>
              <w:bottom w:w="30.0" w:type="dxa"/>
              <w:right w:w="45.0" w:type="dxa"/>
            </w:tcMar>
            <w:vAlign w:val="bottom"/>
          </w:tcPr>
          <w:p w:rsidR="00000000" w:rsidDel="00000000" w:rsidP="00000000" w:rsidRDefault="00000000" w:rsidRPr="00000000" w14:paraId="000000C1">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1,7%</w:t>
            </w:r>
          </w:p>
        </w:tc>
        <w:tc>
          <w:tcPr>
            <w:vMerge w:val="continue"/>
            <w:tcBorders>
              <w:top w:color="cccccc" w:space="0" w:sz="6" w:val="single"/>
              <w:left w:color="cccccc" w:space="0" w:sz="6" w:val="single"/>
              <w:bottom w:color="000000" w:space="0" w:sz="6" w:val="single"/>
              <w:right w:color="000000" w:space="0" w:sz="6" w:val="single"/>
            </w:tcBorders>
            <w:shd w:fill="ffffff" w:val="clear"/>
            <w:tcMar>
              <w:top w:w="30.0" w:type="dxa"/>
              <w:left w:w="45.0" w:type="dxa"/>
              <w:bottom w:w="30.0" w:type="dxa"/>
              <w:right w:w="45.0" w:type="dxa"/>
            </w:tcMar>
            <w:vAlign w:val="bottom"/>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18"/>
                <w:szCs w:val="18"/>
              </w:rPr>
            </w:pPr>
            <w:r w:rsidDel="00000000" w:rsidR="00000000" w:rsidRPr="00000000">
              <w:rPr>
                <w:rtl w:val="0"/>
              </w:rPr>
            </w:r>
          </w:p>
        </w:tc>
      </w:tr>
    </w:tbl>
    <w:p w:rsidR="00000000" w:rsidDel="00000000" w:rsidP="00000000" w:rsidRDefault="00000000" w:rsidRPr="00000000" w14:paraId="000000C3">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ind w:left="116" w:right="39" w:firstLine="0"/>
        <w:jc w:val="both"/>
        <w:rPr>
          <w:rFonts w:ascii="Verdana" w:cs="Verdana" w:eastAsia="Verdana" w:hAnsi="Verdana"/>
          <w:b w:val="1"/>
          <w:sz w:val="18"/>
          <w:szCs w:val="18"/>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ind w:right="39"/>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Tous les Retraits d’argent sont facturés en fonction du tableau suivant :</w:t>
      </w:r>
    </w:p>
    <w:p w:rsidR="00000000" w:rsidDel="00000000" w:rsidP="00000000" w:rsidRDefault="00000000" w:rsidRPr="00000000" w14:paraId="000000C7">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ind w:right="39"/>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ind w:right="39"/>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ind w:right="39"/>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ind w:right="39"/>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D0">
      <w:pPr>
        <w:rPr>
          <w:b w:val="1"/>
        </w:rPr>
      </w:pPr>
      <w:bookmarkStart w:colFirst="0" w:colLast="0" w:name="_heading=h.3znysh7" w:id="1"/>
      <w:bookmarkEnd w:id="1"/>
      <w:r w:rsidDel="00000000" w:rsidR="00000000" w:rsidRPr="00000000">
        <w:rPr>
          <w:rtl w:val="0"/>
        </w:rPr>
      </w:r>
    </w:p>
    <w:p w:rsidR="00000000" w:rsidDel="00000000" w:rsidP="00000000" w:rsidRDefault="00000000" w:rsidRPr="00000000" w14:paraId="000000D1">
      <w:pPr>
        <w:rPr>
          <w:b w:val="1"/>
          <w:color w:val="00b0f0"/>
        </w:rPr>
      </w:pPr>
      <w:r w:rsidDel="00000000" w:rsidR="00000000" w:rsidRPr="00000000">
        <w:rPr>
          <w:rtl w:val="0"/>
        </w:rPr>
      </w:r>
    </w:p>
    <w:tbl>
      <w:tblPr>
        <w:tblStyle w:val="Table2"/>
        <w:tblW w:w="9348.0" w:type="dxa"/>
        <w:jc w:val="left"/>
        <w:tblLayout w:type="fixed"/>
        <w:tblLook w:val="0400"/>
      </w:tblPr>
      <w:tblGrid>
        <w:gridCol w:w="850"/>
        <w:gridCol w:w="1088"/>
        <w:gridCol w:w="3328"/>
        <w:gridCol w:w="1389"/>
        <w:gridCol w:w="2693"/>
        <w:tblGridChange w:id="0">
          <w:tblGrid>
            <w:gridCol w:w="850"/>
            <w:gridCol w:w="1088"/>
            <w:gridCol w:w="3328"/>
            <w:gridCol w:w="1389"/>
            <w:gridCol w:w="2693"/>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4" w:val="single"/>
            </w:tcBorders>
            <w:shd w:fill="d9d9d9" w:val="clear"/>
            <w:tcMar>
              <w:top w:w="30.0" w:type="dxa"/>
              <w:left w:w="45.0" w:type="dxa"/>
              <w:bottom w:w="30.0" w:type="dxa"/>
              <w:right w:w="45.0" w:type="dxa"/>
            </w:tcMar>
            <w:vAlign w:val="bottom"/>
          </w:tcPr>
          <w:p w:rsidR="00000000" w:rsidDel="00000000" w:rsidP="00000000" w:rsidRDefault="00000000" w:rsidRPr="00000000" w14:paraId="000000D2">
            <w:pPr>
              <w:widowControl w:val="1"/>
              <w:jc w:val="center"/>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Frais de Retrait</w:t>
            </w:r>
          </w:p>
        </w:tc>
      </w:tr>
      <w:tr>
        <w:trPr>
          <w:cantSplit w:val="0"/>
          <w:trHeight w:val="69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30.0" w:type="dxa"/>
              <w:left w:w="45.0" w:type="dxa"/>
              <w:bottom w:w="30.0" w:type="dxa"/>
              <w:right w:w="45.0" w:type="dxa"/>
            </w:tcMar>
            <w:vAlign w:val="bottom"/>
          </w:tcPr>
          <w:p w:rsidR="00000000" w:rsidDel="00000000" w:rsidP="00000000" w:rsidRDefault="00000000" w:rsidRPr="00000000" w14:paraId="000000D7">
            <w:pPr>
              <w:widowControl w:val="1"/>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Banque même devise</w:t>
            </w:r>
          </w:p>
        </w:tc>
        <w:tc>
          <w:tcPr>
            <w:tcBorders>
              <w:top w:color="cccccc" w:space="0" w:sz="6" w:val="single"/>
              <w:left w:color="cccccc" w:space="0" w:sz="6" w:val="single"/>
              <w:bottom w:color="000000" w:space="0" w:sz="6" w:val="single"/>
              <w:right w:color="000000" w:space="0" w:sz="6" w:val="single"/>
            </w:tcBorders>
            <w:shd w:fill="d9d9d9" w:val="clear"/>
            <w:tcMar>
              <w:top w:w="30.0" w:type="dxa"/>
              <w:left w:w="45.0" w:type="dxa"/>
              <w:bottom w:w="30.0" w:type="dxa"/>
              <w:right w:w="45.0" w:type="dxa"/>
            </w:tcMar>
            <w:vAlign w:val="bottom"/>
          </w:tcPr>
          <w:p w:rsidR="00000000" w:rsidDel="00000000" w:rsidP="00000000" w:rsidRDefault="00000000" w:rsidRPr="00000000" w14:paraId="000000D8">
            <w:pPr>
              <w:widowControl w:val="1"/>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Banque devise différente</w:t>
            </w:r>
          </w:p>
        </w:tc>
        <w:tc>
          <w:tcPr>
            <w:tcBorders>
              <w:top w:color="cccccc" w:space="0" w:sz="6" w:val="single"/>
              <w:left w:color="cccccc" w:space="0" w:sz="6" w:val="single"/>
              <w:bottom w:color="000000" w:space="0" w:sz="6" w:val="single"/>
              <w:right w:color="000000" w:space="0" w:sz="6" w:val="single"/>
            </w:tcBorders>
            <w:shd w:fill="d9d9d9" w:val="clear"/>
            <w:tcMar>
              <w:top w:w="30.0" w:type="dxa"/>
              <w:left w:w="45.0" w:type="dxa"/>
              <w:bottom w:w="30.0" w:type="dxa"/>
              <w:right w:w="45.0" w:type="dxa"/>
            </w:tcMar>
            <w:vAlign w:val="bottom"/>
          </w:tcPr>
          <w:p w:rsidR="00000000" w:rsidDel="00000000" w:rsidP="00000000" w:rsidRDefault="00000000" w:rsidRPr="00000000" w14:paraId="000000D9">
            <w:pPr>
              <w:widowControl w:val="1"/>
              <w:rPr>
                <w:rFonts w:ascii="Verdana" w:cs="Verdana" w:eastAsia="Verdana" w:hAnsi="Verdana"/>
                <w:color w:val="000000"/>
                <w:sz w:val="18"/>
                <w:szCs w:val="18"/>
              </w:rPr>
            </w:pPr>
            <w:r w:rsidDel="00000000" w:rsidR="00000000" w:rsidRPr="00000000">
              <w:rPr>
                <w:rFonts w:ascii="Verdana" w:cs="Verdana" w:eastAsia="Verdana" w:hAnsi="Verdana"/>
                <w:b w:val="1"/>
                <w:color w:val="000000"/>
                <w:sz w:val="18"/>
                <w:szCs w:val="18"/>
                <w:rtl w:val="0"/>
              </w:rPr>
              <w:t xml:space="preserve">Sénégal : </w:t>
            </w:r>
            <w:r w:rsidDel="00000000" w:rsidR="00000000" w:rsidRPr="00000000">
              <w:rPr>
                <w:rFonts w:ascii="Verdana" w:cs="Verdana" w:eastAsia="Verdana" w:hAnsi="Verdana"/>
                <w:color w:val="000000"/>
                <w:sz w:val="18"/>
                <w:szCs w:val="18"/>
                <w:rtl w:val="0"/>
              </w:rPr>
              <w:t xml:space="preserve">Free Money, E-Money Sénégal</w:t>
              <w:br w:type="textWrapping"/>
            </w:r>
            <w:r w:rsidDel="00000000" w:rsidR="00000000" w:rsidRPr="00000000">
              <w:rPr>
                <w:rFonts w:ascii="Verdana" w:cs="Verdana" w:eastAsia="Verdana" w:hAnsi="Verdana"/>
                <w:b w:val="1"/>
                <w:color w:val="000000"/>
                <w:sz w:val="18"/>
                <w:szCs w:val="18"/>
                <w:rtl w:val="0"/>
              </w:rPr>
              <w:t xml:space="preserve">Côte d’Ivoire : </w:t>
            </w:r>
            <w:r w:rsidDel="00000000" w:rsidR="00000000" w:rsidRPr="00000000">
              <w:rPr>
                <w:rFonts w:ascii="Verdana" w:cs="Verdana" w:eastAsia="Verdana" w:hAnsi="Verdana"/>
                <w:color w:val="000000"/>
                <w:sz w:val="18"/>
                <w:szCs w:val="18"/>
                <w:rtl w:val="0"/>
              </w:rPr>
              <w:t xml:space="preserve">MTN Mobile Money, </w:t>
              <w:br w:type="textWrapping"/>
            </w:r>
            <w:r w:rsidDel="00000000" w:rsidR="00000000" w:rsidRPr="00000000">
              <w:rPr>
                <w:rFonts w:ascii="Verdana" w:cs="Verdana" w:eastAsia="Verdana" w:hAnsi="Verdana"/>
                <w:b w:val="1"/>
                <w:color w:val="000000"/>
                <w:sz w:val="18"/>
                <w:szCs w:val="18"/>
                <w:rtl w:val="0"/>
              </w:rPr>
              <w:t xml:space="preserve">Bénin : </w:t>
            </w:r>
            <w:r w:rsidDel="00000000" w:rsidR="00000000" w:rsidRPr="00000000">
              <w:rPr>
                <w:rFonts w:ascii="Verdana" w:cs="Verdana" w:eastAsia="Verdana" w:hAnsi="Verdana"/>
                <w:color w:val="000000"/>
                <w:sz w:val="18"/>
                <w:szCs w:val="18"/>
                <w:rtl w:val="0"/>
              </w:rPr>
              <w:t xml:space="preserve">MTN Mobile Money, Moov Money</w:t>
            </w:r>
            <w:r w:rsidDel="00000000" w:rsidR="00000000" w:rsidRPr="00000000">
              <w:rPr>
                <w:rFonts w:ascii="Verdana" w:cs="Verdana" w:eastAsia="Verdana" w:hAnsi="Verdana"/>
                <w:b w:val="1"/>
                <w:color w:val="000000"/>
                <w:sz w:val="18"/>
                <w:szCs w:val="18"/>
                <w:rtl w:val="0"/>
              </w:rPr>
              <w:t xml:space="preserve">,</w:t>
              <w:br w:type="textWrapping"/>
              <w:t xml:space="preserve">Togo : </w:t>
            </w:r>
            <w:r w:rsidDel="00000000" w:rsidR="00000000" w:rsidRPr="00000000">
              <w:rPr>
                <w:rFonts w:ascii="Verdana" w:cs="Verdana" w:eastAsia="Verdana" w:hAnsi="Verdana"/>
                <w:color w:val="000000"/>
                <w:sz w:val="18"/>
                <w:szCs w:val="18"/>
                <w:rtl w:val="0"/>
              </w:rPr>
              <w:t xml:space="preserve">T-Money, Moov Mone</w:t>
            </w:r>
            <w:r w:rsidDel="00000000" w:rsidR="00000000" w:rsidRPr="00000000">
              <w:rPr>
                <w:rFonts w:ascii="Verdana" w:cs="Verdana" w:eastAsia="Verdana" w:hAnsi="Verdana"/>
                <w:sz w:val="18"/>
                <w:szCs w:val="18"/>
                <w:rtl w:val="0"/>
              </w:rPr>
              <w:t xml:space="preserve">y</w:t>
            </w:r>
            <w:r w:rsidDel="00000000" w:rsidR="00000000" w:rsidRPr="00000000">
              <w:rPr>
                <w:rtl w:val="0"/>
              </w:rPr>
            </w:r>
          </w:p>
        </w:tc>
        <w:tc>
          <w:tcPr>
            <w:tcBorders>
              <w:top w:color="cccccc" w:space="0" w:sz="6" w:val="single"/>
              <w:left w:color="cccccc" w:space="0" w:sz="6" w:val="single"/>
              <w:bottom w:color="000000" w:space="0" w:sz="6" w:val="single"/>
              <w:right w:color="000000" w:space="0" w:sz="4" w:val="single"/>
            </w:tcBorders>
            <w:shd w:fill="d9d9d9" w:val="clear"/>
            <w:tcMar>
              <w:top w:w="30.0" w:type="dxa"/>
              <w:left w:w="45.0" w:type="dxa"/>
              <w:bottom w:w="30.0" w:type="dxa"/>
              <w:right w:w="45.0" w:type="dxa"/>
            </w:tcMar>
            <w:vAlign w:val="bottom"/>
          </w:tcPr>
          <w:p w:rsidR="00000000" w:rsidDel="00000000" w:rsidP="00000000" w:rsidRDefault="00000000" w:rsidRPr="00000000" w14:paraId="000000DA">
            <w:pPr>
              <w:widowControl w:val="1"/>
              <w:rPr>
                <w:rFonts w:ascii="Verdana" w:cs="Verdana" w:eastAsia="Verdana" w:hAnsi="Verdana"/>
                <w:color w:val="000000"/>
                <w:sz w:val="18"/>
                <w:szCs w:val="18"/>
              </w:rPr>
            </w:pPr>
            <w:r w:rsidDel="00000000" w:rsidR="00000000" w:rsidRPr="00000000">
              <w:rPr>
                <w:rFonts w:ascii="Verdana" w:cs="Verdana" w:eastAsia="Verdana" w:hAnsi="Verdana"/>
                <w:b w:val="1"/>
                <w:color w:val="000000"/>
                <w:sz w:val="18"/>
                <w:szCs w:val="18"/>
                <w:rtl w:val="0"/>
              </w:rPr>
              <w:t xml:space="preserve">Sénégal :</w:t>
            </w:r>
            <w:r w:rsidDel="00000000" w:rsidR="00000000" w:rsidRPr="00000000">
              <w:rPr>
                <w:rFonts w:ascii="Verdana" w:cs="Verdana" w:eastAsia="Verdana" w:hAnsi="Verdana"/>
                <w:color w:val="000000"/>
                <w:sz w:val="18"/>
                <w:szCs w:val="18"/>
                <w:rtl w:val="0"/>
              </w:rPr>
              <w:t xml:space="preserve"> Orange Money </w:t>
              <w:br w:type="textWrapping"/>
            </w:r>
            <w:r w:rsidDel="00000000" w:rsidR="00000000" w:rsidRPr="00000000">
              <w:rPr>
                <w:rFonts w:ascii="Verdana" w:cs="Verdana" w:eastAsia="Verdana" w:hAnsi="Verdana"/>
                <w:b w:val="1"/>
                <w:color w:val="000000"/>
                <w:sz w:val="18"/>
                <w:szCs w:val="18"/>
                <w:rtl w:val="0"/>
              </w:rPr>
              <w:t xml:space="preserve">Côte d’Ivoire</w:t>
            </w:r>
            <w:r w:rsidDel="00000000" w:rsidR="00000000" w:rsidRPr="00000000">
              <w:rPr>
                <w:rFonts w:ascii="Verdana" w:cs="Verdana" w:eastAsia="Verdana" w:hAnsi="Verdana"/>
                <w:color w:val="000000"/>
                <w:sz w:val="18"/>
                <w:szCs w:val="18"/>
                <w:rtl w:val="0"/>
              </w:rPr>
              <w:t xml:space="preserve"> : MOOV Money, Orange Money </w:t>
            </w:r>
          </w:p>
          <w:p w:rsidR="00000000" w:rsidDel="00000000" w:rsidP="00000000" w:rsidRDefault="00000000" w:rsidRPr="00000000" w14:paraId="000000DB">
            <w:pPr>
              <w:widowControl w:val="1"/>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Burkina Faso:</w:t>
            </w:r>
            <w:r w:rsidDel="00000000" w:rsidR="00000000" w:rsidRPr="00000000">
              <w:rPr>
                <w:rFonts w:ascii="Verdana" w:cs="Verdana" w:eastAsia="Verdana" w:hAnsi="Verdana"/>
                <w:sz w:val="18"/>
                <w:szCs w:val="18"/>
                <w:rtl w:val="0"/>
              </w:rPr>
              <w:t xml:space="preserve"> Orange Money</w:t>
            </w:r>
          </w:p>
          <w:p w:rsidR="00000000" w:rsidDel="00000000" w:rsidP="00000000" w:rsidRDefault="00000000" w:rsidRPr="00000000" w14:paraId="000000DC">
            <w:pPr>
              <w:widowControl w:val="1"/>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Mali:</w:t>
            </w:r>
            <w:r w:rsidDel="00000000" w:rsidR="00000000" w:rsidRPr="00000000">
              <w:rPr>
                <w:rFonts w:ascii="Verdana" w:cs="Verdana" w:eastAsia="Verdana" w:hAnsi="Verdana"/>
                <w:sz w:val="18"/>
                <w:szCs w:val="18"/>
                <w:rtl w:val="0"/>
              </w:rPr>
              <w:t xml:space="preserve"> Orange Money</w:t>
            </w:r>
            <w:r w:rsidDel="00000000" w:rsidR="00000000" w:rsidRPr="00000000">
              <w:rPr>
                <w:rtl w:val="0"/>
              </w:rPr>
            </w:r>
          </w:p>
          <w:p w:rsidR="00000000" w:rsidDel="00000000" w:rsidP="00000000" w:rsidRDefault="00000000" w:rsidRPr="00000000" w14:paraId="000000DD">
            <w:pPr>
              <w:widowControl w:val="1"/>
              <w:rPr>
                <w:rFonts w:ascii="Verdana" w:cs="Verdana" w:eastAsia="Verdana" w:hAnsi="Verdana"/>
                <w:color w:val="000000"/>
                <w:sz w:val="18"/>
                <w:szCs w:val="18"/>
              </w:rPr>
            </w:pPr>
            <w:r w:rsidDel="00000000" w:rsidR="00000000" w:rsidRPr="00000000">
              <w:rPr>
                <w:rFonts w:ascii="Verdana" w:cs="Verdana" w:eastAsia="Verdana" w:hAnsi="Verdana"/>
                <w:color w:val="000000"/>
                <w:sz w:val="18"/>
                <w:szCs w:val="18"/>
                <w:rtl w:val="0"/>
              </w:rPr>
              <w:br w:type="textWrapping"/>
            </w:r>
          </w:p>
        </w:tc>
        <w:tc>
          <w:tcPr>
            <w:tcBorders>
              <w:top w:color="cccccc" w:space="0" w:sz="6" w:val="single"/>
              <w:left w:color="000000" w:space="0" w:sz="4" w:val="single"/>
              <w:bottom w:color="000000" w:space="0" w:sz="6" w:val="single"/>
              <w:right w:color="000000" w:space="0" w:sz="6" w:val="single"/>
            </w:tcBorders>
            <w:shd w:fill="d9d9d9" w:val="clear"/>
            <w:vAlign w:val="bottom"/>
          </w:tcPr>
          <w:p w:rsidR="00000000" w:rsidDel="00000000" w:rsidP="00000000" w:rsidRDefault="00000000" w:rsidRPr="00000000" w14:paraId="000000DE">
            <w:pPr>
              <w:rPr>
                <w:rFonts w:ascii="Verdana" w:cs="Verdana" w:eastAsia="Verdana" w:hAnsi="Verdana"/>
                <w:color w:val="000000"/>
                <w:sz w:val="18"/>
                <w:szCs w:val="18"/>
              </w:rPr>
            </w:pPr>
            <w:r w:rsidDel="00000000" w:rsidR="00000000" w:rsidRPr="00000000">
              <w:rPr>
                <w:rFonts w:ascii="Verdana" w:cs="Verdana" w:eastAsia="Verdana" w:hAnsi="Verdana"/>
                <w:color w:val="000000"/>
                <w:sz w:val="18"/>
                <w:szCs w:val="18"/>
                <w:rtl w:val="0"/>
              </w:rPr>
              <w:t xml:space="preserve">WAVE Sénégal &amp; Wave Côte d’Ivoire </w:t>
            </w:r>
          </w:p>
          <w:p w:rsidR="00000000" w:rsidDel="00000000" w:rsidP="00000000" w:rsidRDefault="00000000" w:rsidRPr="00000000" w14:paraId="000000DF">
            <w:pPr>
              <w:rPr>
                <w:rFonts w:ascii="Verdana" w:cs="Verdana" w:eastAsia="Verdana" w:hAnsi="Verdana"/>
                <w:color w:val="000000"/>
                <w:sz w:val="18"/>
                <w:szCs w:val="18"/>
              </w:rPr>
            </w:pPr>
            <w:r w:rsidDel="00000000" w:rsidR="00000000" w:rsidRPr="00000000">
              <w:rPr>
                <w:rtl w:val="0"/>
              </w:rPr>
            </w:r>
          </w:p>
          <w:p w:rsidR="00000000" w:rsidDel="00000000" w:rsidP="00000000" w:rsidRDefault="00000000" w:rsidRPr="00000000" w14:paraId="000000E0">
            <w:pPr>
              <w:widowControl w:val="1"/>
              <w:rPr>
                <w:rFonts w:ascii="Verdana" w:cs="Verdana" w:eastAsia="Verdana" w:hAnsi="Verdana"/>
                <w:color w:val="000000"/>
                <w:sz w:val="18"/>
                <w:szCs w:val="18"/>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0E1">
            <w:pPr>
              <w:widowControl w:val="1"/>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0F</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0E2">
            <w:pPr>
              <w:widowControl w:val="1"/>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3,5%</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0E3">
            <w:pPr>
              <w:widowControl w:val="1"/>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0,5%</w:t>
            </w:r>
          </w:p>
        </w:tc>
        <w:tc>
          <w:tcPr>
            <w:tcBorders>
              <w:top w:color="cccccc" w:space="0" w:sz="6" w:val="single"/>
              <w:left w:color="cccccc" w:space="0" w:sz="6" w:val="single"/>
              <w:bottom w:color="000000" w:space="0" w:sz="6" w:val="single"/>
              <w:right w:color="000000" w:space="0" w:sz="4" w:val="single"/>
            </w:tcBorders>
            <w:tcMar>
              <w:top w:w="30.0" w:type="dxa"/>
              <w:left w:w="45.0" w:type="dxa"/>
              <w:bottom w:w="30.0" w:type="dxa"/>
              <w:right w:w="45.0" w:type="dxa"/>
            </w:tcMar>
            <w:vAlign w:val="bottom"/>
          </w:tcPr>
          <w:p w:rsidR="00000000" w:rsidDel="00000000" w:rsidP="00000000" w:rsidRDefault="00000000" w:rsidRPr="00000000" w14:paraId="000000E4">
            <w:pPr>
              <w:widowControl w:val="1"/>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1%</w:t>
            </w:r>
          </w:p>
        </w:tc>
        <w:tc>
          <w:tcPr>
            <w:tcBorders>
              <w:top w:color="cccccc" w:space="0" w:sz="6" w:val="single"/>
              <w:left w:color="000000" w:space="0" w:sz="4" w:val="single"/>
              <w:bottom w:color="000000" w:space="0" w:sz="6" w:val="single"/>
              <w:right w:color="000000" w:space="0" w:sz="6" w:val="single"/>
            </w:tcBorders>
            <w:vAlign w:val="bottom"/>
          </w:tcPr>
          <w:p w:rsidR="00000000" w:rsidDel="00000000" w:rsidP="00000000" w:rsidRDefault="00000000" w:rsidRPr="00000000" w14:paraId="000000E5">
            <w:pPr>
              <w:widowControl w:val="1"/>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1,5%</w:t>
            </w:r>
          </w:p>
        </w:tc>
      </w:tr>
    </w:tbl>
    <w:p w:rsidR="00000000" w:rsidDel="00000000" w:rsidP="00000000" w:rsidRDefault="00000000" w:rsidRPr="00000000" w14:paraId="000000E6">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ind w:right="39"/>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ind w:left="116" w:right="39" w:firstLine="0"/>
        <w:jc w:val="both"/>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7.2 Frais Push (API ou interface de déboursement)</w:t>
      </w:r>
    </w:p>
    <w:p w:rsidR="00000000" w:rsidDel="00000000" w:rsidP="00000000" w:rsidRDefault="00000000" w:rsidRPr="00000000" w14:paraId="000000EC">
      <w:pPr>
        <w:pBdr>
          <w:top w:space="0" w:sz="0" w:val="nil"/>
          <w:left w:space="0" w:sz="0" w:val="nil"/>
          <w:bottom w:space="0" w:sz="0" w:val="nil"/>
          <w:right w:space="0" w:sz="0" w:val="nil"/>
          <w:between w:space="0" w:sz="0" w:val="nil"/>
        </w:pBdr>
        <w:ind w:left="116" w:right="39" w:firstLine="0"/>
        <w:jc w:val="both"/>
        <w:rPr>
          <w:rFonts w:ascii="Verdana" w:cs="Verdana" w:eastAsia="Verdana" w:hAnsi="Verdana"/>
          <w:b w:val="1"/>
          <w:sz w:val="18"/>
          <w:szCs w:val="18"/>
        </w:rPr>
      </w:pPr>
      <w:r w:rsidDel="00000000" w:rsidR="00000000" w:rsidRPr="00000000">
        <w:rPr>
          <w:rtl w:val="0"/>
        </w:rPr>
      </w:r>
    </w:p>
    <w:p w:rsidR="00000000" w:rsidDel="00000000" w:rsidP="00000000" w:rsidRDefault="00000000" w:rsidRPr="00000000" w14:paraId="000000ED">
      <w:pPr>
        <w:ind w:left="116" w:right="39" w:firstLine="0"/>
        <w:jc w:val="both"/>
        <w:rPr>
          <w:rFonts w:ascii="Verdana" w:cs="Verdana" w:eastAsia="Verdana" w:hAnsi="Verdana"/>
          <w:b w:val="1"/>
          <w:sz w:val="18"/>
          <w:szCs w:val="18"/>
        </w:rPr>
      </w:pPr>
      <w:r w:rsidDel="00000000" w:rsidR="00000000" w:rsidRPr="00000000">
        <w:rPr>
          <w:rtl w:val="0"/>
        </w:rPr>
      </w:r>
    </w:p>
    <w:p w:rsidR="00000000" w:rsidDel="00000000" w:rsidP="00000000" w:rsidRDefault="00000000" w:rsidRPr="00000000" w14:paraId="000000EE">
      <w:pPr>
        <w:ind w:left="116" w:right="39" w:firstLine="0"/>
        <w:jc w:val="both"/>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 </w:t>
      </w:r>
    </w:p>
    <w:tbl>
      <w:tblPr>
        <w:tblStyle w:val="Table3"/>
        <w:tblW w:w="9390.0" w:type="dxa"/>
        <w:jc w:val="left"/>
        <w:tblLayout w:type="fixed"/>
        <w:tblLook w:val="0400"/>
      </w:tblPr>
      <w:tblGrid>
        <w:gridCol w:w="1065"/>
        <w:gridCol w:w="1185"/>
        <w:gridCol w:w="1245"/>
        <w:gridCol w:w="1425"/>
        <w:gridCol w:w="1545"/>
        <w:gridCol w:w="1575"/>
        <w:gridCol w:w="1350"/>
        <w:tblGridChange w:id="0">
          <w:tblGrid>
            <w:gridCol w:w="1065"/>
            <w:gridCol w:w="1185"/>
            <w:gridCol w:w="1245"/>
            <w:gridCol w:w="1425"/>
            <w:gridCol w:w="1545"/>
            <w:gridCol w:w="1575"/>
            <w:gridCol w:w="1350"/>
          </w:tblGrid>
        </w:tblGridChange>
      </w:tblGrid>
      <w:tr>
        <w:trPr>
          <w:cantSplit w:val="0"/>
          <w:trHeight w:val="315" w:hRule="atLeast"/>
          <w:tblHeader w:val="0"/>
        </w:trPr>
        <w:tc>
          <w:tcPr>
            <w:gridSpan w:val="7"/>
            <w:tcBorders>
              <w:top w:color="000000" w:space="0" w:sz="6" w:val="single"/>
              <w:left w:color="000000" w:space="0" w:sz="6" w:val="single"/>
              <w:bottom w:color="000000" w:space="0" w:sz="6" w:val="single"/>
              <w:right w:color="000000" w:space="0" w:sz="6" w:val="single"/>
            </w:tcBorders>
            <w:shd w:fill="d9d9d9" w:val="clear"/>
            <w:tcMar>
              <w:top w:w="30.0" w:type="dxa"/>
              <w:left w:w="45.0" w:type="dxa"/>
              <w:bottom w:w="30.0" w:type="dxa"/>
              <w:right w:w="45.0" w:type="dxa"/>
            </w:tcMar>
            <w:vAlign w:val="bottom"/>
          </w:tcPr>
          <w:p w:rsidR="00000000" w:rsidDel="00000000" w:rsidP="00000000" w:rsidRDefault="00000000" w:rsidRPr="00000000" w14:paraId="000000EF">
            <w:pPr>
              <w:widowControl w:val="1"/>
              <w:jc w:val="center"/>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Frais Payout</w:t>
            </w:r>
          </w:p>
        </w:tc>
      </w:tr>
      <w:tr>
        <w:trPr>
          <w:cantSplit w:val="0"/>
          <w:trHeight w:val="975" w:hRule="atLeast"/>
          <w:tblHeader w:val="0"/>
        </w:trPr>
        <w:tc>
          <w:tcPr>
            <w:gridSpan w:val="2"/>
            <w:tcBorders>
              <w:top w:color="cccccc" w:space="0" w:sz="6" w:val="single"/>
              <w:left w:color="000000" w:space="0" w:sz="6" w:val="single"/>
              <w:bottom w:color="000000" w:space="0" w:sz="6" w:val="single"/>
              <w:right w:color="000000" w:space="0" w:sz="6" w:val="single"/>
            </w:tcBorders>
            <w:shd w:fill="d9d9d9" w:val="clear"/>
            <w:tcMar>
              <w:top w:w="30.0" w:type="dxa"/>
              <w:left w:w="45.0" w:type="dxa"/>
              <w:bottom w:w="30.0" w:type="dxa"/>
              <w:right w:w="45.0" w:type="dxa"/>
            </w:tcMar>
            <w:vAlign w:val="bottom"/>
          </w:tcPr>
          <w:p w:rsidR="00000000" w:rsidDel="00000000" w:rsidP="00000000" w:rsidRDefault="00000000" w:rsidRPr="00000000" w14:paraId="000000F6">
            <w:pPr>
              <w:widowControl w:val="1"/>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Flux (FCFA)</w:t>
            </w:r>
          </w:p>
        </w:tc>
        <w:tc>
          <w:tcPr>
            <w:tcBorders>
              <w:top w:color="cccccc" w:space="0" w:sz="6" w:val="single"/>
              <w:left w:color="cccccc" w:space="0" w:sz="6" w:val="single"/>
              <w:bottom w:color="000000" w:space="0" w:sz="6" w:val="single"/>
              <w:right w:color="000000" w:space="0" w:sz="6" w:val="single"/>
            </w:tcBorders>
            <w:shd w:fill="d9d9d9" w:val="clear"/>
            <w:tcMar>
              <w:top w:w="30.0" w:type="dxa"/>
              <w:left w:w="45.0" w:type="dxa"/>
              <w:bottom w:w="30.0" w:type="dxa"/>
              <w:right w:w="45.0" w:type="dxa"/>
            </w:tcMar>
            <w:vAlign w:val="bottom"/>
          </w:tcPr>
          <w:p w:rsidR="00000000" w:rsidDel="00000000" w:rsidP="00000000" w:rsidRDefault="00000000" w:rsidRPr="00000000" w14:paraId="000000F8">
            <w:pPr>
              <w:widowControl w:val="1"/>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Wallet Mali: </w:t>
            </w:r>
            <w:r w:rsidDel="00000000" w:rsidR="00000000" w:rsidRPr="00000000">
              <w:rPr>
                <w:rFonts w:ascii="Verdana" w:cs="Verdana" w:eastAsia="Verdana" w:hAnsi="Verdana"/>
                <w:sz w:val="18"/>
                <w:szCs w:val="18"/>
                <w:rtl w:val="0"/>
              </w:rPr>
              <w:t xml:space="preserve">Orange Money</w:t>
            </w:r>
          </w:p>
          <w:p w:rsidR="00000000" w:rsidDel="00000000" w:rsidP="00000000" w:rsidRDefault="00000000" w:rsidRPr="00000000" w14:paraId="000000F9">
            <w:pPr>
              <w:widowControl w:val="1"/>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FA">
            <w:pPr>
              <w:widowControl w:val="1"/>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Togo : </w:t>
            </w:r>
            <w:r w:rsidDel="00000000" w:rsidR="00000000" w:rsidRPr="00000000">
              <w:rPr>
                <w:rFonts w:ascii="Verdana" w:cs="Verdana" w:eastAsia="Verdana" w:hAnsi="Verdana"/>
                <w:sz w:val="18"/>
                <w:szCs w:val="18"/>
                <w:rtl w:val="0"/>
              </w:rPr>
              <w:t xml:space="preserve">Moov Money</w:t>
            </w:r>
          </w:p>
          <w:p w:rsidR="00000000" w:rsidDel="00000000" w:rsidP="00000000" w:rsidRDefault="00000000" w:rsidRPr="00000000" w14:paraId="000000FB">
            <w:pPr>
              <w:widowControl w:val="1"/>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FC">
            <w:pPr>
              <w:widowControl w:val="1"/>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FD">
            <w:pPr>
              <w:widowControl w:val="1"/>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FE">
            <w:pPr>
              <w:widowControl w:val="1"/>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FF">
            <w:pPr>
              <w:widowControl w:val="1"/>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00">
            <w:pPr>
              <w:widowControl w:val="1"/>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01">
            <w:pPr>
              <w:widowControl w:val="1"/>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02">
            <w:pPr>
              <w:widowControl w:val="1"/>
              <w:rPr>
                <w:rFonts w:ascii="Verdana" w:cs="Verdana" w:eastAsia="Verdana" w:hAnsi="Verdana"/>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d9d9" w:val="clear"/>
            <w:tcMar>
              <w:top w:w="30.0" w:type="dxa"/>
              <w:left w:w="45.0" w:type="dxa"/>
              <w:bottom w:w="30.0" w:type="dxa"/>
              <w:right w:w="45.0" w:type="dxa"/>
            </w:tcMar>
            <w:vAlign w:val="bottom"/>
          </w:tcPr>
          <w:p w:rsidR="00000000" w:rsidDel="00000000" w:rsidP="00000000" w:rsidRDefault="00000000" w:rsidRPr="00000000" w14:paraId="00000103">
            <w:pPr>
              <w:widowControl w:val="1"/>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Wallet Burkina Faso: </w:t>
            </w:r>
            <w:r w:rsidDel="00000000" w:rsidR="00000000" w:rsidRPr="00000000">
              <w:rPr>
                <w:rFonts w:ascii="Verdana" w:cs="Verdana" w:eastAsia="Verdana" w:hAnsi="Verdana"/>
                <w:sz w:val="18"/>
                <w:szCs w:val="18"/>
                <w:rtl w:val="0"/>
              </w:rPr>
              <w:t xml:space="preserve">Orange Money</w:t>
            </w:r>
          </w:p>
          <w:p w:rsidR="00000000" w:rsidDel="00000000" w:rsidP="00000000" w:rsidRDefault="00000000" w:rsidRPr="00000000" w14:paraId="00000104">
            <w:pPr>
              <w:widowControl w:val="1"/>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05">
            <w:pPr>
              <w:widowControl w:val="1"/>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06">
            <w:pPr>
              <w:widowControl w:val="1"/>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07">
            <w:pPr>
              <w:widowControl w:val="1"/>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08">
            <w:pPr>
              <w:widowControl w:val="1"/>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09">
            <w:pPr>
              <w:widowControl w:val="1"/>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0A">
            <w:pPr>
              <w:widowControl w:val="1"/>
              <w:rPr>
                <w:rFonts w:ascii="Verdana" w:cs="Verdana" w:eastAsia="Verdana" w:hAnsi="Verdana"/>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d9d9" w:val="clear"/>
            <w:tcMar>
              <w:top w:w="30.0" w:type="dxa"/>
              <w:left w:w="45.0" w:type="dxa"/>
              <w:bottom w:w="30.0" w:type="dxa"/>
              <w:right w:w="45.0" w:type="dxa"/>
            </w:tcMar>
            <w:vAlign w:val="bottom"/>
          </w:tcPr>
          <w:p w:rsidR="00000000" w:rsidDel="00000000" w:rsidP="00000000" w:rsidRDefault="00000000" w:rsidRPr="00000000" w14:paraId="0000010B">
            <w:pPr>
              <w:widowControl w:val="1"/>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Sénégal : </w:t>
            </w:r>
            <w:r w:rsidDel="00000000" w:rsidR="00000000" w:rsidRPr="00000000">
              <w:rPr>
                <w:rFonts w:ascii="Verdana" w:cs="Verdana" w:eastAsia="Verdana" w:hAnsi="Verdana"/>
                <w:sz w:val="18"/>
                <w:szCs w:val="18"/>
                <w:rtl w:val="0"/>
              </w:rPr>
              <w:t xml:space="preserve">Free Money, E-Money Sénégal</w:t>
              <w:br w:type="textWrapping"/>
            </w:r>
            <w:r w:rsidDel="00000000" w:rsidR="00000000" w:rsidRPr="00000000">
              <w:rPr>
                <w:rFonts w:ascii="Verdana" w:cs="Verdana" w:eastAsia="Verdana" w:hAnsi="Verdana"/>
                <w:b w:val="1"/>
                <w:sz w:val="18"/>
                <w:szCs w:val="18"/>
                <w:rtl w:val="0"/>
              </w:rPr>
              <w:t xml:space="preserve">Côte d’Ivoire : </w:t>
            </w:r>
            <w:r w:rsidDel="00000000" w:rsidR="00000000" w:rsidRPr="00000000">
              <w:rPr>
                <w:rFonts w:ascii="Verdana" w:cs="Verdana" w:eastAsia="Verdana" w:hAnsi="Verdana"/>
                <w:sz w:val="18"/>
                <w:szCs w:val="18"/>
                <w:rtl w:val="0"/>
              </w:rPr>
              <w:t xml:space="preserve">MTN Mobile Money, </w:t>
              <w:br w:type="textWrapping"/>
            </w:r>
            <w:r w:rsidDel="00000000" w:rsidR="00000000" w:rsidRPr="00000000">
              <w:rPr>
                <w:rFonts w:ascii="Verdana" w:cs="Verdana" w:eastAsia="Verdana" w:hAnsi="Verdana"/>
                <w:b w:val="1"/>
                <w:sz w:val="18"/>
                <w:szCs w:val="18"/>
                <w:rtl w:val="0"/>
              </w:rPr>
              <w:t xml:space="preserve">Bénin : </w:t>
            </w:r>
            <w:r w:rsidDel="00000000" w:rsidR="00000000" w:rsidRPr="00000000">
              <w:rPr>
                <w:rFonts w:ascii="Verdana" w:cs="Verdana" w:eastAsia="Verdana" w:hAnsi="Verdana"/>
                <w:sz w:val="18"/>
                <w:szCs w:val="18"/>
                <w:rtl w:val="0"/>
              </w:rPr>
              <w:t xml:space="preserve">Moov Money, MTN Mobile Money</w:t>
              <w:br w:type="textWrapping"/>
            </w:r>
            <w:r w:rsidDel="00000000" w:rsidR="00000000" w:rsidRPr="00000000">
              <w:rPr>
                <w:rFonts w:ascii="Verdana" w:cs="Verdana" w:eastAsia="Verdana" w:hAnsi="Verdana"/>
                <w:b w:val="1"/>
                <w:sz w:val="18"/>
                <w:szCs w:val="18"/>
                <w:rtl w:val="0"/>
              </w:rPr>
              <w:t xml:space="preserve">Togo : </w:t>
            </w:r>
            <w:r w:rsidDel="00000000" w:rsidR="00000000" w:rsidRPr="00000000">
              <w:rPr>
                <w:rFonts w:ascii="Verdana" w:cs="Verdana" w:eastAsia="Verdana" w:hAnsi="Verdana"/>
                <w:sz w:val="18"/>
                <w:szCs w:val="18"/>
                <w:rtl w:val="0"/>
              </w:rPr>
              <w:t xml:space="preserve">T-Money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d9d9" w:val="clear"/>
            <w:tcMar>
              <w:top w:w="30.0" w:type="dxa"/>
              <w:left w:w="45.0" w:type="dxa"/>
              <w:bottom w:w="30.0" w:type="dxa"/>
              <w:right w:w="45.0" w:type="dxa"/>
            </w:tcMar>
            <w:vAlign w:val="bottom"/>
          </w:tcPr>
          <w:p w:rsidR="00000000" w:rsidDel="00000000" w:rsidP="00000000" w:rsidRDefault="00000000" w:rsidRPr="00000000" w14:paraId="0000010C">
            <w:pPr>
              <w:widowControl w:val="1"/>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Sénégal : </w:t>
            </w:r>
            <w:r w:rsidDel="00000000" w:rsidR="00000000" w:rsidRPr="00000000">
              <w:rPr>
                <w:rFonts w:ascii="Verdana" w:cs="Verdana" w:eastAsia="Verdana" w:hAnsi="Verdana"/>
                <w:sz w:val="18"/>
                <w:szCs w:val="18"/>
                <w:rtl w:val="0"/>
              </w:rPr>
              <w:t xml:space="preserve">Orange Money </w:t>
              <w:br w:type="textWrapping"/>
            </w:r>
            <w:r w:rsidDel="00000000" w:rsidR="00000000" w:rsidRPr="00000000">
              <w:rPr>
                <w:rFonts w:ascii="Verdana" w:cs="Verdana" w:eastAsia="Verdana" w:hAnsi="Verdana"/>
                <w:b w:val="1"/>
                <w:sz w:val="18"/>
                <w:szCs w:val="18"/>
                <w:rtl w:val="0"/>
              </w:rPr>
              <w:t xml:space="preserve">Côte d’Ivoire : </w:t>
            </w:r>
            <w:r w:rsidDel="00000000" w:rsidR="00000000" w:rsidRPr="00000000">
              <w:rPr>
                <w:rFonts w:ascii="Verdana" w:cs="Verdana" w:eastAsia="Verdana" w:hAnsi="Verdana"/>
                <w:sz w:val="18"/>
                <w:szCs w:val="18"/>
                <w:rtl w:val="0"/>
              </w:rPr>
              <w:t xml:space="preserve">MOOV Money, Orange Money</w:t>
            </w:r>
            <w:r w:rsidDel="00000000" w:rsidR="00000000" w:rsidRPr="00000000">
              <w:rPr>
                <w:rFonts w:ascii="Verdana" w:cs="Verdana" w:eastAsia="Verdana" w:hAnsi="Verdana"/>
                <w:b w:val="1"/>
                <w:sz w:val="18"/>
                <w:szCs w:val="18"/>
                <w:rtl w:val="0"/>
              </w:rPr>
              <w:t xml:space="preserve"> </w:t>
              <w:br w:type="textWrapping"/>
            </w:r>
          </w:p>
        </w:tc>
        <w:tc>
          <w:tcPr>
            <w:tcBorders>
              <w:top w:color="cccccc" w:space="0" w:sz="6" w:val="single"/>
              <w:left w:color="cccccc" w:space="0" w:sz="6" w:val="single"/>
              <w:bottom w:color="000000" w:space="0" w:sz="6" w:val="single"/>
              <w:right w:color="000000" w:space="0" w:sz="6" w:val="single"/>
            </w:tcBorders>
            <w:shd w:fill="d9d9d9" w:val="clear"/>
            <w:tcMar>
              <w:top w:w="30.0" w:type="dxa"/>
              <w:left w:w="45.0" w:type="dxa"/>
              <w:bottom w:w="30.0" w:type="dxa"/>
              <w:right w:w="45.0" w:type="dxa"/>
            </w:tcMar>
            <w:vAlign w:val="bottom"/>
          </w:tcPr>
          <w:p w:rsidR="00000000" w:rsidDel="00000000" w:rsidP="00000000" w:rsidRDefault="00000000" w:rsidRPr="00000000" w14:paraId="0000010D">
            <w:pPr>
              <w:widowControl w:val="1"/>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Wave Sénégal et Wave Côte d’Ivoire </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30.0" w:type="dxa"/>
              <w:left w:w="45.0" w:type="dxa"/>
              <w:bottom w:w="30.0" w:type="dxa"/>
              <w:right w:w="45.0" w:type="dxa"/>
            </w:tcMar>
            <w:vAlign w:val="bottom"/>
          </w:tcPr>
          <w:p w:rsidR="00000000" w:rsidDel="00000000" w:rsidP="00000000" w:rsidRDefault="00000000" w:rsidRPr="00000000" w14:paraId="0000010E">
            <w:pPr>
              <w:widowControl w:val="1"/>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200</w:t>
            </w:r>
          </w:p>
        </w:tc>
        <w:tc>
          <w:tcPr>
            <w:tcBorders>
              <w:top w:color="cccccc" w:space="0" w:sz="6" w:val="single"/>
              <w:left w:color="cccccc" w:space="0" w:sz="6" w:val="single"/>
              <w:bottom w:color="000000" w:space="0" w:sz="6" w:val="single"/>
              <w:right w:color="000000" w:space="0" w:sz="6" w:val="single"/>
            </w:tcBorders>
            <w:shd w:fill="ffffff" w:val="clear"/>
            <w:tcMar>
              <w:top w:w="30.0" w:type="dxa"/>
              <w:left w:w="45.0" w:type="dxa"/>
              <w:bottom w:w="30.0" w:type="dxa"/>
              <w:right w:w="45.0" w:type="dxa"/>
            </w:tcMar>
            <w:vAlign w:val="bottom"/>
          </w:tcPr>
          <w:p w:rsidR="00000000" w:rsidDel="00000000" w:rsidP="00000000" w:rsidRDefault="00000000" w:rsidRPr="00000000" w14:paraId="0000010F">
            <w:pPr>
              <w:widowControl w:val="1"/>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99 999 999</w:t>
            </w:r>
          </w:p>
        </w:tc>
        <w:tc>
          <w:tcPr>
            <w:tcBorders>
              <w:top w:color="cccccc" w:space="0" w:sz="6" w:val="single"/>
              <w:left w:color="cccccc" w:space="0" w:sz="6" w:val="single"/>
              <w:bottom w:color="000000" w:space="0" w:sz="6" w:val="single"/>
              <w:right w:color="000000" w:space="0" w:sz="6" w:val="single"/>
            </w:tcBorders>
            <w:shd w:fill="ffffff" w:val="clear"/>
            <w:tcMar>
              <w:top w:w="30.0" w:type="dxa"/>
              <w:left w:w="45.0" w:type="dxa"/>
              <w:bottom w:w="30.0" w:type="dxa"/>
              <w:right w:w="45.0" w:type="dxa"/>
            </w:tcMar>
            <w:vAlign w:val="bottom"/>
          </w:tcPr>
          <w:p w:rsidR="00000000" w:rsidDel="00000000" w:rsidP="00000000" w:rsidRDefault="00000000" w:rsidRPr="00000000" w14:paraId="00000110">
            <w:pPr>
              <w:widowControl w:val="1"/>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1,5%</w:t>
            </w:r>
          </w:p>
        </w:tc>
        <w:tc>
          <w:tcPr>
            <w:tcBorders>
              <w:top w:color="cccccc" w:space="0" w:sz="6" w:val="single"/>
              <w:left w:color="cccccc" w:space="0" w:sz="6" w:val="single"/>
              <w:bottom w:color="000000" w:space="0" w:sz="6" w:val="single"/>
              <w:right w:color="000000" w:space="0" w:sz="6" w:val="single"/>
            </w:tcBorders>
            <w:shd w:fill="ffffff" w:val="clear"/>
            <w:tcMar>
              <w:top w:w="30.0" w:type="dxa"/>
              <w:left w:w="45.0" w:type="dxa"/>
              <w:bottom w:w="30.0" w:type="dxa"/>
              <w:right w:w="45.0" w:type="dxa"/>
            </w:tcMar>
            <w:vAlign w:val="bottom"/>
          </w:tcPr>
          <w:p w:rsidR="00000000" w:rsidDel="00000000" w:rsidP="00000000" w:rsidRDefault="00000000" w:rsidRPr="00000000" w14:paraId="00000111">
            <w:pPr>
              <w:widowControl w:val="1"/>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2%</w:t>
            </w:r>
          </w:p>
        </w:tc>
        <w:tc>
          <w:tcPr>
            <w:tcBorders>
              <w:top w:color="cccccc" w:space="0" w:sz="6" w:val="single"/>
              <w:left w:color="cccccc" w:space="0" w:sz="6" w:val="single"/>
              <w:bottom w:color="000000" w:space="0" w:sz="6" w:val="single"/>
              <w:right w:color="000000" w:space="0" w:sz="6" w:val="single"/>
            </w:tcBorders>
            <w:shd w:fill="ffffff" w:val="clear"/>
            <w:tcMar>
              <w:top w:w="30.0" w:type="dxa"/>
              <w:left w:w="45.0" w:type="dxa"/>
              <w:bottom w:w="30.0" w:type="dxa"/>
              <w:right w:w="45.0" w:type="dxa"/>
            </w:tcMar>
            <w:vAlign w:val="bottom"/>
          </w:tcPr>
          <w:p w:rsidR="00000000" w:rsidDel="00000000" w:rsidP="00000000" w:rsidRDefault="00000000" w:rsidRPr="00000000" w14:paraId="00000112">
            <w:pPr>
              <w:widowControl w:val="1"/>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0,5%</w:t>
            </w:r>
          </w:p>
        </w:tc>
        <w:tc>
          <w:tcPr>
            <w:tcBorders>
              <w:top w:color="cccccc" w:space="0" w:sz="6" w:val="single"/>
              <w:left w:color="cccccc" w:space="0" w:sz="6" w:val="single"/>
              <w:bottom w:color="000000" w:space="0" w:sz="6" w:val="single"/>
              <w:right w:color="000000" w:space="0" w:sz="6" w:val="single"/>
            </w:tcBorders>
            <w:shd w:fill="ffffff" w:val="clear"/>
            <w:tcMar>
              <w:top w:w="30.0" w:type="dxa"/>
              <w:left w:w="45.0" w:type="dxa"/>
              <w:bottom w:w="30.0" w:type="dxa"/>
              <w:right w:w="45.0" w:type="dxa"/>
            </w:tcMar>
            <w:vAlign w:val="bottom"/>
          </w:tcPr>
          <w:p w:rsidR="00000000" w:rsidDel="00000000" w:rsidP="00000000" w:rsidRDefault="00000000" w:rsidRPr="00000000" w14:paraId="00000113">
            <w:pPr>
              <w:widowControl w:val="1"/>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1,3%</w:t>
            </w:r>
          </w:p>
        </w:tc>
        <w:tc>
          <w:tcPr>
            <w:tcBorders>
              <w:top w:color="cccccc" w:space="0" w:sz="6" w:val="single"/>
              <w:left w:color="cccccc" w:space="0" w:sz="6" w:val="single"/>
              <w:bottom w:color="000000" w:space="0" w:sz="6" w:val="single"/>
              <w:right w:color="000000" w:space="0" w:sz="6" w:val="single"/>
            </w:tcBorders>
            <w:shd w:fill="ffffff" w:val="clear"/>
            <w:tcMar>
              <w:top w:w="30.0" w:type="dxa"/>
              <w:left w:w="45.0" w:type="dxa"/>
              <w:bottom w:w="30.0" w:type="dxa"/>
              <w:right w:w="45.0" w:type="dxa"/>
            </w:tcMar>
            <w:vAlign w:val="bottom"/>
          </w:tcPr>
          <w:p w:rsidR="00000000" w:rsidDel="00000000" w:rsidP="00000000" w:rsidRDefault="00000000" w:rsidRPr="00000000" w14:paraId="00000114">
            <w:pPr>
              <w:widowControl w:val="1"/>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30.0" w:type="dxa"/>
              <w:left w:w="45.0" w:type="dxa"/>
              <w:bottom w:w="30.0" w:type="dxa"/>
              <w:right w:w="45.0" w:type="dxa"/>
            </w:tcMar>
            <w:vAlign w:val="bottom"/>
          </w:tcPr>
          <w:p w:rsidR="00000000" w:rsidDel="00000000" w:rsidP="00000000" w:rsidRDefault="00000000" w:rsidRPr="00000000" w14:paraId="00000115">
            <w:pPr>
              <w:widowControl w:val="1"/>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100 000 000</w:t>
            </w:r>
          </w:p>
        </w:tc>
        <w:tc>
          <w:tcPr>
            <w:tcBorders>
              <w:top w:color="cccccc" w:space="0" w:sz="6" w:val="single"/>
              <w:left w:color="cccccc" w:space="0" w:sz="6" w:val="single"/>
              <w:bottom w:color="000000" w:space="0" w:sz="6" w:val="single"/>
              <w:right w:color="000000" w:space="0" w:sz="6" w:val="single"/>
            </w:tcBorders>
            <w:shd w:fill="ffffff" w:val="clear"/>
            <w:tcMar>
              <w:top w:w="30.0" w:type="dxa"/>
              <w:left w:w="45.0" w:type="dxa"/>
              <w:bottom w:w="30.0" w:type="dxa"/>
              <w:right w:w="45.0" w:type="dxa"/>
            </w:tcMar>
            <w:vAlign w:val="bottom"/>
          </w:tcPr>
          <w:p w:rsidR="00000000" w:rsidDel="00000000" w:rsidP="00000000" w:rsidRDefault="00000000" w:rsidRPr="00000000" w14:paraId="00000116">
            <w:pPr>
              <w:widowControl w:val="1"/>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999 999 999</w:t>
            </w:r>
          </w:p>
        </w:tc>
        <w:tc>
          <w:tcPr>
            <w:tcBorders>
              <w:top w:color="cccccc" w:space="0" w:sz="6" w:val="single"/>
              <w:left w:color="cccccc" w:space="0" w:sz="6" w:val="single"/>
              <w:bottom w:color="000000" w:space="0" w:sz="6" w:val="single"/>
              <w:right w:color="000000" w:space="0" w:sz="6" w:val="single"/>
            </w:tcBorders>
            <w:shd w:fill="ffffff" w:val="clear"/>
            <w:tcMar>
              <w:top w:w="30.0" w:type="dxa"/>
              <w:left w:w="45.0" w:type="dxa"/>
              <w:bottom w:w="30.0" w:type="dxa"/>
              <w:right w:w="45.0" w:type="dxa"/>
            </w:tcMar>
            <w:vAlign w:val="bottom"/>
          </w:tcPr>
          <w:p w:rsidR="00000000" w:rsidDel="00000000" w:rsidP="00000000" w:rsidRDefault="00000000" w:rsidRPr="00000000" w14:paraId="00000117">
            <w:pPr>
              <w:widowControl w:val="1"/>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1%</w:t>
            </w:r>
          </w:p>
        </w:tc>
        <w:tc>
          <w:tcPr>
            <w:tcBorders>
              <w:top w:color="cccccc" w:space="0" w:sz="6" w:val="single"/>
              <w:left w:color="cccccc" w:space="0" w:sz="6" w:val="single"/>
              <w:bottom w:color="000000" w:space="0" w:sz="6" w:val="single"/>
              <w:right w:color="000000" w:space="0" w:sz="6" w:val="single"/>
            </w:tcBorders>
            <w:shd w:fill="ffffff" w:val="clear"/>
            <w:tcMar>
              <w:top w:w="30.0" w:type="dxa"/>
              <w:left w:w="45.0" w:type="dxa"/>
              <w:bottom w:w="30.0" w:type="dxa"/>
              <w:right w:w="45.0" w:type="dxa"/>
            </w:tcMar>
            <w:vAlign w:val="bottom"/>
          </w:tcPr>
          <w:p w:rsidR="00000000" w:rsidDel="00000000" w:rsidP="00000000" w:rsidRDefault="00000000" w:rsidRPr="00000000" w14:paraId="00000118">
            <w:pPr>
              <w:widowControl w:val="1"/>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1,8%</w:t>
            </w:r>
          </w:p>
        </w:tc>
        <w:tc>
          <w:tcPr>
            <w:tcBorders>
              <w:top w:color="cccccc" w:space="0" w:sz="6" w:val="single"/>
              <w:left w:color="cccccc" w:space="0" w:sz="6" w:val="single"/>
              <w:bottom w:color="000000" w:space="0" w:sz="6" w:val="single"/>
              <w:right w:color="000000" w:space="0" w:sz="6" w:val="single"/>
            </w:tcBorders>
            <w:shd w:fill="ffffff" w:val="clear"/>
            <w:tcMar>
              <w:top w:w="30.0" w:type="dxa"/>
              <w:left w:w="45.0" w:type="dxa"/>
              <w:bottom w:w="30.0" w:type="dxa"/>
              <w:right w:w="45.0" w:type="dxa"/>
            </w:tcMar>
            <w:vAlign w:val="bottom"/>
          </w:tcPr>
          <w:p w:rsidR="00000000" w:rsidDel="00000000" w:rsidP="00000000" w:rsidRDefault="00000000" w:rsidRPr="00000000" w14:paraId="00000119">
            <w:pPr>
              <w:widowControl w:val="1"/>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0,4%</w:t>
            </w:r>
          </w:p>
        </w:tc>
        <w:tc>
          <w:tcPr>
            <w:tcBorders>
              <w:top w:color="cccccc" w:space="0" w:sz="6" w:val="single"/>
              <w:left w:color="cccccc" w:space="0" w:sz="6" w:val="single"/>
              <w:bottom w:color="000000" w:space="0" w:sz="6" w:val="single"/>
              <w:right w:color="000000" w:space="0" w:sz="6" w:val="single"/>
            </w:tcBorders>
            <w:shd w:fill="ffffff" w:val="clear"/>
            <w:tcMar>
              <w:top w:w="30.0" w:type="dxa"/>
              <w:left w:w="45.0" w:type="dxa"/>
              <w:bottom w:w="30.0" w:type="dxa"/>
              <w:right w:w="45.0" w:type="dxa"/>
            </w:tcMar>
            <w:vAlign w:val="bottom"/>
          </w:tcPr>
          <w:p w:rsidR="00000000" w:rsidDel="00000000" w:rsidP="00000000" w:rsidRDefault="00000000" w:rsidRPr="00000000" w14:paraId="0000011A">
            <w:pPr>
              <w:widowControl w:val="1"/>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1,2%</w:t>
            </w:r>
          </w:p>
        </w:tc>
        <w:tc>
          <w:tcPr>
            <w:tcBorders>
              <w:top w:color="cccccc" w:space="0" w:sz="6" w:val="single"/>
              <w:left w:color="cccccc" w:space="0" w:sz="6" w:val="single"/>
              <w:bottom w:color="000000" w:space="0" w:sz="6" w:val="single"/>
              <w:right w:color="000000" w:space="0" w:sz="6" w:val="single"/>
            </w:tcBorders>
            <w:shd w:fill="ffffff" w:val="clear"/>
            <w:tcMar>
              <w:top w:w="30.0" w:type="dxa"/>
              <w:left w:w="45.0" w:type="dxa"/>
              <w:bottom w:w="30.0" w:type="dxa"/>
              <w:right w:w="45.0" w:type="dxa"/>
            </w:tcMar>
            <w:vAlign w:val="bottom"/>
          </w:tcPr>
          <w:p w:rsidR="00000000" w:rsidDel="00000000" w:rsidP="00000000" w:rsidRDefault="00000000" w:rsidRPr="00000000" w14:paraId="0000011B">
            <w:pPr>
              <w:widowControl w:val="1"/>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1,8%</w:t>
            </w:r>
          </w:p>
        </w:tc>
      </w:tr>
      <w:tr>
        <w:trPr>
          <w:cantSplit w:val="0"/>
          <w:trHeight w:val="315" w:hRule="atLeast"/>
          <w:tblHeader w:val="0"/>
        </w:trPr>
        <w:tc>
          <w:tcPr>
            <w:gridSpan w:val="2"/>
            <w:tcBorders>
              <w:top w:color="cccccc" w:space="0" w:sz="6" w:val="single"/>
              <w:left w:color="000000" w:space="0" w:sz="6" w:val="single"/>
              <w:bottom w:color="000000" w:space="0" w:sz="6" w:val="single"/>
              <w:right w:color="000000" w:space="0" w:sz="6" w:val="single"/>
            </w:tcBorders>
            <w:shd w:fill="ffffff" w:val="clear"/>
            <w:tcMar>
              <w:top w:w="30.0" w:type="dxa"/>
              <w:left w:w="45.0" w:type="dxa"/>
              <w:bottom w:w="30.0" w:type="dxa"/>
              <w:right w:w="45.0" w:type="dxa"/>
            </w:tcMar>
            <w:vAlign w:val="bottom"/>
          </w:tcPr>
          <w:p w:rsidR="00000000" w:rsidDel="00000000" w:rsidP="00000000" w:rsidRDefault="00000000" w:rsidRPr="00000000" w14:paraId="0000011C">
            <w:pPr>
              <w:widowControl w:val="1"/>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Plus de 1 000 000 000</w:t>
            </w:r>
          </w:p>
        </w:tc>
        <w:tc>
          <w:tcPr>
            <w:tcBorders>
              <w:top w:color="cccccc" w:space="0" w:sz="6" w:val="single"/>
              <w:left w:color="cccccc" w:space="0" w:sz="6" w:val="single"/>
              <w:bottom w:color="000000" w:space="0" w:sz="6" w:val="single"/>
              <w:right w:color="000000" w:space="0" w:sz="6" w:val="single"/>
            </w:tcBorders>
            <w:shd w:fill="ffffff" w:val="clear"/>
            <w:tcMar>
              <w:top w:w="30.0" w:type="dxa"/>
              <w:left w:w="45.0" w:type="dxa"/>
              <w:bottom w:w="30.0" w:type="dxa"/>
              <w:right w:w="45.0" w:type="dxa"/>
            </w:tcMar>
            <w:vAlign w:val="bottom"/>
          </w:tcPr>
          <w:p w:rsidR="00000000" w:rsidDel="00000000" w:rsidP="00000000" w:rsidRDefault="00000000" w:rsidRPr="00000000" w14:paraId="0000011E">
            <w:pPr>
              <w:widowControl w:val="1"/>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0,8%</w:t>
            </w:r>
          </w:p>
        </w:tc>
        <w:tc>
          <w:tcPr>
            <w:tcBorders>
              <w:top w:color="cccccc" w:space="0" w:sz="6" w:val="single"/>
              <w:left w:color="cccccc" w:space="0" w:sz="6" w:val="single"/>
              <w:bottom w:color="000000" w:space="0" w:sz="6" w:val="single"/>
              <w:right w:color="000000" w:space="0" w:sz="6" w:val="single"/>
            </w:tcBorders>
            <w:shd w:fill="ffffff" w:val="clear"/>
            <w:tcMar>
              <w:top w:w="30.0" w:type="dxa"/>
              <w:left w:w="45.0" w:type="dxa"/>
              <w:bottom w:w="30.0" w:type="dxa"/>
              <w:right w:w="45.0" w:type="dxa"/>
            </w:tcMar>
            <w:vAlign w:val="bottom"/>
          </w:tcPr>
          <w:p w:rsidR="00000000" w:rsidDel="00000000" w:rsidP="00000000" w:rsidRDefault="00000000" w:rsidRPr="00000000" w14:paraId="0000011F">
            <w:pPr>
              <w:widowControl w:val="1"/>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1,5%</w:t>
            </w:r>
          </w:p>
        </w:tc>
        <w:tc>
          <w:tcPr>
            <w:tcBorders>
              <w:top w:color="cccccc" w:space="0" w:sz="6" w:val="single"/>
              <w:left w:color="cccccc" w:space="0" w:sz="6" w:val="single"/>
              <w:bottom w:color="000000" w:space="0" w:sz="6" w:val="single"/>
              <w:right w:color="000000" w:space="0" w:sz="6" w:val="single"/>
            </w:tcBorders>
            <w:shd w:fill="ffffff" w:val="clear"/>
            <w:tcMar>
              <w:top w:w="30.0" w:type="dxa"/>
              <w:left w:w="45.0" w:type="dxa"/>
              <w:bottom w:w="30.0" w:type="dxa"/>
              <w:right w:w="45.0" w:type="dxa"/>
            </w:tcMar>
            <w:vAlign w:val="bottom"/>
          </w:tcPr>
          <w:p w:rsidR="00000000" w:rsidDel="00000000" w:rsidP="00000000" w:rsidRDefault="00000000" w:rsidRPr="00000000" w14:paraId="00000120">
            <w:pPr>
              <w:widowControl w:val="1"/>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0,3%</w:t>
            </w:r>
          </w:p>
        </w:tc>
        <w:tc>
          <w:tcPr>
            <w:tcBorders>
              <w:top w:color="cccccc" w:space="0" w:sz="6" w:val="single"/>
              <w:left w:color="cccccc" w:space="0" w:sz="6" w:val="single"/>
              <w:bottom w:color="000000" w:space="0" w:sz="6" w:val="single"/>
              <w:right w:color="000000" w:space="0" w:sz="6" w:val="single"/>
            </w:tcBorders>
            <w:shd w:fill="ffffff" w:val="clear"/>
            <w:tcMar>
              <w:top w:w="30.0" w:type="dxa"/>
              <w:left w:w="45.0" w:type="dxa"/>
              <w:bottom w:w="30.0" w:type="dxa"/>
              <w:right w:w="45.0" w:type="dxa"/>
            </w:tcMar>
            <w:vAlign w:val="bottom"/>
          </w:tcPr>
          <w:p w:rsidR="00000000" w:rsidDel="00000000" w:rsidP="00000000" w:rsidRDefault="00000000" w:rsidRPr="00000000" w14:paraId="00000121">
            <w:pPr>
              <w:widowControl w:val="1"/>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1,1%</w:t>
            </w:r>
          </w:p>
        </w:tc>
        <w:tc>
          <w:tcPr>
            <w:tcBorders>
              <w:top w:color="cccccc" w:space="0" w:sz="6" w:val="single"/>
              <w:left w:color="cccccc" w:space="0" w:sz="6" w:val="single"/>
              <w:bottom w:color="000000" w:space="0" w:sz="6" w:val="single"/>
              <w:right w:color="000000" w:space="0" w:sz="6" w:val="single"/>
            </w:tcBorders>
            <w:shd w:fill="ffffff" w:val="clear"/>
            <w:tcMar>
              <w:top w:w="30.0" w:type="dxa"/>
              <w:left w:w="45.0" w:type="dxa"/>
              <w:bottom w:w="30.0" w:type="dxa"/>
              <w:right w:w="45.0" w:type="dxa"/>
            </w:tcMar>
            <w:vAlign w:val="bottom"/>
          </w:tcPr>
          <w:p w:rsidR="00000000" w:rsidDel="00000000" w:rsidP="00000000" w:rsidRDefault="00000000" w:rsidRPr="00000000" w14:paraId="00000122">
            <w:pPr>
              <w:widowControl w:val="1"/>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1,7%</w:t>
            </w:r>
          </w:p>
        </w:tc>
      </w:tr>
    </w:tbl>
    <w:p w:rsidR="00000000" w:rsidDel="00000000" w:rsidP="00000000" w:rsidRDefault="00000000" w:rsidRPr="00000000" w14:paraId="00000123">
      <w:pPr>
        <w:ind w:left="116" w:right="39" w:firstLine="0"/>
        <w:jc w:val="both"/>
        <w:rPr>
          <w:rFonts w:ascii="Verdana" w:cs="Verdana" w:eastAsia="Verdana" w:hAnsi="Verdana"/>
          <w:b w:val="1"/>
          <w:sz w:val="18"/>
          <w:szCs w:val="18"/>
        </w:rPr>
      </w:pPr>
      <w:r w:rsidDel="00000000" w:rsidR="00000000" w:rsidRPr="00000000">
        <w:rPr>
          <w:rtl w:val="0"/>
        </w:rPr>
      </w:r>
    </w:p>
    <w:p w:rsidR="00000000" w:rsidDel="00000000" w:rsidP="00000000" w:rsidRDefault="00000000" w:rsidRPr="00000000" w14:paraId="00000124">
      <w:pPr>
        <w:ind w:right="39"/>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w:t>
      </w:r>
    </w:p>
    <w:p w:rsidR="00000000" w:rsidDel="00000000" w:rsidP="00000000" w:rsidRDefault="00000000" w:rsidRPr="00000000" w14:paraId="00000126">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Tous les retraits d’argent seront facturés en fonction du tableau suivant :</w:t>
      </w:r>
    </w:p>
    <w:p w:rsidR="00000000" w:rsidDel="00000000" w:rsidP="00000000" w:rsidRDefault="00000000" w:rsidRPr="00000000" w14:paraId="00000127">
      <w:pPr>
        <w:pBdr>
          <w:top w:space="0" w:sz="0" w:val="nil"/>
          <w:left w:space="0" w:sz="0" w:val="nil"/>
          <w:bottom w:space="0" w:sz="0" w:val="nil"/>
          <w:right w:space="0" w:sz="0" w:val="nil"/>
          <w:between w:space="0" w:sz="0" w:val="nil"/>
        </w:pBdr>
        <w:ind w:left="0"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ind w:left="0"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ind w:left="0"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ind w:left="0"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ind w:left="0"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ind w:left="0"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ind w:left="0"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ind w:left="0"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ind w:left="0"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ind w:left="0"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ind w:left="0"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ind w:left="0"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33">
      <w:pPr>
        <w:rPr>
          <w:b w:val="1"/>
          <w:color w:val="00b0f0"/>
        </w:rPr>
      </w:pPr>
      <w:r w:rsidDel="00000000" w:rsidR="00000000" w:rsidRPr="00000000">
        <w:rPr>
          <w:rtl w:val="0"/>
        </w:rPr>
      </w:r>
    </w:p>
    <w:tbl>
      <w:tblPr>
        <w:tblStyle w:val="Table4"/>
        <w:tblW w:w="9348.0" w:type="dxa"/>
        <w:jc w:val="left"/>
        <w:tblLayout w:type="fixed"/>
        <w:tblLook w:val="0400"/>
      </w:tblPr>
      <w:tblGrid>
        <w:gridCol w:w="850"/>
        <w:gridCol w:w="1088"/>
        <w:gridCol w:w="3328"/>
        <w:gridCol w:w="1389"/>
        <w:gridCol w:w="2693"/>
        <w:tblGridChange w:id="0">
          <w:tblGrid>
            <w:gridCol w:w="850"/>
            <w:gridCol w:w="1088"/>
            <w:gridCol w:w="3328"/>
            <w:gridCol w:w="1389"/>
            <w:gridCol w:w="2693"/>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4" w:val="single"/>
            </w:tcBorders>
            <w:shd w:fill="d9d9d9" w:val="clear"/>
            <w:tcMar>
              <w:top w:w="30.0" w:type="dxa"/>
              <w:left w:w="45.0" w:type="dxa"/>
              <w:bottom w:w="30.0" w:type="dxa"/>
              <w:right w:w="45.0" w:type="dxa"/>
            </w:tcMar>
            <w:vAlign w:val="bottom"/>
          </w:tcPr>
          <w:p w:rsidR="00000000" w:rsidDel="00000000" w:rsidP="00000000" w:rsidRDefault="00000000" w:rsidRPr="00000000" w14:paraId="00000134">
            <w:pPr>
              <w:widowControl w:val="1"/>
              <w:jc w:val="center"/>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Frais de Retrait</w:t>
            </w:r>
          </w:p>
        </w:tc>
      </w:tr>
      <w:tr>
        <w:trPr>
          <w:cantSplit w:val="0"/>
          <w:trHeight w:val="690" w:hRule="atLeast"/>
          <w:tblHeader w:val="0"/>
        </w:trPr>
        <w:tc>
          <w:tcPr>
            <w:tcBorders>
              <w:top w:color="cccccc" w:space="0" w:sz="6" w:val="single"/>
              <w:left w:color="000000" w:space="0" w:sz="6" w:val="single"/>
              <w:bottom w:color="000000" w:space="0" w:sz="6" w:val="single"/>
              <w:right w:color="000000" w:space="0" w:sz="6" w:val="single"/>
            </w:tcBorders>
            <w:shd w:fill="d9d9d9" w:val="clear"/>
            <w:tcMar>
              <w:top w:w="30.0" w:type="dxa"/>
              <w:left w:w="45.0" w:type="dxa"/>
              <w:bottom w:w="30.0" w:type="dxa"/>
              <w:right w:w="45.0" w:type="dxa"/>
            </w:tcMar>
            <w:vAlign w:val="bottom"/>
          </w:tcPr>
          <w:p w:rsidR="00000000" w:rsidDel="00000000" w:rsidP="00000000" w:rsidRDefault="00000000" w:rsidRPr="00000000" w14:paraId="00000139">
            <w:pPr>
              <w:widowControl w:val="1"/>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Banque même devise</w:t>
            </w:r>
          </w:p>
        </w:tc>
        <w:tc>
          <w:tcPr>
            <w:tcBorders>
              <w:top w:color="cccccc" w:space="0" w:sz="6" w:val="single"/>
              <w:left w:color="cccccc" w:space="0" w:sz="6" w:val="single"/>
              <w:bottom w:color="000000" w:space="0" w:sz="6" w:val="single"/>
              <w:right w:color="000000" w:space="0" w:sz="6" w:val="single"/>
            </w:tcBorders>
            <w:shd w:fill="d9d9d9" w:val="clear"/>
            <w:tcMar>
              <w:top w:w="30.0" w:type="dxa"/>
              <w:left w:w="45.0" w:type="dxa"/>
              <w:bottom w:w="30.0" w:type="dxa"/>
              <w:right w:w="45.0" w:type="dxa"/>
            </w:tcMar>
            <w:vAlign w:val="bottom"/>
          </w:tcPr>
          <w:p w:rsidR="00000000" w:rsidDel="00000000" w:rsidP="00000000" w:rsidRDefault="00000000" w:rsidRPr="00000000" w14:paraId="0000013A">
            <w:pPr>
              <w:widowControl w:val="1"/>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Banque devise différente</w:t>
            </w:r>
          </w:p>
        </w:tc>
        <w:tc>
          <w:tcPr>
            <w:tcBorders>
              <w:top w:color="cccccc" w:space="0" w:sz="6" w:val="single"/>
              <w:left w:color="cccccc" w:space="0" w:sz="6" w:val="single"/>
              <w:bottom w:color="000000" w:space="0" w:sz="6" w:val="single"/>
              <w:right w:color="000000" w:space="0" w:sz="6" w:val="single"/>
            </w:tcBorders>
            <w:shd w:fill="d9d9d9" w:val="clear"/>
            <w:tcMar>
              <w:top w:w="30.0" w:type="dxa"/>
              <w:left w:w="45.0" w:type="dxa"/>
              <w:bottom w:w="30.0" w:type="dxa"/>
              <w:right w:w="45.0" w:type="dxa"/>
            </w:tcMar>
            <w:vAlign w:val="bottom"/>
          </w:tcPr>
          <w:p w:rsidR="00000000" w:rsidDel="00000000" w:rsidP="00000000" w:rsidRDefault="00000000" w:rsidRPr="00000000" w14:paraId="0000013B">
            <w:pPr>
              <w:widowControl w:val="1"/>
              <w:rPr>
                <w:rFonts w:ascii="Verdana" w:cs="Verdana" w:eastAsia="Verdana" w:hAnsi="Verdana"/>
                <w:color w:val="000000"/>
                <w:sz w:val="18"/>
                <w:szCs w:val="18"/>
              </w:rPr>
            </w:pPr>
            <w:r w:rsidDel="00000000" w:rsidR="00000000" w:rsidRPr="00000000">
              <w:rPr>
                <w:rFonts w:ascii="Verdana" w:cs="Verdana" w:eastAsia="Verdana" w:hAnsi="Verdana"/>
                <w:b w:val="1"/>
                <w:color w:val="000000"/>
                <w:sz w:val="18"/>
                <w:szCs w:val="18"/>
                <w:rtl w:val="0"/>
              </w:rPr>
              <w:t xml:space="preserve">Sénégal : </w:t>
            </w:r>
            <w:r w:rsidDel="00000000" w:rsidR="00000000" w:rsidRPr="00000000">
              <w:rPr>
                <w:rFonts w:ascii="Verdana" w:cs="Verdana" w:eastAsia="Verdana" w:hAnsi="Verdana"/>
                <w:color w:val="000000"/>
                <w:sz w:val="18"/>
                <w:szCs w:val="18"/>
                <w:rtl w:val="0"/>
              </w:rPr>
              <w:t xml:space="preserve">Free Money, E-Money Sénégal</w:t>
              <w:br w:type="textWrapping"/>
            </w:r>
            <w:r w:rsidDel="00000000" w:rsidR="00000000" w:rsidRPr="00000000">
              <w:rPr>
                <w:rFonts w:ascii="Verdana" w:cs="Verdana" w:eastAsia="Verdana" w:hAnsi="Verdana"/>
                <w:b w:val="1"/>
                <w:color w:val="000000"/>
                <w:sz w:val="18"/>
                <w:szCs w:val="18"/>
                <w:rtl w:val="0"/>
              </w:rPr>
              <w:t xml:space="preserve">Côte d’Ivoire : </w:t>
            </w:r>
            <w:r w:rsidDel="00000000" w:rsidR="00000000" w:rsidRPr="00000000">
              <w:rPr>
                <w:rFonts w:ascii="Verdana" w:cs="Verdana" w:eastAsia="Verdana" w:hAnsi="Verdana"/>
                <w:color w:val="000000"/>
                <w:sz w:val="18"/>
                <w:szCs w:val="18"/>
                <w:rtl w:val="0"/>
              </w:rPr>
              <w:t xml:space="preserve">MTN Mobile Money, </w:t>
              <w:br w:type="textWrapping"/>
            </w:r>
            <w:r w:rsidDel="00000000" w:rsidR="00000000" w:rsidRPr="00000000">
              <w:rPr>
                <w:rFonts w:ascii="Verdana" w:cs="Verdana" w:eastAsia="Verdana" w:hAnsi="Verdana"/>
                <w:b w:val="1"/>
                <w:color w:val="000000"/>
                <w:sz w:val="18"/>
                <w:szCs w:val="18"/>
                <w:rtl w:val="0"/>
              </w:rPr>
              <w:t xml:space="preserve">Bénin : </w:t>
            </w:r>
            <w:r w:rsidDel="00000000" w:rsidR="00000000" w:rsidRPr="00000000">
              <w:rPr>
                <w:rFonts w:ascii="Verdana" w:cs="Verdana" w:eastAsia="Verdana" w:hAnsi="Verdana"/>
                <w:color w:val="000000"/>
                <w:sz w:val="18"/>
                <w:szCs w:val="18"/>
                <w:rtl w:val="0"/>
              </w:rPr>
              <w:t xml:space="preserve">MTN Mobile Money, Moov Money</w:t>
            </w:r>
            <w:r w:rsidDel="00000000" w:rsidR="00000000" w:rsidRPr="00000000">
              <w:rPr>
                <w:rFonts w:ascii="Verdana" w:cs="Verdana" w:eastAsia="Verdana" w:hAnsi="Verdana"/>
                <w:b w:val="1"/>
                <w:color w:val="000000"/>
                <w:sz w:val="18"/>
                <w:szCs w:val="18"/>
                <w:rtl w:val="0"/>
              </w:rPr>
              <w:t xml:space="preserve">,</w:t>
              <w:br w:type="textWrapping"/>
              <w:t xml:space="preserve">Togo : </w:t>
            </w:r>
            <w:r w:rsidDel="00000000" w:rsidR="00000000" w:rsidRPr="00000000">
              <w:rPr>
                <w:rFonts w:ascii="Verdana" w:cs="Verdana" w:eastAsia="Verdana" w:hAnsi="Verdana"/>
                <w:color w:val="000000"/>
                <w:sz w:val="18"/>
                <w:szCs w:val="18"/>
                <w:rtl w:val="0"/>
              </w:rPr>
              <w:t xml:space="preserve">T-Money, Moov Money</w:t>
            </w:r>
          </w:p>
        </w:tc>
        <w:tc>
          <w:tcPr>
            <w:tcBorders>
              <w:top w:color="cccccc" w:space="0" w:sz="6" w:val="single"/>
              <w:left w:color="cccccc" w:space="0" w:sz="6" w:val="single"/>
              <w:bottom w:color="000000" w:space="0" w:sz="6" w:val="single"/>
              <w:right w:color="000000" w:space="0" w:sz="4" w:val="single"/>
            </w:tcBorders>
            <w:shd w:fill="d9d9d9" w:val="clear"/>
            <w:tcMar>
              <w:top w:w="30.0" w:type="dxa"/>
              <w:left w:w="45.0" w:type="dxa"/>
              <w:bottom w:w="30.0" w:type="dxa"/>
              <w:right w:w="45.0" w:type="dxa"/>
            </w:tcMar>
            <w:vAlign w:val="bottom"/>
          </w:tcPr>
          <w:p w:rsidR="00000000" w:rsidDel="00000000" w:rsidP="00000000" w:rsidRDefault="00000000" w:rsidRPr="00000000" w14:paraId="0000013C">
            <w:pPr>
              <w:widowControl w:val="1"/>
              <w:rPr>
                <w:rFonts w:ascii="Verdana" w:cs="Verdana" w:eastAsia="Verdana" w:hAnsi="Verdana"/>
                <w:color w:val="000000"/>
                <w:sz w:val="18"/>
                <w:szCs w:val="18"/>
              </w:rPr>
            </w:pPr>
            <w:r w:rsidDel="00000000" w:rsidR="00000000" w:rsidRPr="00000000">
              <w:rPr>
                <w:rFonts w:ascii="Verdana" w:cs="Verdana" w:eastAsia="Verdana" w:hAnsi="Verdana"/>
                <w:b w:val="1"/>
                <w:color w:val="000000"/>
                <w:sz w:val="18"/>
                <w:szCs w:val="18"/>
                <w:rtl w:val="0"/>
              </w:rPr>
              <w:t xml:space="preserve">Sénégal :</w:t>
            </w:r>
            <w:r w:rsidDel="00000000" w:rsidR="00000000" w:rsidRPr="00000000">
              <w:rPr>
                <w:rFonts w:ascii="Verdana" w:cs="Verdana" w:eastAsia="Verdana" w:hAnsi="Verdana"/>
                <w:color w:val="000000"/>
                <w:sz w:val="18"/>
                <w:szCs w:val="18"/>
                <w:rtl w:val="0"/>
              </w:rPr>
              <w:t xml:space="preserve"> Orange Money </w:t>
              <w:br w:type="textWrapping"/>
            </w:r>
            <w:r w:rsidDel="00000000" w:rsidR="00000000" w:rsidRPr="00000000">
              <w:rPr>
                <w:rFonts w:ascii="Verdana" w:cs="Verdana" w:eastAsia="Verdana" w:hAnsi="Verdana"/>
                <w:b w:val="1"/>
                <w:color w:val="000000"/>
                <w:sz w:val="18"/>
                <w:szCs w:val="18"/>
                <w:rtl w:val="0"/>
              </w:rPr>
              <w:t xml:space="preserve">Côte d’Ivoire</w:t>
            </w:r>
            <w:r w:rsidDel="00000000" w:rsidR="00000000" w:rsidRPr="00000000">
              <w:rPr>
                <w:rFonts w:ascii="Verdana" w:cs="Verdana" w:eastAsia="Verdana" w:hAnsi="Verdana"/>
                <w:color w:val="000000"/>
                <w:sz w:val="18"/>
                <w:szCs w:val="18"/>
                <w:rtl w:val="0"/>
              </w:rPr>
              <w:t xml:space="preserve"> : MOOV Money, Orange Money </w:t>
            </w:r>
          </w:p>
          <w:p w:rsidR="00000000" w:rsidDel="00000000" w:rsidP="00000000" w:rsidRDefault="00000000" w:rsidRPr="00000000" w14:paraId="0000013D">
            <w:pPr>
              <w:widowControl w:val="1"/>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Burkina Faso:</w:t>
            </w:r>
            <w:r w:rsidDel="00000000" w:rsidR="00000000" w:rsidRPr="00000000">
              <w:rPr>
                <w:rFonts w:ascii="Verdana" w:cs="Verdana" w:eastAsia="Verdana" w:hAnsi="Verdana"/>
                <w:sz w:val="18"/>
                <w:szCs w:val="18"/>
                <w:rtl w:val="0"/>
              </w:rPr>
              <w:t xml:space="preserve"> Orange Money</w:t>
            </w:r>
          </w:p>
          <w:p w:rsidR="00000000" w:rsidDel="00000000" w:rsidP="00000000" w:rsidRDefault="00000000" w:rsidRPr="00000000" w14:paraId="0000013E">
            <w:pPr>
              <w:widowControl w:val="1"/>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Mali:</w:t>
            </w:r>
            <w:r w:rsidDel="00000000" w:rsidR="00000000" w:rsidRPr="00000000">
              <w:rPr>
                <w:rFonts w:ascii="Verdana" w:cs="Verdana" w:eastAsia="Verdana" w:hAnsi="Verdana"/>
                <w:sz w:val="18"/>
                <w:szCs w:val="18"/>
                <w:rtl w:val="0"/>
              </w:rPr>
              <w:t xml:space="preserve"> Orange Money</w:t>
            </w:r>
            <w:r w:rsidDel="00000000" w:rsidR="00000000" w:rsidRPr="00000000">
              <w:rPr>
                <w:rtl w:val="0"/>
              </w:rPr>
            </w:r>
          </w:p>
          <w:p w:rsidR="00000000" w:rsidDel="00000000" w:rsidP="00000000" w:rsidRDefault="00000000" w:rsidRPr="00000000" w14:paraId="0000013F">
            <w:pPr>
              <w:widowControl w:val="1"/>
              <w:rPr>
                <w:rFonts w:ascii="Verdana" w:cs="Verdana" w:eastAsia="Verdana" w:hAnsi="Verdana"/>
                <w:color w:val="000000"/>
                <w:sz w:val="18"/>
                <w:szCs w:val="18"/>
              </w:rPr>
            </w:pPr>
            <w:r w:rsidDel="00000000" w:rsidR="00000000" w:rsidRPr="00000000">
              <w:rPr>
                <w:rFonts w:ascii="Verdana" w:cs="Verdana" w:eastAsia="Verdana" w:hAnsi="Verdana"/>
                <w:color w:val="000000"/>
                <w:sz w:val="18"/>
                <w:szCs w:val="18"/>
                <w:rtl w:val="0"/>
              </w:rPr>
              <w:br w:type="textWrapping"/>
            </w:r>
          </w:p>
        </w:tc>
        <w:tc>
          <w:tcPr>
            <w:tcBorders>
              <w:top w:color="cccccc" w:space="0" w:sz="6" w:val="single"/>
              <w:left w:color="000000" w:space="0" w:sz="4" w:val="single"/>
              <w:bottom w:color="000000" w:space="0" w:sz="6" w:val="single"/>
              <w:right w:color="000000" w:space="0" w:sz="6" w:val="single"/>
            </w:tcBorders>
            <w:shd w:fill="d9d9d9" w:val="clear"/>
            <w:vAlign w:val="bottom"/>
          </w:tcPr>
          <w:p w:rsidR="00000000" w:rsidDel="00000000" w:rsidP="00000000" w:rsidRDefault="00000000" w:rsidRPr="00000000" w14:paraId="00000140">
            <w:pPr>
              <w:rPr>
                <w:rFonts w:ascii="Verdana" w:cs="Verdana" w:eastAsia="Verdana" w:hAnsi="Verdana"/>
                <w:color w:val="000000"/>
                <w:sz w:val="18"/>
                <w:szCs w:val="18"/>
              </w:rPr>
            </w:pPr>
            <w:r w:rsidDel="00000000" w:rsidR="00000000" w:rsidRPr="00000000">
              <w:rPr>
                <w:rFonts w:ascii="Verdana" w:cs="Verdana" w:eastAsia="Verdana" w:hAnsi="Verdana"/>
                <w:color w:val="000000"/>
                <w:sz w:val="18"/>
                <w:szCs w:val="18"/>
                <w:rtl w:val="0"/>
              </w:rPr>
              <w:t xml:space="preserve">WAVE Sénégal &amp; Wave Côte d’Ivoire </w:t>
            </w:r>
          </w:p>
          <w:p w:rsidR="00000000" w:rsidDel="00000000" w:rsidP="00000000" w:rsidRDefault="00000000" w:rsidRPr="00000000" w14:paraId="00000141">
            <w:pPr>
              <w:rPr>
                <w:rFonts w:ascii="Verdana" w:cs="Verdana" w:eastAsia="Verdana" w:hAnsi="Verdana"/>
                <w:color w:val="000000"/>
                <w:sz w:val="18"/>
                <w:szCs w:val="18"/>
              </w:rPr>
            </w:pPr>
            <w:r w:rsidDel="00000000" w:rsidR="00000000" w:rsidRPr="00000000">
              <w:rPr>
                <w:rtl w:val="0"/>
              </w:rPr>
            </w:r>
          </w:p>
          <w:p w:rsidR="00000000" w:rsidDel="00000000" w:rsidP="00000000" w:rsidRDefault="00000000" w:rsidRPr="00000000" w14:paraId="00000142">
            <w:pPr>
              <w:widowControl w:val="1"/>
              <w:rPr>
                <w:rFonts w:ascii="Verdana" w:cs="Verdana" w:eastAsia="Verdana" w:hAnsi="Verdana"/>
                <w:color w:val="000000"/>
                <w:sz w:val="18"/>
                <w:szCs w:val="18"/>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43">
            <w:pPr>
              <w:widowControl w:val="1"/>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0F</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44">
            <w:pPr>
              <w:widowControl w:val="1"/>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3,5%</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bottom"/>
          </w:tcPr>
          <w:p w:rsidR="00000000" w:rsidDel="00000000" w:rsidP="00000000" w:rsidRDefault="00000000" w:rsidRPr="00000000" w14:paraId="00000145">
            <w:pPr>
              <w:widowControl w:val="1"/>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0,5%</w:t>
            </w:r>
          </w:p>
        </w:tc>
        <w:tc>
          <w:tcPr>
            <w:tcBorders>
              <w:top w:color="cccccc" w:space="0" w:sz="6" w:val="single"/>
              <w:left w:color="cccccc" w:space="0" w:sz="6" w:val="single"/>
              <w:bottom w:color="000000" w:space="0" w:sz="6" w:val="single"/>
              <w:right w:color="000000" w:space="0" w:sz="4" w:val="single"/>
            </w:tcBorders>
            <w:tcMar>
              <w:top w:w="30.0" w:type="dxa"/>
              <w:left w:w="45.0" w:type="dxa"/>
              <w:bottom w:w="30.0" w:type="dxa"/>
              <w:right w:w="45.0" w:type="dxa"/>
            </w:tcMar>
            <w:vAlign w:val="bottom"/>
          </w:tcPr>
          <w:p w:rsidR="00000000" w:rsidDel="00000000" w:rsidP="00000000" w:rsidRDefault="00000000" w:rsidRPr="00000000" w14:paraId="00000146">
            <w:pPr>
              <w:widowControl w:val="1"/>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1%</w:t>
            </w:r>
          </w:p>
        </w:tc>
        <w:tc>
          <w:tcPr>
            <w:tcBorders>
              <w:top w:color="cccccc" w:space="0" w:sz="6" w:val="single"/>
              <w:left w:color="000000" w:space="0" w:sz="4" w:val="single"/>
              <w:bottom w:color="000000" w:space="0" w:sz="6" w:val="single"/>
              <w:right w:color="000000" w:space="0" w:sz="6" w:val="single"/>
            </w:tcBorders>
            <w:vAlign w:val="bottom"/>
          </w:tcPr>
          <w:p w:rsidR="00000000" w:rsidDel="00000000" w:rsidP="00000000" w:rsidRDefault="00000000" w:rsidRPr="00000000" w14:paraId="00000147">
            <w:pPr>
              <w:widowControl w:val="1"/>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1,5%</w:t>
            </w:r>
          </w:p>
        </w:tc>
      </w:tr>
    </w:tbl>
    <w:p w:rsidR="00000000" w:rsidDel="00000000" w:rsidP="00000000" w:rsidRDefault="00000000" w:rsidRPr="00000000" w14:paraId="00000148">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ind w:left="116" w:right="39" w:firstLine="0"/>
        <w:jc w:val="both"/>
        <w:rPr>
          <w:rFonts w:ascii="Verdana" w:cs="Verdana" w:eastAsia="Verdana" w:hAnsi="Verdana"/>
          <w:b w:val="1"/>
          <w:sz w:val="18"/>
          <w:szCs w:val="18"/>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ind w:right="39"/>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ind w:right="39"/>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7.4</w:t>
      </w:r>
      <w:r w:rsidDel="00000000" w:rsidR="00000000" w:rsidRPr="00000000">
        <w:rPr>
          <w:rFonts w:ascii="Verdana" w:cs="Verdana" w:eastAsia="Verdana" w:hAnsi="Verdana"/>
          <w:sz w:val="18"/>
          <w:szCs w:val="18"/>
          <w:rtl w:val="0"/>
        </w:rPr>
        <w:t xml:space="preserve"> Il est convenu d’un commun accord que les frais de transactions pourraient être revus à la hausse en cas de modification de la grille tarifaire des fournisseurs de PayDunya. </w:t>
      </w:r>
    </w:p>
    <w:p w:rsidR="00000000" w:rsidDel="00000000" w:rsidP="00000000" w:rsidRDefault="00000000" w:rsidRPr="00000000" w14:paraId="0000014E">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PayDunya se chargera d’informer le Partenaire de la modification intervenue par lettre recommandée avec accusé de réception ou courrier remis contre décharge. </w:t>
      </w:r>
    </w:p>
    <w:p w:rsidR="00000000" w:rsidDel="00000000" w:rsidP="00000000" w:rsidRDefault="00000000" w:rsidRPr="00000000" w14:paraId="00000150">
      <w:pPr>
        <w:pBdr>
          <w:top w:space="0" w:sz="0" w:val="nil"/>
          <w:left w:space="0" w:sz="0" w:val="nil"/>
          <w:bottom w:space="0" w:sz="0" w:val="nil"/>
          <w:right w:space="0" w:sz="0" w:val="nil"/>
          <w:between w:space="0" w:sz="0" w:val="nil"/>
        </w:pBdr>
        <w:ind w:left="116" w:right="39" w:firstLine="0"/>
        <w:jc w:val="both"/>
        <w:rPr>
          <w:rFonts w:ascii="Verdana" w:cs="Verdana" w:eastAsia="Verdana" w:hAnsi="Verdana"/>
          <w:b w:val="1"/>
          <w:sz w:val="18"/>
          <w:szCs w:val="18"/>
        </w:rPr>
      </w:pPr>
      <w:r w:rsidDel="00000000" w:rsidR="00000000" w:rsidRPr="00000000">
        <w:rPr>
          <w:rFonts w:ascii="Verdana" w:cs="Verdana" w:eastAsia="Verdana" w:hAnsi="Verdana"/>
          <w:sz w:val="18"/>
          <w:szCs w:val="18"/>
          <w:rtl w:val="0"/>
        </w:rPr>
        <w:t xml:space="preserve">Les parties disposent d’un délai de cinq (05) jours ouvrés à compter de la notification susmentionnée pour renégocier les nouveaux tarifs. L’accord qui en résulte devra être matérialisé sous la forme d’un avenant sous seing privé par les deux parties et annexé à la présente convention. Passé ce délai ou en cas de désaccord, la présente convention pourra être rompue à tout moment sans préavis</w:t>
      </w:r>
      <w:r w:rsidDel="00000000" w:rsidR="00000000" w:rsidRPr="00000000">
        <w:rPr>
          <w:rFonts w:ascii="Verdana" w:cs="Verdana" w:eastAsia="Verdana" w:hAnsi="Verdana"/>
          <w:b w:val="1"/>
          <w:sz w:val="18"/>
          <w:szCs w:val="18"/>
          <w:rtl w:val="0"/>
        </w:rPr>
        <w:t xml:space="preserve">. </w:t>
      </w:r>
    </w:p>
    <w:p w:rsidR="00000000" w:rsidDel="00000000" w:rsidP="00000000" w:rsidRDefault="00000000" w:rsidRPr="00000000" w14:paraId="00000151">
      <w:pPr>
        <w:pBdr>
          <w:top w:space="0" w:sz="0" w:val="nil"/>
          <w:left w:space="0" w:sz="0" w:val="nil"/>
          <w:bottom w:space="0" w:sz="0" w:val="nil"/>
          <w:right w:space="0" w:sz="0" w:val="nil"/>
          <w:between w:space="0" w:sz="0" w:val="nil"/>
        </w:pBdr>
        <w:ind w:left="116" w:right="39" w:firstLine="0"/>
        <w:jc w:val="both"/>
        <w:rPr>
          <w:rFonts w:ascii="Verdana" w:cs="Verdana" w:eastAsia="Verdana" w:hAnsi="Verdana"/>
          <w:b w:val="1"/>
          <w:sz w:val="18"/>
          <w:szCs w:val="18"/>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53">
      <w:pPr>
        <w:pBdr>
          <w:left w:space="0" w:sz="0" w:val="nil"/>
          <w:bottom w:space="0" w:sz="0" w:val="nil"/>
          <w:right w:space="0" w:sz="0" w:val="nil"/>
          <w:between w:space="0" w:sz="0" w:val="nil"/>
        </w:pBdr>
        <w:ind w:right="39"/>
        <w:jc w:val="both"/>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ARTICLE 8 : CONFIDENTIALITE </w:t>
      </w:r>
    </w:p>
    <w:p w:rsidR="00000000" w:rsidDel="00000000" w:rsidP="00000000" w:rsidRDefault="00000000" w:rsidRPr="00000000" w14:paraId="00000154">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Sont considérées comme confidentielles au titre du présent contrat les informations quel que soit le support écrit ou électronique ou lors des échanges verbaux, qui sont portées ou qui pourraient être portées à la connaissance de l’une ou de l’autre partie à l’occasion des discussions, négociation ou exécution du présent contrat. Chaque partie qui reçoit une information confidentielle s’engage à : </w:t>
      </w:r>
    </w:p>
    <w:p w:rsidR="00000000" w:rsidDel="00000000" w:rsidP="00000000" w:rsidRDefault="00000000" w:rsidRPr="00000000" w14:paraId="00000156">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ne pas l’utiliser à d’autres fins que celles de la mise en œuvre du présent contrat, </w:t>
      </w:r>
    </w:p>
    <w:p w:rsidR="00000000" w:rsidDel="00000000" w:rsidP="00000000" w:rsidRDefault="00000000" w:rsidRPr="00000000" w14:paraId="00000157">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prendre toutes les mesures nécessaires pour en protéger la confidentialité, </w:t>
      </w:r>
    </w:p>
    <w:p w:rsidR="00000000" w:rsidDel="00000000" w:rsidP="00000000" w:rsidRDefault="00000000" w:rsidRPr="00000000" w14:paraId="00000158">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limiter leur circulation et leur accès à ses dirigeants, employés pour lesquels il est nécessaire de faire connaître cette information dans le cadre de l’exécution du présent contrat et, dans ce cas, à faire connaître à ces personnes, le caractère confidentiel de ces informations.  </w:t>
      </w:r>
    </w:p>
    <w:p w:rsidR="00000000" w:rsidDel="00000000" w:rsidP="00000000" w:rsidRDefault="00000000" w:rsidRPr="00000000" w14:paraId="00000159">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Tout manquement à la présente obligation de confidentialité autorise la partie lésée à résilier de plein droit le présent contrat, après information expresse, sans que la partie responsable puisse prétendre à une indemnité d’aucune sorte et nonobstant les dommages intérêts auxquels la partie lésée pourrait prétendre. La confidentialité des informations s’applique pour la durée du présent contrat et les cinq (5) années qui suivent la cessation des relations contractuelles quelle qu’en soit la cause. </w:t>
      </w:r>
    </w:p>
    <w:p w:rsidR="00000000" w:rsidDel="00000000" w:rsidP="00000000" w:rsidRDefault="00000000" w:rsidRPr="00000000" w14:paraId="0000015A">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5B">
      <w:pPr>
        <w:pBdr>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w:t>
      </w:r>
    </w:p>
    <w:p w:rsidR="00000000" w:rsidDel="00000000" w:rsidP="00000000" w:rsidRDefault="00000000" w:rsidRPr="00000000" w14:paraId="0000015D">
      <w:pPr>
        <w:pBdr>
          <w:left w:space="0" w:sz="0" w:val="nil"/>
          <w:bottom w:space="0" w:sz="0" w:val="nil"/>
          <w:right w:space="0" w:sz="0" w:val="nil"/>
          <w:between w:space="0" w:sz="0" w:val="nil"/>
        </w:pBdr>
        <w:ind w:right="39"/>
        <w:jc w:val="both"/>
        <w:rPr>
          <w:rFonts w:ascii="Verdana" w:cs="Verdana" w:eastAsia="Verdana" w:hAnsi="Verdana"/>
          <w:b w:val="1"/>
          <w:sz w:val="18"/>
          <w:szCs w:val="18"/>
        </w:rPr>
      </w:pPr>
      <w:bookmarkStart w:colFirst="0" w:colLast="0" w:name="_heading=h.2et92p0" w:id="2"/>
      <w:bookmarkEnd w:id="2"/>
      <w:r w:rsidDel="00000000" w:rsidR="00000000" w:rsidRPr="00000000">
        <w:rPr>
          <w:rFonts w:ascii="Verdana" w:cs="Verdana" w:eastAsia="Verdana" w:hAnsi="Verdana"/>
          <w:b w:val="1"/>
          <w:sz w:val="18"/>
          <w:szCs w:val="18"/>
          <w:rtl w:val="0"/>
        </w:rPr>
        <w:t xml:space="preserve">ARTICLE 9 : RESPONSABILITES, CHARGEBACKS ET REMBOURSEMENTS</w:t>
      </w:r>
    </w:p>
    <w:p w:rsidR="00000000" w:rsidDel="00000000" w:rsidP="00000000" w:rsidRDefault="00000000" w:rsidRPr="00000000" w14:paraId="0000015E">
      <w:pPr>
        <w:pBdr>
          <w:top w:space="0" w:sz="0" w:val="nil"/>
          <w:left w:space="0" w:sz="0" w:val="nil"/>
          <w:bottom w:space="0" w:sz="0" w:val="nil"/>
          <w:right w:space="0" w:sz="0" w:val="nil"/>
          <w:between w:space="0" w:sz="0" w:val="nil"/>
        </w:pBdr>
        <w:ind w:left="116" w:right="39" w:firstLine="0"/>
        <w:jc w:val="both"/>
        <w:rPr>
          <w:rFonts w:ascii="Verdana" w:cs="Verdana" w:eastAsia="Verdana" w:hAnsi="Verdana"/>
          <w:b w:val="1"/>
          <w:sz w:val="18"/>
          <w:szCs w:val="18"/>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 </w:t>
      </w: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9.1</w:t>
      </w:r>
      <w:r w:rsidDel="00000000" w:rsidR="00000000" w:rsidRPr="00000000">
        <w:rPr>
          <w:rFonts w:ascii="Verdana" w:cs="Verdana" w:eastAsia="Verdana" w:hAnsi="Verdana"/>
          <w:sz w:val="18"/>
          <w:szCs w:val="18"/>
          <w:rtl w:val="0"/>
        </w:rPr>
        <w:t xml:space="preserve"> PayDunya est responsable de la collecte des paiements en ligne des Clients du Partenaire qui utilisent PayDunya comme moyen de paiement. </w:t>
      </w:r>
    </w:p>
    <w:p w:rsidR="00000000" w:rsidDel="00000000" w:rsidP="00000000" w:rsidRDefault="00000000" w:rsidRPr="00000000" w14:paraId="00000161">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9.2</w:t>
      </w:r>
      <w:r w:rsidDel="00000000" w:rsidR="00000000" w:rsidRPr="00000000">
        <w:rPr>
          <w:rFonts w:ascii="Verdana" w:cs="Verdana" w:eastAsia="Verdana" w:hAnsi="Verdana"/>
          <w:sz w:val="18"/>
          <w:szCs w:val="18"/>
          <w:rtl w:val="0"/>
        </w:rPr>
        <w:t xml:space="preserve"> Le Partenaire est responsable de la jouissance ou réception du bien/service payé par le client. Le Partenaire doit répondre seul de toute réclamation ou action en justice du client. Le partenaire dispose tout de même d’un droit à réclamation contre PayDunya.</w:t>
      </w:r>
    </w:p>
    <w:p w:rsidR="00000000" w:rsidDel="00000000" w:rsidP="00000000" w:rsidRDefault="00000000" w:rsidRPr="00000000" w14:paraId="00000162">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9.3</w:t>
      </w:r>
      <w:r w:rsidDel="00000000" w:rsidR="00000000" w:rsidRPr="00000000">
        <w:rPr>
          <w:rFonts w:ascii="Verdana" w:cs="Verdana" w:eastAsia="Verdana" w:hAnsi="Verdana"/>
          <w:sz w:val="18"/>
          <w:szCs w:val="18"/>
          <w:rtl w:val="0"/>
        </w:rPr>
        <w:t xml:space="preserve"> PayDunya se réserve le droit de bloquer le compte du Partenaire, les transactions et les fonds en cas de suspicions de fraudes et/ou de fraudes avérées. La durée du blocage dépendra de la nature de la fraude, et ne saurait excéder 180 jours à compter de la commission de l’acte. </w:t>
      </w:r>
    </w:p>
    <w:p w:rsidR="00000000" w:rsidDel="00000000" w:rsidP="00000000" w:rsidRDefault="00000000" w:rsidRPr="00000000" w14:paraId="00000163">
      <w:pPr>
        <w:pBdr>
          <w:left w:space="0" w:sz="0" w:val="nil"/>
          <w:bottom w:space="0" w:sz="0" w:val="nil"/>
          <w:right w:space="0" w:sz="0" w:val="nil"/>
          <w:between w:space="0" w:sz="0" w:val="nil"/>
        </w:pBdr>
        <w:ind w:right="39"/>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64">
      <w:pPr>
        <w:pBdr>
          <w:left w:space="0" w:sz="0" w:val="nil"/>
          <w:bottom w:space="0" w:sz="0" w:val="nil"/>
          <w:right w:space="0" w:sz="0" w:val="nil"/>
          <w:between w:space="0" w:sz="0" w:val="nil"/>
        </w:pBdr>
        <w:ind w:right="39"/>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65">
      <w:pPr>
        <w:pBdr>
          <w:left w:space="0" w:sz="0" w:val="nil"/>
          <w:bottom w:space="0" w:sz="0" w:val="nil"/>
          <w:right w:space="0" w:sz="0" w:val="nil"/>
          <w:between w:space="0" w:sz="0" w:val="nil"/>
        </w:pBdr>
        <w:ind w:right="39"/>
        <w:jc w:val="both"/>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9.4</w:t>
      </w:r>
      <w:r w:rsidDel="00000000" w:rsidR="00000000" w:rsidRPr="00000000">
        <w:rPr>
          <w:rFonts w:ascii="Verdana" w:cs="Verdana" w:eastAsia="Verdana" w:hAnsi="Verdana"/>
          <w:sz w:val="18"/>
          <w:szCs w:val="18"/>
          <w:rtl w:val="0"/>
        </w:rPr>
        <w:t xml:space="preserve"> Le Partenaire reconnaît et accepte que, dans certaines circonstances, la banque émettrice, le réseau de paiement par carte (VISA, Mastercard, …) ou d'autres institutions financières peuvent (i) refuser de régler une transaction ou (ii) imposer des Chargeback à PayDunya,</w:t>
      </w:r>
    </w:p>
    <w:p w:rsidR="00000000" w:rsidDel="00000000" w:rsidP="00000000" w:rsidRDefault="00000000" w:rsidRPr="00000000" w14:paraId="00000166">
      <w:pPr>
        <w:pBdr>
          <w:left w:space="0" w:sz="0" w:val="nil"/>
          <w:bottom w:space="0" w:sz="0" w:val="nil"/>
          <w:right w:space="0" w:sz="0" w:val="nil"/>
          <w:between w:space="0" w:sz="0" w:val="nil"/>
        </w:pBdr>
        <w:ind w:right="39"/>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67">
      <w:pPr>
        <w:pBdr>
          <w:left w:space="0" w:sz="0" w:val="nil"/>
          <w:bottom w:space="0" w:sz="0" w:val="nil"/>
          <w:right w:space="0" w:sz="0" w:val="nil"/>
          <w:between w:space="0" w:sz="0" w:val="nil"/>
        </w:pBdr>
        <w:ind w:right="39"/>
        <w:jc w:val="both"/>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9.5</w:t>
      </w:r>
      <w:r w:rsidDel="00000000" w:rsidR="00000000" w:rsidRPr="00000000">
        <w:rPr>
          <w:rFonts w:ascii="Verdana" w:cs="Verdana" w:eastAsia="Verdana" w:hAnsi="Verdana"/>
          <w:sz w:val="18"/>
          <w:szCs w:val="18"/>
          <w:rtl w:val="0"/>
        </w:rPr>
        <w:t xml:space="preserve"> Le Partenaire convient qu'il peut être tenu de rembourser PayDunya pour les Chargebacks lorsque le Partenaire a accepté le règlement concernant la transaction concernée. Le cas échéant, le Partenaire doit répondre aux litiges des titulaires de Carte et gérer les Chargeback conformément aux règles du réseau de paiement par carte concerné (VISA, Mastercard, …). </w:t>
      </w:r>
    </w:p>
    <w:p w:rsidR="00000000" w:rsidDel="00000000" w:rsidP="00000000" w:rsidRDefault="00000000" w:rsidRPr="00000000" w14:paraId="00000168">
      <w:pPr>
        <w:pBdr>
          <w:left w:space="0" w:sz="0" w:val="nil"/>
          <w:bottom w:space="0" w:sz="0" w:val="nil"/>
          <w:right w:space="0" w:sz="0" w:val="nil"/>
          <w:between w:space="0" w:sz="0" w:val="nil"/>
        </w:pBdr>
        <w:ind w:right="39"/>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ind w:right="39"/>
        <w:jc w:val="both"/>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9.6</w:t>
      </w:r>
      <w:r w:rsidDel="00000000" w:rsidR="00000000" w:rsidRPr="00000000">
        <w:rPr>
          <w:rFonts w:ascii="Verdana" w:cs="Verdana" w:eastAsia="Verdana" w:hAnsi="Verdana"/>
          <w:sz w:val="18"/>
          <w:szCs w:val="18"/>
          <w:rtl w:val="0"/>
        </w:rPr>
        <w:t xml:space="preserve"> Le Partenaire accepte que PayDunya ait le droit d'envoyer les transactions soumis à litige des Clients du Marchand reçues, à la Banque émettrice/aux autorités concernées à des fins de vérification et en cas d'objection et/ou d'opposition sur les transactions exécutées par la Banque émettrice ou les autorités concernées. Pour quelque raison que ce soit, PayDunya ne sera pas tenu de payer au marchand le montant de la transaction pendant la période de Chargeback.</w:t>
      </w:r>
    </w:p>
    <w:p w:rsidR="00000000" w:rsidDel="00000000" w:rsidP="00000000" w:rsidRDefault="00000000" w:rsidRPr="00000000" w14:paraId="0000016A">
      <w:pPr>
        <w:pBdr>
          <w:left w:space="0" w:sz="0" w:val="nil"/>
          <w:bottom w:space="0" w:sz="0" w:val="nil"/>
          <w:right w:space="0" w:sz="0" w:val="nil"/>
          <w:between w:space="0" w:sz="0" w:val="nil"/>
        </w:pBdr>
        <w:ind w:right="39"/>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ind w:right="39"/>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Si le compte du Partenaire n’est pas suffisamment approvisionné pour solder le montant litigieux, il sera sommé au Partenaire de procéder au remboursement dans les 48 heures suivant la notification. </w:t>
      </w:r>
    </w:p>
    <w:p w:rsidR="00000000" w:rsidDel="00000000" w:rsidP="00000000" w:rsidRDefault="00000000" w:rsidRPr="00000000" w14:paraId="0000016C">
      <w:pPr>
        <w:pBdr>
          <w:top w:space="0" w:sz="0" w:val="nil"/>
          <w:left w:space="0" w:sz="0" w:val="nil"/>
          <w:bottom w:space="0" w:sz="0" w:val="nil"/>
          <w:right w:space="0" w:sz="0" w:val="nil"/>
          <w:between w:space="0" w:sz="0" w:val="nil"/>
        </w:pBdr>
        <w:ind w:right="39"/>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Tout retard de remboursement dans le délai convenu ouvre droit à une pénalité de retard de 5% du montant dû. Chaque jour ou fraction de jour de retard donne droit une pénalité additionnelle de 0,5% du solde impayé.</w:t>
      </w:r>
    </w:p>
    <w:p w:rsidR="00000000" w:rsidDel="00000000" w:rsidP="00000000" w:rsidRDefault="00000000" w:rsidRPr="00000000" w14:paraId="0000016D">
      <w:pPr>
        <w:pBdr>
          <w:left w:space="0" w:sz="0" w:val="nil"/>
          <w:bottom w:space="0" w:sz="0" w:val="nil"/>
          <w:right w:space="0" w:sz="0" w:val="nil"/>
          <w:between w:space="0" w:sz="0" w:val="nil"/>
        </w:pBdr>
        <w:ind w:right="39"/>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6E">
      <w:pPr>
        <w:pBdr>
          <w:left w:space="0" w:sz="0" w:val="nil"/>
          <w:bottom w:space="0" w:sz="0" w:val="nil"/>
          <w:right w:space="0" w:sz="0" w:val="nil"/>
          <w:between w:space="0" w:sz="0" w:val="nil"/>
        </w:pBdr>
        <w:ind w:right="39"/>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6F">
      <w:pPr>
        <w:pBdr>
          <w:left w:space="0" w:sz="0" w:val="nil"/>
          <w:bottom w:space="0" w:sz="0" w:val="nil"/>
          <w:right w:space="0" w:sz="0" w:val="nil"/>
          <w:between w:space="0" w:sz="0" w:val="nil"/>
        </w:pBdr>
        <w:ind w:right="39"/>
        <w:jc w:val="both"/>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9.7</w:t>
      </w:r>
      <w:r w:rsidDel="00000000" w:rsidR="00000000" w:rsidRPr="00000000">
        <w:rPr>
          <w:rFonts w:ascii="Verdana" w:cs="Verdana" w:eastAsia="Verdana" w:hAnsi="Verdana"/>
          <w:sz w:val="18"/>
          <w:szCs w:val="18"/>
          <w:rtl w:val="0"/>
        </w:rPr>
        <w:t xml:space="preserve"> En cas de Chargeback, PayDunya sera immédiatement en droit de débiter le compte PayDunya du Partenaire ou d'effectuer un débit du compte bancaire du marchand et/ou de déduire de tout versement et/ou de facturer au marchand pour récupérer le montant total du Chargeback concerné et tous les autres coûts, dépenses, responsabilités ou amendes encourus à la suite de ou en relation avec un tel Chargeback (« Coûts de Chargeback »).</w:t>
      </w:r>
    </w:p>
    <w:p w:rsidR="00000000" w:rsidDel="00000000" w:rsidP="00000000" w:rsidRDefault="00000000" w:rsidRPr="00000000" w14:paraId="00000170">
      <w:pPr>
        <w:pBdr>
          <w:left w:space="0" w:sz="0" w:val="nil"/>
          <w:bottom w:space="0" w:sz="0" w:val="nil"/>
          <w:right w:space="0" w:sz="0" w:val="nil"/>
          <w:between w:space="0" w:sz="0" w:val="nil"/>
        </w:pBdr>
        <w:ind w:right="39"/>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71">
      <w:pPr>
        <w:pBdr>
          <w:left w:space="0" w:sz="0" w:val="nil"/>
          <w:bottom w:space="0" w:sz="0" w:val="nil"/>
          <w:right w:space="0" w:sz="0" w:val="nil"/>
          <w:between w:space="0" w:sz="0" w:val="nil"/>
        </w:pBdr>
        <w:ind w:right="39"/>
        <w:jc w:val="both"/>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9.8</w:t>
      </w:r>
      <w:r w:rsidDel="00000000" w:rsidR="00000000" w:rsidRPr="00000000">
        <w:rPr>
          <w:rFonts w:ascii="Verdana" w:cs="Verdana" w:eastAsia="Verdana" w:hAnsi="Verdana"/>
          <w:sz w:val="18"/>
          <w:szCs w:val="18"/>
          <w:rtl w:val="0"/>
        </w:rPr>
        <w:t xml:space="preserve"> Un Chargeback représente une responsabilité immédiate du Partenaire envers PayDunya et lorsque le montant total de tout Chargeback et/ou de tout coût de Chargeback n'est pas débité par PayDunya du compte bancaire du marchand ou déduit de tout versement ou facturé comme indiqué dans la clause précédente. , PayDunya aura alors le droit de recouvrer auprès du Partenaire, par tout moyen, le montant total de ces frais de Chargeback ou de Chargeback (ou le solde de ceux-ci, selon le cas).</w:t>
      </w:r>
    </w:p>
    <w:p w:rsidR="00000000" w:rsidDel="00000000" w:rsidP="00000000" w:rsidRDefault="00000000" w:rsidRPr="00000000" w14:paraId="00000172">
      <w:pPr>
        <w:pBdr>
          <w:left w:space="0" w:sz="0" w:val="nil"/>
          <w:bottom w:space="0" w:sz="0" w:val="nil"/>
          <w:right w:space="0" w:sz="0" w:val="nil"/>
          <w:between w:space="0" w:sz="0" w:val="nil"/>
        </w:pBdr>
        <w:ind w:right="39"/>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73">
      <w:pPr>
        <w:pBdr>
          <w:left w:space="0" w:sz="0" w:val="nil"/>
          <w:bottom w:space="0" w:sz="0" w:val="nil"/>
          <w:right w:space="0" w:sz="0" w:val="nil"/>
          <w:between w:space="0" w:sz="0" w:val="nil"/>
        </w:pBdr>
        <w:ind w:right="39"/>
        <w:jc w:val="both"/>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9.9</w:t>
      </w:r>
      <w:r w:rsidDel="00000000" w:rsidR="00000000" w:rsidRPr="00000000">
        <w:rPr>
          <w:rFonts w:ascii="Verdana" w:cs="Verdana" w:eastAsia="Verdana" w:hAnsi="Verdana"/>
          <w:sz w:val="18"/>
          <w:szCs w:val="18"/>
          <w:rtl w:val="0"/>
        </w:rPr>
        <w:t xml:space="preserve"> Étant donné que les Chargebacks peuvent survenir une période considérable après la date de la transaction concernée, PayDunya reste en droit de récupérer les Chargeback et les frais de Chargeback auprès du Partenaire pour toutes les Chargeback, même après la fin de la relation contractuelle entre le marchand et PayDunya.</w:t>
      </w:r>
    </w:p>
    <w:p w:rsidR="00000000" w:rsidDel="00000000" w:rsidP="00000000" w:rsidRDefault="00000000" w:rsidRPr="00000000" w14:paraId="00000174">
      <w:pPr>
        <w:pBdr>
          <w:left w:space="0" w:sz="0" w:val="nil"/>
          <w:bottom w:space="0" w:sz="0" w:val="nil"/>
          <w:right w:space="0" w:sz="0" w:val="nil"/>
          <w:between w:space="0" w:sz="0" w:val="nil"/>
        </w:pBdr>
        <w:ind w:right="39"/>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75">
      <w:pPr>
        <w:pBdr>
          <w:left w:space="0" w:sz="0" w:val="nil"/>
          <w:bottom w:space="0" w:sz="0" w:val="nil"/>
          <w:right w:space="0" w:sz="0" w:val="nil"/>
          <w:between w:space="0" w:sz="0" w:val="nil"/>
        </w:pBdr>
        <w:ind w:right="39"/>
        <w:jc w:val="both"/>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9.10</w:t>
      </w:r>
      <w:r w:rsidDel="00000000" w:rsidR="00000000" w:rsidRPr="00000000">
        <w:rPr>
          <w:rFonts w:ascii="Verdana" w:cs="Verdana" w:eastAsia="Verdana" w:hAnsi="Verdana"/>
          <w:sz w:val="18"/>
          <w:szCs w:val="18"/>
          <w:rtl w:val="0"/>
        </w:rPr>
        <w:t xml:space="preserve"> PayDunya peut résilier immédiatement le présent contrat si PayDunya, considère que la valeur ou le volume totale des /du Chargeback est déraisonnable.</w:t>
      </w:r>
    </w:p>
    <w:p w:rsidR="00000000" w:rsidDel="00000000" w:rsidP="00000000" w:rsidRDefault="00000000" w:rsidRPr="00000000" w14:paraId="00000176">
      <w:pPr>
        <w:pBdr>
          <w:left w:space="0" w:sz="0" w:val="nil"/>
          <w:bottom w:space="0" w:sz="0" w:val="nil"/>
          <w:right w:space="0" w:sz="0" w:val="nil"/>
          <w:between w:space="0" w:sz="0" w:val="nil"/>
        </w:pBdr>
        <w:ind w:right="39"/>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77">
      <w:pPr>
        <w:pBdr>
          <w:left w:space="0" w:sz="0" w:val="nil"/>
          <w:bottom w:space="0" w:sz="0" w:val="nil"/>
          <w:right w:space="0" w:sz="0" w:val="nil"/>
          <w:between w:space="0" w:sz="0" w:val="nil"/>
        </w:pBdr>
        <w:ind w:right="39"/>
        <w:jc w:val="both"/>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9.11</w:t>
      </w:r>
      <w:r w:rsidDel="00000000" w:rsidR="00000000" w:rsidRPr="00000000">
        <w:rPr>
          <w:rFonts w:ascii="Verdana" w:cs="Verdana" w:eastAsia="Verdana" w:hAnsi="Verdana"/>
          <w:sz w:val="18"/>
          <w:szCs w:val="18"/>
          <w:rtl w:val="0"/>
        </w:rPr>
        <w:t xml:space="preserve"> Le marchand accepte et confirme qu'il restera seul responsable même après la résiliation de l'accord pour tous les Chargebacks, remboursements, pénalités, pertes, dommages ou coûts encourus par PayDunya, la banque acquéreuse et/ou les clients et pour toutes les réclamations et procédures découlant contre PayDunya.</w:t>
      </w:r>
    </w:p>
    <w:p w:rsidR="00000000" w:rsidDel="00000000" w:rsidP="00000000" w:rsidRDefault="00000000" w:rsidRPr="00000000" w14:paraId="00000178">
      <w:pPr>
        <w:pBdr>
          <w:top w:space="0" w:sz="0" w:val="nil"/>
          <w:left w:space="0" w:sz="0" w:val="nil"/>
          <w:bottom w:space="0" w:sz="0" w:val="nil"/>
          <w:right w:space="0" w:sz="0" w:val="nil"/>
          <w:between w:space="0" w:sz="0" w:val="nil"/>
        </w:pBdr>
        <w:ind w:right="39"/>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ind w:right="39"/>
        <w:jc w:val="both"/>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9.12</w:t>
      </w:r>
      <w:r w:rsidDel="00000000" w:rsidR="00000000" w:rsidRPr="00000000">
        <w:rPr>
          <w:rFonts w:ascii="Verdana" w:cs="Verdana" w:eastAsia="Verdana" w:hAnsi="Verdana"/>
          <w:sz w:val="18"/>
          <w:szCs w:val="18"/>
          <w:rtl w:val="0"/>
        </w:rPr>
        <w:t xml:space="preserve"> Dès que la procédure de chargeback est enclenchée, PayDunya se réserve le droit de consigner l’équivalent du montant litigieux en attendant le dénouement du litige. Si le solde disponible au profit du Partenaire n’est pas suffisant pour garantir le montant litigieux, ce solde disponible sera tout de même consigné et il sera demandé au Partenaire de compléter le reliquat du montant litigieux. </w:t>
      </w:r>
    </w:p>
    <w:p w:rsidR="00000000" w:rsidDel="00000000" w:rsidP="00000000" w:rsidRDefault="00000000" w:rsidRPr="00000000" w14:paraId="0000017A">
      <w:pPr>
        <w:pBdr>
          <w:top w:space="0" w:sz="0" w:val="nil"/>
          <w:left w:space="0" w:sz="0" w:val="nil"/>
          <w:bottom w:space="0" w:sz="0" w:val="nil"/>
          <w:right w:space="0" w:sz="0" w:val="nil"/>
          <w:between w:space="0" w:sz="0" w:val="nil"/>
        </w:pBdr>
        <w:ind w:right="39"/>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Si par contre, le solde du compte PayDunya du Partenaire est nul ou négatif au moment où la procédure est enclenchée, il lui sera notifié de fournir en garantie, dans les 48 heures, un montant correspondant à la somme litigieuse en attendant le dénouement du litige.</w:t>
      </w:r>
    </w:p>
    <w:p w:rsidR="00000000" w:rsidDel="00000000" w:rsidP="00000000" w:rsidRDefault="00000000" w:rsidRPr="00000000" w14:paraId="0000017B">
      <w:pPr>
        <w:pBdr>
          <w:left w:space="0" w:sz="0" w:val="nil"/>
          <w:bottom w:space="0" w:sz="0" w:val="nil"/>
          <w:right w:space="0" w:sz="0" w:val="nil"/>
          <w:between w:space="0" w:sz="0" w:val="nil"/>
        </w:pBdr>
        <w:ind w:right="39"/>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7C">
      <w:pPr>
        <w:pBdr>
          <w:left w:space="0" w:sz="0" w:val="nil"/>
          <w:bottom w:space="0" w:sz="0" w:val="nil"/>
          <w:right w:space="0" w:sz="0" w:val="nil"/>
          <w:between w:space="0" w:sz="0" w:val="nil"/>
        </w:pBdr>
        <w:ind w:right="39"/>
        <w:jc w:val="both"/>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9.13</w:t>
      </w:r>
      <w:r w:rsidDel="00000000" w:rsidR="00000000" w:rsidRPr="00000000">
        <w:rPr>
          <w:rFonts w:ascii="Verdana" w:cs="Verdana" w:eastAsia="Verdana" w:hAnsi="Verdana"/>
          <w:sz w:val="18"/>
          <w:szCs w:val="18"/>
          <w:rtl w:val="0"/>
        </w:rPr>
        <w:t xml:space="preserve"> Si au courant d’un même trimestre, deux procédures de chargeback se réalisent avec succès, il pourra être demandé chaque mois au Partenaire, pour la poursuite de la relation contractuelle, un dépôt de garantie équivalant à 10% des transactions réalisées au cours du mois précédent, montant qui lui sera reversé sur son compte bancaire ou PayDunya le 181</w:t>
      </w:r>
      <w:r w:rsidDel="00000000" w:rsidR="00000000" w:rsidRPr="00000000">
        <w:rPr>
          <w:rFonts w:ascii="Verdana" w:cs="Verdana" w:eastAsia="Verdana" w:hAnsi="Verdana"/>
          <w:sz w:val="18"/>
          <w:szCs w:val="18"/>
          <w:vertAlign w:val="superscript"/>
          <w:rtl w:val="0"/>
        </w:rPr>
        <w:t xml:space="preserve">e</w:t>
      </w:r>
      <w:r w:rsidDel="00000000" w:rsidR="00000000" w:rsidRPr="00000000">
        <w:rPr>
          <w:rFonts w:ascii="Verdana" w:cs="Verdana" w:eastAsia="Verdana" w:hAnsi="Verdana"/>
          <w:sz w:val="18"/>
          <w:szCs w:val="18"/>
          <w:rtl w:val="0"/>
        </w:rPr>
        <w:t xml:space="preserve">  jour après la date de prélèvement.</w:t>
      </w:r>
    </w:p>
    <w:p w:rsidR="00000000" w:rsidDel="00000000" w:rsidP="00000000" w:rsidRDefault="00000000" w:rsidRPr="00000000" w14:paraId="0000017D">
      <w:pPr>
        <w:pBdr>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7E">
      <w:pPr>
        <w:pBdr>
          <w:left w:space="0" w:sz="0" w:val="nil"/>
          <w:bottom w:space="0" w:sz="0" w:val="nil"/>
          <w:right w:space="0" w:sz="0" w:val="nil"/>
          <w:between w:space="0" w:sz="0" w:val="nil"/>
        </w:pBdr>
        <w:ind w:right="39"/>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PayDunya aura le droit d'utiliser le dépôt de garantie pour couvrir tout chargeback ou remboursement de carte ou tout frais/amende imposé à PayDunya causé par le Partenaire.</w:t>
      </w:r>
    </w:p>
    <w:p w:rsidR="00000000" w:rsidDel="00000000" w:rsidP="00000000" w:rsidRDefault="00000000" w:rsidRPr="00000000" w14:paraId="0000017F">
      <w:pPr>
        <w:pBdr>
          <w:left w:space="0" w:sz="0" w:val="nil"/>
          <w:bottom w:space="0" w:sz="0" w:val="nil"/>
          <w:right w:space="0" w:sz="0" w:val="nil"/>
          <w:between w:space="0" w:sz="0" w:val="nil"/>
        </w:pBdr>
        <w:ind w:right="39"/>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80">
      <w:pPr>
        <w:pBdr>
          <w:left w:space="0" w:sz="0" w:val="nil"/>
          <w:bottom w:space="0" w:sz="0" w:val="nil"/>
          <w:right w:space="0" w:sz="0" w:val="nil"/>
          <w:between w:space="0" w:sz="0" w:val="nil"/>
        </w:pBdr>
        <w:ind w:right="39"/>
        <w:jc w:val="both"/>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9.14</w:t>
      </w:r>
      <w:r w:rsidDel="00000000" w:rsidR="00000000" w:rsidRPr="00000000">
        <w:rPr>
          <w:rFonts w:ascii="Verdana" w:cs="Verdana" w:eastAsia="Verdana" w:hAnsi="Verdana"/>
          <w:sz w:val="18"/>
          <w:szCs w:val="18"/>
          <w:rtl w:val="0"/>
        </w:rPr>
        <w:t xml:space="preserve"> PayDunya peut exiger que toute garantie soit fournie à tout moment s’il estime que le risque de chargeback est élevé.</w:t>
      </w:r>
    </w:p>
    <w:p w:rsidR="00000000" w:rsidDel="00000000" w:rsidP="00000000" w:rsidRDefault="00000000" w:rsidRPr="00000000" w14:paraId="00000181">
      <w:pPr>
        <w:pBdr>
          <w:left w:space="0" w:sz="0" w:val="nil"/>
          <w:bottom w:space="0" w:sz="0" w:val="nil"/>
          <w:right w:space="0" w:sz="0" w:val="nil"/>
          <w:between w:space="0" w:sz="0" w:val="nil"/>
        </w:pBdr>
        <w:ind w:right="39"/>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82">
      <w:pPr>
        <w:pBdr>
          <w:left w:space="0" w:sz="0" w:val="nil"/>
          <w:bottom w:space="0" w:sz="0" w:val="nil"/>
          <w:right w:space="0" w:sz="0" w:val="nil"/>
          <w:between w:space="0" w:sz="0" w:val="nil"/>
        </w:pBdr>
        <w:ind w:right="39"/>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83">
      <w:pPr>
        <w:pBdr>
          <w:left w:space="0" w:sz="0" w:val="nil"/>
          <w:bottom w:space="0" w:sz="0" w:val="nil"/>
          <w:right w:space="0" w:sz="0" w:val="nil"/>
          <w:between w:space="0" w:sz="0" w:val="nil"/>
        </w:pBdr>
        <w:ind w:left="116" w:right="39" w:firstLine="0"/>
        <w:jc w:val="both"/>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ARTICLE 10 : TRANSACTIONS FRAUDULEUSES </w:t>
      </w:r>
    </w:p>
    <w:p w:rsidR="00000000" w:rsidDel="00000000" w:rsidP="00000000" w:rsidRDefault="00000000" w:rsidRPr="00000000" w14:paraId="00000184">
      <w:pPr>
        <w:pBdr>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85">
      <w:pPr>
        <w:pBdr>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10.1 Les transactions frauduleuses comprennent, mais sans s'y limiter :</w:t>
      </w:r>
    </w:p>
    <w:p w:rsidR="00000000" w:rsidDel="00000000" w:rsidP="00000000" w:rsidRDefault="00000000" w:rsidRPr="00000000" w14:paraId="00000186">
      <w:pPr>
        <w:pBdr>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87">
      <w:pPr>
        <w:pBdr>
          <w:left w:space="0" w:sz="0" w:val="nil"/>
          <w:bottom w:space="0" w:sz="0" w:val="nil"/>
          <w:right w:space="0" w:sz="0" w:val="nil"/>
          <w:between w:space="0" w:sz="0" w:val="nil"/>
        </w:pBdr>
        <w:ind w:left="116" w:right="39" w:firstLine="0"/>
        <w:jc w:val="both"/>
        <w:rPr>
          <w:rFonts w:ascii="Verdana" w:cs="Verdana" w:eastAsia="Verdana" w:hAnsi="Verdana"/>
          <w:sz w:val="18"/>
          <w:szCs w:val="18"/>
        </w:rPr>
      </w:pPr>
      <w:sdt>
        <w:sdtPr>
          <w:tag w:val="goog_rdk_0"/>
        </w:sdtPr>
        <w:sdtContent>
          <w:r w:rsidDel="00000000" w:rsidR="00000000" w:rsidRPr="00000000">
            <w:rPr>
              <w:rFonts w:ascii="Arial Unicode MS" w:cs="Arial Unicode MS" w:eastAsia="Arial Unicode MS" w:hAnsi="Arial Unicode MS"/>
              <w:sz w:val="18"/>
              <w:szCs w:val="18"/>
              <w:rtl w:val="0"/>
            </w:rPr>
            <w:t xml:space="preserve">▪ Tout achat de biens et services et/ou transaction découlant de l'utilisation d'une carte ou d’un wallet par une personne autre que le titulaire autorisé de la carte ou du Wallet.</w:t>
          </w:r>
        </w:sdtContent>
      </w:sdt>
    </w:p>
    <w:p w:rsidR="00000000" w:rsidDel="00000000" w:rsidP="00000000" w:rsidRDefault="00000000" w:rsidRPr="00000000" w14:paraId="00000188">
      <w:pPr>
        <w:pBdr>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89">
      <w:pPr>
        <w:pBdr>
          <w:left w:space="0" w:sz="0" w:val="nil"/>
          <w:bottom w:space="0" w:sz="0" w:val="nil"/>
          <w:right w:space="0" w:sz="0" w:val="nil"/>
          <w:between w:space="0" w:sz="0" w:val="nil"/>
        </w:pBdr>
        <w:ind w:left="116" w:right="39" w:firstLine="0"/>
        <w:jc w:val="both"/>
        <w:rPr>
          <w:rFonts w:ascii="Verdana" w:cs="Verdana" w:eastAsia="Verdana" w:hAnsi="Verdana"/>
          <w:sz w:val="18"/>
          <w:szCs w:val="18"/>
        </w:rPr>
      </w:pPr>
      <w:sdt>
        <w:sdtPr>
          <w:tag w:val="goog_rdk_1"/>
        </w:sdtPr>
        <w:sdtContent>
          <w:r w:rsidDel="00000000" w:rsidR="00000000" w:rsidRPr="00000000">
            <w:rPr>
              <w:rFonts w:ascii="Arial Unicode MS" w:cs="Arial Unicode MS" w:eastAsia="Arial Unicode MS" w:hAnsi="Arial Unicode MS"/>
              <w:sz w:val="18"/>
              <w:szCs w:val="18"/>
              <w:rtl w:val="0"/>
            </w:rPr>
            <w:t xml:space="preserve">▪ Utilisation d'une carte non autorisée au regard des règles d'émission et d'utilisation des cartes.</w:t>
          </w:r>
        </w:sdtContent>
      </w:sdt>
    </w:p>
    <w:p w:rsidR="00000000" w:rsidDel="00000000" w:rsidP="00000000" w:rsidRDefault="00000000" w:rsidRPr="00000000" w14:paraId="0000018A">
      <w:pPr>
        <w:pBdr>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8B">
      <w:pPr>
        <w:pBdr>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10.2 Dans le cas où les transactions frauduleuses représentent plus de 0,2 % du chiffre d'affaires du Partenaire au cours d'un (1) mois (sachant que le taux recommandé est un taux &lt; 0.5%), PayDunya peut, en plus de tout autre recours à sa disposition, être en droit de résilier unilatéralement le présent contrat immédiatement et/ou demander au Partenaire de retirer le client concerné de l'utilisation de la plateforme.</w:t>
      </w:r>
    </w:p>
    <w:p w:rsidR="00000000" w:rsidDel="00000000" w:rsidP="00000000" w:rsidRDefault="00000000" w:rsidRPr="00000000" w14:paraId="0000018C">
      <w:pPr>
        <w:pBdr>
          <w:left w:space="0" w:sz="0" w:val="nil"/>
          <w:bottom w:space="0" w:sz="0" w:val="nil"/>
          <w:right w:space="0" w:sz="0" w:val="nil"/>
          <w:between w:space="0" w:sz="0" w:val="nil"/>
        </w:pBdr>
        <w:ind w:right="39"/>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8D">
      <w:pPr>
        <w:pBdr>
          <w:left w:space="0" w:sz="0" w:val="nil"/>
          <w:bottom w:space="0" w:sz="0" w:val="nil"/>
          <w:right w:space="0" w:sz="0" w:val="nil"/>
          <w:between w:space="0" w:sz="0" w:val="nil"/>
        </w:pBdr>
        <w:ind w:right="39"/>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8E">
      <w:pPr>
        <w:pBdr>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ind w:left="116" w:right="39" w:firstLine="0"/>
        <w:jc w:val="both"/>
        <w:rPr>
          <w:rFonts w:ascii="Verdana" w:cs="Verdana" w:eastAsia="Verdana" w:hAnsi="Verdana"/>
          <w:b w:val="1"/>
          <w:sz w:val="18"/>
          <w:szCs w:val="18"/>
        </w:rPr>
      </w:pP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ind w:left="116" w:right="39" w:firstLine="0"/>
        <w:jc w:val="both"/>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ARTICLE 11 : MODIFICATIONS - CESSION  </w:t>
      </w:r>
    </w:p>
    <w:p w:rsidR="00000000" w:rsidDel="00000000" w:rsidP="00000000" w:rsidRDefault="00000000" w:rsidRPr="00000000" w14:paraId="00000191">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 </w:t>
      </w: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11.1</w:t>
      </w:r>
      <w:r w:rsidDel="00000000" w:rsidR="00000000" w:rsidRPr="00000000">
        <w:rPr>
          <w:rFonts w:ascii="Verdana" w:cs="Verdana" w:eastAsia="Verdana" w:hAnsi="Verdana"/>
          <w:sz w:val="18"/>
          <w:szCs w:val="18"/>
          <w:rtl w:val="0"/>
        </w:rPr>
        <w:t xml:space="preserve"> Toute modification du présent contrat fera l’objet d’un avenant écrit et dûment signé des deux (2) parties. Toute modification fera l’objet de discussion et accord entre les deux (2) parties.</w:t>
      </w:r>
    </w:p>
    <w:p w:rsidR="00000000" w:rsidDel="00000000" w:rsidP="00000000" w:rsidRDefault="00000000" w:rsidRPr="00000000" w14:paraId="00000193">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Cependant, l’intégration de nouveaux moyens de paiements ne nécessitera pas d’avenant. Ces nouveaux moyens de paiements seront directement paramétrés sur la plateforme, à charge pour le Partenaire d’en faire usage ou pas.</w:t>
      </w:r>
    </w:p>
    <w:p w:rsidR="00000000" w:rsidDel="00000000" w:rsidP="00000000" w:rsidRDefault="00000000" w:rsidRPr="00000000" w14:paraId="00000194">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11.2</w:t>
      </w:r>
      <w:r w:rsidDel="00000000" w:rsidR="00000000" w:rsidRPr="00000000">
        <w:rPr>
          <w:rFonts w:ascii="Verdana" w:cs="Verdana" w:eastAsia="Verdana" w:hAnsi="Verdana"/>
          <w:sz w:val="18"/>
          <w:szCs w:val="18"/>
          <w:rtl w:val="0"/>
        </w:rPr>
        <w:t xml:space="preserve"> Le présent contrat est conclu intuitu personae et donc ne pourra être cédé ou transféré de quelque manière, à quelque titre ou à quelque personne sans l’accord préalable de l’autre partie.  </w:t>
      </w:r>
    </w:p>
    <w:p w:rsidR="00000000" w:rsidDel="00000000" w:rsidP="00000000" w:rsidRDefault="00000000" w:rsidRPr="00000000" w14:paraId="00000196">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w:t>
      </w:r>
    </w:p>
    <w:p w:rsidR="00000000" w:rsidDel="00000000" w:rsidP="00000000" w:rsidRDefault="00000000" w:rsidRPr="00000000" w14:paraId="00000197">
      <w:pPr>
        <w:pBdr>
          <w:top w:space="0" w:sz="0" w:val="nil"/>
          <w:left w:space="0" w:sz="0" w:val="nil"/>
          <w:bottom w:space="0" w:sz="0" w:val="nil"/>
          <w:right w:space="0" w:sz="0" w:val="nil"/>
          <w:between w:space="0" w:sz="0" w:val="nil"/>
        </w:pBdr>
        <w:ind w:left="116" w:right="39" w:firstLine="0"/>
        <w:jc w:val="both"/>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ARTICLE 12 : SUSPENSION - RESILIATION  </w:t>
      </w:r>
    </w:p>
    <w:p w:rsidR="00000000" w:rsidDel="00000000" w:rsidP="00000000" w:rsidRDefault="00000000" w:rsidRPr="00000000" w14:paraId="00000198">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 </w:t>
      </w: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12.1</w:t>
      </w:r>
      <w:r w:rsidDel="00000000" w:rsidR="00000000" w:rsidRPr="00000000">
        <w:rPr>
          <w:rFonts w:ascii="Verdana" w:cs="Verdana" w:eastAsia="Verdana" w:hAnsi="Verdana"/>
          <w:sz w:val="18"/>
          <w:szCs w:val="18"/>
          <w:rtl w:val="0"/>
        </w:rPr>
        <w:t xml:space="preserve"> Le présent contrat pourra être résilié par l'une des parties en cas de violation par l’autre partie de ses obligations contractuelles. La résiliation prend effet cinq (5) jours ouvrés après l’envoi d’une notification faite par lettre recommandée avec accusé de réception.  </w:t>
      </w:r>
    </w:p>
    <w:p w:rsidR="00000000" w:rsidDel="00000000" w:rsidP="00000000" w:rsidRDefault="00000000" w:rsidRPr="00000000" w14:paraId="0000019A">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w:t>
      </w:r>
    </w:p>
    <w:p w:rsidR="00000000" w:rsidDel="00000000" w:rsidP="00000000" w:rsidRDefault="00000000" w:rsidRPr="00000000" w14:paraId="0000019B">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La résiliation du présent Contrat intervient de plein droit sans qu’il soit nécessaire d’accomplir une quelconque formalité ou un motif quelconque, et sans que la partie défaillante puisse prétendre à aucune indemnité dans les cas suivants :   </w:t>
      </w:r>
    </w:p>
    <w:p w:rsidR="00000000" w:rsidDel="00000000" w:rsidP="00000000" w:rsidRDefault="00000000" w:rsidRPr="00000000" w14:paraId="0000019C">
      <w:pPr>
        <w:numPr>
          <w:ilvl w:val="0"/>
          <w:numId w:val="2"/>
        </w:numPr>
        <w:pBdr>
          <w:top w:space="0" w:sz="0" w:val="nil"/>
          <w:left w:space="0" w:sz="0" w:val="nil"/>
          <w:bottom w:space="0" w:sz="0" w:val="nil"/>
          <w:right w:space="0" w:sz="0" w:val="nil"/>
          <w:between w:space="0" w:sz="0" w:val="nil"/>
        </w:pBdr>
        <w:ind w:left="720" w:right="39" w:hanging="36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Arrêt des services/produits de PayDunya ou du Partenaire, </w:t>
      </w:r>
    </w:p>
    <w:p w:rsidR="00000000" w:rsidDel="00000000" w:rsidP="00000000" w:rsidRDefault="00000000" w:rsidRPr="00000000" w14:paraId="0000019D">
      <w:pPr>
        <w:numPr>
          <w:ilvl w:val="0"/>
          <w:numId w:val="2"/>
        </w:numPr>
        <w:pBdr>
          <w:top w:space="0" w:sz="0" w:val="nil"/>
          <w:left w:space="0" w:sz="0" w:val="nil"/>
          <w:bottom w:space="0" w:sz="0" w:val="nil"/>
          <w:right w:space="0" w:sz="0" w:val="nil"/>
          <w:between w:space="0" w:sz="0" w:val="nil"/>
        </w:pBdr>
        <w:ind w:left="720" w:right="39" w:hanging="360"/>
        <w:jc w:val="both"/>
        <w:rPr>
          <w:rFonts w:ascii="Verdana" w:cs="Verdana" w:eastAsia="Verdana" w:hAnsi="Verdana"/>
          <w:sz w:val="18"/>
          <w:szCs w:val="18"/>
        </w:rPr>
      </w:pPr>
      <w:bookmarkStart w:colFirst="0" w:colLast="0" w:name="_heading=h.gjdgxs" w:id="3"/>
      <w:bookmarkEnd w:id="3"/>
      <w:r w:rsidDel="00000000" w:rsidR="00000000" w:rsidRPr="00000000">
        <w:rPr>
          <w:rFonts w:ascii="Verdana" w:cs="Verdana" w:eastAsia="Verdana" w:hAnsi="Verdana"/>
          <w:sz w:val="18"/>
          <w:szCs w:val="18"/>
          <w:rtl w:val="0"/>
        </w:rPr>
        <w:t xml:space="preserve">Ouverture d’une procédure collective d’apurement du passif contre une des parties ou condamnation pénale liée à l’exploitation du fonds de commerce et/ou des services de PayDunya ou du Partenaire.                                                                                            </w:t>
      </w:r>
    </w:p>
    <w:p w:rsidR="00000000" w:rsidDel="00000000" w:rsidP="00000000" w:rsidRDefault="00000000" w:rsidRPr="00000000" w14:paraId="0000019E">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w:t>
      </w:r>
    </w:p>
    <w:p w:rsidR="00000000" w:rsidDel="00000000" w:rsidP="00000000" w:rsidRDefault="00000000" w:rsidRPr="00000000" w14:paraId="0000019F">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12.2</w:t>
      </w:r>
      <w:r w:rsidDel="00000000" w:rsidR="00000000" w:rsidRPr="00000000">
        <w:rPr>
          <w:rFonts w:ascii="Verdana" w:cs="Verdana" w:eastAsia="Verdana" w:hAnsi="Verdana"/>
          <w:sz w:val="18"/>
          <w:szCs w:val="18"/>
          <w:rtl w:val="0"/>
        </w:rPr>
        <w:t xml:space="preserve"> Le présent contrat peut être résilié par une des deux (2) parties à tout moment sous réserve d’un préavis de trois (3) mois après l’envoi par lettre recommandée avec accusé de réception. </w:t>
      </w:r>
    </w:p>
    <w:p w:rsidR="00000000" w:rsidDel="00000000" w:rsidP="00000000" w:rsidRDefault="00000000" w:rsidRPr="00000000" w14:paraId="000001A0">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w:t>
      </w:r>
    </w:p>
    <w:p w:rsidR="00000000" w:rsidDel="00000000" w:rsidP="00000000" w:rsidRDefault="00000000" w:rsidRPr="00000000" w14:paraId="000001A1">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12.3</w:t>
      </w:r>
      <w:r w:rsidDel="00000000" w:rsidR="00000000" w:rsidRPr="00000000">
        <w:rPr>
          <w:rFonts w:ascii="Verdana" w:cs="Verdana" w:eastAsia="Verdana" w:hAnsi="Verdana"/>
          <w:sz w:val="18"/>
          <w:szCs w:val="18"/>
          <w:rtl w:val="0"/>
        </w:rPr>
        <w:t xml:space="preserve"> En cas de résiliation ou de suspension, PayDunya reversera le solde du Compte du Partenaire vers son compte bancaire dans les cinq (5) jours ouvrés après résiliation ou suspension du contrat. </w:t>
      </w:r>
    </w:p>
    <w:p w:rsidR="00000000" w:rsidDel="00000000" w:rsidP="00000000" w:rsidRDefault="00000000" w:rsidRPr="00000000" w14:paraId="000001A2">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12.3</w:t>
      </w:r>
      <w:r w:rsidDel="00000000" w:rsidR="00000000" w:rsidRPr="00000000">
        <w:rPr>
          <w:rFonts w:ascii="Verdana" w:cs="Verdana" w:eastAsia="Verdana" w:hAnsi="Verdana"/>
          <w:sz w:val="18"/>
          <w:szCs w:val="18"/>
          <w:rtl w:val="0"/>
        </w:rPr>
        <w:t xml:space="preserve"> Le présent contrat peut être résilié par une des deux (2) parties à tout moment en cas de force majeure. La force majeure est un évènement indépendant de la volonté des parties présentant à la fois un caractère extérieur, imprévisible et irrésistible qui empêche l’une des parties d’exercer totalement ou partiellement les obligations qui lui incombent. </w:t>
      </w:r>
    </w:p>
    <w:p w:rsidR="00000000" w:rsidDel="00000000" w:rsidP="00000000" w:rsidRDefault="00000000" w:rsidRPr="00000000" w14:paraId="000001A4">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Entrent dans ce cadre sans qu’ils soient limitatifs : les guerres, les grèves, les troubles sociaux, catastrophes naturelles, etc. </w:t>
      </w:r>
    </w:p>
    <w:p w:rsidR="00000000" w:rsidDel="00000000" w:rsidP="00000000" w:rsidRDefault="00000000" w:rsidRPr="00000000" w14:paraId="000001A5">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ind w:left="116" w:right="39" w:firstLine="0"/>
        <w:jc w:val="both"/>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ARTICLE 13 : DISPOSITIONS LEGALES  </w:t>
      </w:r>
    </w:p>
    <w:p w:rsidR="00000000" w:rsidDel="00000000" w:rsidP="00000000" w:rsidRDefault="00000000" w:rsidRPr="00000000" w14:paraId="000001A9">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 </w:t>
      </w: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13.1</w:t>
      </w:r>
      <w:r w:rsidDel="00000000" w:rsidR="00000000" w:rsidRPr="00000000">
        <w:rPr>
          <w:rFonts w:ascii="Verdana" w:cs="Verdana" w:eastAsia="Verdana" w:hAnsi="Verdana"/>
          <w:sz w:val="18"/>
          <w:szCs w:val="18"/>
          <w:rtl w:val="0"/>
        </w:rPr>
        <w:t xml:space="preserve"> Les parties déclarent et reconnaissent qu’elles sont et demeurent, pendant toute la durée du présent contrat des partenaires commerciaux et professionnels indépendants, assurant chacune les risques de sa propre exploitation et notamment la responsabilité civile. </w:t>
      </w:r>
    </w:p>
    <w:p w:rsidR="00000000" w:rsidDel="00000000" w:rsidP="00000000" w:rsidRDefault="00000000" w:rsidRPr="00000000" w14:paraId="000001AB">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w:t>
      </w:r>
    </w:p>
    <w:p w:rsidR="00000000" w:rsidDel="00000000" w:rsidP="00000000" w:rsidRDefault="00000000" w:rsidRPr="00000000" w14:paraId="000001AC">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13.2</w:t>
      </w:r>
      <w:r w:rsidDel="00000000" w:rsidR="00000000" w:rsidRPr="00000000">
        <w:rPr>
          <w:rFonts w:ascii="Verdana" w:cs="Verdana" w:eastAsia="Verdana" w:hAnsi="Verdana"/>
          <w:sz w:val="18"/>
          <w:szCs w:val="18"/>
          <w:rtl w:val="0"/>
        </w:rPr>
        <w:t xml:space="preserve"> Le présent contrat est soumis au droit ivoirien. Les parties s’engagent à tenter de résoudre à l’amiable tout différend qui pourrait surgir à l’occasion de l’exécution ou de l’interprétation du présent Contrat. A défaut d’accord dans les (30) trente jours suivants le début du règlement à l’amiable, l’affaire sera portée devant les juridictions compétentes. </w:t>
      </w:r>
    </w:p>
    <w:p w:rsidR="00000000" w:rsidDel="00000000" w:rsidP="00000000" w:rsidRDefault="00000000" w:rsidRPr="00000000" w14:paraId="000001AD">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Fait à Abidjan, le .…./</w:t>
        <w:tab/>
        <w:t xml:space="preserve">/2024 en deux (2) exemplaires :</w:t>
      </w:r>
    </w:p>
    <w:p w:rsidR="00000000" w:rsidDel="00000000" w:rsidP="00000000" w:rsidRDefault="00000000" w:rsidRPr="00000000" w14:paraId="000001B0">
      <w:pPr>
        <w:pBdr>
          <w:top w:space="0" w:sz="0" w:val="nil"/>
          <w:left w:space="0" w:sz="0" w:val="nil"/>
          <w:bottom w:space="0" w:sz="0" w:val="nil"/>
          <w:right w:space="0" w:sz="0" w:val="nil"/>
          <w:between w:space="0" w:sz="0" w:val="nil"/>
        </w:pBdr>
        <w:ind w:left="116" w:right="39"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ind w:left="116" w:right="39" w:firstLine="0"/>
        <w:jc w:val="both"/>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Pour le partenaire</w:t>
        <w:tab/>
        <w:tab/>
        <w:t xml:space="preserve">Pour PayDunya </w:t>
      </w:r>
    </w:p>
    <w:p w:rsidR="00000000" w:rsidDel="00000000" w:rsidP="00000000" w:rsidRDefault="00000000" w:rsidRPr="00000000" w14:paraId="000001B2">
      <w:pPr>
        <w:pBdr>
          <w:top w:space="0" w:sz="0" w:val="nil"/>
          <w:left w:space="0" w:sz="0" w:val="nil"/>
          <w:bottom w:space="0" w:sz="0" w:val="nil"/>
          <w:right w:space="0" w:sz="0" w:val="nil"/>
          <w:between w:space="0" w:sz="0" w:val="nil"/>
        </w:pBdr>
        <w:ind w:right="39"/>
        <w:jc w:val="both"/>
        <w:rPr>
          <w:rFonts w:ascii="Verdana" w:cs="Verdana" w:eastAsia="Verdana" w:hAnsi="Verdana"/>
          <w:b w:val="1"/>
          <w:sz w:val="18"/>
          <w:szCs w:val="18"/>
        </w:rPr>
      </w:pP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ind w:right="39"/>
        <w:jc w:val="both"/>
        <w:rPr>
          <w:rFonts w:ascii="Verdana" w:cs="Verdana" w:eastAsia="Verdana" w:hAnsi="Verdana"/>
          <w:b w:val="1"/>
          <w:sz w:val="18"/>
          <w:szCs w:val="18"/>
        </w:rPr>
      </w:pP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ind w:right="39"/>
        <w:jc w:val="both"/>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Signature :</w:t>
        <w:tab/>
        <w:t xml:space="preserve">                                            Signature :</w:t>
      </w:r>
    </w:p>
    <w:p w:rsidR="00000000" w:rsidDel="00000000" w:rsidP="00000000" w:rsidRDefault="00000000" w:rsidRPr="00000000" w14:paraId="000001B5">
      <w:pPr>
        <w:pBdr>
          <w:top w:space="0" w:sz="0" w:val="nil"/>
          <w:left w:space="0" w:sz="0" w:val="nil"/>
          <w:bottom w:space="0" w:sz="0" w:val="nil"/>
          <w:right w:space="0" w:sz="0" w:val="nil"/>
          <w:between w:space="0" w:sz="0" w:val="nil"/>
        </w:pBdr>
        <w:ind w:left="116" w:right="39" w:firstLine="0"/>
        <w:jc w:val="both"/>
        <w:rPr>
          <w:rFonts w:ascii="Verdana" w:cs="Verdana" w:eastAsia="Verdana" w:hAnsi="Verdana"/>
          <w:b w:val="1"/>
          <w:sz w:val="18"/>
          <w:szCs w:val="18"/>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spacing w:before="4" w:lineRule="auto"/>
        <w:rPr>
          <w:rFonts w:ascii="Verdana" w:cs="Verdana" w:eastAsia="Verdana" w:hAnsi="Verdana"/>
          <w:b w:val="1"/>
          <w:sz w:val="18"/>
          <w:szCs w:val="18"/>
        </w:rPr>
      </w:pPr>
      <w:r w:rsidDel="00000000" w:rsidR="00000000" w:rsidRPr="00000000">
        <w:rPr>
          <w:rtl w:val="0"/>
        </w:rPr>
      </w:r>
    </w:p>
    <w:sectPr>
      <w:type w:val="continuous"/>
      <w:pgSz w:h="16840" w:w="11910" w:orient="portrait"/>
      <w:pgMar w:bottom="920" w:top="1900" w:left="1300" w:right="1200" w:header="0" w:footer="7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Verdana"/>
  <w:font w:name="Times New Roman"/>
  <w:font w:name="Arial Unicode MS"/>
  <w:font w:name="Arial"/>
  <w:font w:name="Calibri"/>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8">
    <w:pPr>
      <w:pBdr>
        <w:top w:space="0" w:sz="0" w:val="nil"/>
        <w:left w:space="0" w:sz="0" w:val="nil"/>
        <w:bottom w:space="0" w:sz="0" w:val="nil"/>
        <w:right w:space="0" w:sz="0" w:val="nil"/>
        <w:between w:space="0" w:sz="0" w:val="nil"/>
      </w:pBdr>
      <w:spacing w:line="14.399999999999999" w:lineRule="auto"/>
      <w:rPr>
        <w:rFonts w:ascii="Quattrocento Sans" w:cs="Quattrocento Sans" w:eastAsia="Quattrocento Sans" w:hAnsi="Quattrocento Sans"/>
        <w:color w:val="000000"/>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9982200</wp:posOffset>
              </wp:positionV>
              <wp:extent cx="1210310" cy="241935"/>
              <wp:effectExtent b="0" l="0" r="0" t="0"/>
              <wp:wrapNone/>
              <wp:docPr id="20" name=""/>
              <a:graphic>
                <a:graphicData uri="http://schemas.microsoft.com/office/word/2010/wordprocessingShape">
                  <wps:wsp>
                    <wps:cNvSpPr/>
                    <wps:cNvPr id="2" name="Shape 2"/>
                    <wps:spPr>
                      <a:xfrm>
                        <a:off x="4778945" y="3697133"/>
                        <a:ext cx="1134110" cy="165735"/>
                      </a:xfrm>
                      <a:prstGeom prst="rect">
                        <a:avLst/>
                      </a:prstGeom>
                      <a:noFill/>
                      <a:ln>
                        <a:noFill/>
                      </a:ln>
                    </wps:spPr>
                    <wps:txbx>
                      <w:txbxContent>
                        <w:p w:rsidR="00000000" w:rsidDel="00000000" w:rsidP="00000000" w:rsidRDefault="00000000" w:rsidRPr="00000000">
                          <w:pPr>
                            <w:spacing w:after="0" w:before="0" w:line="245.00000953674316"/>
                            <w:ind w:left="20" w:right="0" w:firstLine="160"/>
                            <w:jc w:val="left"/>
                            <w:textDirection w:val="btLr"/>
                          </w:pPr>
                          <w:r w:rsidDel="00000000" w:rsidR="00000000" w:rsidRPr="00000000">
                            <w:rPr>
                              <w:rFonts w:ascii="Calibri" w:cs="Calibri" w:eastAsia="Calibri" w:hAnsi="Calibri"/>
                              <w:b w:val="0"/>
                              <w:i w:val="0"/>
                              <w:smallCaps w:val="0"/>
                              <w:strike w:val="0"/>
                              <w:color w:val="a6a6a6"/>
                              <w:sz w:val="22"/>
                              <w:vertAlign w:val="baseline"/>
                            </w:rPr>
                            <w:t xml:space="preserve">PAYD/BD/2021/SB/</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9982200</wp:posOffset>
              </wp:positionV>
              <wp:extent cx="1210310" cy="241935"/>
              <wp:effectExtent b="0" l="0" r="0" t="0"/>
              <wp:wrapNone/>
              <wp:docPr id="20" name="image1.png"/>
              <a:graphic>
                <a:graphicData uri="http://schemas.openxmlformats.org/drawingml/2006/picture">
                  <pic:pic>
                    <pic:nvPicPr>
                      <pic:cNvPr id="0" name="image1.png"/>
                      <pic:cNvPicPr preferRelativeResize="0"/>
                    </pic:nvPicPr>
                    <pic:blipFill>
                      <a:blip r:embed="rId1"/>
                      <a:srcRect/>
                      <a:stretch>
                        <a:fillRect/>
                      </a:stretch>
                    </pic:blipFill>
                    <pic:spPr>
                      <a:xfrm>
                        <a:off x="0" y="0"/>
                        <a:ext cx="1210310" cy="24193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7">
    <w:pPr>
      <w:pBdr>
        <w:top w:space="0" w:sz="0" w:val="nil"/>
        <w:left w:space="0" w:sz="0" w:val="nil"/>
        <w:bottom w:space="0" w:sz="0" w:val="nil"/>
        <w:right w:space="0" w:sz="0" w:val="nil"/>
        <w:between w:space="0" w:sz="0" w:val="nil"/>
      </w:pBdr>
      <w:spacing w:line="14.399999999999999" w:lineRule="auto"/>
      <w:rPr>
        <w:rFonts w:ascii="Quattrocento Sans" w:cs="Quattrocento Sans" w:eastAsia="Quattrocento Sans" w:hAnsi="Quattrocento Sans"/>
        <w:color w:val="000000"/>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720"/>
      </w:pPr>
      <w:rPr>
        <w:rFonts w:ascii="Arial" w:cs="Arial" w:eastAsia="Arial" w:hAnsi="Arial"/>
        <w:b w:val="0"/>
        <w:i w:val="0"/>
        <w:strike w:val="0"/>
        <w:color w:val="000000"/>
        <w:sz w:val="12"/>
        <w:szCs w:val="12"/>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00000"/>
        <w:sz w:val="12"/>
        <w:szCs w:val="12"/>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00000"/>
        <w:sz w:val="12"/>
        <w:szCs w:val="12"/>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12"/>
        <w:szCs w:val="12"/>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00000"/>
        <w:sz w:val="12"/>
        <w:szCs w:val="12"/>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00000"/>
        <w:sz w:val="12"/>
        <w:szCs w:val="12"/>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12"/>
        <w:szCs w:val="12"/>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00000"/>
        <w:sz w:val="12"/>
        <w:szCs w:val="12"/>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00000"/>
        <w:sz w:val="12"/>
        <w:szCs w:val="12"/>
        <w:u w:val="none"/>
        <w:shd w:fill="auto" w:val="clear"/>
        <w:vertAlign w:val="baseline"/>
      </w:rPr>
    </w:lvl>
  </w:abstractNum>
  <w:abstractNum w:abstractNumId="2">
    <w:lvl w:ilvl="0">
      <w:start w:val="100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Quattrocento Sans" w:cs="Quattrocento Sans" w:eastAsia="Quattrocento Sans" w:hAnsi="Quattrocento Sans"/>
        <w:sz w:val="22"/>
        <w:szCs w:val="22"/>
        <w:lang w:val="fr-FR"/>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16"/>
    </w:pPr>
    <w:rPr>
      <w:b w:val="1"/>
      <w:sz w:val="12"/>
      <w:szCs w:val="1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before="12" w:lineRule="auto"/>
      <w:ind w:left="1868" w:right="1970"/>
      <w:jc w:val="center"/>
    </w:pPr>
    <w:rPr>
      <w:b w:val="1"/>
      <w:sz w:val="24"/>
      <w:szCs w:val="24"/>
      <w:u w:val="single"/>
    </w:rPr>
  </w:style>
  <w:style w:type="paragraph" w:styleId="Normal" w:default="1">
    <w:name w:val="Normal"/>
    <w:qFormat w:val="1"/>
    <w:rsid w:val="00D047D7"/>
    <w:rPr>
      <w:rFonts w:ascii="Segoe UI" w:cs="Segoe UI" w:eastAsia="Segoe UI" w:hAnsi="Segoe UI"/>
    </w:rPr>
  </w:style>
  <w:style w:type="paragraph" w:styleId="Titre1">
    <w:name w:val="heading 1"/>
    <w:basedOn w:val="Normal"/>
    <w:uiPriority w:val="9"/>
    <w:qFormat w:val="1"/>
    <w:pPr>
      <w:ind w:left="116"/>
      <w:outlineLvl w:val="0"/>
    </w:pPr>
    <w:rPr>
      <w:b w:val="1"/>
      <w:bCs w:val="1"/>
      <w:sz w:val="12"/>
      <w:szCs w:val="12"/>
    </w:rPr>
  </w:style>
  <w:style w:type="paragraph" w:styleId="Titre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Titre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Titre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itre5">
    <w:name w:val="heading 5"/>
    <w:basedOn w:val="Normal"/>
    <w:next w:val="Normal"/>
    <w:uiPriority w:val="9"/>
    <w:semiHidden w:val="1"/>
    <w:unhideWhenUsed w:val="1"/>
    <w:qFormat w:val="1"/>
    <w:pPr>
      <w:keepNext w:val="1"/>
      <w:keepLines w:val="1"/>
      <w:spacing w:after="40" w:before="220"/>
      <w:outlineLvl w:val="4"/>
    </w:pPr>
    <w:rPr>
      <w:b w:val="1"/>
    </w:rPr>
  </w:style>
  <w:style w:type="paragraph" w:styleId="Titre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tre">
    <w:name w:val="Title"/>
    <w:basedOn w:val="Normal"/>
    <w:uiPriority w:val="10"/>
    <w:qFormat w:val="1"/>
    <w:pPr>
      <w:spacing w:before="12"/>
      <w:ind w:left="1868" w:right="1970"/>
      <w:jc w:val="center"/>
    </w:pPr>
    <w:rPr>
      <w:b w:val="1"/>
      <w:bCs w:val="1"/>
      <w:sz w:val="24"/>
      <w:szCs w:val="24"/>
      <w:u w:color="000000" w:val="single"/>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table" w:styleId="TableNormal4" w:customStyle="1">
    <w:name w:val="Table Normal"/>
    <w:tblPr>
      <w:tblCellMar>
        <w:top w:w="0.0" w:type="dxa"/>
        <w:left w:w="0.0" w:type="dxa"/>
        <w:bottom w:w="0.0" w:type="dxa"/>
        <w:right w:w="0.0" w:type="dxa"/>
      </w:tblCellMar>
    </w:tblPr>
  </w:style>
  <w:style w:type="table" w:styleId="TableNormal5" w:customStyle="1">
    <w:name w:val="Table Normal"/>
    <w:tblPr>
      <w:tblCellMar>
        <w:top w:w="0.0" w:type="dxa"/>
        <w:left w:w="0.0" w:type="dxa"/>
        <w:bottom w:w="0.0" w:type="dxa"/>
        <w:right w:w="0.0" w:type="dxa"/>
      </w:tblCellMar>
    </w:tblPr>
  </w:style>
  <w:style w:type="table" w:styleId="TableNormal6" w:customStyle="1">
    <w:name w:val="Table Normal"/>
    <w:uiPriority w:val="2"/>
    <w:semiHidden w:val="1"/>
    <w:unhideWhenUsed w:val="1"/>
    <w:qFormat w:val="1"/>
    <w:tblPr>
      <w:tblInd w:w="0.0" w:type="dxa"/>
      <w:tblCellMar>
        <w:top w:w="0.0" w:type="dxa"/>
        <w:left w:w="0.0" w:type="dxa"/>
        <w:bottom w:w="0.0" w:type="dxa"/>
        <w:right w:w="0.0" w:type="dxa"/>
      </w:tblCellMar>
    </w:tblPr>
  </w:style>
  <w:style w:type="paragraph" w:styleId="Corpsdetexte">
    <w:name w:val="Body Text"/>
    <w:basedOn w:val="Normal"/>
    <w:uiPriority w:val="1"/>
    <w:qFormat w:val="1"/>
    <w:rPr>
      <w:sz w:val="12"/>
      <w:szCs w:val="12"/>
    </w:rPr>
  </w:style>
  <w:style w:type="paragraph" w:styleId="Paragraphedeliste">
    <w:name w:val="List Paragraph"/>
    <w:basedOn w:val="Normal"/>
    <w:uiPriority w:val="1"/>
    <w:qFormat w:val="1"/>
    <w:pPr>
      <w:ind w:left="836" w:right="214" w:hanging="360"/>
      <w:jc w:val="both"/>
    </w:pPr>
  </w:style>
  <w:style w:type="paragraph" w:styleId="TableParagraph" w:customStyle="1">
    <w:name w:val="Table Paragraph"/>
    <w:basedOn w:val="Normal"/>
    <w:uiPriority w:val="1"/>
    <w:qFormat w:val="1"/>
    <w:pPr>
      <w:spacing w:line="140" w:lineRule="exact"/>
      <w:ind w:left="110"/>
    </w:pPr>
  </w:style>
  <w:style w:type="paragraph" w:styleId="En-tte">
    <w:name w:val="header"/>
    <w:basedOn w:val="Normal"/>
    <w:link w:val="En-tteCar"/>
    <w:uiPriority w:val="99"/>
    <w:unhideWhenUsed w:val="1"/>
    <w:rsid w:val="004E72B8"/>
    <w:pPr>
      <w:tabs>
        <w:tab w:val="center" w:pos="4703"/>
        <w:tab w:val="right" w:pos="9406"/>
      </w:tabs>
    </w:pPr>
  </w:style>
  <w:style w:type="character" w:styleId="En-tteCar" w:customStyle="1">
    <w:name w:val="En-tête Car"/>
    <w:basedOn w:val="Policepardfaut"/>
    <w:link w:val="En-tte"/>
    <w:uiPriority w:val="99"/>
    <w:rsid w:val="004E72B8"/>
    <w:rPr>
      <w:rFonts w:ascii="Segoe UI" w:cs="Segoe UI" w:eastAsia="Segoe UI" w:hAnsi="Segoe UI"/>
      <w:lang w:val="fr-FR"/>
    </w:rPr>
  </w:style>
  <w:style w:type="paragraph" w:styleId="Pieddepage">
    <w:name w:val="footer"/>
    <w:basedOn w:val="Normal"/>
    <w:link w:val="PieddepageCar"/>
    <w:uiPriority w:val="99"/>
    <w:unhideWhenUsed w:val="1"/>
    <w:rsid w:val="004E72B8"/>
    <w:pPr>
      <w:tabs>
        <w:tab w:val="center" w:pos="4703"/>
        <w:tab w:val="right" w:pos="9406"/>
      </w:tabs>
    </w:pPr>
  </w:style>
  <w:style w:type="character" w:styleId="PieddepageCar" w:customStyle="1">
    <w:name w:val="Pied de page Car"/>
    <w:basedOn w:val="Policepardfaut"/>
    <w:link w:val="Pieddepage"/>
    <w:uiPriority w:val="99"/>
    <w:rsid w:val="004E72B8"/>
    <w:rPr>
      <w:rFonts w:ascii="Segoe UI" w:cs="Segoe UI" w:eastAsia="Segoe UI" w:hAnsi="Segoe UI"/>
      <w:lang w:val="fr-FR"/>
    </w:rPr>
  </w:style>
  <w:style w:type="paragraph" w:styleId="Textedebulles">
    <w:name w:val="Balloon Text"/>
    <w:basedOn w:val="Normal"/>
    <w:link w:val="TextedebullesCar"/>
    <w:uiPriority w:val="99"/>
    <w:semiHidden w:val="1"/>
    <w:unhideWhenUsed w:val="1"/>
    <w:rsid w:val="00C91C86"/>
    <w:rPr>
      <w:sz w:val="18"/>
      <w:szCs w:val="18"/>
    </w:rPr>
  </w:style>
  <w:style w:type="character" w:styleId="TextedebullesCar" w:customStyle="1">
    <w:name w:val="Texte de bulles Car"/>
    <w:basedOn w:val="Policepardfaut"/>
    <w:link w:val="Textedebulles"/>
    <w:uiPriority w:val="99"/>
    <w:semiHidden w:val="1"/>
    <w:rsid w:val="00C91C86"/>
    <w:rPr>
      <w:rFonts w:ascii="Segoe UI" w:cs="Segoe UI" w:eastAsia="Segoe UI" w:hAnsi="Segoe UI"/>
      <w:sz w:val="18"/>
      <w:szCs w:val="18"/>
      <w:lang w:val="fr-FR"/>
    </w:rPr>
  </w:style>
  <w:style w:type="paragraph" w:styleId="Sous-titr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6"/>
    <w:tblPr>
      <w:tblStyleRowBandSize w:val="1"/>
      <w:tblStyleColBandSize w:val="1"/>
      <w:tblCellMar>
        <w:top w:w="45.0" w:type="dxa"/>
        <w:left w:w="110.0" w:type="dxa"/>
        <w:right w:w="73.0" w:type="dxa"/>
      </w:tblCellMar>
    </w:tblPr>
  </w:style>
  <w:style w:type="table" w:styleId="a0" w:customStyle="1">
    <w:basedOn w:val="TableNormal6"/>
    <w:tblPr>
      <w:tblStyleRowBandSize w:val="1"/>
      <w:tblStyleColBandSize w:val="1"/>
      <w:tblCellMar>
        <w:top w:w="45.0" w:type="dxa"/>
        <w:left w:w="110.0" w:type="dxa"/>
        <w:right w:w="73.0" w:type="dxa"/>
      </w:tblCellMar>
    </w:tblPr>
  </w:style>
  <w:style w:type="table" w:styleId="a1" w:customStyle="1">
    <w:basedOn w:val="TableNormal6"/>
    <w:tblPr>
      <w:tblStyleRowBandSize w:val="1"/>
      <w:tblStyleColBandSize w:val="1"/>
      <w:tblCellMar>
        <w:top w:w="45.0" w:type="dxa"/>
        <w:left w:w="110.0" w:type="dxa"/>
        <w:right w:w="115.0" w:type="dxa"/>
      </w:tblCellMar>
    </w:tblPr>
  </w:style>
  <w:style w:type="table" w:styleId="a2" w:customStyle="1">
    <w:basedOn w:val="TableNormal6"/>
    <w:tblPr>
      <w:tblStyleRowBandSize w:val="1"/>
      <w:tblStyleColBandSize w:val="1"/>
      <w:tblCellMar>
        <w:top w:w="45.0" w:type="dxa"/>
        <w:left w:w="110.0" w:type="dxa"/>
        <w:right w:w="73.0" w:type="dxa"/>
      </w:tblCellMar>
    </w:tblPr>
  </w:style>
  <w:style w:type="table" w:styleId="Grilledutableau">
    <w:name w:val="Table Grid"/>
    <w:basedOn w:val="TableauNormal"/>
    <w:uiPriority w:val="39"/>
    <w:rsid w:val="0032227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a3" w:customStyle="1">
    <w:basedOn w:val="TableNormal5"/>
    <w:tblPr>
      <w:tblStyleRowBandSize w:val="1"/>
      <w:tblStyleColBandSize w:val="1"/>
      <w:tblCellMar>
        <w:top w:w="45.0" w:type="dxa"/>
        <w:left w:w="110.0" w:type="dxa"/>
        <w:right w:w="73.0" w:type="dxa"/>
      </w:tblCellMar>
    </w:tblPr>
  </w:style>
  <w:style w:type="table" w:styleId="a4" w:customStyle="1">
    <w:basedOn w:val="TableNormal5"/>
    <w:tblPr>
      <w:tblStyleRowBandSize w:val="1"/>
      <w:tblStyleColBandSize w:val="1"/>
      <w:tblCellMar>
        <w:top w:w="45.0" w:type="dxa"/>
        <w:left w:w="110.0" w:type="dxa"/>
        <w:right w:w="73.0" w:type="dxa"/>
      </w:tblCellMar>
    </w:tblPr>
  </w:style>
  <w:style w:type="table" w:styleId="a5" w:customStyle="1">
    <w:basedOn w:val="TableNormal5"/>
    <w:tblPr>
      <w:tblStyleRowBandSize w:val="1"/>
      <w:tblStyleColBandSize w:val="1"/>
      <w:tblCellMar>
        <w:left w:w="108.0" w:type="dxa"/>
        <w:right w:w="108.0" w:type="dxa"/>
      </w:tblCellMar>
    </w:tblPr>
  </w:style>
  <w:style w:type="table" w:styleId="a6" w:customStyle="1">
    <w:basedOn w:val="TableNormal5"/>
    <w:tblPr>
      <w:tblStyleRowBandSize w:val="1"/>
      <w:tblStyleColBandSize w:val="1"/>
      <w:tblCellMar>
        <w:top w:w="45.0" w:type="dxa"/>
        <w:left w:w="110.0" w:type="dxa"/>
        <w:right w:w="73.0" w:type="dxa"/>
      </w:tblCellMar>
    </w:tblPr>
  </w:style>
  <w:style w:type="table" w:styleId="a7" w:customStyle="1">
    <w:basedOn w:val="TableNormal5"/>
    <w:tblPr>
      <w:tblStyleRowBandSize w:val="1"/>
      <w:tblStyleColBandSize w:val="1"/>
      <w:tblCellMar>
        <w:top w:w="45.0" w:type="dxa"/>
        <w:left w:w="110.0" w:type="dxa"/>
        <w:right w:w="73.0" w:type="dxa"/>
      </w:tblCellMar>
    </w:tblPr>
  </w:style>
  <w:style w:type="table" w:styleId="a8" w:customStyle="1">
    <w:basedOn w:val="TableNormal4"/>
    <w:tblPr>
      <w:tblStyleRowBandSize w:val="1"/>
      <w:tblStyleColBandSize w:val="1"/>
      <w:tblCellMar>
        <w:top w:w="45.0" w:type="dxa"/>
        <w:left w:w="110.0" w:type="dxa"/>
        <w:right w:w="73.0" w:type="dxa"/>
      </w:tblCellMar>
    </w:tblPr>
  </w:style>
  <w:style w:type="table" w:styleId="a9" w:customStyle="1">
    <w:basedOn w:val="TableNormal4"/>
    <w:tblPr>
      <w:tblStyleRowBandSize w:val="1"/>
      <w:tblStyleColBandSize w:val="1"/>
      <w:tblCellMar>
        <w:left w:w="115.0" w:type="dxa"/>
        <w:right w:w="115.0" w:type="dxa"/>
      </w:tblCellMar>
    </w:tblPr>
  </w:style>
  <w:style w:type="table" w:styleId="aa" w:customStyle="1">
    <w:basedOn w:val="TableNormal4"/>
    <w:tblPr>
      <w:tblStyleRowBandSize w:val="1"/>
      <w:tblStyleColBandSize w:val="1"/>
      <w:tblCellMar>
        <w:top w:w="45.0" w:type="dxa"/>
        <w:left w:w="110.0" w:type="dxa"/>
        <w:right w:w="73.0" w:type="dxa"/>
      </w:tblCellMar>
    </w:tblPr>
  </w:style>
  <w:style w:type="table" w:styleId="ab" w:customStyle="1">
    <w:basedOn w:val="TableNormal4"/>
    <w:tblPr>
      <w:tblStyleRowBandSize w:val="1"/>
      <w:tblStyleColBandSize w:val="1"/>
      <w:tblCellMar>
        <w:top w:w="45.0" w:type="dxa"/>
        <w:left w:w="110.0" w:type="dxa"/>
        <w:right w:w="73.0" w:type="dxa"/>
      </w:tblCellMar>
    </w:tblPr>
  </w:style>
  <w:style w:type="table" w:styleId="ac" w:customStyle="1">
    <w:basedOn w:val="TableNormal4"/>
    <w:tblPr>
      <w:tblStyleRowBandSize w:val="1"/>
      <w:tblStyleColBandSize w:val="1"/>
      <w:tblCellMar>
        <w:top w:w="45.0" w:type="dxa"/>
        <w:left w:w="110.0" w:type="dxa"/>
        <w:right w:w="73.0" w:type="dxa"/>
      </w:tblCellMar>
    </w:tblPr>
  </w:style>
  <w:style w:type="paragraph" w:styleId="PrformatHTML">
    <w:name w:val="HTML Preformatted"/>
    <w:basedOn w:val="Normal"/>
    <w:link w:val="PrformatHTMLCar"/>
    <w:uiPriority w:val="99"/>
    <w:semiHidden w:val="1"/>
    <w:unhideWhenUsed w:val="1"/>
    <w:rsid w:val="00E95AA4"/>
    <w:rPr>
      <w:rFonts w:ascii="Consolas" w:hAnsi="Consolas"/>
      <w:sz w:val="20"/>
      <w:szCs w:val="20"/>
    </w:rPr>
  </w:style>
  <w:style w:type="character" w:styleId="PrformatHTMLCar" w:customStyle="1">
    <w:name w:val="Préformaté HTML Car"/>
    <w:basedOn w:val="Policepardfaut"/>
    <w:link w:val="PrformatHTML"/>
    <w:uiPriority w:val="99"/>
    <w:semiHidden w:val="1"/>
    <w:rsid w:val="00E95AA4"/>
    <w:rPr>
      <w:rFonts w:ascii="Consolas" w:cs="Segoe UI" w:eastAsia="Segoe UI" w:hAnsi="Consolas"/>
      <w:sz w:val="20"/>
      <w:szCs w:val="20"/>
    </w:rPr>
  </w:style>
  <w:style w:type="table" w:styleId="ad" w:customStyle="1">
    <w:basedOn w:val="TableNormal3"/>
    <w:tblPr>
      <w:tblStyleRowBandSize w:val="1"/>
      <w:tblStyleColBandSize w:val="1"/>
      <w:tblCellMar>
        <w:left w:w="115.0" w:type="dxa"/>
        <w:right w:w="115.0" w:type="dxa"/>
      </w:tblCellMar>
    </w:tblPr>
  </w:style>
  <w:style w:type="table" w:styleId="ae" w:customStyle="1">
    <w:basedOn w:val="TableNormal3"/>
    <w:tblPr>
      <w:tblStyleRowBandSize w:val="1"/>
      <w:tblStyleColBandSize w:val="1"/>
      <w:tblCellMar>
        <w:left w:w="115.0" w:type="dxa"/>
        <w:right w:w="115.0" w:type="dxa"/>
      </w:tblCellMar>
    </w:tblPr>
  </w:style>
  <w:style w:type="table" w:styleId="af" w:customStyle="1">
    <w:basedOn w:val="TableNormal3"/>
    <w:tblPr>
      <w:tblStyleRowBandSize w:val="1"/>
      <w:tblStyleColBandSize w:val="1"/>
      <w:tblCellMar>
        <w:top w:w="45.0" w:type="dxa"/>
        <w:left w:w="110.0" w:type="dxa"/>
        <w:right w:w="73.0" w:type="dxa"/>
      </w:tblCellMar>
    </w:tblPr>
  </w:style>
  <w:style w:type="table" w:styleId="af0" w:customStyle="1">
    <w:basedOn w:val="TableNormal3"/>
    <w:tblPr>
      <w:tblStyleRowBandSize w:val="1"/>
      <w:tblStyleColBandSize w:val="1"/>
      <w:tblCellMar>
        <w:top w:w="45.0" w:type="dxa"/>
        <w:left w:w="110.0" w:type="dxa"/>
        <w:right w:w="73.0" w:type="dxa"/>
      </w:tblCellMar>
    </w:tblPr>
  </w:style>
  <w:style w:type="table" w:styleId="af1" w:customStyle="1">
    <w:basedOn w:val="TableNormal3"/>
    <w:tblPr>
      <w:tblStyleRowBandSize w:val="1"/>
      <w:tblStyleColBandSize w:val="1"/>
      <w:tblCellMar>
        <w:top w:w="45.0" w:type="dxa"/>
        <w:left w:w="110.0" w:type="dxa"/>
        <w:right w:w="73.0" w:type="dxa"/>
      </w:tblCellMar>
    </w:tblPr>
  </w:style>
  <w:style w:type="table" w:styleId="af2" w:customStyle="1">
    <w:basedOn w:val="TableNormal2"/>
    <w:tblPr>
      <w:tblStyleRowBandSize w:val="1"/>
      <w:tblStyleColBandSize w:val="1"/>
    </w:tblPr>
  </w:style>
  <w:style w:type="table" w:styleId="af3" w:customStyle="1">
    <w:basedOn w:val="TableNormal2"/>
    <w:tblPr>
      <w:tblStyleRowBandSize w:val="1"/>
      <w:tblStyleColBandSize w:val="1"/>
    </w:tblPr>
  </w:style>
  <w:style w:type="table" w:styleId="af4" w:customStyle="1">
    <w:basedOn w:val="TableNormal2"/>
    <w:tblPr>
      <w:tblStyleRowBandSize w:val="1"/>
      <w:tblStyleColBandSize w:val="1"/>
      <w:tblCellMar>
        <w:top w:w="45.0" w:type="dxa"/>
        <w:left w:w="110.0" w:type="dxa"/>
        <w:right w:w="73.0" w:type="dxa"/>
      </w:tblCellMar>
    </w:tblPr>
  </w:style>
  <w:style w:type="table" w:styleId="af5" w:customStyle="1">
    <w:basedOn w:val="TableNormal2"/>
    <w:tblPr>
      <w:tblStyleRowBandSize w:val="1"/>
      <w:tblStyleColBandSize w:val="1"/>
    </w:tblPr>
  </w:style>
  <w:style w:type="table" w:styleId="af6" w:customStyle="1">
    <w:basedOn w:val="TableNormal1"/>
    <w:tblPr>
      <w:tblStyleRowBandSize w:val="1"/>
      <w:tblStyleColBandSize w:val="1"/>
    </w:tblPr>
  </w:style>
  <w:style w:type="table" w:styleId="af7" w:customStyle="1">
    <w:basedOn w:val="TableNormal1"/>
    <w:tblPr>
      <w:tblStyleRowBandSize w:val="1"/>
      <w:tblStyleColBandSize w:val="1"/>
    </w:tblPr>
  </w:style>
  <w:style w:type="table" w:styleId="af8" w:customStyle="1">
    <w:basedOn w:val="TableNormal1"/>
    <w:tblPr>
      <w:tblStyleRowBandSize w:val="1"/>
      <w:tblStyleColBandSize w:val="1"/>
    </w:tblPr>
  </w:style>
  <w:style w:type="table" w:styleId="af9" w:customStyle="1">
    <w:basedOn w:val="TableNormal1"/>
    <w:tblPr>
      <w:tblStyleRowBandSize w:val="1"/>
      <w:tblStyleColBandSize w:val="1"/>
      <w:tblCellMar>
        <w:top w:w="45.0" w:type="dxa"/>
        <w:left w:w="110.0" w:type="dxa"/>
        <w:right w:w="73.0" w:type="dxa"/>
      </w:tblCellMar>
    </w:tblPr>
  </w:style>
  <w:style w:type="table" w:styleId="afa" w:customStyle="1">
    <w:basedOn w:val="TableNormal1"/>
    <w:tblPr>
      <w:tblStyleRowBandSize w:val="1"/>
      <w:tblStyleColBandSize w:val="1"/>
    </w:tblPr>
  </w:style>
  <w:style w:type="table" w:styleId="afb" w:customStyle="1">
    <w:basedOn w:val="TableNormal1"/>
    <w:tblPr>
      <w:tblStyleRowBandSize w:val="1"/>
      <w:tblStyleColBandSize w:val="1"/>
    </w:tblPr>
  </w:style>
  <w:style w:type="table" w:styleId="afc" w:customStyle="1">
    <w:basedOn w:val="TableNormal0"/>
    <w:tblPr>
      <w:tblStyleRowBandSize w:val="1"/>
      <w:tblStyleColBandSize w:val="1"/>
      <w:tblCellMar>
        <w:top w:w="45.0" w:type="dxa"/>
        <w:left w:w="110.0" w:type="dxa"/>
        <w:right w:w="73.0" w:type="dxa"/>
      </w:tblCellMar>
    </w:tblPr>
  </w:style>
  <w:style w:type="table" w:styleId="afd" w:customStyle="1">
    <w:basedOn w:val="TableNormal0"/>
    <w:tblPr>
      <w:tblStyleRowBandSize w:val="1"/>
      <w:tblStyleColBandSize w:val="1"/>
      <w:tblCellMar>
        <w:top w:w="45.0" w:type="dxa"/>
        <w:left w:w="110.0" w:type="dxa"/>
        <w:right w:w="73.0" w:type="dxa"/>
      </w:tblCellMar>
    </w:tblPr>
  </w:style>
  <w:style w:type="table" w:styleId="afe" w:customStyle="1">
    <w:basedOn w:val="TableNormal0"/>
    <w:tblPr>
      <w:tblStyleRowBandSize w:val="1"/>
      <w:tblStyleColBandSize w:val="1"/>
      <w:tblCellMar>
        <w:top w:w="45.0" w:type="dxa"/>
        <w:left w:w="110.0" w:type="dxa"/>
        <w:right w:w="73.0" w:type="dxa"/>
      </w:tblCellMar>
    </w:tblPr>
  </w:style>
  <w:style w:type="table" w:styleId="aff" w:customStyle="1">
    <w:basedOn w:val="TableNormal0"/>
    <w:tblPr>
      <w:tblStyleRowBandSize w:val="1"/>
      <w:tblStyleColBandSize w:val="1"/>
      <w:tblCellMar>
        <w:top w:w="45.0" w:type="dxa"/>
        <w:left w:w="110.0" w:type="dxa"/>
        <w:right w:w="73.0" w:type="dxa"/>
      </w:tblCellMar>
    </w:tblPr>
  </w:style>
  <w:style w:type="table" w:styleId="aff0" w:customStyle="1">
    <w:basedOn w:val="TableNormal0"/>
    <w:tblPr>
      <w:tblStyleRowBandSize w:val="1"/>
      <w:tblStyleColBandSize w:val="1"/>
      <w:tblCellMar>
        <w:top w:w="45.0" w:type="dxa"/>
        <w:left w:w="110.0" w:type="dxa"/>
        <w:right w:w="73.0" w:type="dxa"/>
      </w:tblCellMar>
    </w:tblPr>
  </w:style>
  <w:style w:type="table" w:styleId="aff1" w:customStyle="1">
    <w:basedOn w:val="TableNormal0"/>
    <w:tblPr>
      <w:tblStyleRowBandSize w:val="1"/>
      <w:tblStyleColBandSize w:val="1"/>
      <w:tblCellMar>
        <w:top w:w="45.0" w:type="dxa"/>
        <w:left w:w="110.0" w:type="dxa"/>
        <w:right w:w="73.0" w:type="dxa"/>
      </w:tblCellMar>
    </w:tblPr>
  </w:style>
  <w:style w:type="paragraph" w:styleId="NormalWeb">
    <w:name w:val="Normal (Web)"/>
    <w:basedOn w:val="Normal"/>
    <w:uiPriority w:val="99"/>
    <w:semiHidden w:val="1"/>
    <w:unhideWhenUsed w:val="1"/>
    <w:rsid w:val="0019703C"/>
    <w:pPr>
      <w:widowControl w:val="1"/>
      <w:spacing w:after="100" w:afterAutospacing="1" w:before="100" w:beforeAutospacing="1"/>
    </w:pPr>
    <w:rPr>
      <w:rFonts w:ascii="Times New Roman" w:cs="Times New Roman" w:eastAsia="Times New Roman" w:hAnsi="Times New Roman"/>
      <w:sz w:val="24"/>
      <w:szCs w:val="24"/>
      <w:lang w:val="fr-SN"/>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45.0" w:type="dxa"/>
        <w:left w:w="110.0" w:type="dxa"/>
        <w:bottom w:w="0.0" w:type="dxa"/>
        <w:right w:w="73.0" w:type="dxa"/>
      </w:tblCellMar>
    </w:tblPr>
  </w:style>
  <w:style w:type="table" w:styleId="Table2">
    <w:basedOn w:val="TableNormal"/>
    <w:tblPr>
      <w:tblStyleRowBandSize w:val="1"/>
      <w:tblStyleColBandSize w:val="1"/>
      <w:tblCellMar>
        <w:top w:w="45.0" w:type="dxa"/>
        <w:left w:w="110.0" w:type="dxa"/>
        <w:bottom w:w="0.0" w:type="dxa"/>
        <w:right w:w="73.0" w:type="dxa"/>
      </w:tblCellMar>
    </w:tblPr>
  </w:style>
  <w:style w:type="table" w:styleId="Table3">
    <w:basedOn w:val="TableNormal"/>
    <w:tblPr>
      <w:tblStyleRowBandSize w:val="1"/>
      <w:tblStyleColBandSize w:val="1"/>
      <w:tblCellMar>
        <w:top w:w="45.0" w:type="dxa"/>
        <w:left w:w="110.0" w:type="dxa"/>
        <w:bottom w:w="0.0" w:type="dxa"/>
        <w:right w:w="73.0" w:type="dxa"/>
      </w:tblCellMar>
    </w:tblPr>
  </w:style>
  <w:style w:type="table" w:styleId="Table4">
    <w:basedOn w:val="TableNormal"/>
    <w:tblPr>
      <w:tblStyleRowBandSize w:val="1"/>
      <w:tblStyleColBandSize w:val="1"/>
      <w:tblCellMar>
        <w:top w:w="45.0" w:type="dxa"/>
        <w:left w:w="110.0" w:type="dxa"/>
        <w:bottom w:w="0.0" w:type="dxa"/>
        <w:right w:w="73.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ecfr.eu/special/african-cooperation/cemac/" TargetMode="External"/><Relationship Id="rId9" Type="http://schemas.openxmlformats.org/officeDocument/2006/relationships/hyperlink" Target="https://ecfr.eu/special/african-cooperation/cemac/"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AosdOP1E/FnOK6x3igp4h6gAEA==">CgMxLjAaJgoBMBIhCh8IB0IbCgdWZXJkYW5hEhBBcmlhbCBVbmljb2RlIE1TGiYKATESIQofCAdCGwoHVmVyZGFuYRIQQXJpYWwgVW5pY29kZSBNUzIJaC4xZm9iOXRlMgloLjN6bnlzaDcyCWguMmV0OTJwMDIIaC5namRneHM4AHIhMXpMSkpFQXB4Ym1tR0V5NDZrOHpaY3R0SmtqWVl2dmYw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2023-07-12T10:51:00Z</dcterms:created>
  <dc:creator>Youma Fall</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2020-08-27T00:00:00Z</vt:filetime>
  </property>
  <property fmtid="{D5CDD505-2E9C-101B-9397-08002B2CF9AE}" pid="3" name="Creator">
    <vt:lpwstr>Microsoft® Word 2013</vt:lpwstr>
  </property>
  <property fmtid="{D5CDD505-2E9C-101B-9397-08002B2CF9AE}" pid="4" name="LastSaved">
    <vt:filetime>2021-01-25T00:00:00Z</vt:filetime>
  </property>
</Properties>
</file>