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9C3" w:rsidRDefault="00EE39C8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Отчет об экспертизе корпу</w:t>
      </w:r>
      <w:r>
        <w:rPr>
          <w:b/>
          <w:i/>
          <w:sz w:val="48"/>
          <w:szCs w:val="48"/>
          <w:lang w:val="ru-RU"/>
        </w:rPr>
        <w:t>сов</w:t>
      </w:r>
      <w:r>
        <w:rPr>
          <w:b/>
          <w:i/>
          <w:sz w:val="48"/>
          <w:szCs w:val="48"/>
        </w:rPr>
        <w:t xml:space="preserve"> Web-corpora</w:t>
      </w:r>
    </w:p>
    <w:p w:rsidR="005F09C3" w:rsidRDefault="005F09C3">
      <w:pPr>
        <w:rPr>
          <w:b/>
          <w:i/>
          <w:sz w:val="36"/>
          <w:szCs w:val="36"/>
        </w:rPr>
      </w:pPr>
    </w:p>
    <w:p w:rsidR="005F09C3" w:rsidRDefault="00EE39C8">
      <w:r>
        <w:t>В данной работе будет представлена оценка</w:t>
      </w:r>
      <w:r w:rsidRPr="00EE39C8">
        <w:t xml:space="preserve"> </w:t>
      </w:r>
      <w:r>
        <w:t>корпусов сайта Web-corpora</w:t>
      </w:r>
      <w:r>
        <w:rPr>
          <w:lang w:val="ru-RU"/>
        </w:rPr>
        <w:t xml:space="preserve"> на примере</w:t>
      </w:r>
      <w:r>
        <w:t xml:space="preserve"> Бурятского, Калмыцкого и Албанского корпусов</w:t>
      </w:r>
      <w:r>
        <w:t>. При оценивании сайта учитывались следующие критерии: дизайн, удобство для пользователя, onboarding, помощь пользователю, функциональность.</w:t>
      </w:r>
    </w:p>
    <w:p w:rsidR="005F09C3" w:rsidRDefault="005F09C3"/>
    <w:p w:rsidR="005F09C3" w:rsidRDefault="005F09C3"/>
    <w:p w:rsidR="005F09C3" w:rsidRDefault="00EE3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Дизайн</w:t>
      </w:r>
    </w:p>
    <w:p w:rsidR="005F09C3" w:rsidRDefault="005F09C3"/>
    <w:p w:rsidR="005F09C3" w:rsidRDefault="00EE39C8">
      <w:r>
        <w:t>В</w:t>
      </w:r>
      <w:r>
        <w:t>се 3 вышеуказанных корпуса имеют однотипный дизайн. В левом верхнем углу каждого корпуса находится небольшое изображение флага с надписью(Albanian National Corpus, Buryat Corpus, Kalmyk National Corpus соответственно). Под флагом находится текст, представл</w:t>
      </w:r>
      <w:r>
        <w:t>яющий собой краткую информацию о корпусе, причем в Бурятском корпусе под общей информацией находится раздел “Как пользоваться корпусом?”, доступно описывающий, как пользоваться данным ресурсом. Справа находится непосредственно меню поиска с двумя полями вв</w:t>
      </w:r>
      <w:r>
        <w:t xml:space="preserve">ода. Над обоими полями находится 3 кнопки: “форма”, “лемма” и “перевод”, под полями - дополнительное поле ввода и кнопка “дополнительно”. Также в нижней части страницы располагается “быстрый поиск” с собственным полем ввода. </w:t>
      </w:r>
    </w:p>
    <w:p w:rsidR="005F09C3" w:rsidRDefault="005F09C3"/>
    <w:p w:rsidR="005F09C3" w:rsidRDefault="00EE39C8">
      <w:r>
        <w:t xml:space="preserve">Страница корпуса имеет белый </w:t>
      </w:r>
      <w:r>
        <w:t>фон, меню поиска оформлено в оранжевом цвете для Бурятского корпуса, в ярко-жёлтом цвете для Калмыцкого корпуса и в красном цвете для Албанского корпуса. Несмотря на яркость цветовой гаммы, цветовое оформление не является отвлекающим фактором и для глаза с</w:t>
      </w:r>
      <w:r>
        <w:t>корее приятно.</w:t>
      </w:r>
    </w:p>
    <w:p w:rsidR="005F09C3" w:rsidRDefault="005F09C3"/>
    <w:p w:rsidR="005F09C3" w:rsidRDefault="00EE39C8">
      <w:r>
        <w:t>В целом, дизайн корпусов можно назвать минималистичным в связи с отсутствием большого количества декоративных деталей. Лаконичное оформление позволяет сконцентрироваться на основной задаче. Из минусов можно отметить неудобное расположение м</w:t>
      </w:r>
      <w:r>
        <w:t>еню поиска на самом краю страницы, маленькие неприметные кнопки, наличие пустого пространства в верхней части страницы. Однако после некоторого количества произведённых запросов пользователь привыкает к этим особенностям, и дальнейшей работе они, как следс</w:t>
      </w:r>
      <w:r>
        <w:t>твие, никак не мешают. Общее впечатление о работе с сайтом можно охарактеризовать как сдержанно-положительное.</w:t>
      </w:r>
    </w:p>
    <w:p w:rsidR="005F09C3" w:rsidRDefault="005F09C3"/>
    <w:p w:rsidR="005F09C3" w:rsidRDefault="00EE39C8">
      <w:r>
        <w:t>Таким образом, сайт скорее удобен для работы, но к некоторым его особенностям нужно привыкать.</w:t>
      </w:r>
    </w:p>
    <w:p w:rsidR="005F09C3" w:rsidRDefault="005F09C3"/>
    <w:p w:rsidR="005F09C3" w:rsidRDefault="005F09C3"/>
    <w:p w:rsidR="005F09C3" w:rsidRDefault="005F09C3"/>
    <w:p w:rsidR="005F09C3" w:rsidRDefault="005F09C3"/>
    <w:p w:rsidR="005F09C3" w:rsidRDefault="00EE3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Onboarding или ресурс глазами новичка</w:t>
      </w:r>
    </w:p>
    <w:p w:rsidR="005F09C3" w:rsidRDefault="005F09C3"/>
    <w:p w:rsidR="005F09C3" w:rsidRDefault="00EE39C8">
      <w:r>
        <w:lastRenderedPageBreak/>
        <w:t xml:space="preserve">Найти </w:t>
      </w:r>
      <w:r>
        <w:t xml:space="preserve">ресурс новичку или даже человеку, имеющему только базовое представление о корпусах, достаточно просто (2 вкладка в поиске браузера). </w:t>
      </w:r>
    </w:p>
    <w:p w:rsidR="005F09C3" w:rsidRDefault="005F09C3"/>
    <w:p w:rsidR="005F09C3" w:rsidRDefault="00EE39C8">
      <w:pPr>
        <w:rPr>
          <w:color w:val="FF0000"/>
        </w:rPr>
      </w:pPr>
      <w:r>
        <w:t>Все 3 корпуса имеют схожую схему работы(полностью соответствующую схеме работы Армянского корпуса, на основе которого и с</w:t>
      </w:r>
      <w:r>
        <w:t xml:space="preserve">оздавались корпуса). Первый поиск по корпусу не представляет особых сложностей, так как </w:t>
      </w:r>
      <w:r>
        <w:t>часть доступных функций интуитивно понятна. Однако требуется достаточно большое количество времени, чтобы начать использовать весь функционал сервиса. Сам поиск</w:t>
      </w:r>
      <w:r>
        <w:t xml:space="preserve"> по корпусу может занимать значительный промежуток времени. К сугубо отрицательным моментам </w:t>
      </w:r>
      <w:r>
        <w:t>можно отнести отсутствие каких-либо инструкций и образцов запросов для новичков</w:t>
      </w:r>
      <w:r>
        <w:rPr>
          <w:lang w:val="ru-RU"/>
        </w:rPr>
        <w:t xml:space="preserve"> и статистических данных, таких как таблицы частотности</w:t>
      </w:r>
      <w:r>
        <w:t>.</w:t>
      </w:r>
    </w:p>
    <w:p w:rsidR="005F09C3" w:rsidRDefault="005F09C3"/>
    <w:p w:rsidR="005F09C3" w:rsidRDefault="00EE39C8">
      <w:pPr>
        <w:rPr>
          <w:b/>
          <w:sz w:val="24"/>
          <w:szCs w:val="24"/>
        </w:rPr>
      </w:pPr>
      <w:r>
        <w:t>В целом, корпуса сайта</w:t>
      </w:r>
      <w:r>
        <w:rPr>
          <w:lang w:val="ru-RU"/>
        </w:rPr>
        <w:t xml:space="preserve"> не</w:t>
      </w:r>
      <w:r>
        <w:t xml:space="preserve"> отличаются удобством в работе, </w:t>
      </w:r>
      <w:r>
        <w:rPr>
          <w:lang w:val="ru-RU"/>
        </w:rPr>
        <w:t>и</w:t>
      </w:r>
      <w:r>
        <w:t xml:space="preserve"> легкими в освоении </w:t>
      </w:r>
      <w:r>
        <w:t xml:space="preserve">их не назовёшь. </w:t>
      </w:r>
    </w:p>
    <w:p w:rsidR="005F09C3" w:rsidRDefault="005F09C3">
      <w:pPr>
        <w:rPr>
          <w:b/>
          <w:sz w:val="24"/>
          <w:szCs w:val="24"/>
        </w:rPr>
      </w:pPr>
    </w:p>
    <w:p w:rsidR="005F09C3" w:rsidRDefault="005F09C3">
      <w:pPr>
        <w:rPr>
          <w:b/>
          <w:sz w:val="24"/>
          <w:szCs w:val="24"/>
        </w:rPr>
      </w:pPr>
    </w:p>
    <w:p w:rsidR="005F09C3" w:rsidRDefault="00EE3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Помощь пользователю</w:t>
      </w:r>
    </w:p>
    <w:p w:rsidR="005F09C3" w:rsidRDefault="005F09C3"/>
    <w:p w:rsidR="005F09C3" w:rsidRDefault="00EE39C8">
      <w:r>
        <w:t>Из информации, представленной в корпусах, можно подчеркнуть, что все 3 вышеперечисленных корпуса сделаны на основе поисковой платформы “Восточноармянского национального корпуса”, ссылки на который содержатся во всех 3 корпусах. В самом Восточноармянском ко</w:t>
      </w:r>
      <w:r>
        <w:t>рпусе в главном меню содержится пункт “Как искать”, где очень подробно и понятно описан весь механизм поиска по корпусу. Из корпусов, про которые идёт речь в этом отчете, только в Бурятском корпусе есть раздел “Как пользоваться корпусом?”, в котором кратко</w:t>
      </w:r>
      <w:r>
        <w:t xml:space="preserve"> описана схема работы с корпусом, что выгодно отличает его от Албанского и Калмыцкого корпусов.</w:t>
      </w:r>
    </w:p>
    <w:p w:rsidR="005F09C3" w:rsidRDefault="005F09C3"/>
    <w:p w:rsidR="005F09C3" w:rsidRDefault="00EE39C8">
      <w:r>
        <w:t>Таким образом, для того, чтобы найти раздел “помощь” необходимо перейти в Восточноармянский корпус по ссылке, что не очень удобно для начинающего пользователя,</w:t>
      </w:r>
      <w:r>
        <w:t xml:space="preserve"> однако само описание(в Восточноармянском корпусе) составлено очень подробно и отвечает на все</w:t>
      </w:r>
      <w:r>
        <w:rPr>
          <w:lang w:val="ru-RU"/>
        </w:rPr>
        <w:t xml:space="preserve"> </w:t>
      </w:r>
      <w:r>
        <w:t>возможные вопросы.</w:t>
      </w:r>
    </w:p>
    <w:p w:rsidR="005F09C3" w:rsidRDefault="005F09C3"/>
    <w:p w:rsidR="005F09C3" w:rsidRDefault="005F09C3"/>
    <w:p w:rsidR="005F09C3" w:rsidRDefault="00EE3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</w:t>
      </w:r>
    </w:p>
    <w:p w:rsidR="005F09C3" w:rsidRDefault="005F09C3"/>
    <w:p w:rsidR="005F09C3" w:rsidRDefault="00EE39C8">
      <w:r>
        <w:t xml:space="preserve">В данном пункте описан функционал Албанского, Бурятского и Калмыцкого корпусов в отдельности. Пункт содержит подпункты “Поиск по </w:t>
      </w:r>
      <w:r>
        <w:t>корпусам”, “Слои разметки”, “Текстовый состав и объем корпусов”, “Дополнительные возможности” и “Итоговая оценка возможностей корпусов”. В пункте “Поиск по корпусам” указана схема поиска по корпусам и ее краткая характеристика. В “Слоях разметки” подробнее</w:t>
      </w:r>
      <w:r>
        <w:t xml:space="preserve"> описана разметка корпусов и приведена сравнительная таблица. В “Текстовом составе и объеме корпусов” кратко описан состав каждого корпуса. В “Дополнительных возможностях” находится информация о возможности скачивания данных из корпуса и оффлайн доступа. В</w:t>
      </w:r>
      <w:r>
        <w:t xml:space="preserve"> “Итоговой оценке возможностей корпусов” присутствует описание различных функций корпусов и их оценка. В конце работы демонстрируются конкретные возможности поиска по корпусу и приведены примеры соответствующих поисковых запросов.</w:t>
      </w:r>
    </w:p>
    <w:p w:rsidR="005F09C3" w:rsidRDefault="00EE39C8">
      <w:r>
        <w:lastRenderedPageBreak/>
        <w:t xml:space="preserve">  </w:t>
      </w:r>
    </w:p>
    <w:p w:rsidR="005F09C3" w:rsidRDefault="005F09C3"/>
    <w:p w:rsidR="005F09C3" w:rsidRDefault="00EE39C8">
      <w:pPr>
        <w:jc w:val="center"/>
        <w:rPr>
          <w:b/>
        </w:rPr>
      </w:pPr>
      <w:r>
        <w:rPr>
          <w:b/>
        </w:rPr>
        <w:t>Поиск по корпусам</w:t>
      </w:r>
    </w:p>
    <w:p w:rsidR="005F09C3" w:rsidRDefault="005F09C3"/>
    <w:p w:rsidR="005F09C3" w:rsidRDefault="00EE39C8">
      <w:r>
        <w:t>Ка</w:t>
      </w:r>
      <w:r>
        <w:t>к было отмечено ранее, поиск по корпусу основан на таковом в ВАНК. Параметры задаются через интерфейс поиска в правой части страницы. Ниже приведены окна со списками параметров, доступные по соответствующим ссылкам:</w:t>
      </w:r>
    </w:p>
    <w:p w:rsidR="005F09C3" w:rsidRDefault="005F09C3">
      <w:pPr>
        <w:rPr>
          <w:b/>
        </w:rPr>
      </w:pPr>
    </w:p>
    <w:p w:rsidR="005F09C3" w:rsidRDefault="00EE39C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3429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9C3" w:rsidRDefault="005F09C3">
      <w:pPr>
        <w:rPr>
          <w:b/>
        </w:rPr>
      </w:pPr>
    </w:p>
    <w:p w:rsidR="005F09C3" w:rsidRDefault="00EE39C8">
      <w:r>
        <w:t>Также доступен поиск с использование</w:t>
      </w:r>
      <w:r>
        <w:t>м логических символов(|  ~, для “или”, отрицания и “и” соответственно) и масок. Символы позволяют осуществлять поиск сразу нескольких слов(һүни , хамаг), слов по их окончаниям и началам(ха*аг) и исключать результаты из выборки(~һүни).  Следует отметить, чт</w:t>
      </w:r>
      <w:r>
        <w:t>о список этих функций и сам факт возможности их использования упомянуты только в туториалах ВАНК.</w:t>
      </w:r>
    </w:p>
    <w:p w:rsidR="005F09C3" w:rsidRDefault="005F09C3">
      <w:pPr>
        <w:jc w:val="center"/>
        <w:rPr>
          <w:b/>
        </w:rPr>
      </w:pPr>
    </w:p>
    <w:p w:rsidR="005F09C3" w:rsidRDefault="005F09C3">
      <w:pPr>
        <w:jc w:val="center"/>
        <w:rPr>
          <w:b/>
        </w:rPr>
      </w:pPr>
    </w:p>
    <w:p w:rsidR="005F09C3" w:rsidRDefault="00EE39C8">
      <w:pPr>
        <w:jc w:val="center"/>
      </w:pPr>
      <w:r>
        <w:rPr>
          <w:b/>
        </w:rPr>
        <w:t>Слои разметки</w:t>
      </w:r>
    </w:p>
    <w:p w:rsidR="005F09C3" w:rsidRDefault="005F09C3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F09C3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rPr>
                <w:b/>
              </w:rPr>
            </w:pPr>
            <w:r>
              <w:rPr>
                <w:b/>
              </w:rPr>
              <w:t>Корпус\разметка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rPr>
                <w:b/>
              </w:rPr>
            </w:pPr>
            <w:r>
              <w:rPr>
                <w:b/>
              </w:rPr>
              <w:t>Бурятский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rPr>
                <w:b/>
              </w:rPr>
            </w:pPr>
            <w:r>
              <w:rPr>
                <w:b/>
              </w:rPr>
              <w:t>Калмыцкий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Албанский</w:t>
            </w:r>
          </w:p>
        </w:tc>
      </w:tr>
      <w:tr w:rsidR="005F09C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Морфологическая</w:t>
            </w:r>
          </w:p>
        </w:tc>
        <w:tc>
          <w:tcPr>
            <w:tcW w:w="2257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есть(не всегда)</w:t>
            </w:r>
          </w:p>
        </w:tc>
        <w:tc>
          <w:tcPr>
            <w:tcW w:w="2257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есть(не всегда)</w:t>
            </w:r>
          </w:p>
        </w:tc>
        <w:tc>
          <w:tcPr>
            <w:tcW w:w="2257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есть(не всегда)</w:t>
            </w:r>
          </w:p>
        </w:tc>
      </w:tr>
      <w:tr w:rsidR="005F09C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Семантическая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</w:tr>
      <w:tr w:rsidR="005F09C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Омонимия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</w:tr>
      <w:tr w:rsidR="005F09C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Метаразметка</w:t>
            </w:r>
          </w:p>
        </w:tc>
        <w:tc>
          <w:tcPr>
            <w:tcW w:w="2257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есть(не всегда)</w:t>
            </w:r>
          </w:p>
        </w:tc>
        <w:tc>
          <w:tcPr>
            <w:tcW w:w="225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</w:t>
            </w:r>
          </w:p>
        </w:tc>
        <w:tc>
          <w:tcPr>
            <w:tcW w:w="225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</w:t>
            </w:r>
          </w:p>
        </w:tc>
      </w:tr>
      <w:tr w:rsidR="005F09C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Синтаксическая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</w:tr>
      <w:tr w:rsidR="005F09C3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Перевод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225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есть(русский)</w:t>
            </w:r>
          </w:p>
        </w:tc>
        <w:tc>
          <w:tcPr>
            <w:tcW w:w="225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widowControl w:val="0"/>
              <w:spacing w:line="240" w:lineRule="auto"/>
            </w:pPr>
            <w:r>
              <w:t>есть(английский)</w:t>
            </w:r>
          </w:p>
        </w:tc>
      </w:tr>
    </w:tbl>
    <w:p w:rsidR="005F09C3" w:rsidRDefault="005F09C3"/>
    <w:p w:rsidR="005F09C3" w:rsidRDefault="005F09C3"/>
    <w:p w:rsidR="005F09C3" w:rsidRDefault="00EE39C8">
      <w:pPr>
        <w:jc w:val="center"/>
        <w:rPr>
          <w:b/>
        </w:rPr>
      </w:pPr>
      <w:r>
        <w:rPr>
          <w:b/>
        </w:rPr>
        <w:t>Текстовый состав и объем корпусов</w:t>
      </w:r>
    </w:p>
    <w:p w:rsidR="005F09C3" w:rsidRDefault="005F09C3">
      <w:pPr>
        <w:jc w:val="center"/>
        <w:rPr>
          <w:b/>
        </w:rPr>
      </w:pPr>
    </w:p>
    <w:p w:rsidR="005F09C3" w:rsidRDefault="00EE39C8">
      <w:r>
        <w:rPr>
          <w:i/>
        </w:rPr>
        <w:t>Албанский корпус</w:t>
      </w:r>
      <w:r>
        <w:t xml:space="preserve">: содержит по большей части художественные тексты и публицистику; </w:t>
      </w:r>
      <w:r>
        <w:t>насчитывает около 20 млн. словоупотреблений.</w:t>
      </w:r>
    </w:p>
    <w:p w:rsidR="005F09C3" w:rsidRDefault="005F09C3"/>
    <w:p w:rsidR="005F09C3" w:rsidRDefault="00EE39C8">
      <w:r>
        <w:rPr>
          <w:i/>
        </w:rPr>
        <w:t>Бурятский корпус</w:t>
      </w:r>
      <w:r>
        <w:t>: содержит по большей части художественные тексты, но с 2014 года появляются и образцы общественно-публицистического и учебно-научного стилей; объем - около 2 млн. 200 тыс. словоупотреблений</w:t>
      </w:r>
    </w:p>
    <w:p w:rsidR="005F09C3" w:rsidRDefault="005F09C3"/>
    <w:p w:rsidR="005F09C3" w:rsidRDefault="00EE39C8">
      <w:r>
        <w:rPr>
          <w:i/>
        </w:rPr>
        <w:t>Ка</w:t>
      </w:r>
      <w:r>
        <w:rPr>
          <w:i/>
        </w:rPr>
        <w:t>лмыцкий корпус</w:t>
      </w:r>
      <w:r>
        <w:t>: в основном корпус состоит из художественных текстов; объем составляет около 800 тыс. словоупотреблений.</w:t>
      </w:r>
    </w:p>
    <w:p w:rsidR="005F09C3" w:rsidRDefault="005F09C3">
      <w:pPr>
        <w:jc w:val="center"/>
        <w:rPr>
          <w:b/>
        </w:rPr>
      </w:pPr>
    </w:p>
    <w:p w:rsidR="005F09C3" w:rsidRDefault="005F09C3">
      <w:pPr>
        <w:jc w:val="center"/>
        <w:rPr>
          <w:b/>
        </w:rPr>
      </w:pPr>
    </w:p>
    <w:p w:rsidR="005F09C3" w:rsidRDefault="00EE39C8">
      <w:pPr>
        <w:jc w:val="center"/>
        <w:rPr>
          <w:b/>
        </w:rPr>
      </w:pPr>
      <w:r>
        <w:rPr>
          <w:b/>
        </w:rPr>
        <w:t>Дополнительные возможности</w:t>
      </w:r>
    </w:p>
    <w:p w:rsidR="005F09C3" w:rsidRDefault="005F09C3">
      <w:pPr>
        <w:jc w:val="center"/>
        <w:rPr>
          <w:b/>
        </w:rPr>
      </w:pPr>
    </w:p>
    <w:p w:rsidR="005F09C3" w:rsidRDefault="00EE39C8">
      <w:pPr>
        <w:rPr>
          <w:color w:val="FF0000"/>
        </w:rPr>
      </w:pPr>
      <w:r>
        <w:t>Ресурс не имеет оффлайн доступа, то есть доступен только при наличии сетевого подключения. Также отсутству</w:t>
      </w:r>
      <w:r>
        <w:t>ет возможность полноценного скачивания данных из корпусов - скачанные материалы содержат только метаразметку по авторам. Эти моменты являются скорее отрицательными, так как дают работать только с неразмеченным материалом, сводя на нет многие преимущества к</w:t>
      </w:r>
      <w:r>
        <w:t>орпуса.</w:t>
      </w:r>
    </w:p>
    <w:p w:rsidR="005F09C3" w:rsidRDefault="005F09C3"/>
    <w:p w:rsidR="005F09C3" w:rsidRDefault="005F09C3"/>
    <w:p w:rsidR="005F09C3" w:rsidRDefault="00EE39C8">
      <w:pPr>
        <w:jc w:val="center"/>
        <w:rPr>
          <w:b/>
        </w:rPr>
      </w:pPr>
      <w:r>
        <w:rPr>
          <w:b/>
        </w:rPr>
        <w:t>Итоговые возможности корпусов</w:t>
      </w:r>
    </w:p>
    <w:p w:rsidR="005F09C3" w:rsidRDefault="005F09C3">
      <w:pPr>
        <w:jc w:val="center"/>
        <w:rPr>
          <w:b/>
        </w:rPr>
      </w:pPr>
    </w:p>
    <w:p w:rsidR="005F09C3" w:rsidRDefault="00EE39C8">
      <w:r>
        <w:t xml:space="preserve">Все корпусы используют единую систему поиска, изначально разработанную для Восточноармянского Национального корпуса, из чего следуют особенности :      </w:t>
      </w:r>
    </w:p>
    <w:p w:rsidR="005F09C3" w:rsidRDefault="00EE39C8">
      <w:pPr>
        <w:numPr>
          <w:ilvl w:val="0"/>
          <w:numId w:val="3"/>
        </w:numPr>
        <w:contextualSpacing/>
      </w:pPr>
      <w:r>
        <w:t xml:space="preserve">Рудиментарные функции и условия, оставшиеся от ВАНК: нерабочий перевод, поиск по устной речи без устной речи в корпусе, etc.      </w:t>
      </w:r>
    </w:p>
    <w:p w:rsidR="005F09C3" w:rsidRDefault="00EE39C8">
      <w:pPr>
        <w:numPr>
          <w:ilvl w:val="0"/>
          <w:numId w:val="3"/>
        </w:numPr>
        <w:contextualSpacing/>
      </w:pPr>
      <w:r>
        <w:t>Одинаковый базовый набор настроек корпуса: знаки препинания, расстояние от-до, диапазоны поиска, пунктуация, названия простей</w:t>
      </w:r>
      <w:r>
        <w:t xml:space="preserve">ших граммем, логические функции, etc.      </w:t>
      </w:r>
    </w:p>
    <w:p w:rsidR="005F09C3" w:rsidRDefault="00EE39C8">
      <w:pPr>
        <w:numPr>
          <w:ilvl w:val="0"/>
          <w:numId w:val="3"/>
        </w:numPr>
        <w:contextualSpacing/>
      </w:pPr>
      <w:r>
        <w:t xml:space="preserve">Поиск по форме, лемме, переводу леммы, возможно задание граммемы, положения искомых слов друг относительно друга, поиск сочетаний.      </w:t>
      </w:r>
    </w:p>
    <w:p w:rsidR="005F09C3" w:rsidRDefault="00EE39C8">
      <w:pPr>
        <w:numPr>
          <w:ilvl w:val="0"/>
          <w:numId w:val="3"/>
        </w:numPr>
        <w:contextualSpacing/>
      </w:pPr>
      <w:r>
        <w:t>Настройки выдачи включают контекст, разные форматы выдачи(глоссированный, K</w:t>
      </w:r>
      <w:r>
        <w:t xml:space="preserve">WIC, сортировка выдачи и скачивание).      </w:t>
      </w:r>
    </w:p>
    <w:p w:rsidR="005F09C3" w:rsidRDefault="00EE39C8">
      <w:pPr>
        <w:numPr>
          <w:ilvl w:val="0"/>
          <w:numId w:val="3"/>
        </w:numPr>
        <w:contextualSpacing/>
      </w:pPr>
      <w:r>
        <w:t xml:space="preserve">Поиск с использованием функций тоже возможен, но такая возможность нигде не указана.     </w:t>
      </w:r>
    </w:p>
    <w:p w:rsidR="005F09C3" w:rsidRDefault="005F09C3"/>
    <w:p w:rsidR="005F09C3" w:rsidRDefault="005F09C3"/>
    <w:p w:rsidR="005F09C3" w:rsidRDefault="00EE39C8">
      <w:r>
        <w:t>Таким образом:</w:t>
      </w:r>
    </w:p>
    <w:p w:rsidR="005F09C3" w:rsidRDefault="005F09C3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485"/>
      </w:tblGrid>
      <w:tr w:rsidR="005F09C3">
        <w:trPr>
          <w:trHeight w:val="240"/>
        </w:trPr>
        <w:tc>
          <w:tcPr>
            <w:tcW w:w="45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jc w:val="center"/>
            </w:pPr>
            <w:r>
              <w:t>Можно</w:t>
            </w:r>
          </w:p>
        </w:tc>
        <w:tc>
          <w:tcPr>
            <w:tcW w:w="448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jc w:val="center"/>
            </w:pPr>
            <w:r>
              <w:t>Нельзя</w:t>
            </w:r>
          </w:p>
        </w:tc>
      </w:tr>
      <w:tr w:rsidR="005F09C3">
        <w:trPr>
          <w:trHeight w:val="2100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numPr>
                <w:ilvl w:val="0"/>
                <w:numId w:val="1"/>
              </w:numPr>
              <w:contextualSpacing/>
            </w:pPr>
            <w:r>
              <w:lastRenderedPageBreak/>
              <w:t xml:space="preserve">найти </w:t>
            </w:r>
            <w:r>
              <w:rPr>
                <w:lang w:val="ru-RU"/>
              </w:rPr>
              <w:t>базовую</w:t>
            </w:r>
            <w:r>
              <w:t xml:space="preserve"> грамматическую информацию о языке</w:t>
            </w:r>
          </w:p>
          <w:p w:rsidR="005F09C3" w:rsidRDefault="00EE39C8">
            <w:pPr>
              <w:numPr>
                <w:ilvl w:val="0"/>
                <w:numId w:val="1"/>
              </w:numPr>
              <w:contextualSpacing/>
            </w:pPr>
            <w:r>
              <w:t>отслеживать последовательности слов и их свойства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9C3" w:rsidRDefault="00EE39C8">
            <w:pPr>
              <w:numPr>
                <w:ilvl w:val="0"/>
                <w:numId w:val="2"/>
              </w:numPr>
              <w:contextualSpacing/>
            </w:pPr>
            <w:r>
              <w:t>найти что-либо, связанное со значением слова</w:t>
            </w:r>
          </w:p>
          <w:p w:rsidR="005F09C3" w:rsidRDefault="00EE39C8">
            <w:pPr>
              <w:numPr>
                <w:ilvl w:val="0"/>
                <w:numId w:val="2"/>
              </w:numPr>
              <w:contextualSpacing/>
            </w:pPr>
            <w:r>
              <w:t>оффлайн обработать данные (не скачивается разметка)</w:t>
            </w:r>
          </w:p>
          <w:p w:rsidR="005F09C3" w:rsidRDefault="00EE39C8">
            <w:pPr>
              <w:numPr>
                <w:ilvl w:val="0"/>
                <w:numId w:val="2"/>
              </w:numPr>
              <w:contextualSpacing/>
            </w:pPr>
            <w:r>
              <w:t>найти сводные сведения (частотности употребления, временного распределения)</w:t>
            </w:r>
          </w:p>
        </w:tc>
      </w:tr>
    </w:tbl>
    <w:p w:rsidR="005F09C3" w:rsidRDefault="005F09C3"/>
    <w:p w:rsidR="005F09C3" w:rsidRDefault="00EE39C8">
      <w:r>
        <w:t>Итого: разобранные и аналогичны</w:t>
      </w:r>
      <w:r>
        <w:t xml:space="preserve">е им корпусы Web-corpora(корпусы иностранных языков и языков России) обладают довольно малым объемом(до </w:t>
      </w:r>
      <w:r>
        <w:rPr>
          <w:color w:val="121212"/>
          <w:highlight w:val="white"/>
        </w:rPr>
        <w:t>50 млн словоупотреблений - для сравнения, в НКРЯ - порядка 600 млн</w:t>
      </w:r>
      <w:r>
        <w:t>), слабой разметкой</w:t>
      </w:r>
      <w:r>
        <w:rPr>
          <w:lang w:val="ru-RU"/>
        </w:rPr>
        <w:t xml:space="preserve"> </w:t>
      </w:r>
      <w:bookmarkStart w:id="0" w:name="_GoBack"/>
      <w:bookmarkEnd w:id="0"/>
      <w:r>
        <w:t>(ограниченная метаразметка и выполненная автоматически грамматическ</w:t>
      </w:r>
      <w:r>
        <w:t>ая разметка) и лишены механизмов отображения статистической и сводной информации, а потому подходят для изучения языков в отдельности только как источник необработанного материала. Преимущество же Web-corpora состоит в числе разных языков, что делает корпу</w:t>
      </w:r>
      <w:r>
        <w:t>сы пригодными к использованию в качестве материала(пускай и поверхностного) для сравнительного анализа, а также уникальности представленных языков; кроме того, Web-corpora является удачной платформой для базовой реализации и дальнейшего развития корпусов м</w:t>
      </w:r>
      <w:r>
        <w:t>алых языков.</w:t>
      </w:r>
    </w:p>
    <w:p w:rsidR="005F09C3" w:rsidRDefault="005F09C3"/>
    <w:p w:rsidR="005F09C3" w:rsidRDefault="00EE39C8">
      <w:pPr>
        <w:jc w:val="center"/>
        <w:rPr>
          <w:b/>
        </w:rPr>
      </w:pPr>
      <w:r>
        <w:rPr>
          <w:b/>
        </w:rPr>
        <w:t>Упоминания Web-corpora.org</w:t>
      </w:r>
    </w:p>
    <w:p w:rsidR="005F09C3" w:rsidRDefault="005F09C3">
      <w:pPr>
        <w:jc w:val="center"/>
        <w:rPr>
          <w:b/>
        </w:rPr>
      </w:pPr>
    </w:p>
    <w:p w:rsidR="005F09C3" w:rsidRDefault="00EE39C8">
      <w:r>
        <w:t>Данные корпусы в основном упоминаются как источник лингвистических сведений о малых языках и как примеры корпусов таких языков (</w:t>
      </w:r>
      <w:hyperlink r:id="rId6">
        <w:r>
          <w:rPr>
            <w:color w:val="1155CC"/>
            <w:u w:val="single"/>
          </w:rPr>
          <w:t>https://pdfs.semanticscholar.org/763a/2b42a64358cb9e06f994e17b5fb549e0fc44.pdf</w:t>
        </w:r>
      </w:hyperlink>
      <w:r>
        <w:t xml:space="preserve"> )</w:t>
      </w:r>
    </w:p>
    <w:p w:rsidR="005F09C3" w:rsidRDefault="005F09C3"/>
    <w:p w:rsidR="005F09C3" w:rsidRDefault="00EE39C8">
      <w:r>
        <w:t>Один из корпусов Web-corpora (Идиш) приводится в качестве примера успешной реализации корпуса “</w:t>
      </w:r>
      <w:r>
        <w:rPr>
          <w:color w:val="222222"/>
          <w:sz w:val="21"/>
          <w:szCs w:val="21"/>
          <w:highlight w:val="white"/>
        </w:rPr>
        <w:t xml:space="preserve">унаследованного языка” (heritage language): </w:t>
      </w:r>
      <w:hyperlink r:id="rId7">
        <w:r>
          <w:rPr>
            <w:color w:val="1155CC"/>
            <w:u w:val="single"/>
          </w:rPr>
          <w:t>https://www.researchgate.net/profile/Antonis_Botinis/publication/309727768_ExLing_2016/links/581fa5c408aea429b2990d56.pdf</w:t>
        </w:r>
      </w:hyperlink>
    </w:p>
    <w:p w:rsidR="005F09C3" w:rsidRDefault="005F09C3"/>
    <w:p w:rsidR="005F09C3" w:rsidRDefault="005F09C3">
      <w:pPr>
        <w:jc w:val="center"/>
      </w:pPr>
    </w:p>
    <w:p w:rsidR="005F09C3" w:rsidRDefault="00EE39C8">
      <w:pPr>
        <w:jc w:val="center"/>
        <w:rPr>
          <w:b/>
        </w:rPr>
      </w:pPr>
      <w:r>
        <w:rPr>
          <w:b/>
        </w:rPr>
        <w:t>Примеры поисковых запросов и выдачи</w:t>
      </w:r>
    </w:p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EE39C8">
      <w:pPr>
        <w:rPr>
          <w:i/>
        </w:rPr>
      </w:pPr>
      <w:r>
        <w:rPr>
          <w:i/>
        </w:rPr>
        <w:t>Запрос 1(Албанский корпус):</w:t>
      </w:r>
    </w:p>
    <w:p w:rsidR="005F09C3" w:rsidRDefault="005F09C3"/>
    <w:p w:rsidR="005F09C3" w:rsidRDefault="00EE39C8">
      <w:r>
        <w:rPr>
          <w:noProof/>
        </w:rPr>
        <w:lastRenderedPageBreak/>
        <w:drawing>
          <wp:inline distT="114300" distB="114300" distL="114300" distR="114300">
            <wp:extent cx="5734050" cy="29591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9C3" w:rsidRDefault="005F09C3"/>
    <w:p w:rsidR="005F09C3" w:rsidRDefault="005F09C3"/>
    <w:p w:rsidR="005F09C3" w:rsidRDefault="005F09C3"/>
    <w:p w:rsidR="005F09C3" w:rsidRDefault="00EE39C8">
      <w:pPr>
        <w:rPr>
          <w:i/>
        </w:rPr>
      </w:pPr>
      <w:r>
        <w:rPr>
          <w:i/>
        </w:rPr>
        <w:t>Запрос 2(Калмыцкий корпус):</w:t>
      </w:r>
    </w:p>
    <w:p w:rsidR="005F09C3" w:rsidRDefault="005F09C3">
      <w:pPr>
        <w:rPr>
          <w:i/>
        </w:rPr>
      </w:pPr>
    </w:p>
    <w:p w:rsidR="005F09C3" w:rsidRDefault="00EE39C8">
      <w:r>
        <w:rPr>
          <w:noProof/>
        </w:rPr>
        <w:drawing>
          <wp:inline distT="114300" distB="114300" distL="114300" distR="114300">
            <wp:extent cx="5781675" cy="3043238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5F09C3"/>
    <w:p w:rsidR="005F09C3" w:rsidRDefault="00EE39C8">
      <w:pPr>
        <w:rPr>
          <w:i/>
        </w:rPr>
      </w:pPr>
      <w:r>
        <w:rPr>
          <w:i/>
        </w:rPr>
        <w:t xml:space="preserve">Запрос 3(Бурятский корпус): </w:t>
      </w:r>
    </w:p>
    <w:p w:rsidR="005F09C3" w:rsidRDefault="005F09C3">
      <w:pPr>
        <w:rPr>
          <w:i/>
        </w:rPr>
      </w:pPr>
    </w:p>
    <w:p w:rsidR="005F09C3" w:rsidRDefault="005F09C3">
      <w:pPr>
        <w:rPr>
          <w:i/>
        </w:rPr>
      </w:pPr>
    </w:p>
    <w:p w:rsidR="005F09C3" w:rsidRDefault="00EE39C8">
      <w:pPr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5800725" cy="3014663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09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F52"/>
    <w:multiLevelType w:val="multilevel"/>
    <w:tmpl w:val="13F4F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98558D"/>
    <w:multiLevelType w:val="multilevel"/>
    <w:tmpl w:val="AB08D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774C87"/>
    <w:multiLevelType w:val="multilevel"/>
    <w:tmpl w:val="43AA2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C3"/>
    <w:rsid w:val="005F09C3"/>
    <w:rsid w:val="00E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991A"/>
  <w15:docId w15:val="{FD3007F2-B87D-496B-8847-AD72D31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Antonis_Botinis/publication/309727768_ExLing_2016/links/581fa5c408aea429b2990d56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763a/2b42a64358cb9e06f994e17b5fb549e0fc4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2017-10-22T17:26:00Z</dcterms:created>
  <dcterms:modified xsi:type="dcterms:W3CDTF">2017-10-22T17:26:00Z</dcterms:modified>
</cp:coreProperties>
</file>