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9D" w:rsidRDefault="00914F9D" w:rsidP="00914F9D">
      <w:pPr>
        <w:jc w:val="both"/>
        <w:rPr>
          <w:rFonts w:ascii="Bradley Hand ITC" w:hAnsi="Bradley Hand ITC"/>
          <w:b/>
          <w:i/>
          <w:color w:val="000000"/>
        </w:rPr>
      </w:pPr>
      <w:r>
        <w:rPr>
          <w:rFonts w:ascii="Bradley Hand ITC" w:hAnsi="Bradley Hand ITC"/>
          <w:b/>
          <w:i/>
          <w:color w:val="000000"/>
        </w:rPr>
        <w:t>REGOLAMENTO</w:t>
      </w:r>
    </w:p>
    <w:p w:rsidR="00914F9D" w:rsidRDefault="00914F9D" w:rsidP="00914F9D">
      <w:pPr>
        <w:jc w:val="both"/>
        <w:rPr>
          <w:rFonts w:ascii="Bradley Hand ITC" w:hAnsi="Bradley Hand ITC"/>
          <w:b/>
          <w:color w:val="000000"/>
        </w:rPr>
      </w:pPr>
    </w:p>
    <w:p w:rsidR="00914F9D" w:rsidRDefault="00914F9D" w:rsidP="00914F9D">
      <w:pPr>
        <w:numPr>
          <w:ilvl w:val="0"/>
          <w:numId w:val="1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Anno scolastico: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Corrisponde a quello delle scuole pubbliche (vacanze e giorni festivi) </w:t>
      </w:r>
    </w:p>
    <w:p w:rsidR="00914F9D" w:rsidRDefault="00914F9D" w:rsidP="00914F9D">
      <w:p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i/>
          <w:color w:val="000000"/>
          <w:sz w:val="22"/>
          <w:szCs w:val="22"/>
        </w:rPr>
        <w:tab/>
        <w:t xml:space="preserve"> </w:t>
      </w:r>
      <w:r>
        <w:rPr>
          <w:rFonts w:ascii="Bradley Hand ITC" w:hAnsi="Bradley Hand ITC"/>
          <w:b/>
          <w:i/>
          <w:color w:val="000000"/>
          <w:sz w:val="22"/>
          <w:szCs w:val="22"/>
        </w:rPr>
        <w:t xml:space="preserve">1° semestre: 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inizio Settembre – metà Gennaio </w:t>
      </w:r>
    </w:p>
    <w:p w:rsidR="00914F9D" w:rsidRDefault="00914F9D" w:rsidP="00914F9D">
      <w:p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i/>
          <w:color w:val="000000"/>
          <w:sz w:val="22"/>
          <w:szCs w:val="22"/>
        </w:rPr>
        <w:t xml:space="preserve"> </w:t>
      </w:r>
      <w:r>
        <w:rPr>
          <w:rFonts w:ascii="Bradley Hand ITC" w:hAnsi="Bradley Hand ITC"/>
          <w:i/>
          <w:color w:val="000000"/>
          <w:sz w:val="22"/>
          <w:szCs w:val="22"/>
        </w:rPr>
        <w:tab/>
      </w:r>
      <w:r>
        <w:rPr>
          <w:rFonts w:ascii="Bradley Hand ITC" w:hAnsi="Bradley Hand ITC"/>
          <w:b/>
          <w:i/>
          <w:color w:val="000000"/>
          <w:sz w:val="22"/>
          <w:szCs w:val="22"/>
        </w:rPr>
        <w:t>2° semestre: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metà Gennaio – metà Giugno </w:t>
      </w:r>
    </w:p>
    <w:p w:rsidR="00914F9D" w:rsidRDefault="00914F9D" w:rsidP="00914F9D">
      <w:p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i/>
          <w:color w:val="000000"/>
          <w:sz w:val="22"/>
          <w:szCs w:val="22"/>
        </w:rPr>
        <w:t xml:space="preserve"> </w:t>
      </w: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Termine d'iscrizione: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30 agosto (1° semestre) / 31 Dicembre (2° semestre)  </w:t>
      </w:r>
    </w:p>
    <w:p w:rsidR="00914F9D" w:rsidRDefault="00914F9D" w:rsidP="00914F9D">
      <w:p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i/>
          <w:color w:val="000000"/>
          <w:sz w:val="22"/>
          <w:szCs w:val="22"/>
        </w:rPr>
        <w:tab/>
        <w:t xml:space="preserve">L’iscrizione è vincolante per l'intero Semestre salvo disdetta. </w:t>
      </w:r>
    </w:p>
    <w:p w:rsidR="00914F9D" w:rsidRDefault="00914F9D" w:rsidP="00914F9D">
      <w:pPr>
        <w:jc w:val="both"/>
        <w:rPr>
          <w:rFonts w:ascii="Bradley Hand ITC" w:hAnsi="Bradley Hand ITC"/>
          <w:i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b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 xml:space="preserve">Disdette: 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Dovranno  pervenire  entro il  </w:t>
      </w:r>
      <w:r>
        <w:rPr>
          <w:rFonts w:ascii="Bradley Hand ITC" w:hAnsi="Bradley Hand ITC"/>
          <w:b/>
          <w:i/>
          <w:color w:val="000000"/>
          <w:sz w:val="22"/>
          <w:szCs w:val="22"/>
        </w:rPr>
        <w:t>15 dicembre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 per il Secondo Semestre ed entro il </w:t>
      </w:r>
      <w:r>
        <w:rPr>
          <w:rFonts w:ascii="Bradley Hand ITC" w:hAnsi="Bradley Hand ITC"/>
          <w:b/>
          <w:i/>
          <w:color w:val="000000"/>
          <w:sz w:val="22"/>
          <w:szCs w:val="22"/>
        </w:rPr>
        <w:t>1 giugno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per il Primo Semestre. (In caso di disdetta tardiva verrà richiesto il 50% della quota semestrale). </w:t>
      </w:r>
    </w:p>
    <w:p w:rsidR="00914F9D" w:rsidRDefault="00914F9D" w:rsidP="00914F9D">
      <w:pPr>
        <w:ind w:left="644"/>
        <w:jc w:val="both"/>
        <w:rPr>
          <w:rFonts w:ascii="Bradley Hand ITC" w:hAnsi="Bradley Hand ITC"/>
          <w:b/>
          <w:i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Frequenza ed Assenze: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Gli allievi sono tenuti a presentarsi regolarmente alle lezioni. Assenze previste vanno annunciate tempestivamente alla docente (almeno 48 ore prima). </w:t>
      </w:r>
    </w:p>
    <w:p w:rsidR="00914F9D" w:rsidRDefault="00914F9D" w:rsidP="00914F9D">
      <w:pPr>
        <w:ind w:left="644"/>
        <w:jc w:val="both"/>
        <w:rPr>
          <w:rFonts w:ascii="Bradley Hand ITC" w:hAnsi="Bradley Hand ITC"/>
          <w:i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Recuperi</w:t>
      </w:r>
      <w:r>
        <w:rPr>
          <w:rFonts w:ascii="Bradley Hand ITC" w:hAnsi="Bradley Hand ITC"/>
          <w:i/>
          <w:color w:val="000000"/>
          <w:sz w:val="22"/>
          <w:szCs w:val="22"/>
        </w:rPr>
        <w:t>: Le lezioni verranno recuperate soltanto per assenze dovute all' insegnante , in nessun altro caso le lezioni perse verranno recuperate.</w:t>
      </w:r>
    </w:p>
    <w:p w:rsidR="00914F9D" w:rsidRDefault="00914F9D" w:rsidP="00914F9D">
      <w:pPr>
        <w:ind w:left="644"/>
        <w:jc w:val="both"/>
        <w:rPr>
          <w:rFonts w:ascii="Bradley Hand ITC" w:hAnsi="Bradley Hand ITC"/>
          <w:i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Saggi ed Esami: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Ogni allievo dovrebbe partecipare ad un saggio pubblico almeno una volta all'anno. Gli Esami non sono obbligatori, ma per chi lo desidera ed ha raggiunto i progressi auspicati, è possibile sostenere gli esami di livello tramite la Società Svizzera di Pedagogia Musicale (SSPM), versando la relativa tassa d'esame.</w:t>
      </w:r>
    </w:p>
    <w:p w:rsidR="00914F9D" w:rsidRDefault="00914F9D" w:rsidP="00914F9D">
      <w:pPr>
        <w:pStyle w:val="Paragrafoelenco"/>
        <w:rPr>
          <w:rFonts w:ascii="Bradley Hand ITC" w:hAnsi="Bradley Hand ITC"/>
          <w:i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 xml:space="preserve">Corsi di Teoria e solfeggio: </w:t>
      </w:r>
      <w:r>
        <w:rPr>
          <w:rFonts w:ascii="Bradley Hand ITC" w:hAnsi="Bradley Hand ITC"/>
          <w:i/>
          <w:color w:val="000000"/>
          <w:sz w:val="22"/>
          <w:szCs w:val="22"/>
        </w:rPr>
        <w:t>E’ data la possibilità di frequentare lezioni di teoria e solfeggio in collaborazione e attraverso la SSPM e l’HMI di Bellinzona.</w:t>
      </w:r>
    </w:p>
    <w:p w:rsidR="00914F9D" w:rsidRDefault="00914F9D" w:rsidP="00914F9D">
      <w:pPr>
        <w:ind w:left="644"/>
        <w:jc w:val="both"/>
        <w:rPr>
          <w:rFonts w:ascii="Bradley Hand ITC" w:hAnsi="Bradley Hand ITC"/>
          <w:i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Costi</w:t>
      </w:r>
      <w:r>
        <w:rPr>
          <w:rFonts w:ascii="Bradley Hand ITC" w:hAnsi="Bradley Hand ITC"/>
          <w:i/>
          <w:color w:val="000000"/>
          <w:sz w:val="22"/>
          <w:szCs w:val="22"/>
        </w:rPr>
        <w:t>:</w:t>
      </w:r>
    </w:p>
    <w:p w:rsidR="00914F9D" w:rsidRDefault="00914F9D" w:rsidP="00914F9D">
      <w:pPr>
        <w:jc w:val="both"/>
        <w:rPr>
          <w:rFonts w:ascii="Bradley Hand ITC" w:hAnsi="Bradley Hand ITC"/>
          <w:i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Lezione singola di 30 min. chf. 620,- per un totale di 17 le</w:t>
      </w:r>
      <w:r>
        <w:rPr>
          <w:rFonts w:ascii="Bradley Hand ITC" w:hAnsi="Bradley Hand ITC"/>
          <w:color w:val="000000"/>
          <w:sz w:val="22"/>
          <w:szCs w:val="22"/>
          <w:lang w:val="it-CH"/>
        </w:rPr>
        <w:t>zi</w:t>
      </w:r>
      <w:r>
        <w:rPr>
          <w:rFonts w:ascii="Bradley Hand ITC" w:hAnsi="Bradley Hand ITC"/>
          <w:color w:val="000000"/>
          <w:sz w:val="22"/>
          <w:szCs w:val="22"/>
        </w:rPr>
        <w:t>oni a semestre</w:t>
      </w:r>
    </w:p>
    <w:p w:rsidR="00914F9D" w:rsidRDefault="00914F9D" w:rsidP="00914F9D">
      <w:p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Lezione singola di 45 min. chf. 930,- per un totale di 17 lezioni a semestre</w:t>
      </w:r>
    </w:p>
    <w:p w:rsidR="00914F9D" w:rsidRDefault="00914F9D" w:rsidP="00914F9D">
      <w:p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Lezione singola di 60 min. chf. 1240,- per un totale di 17 lezioni a semestre</w:t>
      </w:r>
    </w:p>
    <w:p w:rsidR="00914F9D" w:rsidRDefault="00914F9D" w:rsidP="00914F9D">
      <w:p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Lezioni singole per adulti di 45 min. chf. 300,- pacchetto di 5 lezioni per risvegliare o</w:t>
      </w:r>
      <w:r>
        <w:rPr>
          <w:rFonts w:ascii="Bradley Hand ITC" w:hAnsi="Bradley Hand ITC"/>
          <w:color w:val="000000"/>
          <w:sz w:val="22"/>
          <w:szCs w:val="22"/>
        </w:rPr>
        <w:br/>
      </w:r>
      <w:r>
        <w:rPr>
          <w:rFonts w:ascii="Bradley Hand ITC" w:hAnsi="Bradley Hand ITC"/>
          <w:color w:val="000000"/>
          <w:sz w:val="22"/>
          <w:szCs w:val="22"/>
        </w:rPr>
        <w:tab/>
        <w:t xml:space="preserve">   scoprire la gioia di suonare</w:t>
      </w:r>
    </w:p>
    <w:p w:rsidR="00914F9D" w:rsidRDefault="00914F9D" w:rsidP="00914F9D">
      <w:p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Lezione collettiva di 30 min. (in duo) chf. 350,- per allievo, per un totale di 17 lezioni a</w:t>
      </w:r>
      <w:r>
        <w:rPr>
          <w:rFonts w:ascii="Bradley Hand ITC" w:hAnsi="Bradley Hand ITC"/>
          <w:color w:val="000000"/>
          <w:sz w:val="22"/>
          <w:szCs w:val="22"/>
        </w:rPr>
        <w:br/>
      </w:r>
      <w:r>
        <w:rPr>
          <w:rFonts w:ascii="Bradley Hand ITC" w:hAnsi="Bradley Hand ITC"/>
          <w:color w:val="000000"/>
          <w:sz w:val="22"/>
          <w:szCs w:val="22"/>
        </w:rPr>
        <w:tab/>
        <w:t xml:space="preserve">   semestre </w:t>
      </w:r>
    </w:p>
    <w:p w:rsidR="00914F9D" w:rsidRDefault="00914F9D" w:rsidP="00914F9D">
      <w:pPr>
        <w:ind w:left="708"/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 xml:space="preserve">- Lezione collettiva di 45 min. (in duo)  chf. 510,-  per allievo, per un totale di 17 lezioni a </w:t>
      </w:r>
    </w:p>
    <w:p w:rsidR="00914F9D" w:rsidRDefault="00914F9D" w:rsidP="00914F9D">
      <w:pPr>
        <w:ind w:left="708"/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 xml:space="preserve">   semestre               </w:t>
      </w:r>
    </w:p>
    <w:p w:rsidR="00914F9D" w:rsidRDefault="00914F9D" w:rsidP="00914F9D">
      <w:p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Lezione collettiva di 45 min. (in quartetto) chf. 240,- per allievo, per un totale di 15</w:t>
      </w:r>
      <w:r>
        <w:rPr>
          <w:rFonts w:ascii="Bradley Hand ITC" w:hAnsi="Bradley Hand ITC"/>
          <w:color w:val="000000"/>
          <w:sz w:val="22"/>
          <w:szCs w:val="22"/>
        </w:rPr>
        <w:br/>
      </w:r>
      <w:r>
        <w:rPr>
          <w:rFonts w:ascii="Bradley Hand ITC" w:hAnsi="Bradley Hand ITC"/>
          <w:color w:val="000000"/>
          <w:sz w:val="22"/>
          <w:szCs w:val="22"/>
        </w:rPr>
        <w:tab/>
        <w:t xml:space="preserve">   lezioni a semestre  </w:t>
      </w:r>
    </w:p>
    <w:p w:rsidR="00914F9D" w:rsidRDefault="00914F9D" w:rsidP="00914F9D">
      <w:p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color w:val="000000"/>
          <w:sz w:val="22"/>
          <w:szCs w:val="22"/>
        </w:rPr>
        <w:tab/>
        <w:t>- Lezione collettiva di 45 min. (in ensemble, min. 8 allievi) chf. 120,- per allievo, per un</w:t>
      </w:r>
      <w:r>
        <w:rPr>
          <w:rFonts w:ascii="Bradley Hand ITC" w:hAnsi="Bradley Hand ITC"/>
          <w:color w:val="000000"/>
          <w:sz w:val="22"/>
          <w:szCs w:val="22"/>
        </w:rPr>
        <w:br/>
      </w:r>
      <w:r>
        <w:rPr>
          <w:rFonts w:ascii="Bradley Hand ITC" w:hAnsi="Bradley Hand ITC"/>
          <w:color w:val="000000"/>
          <w:sz w:val="22"/>
          <w:szCs w:val="22"/>
        </w:rPr>
        <w:tab/>
        <w:t xml:space="preserve">   totale di 15 lezioni a semestre.</w:t>
      </w:r>
    </w:p>
    <w:p w:rsidR="00914F9D" w:rsidRDefault="00914F9D" w:rsidP="00914F9D">
      <w:pPr>
        <w:ind w:left="644"/>
        <w:rPr>
          <w:rFonts w:ascii="Bradley Hand ITC" w:hAnsi="Bradley Hand ITC"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Pagamento: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Il pagamento della quota semestrale deve essere effettuato </w:t>
      </w:r>
      <w:r>
        <w:rPr>
          <w:rFonts w:ascii="Bradley Hand ITC" w:hAnsi="Bradley Hand ITC"/>
          <w:b/>
          <w:i/>
          <w:color w:val="000000"/>
          <w:sz w:val="22"/>
          <w:szCs w:val="22"/>
        </w:rPr>
        <w:t>entro la data indicata sulla fattura.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Qualora si dovessero riscontrare dei ritardi nei pagamenti, le lezioni verranno  temporaneamente sospese. </w:t>
      </w:r>
    </w:p>
    <w:p w:rsidR="00914F9D" w:rsidRDefault="00914F9D" w:rsidP="00914F9D">
      <w:pPr>
        <w:ind w:left="644"/>
        <w:jc w:val="both"/>
        <w:rPr>
          <w:rFonts w:ascii="Bradley Hand ITC" w:hAnsi="Bradley Hand ITC"/>
          <w:color w:val="000000"/>
          <w:sz w:val="22"/>
          <w:szCs w:val="22"/>
        </w:rPr>
      </w:pPr>
    </w:p>
    <w:p w:rsidR="00914F9D" w:rsidRDefault="00914F9D" w:rsidP="00914F9D">
      <w:pPr>
        <w:numPr>
          <w:ilvl w:val="0"/>
          <w:numId w:val="2"/>
        </w:numPr>
        <w:jc w:val="both"/>
        <w:rPr>
          <w:rFonts w:ascii="Bradley Hand ITC" w:hAnsi="Bradley Hand ITC"/>
          <w:color w:val="000000"/>
          <w:sz w:val="22"/>
          <w:szCs w:val="22"/>
        </w:rPr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Rimborso:</w:t>
      </w:r>
      <w:r>
        <w:rPr>
          <w:rFonts w:ascii="Bradley Hand ITC" w:hAnsi="Bradley Hand ITC"/>
          <w:i/>
          <w:color w:val="000000"/>
          <w:sz w:val="22"/>
          <w:szCs w:val="22"/>
        </w:rPr>
        <w:t xml:space="preserve"> Se un allievo non potesse presentarsi alle lezioni per malattia o infortunio per più di 2 settimane consecutive, le lezioni perse verranno accreditate al semestre successivo. Esse saranno aggiunte alle lezioni regolari di quel semestre e non saranno pertanto rimborsate.</w:t>
      </w:r>
    </w:p>
    <w:p w:rsidR="00914F9D" w:rsidRDefault="00914F9D" w:rsidP="00914F9D">
      <w:pPr>
        <w:ind w:left="644"/>
        <w:jc w:val="both"/>
        <w:rPr>
          <w:rFonts w:ascii="Bradley Hand ITC" w:hAnsi="Bradley Hand ITC"/>
          <w:color w:val="000000"/>
          <w:sz w:val="22"/>
          <w:szCs w:val="22"/>
        </w:rPr>
      </w:pPr>
    </w:p>
    <w:p w:rsidR="00914F9D" w:rsidRDefault="00914F9D" w:rsidP="00914F9D">
      <w:pPr>
        <w:ind w:left="644"/>
        <w:jc w:val="center"/>
        <w:rPr>
          <w:rFonts w:ascii="Bradley Hand ITC" w:hAnsi="Bradley Hand ITC"/>
          <w:b/>
          <w:color w:val="000000"/>
          <w:sz w:val="32"/>
          <w:szCs w:val="32"/>
          <w:lang w:val="it-CH"/>
        </w:rPr>
      </w:pPr>
      <w:r>
        <w:rPr>
          <w:rFonts w:ascii="Bradley Hand ITC" w:hAnsi="Bradley Hand ITC"/>
          <w:b/>
          <w:color w:val="000000"/>
          <w:sz w:val="32"/>
          <w:szCs w:val="32"/>
          <w:highlight w:val="yellow"/>
        </w:rPr>
        <w:t>Tassa amministrativa semestrale Chf. 30.-</w:t>
      </w:r>
    </w:p>
    <w:p w:rsidR="001573C2" w:rsidRDefault="00914F9D" w:rsidP="00914F9D">
      <w:pPr>
        <w:jc w:val="center"/>
      </w:pPr>
      <w:r>
        <w:rPr>
          <w:rFonts w:ascii="Bradley Hand ITC" w:hAnsi="Bradley Hand ITC"/>
          <w:b/>
          <w:i/>
          <w:color w:val="000000"/>
          <w:sz w:val="22"/>
          <w:szCs w:val="22"/>
        </w:rPr>
        <w:t>"LA MAGIA delle CORDE" di Ann</w:t>
      </w:r>
      <w:r w:rsidR="007F768F">
        <w:rPr>
          <w:rFonts w:ascii="Bradley Hand ITC" w:hAnsi="Bradley Hand ITC"/>
          <w:b/>
          <w:i/>
          <w:color w:val="000000"/>
          <w:sz w:val="22"/>
          <w:szCs w:val="22"/>
        </w:rPr>
        <w:t xml:space="preserve">a Maria Bergna  Via G.Torti, 6°A </w:t>
      </w:r>
      <w:bookmarkStart w:id="0" w:name="_GoBack"/>
      <w:bookmarkEnd w:id="0"/>
      <w:r>
        <w:rPr>
          <w:rFonts w:ascii="Bradley Hand ITC" w:hAnsi="Bradley Hand ITC"/>
          <w:b/>
          <w:i/>
          <w:color w:val="000000"/>
          <w:sz w:val="22"/>
          <w:szCs w:val="22"/>
        </w:rPr>
        <w:t>Tel: 078 8562641</w:t>
      </w:r>
    </w:p>
    <w:sectPr w:rsidR="001573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825"/>
    <w:multiLevelType w:val="hybridMultilevel"/>
    <w:tmpl w:val="B546F59E"/>
    <w:lvl w:ilvl="0" w:tplc="08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21CD"/>
    <w:multiLevelType w:val="hybridMultilevel"/>
    <w:tmpl w:val="D2848E36"/>
    <w:lvl w:ilvl="0" w:tplc="08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E3"/>
    <w:rsid w:val="001573C2"/>
    <w:rsid w:val="007F768F"/>
    <w:rsid w:val="00914F9D"/>
    <w:rsid w:val="00D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B9DE2-7E11-4F0C-989A-1699D1D8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4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4F9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Bergna</dc:creator>
  <cp:keywords/>
  <dc:description/>
  <cp:lastModifiedBy>Anna Maria Bergna</cp:lastModifiedBy>
  <cp:revision>5</cp:revision>
  <dcterms:created xsi:type="dcterms:W3CDTF">2015-09-02T16:05:00Z</dcterms:created>
  <dcterms:modified xsi:type="dcterms:W3CDTF">2015-09-02T19:25:00Z</dcterms:modified>
</cp:coreProperties>
</file>