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Should a Fixed Synthetic-Image Budget Go? Class-Allocation Signals for Diffusion-Based Background Augmentation in Military Aircraft Detection</w:t>
      </w:r>
    </w:p>
    <w:bookmarkStart w:id="35" w:name="X15a093c9ad9718db902ff665f800abe94badaf0"/>
    <w:p>
      <w:pPr>
        <w:pStyle w:val="Heading1"/>
      </w:pPr>
      <w:r>
        <w:t xml:space="preserve">Where Should a Fixed Synthetic-Image Budget Go? Class-Allocation Signals for Diffusion-Based Background Augmentation in Military Aircraft Detection</w:t>
      </w:r>
    </w:p>
    <w:p>
      <w:pPr>
        <w:pStyle w:val="FirstParagraph"/>
      </w:pPr>
      <w:r>
        <w:rPr>
          <w:b/>
          <w:bCs/>
        </w:rPr>
        <w:t xml:space="preserve">Daehyun Yoo</w:t>
      </w:r>
      <w:r>
        <w:t xml:space="preserve">1</w:t>
      </w:r>
    </w:p>
    <w:p>
      <w:pPr>
        <w:pStyle w:val="BodyText"/>
      </w:pPr>
      <w:r>
        <w:t xml:space="preserve">1</w:t>
      </w:r>
      <w:r>
        <w:t xml:space="preserve"> </w:t>
      </w:r>
      <w:r>
        <w:t xml:space="preserve">[TODO: affiliation, address]</w:t>
      </w:r>
    </w:p>
    <w:p>
      <w:pPr>
        <w:pStyle w:val="BodyText"/>
      </w:pPr>
      <w:r>
        <w:t xml:space="preserve">Corresponding author: [TODO: e-mail]</w:t>
      </w:r>
    </w:p>
    <w:bookmarkStart w:id="9" w:name="abstract"/>
    <w:p>
      <w:pPr>
        <w:pStyle w:val="Heading2"/>
      </w:pPr>
      <w:r>
        <w:t xml:space="preserve">Abstract</w:t>
      </w:r>
    </w:p>
    <w:p>
      <w:pPr>
        <w:pStyle w:val="FirstParagraph"/>
      </w:pPr>
      <w:r>
        <w:t xml:space="preserve">Diffusion-based synthetic data is a common remedy for class imbalance in detection, and the generation budget is conventionally aimed at</w:t>
      </w:r>
      <w:r>
        <w:t xml:space="preserve"> </w:t>
      </w:r>
      <w:r>
        <w:rPr>
          <w:i/>
          <w:iCs/>
        </w:rPr>
        <w:t xml:space="preserve">rare</w:t>
      </w:r>
      <w:r>
        <w:t xml:space="preserve"> </w:t>
      </w:r>
      <w:r>
        <w:t xml:space="preserve">classes. On a 43-class military aircraft detection benchmark we find frequency to be a poor proxy for difficulty: per-class average precision correlates</w:t>
      </w:r>
      <w:r>
        <w:t xml:space="preserve"> </w:t>
      </w:r>
      <w:r>
        <w:rPr>
          <w:i/>
          <w:iCs/>
        </w:rPr>
        <w:t xml:space="preserve">negatively</w:t>
      </w:r>
      <w:r>
        <w:t xml:space="preserve"> </w:t>
      </w:r>
      <w:r>
        <w:t xml:space="preserve">with instance count (Pearson r = −0.375, p = 0.013), and the frequency-defined tail outperforms the head under a YOLOv8 baseline. We therefore treat the class-allocation signal as the experimental variable. Holding the budget (1,000 images), the class count (13), and the generator (bounding-box-protected background inpainting with per-image verification) fixed, we compare three policies: uniform over the frequency tail, rarity-and-weakness-weighted over the same tail, and a weakness policy re-ranking</w:t>
      </w:r>
      <w:r>
        <w:t xml:space="preserve"> </w:t>
      </w:r>
      <w:r>
        <w:rPr>
          <w:i/>
          <w:iCs/>
        </w:rPr>
        <w:t xml:space="preserve">all</w:t>
      </w:r>
      <w:r>
        <w:t xml:space="preserve"> </w:t>
      </w:r>
      <w:r>
        <w:t xml:space="preserve">classes by measured baseline AP — which selects a class set disjoint from the frequency tail. Evaluating each policy on both sets yields a double dissociation: the frequency-based policy significantly improves only the frequency tail (+0.056 mAP50-95, Wilcoxon p = 0.0017) and the weakness-based policy only its own weak set (+0.037, p = 0.040), while the two are indistinguishable overall (p = 0.154). Reweighting</w:t>
      </w:r>
      <w:r>
        <w:t xml:space="preserve"> </w:t>
      </w:r>
      <w:r>
        <w:rPr>
          <w:i/>
          <w:iCs/>
        </w:rPr>
        <w:t xml:space="preserve">within</w:t>
      </w:r>
      <w:r>
        <w:t xml:space="preserve"> </w:t>
      </w:r>
      <w:r>
        <w:t xml:space="preserve">a fixed set gives nothing over uniform allocation (+0.003, p = 0.685). We also quantify a failure mode invisible to pixel-level verification — 10.2% of generated images contain an unlabelled aircraft the model invented — and show by removing it that this noise does not explain why every generative arm trails repeat-factor sampling. Which classes receive the budget matters more than how it is shaped within them. Code and generation logs are released.</w:t>
      </w:r>
    </w:p>
    <w:p>
      <w:pPr>
        <w:pStyle w:val="BodyText"/>
      </w:pPr>
      <w:r>
        <w:rPr>
          <w:b/>
          <w:bCs/>
        </w:rPr>
        <w:t xml:space="preserve">Keywords</w:t>
      </w:r>
      <w:r>
        <w:t xml:space="preserve"> </w:t>
      </w:r>
      <w:r>
        <w:t xml:space="preserve">object detection, data augmentation, diffusion models, image inpainting, long-tailed learning, military aircraft recognition, YOLO</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Automatic recognition of aircraft type from imagery underpins reconnaissance, airspace monitoring and intelligence analysis, and the aerospace community has pursued it with steadily deeper models — from CNN-based multi-target detection for airborne surveillance [1], through small airborne object recognition [2], to surveys of machine-learning detection in space electro-optical imagery [3]. What these systems share is a dependence on annotated data that is expensive to obtain and unevenly distributed across aircraft types.</w:t>
      </w:r>
    </w:p>
    <w:p>
      <w:pPr>
        <w:pStyle w:val="BodyText"/>
      </w:pPr>
      <w:r>
        <w:t xml:space="preserve">Object detectors degrade on such under-represented classes, and a growing line of work responds by synthesizing additional training images with generative models. Before a single image is generated, such a pipeline must answer a question that is usually settled by convention rather than measurement:</w:t>
      </w:r>
      <w:r>
        <w:t xml:space="preserve"> </w:t>
      </w:r>
      <w:r>
        <w:rPr>
          <w:i/>
          <w:iCs/>
        </w:rPr>
        <w:t xml:space="preserve">which classes receive the synthetic budget?</w:t>
      </w:r>
    </w:p>
    <w:p>
      <w:pPr>
        <w:pStyle w:val="BodyText"/>
      </w:pPr>
      <w:r>
        <w:t xml:space="preserve">The conventional answer is the rare classes. It is not, however, the only answer on record. Difficulty-Net [4] argues that reweighting by frequency overlooks categories that are intrinsically hard to learn, and ObjectAug [5] compared rarity-driven against hard-driven category coefficients for segmentation augmentation on PASCAL VOC, reporting that the hard-driven ranking was the more effective of the two by 0.8 points. More recently, uncertainty-guided context augmentation [6] preserves the regions on which a segmenter is least certain and regenerates the surrounding context with a diffusion model — allocating by model uncertainty rather than by frequency. The direction of travel in this literature is therefore already established:</w:t>
      </w:r>
      <w:r>
        <w:t xml:space="preserve"> </w:t>
      </w:r>
      <w:r>
        <w:rPr>
          <w:i/>
          <w:iCs/>
        </w:rPr>
        <w:t xml:space="preserve">measured difficulty appears to be a better allocation signal than counting instances.</w:t>
      </w:r>
    </w:p>
    <w:p>
      <w:pPr>
        <w:pStyle w:val="BodyText"/>
      </w:pPr>
      <w:r>
        <w:t xml:space="preserve">What remains unclear is what that superiority actually consists of, and whether it survives the move from segmentation to detection. Prior comparisons report an aggregate margin — one policy scores higher overall — on class partitions that overlap, so a gain observed under a difficulty-driven policy may reflect either better targeting or simply a better ranking of largely the same classes. This paper separates those readings.</w:t>
      </w:r>
    </w:p>
    <w:p>
      <w:pPr>
        <w:pStyle w:val="BodyText"/>
      </w:pPr>
      <w:r>
        <w:t xml:space="preserve">We work on the 43-class Military Aircraft Detection benchmark, where the decoupling between frequency and difficulty is unusually sharp. Under a YOLOv8 baseline with default augmentation, per-class AP correlates</w:t>
      </w:r>
      <w:r>
        <w:t xml:space="preserve"> </w:t>
      </w:r>
      <w:r>
        <w:rPr>
          <w:i/>
          <w:iCs/>
        </w:rPr>
        <w:t xml:space="preserve">negatively</w:t>
      </w:r>
      <w:r>
        <w:t xml:space="preserve"> </w:t>
      </w:r>
      <w:r>
        <w:t xml:space="preserve">with instance count (Pearson r = −0.375, p = 0.013; Spearman ρ = −0.408, p = 0.007). The rarest class in the frequency-defined tail (YF23, 97 instances) is the easiest class in the dataset (0.93 AP50), while the weakest — Rafale (0.31), F14 (0.37), JAS39 and F18 (0.49) — sit in the medium and head groups. Distinctive airframes are easy regardless of frequency; visually similar multirole fighters are hard regardless of abundance. The consequence is a property we exploit rather than merely report: on this benchmark, ranking all classes by measured AP and taking the bottom K yields a class set</w:t>
      </w:r>
      <w:r>
        <w:t xml:space="preserve"> </w:t>
      </w:r>
      <w:r>
        <w:rPr>
          <w:b/>
          <w:bCs/>
        </w:rPr>
        <w:t xml:space="preserve">disjoint</w:t>
      </w:r>
      <w:r>
        <w:t xml:space="preserve"> </w:t>
      </w:r>
      <w:r>
        <w:t xml:space="preserve">from the frequency tail of the same size.</w:t>
      </w:r>
    </w:p>
    <w:p>
      <w:pPr>
        <w:pStyle w:val="BodyText"/>
      </w:pPr>
      <w:r>
        <w:t xml:space="preserve">That disjointness turns the comparison into a controlled experiment. Holding the generation budget (1,000 images), the class count (13), the generator, and the verification gates fixed, we vary only the allocation signal:</w:t>
      </w:r>
    </w:p>
    <w:p>
      <w:pPr>
        <w:pStyle w:val="Compact"/>
        <w:numPr>
          <w:ilvl w:val="0"/>
          <w:numId w:val="1001"/>
        </w:numPr>
      </w:pPr>
      <w:r>
        <w:rPr>
          <w:b/>
          <w:bCs/>
        </w:rPr>
        <w:t xml:space="preserve">Uniform-tail</w:t>
      </w:r>
      <w:r>
        <w:t xml:space="preserve"> </w:t>
      </w:r>
      <w:r>
        <w:t xml:space="preserve">— equal allocation over the 13 frequency-tail classes;</w:t>
      </w:r>
    </w:p>
    <w:p>
      <w:pPr>
        <w:pStyle w:val="Compact"/>
        <w:numPr>
          <w:ilvl w:val="0"/>
          <w:numId w:val="1001"/>
        </w:numPr>
      </w:pPr>
      <w:r>
        <w:rPr>
          <w:b/>
          <w:bCs/>
        </w:rPr>
        <w:t xml:space="preserve">Selective-tail</w:t>
      </w:r>
      <w:r>
        <w:t xml:space="preserve"> </w:t>
      </w:r>
      <w:r>
        <w:t xml:space="preserve">— rarity-and-weakness-weighted allocation over the same 13 classes;</w:t>
      </w:r>
    </w:p>
    <w:p>
      <w:pPr>
        <w:pStyle w:val="Compact"/>
        <w:numPr>
          <w:ilvl w:val="0"/>
          <w:numId w:val="1001"/>
        </w:numPr>
      </w:pPr>
      <w:r>
        <w:rPr>
          <w:b/>
          <w:bCs/>
        </w:rPr>
        <w:t xml:space="preserve">Weakness</w:t>
      </w:r>
      <w:r>
        <w:t xml:space="preserve"> </w:t>
      </w:r>
      <w:r>
        <w:t xml:space="preserve">— all 43 classes re-ranked by measured baseline AP, budget to the bottom 13.</w:t>
      </w:r>
    </w:p>
    <w:p>
      <w:pPr>
        <w:pStyle w:val="FirstParagraph"/>
      </w:pPr>
      <w:r>
        <w:t xml:space="preserve">Evaluating every policy on</w:t>
      </w:r>
      <w:r>
        <w:t xml:space="preserve"> </w:t>
      </w:r>
      <w:r>
        <w:rPr>
          <w:i/>
          <w:iCs/>
        </w:rPr>
        <w:t xml:space="preserve">both</w:t>
      </w:r>
      <w:r>
        <w:t xml:space="preserve"> </w:t>
      </w:r>
      <w:r>
        <w:t xml:space="preserve">class sets, rather than reporting a single aggregate, changes the conclusion. The two policies are statistically indistinguishable overall (p = 0.154); what separates them is</w:t>
      </w:r>
      <w:r>
        <w:t xml:space="preserve"> </w:t>
      </w:r>
      <w:r>
        <w:rPr>
          <w:i/>
          <w:iCs/>
        </w:rPr>
        <w:t xml:space="preserve">where</w:t>
      </w:r>
      <w:r>
        <w:t xml:space="preserve"> </w:t>
      </w:r>
      <w:r>
        <w:t xml:space="preserve">their gains land.</w:t>
      </w:r>
    </w:p>
    <w:p>
      <w:pPr>
        <w:pStyle w:val="BodyText"/>
      </w:pPr>
      <w:r>
        <w:rPr>
          <w:b/>
          <w:bCs/>
        </w:rPr>
        <w:t xml:space="preserve">Contributions.</w:t>
      </w:r>
    </w:p>
    <w:p>
      <w:pPr>
        <w:pStyle w:val="Compact"/>
        <w:numPr>
          <w:ilvl w:val="0"/>
          <w:numId w:val="1002"/>
        </w:numPr>
      </w:pPr>
      <w:r>
        <w:t xml:space="preserve">We report a benchmark on which class frequency is a statistically significant</w:t>
      </w:r>
      <w:r>
        <w:t xml:space="preserve"> </w:t>
      </w:r>
      <w:r>
        <w:rPr>
          <w:i/>
          <w:iCs/>
        </w:rPr>
        <w:t xml:space="preserve">negative</w:t>
      </w:r>
      <w:r>
        <w:t xml:space="preserve"> </w:t>
      </w:r>
      <w:r>
        <w:t xml:space="preserve">predictor of class difficulty, and analyze the mechanism (distinctive-airframe rarity versus confusable-fighter abundance, with miss-dominated errors).</w:t>
      </w:r>
    </w:p>
    <w:p>
      <w:pPr>
        <w:pStyle w:val="Compact"/>
        <w:numPr>
          <w:ilvl w:val="0"/>
          <w:numId w:val="1002"/>
        </w:numPr>
      </w:pPr>
      <w:r>
        <w:t xml:space="preserve">We refine the prior rarity-versus-difficulty finding into a</w:t>
      </w:r>
      <w:r>
        <w:t xml:space="preserve"> </w:t>
      </w:r>
      <w:r>
        <w:rPr>
          <w:b/>
          <w:bCs/>
        </w:rPr>
        <w:t xml:space="preserve">double dissociation</w:t>
      </w:r>
      <w:r>
        <w:t xml:space="preserve">. Under a fixed budget and disjoint class sets, each policy significantly improves exactly the set it targets and not the other (frequency policy on its tail: +0.056 mAP50-95, p = 0.0017, but +0.018 on the weak set, n.s.; weakness policy on the weak set: +0.037, p = 0.040, but +0.017 on the tail, n.s.). Difficulty-driven allocation is not globally superior — it is differently targeted.</w:t>
      </w:r>
    </w:p>
    <w:p>
      <w:pPr>
        <w:pStyle w:val="Compact"/>
        <w:numPr>
          <w:ilvl w:val="0"/>
          <w:numId w:val="1002"/>
        </w:numPr>
      </w:pPr>
      <w:r>
        <w:t xml:space="preserve">We show that</w:t>
      </w:r>
      <w:r>
        <w:t xml:space="preserve"> </w:t>
      </w:r>
      <w:r>
        <w:rPr>
          <w:b/>
          <w:bCs/>
        </w:rPr>
        <w:t xml:space="preserve">within-set reweighting is ineffectual</w:t>
      </w:r>
      <w:r>
        <w:t xml:space="preserve">: weighting the same 13 classes by rarity and weakness is indistinguishable from uniform allocation (p = 0.685). Choosing the set dominates shaping the weights inside it.</w:t>
      </w:r>
    </w:p>
    <w:p>
      <w:pPr>
        <w:pStyle w:val="Compact"/>
        <w:numPr>
          <w:ilvl w:val="0"/>
          <w:numId w:val="1002"/>
        </w:numPr>
      </w:pPr>
      <w:r>
        <w:t xml:space="preserve">We</w:t>
      </w:r>
      <w:r>
        <w:t xml:space="preserve"> </w:t>
      </w:r>
      <w:r>
        <w:rPr>
          <w:b/>
          <w:bCs/>
        </w:rPr>
        <w:t xml:space="preserve">quantify a failure mode of background inpainting</w:t>
      </w:r>
      <w:r>
        <w:t xml:space="preserve"> </w:t>
      </w:r>
      <w:r>
        <w:t xml:space="preserve">that the standard pixel-level verification cannot see: 10.2% of generated images contain an aircraft the model invented and no annotation covers, injecting false-negative supervision. To our knowledge this label-noise channel has not been measured for protected-region inpainting. We then remove it with an object-level gate and retrain, and report the negative result: the noise is real but does</w:t>
      </w:r>
      <w:r>
        <w:t xml:space="preserve"> </w:t>
      </w:r>
      <w:r>
        <w:rPr>
          <w:b/>
          <w:bCs/>
        </w:rPr>
        <w:t xml:space="preserve">not</w:t>
      </w:r>
      <w:r>
        <w:t xml:space="preserve"> </w:t>
      </w:r>
      <w:r>
        <w:t xml:space="preserve">account for why every generative arm here trails repeat-factor sampling (Sect. 7).</w:t>
      </w:r>
    </w:p>
    <w:bookmarkEnd w:id="10"/>
    <w:bookmarkStart w:id="11" w:name="related-work"/>
    <w:p>
      <w:pPr>
        <w:pStyle w:val="Heading2"/>
      </w:pPr>
      <w:r>
        <w:t xml:space="preserve">2 Related Work</w:t>
      </w:r>
    </w:p>
    <w:p>
      <w:pPr>
        <w:pStyle w:val="FirstParagraph"/>
      </w:pPr>
      <w:r>
        <w:rPr>
          <w:b/>
          <w:bCs/>
        </w:rPr>
        <w:t xml:space="preserve">Resampling and reweighting for long-tailed detection.</w:t>
      </w:r>
      <w:r>
        <w:t xml:space="preserve"> </w:t>
      </w:r>
      <w:r>
        <w:t xml:space="preserve">Repeat-factor sampling [7], class-balanced oversampling, and classifier-side corrections such as balanced group softmax [8] and logit normalization [9] remain strong and nearly free baselines. Our results reinforce their standing: RFS is the strongest method in our study in absolute terms (Sect. 6.5). Our question is orthogonal — given that a generation budget is being spent, where should it go.</w:t>
      </w:r>
    </w:p>
    <w:p>
      <w:pPr>
        <w:pStyle w:val="BodyText"/>
      </w:pPr>
      <w:r>
        <w:rPr>
          <w:b/>
          <w:bCs/>
        </w:rPr>
        <w:t xml:space="preserve">Difficulty rather than frequency as the target signal.</w:t>
      </w:r>
      <w:r>
        <w:t xml:space="preserve"> </w:t>
      </w:r>
      <w:r>
        <w:t xml:space="preserve">Difficulty-Net [4] learns to predict per-class difficulty and reweights the loss accordingly, on the premise that frequency-based reweighting misses intrinsically hard categories. ObjectAug [5] applies the same intuition to augmentation allocation, comparing rarity-driven and hard-driven category coefficients for object-level segmentation augmentation and finding the hard-driven ranking more effective. Uncertainty-guided context augmentation [6] allocates by per-class predictive entropy, preserving uncertain regions and regenerating surrounding context with a diffusion model on Cityscapes, UAVID and BDD100K.</w:t>
      </w:r>
    </w:p>
    <w:p>
      <w:pPr>
        <w:pStyle w:val="BodyText"/>
      </w:pPr>
      <w:r>
        <w:t xml:space="preserve">These works establish the premise this paper starts from, and two differences define our contribution. First, all three address segmentation or classification; we test detection, where the supervision unit is a box and an unlabeled object becomes a false negative rather than a mislabeled pixel. Second, and more substantively, they report aggregate margins over partially overlapping class partitions. We hold budget and class count fixed, exploit a benchmark where the two candidate class sets are disjoint, and evaluate each policy on both sets — which converts</w:t>
      </w:r>
      <w:r>
        <w:t xml:space="preserve"> </w:t>
      </w:r>
      <w:r>
        <w:t xml:space="preserve">“difficulty-driven is better”</w:t>
      </w:r>
      <w:r>
        <w:t xml:space="preserve"> </w:t>
      </w:r>
      <w:r>
        <w:t xml:space="preserve">into the more specific and more useful</w:t>
      </w:r>
      <w:r>
        <w:t xml:space="preserve"> </w:t>
      </w:r>
      <w:r>
        <w:t xml:space="preserve">“each signal moves its own classes.”</w:t>
      </w:r>
    </w:p>
    <w:p>
      <w:pPr>
        <w:pStyle w:val="BodyText"/>
      </w:pPr>
      <w:r>
        <w:rPr>
          <w:b/>
          <w:bCs/>
        </w:rPr>
        <w:t xml:space="preserve">Copy-paste and compositional augmentation.</w:t>
      </w:r>
      <w:r>
        <w:t xml:space="preserve"> </w:t>
      </w:r>
      <w:r>
        <w:t xml:space="preserve">Copy-paste [10] and its scaled variants (X-Paste [11], Gen2Det [12]) compose scenes from object crops. They change object context but introduce boundary artifacts and require paste-placement heuristics; copy-paste is the weakest augmentation arm in our study.</w:t>
      </w:r>
    </w:p>
    <w:p>
      <w:pPr>
        <w:pStyle w:val="BodyText"/>
      </w:pPr>
      <w:r>
        <w:rPr>
          <w:b/>
          <w:bCs/>
        </w:rPr>
        <w:t xml:space="preserve">Diffusion-based augmentation for detection.</w:t>
      </w:r>
      <w:r>
        <w:t xml:space="preserve"> </w:t>
      </w:r>
      <w:r>
        <w:t xml:space="preserve">Text-to-image and inpainting diffusion models have been used to expand detection training sets [13]. Class-specific fine-tuned diffusion models have been applied to military object detection in low-data regimes [14], though with uniform per-class allocation (150 images per class) and full-image generation rather than inpainting. Within the aerospace literature, generative augmentation has been used to address imbalance directly: Bae et al. [15] synthesize infrared imagery from RGB with CycleGAN to compensate for a scarce modality in drone-based human detection. That line of work asks whether to generate; the question here is where a generation budget should be pointed once the decision to generate has been made. Background inpainting around protected ground-truth boxes is attractive for detection specifically because annotations transfer without relabeling; we adopt this generator, hold it fixed across arms, and vary only the allocation of its budget.</w:t>
      </w:r>
    </w:p>
    <w:p>
      <w:pPr>
        <w:pStyle w:val="BodyText"/>
      </w:pPr>
      <w:r>
        <w:rPr>
          <w:b/>
          <w:bCs/>
        </w:rPr>
        <w:t xml:space="preserve">Label noise in synthetic training data.</w:t>
      </w:r>
      <w:r>
        <w:t xml:space="preserve"> </w:t>
      </w:r>
      <w:r>
        <w:t xml:space="preserve">Work on synthetic-data quality has largely focused on realism metrics (FID, CLIPScore) and on filtering by aesthetic or alignment scores. The failure we measure is different in kind: the generated content is realistic, passes pixel-level protection checks, and is nonetheless mislabeled, because the generator adds an object that the transferred annotation does not cover. Sect. 4.4 quantifies the rate and Sect. 7 proposes the object-level gate that would remove it.</w:t>
      </w:r>
    </w:p>
    <w:bookmarkEnd w:id="11"/>
    <w:bookmarkStart w:id="15" w:name="X4dcf00a06df4092a1ba8a72f9a02f19434f76e6"/>
    <w:p>
      <w:pPr>
        <w:pStyle w:val="Heading2"/>
      </w:pPr>
      <w:r>
        <w:t xml:space="preserve">3 Benchmark Analysis: Frequency Is Not Difficulty</w:t>
      </w:r>
    </w:p>
    <w:bookmarkStart w:id="12" w:name="dataset"/>
    <w:p>
      <w:pPr>
        <w:pStyle w:val="Heading3"/>
      </w:pPr>
      <w:r>
        <w:t xml:space="preserve">3.1 Dataset</w:t>
      </w:r>
    </w:p>
    <w:p>
      <w:pPr>
        <w:pStyle w:val="FirstParagraph"/>
      </w:pPr>
      <w:r>
        <w:t xml:space="preserve">We use the public Military Aircraft Detection dataset in YOLO format (43 classes; 11,788 images; 18,832 boxes), split 80/10/10 into train/val/test (9,430 / 1,179 / 1,179 images). The train-split imbalance ratio (max/min instance count) is 10.49, with the smallest class at 86 instances — imbalanced, but far from LVIS-scale (Sect. 7).</w:t>
      </w:r>
    </w:p>
    <w:p>
      <w:pPr>
        <w:pStyle w:val="BodyText"/>
      </w:pPr>
      <w:r>
        <w:t xml:space="preserve">Classes are grouped by frequency into head (13) / medium (17) / tail (13) by taking the bottom 30% of classes by instance count, subject to a minimum of five validation instances per class.</w:t>
      </w:r>
    </w:p>
    <w:bookmarkEnd w:id="12"/>
    <w:bookmarkStart w:id="13" w:name="frequencydifficulty-correlation"/>
    <w:p>
      <w:pPr>
        <w:pStyle w:val="Heading3"/>
      </w:pPr>
      <w:r>
        <w:t xml:space="preserve">3.2 Frequency–difficulty correlation</w:t>
      </w:r>
    </w:p>
    <w:p>
      <w:pPr>
        <w:pStyle w:val="FirstParagraph"/>
      </w:pPr>
      <w:r>
        <w:t xml:space="preserve">Table 1 and Fig. 2 summarize the relationship between train-split instance count and per-class test AP of the</w:t>
      </w:r>
      <w:r>
        <w:t xml:space="preserve"> </w:t>
      </w:r>
      <w:r>
        <w:rPr>
          <w:rStyle w:val="VerbatimChar"/>
        </w:rPr>
        <w:t xml:space="preserve">basic_aug</w:t>
      </w:r>
      <w:r>
        <w:t xml:space="preserve"> </w:t>
      </w:r>
      <w:r>
        <w:t xml:space="preserve">baseline (YOLOv8n, Ultralytics default augmentation, averaged over seeds 42–44):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split</w:t>
            </w:r>
          </w:p>
        </w:tc>
        <w:tc>
          <w:tcPr/>
          <w:p>
            <w:pPr>
              <w:pStyle w:val="Compact"/>
            </w:pPr>
            <w:r>
              <w:t xml:space="preserve">metric</w:t>
            </w:r>
          </w:p>
        </w:tc>
        <w:tc>
          <w:tcPr/>
          <w:p>
            <w:pPr>
              <w:pStyle w:val="Compact"/>
            </w:pPr>
            <w:r>
              <w:t xml:space="preserve">Pearson r (p)</w:t>
            </w:r>
          </w:p>
        </w:tc>
        <w:tc>
          <w:tcPr/>
          <w:p>
            <w:pPr>
              <w:pStyle w:val="Compact"/>
            </w:pPr>
            <w:r>
              <w:t xml:space="preserve">Spearman ρ (p)</w:t>
            </w:r>
          </w:p>
        </w:tc>
      </w:tr>
      <w:tr>
        <w:tc>
          <w:tcPr/>
          <w:p>
            <w:pPr>
              <w:pStyle w:val="Compact"/>
            </w:pPr>
            <w:r>
              <w:t xml:space="preserve">val</w:t>
            </w:r>
          </w:p>
        </w:tc>
        <w:tc>
          <w:tcPr/>
          <w:p>
            <w:pPr>
              <w:pStyle w:val="Compact"/>
            </w:pPr>
            <w:r>
              <w:t xml:space="preserve">mAP50-95</w:t>
            </w:r>
          </w:p>
        </w:tc>
        <w:tc>
          <w:tcPr/>
          <w:p>
            <w:pPr>
              <w:pStyle w:val="Compact"/>
            </w:pPr>
            <w:r>
              <w:t xml:space="preserve">−0.377 (0.013)</w:t>
            </w:r>
          </w:p>
        </w:tc>
        <w:tc>
          <w:tcPr/>
          <w:p>
            <w:pPr>
              <w:pStyle w:val="Compact"/>
            </w:pPr>
            <w:r>
              <w:t xml:space="preserve">−0.460 (0.002)</w:t>
            </w:r>
          </w:p>
        </w:tc>
      </w:tr>
      <w:tr>
        <w:tc>
          <w:tcPr/>
          <w:p>
            <w:pPr>
              <w:pStyle w:val="Compact"/>
            </w:pPr>
            <w:r>
              <w:t xml:space="preserve">test</w:t>
            </w:r>
          </w:p>
        </w:tc>
        <w:tc>
          <w:tcPr/>
          <w:p>
            <w:pPr>
              <w:pStyle w:val="Compact"/>
            </w:pPr>
            <w:r>
              <w:t xml:space="preserve">mAP50-95</w:t>
            </w:r>
          </w:p>
        </w:tc>
        <w:tc>
          <w:tcPr/>
          <w:p>
            <w:pPr>
              <w:pStyle w:val="Compact"/>
            </w:pPr>
            <w:r>
              <w:rPr>
                <w:b/>
                <w:bCs/>
              </w:rPr>
              <w:t xml:space="preserve">−0.375 (0.013)</w:t>
            </w:r>
          </w:p>
        </w:tc>
        <w:tc>
          <w:tcPr/>
          <w:p>
            <w:pPr>
              <w:pStyle w:val="Compact"/>
            </w:pPr>
            <w:r>
              <w:rPr>
                <w:b/>
                <w:bCs/>
              </w:rPr>
              <w:t xml:space="preserve">−0.408 (0.007)</w:t>
            </w:r>
          </w:p>
        </w:tc>
      </w:tr>
    </w:tbl>
    <w:p>
      <w:pPr>
        <w:pStyle w:val="BodyText"/>
      </w:pPr>
      <w:r>
        <w:t xml:space="preserve">The correlation is significantly</w:t>
      </w:r>
      <w:r>
        <w:t xml:space="preserve"> </w:t>
      </w:r>
      <w:r>
        <w:rPr>
          <w:i/>
          <w:iCs/>
        </w:rPr>
        <w:t xml:space="preserve">negative</w:t>
      </w:r>
      <w:r>
        <w:t xml:space="preserve">: rarer classes are, on average, easier. Group means point the same way: the frequency tail scores 0.6205 test mAP50-95 versus 0.5755 over all classes. The five weakest classes (AP50: Rafale 0.31, F14 0.37, JAS39 0.49, F18 0.49, F22 0.52) are all medium- or head-group fighters with 350–900 instances; the easiest class (YF23, 0.93) has 97.</w:t>
      </w:r>
    </w:p>
    <w:bookmarkEnd w:id="13"/>
    <w:bookmarkStart w:id="14" w:name="error-structure"/>
    <w:p>
      <w:pPr>
        <w:pStyle w:val="Heading3"/>
      </w:pPr>
      <w:r>
        <w:t xml:space="preserve">3.3 Error structure</w:t>
      </w:r>
    </w:p>
    <w:p>
      <w:pPr>
        <w:pStyle w:val="FirstParagraph"/>
      </w:pPr>
      <w:r>
        <w:t xml:space="preserve">In the normalized confusion matrix of the baseline (Fig. 6), the dominant off-diagonal mass is the</w:t>
      </w:r>
      <w:r>
        <w:t xml:space="preserve"> </w:t>
      </w:r>
      <w:r>
        <w:rPr>
          <w:i/>
          <w:iCs/>
        </w:rPr>
        <w:t xml:space="preserve">background</w:t>
      </w:r>
      <w:r>
        <w:t xml:space="preserve"> </w:t>
      </w:r>
      <w:r>
        <w:t xml:space="preserve">row — missed detections — across nearly all classes, consistent with recall (0.52–0.59) trailing precision (0.62–0.71). Inter-class confusion is secondary and concentrated in the visually similar fighter cluster (F15/F16/F18/F22/F35/JAS39). Two implications follow: (i) an augmentation that diversifies backgrounds attacks the dominant (miss) error mode; (ii) for the confusable-fighter cluster, background diversity can recover the recall component but not the discrimination component — an expectation our per-class results bear out (Sect. 6.4).</w:t>
      </w:r>
    </w:p>
    <w:bookmarkEnd w:id="14"/>
    <w:bookmarkEnd w:id="15"/>
    <w:bookmarkStart w:id="20" w:name="method"/>
    <w:p>
      <w:pPr>
        <w:pStyle w:val="Heading2"/>
      </w:pPr>
      <w:r>
        <w:t xml:space="preserve">4 Method</w:t>
      </w:r>
    </w:p>
    <w:bookmarkStart w:id="16" w:name="Xd6ce8610976ff239b3cf73aee63f7358ebc27f9"/>
    <w:p>
      <w:pPr>
        <w:pStyle w:val="Heading3"/>
      </w:pPr>
      <w:r>
        <w:t xml:space="preserve">4.1 Bounding-box-protected background inpainting</w:t>
      </w:r>
    </w:p>
    <w:p>
      <w:pPr>
        <w:pStyle w:val="FirstParagraph"/>
      </w:pPr>
      <w:r>
        <w:t xml:space="preserve">Fig. 1 shows the pipeline. For each source image we build an inpainting mask that</w:t>
      </w:r>
      <w:r>
        <w:t xml:space="preserve"> </w:t>
      </w:r>
      <w:r>
        <w:rPr>
          <w:i/>
          <w:iCs/>
        </w:rPr>
        <w:t xml:space="preserve">protects</w:t>
      </w:r>
      <w:r>
        <w:t xml:space="preserve"> </w:t>
      </w:r>
      <w:r>
        <w:t xml:space="preserve">every ground-truth box (padding ratio 0.10, Gaussian-blurred boundary, radius 12) and repaints only the complement with Stable Diffusion inpainting [16], 20 denoising steps, guidance 7.5, strength 0.85, at 512 px. Prompts are drawn from a fixed set of five aviation-scene descriptions (clear sky, cloudy sky, runway, desert airfield, generic sky) with a negative prompt forbidding aircraft modification. Because objects are untouched, YOLO labels transfer verbatim — no relabeling and no paste-placement heuristics.</w:t>
      </w:r>
    </w:p>
    <w:bookmarkEnd w:id="16"/>
    <w:bookmarkStart w:id="17" w:name="per-image-verification"/>
    <w:p>
      <w:pPr>
        <w:pStyle w:val="Heading3"/>
      </w:pPr>
      <w:r>
        <w:t xml:space="preserve">4.2 Per-image verification</w:t>
      </w:r>
    </w:p>
    <w:p>
      <w:pPr>
        <w:pStyle w:val="FirstParagraph"/>
      </w:pPr>
      <w:r>
        <w:t xml:space="preserve">Every generated image passes three gates or is rejected and regenerated from a different source/seed (up to a 2× attempt multiplier so each class realizes its full budget):</w:t>
      </w:r>
    </w:p>
    <w:p>
      <w:pPr>
        <w:pStyle w:val="Compact"/>
        <w:numPr>
          <w:ilvl w:val="0"/>
          <w:numId w:val="1003"/>
        </w:numPr>
      </w:pPr>
      <w:r>
        <w:rPr>
          <w:b/>
          <w:bCs/>
        </w:rPr>
        <w:t xml:space="preserve">Background changed</w:t>
      </w:r>
      <w:r>
        <w:t xml:space="preserve">: mean absolute pixel difference outside boxes ≥ 10 (rejects no-op generations);</w:t>
      </w:r>
    </w:p>
    <w:p>
      <w:pPr>
        <w:pStyle w:val="Compact"/>
        <w:numPr>
          <w:ilvl w:val="0"/>
          <w:numId w:val="1003"/>
        </w:numPr>
      </w:pPr>
      <w:r>
        <w:rPr>
          <w:b/>
          <w:bCs/>
        </w:rPr>
        <w:t xml:space="preserve">Objects protected</w:t>
      </w:r>
      <w:r>
        <w:t xml:space="preserve">: mean absolute difference inside padded boxes ≤ 5 (rejects object corruption; JPEG-tolerant);</w:t>
      </w:r>
    </w:p>
    <w:p>
      <w:pPr>
        <w:pStyle w:val="Compact"/>
        <w:numPr>
          <w:ilvl w:val="0"/>
          <w:numId w:val="1003"/>
        </w:numPr>
      </w:pPr>
      <w:r>
        <w:rPr>
          <w:b/>
          <w:bCs/>
        </w:rPr>
        <w:t xml:space="preserve">Editable area</w:t>
      </w:r>
      <w:r>
        <w:t xml:space="preserve">: sources with &lt; 5% editable background are excluded up front.</w:t>
      </w:r>
    </w:p>
    <w:p>
      <w:pPr>
        <w:pStyle w:val="FirstParagraph"/>
      </w:pPr>
      <w:r>
        <w:t xml:space="preserve">A run aborts if the failure rate exceeds 50%; in practice acceptance rates were 79–82% for all three arms (Sect. 5.3), so verification pass-rate differences cannot explain performance differences.</w:t>
      </w:r>
    </w:p>
    <w:p>
      <w:pPr>
        <w:pStyle w:val="BodyText"/>
      </w:pPr>
      <w:r>
        <w:t xml:space="preserve">Fig. 5 shows representative outputs. Backgrounds are replaced wholesale — urban skyline to airport runway (a), foliage to mountain cloudscape (b), airfield buildings to storm clouds (c) — while the protected aircraft, its pose, and its label are untouched. Fig. 5(d) documents the pipeline’s characteristic failure mode: the gates verify that protected regions are unchanged and that the background</w:t>
      </w:r>
      <w:r>
        <w:t xml:space="preserve"> </w:t>
      </w:r>
      <w:r>
        <w:rPr>
          <w:i/>
          <w:iCs/>
        </w:rPr>
        <w:t xml:space="preserve">did</w:t>
      </w:r>
      <w:r>
        <w:t xml:space="preserve"> </w:t>
      </w:r>
      <w:r>
        <w:t xml:space="preserve">change, but they cannot detect a</w:t>
      </w:r>
      <w:r>
        <w:t xml:space="preserve"> </w:t>
      </w:r>
      <w:r>
        <w:rPr>
          <w:i/>
          <w:iCs/>
        </w:rPr>
        <w:t xml:space="preserve">new</w:t>
      </w:r>
      <w:r>
        <w:t xml:space="preserve"> </w:t>
      </w:r>
      <w:r>
        <w:t xml:space="preserve">aircraft hallucinated into the repainted background despite a negative prompt that explicitly forbids extra, duplicate, and new aircraft. Such objects enter training unlabeled. Sect. 4.4 quantifies how often this happens.</w:t>
      </w:r>
    </w:p>
    <w:bookmarkEnd w:id="17"/>
    <w:bookmarkStart w:id="18" w:name="allocation-policies"/>
    <w:p>
      <w:pPr>
        <w:pStyle w:val="Heading3"/>
      </w:pPr>
      <w:r>
        <w:t xml:space="preserve">4.3 Allocation policies</w:t>
      </w:r>
    </w:p>
    <w:p>
      <w:pPr>
        <w:pStyle w:val="FirstParagraph"/>
      </w:pPr>
      <w:r>
        <w:t xml:space="preserve">All policies share budget B = 1,000, class count K = 13, per-class bounds [5, 200], and largest-remainder rounding.</w:t>
      </w:r>
    </w:p>
    <w:p>
      <w:pPr>
        <w:pStyle w:val="Compact"/>
        <w:numPr>
          <w:ilvl w:val="0"/>
          <w:numId w:val="1004"/>
        </w:numPr>
      </w:pPr>
      <w:r>
        <w:rPr>
          <w:b/>
          <w:bCs/>
        </w:rPr>
        <w:t xml:space="preserve">Uniform-tail</w:t>
      </w:r>
      <w:r>
        <w:t xml:space="preserve"> </w:t>
      </w:r>
      <w:r>
        <w:t xml:space="preserve">(</w:t>
      </w:r>
      <w:r>
        <w:rPr>
          <w:rStyle w:val="VerbatimChar"/>
        </w:rPr>
        <w:t xml:space="preserve">aug_uniform_inpaint</w:t>
      </w:r>
      <w:r>
        <w:t xml:space="preserve">): equal weights over the frequency-tail classes.</w:t>
      </w:r>
    </w:p>
    <w:p>
      <w:pPr>
        <w:pStyle w:val="Compact"/>
        <w:numPr>
          <w:ilvl w:val="0"/>
          <w:numId w:val="1004"/>
        </w:numPr>
      </w:pPr>
      <w:r>
        <w:rPr>
          <w:b/>
          <w:bCs/>
        </w:rPr>
        <w:t xml:space="preserve">Selective-tail</w:t>
      </w:r>
      <w:r>
        <w:t xml:space="preserve"> </w:t>
      </w:r>
      <w:r>
        <w:t xml:space="preserve">(</w:t>
      </w:r>
      <w:r>
        <w:rPr>
          <w:rStyle w:val="VerbatimChar"/>
        </w:rPr>
        <w:t xml:space="preserve">aug_selective_inpaint</w:t>
      </w:r>
      <w:r>
        <w:t xml:space="preserve">): weights</w:t>
      </w:r>
      <w:r>
        <w:t xml:space="preserve"> </w:t>
      </w:r>
      <w:r>
        <w:rPr>
          <w:rStyle w:val="VerbatimChar"/>
        </w:rPr>
        <w:t xml:space="preserve">α·rarity + (1−α)·weakness</w:t>
      </w:r>
      <w:r>
        <w:t xml:space="preserve"> </w:t>
      </w:r>
      <w:r>
        <w:t xml:space="preserve">over the same tail classes, α = 0.6, where rarity = 1 − normalized log instance count and weakness = 1 − normalized baseline AP (basic_aug, val split).</w:t>
      </w:r>
    </w:p>
    <w:p>
      <w:pPr>
        <w:pStyle w:val="Compact"/>
        <w:numPr>
          <w:ilvl w:val="0"/>
          <w:numId w:val="1004"/>
        </w:numPr>
      </w:pPr>
      <w:r>
        <w:rPr>
          <w:b/>
          <w:bCs/>
        </w:rPr>
        <w:t xml:space="preserve">Weakness</w:t>
      </w:r>
      <w:r>
        <w:t xml:space="preserve"> </w:t>
      </w:r>
      <w:r>
        <w:t xml:space="preserve">(</w:t>
      </w:r>
      <w:r>
        <w:rPr>
          <w:rStyle w:val="VerbatimChar"/>
        </w:rPr>
        <w:t xml:space="preserve">aug_weakness_inpaint</w:t>
      </w:r>
      <w:r>
        <w:t xml:space="preserve">):</w:t>
      </w:r>
      <w:r>
        <w:t xml:space="preserve"> </w:t>
      </w:r>
      <w:r>
        <w:rPr>
          <w:i/>
          <w:iCs/>
        </w:rPr>
        <w:t xml:space="preserve">all 43</w:t>
      </w:r>
      <w:r>
        <w:t xml:space="preserve"> </w:t>
      </w:r>
      <w:r>
        <w:t xml:space="preserve">classes ranked by baseline val AP (basic_aug); the bottom K = 13 receive the budget with weakness weights.</w:t>
      </w:r>
    </w:p>
    <w:p>
      <w:pPr>
        <w:pStyle w:val="FirstParagraph"/>
      </w:pPr>
      <w:r>
        <w:t xml:space="preserve">On this dataset the weakness set (C17, EF2000, F14, F15, F16, F18, F22, F35, F4, JAS39, Mirage2000, Rafale, Tornado — 7 head + 6 medium) is</w:t>
      </w:r>
      <w:r>
        <w:t xml:space="preserve"> </w:t>
      </w:r>
      <w:r>
        <w:rPr>
          <w:b/>
          <w:bCs/>
        </w:rPr>
        <w:t xml:space="preserve">disjoint</w:t>
      </w:r>
      <w:r>
        <w:t xml:space="preserve"> </w:t>
      </w:r>
      <w:r>
        <w:t xml:space="preserve">from the frequency tail (AG600, Be200, E7, Mig31, P3, RQ4, SR71, Su34, Tu160, Tu95, U2, XB70, YF23). The allocation signal is therefore the only variable separating the three arms.</w:t>
      </w:r>
    </w:p>
    <w:bookmarkEnd w:id="18"/>
    <w:bookmarkStart w:id="19" w:name="Xe0c51e5ef7151514b0e9a4b4c923af7bdc8113b"/>
    <w:p>
      <w:pPr>
        <w:pStyle w:val="Heading3"/>
      </w:pPr>
      <w:r>
        <w:t xml:space="preserve">4.4 How often does the background hallucinate aircraft?</w:t>
      </w:r>
    </w:p>
    <w:p>
      <w:pPr>
        <w:pStyle w:val="FirstParagraph"/>
      </w:pPr>
      <w:r>
        <w:t xml:space="preserve">Because the failure is invisible to the pixel-level gates, we measure it directly. For a 450-image sample (150 per arm, evenly spaced over the accepted set), we run the</w:t>
      </w:r>
      <w:r>
        <w:t xml:space="preserve"> </w:t>
      </w:r>
      <w:r>
        <w:rPr>
          <w:rStyle w:val="VerbatimChar"/>
        </w:rPr>
        <w:t xml:space="preserve">basic_aug</w:t>
      </w:r>
      <w:r>
        <w:t xml:space="preserve"> </w:t>
      </w:r>
      <w:r>
        <w:t xml:space="preserve">baseline detector on both the source and the generated image and count confident detections (conf ≥ 0.5) that fall outside every protected box.</w:t>
      </w:r>
      <w:r>
        <w:t xml:space="preserve"> </w:t>
      </w:r>
      <w:r>
        <w:t xml:space="preserve">“Outside”</w:t>
      </w:r>
      <w:r>
        <w:t xml:space="preserve"> </w:t>
      </w:r>
      <w:r>
        <w:t xml:space="preserve">uses containment rather than IoU — a small detection inside a large ground-truth box has near-zero IoU but is not a new object — with a 0.5 threshold on the fraction of the detection’s own area that any padded ground-truth box covers. Scoring generated images alone would confound hallucinations with the detector’s false positives, so the reported quantity is the per-image increase.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arm</w:t>
            </w:r>
          </w:p>
        </w:tc>
        <w:tc>
          <w:tcPr/>
          <w:p>
            <w:pPr>
              <w:pStyle w:val="Compact"/>
            </w:pPr>
            <w:r>
              <w:t xml:space="preserve">extra objects per image (source → generated)</w:t>
            </w:r>
          </w:p>
        </w:tc>
        <w:tc>
          <w:tcPr/>
          <w:p>
            <w:pPr>
              <w:pStyle w:val="Compact"/>
            </w:pPr>
            <w:r>
              <w:t xml:space="preserve">images gaining ≥1</w:t>
            </w:r>
          </w:p>
        </w:tc>
        <w:tc>
          <w:tcPr/>
          <w:p>
            <w:pPr>
              <w:pStyle w:val="Compact"/>
            </w:pPr>
            <w:r>
              <w:t xml:space="preserve">unlabeled objects added</w:t>
            </w:r>
          </w:p>
        </w:tc>
      </w:tr>
      <w:tr>
        <w:tc>
          <w:tcPr/>
          <w:p>
            <w:pPr>
              <w:pStyle w:val="Compact"/>
            </w:pPr>
            <w:r>
              <w:t xml:space="preserve">uniform-tail</w:t>
            </w:r>
          </w:p>
        </w:tc>
        <w:tc>
          <w:tcPr/>
          <w:p>
            <w:pPr>
              <w:pStyle w:val="Compact"/>
            </w:pPr>
            <w:r>
              <w:t xml:space="preserve">0.000 → 0.307</w:t>
            </w:r>
          </w:p>
        </w:tc>
        <w:tc>
          <w:tcPr/>
          <w:p>
            <w:pPr>
              <w:pStyle w:val="Compact"/>
            </w:pPr>
            <w:r>
              <w:t xml:space="preserve">12.7%</w:t>
            </w:r>
          </w:p>
        </w:tc>
        <w:tc>
          <w:tcPr/>
          <w:p>
            <w:pPr>
              <w:pStyle w:val="Compact"/>
            </w:pPr>
            <w:r>
              <w:t xml:space="preserve">46</w:t>
            </w:r>
          </w:p>
        </w:tc>
      </w:tr>
      <w:tr>
        <w:tc>
          <w:tcPr/>
          <w:p>
            <w:pPr>
              <w:pStyle w:val="Compact"/>
            </w:pPr>
            <w:r>
              <w:t xml:space="preserve">selective-tail</w:t>
            </w:r>
          </w:p>
        </w:tc>
        <w:tc>
          <w:tcPr/>
          <w:p>
            <w:pPr>
              <w:pStyle w:val="Compact"/>
            </w:pPr>
            <w:r>
              <w:t xml:space="preserve">0.000 → 0.207</w:t>
            </w:r>
          </w:p>
        </w:tc>
        <w:tc>
          <w:tcPr/>
          <w:p>
            <w:pPr>
              <w:pStyle w:val="Compact"/>
            </w:pPr>
            <w:r>
              <w:t xml:space="preserve">4.7%</w:t>
            </w:r>
          </w:p>
        </w:tc>
        <w:tc>
          <w:tcPr/>
          <w:p>
            <w:pPr>
              <w:pStyle w:val="Compact"/>
            </w:pPr>
            <w:r>
              <w:t xml:space="preserve">31</w:t>
            </w:r>
          </w:p>
        </w:tc>
      </w:tr>
      <w:tr>
        <w:tc>
          <w:tcPr/>
          <w:p>
            <w:pPr>
              <w:pStyle w:val="Compact"/>
            </w:pPr>
            <w:r>
              <w:t xml:space="preserve">weakness</w:t>
            </w:r>
          </w:p>
        </w:tc>
        <w:tc>
          <w:tcPr/>
          <w:p>
            <w:pPr>
              <w:pStyle w:val="Compact"/>
            </w:pPr>
            <w:r>
              <w:t xml:space="preserve">0.007 → 0.353</w:t>
            </w:r>
          </w:p>
        </w:tc>
        <w:tc>
          <w:tcPr/>
          <w:p>
            <w:pPr>
              <w:pStyle w:val="Compact"/>
            </w:pPr>
            <w:r>
              <w:t xml:space="preserve">13.3%</w:t>
            </w:r>
          </w:p>
        </w:tc>
        <w:tc>
          <w:tcPr/>
          <w:p>
            <w:pPr>
              <w:pStyle w:val="Compact"/>
            </w:pPr>
            <w:r>
              <w:t xml:space="preserve">52</w:t>
            </w:r>
          </w:p>
        </w:tc>
      </w:tr>
      <w:tr>
        <w:tc>
          <w:tcPr/>
          <w:p>
            <w:pPr>
              <w:pStyle w:val="Compact"/>
            </w:pPr>
            <w:r>
              <w:rPr>
                <w:b/>
                <w:bCs/>
              </w:rPr>
              <w:t xml:space="preserve">all</w:t>
            </w:r>
          </w:p>
        </w:tc>
        <w:tc>
          <w:tcPr/>
          <w:p>
            <w:pPr>
              <w:pStyle w:val="Compact"/>
            </w:pPr>
            <w:r>
              <w:rPr>
                <w:b/>
                <w:bCs/>
              </w:rPr>
              <w:t xml:space="preserve">0.002 → 0.289</w:t>
            </w:r>
          </w:p>
        </w:tc>
        <w:tc>
          <w:tcPr/>
          <w:p>
            <w:pPr>
              <w:pStyle w:val="Compact"/>
            </w:pPr>
            <w:r>
              <w:rPr>
                <w:b/>
                <w:bCs/>
              </w:rPr>
              <w:t xml:space="preserve">10.2%</w:t>
            </w:r>
          </w:p>
        </w:tc>
        <w:tc>
          <w:tcPr/>
          <w:p>
            <w:pPr>
              <w:pStyle w:val="Compact"/>
            </w:pPr>
            <w:r>
              <w:rPr>
                <w:b/>
                <w:bCs/>
              </w:rPr>
              <w:t xml:space="preserve">130</w:t>
            </w:r>
          </w:p>
        </w:tc>
      </w:tr>
    </w:tbl>
    <w:p>
      <w:pPr>
        <w:pStyle w:val="BodyText"/>
      </w:pPr>
      <w:r>
        <w:rPr>
          <w:b/>
          <w:bCs/>
        </w:rPr>
        <w:t xml:space="preserve">One generated image in ten contains at least one unlabeled aircraft that the model invented.</w:t>
      </w:r>
      <w:r>
        <w:t xml:space="preserve"> </w:t>
      </w:r>
      <w:r>
        <w:t xml:space="preserve">The distribution is heavy-tailed: 27 of the 46 affected images gained a single object, but four gained 11–17, the worst cases being skies repainted into full formations (Fig. 7). Across arms the rate tracks the amount of repainting — LPIPS 0.244/0.262/0.272 against hallucination rates of 4.7%/12.7%/13.3% — consistent with a larger repainted area offering more opportunity to invent objects.</w:t>
      </w:r>
    </w:p>
    <w:p>
      <w:pPr>
        <w:pStyle w:val="BodyText"/>
      </w:pPr>
      <w:r>
        <w:t xml:space="preserve">Two checks support reading the increase as genuine hallucination rather than detector noise. First, the flagged regions were inspected visually (Fig. 7): the boxes sit on clearly rendered aircraft, not on texture artifacts. This matters because the source images are part of the detector’s training data, so the near-zero source-side count is partly memorization and would otherwise inflate the delta. Second, the prompts (</w:t>
      </w:r>
      <w:r>
        <w:t xml:space="preserve">“aviation photography”</w:t>
      </w:r>
      <w:r>
        <w:t xml:space="preserve">,</w:t>
      </w:r>
      <w:r>
        <w:t xml:space="preserve"> </w:t>
      </w:r>
      <w:r>
        <w:t xml:space="preserve">“military airbase”</w:t>
      </w:r>
      <w:r>
        <w:t xml:space="preserve">) plausibly invite the very objects the negative prompt forbids — the failure has an obvious mechanism.</w:t>
      </w:r>
    </w:p>
    <w:p>
      <w:pPr>
        <w:pStyle w:val="BodyText"/>
      </w:pPr>
      <w:r>
        <w:t xml:space="preserve">The consequence for training is specific: an unlabeled aircraft teaches the detector that an aircraft is background, which suppresses exactly the recall that Sect. 3.3 identified as the dominant error mode. Because all three arms share one generator, prompts, and gates, this noise is matched across arms and cannot manufacture the differential result of Sect. 6.2 — but it plausibly caps the absolute gain available to every inpainting arm (Sect. 7).</w:t>
      </w:r>
    </w:p>
    <w:bookmarkEnd w:id="19"/>
    <w:bookmarkEnd w:id="20"/>
    <w:bookmarkStart w:id="24" w:name="experimental-setup"/>
    <w:p>
      <w:pPr>
        <w:pStyle w:val="Heading2"/>
      </w:pPr>
      <w:r>
        <w:t xml:space="preserve">5 Experimental Setup</w:t>
      </w:r>
    </w:p>
    <w:bookmarkStart w:id="21" w:name="variants"/>
    <w:p>
      <w:pPr>
        <w:pStyle w:val="Heading3"/>
      </w:pPr>
      <w:r>
        <w:t xml:space="preserve">5.1 Variants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synthetic</w:t>
            </w:r>
          </w:p>
        </w:tc>
        <w:tc>
          <w:tcPr/>
          <w:p>
            <w:pPr>
              <w:pStyle w:val="Compact"/>
            </w:pPr>
            <w:r>
              <w:t xml:space="preserve">description</w:t>
            </w:r>
          </w:p>
        </w:tc>
      </w:tr>
      <w:tr>
        <w:tc>
          <w:tcPr/>
          <w:p>
            <w:pPr>
              <w:pStyle w:val="Compact"/>
            </w:pPr>
            <w:r>
              <w:rPr>
                <w:rStyle w:val="VerbatimChar"/>
              </w:rPr>
              <w:t xml:space="preserve">real_only</w:t>
            </w:r>
          </w:p>
        </w:tc>
        <w:tc>
          <w:tcPr/>
          <w:p>
            <w:pPr>
              <w:pStyle w:val="Compact"/>
            </w:pPr>
            <w:r>
              <w:t xml:space="preserve">0</w:t>
            </w:r>
          </w:p>
        </w:tc>
        <w:tc>
          <w:tcPr/>
          <w:p>
            <w:pPr>
              <w:pStyle w:val="Compact"/>
            </w:pPr>
            <w:r>
              <w:t xml:space="preserve">Ultralytics augmentation disabled (reference lower bound)</w:t>
            </w:r>
          </w:p>
        </w:tc>
      </w:tr>
      <w:tr>
        <w:tc>
          <w:tcPr/>
          <w:p>
            <w:pPr>
              <w:pStyle w:val="Compact"/>
            </w:pPr>
            <w:r>
              <w:rPr>
                <w:rStyle w:val="VerbatimChar"/>
              </w:rPr>
              <w:t xml:space="preserve">basic_aug</w:t>
            </w:r>
          </w:p>
        </w:tc>
        <w:tc>
          <w:tcPr/>
          <w:p>
            <w:pPr>
              <w:pStyle w:val="Compact"/>
            </w:pPr>
            <w:r>
              <w:t xml:space="preserve">0</w:t>
            </w:r>
          </w:p>
        </w:tc>
        <w:tc>
          <w:tcPr/>
          <w:p>
            <w:pPr>
              <w:pStyle w:val="Compact"/>
            </w:pPr>
            <w:r>
              <w:t xml:space="preserve">Ultralytics default augmentation (</w:t>
            </w:r>
            <w:r>
              <w:rPr>
                <w:b/>
                <w:bCs/>
              </w:rPr>
              <w:t xml:space="preserve">primary baseline</w:t>
            </w:r>
            <w:r>
              <w:t xml:space="preserve">)</w:t>
            </w:r>
          </w:p>
        </w:tc>
      </w:tr>
      <w:tr>
        <w:tc>
          <w:tcPr/>
          <w:p>
            <w:pPr>
              <w:pStyle w:val="Compact"/>
            </w:pPr>
            <w:r>
              <w:rPr>
                <w:rStyle w:val="VerbatimChar"/>
              </w:rPr>
              <w:t xml:space="preserve">aug_oversample</w:t>
            </w:r>
          </w:p>
        </w:tc>
        <w:tc>
          <w:tcPr/>
          <w:p>
            <w:pPr>
              <w:pStyle w:val="Compact"/>
            </w:pPr>
            <w:r>
              <w:t xml:space="preserve">1,000</w:t>
            </w:r>
          </w:p>
        </w:tc>
        <w:tc>
          <w:tcPr/>
          <w:p>
            <w:pPr>
              <w:pStyle w:val="Compact"/>
            </w:pPr>
            <w:r>
              <w:t xml:space="preserve">tail oversampling (duplication) with the selective plan’s budget</w:t>
            </w:r>
          </w:p>
        </w:tc>
      </w:tr>
      <w:tr>
        <w:tc>
          <w:tcPr/>
          <w:p>
            <w:pPr>
              <w:pStyle w:val="Compact"/>
            </w:pPr>
            <w:r>
              <w:rPr>
                <w:rStyle w:val="VerbatimChar"/>
              </w:rPr>
              <w:t xml:space="preserve">aug_rfs</w:t>
            </w:r>
          </w:p>
        </w:tc>
        <w:tc>
          <w:tcPr/>
          <w:p>
            <w:pPr>
              <w:pStyle w:val="Compact"/>
            </w:pPr>
            <w:r>
              <w:t xml:space="preserve">0</w:t>
            </w:r>
          </w:p>
        </w:tc>
        <w:tc>
          <w:tcPr/>
          <w:p>
            <w:pPr>
              <w:pStyle w:val="Compact"/>
            </w:pPr>
            <w:r>
              <w:t xml:space="preserve">repeat-factor sampling, t = 0.1</w:t>
            </w:r>
          </w:p>
        </w:tc>
      </w:tr>
      <w:tr>
        <w:tc>
          <w:tcPr/>
          <w:p>
            <w:pPr>
              <w:pStyle w:val="Compact"/>
            </w:pPr>
            <w:r>
              <w:rPr>
                <w:rStyle w:val="VerbatimChar"/>
              </w:rPr>
              <w:t xml:space="preserve">aug_copy_paste</w:t>
            </w:r>
          </w:p>
        </w:tc>
        <w:tc>
          <w:tcPr/>
          <w:p>
            <w:pPr>
              <w:pStyle w:val="Compact"/>
            </w:pPr>
            <w:r>
              <w:t xml:space="preserve">1,000</w:t>
            </w:r>
          </w:p>
        </w:tc>
        <w:tc>
          <w:tcPr/>
          <w:p>
            <w:pPr>
              <w:pStyle w:val="Compact"/>
            </w:pPr>
            <w:r>
              <w:t xml:space="preserve">tail copy-paste with scale jitter and IoU-constrained placement</w:t>
            </w:r>
          </w:p>
        </w:tc>
      </w:tr>
      <w:tr>
        <w:tc>
          <w:tcPr/>
          <w:p>
            <w:pPr>
              <w:pStyle w:val="Compact"/>
            </w:pPr>
            <w:r>
              <w:rPr>
                <w:rStyle w:val="VerbatimChar"/>
              </w:rPr>
              <w:t xml:space="preserve">aug_uniform_inpaint</w:t>
            </w:r>
          </w:p>
        </w:tc>
        <w:tc>
          <w:tcPr/>
          <w:p>
            <w:pPr>
              <w:pStyle w:val="Compact"/>
            </w:pPr>
            <w:r>
              <w:t xml:space="preserve">1,000</w:t>
            </w:r>
          </w:p>
        </w:tc>
        <w:tc>
          <w:tcPr/>
          <w:p>
            <w:pPr>
              <w:pStyle w:val="Compact"/>
            </w:pPr>
            <w:r>
              <w:t xml:space="preserve">Sect. 4.3 uniform-tail</w:t>
            </w:r>
          </w:p>
        </w:tc>
      </w:tr>
      <w:tr>
        <w:tc>
          <w:tcPr/>
          <w:p>
            <w:pPr>
              <w:pStyle w:val="Compact"/>
            </w:pPr>
            <w:r>
              <w:rPr>
                <w:rStyle w:val="VerbatimChar"/>
              </w:rPr>
              <w:t xml:space="preserve">aug_selective_inpaint</w:t>
            </w:r>
          </w:p>
        </w:tc>
        <w:tc>
          <w:tcPr/>
          <w:p>
            <w:pPr>
              <w:pStyle w:val="Compact"/>
            </w:pPr>
            <w:r>
              <w:t xml:space="preserve">1,000</w:t>
            </w:r>
          </w:p>
        </w:tc>
        <w:tc>
          <w:tcPr/>
          <w:p>
            <w:pPr>
              <w:pStyle w:val="Compact"/>
            </w:pPr>
            <w:r>
              <w:t xml:space="preserve">Sect. 4.3 selective-tail</w:t>
            </w:r>
          </w:p>
        </w:tc>
      </w:tr>
      <w:tr>
        <w:tc>
          <w:tcPr/>
          <w:p>
            <w:pPr>
              <w:pStyle w:val="Compact"/>
            </w:pPr>
            <w:r>
              <w:rPr>
                <w:rStyle w:val="VerbatimChar"/>
              </w:rPr>
              <w:t xml:space="preserve">aug_weakness_inpaint</w:t>
            </w:r>
          </w:p>
        </w:tc>
        <w:tc>
          <w:tcPr/>
          <w:p>
            <w:pPr>
              <w:pStyle w:val="Compact"/>
            </w:pPr>
            <w:r>
              <w:t xml:space="preserve">1,000</w:t>
            </w:r>
          </w:p>
        </w:tc>
        <w:tc>
          <w:tcPr/>
          <w:p>
            <w:pPr>
              <w:pStyle w:val="Compact"/>
            </w:pPr>
            <w:r>
              <w:t xml:space="preserve">Sect. 4.3 weakness</w:t>
            </w:r>
          </w:p>
        </w:tc>
      </w:tr>
    </w:tbl>
    <w:p>
      <w:pPr>
        <w:pStyle w:val="BodyText"/>
      </w:pPr>
      <w:r>
        <w:t xml:space="preserve">All variants except</w:t>
      </w:r>
      <w:r>
        <w:t xml:space="preserve"> </w:t>
      </w:r>
      <w:r>
        <w:rPr>
          <w:rStyle w:val="VerbatimChar"/>
        </w:rPr>
        <w:t xml:space="preserve">real_only</w:t>
      </w:r>
      <w:r>
        <w:t xml:space="preserve"> </w:t>
      </w:r>
      <w:r>
        <w:t xml:space="preserve">train on top of the default-augmentation baseline, following the marginal-gain reporting practice of [X-Paste / Gen2Det, TODO cite]. Synthetic images are added to the train split only.</w:t>
      </w:r>
    </w:p>
    <w:bookmarkEnd w:id="21"/>
    <w:bookmarkStart w:id="22" w:name="training-and-evaluation"/>
    <w:p>
      <w:pPr>
        <w:pStyle w:val="Heading3"/>
      </w:pPr>
      <w:r>
        <w:t xml:space="preserve">5.2 Training and evaluation</w:t>
      </w:r>
    </w:p>
    <w:p>
      <w:pPr>
        <w:pStyle w:val="FirstParagraph"/>
      </w:pPr>
      <w:r>
        <w:t xml:space="preserve">YOLOv8n [17], 640 px, 50 epochs, patience 15, auto batch. Baselines</w:t>
      </w:r>
      <w:r>
        <w:t xml:space="preserve"> </w:t>
      </w:r>
      <w:r>
        <w:rPr>
          <w:rStyle w:val="VerbatimChar"/>
        </w:rPr>
        <w:t xml:space="preserve">real_only</w:t>
      </w:r>
      <w:r>
        <w:t xml:space="preserve"> </w:t>
      </w:r>
      <w:r>
        <w:t xml:space="preserve">and</w:t>
      </w:r>
      <w:r>
        <w:t xml:space="preserve"> </w:t>
      </w:r>
      <w:r>
        <w:rPr>
          <w:rStyle w:val="VerbatimChar"/>
        </w:rPr>
        <w:t xml:space="preserve">basic_aug</w:t>
      </w:r>
      <w:r>
        <w:t xml:space="preserve"> </w:t>
      </w:r>
      <w:r>
        <w:t xml:space="preserve">were trained with seeds 42/43/44 and are reported as seed means; augmentation variants were trained with seed 42. Planning signals (weakness scores, class ranking) use the</w:t>
      </w:r>
      <w:r>
        <w:t xml:space="preserve"> </w:t>
      </w:r>
      <w:r>
        <w:rPr>
          <w:b/>
          <w:bCs/>
        </w:rPr>
        <w:t xml:space="preserve">val</w:t>
      </w:r>
      <w:r>
        <w:t xml:space="preserve"> </w:t>
      </w:r>
      <w:r>
        <w:t xml:space="preserve">split only; all reported results are on the held-out</w:t>
      </w:r>
      <w:r>
        <w:t xml:space="preserve"> </w:t>
      </w:r>
      <w:r>
        <w:rPr>
          <w:b/>
          <w:bCs/>
        </w:rPr>
        <w:t xml:space="preserve">test</w:t>
      </w:r>
      <w:r>
        <w:t xml:space="preserve"> </w:t>
      </w:r>
      <w:r>
        <w:t xml:space="preserve">split. Total training compute for the augmentation arms was 9.8 h on a single NVIDIA L4; synthetic generation was 3 × ~3.5 h on a T4.</w:t>
      </w:r>
    </w:p>
    <w:bookmarkEnd w:id="22"/>
    <w:bookmarkStart w:id="23" w:name="statistics"/>
    <w:p>
      <w:pPr>
        <w:pStyle w:val="Heading3"/>
      </w:pPr>
      <w:r>
        <w:t xml:space="preserve">5.3 Statistics</w:t>
      </w:r>
    </w:p>
    <w:p>
      <w:pPr>
        <w:pStyle w:val="FirstParagraph"/>
      </w:pPr>
      <w:r>
        <w:t xml:space="preserve">We report scope-restricted macro mAP50-95 over three class sets —</w:t>
      </w:r>
      <w:r>
        <w:t xml:space="preserve"> </w:t>
      </w:r>
      <w:r>
        <w:rPr>
          <w:i/>
          <w:iCs/>
        </w:rPr>
        <w:t xml:space="preserve">all</w:t>
      </w:r>
      <w:r>
        <w:t xml:space="preserve"> </w:t>
      </w:r>
      <w:r>
        <w:t xml:space="preserve">(43),</w:t>
      </w:r>
      <w:r>
        <w:t xml:space="preserve"> </w:t>
      </w:r>
      <w:r>
        <w:rPr>
          <w:i/>
          <w:iCs/>
        </w:rPr>
        <w:t xml:space="preserve">tail</w:t>
      </w:r>
      <w:r>
        <w:t xml:space="preserve"> </w:t>
      </w:r>
      <w:r>
        <w:t xml:space="preserve">(13, frequency-defined),</w:t>
      </w:r>
      <w:r>
        <w:t xml:space="preserve"> </w:t>
      </w:r>
      <w:r>
        <w:rPr>
          <w:i/>
          <w:iCs/>
        </w:rPr>
        <w:t xml:space="preserve">weak</w:t>
      </w:r>
      <w:r>
        <w:t xml:space="preserve"> </w:t>
      </w:r>
      <w:r>
        <w:t xml:space="preserve">(13, weakness-plan-defined) — and Wilcoxon signed-rank tests [18] on class-paired per-class AP (seed-averaged), the appropriate paired test given per-class difficulty heterogeneity. Realized synthetic counts equal the plan budget for all arms (1,000/1,000 accepted), with acceptance rates 81.8% (uniform), 80.8% (selective), 79.4% (weakness) over 1,223–1,260 attempts.</w:t>
      </w:r>
    </w:p>
    <w:p>
      <w:pPr>
        <w:pStyle w:val="BodyText"/>
      </w:pPr>
      <w:r>
        <w:rPr>
          <w:b/>
          <w:bCs/>
        </w:rPr>
        <w:t xml:space="preserve">Generation-quality metrics.</w:t>
      </w:r>
      <w:r>
        <w:t xml:space="preserve"> </w:t>
      </w:r>
      <w:r>
        <w:t xml:space="preserve">Table 3 scores the accepted images: CLIPScore (CLIP ViT-L/14, 100 × cosine between image and its generation prompt; 200-image sample per arm), LPIPS between source and generated image (degree of background change), and class-conditional FID against real images of the same classes.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arm</w:t>
            </w:r>
          </w:p>
        </w:tc>
        <w:tc>
          <w:tcPr/>
          <w:p>
            <w:pPr>
              <w:pStyle w:val="Compact"/>
            </w:pPr>
            <w:r>
              <w:t xml:space="preserve">acceptance</w:t>
            </w:r>
          </w:p>
        </w:tc>
        <w:tc>
          <w:tcPr/>
          <w:p>
            <w:pPr>
              <w:pStyle w:val="Compact"/>
            </w:pPr>
            <w:r>
              <w:t xml:space="preserve">CLIPScore ↑</w:t>
            </w:r>
          </w:p>
        </w:tc>
        <w:tc>
          <w:tcPr/>
          <w:p>
            <w:pPr>
              <w:pStyle w:val="Compact"/>
            </w:pPr>
            <w:r>
              <w:t xml:space="preserve">LPIPS (src↔gen)</w:t>
            </w:r>
          </w:p>
        </w:tc>
        <w:tc>
          <w:tcPr/>
          <w:p>
            <w:pPr>
              <w:pStyle w:val="Compact"/>
            </w:pPr>
            <w:r>
              <w:t xml:space="preserve">FID ↓ (overall)</w:t>
            </w:r>
          </w:p>
        </w:tc>
        <w:tc>
          <w:tcPr/>
          <w:p>
            <w:pPr>
              <w:pStyle w:val="Compact"/>
            </w:pPr>
            <w:r>
              <w:t xml:space="preserve">FID per-class median</w:t>
            </w:r>
          </w:p>
        </w:tc>
      </w:tr>
      <w:tr>
        <w:tc>
          <w:tcPr/>
          <w:p>
            <w:pPr>
              <w:pStyle w:val="Compact"/>
            </w:pPr>
            <w:r>
              <w:t xml:space="preserve">uniform-tail</w:t>
            </w:r>
          </w:p>
        </w:tc>
        <w:tc>
          <w:tcPr/>
          <w:p>
            <w:pPr>
              <w:pStyle w:val="Compact"/>
            </w:pPr>
            <w:r>
              <w:t xml:space="preserve">81.8%</w:t>
            </w:r>
          </w:p>
        </w:tc>
        <w:tc>
          <w:tcPr/>
          <w:p>
            <w:pPr>
              <w:pStyle w:val="Compact"/>
            </w:pPr>
            <w:r>
              <w:t xml:space="preserve">19.6 ± 3.3</w:t>
            </w:r>
          </w:p>
        </w:tc>
        <w:tc>
          <w:tcPr/>
          <w:p>
            <w:pPr>
              <w:pStyle w:val="Compact"/>
            </w:pPr>
            <w:r>
              <w:t xml:space="preserve">0.262</w:t>
            </w:r>
          </w:p>
        </w:tc>
        <w:tc>
          <w:tcPr/>
          <w:p>
            <w:pPr>
              <w:pStyle w:val="Compact"/>
            </w:pPr>
            <w:r>
              <w:t xml:space="preserve">89.7</w:t>
            </w:r>
          </w:p>
        </w:tc>
        <w:tc>
          <w:tcPr/>
          <w:p>
            <w:pPr>
              <w:pStyle w:val="Compact"/>
            </w:pPr>
            <w:r>
              <w:t xml:space="preserve">83.2</w:t>
            </w:r>
          </w:p>
        </w:tc>
      </w:tr>
      <w:tr>
        <w:tc>
          <w:tcPr/>
          <w:p>
            <w:pPr>
              <w:pStyle w:val="Compact"/>
            </w:pPr>
            <w:r>
              <w:t xml:space="preserve">selective-tail</w:t>
            </w:r>
          </w:p>
        </w:tc>
        <w:tc>
          <w:tcPr/>
          <w:p>
            <w:pPr>
              <w:pStyle w:val="Compact"/>
            </w:pPr>
            <w:r>
              <w:t xml:space="preserve">80.8%</w:t>
            </w:r>
          </w:p>
        </w:tc>
        <w:tc>
          <w:tcPr/>
          <w:p>
            <w:pPr>
              <w:pStyle w:val="Compact"/>
            </w:pPr>
            <w:r>
              <w:t xml:space="preserve">19.1 ± 3.8</w:t>
            </w:r>
          </w:p>
        </w:tc>
        <w:tc>
          <w:tcPr/>
          <w:p>
            <w:pPr>
              <w:pStyle w:val="Compact"/>
            </w:pPr>
            <w:r>
              <w:t xml:space="preserve">0.244</w:t>
            </w:r>
          </w:p>
        </w:tc>
        <w:tc>
          <w:tcPr/>
          <w:p>
            <w:pPr>
              <w:pStyle w:val="Compact"/>
            </w:pPr>
            <w:r>
              <w:t xml:space="preserve">87.7</w:t>
            </w:r>
          </w:p>
        </w:tc>
        <w:tc>
          <w:tcPr/>
          <w:p>
            <w:pPr>
              <w:pStyle w:val="Compact"/>
            </w:pPr>
            <w:r>
              <w:t xml:space="preserve">91.2</w:t>
            </w:r>
          </w:p>
        </w:tc>
      </w:tr>
      <w:tr>
        <w:tc>
          <w:tcPr/>
          <w:p>
            <w:pPr>
              <w:pStyle w:val="Compact"/>
            </w:pPr>
            <w:r>
              <w:t xml:space="preserve">weakness</w:t>
            </w:r>
          </w:p>
        </w:tc>
        <w:tc>
          <w:tcPr/>
          <w:p>
            <w:pPr>
              <w:pStyle w:val="Compact"/>
            </w:pPr>
            <w:r>
              <w:t xml:space="preserve">79.4%</w:t>
            </w:r>
          </w:p>
        </w:tc>
        <w:tc>
          <w:tcPr/>
          <w:p>
            <w:pPr>
              <w:pStyle w:val="Compact"/>
            </w:pPr>
            <w:r>
              <w:t xml:space="preserve">20.2 ± 3.4</w:t>
            </w:r>
          </w:p>
        </w:tc>
        <w:tc>
          <w:tcPr/>
          <w:p>
            <w:pPr>
              <w:pStyle w:val="Compact"/>
            </w:pPr>
            <w:r>
              <w:t xml:space="preserve">0.272</w:t>
            </w:r>
          </w:p>
        </w:tc>
        <w:tc>
          <w:tcPr/>
          <w:p>
            <w:pPr>
              <w:pStyle w:val="Compact"/>
            </w:pPr>
            <w:r>
              <w:t xml:space="preserve">100.4</w:t>
            </w:r>
          </w:p>
        </w:tc>
        <w:tc>
          <w:tcPr/>
          <w:p>
            <w:pPr>
              <w:pStyle w:val="Compact"/>
            </w:pPr>
            <w:r>
              <w:t xml:space="preserve">103.7</w:t>
            </w:r>
          </w:p>
        </w:tc>
      </w:tr>
    </w:tbl>
    <w:p>
      <w:pPr>
        <w:pStyle w:val="BodyText"/>
      </w:pPr>
      <w:r>
        <w:t xml:space="preserve">Three observations. (i) CLIPScore and LPIPS are matched across arms — the generator behaves identically regardless of which classes it serves. (ii) The two same-class-set arms (uniform, selective) have near-identical overall FID (89.7 vs 87.7), a sanity check on the controlled design. (iii) The weakness arm’s FID is moderately higher (100.4): its head/medium source images contain cluttered multi-aircraft and ground scenes, so wholesale background replacement departs further from the real class distribution. Critically, the arm with the</w:t>
      </w:r>
      <w:r>
        <w:t xml:space="preserve"> </w:t>
      </w:r>
      <w:r>
        <w:rPr>
          <w:i/>
          <w:iCs/>
        </w:rPr>
        <w:t xml:space="preserve">worst</w:t>
      </w:r>
      <w:r>
        <w:t xml:space="preserve"> </w:t>
      </w:r>
      <w:r>
        <w:t xml:space="preserve">generation fidelity still produced the significant target-scope gain of Sect. 6.2 — fidelity differences run</w:t>
      </w:r>
      <w:r>
        <w:t xml:space="preserve"> </w:t>
      </w:r>
      <w:r>
        <w:rPr>
          <w:i/>
          <w:iCs/>
        </w:rPr>
        <w:t xml:space="preserve">against</w:t>
      </w:r>
      <w:r>
        <w:t xml:space="preserve"> </w:t>
      </w:r>
      <w:r>
        <w:t xml:space="preserve">the weakness arm and therefore cannot explain the dissociation. (Small-sample FID with 76–200 images per class is upward-biased; values should be read comparatively, not absolutely.)</w:t>
      </w:r>
    </w:p>
    <w:bookmarkEnd w:id="23"/>
    <w:bookmarkEnd w:id="24"/>
    <w:bookmarkStart w:id="30" w:name="results"/>
    <w:p>
      <w:pPr>
        <w:pStyle w:val="Heading2"/>
      </w:pPr>
      <w:r>
        <w:t xml:space="preserve">6 Results</w:t>
      </w:r>
    </w:p>
    <w:bookmarkStart w:id="25" w:name="main-results"/>
    <w:p>
      <w:pPr>
        <w:pStyle w:val="Heading3"/>
      </w:pPr>
      <w:r>
        <w:t xml:space="preserve">6.1 Main results</w:t>
      </w:r>
    </w:p>
    <w:p>
      <w:pPr>
        <w:pStyle w:val="FirstParagraph"/>
      </w:pPr>
      <w:r>
        <w:t xml:space="preserve">Test mAP50-95 by evaluation scope (baselines: 3-seed mean):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w:t>
            </w:r>
          </w:p>
        </w:tc>
        <w:tc>
          <w:tcPr/>
          <w:p>
            <w:pPr>
              <w:pStyle w:val="Compact"/>
            </w:pPr>
            <w:r>
              <w:t xml:space="preserve">synthetic</w:t>
            </w:r>
          </w:p>
        </w:tc>
        <w:tc>
          <w:tcPr/>
          <w:p>
            <w:pPr>
              <w:pStyle w:val="Compact"/>
            </w:pPr>
            <w:r>
              <w:t xml:space="preserve">all (43)</w:t>
            </w:r>
          </w:p>
        </w:tc>
        <w:tc>
          <w:tcPr/>
          <w:p>
            <w:pPr>
              <w:pStyle w:val="Compact"/>
            </w:pPr>
            <w:r>
              <w:t xml:space="preserve">tail (13)</w:t>
            </w:r>
          </w:p>
        </w:tc>
        <w:tc>
          <w:tcPr/>
          <w:p>
            <w:pPr>
              <w:pStyle w:val="Compact"/>
            </w:pPr>
            <w:r>
              <w:t xml:space="preserve">weak (13)</w:t>
            </w:r>
          </w:p>
        </w:tc>
      </w:tr>
      <w:tr>
        <w:tc>
          <w:tcPr/>
          <w:p>
            <w:pPr>
              <w:pStyle w:val="Compact"/>
            </w:pPr>
            <w:r>
              <w:t xml:space="preserve">real_only</w:t>
            </w:r>
          </w:p>
        </w:tc>
        <w:tc>
          <w:tcPr/>
          <w:p>
            <w:pPr>
              <w:pStyle w:val="Compact"/>
            </w:pPr>
            <w:r>
              <w:t xml:space="preserve">0</w:t>
            </w:r>
          </w:p>
        </w:tc>
        <w:tc>
          <w:tcPr/>
          <w:p>
            <w:pPr>
              <w:pStyle w:val="Compact"/>
            </w:pPr>
            <w:r>
              <w:t xml:space="preserve">0.2744</w:t>
            </w:r>
          </w:p>
        </w:tc>
        <w:tc>
          <w:tcPr/>
          <w:p>
            <w:pPr>
              <w:pStyle w:val="Compact"/>
            </w:pPr>
            <w:r>
              <w:t xml:space="preserve">0.3258</w:t>
            </w:r>
          </w:p>
        </w:tc>
        <w:tc>
          <w:tcPr/>
          <w:p>
            <w:pPr>
              <w:pStyle w:val="Compact"/>
            </w:pPr>
            <w:r>
              <w:t xml:space="preserve">0.1597</w:t>
            </w:r>
          </w:p>
        </w:tc>
      </w:tr>
      <w:tr>
        <w:tc>
          <w:tcPr/>
          <w:p>
            <w:pPr>
              <w:pStyle w:val="Compact"/>
            </w:pPr>
            <w:r>
              <w:t xml:space="preserve">basic_aug</w:t>
            </w:r>
          </w:p>
        </w:tc>
        <w:tc>
          <w:tcPr/>
          <w:p>
            <w:pPr>
              <w:pStyle w:val="Compact"/>
            </w:pPr>
            <w:r>
              <w:t xml:space="preserve">0</w:t>
            </w:r>
          </w:p>
        </w:tc>
        <w:tc>
          <w:tcPr/>
          <w:p>
            <w:pPr>
              <w:pStyle w:val="Compact"/>
            </w:pPr>
            <w:r>
              <w:t xml:space="preserve">0.5755</w:t>
            </w:r>
          </w:p>
        </w:tc>
        <w:tc>
          <w:tcPr/>
          <w:p>
            <w:pPr>
              <w:pStyle w:val="Compact"/>
            </w:pPr>
            <w:r>
              <w:t xml:space="preserve">0.6205</w:t>
            </w:r>
          </w:p>
        </w:tc>
        <w:tc>
          <w:tcPr/>
          <w:p>
            <w:pPr>
              <w:pStyle w:val="Compact"/>
            </w:pPr>
            <w:r>
              <w:t xml:space="preserve">0.4561</w:t>
            </w:r>
          </w:p>
        </w:tc>
      </w:tr>
      <w:tr>
        <w:tc>
          <w:tcPr/>
          <w:p>
            <w:pPr>
              <w:pStyle w:val="Compact"/>
            </w:pPr>
            <w:r>
              <w:t xml:space="preserve">aug_oversample</w:t>
            </w:r>
          </w:p>
        </w:tc>
        <w:tc>
          <w:tcPr/>
          <w:p>
            <w:pPr>
              <w:pStyle w:val="Compact"/>
            </w:pPr>
            <w:r>
              <w:t xml:space="preserve">1,000</w:t>
            </w:r>
          </w:p>
        </w:tc>
        <w:tc>
          <w:tcPr/>
          <w:p>
            <w:pPr>
              <w:pStyle w:val="Compact"/>
            </w:pPr>
            <w:r>
              <w:t xml:space="preserve">0.6008</w:t>
            </w:r>
          </w:p>
        </w:tc>
        <w:tc>
          <w:tcPr/>
          <w:p>
            <w:pPr>
              <w:pStyle w:val="Compact"/>
            </w:pPr>
            <w:r>
              <w:t xml:space="preserve">0.6776</w:t>
            </w:r>
          </w:p>
        </w:tc>
        <w:tc>
          <w:tcPr/>
          <w:p>
            <w:pPr>
              <w:pStyle w:val="Compact"/>
            </w:pPr>
            <w:r>
              <w:t xml:space="preserve">0.4667</w:t>
            </w:r>
          </w:p>
        </w:tc>
      </w:tr>
      <w:tr>
        <w:tc>
          <w:tcPr/>
          <w:p>
            <w:pPr>
              <w:pStyle w:val="Compact"/>
            </w:pPr>
            <w:r>
              <w:t xml:space="preserve">aug_copy_paste</w:t>
            </w:r>
          </w:p>
        </w:tc>
        <w:tc>
          <w:tcPr/>
          <w:p>
            <w:pPr>
              <w:pStyle w:val="Compact"/>
            </w:pPr>
            <w:r>
              <w:t xml:space="preserve">1,000</w:t>
            </w:r>
          </w:p>
        </w:tc>
        <w:tc>
          <w:tcPr/>
          <w:p>
            <w:pPr>
              <w:pStyle w:val="Compact"/>
            </w:pPr>
            <w:r>
              <w:t xml:space="preserve">0.5902</w:t>
            </w:r>
          </w:p>
        </w:tc>
        <w:tc>
          <w:tcPr/>
          <w:p>
            <w:pPr>
              <w:pStyle w:val="Compact"/>
            </w:pPr>
            <w:r>
              <w:t xml:space="preserve">0.6588</w:t>
            </w:r>
          </w:p>
        </w:tc>
        <w:tc>
          <w:tcPr/>
          <w:p>
            <w:pPr>
              <w:pStyle w:val="Compact"/>
            </w:pPr>
            <w:r>
              <w:t xml:space="preserve">0.4513</w:t>
            </w:r>
          </w:p>
        </w:tc>
      </w:tr>
      <w:tr>
        <w:tc>
          <w:tcPr/>
          <w:p>
            <w:pPr>
              <w:pStyle w:val="Compact"/>
            </w:pPr>
            <w:r>
              <w:t xml:space="preserve">aug_uniform_inpaint</w:t>
            </w:r>
          </w:p>
        </w:tc>
        <w:tc>
          <w:tcPr/>
          <w:p>
            <w:pPr>
              <w:pStyle w:val="Compact"/>
            </w:pPr>
            <w:r>
              <w:t xml:space="preserve">1,000</w:t>
            </w:r>
          </w:p>
        </w:tc>
        <w:tc>
          <w:tcPr/>
          <w:p>
            <w:pPr>
              <w:pStyle w:val="Compact"/>
            </w:pPr>
            <w:r>
              <w:t xml:space="preserve">0.5969</w:t>
            </w:r>
          </w:p>
        </w:tc>
        <w:tc>
          <w:tcPr/>
          <w:p>
            <w:pPr>
              <w:pStyle w:val="Compact"/>
            </w:pPr>
            <w:r>
              <w:t xml:space="preserve">0.6737</w:t>
            </w:r>
          </w:p>
        </w:tc>
        <w:tc>
          <w:tcPr/>
          <w:p>
            <w:pPr>
              <w:pStyle w:val="Compact"/>
            </w:pPr>
            <w:r>
              <w:t xml:space="preserve">0.4756</w:t>
            </w:r>
          </w:p>
        </w:tc>
      </w:tr>
      <w:tr>
        <w:tc>
          <w:tcPr/>
          <w:p>
            <w:pPr>
              <w:pStyle w:val="Compact"/>
            </w:pPr>
            <w:r>
              <w:t xml:space="preserve">aug_selective_inpaint</w:t>
            </w:r>
          </w:p>
        </w:tc>
        <w:tc>
          <w:tcPr/>
          <w:p>
            <w:pPr>
              <w:pStyle w:val="Compact"/>
            </w:pPr>
            <w:r>
              <w:t xml:space="preserve">1,000</w:t>
            </w:r>
          </w:p>
        </w:tc>
        <w:tc>
          <w:tcPr/>
          <w:p>
            <w:pPr>
              <w:pStyle w:val="Compact"/>
            </w:pPr>
            <w:r>
              <w:t xml:space="preserve">0.6073</w:t>
            </w:r>
          </w:p>
        </w:tc>
        <w:tc>
          <w:tcPr/>
          <w:p>
            <w:pPr>
              <w:pStyle w:val="Compact"/>
            </w:pPr>
            <w:r>
              <w:t xml:space="preserve">0.6767</w:t>
            </w:r>
          </w:p>
        </w:tc>
        <w:tc>
          <w:tcPr/>
          <w:p>
            <w:pPr>
              <w:pStyle w:val="Compact"/>
            </w:pPr>
            <w:r>
              <w:t xml:space="preserve">0.4742</w:t>
            </w:r>
          </w:p>
        </w:tc>
      </w:tr>
      <w:tr>
        <w:tc>
          <w:tcPr/>
          <w:p>
            <w:pPr>
              <w:pStyle w:val="Compact"/>
            </w:pPr>
            <w:r>
              <w:t xml:space="preserve">aug_weakness_inpaint</w:t>
            </w:r>
          </w:p>
        </w:tc>
        <w:tc>
          <w:tcPr/>
          <w:p>
            <w:pPr>
              <w:pStyle w:val="Compact"/>
            </w:pPr>
            <w:r>
              <w:t xml:space="preserve">1,000</w:t>
            </w:r>
          </w:p>
        </w:tc>
        <w:tc>
          <w:tcPr/>
          <w:p>
            <w:pPr>
              <w:pStyle w:val="Compact"/>
            </w:pPr>
            <w:r>
              <w:t xml:space="preserve">0.5938</w:t>
            </w:r>
          </w:p>
        </w:tc>
        <w:tc>
          <w:tcPr/>
          <w:p>
            <w:pPr>
              <w:pStyle w:val="Compact"/>
            </w:pPr>
            <w:r>
              <w:t xml:space="preserve">0.6370</w:t>
            </w:r>
          </w:p>
        </w:tc>
        <w:tc>
          <w:tcPr/>
          <w:p>
            <w:pPr>
              <w:pStyle w:val="Compact"/>
            </w:pPr>
            <w:r>
              <w:rPr>
                <w:b/>
                <w:bCs/>
              </w:rPr>
              <w:t xml:space="preserve">0.4932</w:t>
            </w:r>
          </w:p>
        </w:tc>
      </w:tr>
      <w:tr>
        <w:tc>
          <w:tcPr/>
          <w:p>
            <w:pPr>
              <w:pStyle w:val="Compact"/>
            </w:pPr>
            <w:r>
              <w:t xml:space="preserve">aug_rfs</w:t>
            </w:r>
          </w:p>
        </w:tc>
        <w:tc>
          <w:tcPr/>
          <w:p>
            <w:pPr>
              <w:pStyle w:val="Compact"/>
            </w:pPr>
            <w:r>
              <w:t xml:space="preserve">0</w:t>
            </w:r>
          </w:p>
        </w:tc>
        <w:tc>
          <w:tcPr/>
          <w:p>
            <w:pPr>
              <w:pStyle w:val="Compact"/>
            </w:pPr>
            <w:r>
              <w:rPr>
                <w:b/>
                <w:bCs/>
              </w:rPr>
              <w:t xml:space="preserve">0.6576</w:t>
            </w:r>
          </w:p>
        </w:tc>
        <w:tc>
          <w:tcPr/>
          <w:p>
            <w:pPr>
              <w:pStyle w:val="Compact"/>
            </w:pPr>
            <w:r>
              <w:rPr>
                <w:b/>
                <w:bCs/>
              </w:rPr>
              <w:t xml:space="preserve">0.7116</w:t>
            </w:r>
          </w:p>
        </w:tc>
        <w:tc>
          <w:tcPr/>
          <w:p>
            <w:pPr>
              <w:pStyle w:val="Compact"/>
            </w:pPr>
            <w:r>
              <w:rPr>
                <w:b/>
                <w:bCs/>
              </w:rPr>
              <w:t xml:space="preserve">0.5694</w:t>
            </w:r>
          </w:p>
        </w:tc>
      </w:tr>
    </w:tbl>
    <w:bookmarkEnd w:id="25"/>
    <w:bookmarkStart w:id="26" w:name="X03f408a381a80ccbf77e13d64300df0b2a9f398"/>
    <w:p>
      <w:pPr>
        <w:pStyle w:val="Heading3"/>
      </w:pPr>
      <w:r>
        <w:t xml:space="preserve">6.2 Double dissociation: the allocation signal decides where gains land</w:t>
      </w:r>
    </w:p>
    <w:p>
      <w:pPr>
        <w:pStyle w:val="FirstParagraph"/>
      </w:pPr>
      <w:r>
        <w:t xml:space="preserve">Wilcoxon signed-rank vs. </w:t>
      </w:r>
      <w:r>
        <w:rPr>
          <w:rStyle w:val="VerbatimChar"/>
        </w:rPr>
        <w:t xml:space="preserve">basic_aug</w:t>
      </w:r>
      <w:r>
        <w:t xml:space="preserve"> </w:t>
      </w:r>
      <w:r>
        <w:t xml:space="preserve">on class-paired mAP50-95 (Fig.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tail scope (n=13)</w:t>
            </w:r>
          </w:p>
        </w:tc>
        <w:tc>
          <w:tcPr/>
          <w:p>
            <w:pPr>
              <w:pStyle w:val="Compact"/>
            </w:pPr>
            <w:r>
              <w:t xml:space="preserve">weak scope (n=13)</w:t>
            </w:r>
          </w:p>
        </w:tc>
      </w:tr>
      <w:tr>
        <w:tc>
          <w:tcPr/>
          <w:p>
            <w:pPr>
              <w:pStyle w:val="Compact"/>
            </w:pPr>
            <w:r>
              <w:t xml:space="preserve">selective-tail</w:t>
            </w:r>
          </w:p>
        </w:tc>
        <w:tc>
          <w:tcPr/>
          <w:p>
            <w:pPr>
              <w:pStyle w:val="Compact"/>
            </w:pPr>
            <w:r>
              <w:rPr>
                <w:b/>
                <w:bCs/>
              </w:rPr>
              <w:t xml:space="preserve">+0.0562, p = 0.0017</w:t>
            </w:r>
          </w:p>
        </w:tc>
        <w:tc>
          <w:tcPr/>
          <w:p>
            <w:pPr>
              <w:pStyle w:val="Compact"/>
            </w:pPr>
            <w:r>
              <w:t xml:space="preserve">+0.0181, p = 0.273</w:t>
            </w:r>
          </w:p>
        </w:tc>
      </w:tr>
      <w:tr>
        <w:tc>
          <w:tcPr/>
          <w:p>
            <w:pPr>
              <w:pStyle w:val="Compact"/>
            </w:pPr>
            <w:r>
              <w:t xml:space="preserve">weakness</w:t>
            </w:r>
          </w:p>
        </w:tc>
        <w:tc>
          <w:tcPr/>
          <w:p>
            <w:pPr>
              <w:pStyle w:val="Compact"/>
            </w:pPr>
            <w:r>
              <w:t xml:space="preserve">+0.0165, p = 0.273</w:t>
            </w:r>
          </w:p>
        </w:tc>
        <w:tc>
          <w:tcPr/>
          <w:p>
            <w:pPr>
              <w:pStyle w:val="Compact"/>
            </w:pPr>
            <w:r>
              <w:rPr>
                <w:b/>
                <w:bCs/>
              </w:rPr>
              <w:t xml:space="preserve">+0.0372, p = 0.0398</w:t>
            </w:r>
          </w:p>
        </w:tc>
      </w:tr>
    </w:tbl>
    <w:p>
      <w:pPr>
        <w:pStyle w:val="BodyText"/>
      </w:pPr>
      <w:r>
        <w:t xml:space="preserve">Each policy produces a significant improvement</w:t>
      </w:r>
      <w:r>
        <w:t xml:space="preserve"> </w:t>
      </w:r>
      <w:r>
        <w:rPr>
          <w:i/>
          <w:iCs/>
        </w:rPr>
        <w:t xml:space="preserve">exactly and only</w:t>
      </w:r>
      <w:r>
        <w:t xml:space="preserve"> </w:t>
      </w:r>
      <w:r>
        <w:t xml:space="preserve">on the class set it targeted. Because budget, class count, generator, and verification are identical and the two class sets are disjoint, this is a controlled demonstration that the allocation signal determines where synthetic-data gains land. Notably, the two arms are statistically indistinguishable on the</w:t>
      </w:r>
      <w:r>
        <w:t xml:space="preserve"> </w:t>
      </w:r>
      <w:r>
        <w:rPr>
          <w:i/>
          <w:iCs/>
        </w:rPr>
        <w:t xml:space="preserve">all</w:t>
      </w:r>
      <w:r>
        <w:t xml:space="preserve"> </w:t>
      </w:r>
      <w:r>
        <w:t xml:space="preserve">scope (−0.0135, p = 0.154): neither policy is globally superior — they move different classes.</w:t>
      </w:r>
    </w:p>
    <w:bookmarkEnd w:id="26"/>
    <w:bookmarkStart w:id="27" w:name="within-set-reweighting-is-a-null"/>
    <w:p>
      <w:pPr>
        <w:pStyle w:val="Heading3"/>
      </w:pPr>
      <w:r>
        <w:t xml:space="preserve">6.3 Within-set reweighting is a null</w:t>
      </w:r>
    </w:p>
    <w:p>
      <w:pPr>
        <w:pStyle w:val="FirstParagraph"/>
      </w:pPr>
      <w:r>
        <w:t xml:space="preserve">Selective-tail vs. uniform-tail on the tail scope:</w:t>
      </w:r>
      <w:r>
        <w:t xml:space="preserve"> </w:t>
      </w:r>
      <w:r>
        <w:rPr>
          <w:b/>
          <w:bCs/>
        </w:rPr>
        <w:t xml:space="preserve">+0.0030, p = 0.685</w:t>
      </w:r>
      <w:r>
        <w:t xml:space="preserve">. Weighting the same 13 classes by rarity and weakness — the natural refinement most pipelines would reach for — is indistinguishable from equal allocation. Combined with Sect. 6.2, the design guidance is:</w:t>
      </w:r>
      <w:r>
        <w:t xml:space="preserve"> </w:t>
      </w:r>
      <w:r>
        <w:rPr>
          <w:i/>
          <w:iCs/>
        </w:rPr>
        <w:t xml:space="preserve">the choice of class set dominates; shaping within the set is second-order at this budget.</w:t>
      </w:r>
    </w:p>
    <w:bookmarkEnd w:id="27"/>
    <w:bookmarkStart w:id="28" w:name="Xbf9aabdc03acac6b86eaceddde6c08024a429b6"/>
    <w:p>
      <w:pPr>
        <w:pStyle w:val="Heading3"/>
      </w:pPr>
      <w:r>
        <w:t xml:space="preserve">6.4 Where background inpainting works and where it saturates</w:t>
      </w:r>
    </w:p>
    <w:p>
      <w:pPr>
        <w:pStyle w:val="FirstParagraph"/>
      </w:pPr>
      <w:r>
        <w:t xml:space="preserve">Per-class results (Fig. 4) align with the error analysis of Sect. 3.3. In the weakness set, classes whose failure was recall-dominated improve markedly under the weakness arm (EF2000 0.520→0.606 AP50; F16 0.574→0.661; C17 0.521→0.625), while the tight fighter cluster improves less — background diversity restores detection but not fine-grained discrimination (e.g., F14 0.365→0.324). This is consistent with the mechanism: inpainting varies context, not object appearance.</w:t>
      </w:r>
    </w:p>
    <w:bookmarkEnd w:id="28"/>
    <w:bookmarkStart w:id="29" w:name="X371a9f88187f18339f655a22fbc109f3c17b5e7"/>
    <w:p>
      <w:pPr>
        <w:pStyle w:val="Heading3"/>
      </w:pPr>
      <w:r>
        <w:t xml:space="preserve">6.5 Honest baseline: resampling wins on absolute performance</w:t>
      </w:r>
    </w:p>
    <w:p>
      <w:pPr>
        <w:pStyle w:val="FirstParagraph"/>
      </w:pPr>
      <w:r>
        <w:t xml:space="preserve">RFS, at zero generation cost, is the best method in every scope (+0.082 all, +0.091 tail, +0.113 weak over basic_aug), and interestingly its largest gain is on the</w:t>
      </w:r>
      <w:r>
        <w:t xml:space="preserve"> </w:t>
      </w:r>
      <w:r>
        <w:rPr>
          <w:i/>
          <w:iCs/>
        </w:rPr>
        <w:t xml:space="preserve">weak</w:t>
      </w:r>
      <w:r>
        <w:t xml:space="preserve"> </w:t>
      </w:r>
      <w:r>
        <w:t xml:space="preserve">set — resampling by frequency still helps the confusable fighters because several of them are medium-frequency. Two readings follow. Practically: on datasets of this scale and imbalance, resampling should be exhausted before reaching for generation. Scientifically: RFS operates on a different axis (re-exposure of real images vs. creation of new context), so it does not answer the question this paper poses —</w:t>
      </w:r>
      <w:r>
        <w:t xml:space="preserve"> </w:t>
      </w:r>
      <w:r>
        <w:rPr>
          <w:i/>
          <w:iCs/>
        </w:rPr>
        <w:t xml:space="preserve">given</w:t>
      </w:r>
      <w:r>
        <w:t xml:space="preserve"> </w:t>
      </w:r>
      <w:r>
        <w:t xml:space="preserve">a generation budget, where should it go? The two are also composable, which we leave to future work (Sect. 7). We note here that the obvious suspect for the gap — label noise from hallucinated background objects — was tested and eliminated (Sect. 7); the gap survives cleaning the synthetic set.</w:t>
      </w:r>
    </w:p>
    <w:bookmarkEnd w:id="29"/>
    <w:bookmarkEnd w:id="30"/>
    <w:bookmarkStart w:id="31" w:name="discussion-and-limitations"/>
    <w:p>
      <w:pPr>
        <w:pStyle w:val="Heading2"/>
      </w:pPr>
      <w:r>
        <w:t xml:space="preserve">7 Discussion and Limitations</w:t>
      </w:r>
    </w:p>
    <w:p>
      <w:pPr>
        <w:pStyle w:val="FirstParagraph"/>
      </w:pPr>
      <w:r>
        <w:rPr>
          <w:b/>
          <w:bCs/>
        </w:rPr>
        <w:t xml:space="preserve">Scope of the frequency–difficulty inversion — measured, not assumed.</w:t>
      </w:r>
      <w:r>
        <w:t xml:space="preserve"> </w:t>
      </w:r>
      <w:r>
        <w:t xml:space="preserve">Our benchmark’s imbalance ratio is 10.5 with a minimum of 86 instances per class, so the natural question is whether the inversion survives a heavier tail. We tested it. A 103-class release of the same photographic collection (which contains 99.4% of our images plus 11,904 more, at imbalance 140.3× and a minimum of 11 train instances) was used to train an identical baseline, and per-class AP was re-measured under the same protocol. Three results follow.</w:t>
      </w:r>
    </w:p>
    <w:p>
      <w:pPr>
        <w:pStyle w:val="BodyText"/>
      </w:pPr>
      <w:r>
        <w:t xml:space="preserve">First, the inversion</w:t>
      </w:r>
      <w:r>
        <w:t xml:space="preserve"> </w:t>
      </w:r>
      <w:r>
        <w:rPr>
          <w:b/>
          <w:bCs/>
        </w:rPr>
        <w:t xml:space="preserve">reproduces</w:t>
      </w:r>
      <w:r>
        <w:t xml:space="preserve"> </w:t>
      </w:r>
      <w:r>
        <w:t xml:space="preserve">on the shared classes: restricted to the same 43 categories, the independently trained 103-class model gives r = −0.389 (p = 0.010), Spearman ρ = −0.506 (p = 0.001), closely matching the −0.375 reported in Sect. 3.2. The effect is therefore not an artifact of one training run or of our label granularity.</w:t>
      </w:r>
    </w:p>
    <w:p>
      <w:pPr>
        <w:pStyle w:val="BodyText"/>
      </w:pPr>
      <w:r>
        <w:t xml:space="preserve">Second, across all 103 classes the correlation</w:t>
      </w:r>
      <w:r>
        <w:t xml:space="preserve"> </w:t>
      </w:r>
      <w:r>
        <w:rPr>
          <w:b/>
          <w:bCs/>
        </w:rPr>
        <w:t xml:space="preserve">vanishes</w:t>
      </w:r>
      <w:r>
        <w:t xml:space="preserve"> </w:t>
      </w:r>
      <w:r>
        <w:t xml:space="preserve">rather than reversing: r = +0.044 (p = 0.661). This is not tail-estimation noise — restricting to classes with at least 50, 100, or 200 training instances gives +0.050, −0.058, and −0.108, all non-significant.</w:t>
      </w:r>
    </w:p>
    <w:p>
      <w:pPr>
        <w:pStyle w:val="BodyText"/>
      </w:pPr>
      <w:r>
        <w:t xml:space="preserve">Third, and most usefully,</w:t>
      </w:r>
      <w:r>
        <w:t xml:space="preserve"> </w:t>
      </w:r>
      <w:r>
        <w:rPr>
          <w:b/>
          <w:bCs/>
        </w:rPr>
        <w:t xml:space="preserve">in neither regime does frequency positively predict difficulty</w:t>
      </w:r>
      <w:r>
        <w:t xml:space="preserve">. The conventional assumption underlying rarity-driven allocation is contradicted at moderate imbalance and unsupported at severe imbalance. The practical prescription in Sect. 8 is therefore not</w:t>
      </w:r>
      <w:r>
        <w:t xml:space="preserve"> </w:t>
      </w:r>
      <w:r>
        <w:t xml:space="preserve">“frequency is inverted”</w:t>
      </w:r>
      <w:r>
        <w:t xml:space="preserve"> </w:t>
      </w:r>
      <w:r>
        <w:t xml:space="preserve">but the weaker and more portable</w:t>
      </w:r>
      <w:r>
        <w:t xml:space="preserve"> </w:t>
      </w:r>
      <w:r>
        <w:t xml:space="preserve">“frequency should be verified, not assumed.”</w:t>
      </w:r>
    </w:p>
    <w:p>
      <w:pPr>
        <w:pStyle w:val="BodyText"/>
      </w:pPr>
      <w:r>
        <w:t xml:space="preserve">The design consequence is a genuine limitation. What makes our comparison controlled is that the frequency tail and the measured-weak set are disjoint; on the 103-class set they overlap by 38.7% (12 of 31), so the same clean contrast is unavailable there and we do not report an allocation experiment on it. Establishing the double dissociation on a second, genuinely independent benchmark — MAR20 [19] is the natural aerospace candidate, though its overhead remote-sensing imagery gives background inpainting far less to vary — remains open.</w:t>
      </w:r>
    </w:p>
    <w:p>
      <w:pPr>
        <w:pStyle w:val="BodyText"/>
      </w:pPr>
      <w:r>
        <w:rPr>
          <w:b/>
          <w:bCs/>
        </w:rPr>
        <w:t xml:space="preserve">Single dataset and detector.</w:t>
      </w:r>
      <w:r>
        <w:t xml:space="preserve"> </w:t>
      </w:r>
      <w:r>
        <w:t xml:space="preserve">Results are demonstrated on one benchmark with YOLOv8n. The controlled-comparison design (fixed budget, disjoint sets) transfers directly to other datasets and detectors; the specific effect sizes may not.</w:t>
      </w:r>
    </w:p>
    <w:p>
      <w:pPr>
        <w:pStyle w:val="BodyText"/>
      </w:pPr>
      <w:r>
        <w:rPr>
          <w:b/>
          <w:bCs/>
        </w:rPr>
        <w:t xml:space="preserve">Verification blind spot: background hallucination — measured, removed, and found not to matter.</w:t>
      </w:r>
      <w:r>
        <w:t xml:space="preserve"> </w:t>
      </w:r>
      <w:r>
        <w:t xml:space="preserve">Sect. 4.4 measures the noise: 10.2% of generated images carry at least one unlabeled aircraft. Because all three arms share the identical generator, prompts, and gates, this noise is matched across arms and cannot produce the differential result of Sect. 6.2. Our initial reading was that it nonetheless explained the gap to RFS, since the inpainting arms inject false-negative supervision while RFS re-exposes real images and adds no synthetic pixels. We tested that reading and it did not hold.</w:t>
      </w:r>
    </w:p>
    <w:p>
      <w:pPr>
        <w:pStyle w:val="BodyText"/>
      </w:pPr>
      <w:r>
        <w:t xml:space="preserve">We built the object-level gate the audit instrument implies — reject any generated image with a confident detection outside the protected regions — applied it to the full population (removing 85, 82 and 165 images and 845 unlabeled objects for uniform, selective and weakness), and retrained all three arms on what survived.</w:t>
      </w:r>
      <w:r>
        <w:t xml:space="preserve"> </w:t>
      </w:r>
      <w:r>
        <w:rPr>
          <w:b/>
          <w:bCs/>
        </w:rPr>
        <w:t xml:space="preserve">No arm improved significantly.</w:t>
      </w:r>
      <w:r>
        <w:t xml:space="preserve"> </w:t>
      </w:r>
      <w:r>
        <w:t xml:space="preserve">Across scopes the changes are +0.005/−0.017/−0.001 mAP50-95 on the</w:t>
      </w:r>
      <w:r>
        <w:t xml:space="preserve"> </w:t>
      </w:r>
      <w:r>
        <w:rPr>
          <w:i/>
          <w:iCs/>
        </w:rPr>
        <w:t xml:space="preserve">all</w:t>
      </w:r>
      <w:r>
        <w:t xml:space="preserve"> </w:t>
      </w:r>
      <w:r>
        <w:t xml:space="preserve">scope, with every one of nine class-paired comparisons non-significant (p = 0.110 to 0.967). The gap to RFS is undiminished: the gated arms remain 0.055–0.067 below it, p &lt; 0.0001 in every case.</w:t>
      </w:r>
    </w:p>
    <w:p>
      <w:pPr>
        <w:pStyle w:val="BodyText"/>
      </w:pPr>
      <w:r>
        <w:t xml:space="preserve">Label noise from hallucination is therefore not the explanation for Sect. 6.5. The more likely account is the plainer one: on this benchmark, varying background context simply yields less than re-exposing real object appearances, and no amount of cleaning the synthetic set changes that.</w:t>
      </w:r>
    </w:p>
    <w:p>
      <w:pPr>
        <w:pStyle w:val="BodyText"/>
      </w:pPr>
      <w:r>
        <w:t xml:space="preserve">Two observations survive the null. First, the weakness arm lost 16.5% of its synthetic data with a performance change of −0.0008 (p = 0.967), which reads either as the removed images having contributed nothing, or — more interestingly — as the marginal value of synthetic images already being near zero at this budget. Distinguishing those requires a budget-scaling experiment we have not run. Second, and practically:</w:t>
      </w:r>
      <w:r>
        <w:t xml:space="preserve"> </w:t>
      </w:r>
      <w:r>
        <w:rPr>
          <w:b/>
          <w:bCs/>
        </w:rPr>
        <w:t xml:space="preserve">the gate is free.</w:t>
      </w:r>
      <w:r>
        <w:t xml:space="preserve"> </w:t>
      </w:r>
      <w:r>
        <w:t xml:space="preserve">Discarding 8–17% of the synthetic set costs nothing measurable, so a practitioner who wants unlabeled objects out of their training data can apply it without penalty — they should simply not expect a gain.</w:t>
      </w:r>
    </w:p>
    <w:p>
      <w:pPr>
        <w:pStyle w:val="BodyText"/>
      </w:pPr>
      <w:r>
        <w:t xml:space="preserve">The comparison is not budget-matched (gated arms carry 8–17% fewer images) and uses one seed. The direction is safe for the conclusion drawn: had the gated arms won despite less data the result would have been strong, and they did not. A budget-matched control, subsampling the ungated arms to the gated count, remains open.</w:t>
      </w:r>
    </w:p>
    <w:p>
      <w:pPr>
        <w:pStyle w:val="BodyText"/>
      </w:pPr>
      <w:r>
        <w:rPr>
          <w:b/>
          <w:bCs/>
        </w:rPr>
        <w:t xml:space="preserve">Absolute gains are modest.</w:t>
      </w:r>
      <w:r>
        <w:t xml:space="preserve"> </w:t>
      </w:r>
      <w:r>
        <w:t xml:space="preserve">The best allocation arm adds ~0.03–0.06 mAP50-95 on its target set from 1,000 images. Whether gains scale with budget (2×, 5×), and whether allocation policies interact with budget size, is open. Composing RFS with weakness-allocated generation is the most promising follow-up suggested by our results.</w:t>
      </w:r>
    </w:p>
    <w:bookmarkEnd w:id="31"/>
    <w:bookmarkStart w:id="32" w:name="conclusion"/>
    <w:p>
      <w:pPr>
        <w:pStyle w:val="Heading2"/>
      </w:pPr>
      <w:r>
        <w:t xml:space="preserve">8 Conclusion</w:t>
      </w:r>
    </w:p>
    <w:p>
      <w:pPr>
        <w:pStyle w:val="FirstParagraph"/>
      </w:pPr>
      <w:r>
        <w:t xml:space="preserve">On a 43-class military aircraft benchmark where class frequency is a significantly</w:t>
      </w:r>
      <w:r>
        <w:t xml:space="preserve"> </w:t>
      </w:r>
      <w:r>
        <w:rPr>
          <w:i/>
          <w:iCs/>
        </w:rPr>
        <w:t xml:space="preserve">negative</w:t>
      </w:r>
      <w:r>
        <w:t xml:space="preserve"> </w:t>
      </w:r>
      <w:r>
        <w:t xml:space="preserve">predictor of class difficulty, we isolated the class-allocation signal of a fixed diffusion-augmentation budget as the experimental variable. The result is a double dissociation — frequency-based allocation helps only the frequency tail, measured-weakness allocation helps only the measured-weak classes — while reweighting within a fixed class set does nothing. The practical prescription for synthetic augmentation pipelines is one sentence: before generating, measure a baseline, test whether frequency tracks difficulty, and point the budget at the classes that are actually weak.</w:t>
      </w:r>
    </w:p>
    <w:p>
      <w:r>
        <w:pict>
          <v:rect style="width:0;height:1.5pt" o:hralign="center" o:hrstd="t" o:hr="t"/>
        </w:pict>
      </w:r>
    </w:p>
    <w:bookmarkEnd w:id="32"/>
    <w:bookmarkStart w:id="33" w:name="declarations"/>
    <w:p>
      <w:pPr>
        <w:pStyle w:val="Heading2"/>
      </w:pPr>
      <w:r>
        <w:t xml:space="preserve">Declarations</w:t>
      </w:r>
    </w:p>
    <w:p>
      <w:pPr>
        <w:pStyle w:val="FirstParagraph"/>
      </w:pPr>
      <w:r>
        <w:rPr>
          <w:b/>
          <w:bCs/>
        </w:rPr>
        <w:t xml:space="preserve">Funding.</w:t>
      </w:r>
      <w:r>
        <w:t xml:space="preserve"> </w:t>
      </w:r>
      <w:r>
        <w:t xml:space="preserve">[TODO: state funding sources, or</w:t>
      </w:r>
      <w:r>
        <w:t xml:space="preserve"> </w:t>
      </w:r>
      <w:r>
        <w:t xml:space="preserve">“The authors received no specific funding for this work.”</w:t>
      </w:r>
      <w:r>
        <w:t xml:space="preserve">]</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Ethics approval.</w:t>
      </w:r>
      <w:r>
        <w:t xml:space="preserve"> </w:t>
      </w:r>
      <w:r>
        <w:t xml:space="preserve">Not applicable. This study used a publicly available image dataset and involved no human or animal subjects.</w:t>
      </w:r>
    </w:p>
    <w:p>
      <w:pPr>
        <w:pStyle w:val="BodyText"/>
      </w:pPr>
      <w:r>
        <w:rPr>
          <w:b/>
          <w:bCs/>
        </w:rPr>
        <w:t xml:space="preserve">Data availability.</w:t>
      </w:r>
      <w:r>
        <w:t xml:space="preserve"> </w:t>
      </w:r>
      <w:r>
        <w:t xml:space="preserve">The dataset analysed is publicly available on Kaggle (rookieengg/military-aircraft-detection-dataset-yolo-format). Source code, augmentation plans, generation logs, and per-class metrics supporting the findings are available at https://github.com/DaehyunY00/Aircraft_OD.</w:t>
      </w:r>
    </w:p>
    <w:p>
      <w:pPr>
        <w:pStyle w:val="BodyText"/>
      </w:pPr>
      <w:r>
        <w:rPr>
          <w:b/>
          <w:bCs/>
        </w:rPr>
        <w:t xml:space="preserve">Author contributions.</w:t>
      </w:r>
      <w:r>
        <w:t xml:space="preserve"> </w:t>
      </w:r>
      <w:r>
        <w:t xml:space="preserve">[TODO]</w:t>
      </w:r>
    </w:p>
    <w:bookmarkEnd w:id="33"/>
    <w:bookmarkStart w:id="34" w:name="references"/>
    <w:p>
      <w:pPr>
        <w:pStyle w:val="Heading2"/>
      </w:pPr>
      <w:r>
        <w:t xml:space="preserve">References</w:t>
      </w:r>
    </w:p>
    <w:p>
      <w:pPr>
        <w:pStyle w:val="Compact"/>
        <w:numPr>
          <w:ilvl w:val="0"/>
          <w:numId w:val="1005"/>
        </w:numPr>
      </w:pPr>
      <w:r>
        <w:t xml:space="preserve">Kim S-H, Choi H-L (2019) Convolutional neural network-based multi-target detection and recognition method for unmanned airborne surveillance systems. Int J Aeronaut Space Sci 20(4):1038–1046. https://doi.org/10.1007/s42405-019-00182-5</w:t>
      </w:r>
    </w:p>
    <w:p>
      <w:pPr>
        <w:pStyle w:val="Compact"/>
        <w:numPr>
          <w:ilvl w:val="0"/>
          <w:numId w:val="1005"/>
        </w:numPr>
      </w:pPr>
      <w:r>
        <w:t xml:space="preserve">Lee H, Cho S, Shin H, Kim S, Shim DH (2025) Small airborne object recognition with image processing for feature extraction. Int J Aeronaut Space Sci 26(1):220–234. https://doi.org/10.1007/s42405-024-00765-x</w:t>
      </w:r>
    </w:p>
    <w:p>
      <w:pPr>
        <w:pStyle w:val="Compact"/>
        <w:numPr>
          <w:ilvl w:val="0"/>
          <w:numId w:val="1005"/>
        </w:numPr>
      </w:pPr>
      <w:r>
        <w:t xml:space="preserve">Zhang H, Zhang Y, Feng Q, Zhang K (2024) Review of machine-learning approaches for object and component detection in space electro-optical satellites. Int J Aeronaut Space Sci 25(1):277–292. https://doi.org/10.1007/s42405-023-00653-w</w:t>
      </w:r>
    </w:p>
    <w:p>
      <w:pPr>
        <w:pStyle w:val="Compact"/>
        <w:numPr>
          <w:ilvl w:val="0"/>
          <w:numId w:val="1005"/>
        </w:numPr>
      </w:pPr>
      <w:r>
        <w:t xml:space="preserve">Sinha S, Ohashi H (2023) Difficulty-Net: learning to predict difficulty for long-tailed recognition. In: Proc IEEE/CVF Winter Conf Appl Comput Vis (WACV), pp 6444–6453</w:t>
      </w:r>
    </w:p>
    <w:p>
      <w:pPr>
        <w:pStyle w:val="Compact"/>
        <w:numPr>
          <w:ilvl w:val="0"/>
          <w:numId w:val="1005"/>
        </w:numPr>
      </w:pPr>
      <w:r>
        <w:t xml:space="preserve">Zhang J, Zhang Y, Xu X (2021) ObjectAug: object-level data augmentation for semantic image segmentation. In: Proc Int Joint Conf Neural Netw (IJCNN). arXiv:2102.00221</w:t>
      </w:r>
    </w:p>
    <w:p>
      <w:pPr>
        <w:pStyle w:val="Compact"/>
        <w:numPr>
          <w:ilvl w:val="0"/>
          <w:numId w:val="1005"/>
        </w:numPr>
      </w:pPr>
      <w:r>
        <w:t xml:space="preserve">Röhrich N, Gleißner J, Ibrahim AHA, Mertes S, Huber T (2026) Preserve the hard, regenerate the rest: uncertainty-guided synthetic training data augmentation with diffusion models. arXiv:2606.31603</w:t>
      </w:r>
    </w:p>
    <w:p>
      <w:pPr>
        <w:pStyle w:val="Compact"/>
        <w:numPr>
          <w:ilvl w:val="0"/>
          <w:numId w:val="1005"/>
        </w:numPr>
      </w:pPr>
      <w:r>
        <w:t xml:space="preserve">Gupta A, Dollár P, Girshick R (2019) LVIS: a dataset for large vocabulary instance segmentation. In: Proc IEEE/CVF Conf Comput Vis Pattern Recognit (CVPR), pp 5356–5364</w:t>
      </w:r>
    </w:p>
    <w:p>
      <w:pPr>
        <w:pStyle w:val="Compact"/>
        <w:numPr>
          <w:ilvl w:val="0"/>
          <w:numId w:val="1005"/>
        </w:numPr>
      </w:pPr>
      <w:r>
        <w:t xml:space="preserve">Li Y, Wang T, Kang B, Tang S, Wang C, Li J, Feng J (2020) Overcoming classifier imbalance for long-tail object detection with balanced group softmax. In: Proc CVPR, pp 10991–11000</w:t>
      </w:r>
    </w:p>
    <w:p>
      <w:pPr>
        <w:pStyle w:val="Compact"/>
        <w:numPr>
          <w:ilvl w:val="0"/>
          <w:numId w:val="1005"/>
        </w:numPr>
      </w:pPr>
      <w:r>
        <w:t xml:space="preserve">Zhao L, Teng Y, Wang L (2022) Logit normalization for long-tail object detection. arXiv:2203.17020</w:t>
      </w:r>
    </w:p>
    <w:p>
      <w:pPr>
        <w:pStyle w:val="Compact"/>
        <w:numPr>
          <w:ilvl w:val="0"/>
          <w:numId w:val="1005"/>
        </w:numPr>
      </w:pPr>
      <w:r>
        <w:t xml:space="preserve">Ghiasi G, Cui Y, Srinivas A, Qian R, Lin T-Y, Cubuk ED, Le QV, Zoph B (2021) Simple copy-paste is a strong data augmentation method for instance segmentation. In: Proc CVPR, pp 2918–2928</w:t>
      </w:r>
    </w:p>
    <w:p>
      <w:pPr>
        <w:pStyle w:val="Compact"/>
        <w:numPr>
          <w:ilvl w:val="0"/>
          <w:numId w:val="1005"/>
        </w:numPr>
      </w:pPr>
      <w:r>
        <w:t xml:space="preserve">Zhao H, Sheng D, Bao J, Chen D, Chen D, Wen F, Yuan L, Liu C, Zhou W, Chu Q, Zhang W, Yu N (2023) X-Paste: revisiting scalable copy-paste for instance segmentation using CLIP and StableDiffusion. In: Proc Int Conf Mach Learn (ICML), PMLR 202</w:t>
      </w:r>
    </w:p>
    <w:p>
      <w:pPr>
        <w:pStyle w:val="Compact"/>
        <w:numPr>
          <w:ilvl w:val="0"/>
          <w:numId w:val="1005"/>
        </w:numPr>
      </w:pPr>
      <w:r>
        <w:t xml:space="preserve">Suri S, Xiao F, Sinha A, Culatana SC, Krishnamoorthi R, Zhu C, Shrivastava A (2023) Gen2Det: generate to detect. arXiv:2312.04566</w:t>
      </w:r>
    </w:p>
    <w:p>
      <w:pPr>
        <w:pStyle w:val="Compact"/>
        <w:numPr>
          <w:ilvl w:val="0"/>
          <w:numId w:val="1005"/>
        </w:numPr>
      </w:pPr>
      <w:r>
        <w:t xml:space="preserve">Trabucco B, Doherty K, Gurinas M, Salakhutdinov R (2024) Effective data augmentation with diffusion models. In: Proc Int Conf Learn Represent (ICLR)</w:t>
      </w:r>
    </w:p>
    <w:p>
      <w:pPr>
        <w:pStyle w:val="Compact"/>
        <w:numPr>
          <w:ilvl w:val="0"/>
          <w:numId w:val="1005"/>
        </w:numPr>
      </w:pPr>
      <w:r>
        <w:t xml:space="preserve">Fokkinga EP, van Woerden JE, Eker TA, Snel SP, Hofmeijer EIS, Schutte K, Heslinga FG (2026) Class-specific diffusion models improve military object detection in a low-data domain. arXiv:2604.18076</w:t>
      </w:r>
    </w:p>
    <w:p>
      <w:pPr>
        <w:pStyle w:val="Compact"/>
        <w:numPr>
          <w:ilvl w:val="0"/>
          <w:numId w:val="1005"/>
        </w:numPr>
      </w:pPr>
      <w:r>
        <w:t xml:space="preserve">Bae S, Shin H, Kim H, Park M, Choi M-Y, Oh H (2024) Deep learning-based human detection using RGB and IR images from drones. Int J Aeronaut Space Sci 25(1):164–175. https://doi.org/10.1007/s42405-023-00632-1</w:t>
      </w:r>
    </w:p>
    <w:p>
      <w:pPr>
        <w:pStyle w:val="Compact"/>
        <w:numPr>
          <w:ilvl w:val="0"/>
          <w:numId w:val="1005"/>
        </w:numPr>
      </w:pPr>
      <w:r>
        <w:t xml:space="preserve">Rombach R, Blattmann A, Lorenz D, Esser P, Ommer B (2022) High-resolution image synthesis with latent diffusion models. In: Proc CVPR, pp 10684–10695</w:t>
      </w:r>
    </w:p>
    <w:p>
      <w:pPr>
        <w:pStyle w:val="Compact"/>
        <w:numPr>
          <w:ilvl w:val="0"/>
          <w:numId w:val="1005"/>
        </w:numPr>
      </w:pPr>
      <w:r>
        <w:t xml:space="preserve">Jocher G, Chaurasia A, Qiu J (2023) Ultralytics YOLOv8. https://github.com/ultralytics/ultralytics</w:t>
      </w:r>
    </w:p>
    <w:p>
      <w:pPr>
        <w:pStyle w:val="Compact"/>
        <w:numPr>
          <w:ilvl w:val="0"/>
          <w:numId w:val="1005"/>
        </w:numPr>
      </w:pPr>
      <w:r>
        <w:t xml:space="preserve">Wilcoxon F (1945) Individual comparisons by ranking methods. Biom Bull 1(6):80–83</w:t>
      </w:r>
    </w:p>
    <w:p>
      <w:pPr>
        <w:pStyle w:val="Compact"/>
        <w:numPr>
          <w:ilvl w:val="0"/>
          <w:numId w:val="1005"/>
        </w:numPr>
      </w:pPr>
      <w:r>
        <w:t xml:space="preserve">Yu W, Cheng G, Wang M, Yao Y, Xie X, Yao X, Han J (2023) MAR20: a benchmark for military aircraft recognition in remote sensing images. Nat Remote Sens Bull 27(12):2688–2696. https://doi.org/10.11834/jrs.20222139</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Should a Fixed Synthetic-Image Budget Go? Class-Allocation Signals for Diffusion-Based Background Augmentation in Military Aircraft Detection</dc:title>
  <dc:creator/>
  <cp:keywords/>
  <dcterms:created xsi:type="dcterms:W3CDTF">2026-08-04T09:07:51Z</dcterms:created>
  <dcterms:modified xsi:type="dcterms:W3CDTF">2026-08-04T09:07:51Z</dcterms:modified>
</cp:coreProperties>
</file>

<file path=docProps/custom.xml><?xml version="1.0" encoding="utf-8"?>
<Properties xmlns="http://schemas.openxmlformats.org/officeDocument/2006/custom-properties" xmlns:vt="http://schemas.openxmlformats.org/officeDocument/2006/docPropsVTypes"/>
</file>