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764"/>
          <w:sz w:val="44"/>
        </w:rPr>
        <w:t>큐비즘 전시 견학 보고서</w:t>
      </w:r>
    </w:p>
    <w:p>
      <w:pPr>
        <w:jc w:val="center"/>
      </w:pPr>
      <w:r>
        <w:rPr>
          <w:rFonts w:ascii="맑은 고딕" w:hAnsi="맑은 고딕" w:eastAsia="맑은 고딕"/>
          <w:b/>
          <w:color w:val="333333"/>
          <w:sz w:val="24"/>
        </w:rPr>
        <w:t>― 퐁피두센터 한화 개관전 〈큐비스트: 시각의 혁신가들〉 관람 분석 ―</w:t>
      </w:r>
    </w:p>
    <w:p>
      <w:pPr>
        <w:jc w:val="center"/>
      </w:pPr>
      <w:r>
        <w:rPr>
          <w:rFonts w:ascii="맑은 고딕" w:hAnsi="맑은 고딕" w:eastAsia="맑은 고딕"/>
          <w:sz w:val="21"/>
        </w:rPr>
        <w:t>작성자: 김민지    |    작성일: 2026. 6. 18.</w:t>
      </w:r>
    </w:p>
    <w:p/>
    <w:p>
      <w:pPr>
        <w:spacing w:before="280" w:after="120"/>
      </w:pPr>
      <w:r>
        <w:rPr>
          <w:rFonts w:ascii="맑은 고딕" w:hAnsi="맑은 고딕" w:eastAsia="맑은 고딕"/>
          <w:b/>
          <w:color w:val="1F3764"/>
          <w:sz w:val="28"/>
        </w:rPr>
        <w:t>핵심 요약 (Executive Summary)</w:t>
      </w:r>
    </w:p>
    <w:p>
      <w:pPr>
        <w:spacing w:after="80" w:line="276" w:lineRule="auto"/>
      </w:pPr>
      <w:r>
        <w:rPr>
          <w:rFonts w:ascii="맑은 고딕" w:hAnsi="맑은 고딕" w:eastAsia="맑은 고딕"/>
          <w:sz w:val="21"/>
        </w:rPr>
        <w:t>2026년 6월 4일 여의도 63빌딩에 문을 연 '퐁피두센터 한화'는 프랑스 파리 퐁피두센터가 한화문화재단과 맺은 4년 파트너십을 기반으로 운영되는 국내 첫 상설 거점으로, 향후 4년간 매년 2회 기획전을 선보인다. 그 개관전이 바로 이번에 관람한 〈큐비스트: 시각의 혁신가들〉이다. 본 전시는 단순한 명화전이 아니라, 글로벌 미술관 브랜드의 국내 진출·랜드마크 재생·현지화 콘텐츠가 결합된 사례로, 전시 기획과 브랜드 운영 양 측면에서 참고할 지점이 많았다. 견학에서 도출한 핵심 시사점은 다음과 같다.</w:t>
      </w:r>
    </w:p>
    <w:tbl>
      <w:tblPr>
        <w:tblStyle w:val="LightShading-Accent1"/>
        <w:tblW w:type="auto" w:w="0"/>
        <w:tblLook w:firstColumn="1" w:firstRow="1" w:lastColumn="0" w:lastRow="0" w:noHBand="0" w:noVBand="1" w:val="04A0"/>
      </w:tblPr>
      <w:tblGrid>
        <w:gridCol w:w="8640"/>
      </w:tblGrid>
      <w:tr>
        <w:tc>
          <w:tcPr>
            <w:tcW w:type="dxa" w:w="8640"/>
          </w:tcPr>
          <w:p>
            <w:r>
              <w:rPr>
                <w:rFonts w:ascii="맑은 고딕" w:hAnsi="맑은 고딕" w:eastAsia="맑은 고딕"/>
                <w:b/>
                <w:color w:val="1F3764"/>
                <w:sz w:val="22"/>
              </w:rPr>
              <w:t>관람을 통해 도출한 핵심 시사점</w:t>
            </w:r>
          </w:p>
          <w:p>
            <w:pPr>
              <w:spacing w:after="40"/>
            </w:pPr>
            <w:r>
              <w:rPr>
                <w:rFonts w:ascii="맑은 고딕" w:hAnsi="맑은 고딕" w:eastAsia="맑은 고딕"/>
                <w:sz w:val="20"/>
              </w:rPr>
              <w:t>· 내러티브 큐레이션: 8개 주제 섹션이 '개념 제시 → 형태 해체 → 색채 확장 → 전후 변주'로 이어지며 관람객을 단계적으로 몰입시킨다. 메시지를 먼저 세우고 사례를 점층적으로 배치하는 구성은 우리 기획·발표물에 직접 응용 가능.</w:t>
            </w:r>
          </w:p>
          <w:p>
            <w:pPr>
              <w:spacing w:after="40"/>
            </w:pPr>
            <w:r>
              <w:rPr>
                <w:rFonts w:ascii="맑은 고딕" w:hAnsi="맑은 고딕" w:eastAsia="맑은 고딕"/>
                <w:sz w:val="20"/>
              </w:rPr>
              <w:t>· 고객 경험(여정) 설계: 대형 작품을 활용한 강한 첫인상, 색채 구간의 포토 스폿, QR 기반 심화 정보 등 '도입–몰입–절정–공유'의 흐름이 의도적으로 설계돼 있어 오프라인 체험 공간 기획에 시사점이 크다.</w:t>
            </w:r>
          </w:p>
          <w:p>
            <w:pPr>
              <w:spacing w:after="40"/>
            </w:pPr>
            <w:r>
              <w:rPr>
                <w:rFonts w:ascii="맑은 고딕" w:hAnsi="맑은 고딕" w:eastAsia="맑은 고딕"/>
                <w:sz w:val="20"/>
              </w:rPr>
              <w:t>· 글로컬(글로벌+로컬) 전략: '퐁피두'라는 글로벌 브랜드에 '코리아 포커스' 특별 섹션을 결합해 외부 IP를 현지 맥락과 연결한 점은 외부 콘텐츠·브랜드 협업 시 참고할 모범 사례.</w:t>
            </w:r>
          </w:p>
          <w:p>
            <w:pPr>
              <w:spacing w:after="40"/>
            </w:pPr>
            <w:r>
              <w:rPr>
                <w:rFonts w:ascii="맑은 고딕" w:hAnsi="맑은 고딕" w:eastAsia="맑은 고딕"/>
                <w:sz w:val="20"/>
              </w:rPr>
              <w:t>· 랜드마크 자산의 재해석: 노후 아쿠아리움 공간을 '빛의 상자' 미술관으로 전환해 63빌딩에 새로운 방문 동기와 화제성을 부여한 공간 리브랜딩 사례.</w:t>
            </w:r>
          </w:p>
        </w:tc>
      </w:tr>
    </w:tbl>
    <w:p/>
    <w:p>
      <w:pPr>
        <w:spacing w:before="280" w:after="120"/>
      </w:pPr>
      <w:r>
        <w:rPr>
          <w:rFonts w:ascii="맑은 고딕" w:hAnsi="맑은 고딕" w:eastAsia="맑은 고딕"/>
          <w:b/>
          <w:color w:val="1F3764"/>
          <w:sz w:val="28"/>
        </w:rPr>
        <w:t>1. 견학 개요</w:t>
      </w:r>
    </w:p>
    <w:tbl>
      <w:tblPr>
        <w:tblStyle w:val="LightGrid-Accent1"/>
        <w:tblW w:type="auto" w:w="0"/>
        <w:jc w:val="center"/>
        <w:tblLook w:firstColumn="1" w:firstRow="1" w:lastColumn="0" w:lastRow="0" w:noHBand="0" w:noVBand="1" w:val="04A0"/>
      </w:tblPr>
      <w:tblGrid>
        <w:gridCol w:w="4320"/>
        <w:gridCol w:w="4320"/>
      </w:tblGrid>
      <w:tr>
        <w:tc>
          <w:tcPr>
            <w:tcW w:type="dxa" w:w="1417"/>
          </w:tcPr>
          <w:p>
            <w:pPr>
              <w:jc w:val="center"/>
            </w:pPr>
            <w:r>
              <w:rPr>
                <w:rFonts w:ascii="맑은 고딕" w:hAnsi="맑은 고딕" w:eastAsia="맑은 고딕"/>
                <w:b/>
                <w:color w:val="FFFFFF"/>
                <w:sz w:val="19"/>
              </w:rPr>
              <w:t>구분</w:t>
            </w:r>
          </w:p>
        </w:tc>
        <w:tc>
          <w:tcPr>
            <w:tcW w:type="dxa" w:w="7654"/>
          </w:tcPr>
          <w:p>
            <w:pPr>
              <w:jc w:val="center"/>
            </w:pPr>
            <w:r>
              <w:rPr>
                <w:rFonts w:ascii="맑은 고딕" w:hAnsi="맑은 고딕" w:eastAsia="맑은 고딕"/>
                <w:b/>
                <w:color w:val="FFFFFF"/>
                <w:sz w:val="19"/>
              </w:rPr>
              <w:t>내용</w:t>
            </w:r>
          </w:p>
        </w:tc>
      </w:tr>
      <w:tr>
        <w:tc>
          <w:tcPr>
            <w:tcW w:type="dxa" w:w="1417"/>
          </w:tcPr>
          <w:p>
            <w:r>
              <w:rPr>
                <w:rFonts w:ascii="맑은 고딕" w:hAnsi="맑은 고딕" w:eastAsia="맑은 고딕"/>
                <w:sz w:val="19"/>
              </w:rPr>
              <w:t>전시명</w:t>
            </w:r>
          </w:p>
        </w:tc>
        <w:tc>
          <w:tcPr>
            <w:tcW w:type="dxa" w:w="7654"/>
          </w:tcPr>
          <w:p>
            <w:r>
              <w:rPr>
                <w:rFonts w:ascii="맑은 고딕" w:hAnsi="맑은 고딕" w:eastAsia="맑은 고딕"/>
                <w:sz w:val="19"/>
              </w:rPr>
              <w:t>퐁피두센터 한화 개관전 〈큐비스트: 시각의 혁신가들〉 (The Cubists: Inventing Modern Vision)</w:t>
            </w:r>
          </w:p>
        </w:tc>
      </w:tr>
      <w:tr>
        <w:tc>
          <w:tcPr>
            <w:tcW w:type="dxa" w:w="1417"/>
          </w:tcPr>
          <w:p>
            <w:r>
              <w:rPr>
                <w:rFonts w:ascii="맑은 고딕" w:hAnsi="맑은 고딕" w:eastAsia="맑은 고딕"/>
                <w:sz w:val="19"/>
              </w:rPr>
              <w:t>장소</w:t>
            </w:r>
          </w:p>
        </w:tc>
        <w:tc>
          <w:tcPr>
            <w:tcW w:type="dxa" w:w="7654"/>
          </w:tcPr>
          <w:p>
            <w:r>
              <w:rPr>
                <w:rFonts w:ascii="맑은 고딕" w:hAnsi="맑은 고딕" w:eastAsia="맑은 고딕"/>
                <w:sz w:val="19"/>
              </w:rPr>
              <w:t>퐁피두센터 한화 (서울 영등포구 여의도 63빌딩 별관, 4개 층·연면적 약 10,000㎡)</w:t>
            </w:r>
          </w:p>
        </w:tc>
      </w:tr>
      <w:tr>
        <w:tc>
          <w:tcPr>
            <w:tcW w:type="dxa" w:w="1417"/>
          </w:tcPr>
          <w:p>
            <w:r>
              <w:rPr>
                <w:rFonts w:ascii="맑은 고딕" w:hAnsi="맑은 고딕" w:eastAsia="맑은 고딕"/>
                <w:sz w:val="19"/>
              </w:rPr>
              <w:t>전시 기간</w:t>
            </w:r>
          </w:p>
        </w:tc>
        <w:tc>
          <w:tcPr>
            <w:tcW w:type="dxa" w:w="7654"/>
          </w:tcPr>
          <w:p>
            <w:r>
              <w:rPr>
                <w:rFonts w:ascii="맑은 고딕" w:hAnsi="맑은 고딕" w:eastAsia="맑은 고딕"/>
                <w:sz w:val="19"/>
              </w:rPr>
              <w:t>2026. 6. 4 ~ 10. 4 (개관전)</w:t>
            </w:r>
          </w:p>
        </w:tc>
      </w:tr>
      <w:tr>
        <w:tc>
          <w:tcPr>
            <w:tcW w:type="dxa" w:w="1417"/>
          </w:tcPr>
          <w:p>
            <w:r>
              <w:rPr>
                <w:rFonts w:ascii="맑은 고딕" w:hAnsi="맑은 고딕" w:eastAsia="맑은 고딕"/>
                <w:sz w:val="19"/>
              </w:rPr>
              <w:t>관람일</w:t>
            </w:r>
          </w:p>
        </w:tc>
        <w:tc>
          <w:tcPr>
            <w:tcW w:type="dxa" w:w="7654"/>
          </w:tcPr>
          <w:p>
            <w:r>
              <w:rPr>
                <w:rFonts w:ascii="맑은 고딕" w:hAnsi="맑은 고딕" w:eastAsia="맑은 고딕"/>
                <w:sz w:val="19"/>
              </w:rPr>
              <w:t>2026. 6. 18.</w:t>
            </w:r>
          </w:p>
        </w:tc>
      </w:tr>
      <w:tr>
        <w:tc>
          <w:tcPr>
            <w:tcW w:type="dxa" w:w="1417"/>
          </w:tcPr>
          <w:p>
            <w:r>
              <w:rPr>
                <w:rFonts w:ascii="맑은 고딕" w:hAnsi="맑은 고딕" w:eastAsia="맑은 고딕"/>
                <w:sz w:val="19"/>
              </w:rPr>
              <w:t>관람료</w:t>
            </w:r>
          </w:p>
        </w:tc>
        <w:tc>
          <w:tcPr>
            <w:tcW w:type="dxa" w:w="7654"/>
          </w:tcPr>
          <w:p>
            <w:r>
              <w:rPr>
                <w:rFonts w:ascii="맑은 고딕" w:hAnsi="맑은 고딕" w:eastAsia="맑은 고딕"/>
                <w:sz w:val="19"/>
              </w:rPr>
              <w:t>성인 28,000원 / 청소년 19,600원 / 어린이 16,800원 / 65세 이상 19,600원</w:t>
            </w:r>
          </w:p>
        </w:tc>
      </w:tr>
      <w:tr>
        <w:tc>
          <w:tcPr>
            <w:tcW w:type="dxa" w:w="1417"/>
          </w:tcPr>
          <w:p>
            <w:r>
              <w:rPr>
                <w:rFonts w:ascii="맑은 고딕" w:hAnsi="맑은 고딕" w:eastAsia="맑은 고딕"/>
                <w:sz w:val="19"/>
              </w:rPr>
              <w:t>견학 목적</w:t>
            </w:r>
          </w:p>
        </w:tc>
        <w:tc>
          <w:tcPr>
            <w:tcW w:type="dxa" w:w="7654"/>
          </w:tcPr>
          <w:p>
            <w:r>
              <w:rPr>
                <w:rFonts w:ascii="맑은 고딕" w:hAnsi="맑은 고딕" w:eastAsia="맑은 고딕"/>
                <w:sz w:val="19"/>
              </w:rPr>
              <w:t>글로벌 미술관 브랜드의 국내 진출 사례를 직접 확인하고, 전시 기획·공간 연출·관람 경험 설계와 브랜드 운영 방식을 업무 관점의 시사점 중심으로 정리</w:t>
            </w:r>
          </w:p>
        </w:tc>
      </w:tr>
    </w:tbl>
    <w:p>
      <w:pPr>
        <w:spacing w:after="40"/>
      </w:pPr>
    </w:p>
    <w:p>
      <w:pPr>
        <w:spacing w:after="80" w:line="276" w:lineRule="auto"/>
      </w:pPr>
      <w:r>
        <w:rPr>
          <w:rFonts w:ascii="맑은 고딕" w:hAnsi="맑은 고딕" w:eastAsia="맑은 고딕"/>
          <w:sz w:val="21"/>
        </w:rPr>
        <w:t>참고로 이번 견학은 '명화 감상'이 아니라 전시를 하나의 콘텐츠·공간 운영 사례로 본다는 관점에서 진행했으며, 본 보고서도 작품 해설보다 기획·연출·브랜드 측면의 관찰과 적용 가능성에 무게를 두었다.</w:t>
      </w:r>
    </w:p>
    <w:p>
      <w:pPr>
        <w:spacing w:before="280" w:after="120"/>
      </w:pPr>
      <w:r>
        <w:rPr>
          <w:rFonts w:ascii="맑은 고딕" w:hAnsi="맑은 고딕" w:eastAsia="맑은 고딕"/>
          <w:b/>
          <w:color w:val="1F3764"/>
          <w:sz w:val="28"/>
        </w:rPr>
        <w:t>2. 전시 분석</w:t>
      </w:r>
    </w:p>
    <w:p>
      <w:pPr>
        <w:spacing w:before="160" w:after="80"/>
      </w:pPr>
      <w:r>
        <w:rPr>
          <w:rFonts w:ascii="맑은 고딕" w:hAnsi="맑은 고딕" w:eastAsia="맑은 고딕"/>
          <w:b/>
          <w:color w:val="333333"/>
          <w:sz w:val="23"/>
        </w:rPr>
        <w:t>2.1 운영·사업 구조 ― 글로벌 미술관 IP의 국내 거점화</w:t>
      </w:r>
    </w:p>
    <w:p>
      <w:pPr>
        <w:spacing w:after="80" w:line="276" w:lineRule="auto"/>
      </w:pPr>
      <w:r>
        <w:rPr>
          <w:rFonts w:ascii="맑은 고딕" w:hAnsi="맑은 고딕" w:eastAsia="맑은 고딕"/>
          <w:sz w:val="21"/>
        </w:rPr>
        <w:t>퐁피두센터 한화는 2023년 3월 한화문화재단과 파리 퐁피두센터가 체결한 4년 파트너십을 토대로 한다. 한화가 공간의 리모델링과 운영을 맡고, 퐁피두는 큐레이션 방향과 소장품 대여를 담당하는 역할 분담 구조다. 향후 4년간 매년 2회, 1,500㎡ 규모의 전시실 2개를 활용해 기획전을 이어간다는 점에서, 일회성 블록버스터가 아니라 '브랜드 거점의 지속 운영' 모델이라는 점이 핵심이다.</w:t>
      </w:r>
    </w:p>
    <w:p>
      <w:pPr>
        <w:pStyle w:val="ListBullet"/>
        <w:spacing w:after="80" w:line="276" w:lineRule="auto"/>
      </w:pPr>
      <w:r>
        <w:rPr>
          <w:rFonts w:ascii="맑은 고딕" w:hAnsi="맑은 고딕" w:eastAsia="맑은 고딕"/>
          <w:b/>
          <w:sz w:val="21"/>
        </w:rPr>
        <w:t xml:space="preserve">앵커 IP 전략 — </w:t>
      </w:r>
      <w:r>
        <w:rPr>
          <w:rFonts w:ascii="맑은 고딕" w:hAnsi="맑은 고딕" w:eastAsia="맑은 고딕"/>
          <w:sz w:val="21"/>
        </w:rPr>
        <w:t>글로벌 인지도가 확립된 브랜드(퐁피두)를 끌어와 공간 전체의 격(格)과 방문 동기를 단숨에 끌어올리는 구조. 강력한 외부 IP가 자산의 가치와 집객을 견인하는 전형적 사례다.</w:t>
      </w:r>
    </w:p>
    <w:p>
      <w:pPr>
        <w:pStyle w:val="ListBullet"/>
        <w:spacing w:after="80" w:line="276" w:lineRule="auto"/>
      </w:pPr>
      <w:r>
        <w:rPr>
          <w:rFonts w:ascii="맑은 고딕" w:hAnsi="맑은 고딕" w:eastAsia="맑은 고딕"/>
          <w:b/>
          <w:sz w:val="21"/>
        </w:rPr>
        <w:t xml:space="preserve">지속 운영형 콘텐츠 — </w:t>
      </w:r>
      <w:r>
        <w:rPr>
          <w:rFonts w:ascii="맑은 고딕" w:hAnsi="맑은 고딕" w:eastAsia="맑은 고딕"/>
          <w:sz w:val="21"/>
        </w:rPr>
        <w:t>연 2회 전시 교체로 재방문 동기를 설계. 단발성 이벤트가 아니라 '시즌제 콘텐츠'로 고객을 묶는 방식.</w:t>
      </w:r>
    </w:p>
    <w:p>
      <w:pPr>
        <w:pStyle w:val="ListBullet"/>
        <w:spacing w:after="80" w:line="276" w:lineRule="auto"/>
      </w:pPr>
      <w:r>
        <w:rPr>
          <w:rFonts w:ascii="맑은 고딕" w:hAnsi="맑은 고딕" w:eastAsia="맑은 고딕"/>
          <w:b/>
          <w:sz w:val="21"/>
        </w:rPr>
        <w:t xml:space="preserve">프리미엄 가격 정책 — </w:t>
      </w:r>
      <w:r>
        <w:rPr>
          <w:rFonts w:ascii="맑은 고딕" w:hAnsi="맑은 고딕" w:eastAsia="맑은 고딕"/>
          <w:sz w:val="21"/>
        </w:rPr>
        <w:t>성인 28,000원의 객단가는 일반 기획전 대비 높은 편으로, 브랜드 가치와 작품 희소성을 가격에 반영한 포지셔닝. 가격 자체가 '특별한 경험'이라는 메시지를 전달한다.</w:t>
      </w:r>
    </w:p>
    <w:p>
      <w:pPr>
        <w:spacing w:before="160" w:after="80"/>
      </w:pPr>
      <w:r>
        <w:rPr>
          <w:rFonts w:ascii="맑은 고딕" w:hAnsi="맑은 고딕" w:eastAsia="맑은 고딕"/>
          <w:b/>
          <w:color w:val="333333"/>
          <w:sz w:val="23"/>
        </w:rPr>
        <w:t>2.2 기획 콘셉트와 내러티브 ― 8개 섹션의 점층 구성</w:t>
      </w:r>
    </w:p>
    <w:p>
      <w:pPr>
        <w:spacing w:after="80" w:line="276" w:lineRule="auto"/>
      </w:pPr>
      <w:r>
        <w:rPr>
          <w:rFonts w:ascii="맑은 고딕" w:hAnsi="맑은 고딕" w:eastAsia="맑은 고딕"/>
          <w:sz w:val="21"/>
        </w:rPr>
        <w:t>전시 입구의 기욤 아폴리네르 인용문이 전체 주제를 압축한다.</w:t>
      </w:r>
    </w:p>
    <w:p>
      <w:pPr>
        <w:spacing w:after="80"/>
        <w:ind w:left="360"/>
      </w:pPr>
      <w:r>
        <w:rPr>
          <w:rFonts w:ascii="맑은 고딕" w:hAnsi="맑은 고딕" w:eastAsia="맑은 고딕"/>
          <w:i/>
          <w:sz w:val="21"/>
        </w:rPr>
        <w:t>“큐비즘이 이전의 회화와 구별되는 지점은, 그것이 모방의 예술이 아니라 창조에까지 이르고자 하는 개념(conceptual)의 예술이라는 점이다.” (《입체파 화가들》, 1913)</w:t>
      </w:r>
    </w:p>
    <w:p>
      <w:pPr>
        <w:spacing w:before="120" w:after="40"/>
        <w:jc w:val="center"/>
      </w:pPr>
      <w:r>
        <w:drawing>
          <wp:inline xmlns:a="http://schemas.openxmlformats.org/drawingml/2006/main" xmlns:pic="http://schemas.openxmlformats.org/drawingml/2006/picture">
            <wp:extent cx="2880000" cy="3840000"/>
            <wp:docPr id="1" name="Picture 1"/>
            <wp:cNvGraphicFramePr>
              <a:graphicFrameLocks noChangeAspect="1"/>
            </wp:cNvGraphicFramePr>
            <a:graphic>
              <a:graphicData uri="http://schemas.openxmlformats.org/drawingml/2006/picture">
                <pic:pic>
                  <pic:nvPicPr>
                    <pic:cNvPr id="0" name="fig01_apollinaire.jpg"/>
                    <pic:cNvPicPr/>
                  </pic:nvPicPr>
                  <pic:blipFill>
                    <a:blip r:embed="rId9"/>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1] 전시 도입부 텍스트 월 ― 아폴리네르의 큐비즘 정의</w:t>
      </w:r>
    </w:p>
    <w:p>
      <w:pPr>
        <w:spacing w:after="80" w:line="276" w:lineRule="auto"/>
      </w:pPr>
      <w:r>
        <w:rPr>
          <w:rFonts w:ascii="맑은 고딕" w:hAnsi="맑은 고딕" w:eastAsia="맑은 고딕"/>
          <w:sz w:val="21"/>
        </w:rPr>
        <w:t>전시는 파리 시기(1907~1927) 큐비즘을 8개 주제 섹션으로 나누어 '세잔의 영향과 초기 실험 → 분석적 큐비즘과 형태 해체 → 살롱으로 진출한 큐비즘 → 오르피즘과 빛의 리듬 → 전후의 양식적 변주'로 전개한다. 관람객이 큐비즘이라는 다소 난해한 사조를 '한 개의 개념에서 출발해 점차 확장되는 이야기'로 자연스럽게 따라가도록 설계한 점이 돋보인다. 이는 복잡한 주제를 청중에게 전달할 때 메시지를 먼저 제시하고 사례를 단계적으로 심화시키는 구성 원리와 정확히 일치한다.</w:t>
      </w:r>
    </w:p>
    <w:p>
      <w:pPr>
        <w:spacing w:before="160" w:after="80"/>
      </w:pPr>
      <w:r>
        <w:rPr>
          <w:rFonts w:ascii="맑은 고딕" w:hAnsi="맑은 고딕" w:eastAsia="맑은 고딕"/>
          <w:b/>
          <w:color w:val="333333"/>
          <w:sz w:val="23"/>
        </w:rPr>
        <w:t>2.3 대표 작품과 관람 포인트</w:t>
      </w:r>
    </w:p>
    <w:p>
      <w:pPr>
        <w:spacing w:after="80" w:line="276" w:lineRule="auto"/>
      </w:pPr>
      <w:r>
        <w:rPr>
          <w:rFonts w:ascii="맑은 고딕" w:hAnsi="맑은 고딕" w:eastAsia="맑은 고딕"/>
          <w:sz w:val="21"/>
        </w:rPr>
        <w:t>관람 동선에서 인상적이었던 작품과 구간을 사진과 함께 정리한다.</w:t>
      </w:r>
    </w:p>
    <w:p>
      <w:pPr>
        <w:pStyle w:val="ListBullet"/>
        <w:spacing w:after="80" w:line="276" w:lineRule="auto"/>
      </w:pPr>
      <w:r>
        <w:rPr>
          <w:rFonts w:ascii="맑은 고딕" w:hAnsi="맑은 고딕" w:eastAsia="맑은 고딕"/>
          <w:b/>
          <w:sz w:val="21"/>
        </w:rPr>
        <w:t xml:space="preserve">큐비즘의 출발 — </w:t>
      </w:r>
      <w:r>
        <w:rPr>
          <w:rFonts w:ascii="맑은 고딕" w:hAnsi="맑은 고딕" w:eastAsia="맑은 고딕"/>
          <w:sz w:val="21"/>
        </w:rPr>
        <w:t>피카소 〈여인의 두상〉(1907) 등 초기 실험. 인체를 단순화·해체하며 '재현에서 개념으로'의 전환을 보여준다.</w:t>
      </w:r>
    </w:p>
    <w:p>
      <w:pPr>
        <w:spacing w:before="120" w:after="40"/>
        <w:jc w:val="center"/>
      </w:pPr>
      <w:r>
        <w:drawing>
          <wp:inline xmlns:a="http://schemas.openxmlformats.org/drawingml/2006/main" xmlns:pic="http://schemas.openxmlformats.org/drawingml/2006/picture">
            <wp:extent cx="2880000" cy="3840000"/>
            <wp:docPr id="2" name="Picture 2"/>
            <wp:cNvGraphicFramePr>
              <a:graphicFrameLocks noChangeAspect="1"/>
            </wp:cNvGraphicFramePr>
            <a:graphic>
              <a:graphicData uri="http://schemas.openxmlformats.org/drawingml/2006/picture">
                <pic:pic>
                  <pic:nvPicPr>
                    <pic:cNvPr id="0" name="fig02_picasso_bust.jpg"/>
                    <pic:cNvPicPr/>
                  </pic:nvPicPr>
                  <pic:blipFill>
                    <a:blip r:embed="rId10"/>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2] 파블로 피카소 〈여인의 두상(Bust of a Woman)〉, 1907</w:t>
      </w:r>
    </w:p>
    <w:p>
      <w:pPr>
        <w:pStyle w:val="ListBullet"/>
        <w:spacing w:after="80" w:line="276" w:lineRule="auto"/>
      </w:pPr>
      <w:r>
        <w:rPr>
          <w:rFonts w:ascii="맑은 고딕" w:hAnsi="맑은 고딕" w:eastAsia="맑은 고딕"/>
          <w:b/>
          <w:sz w:val="21"/>
        </w:rPr>
        <w:t xml:space="preserve">분석적 큐비즘 — </w:t>
      </w:r>
      <w:r>
        <w:rPr>
          <w:rFonts w:ascii="맑은 고딕" w:hAnsi="맑은 고딕" w:eastAsia="맑은 고딕"/>
          <w:sz w:val="21"/>
        </w:rPr>
        <w:t>회색·갈색의 절제된 색조 속에서 대상을 여러 시점으로 쪼개 재배열. 형태가 거의 추상에 가깝게 분해된다.</w:t>
      </w:r>
    </w:p>
    <w:p>
      <w:pPr>
        <w:spacing w:before="120" w:after="40"/>
        <w:jc w:val="center"/>
      </w:pPr>
      <w:r>
        <w:drawing>
          <wp:inline xmlns:a="http://schemas.openxmlformats.org/drawingml/2006/main" xmlns:pic="http://schemas.openxmlformats.org/drawingml/2006/picture">
            <wp:extent cx="2880000" cy="3840000"/>
            <wp:docPr id="3" name="Picture 3"/>
            <wp:cNvGraphicFramePr>
              <a:graphicFrameLocks noChangeAspect="1"/>
            </wp:cNvGraphicFramePr>
            <a:graphic>
              <a:graphicData uri="http://schemas.openxmlformats.org/drawingml/2006/picture">
                <pic:pic>
                  <pic:nvPicPr>
                    <pic:cNvPr id="0" name="fig03_head_of_woman.jpg"/>
                    <pic:cNvPicPr/>
                  </pic:nvPicPr>
                  <pic:blipFill>
                    <a:blip r:embed="rId11"/>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3] 피카소 〈여인 두상(Head of a Woman)〉 ― 분석적 큐비즘</w:t>
      </w:r>
    </w:p>
    <w:p>
      <w:pPr>
        <w:spacing w:before="120" w:after="40"/>
        <w:jc w:val="center"/>
      </w:pPr>
      <w:r>
        <w:drawing>
          <wp:inline xmlns:a="http://schemas.openxmlformats.org/drawingml/2006/main" xmlns:pic="http://schemas.openxmlformats.org/drawingml/2006/picture">
            <wp:extent cx="2880000" cy="3840000"/>
            <wp:docPr id="4" name="Picture 4"/>
            <wp:cNvGraphicFramePr>
              <a:graphicFrameLocks noChangeAspect="1"/>
            </wp:cNvGraphicFramePr>
            <a:graphic>
              <a:graphicData uri="http://schemas.openxmlformats.org/drawingml/2006/picture">
                <pic:pic>
                  <pic:nvPicPr>
                    <pic:cNvPr id="0" name="fig04_reclining_nude.jpg"/>
                    <pic:cNvPicPr/>
                  </pic:nvPicPr>
                  <pic:blipFill>
                    <a:blip r:embed="rId12"/>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4] 누워 있는 인물 ― 양감의 단순화와 해체</w:t>
      </w:r>
    </w:p>
    <w:p>
      <w:pPr>
        <w:spacing w:before="120" w:after="40"/>
        <w:jc w:val="center"/>
      </w:pPr>
      <w:r>
        <w:drawing>
          <wp:inline xmlns:a="http://schemas.openxmlformats.org/drawingml/2006/main" xmlns:pic="http://schemas.openxmlformats.org/drawingml/2006/picture">
            <wp:extent cx="2880000" cy="3840000"/>
            <wp:docPr id="5" name="Picture 5"/>
            <wp:cNvGraphicFramePr>
              <a:graphicFrameLocks noChangeAspect="1"/>
            </wp:cNvGraphicFramePr>
            <a:graphic>
              <a:graphicData uri="http://schemas.openxmlformats.org/drawingml/2006/picture">
                <pic:pic>
                  <pic:nvPicPr>
                    <pic:cNvPr id="0" name="fig05_analytic.jpg"/>
                    <pic:cNvPicPr/>
                  </pic:nvPicPr>
                  <pic:blipFill>
                    <a:blip r:embed="rId13"/>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5] 다면 분할로 추상에 근접한 분석적 큐비즘 회화</w:t>
      </w:r>
    </w:p>
    <w:p>
      <w:pPr>
        <w:spacing w:before="120" w:after="40"/>
        <w:jc w:val="center"/>
      </w:pPr>
      <w:r>
        <w:drawing>
          <wp:inline xmlns:a="http://schemas.openxmlformats.org/drawingml/2006/main" xmlns:pic="http://schemas.openxmlformats.org/drawingml/2006/picture">
            <wp:extent cx="2880000" cy="3840000"/>
            <wp:docPr id="6" name="Picture 6"/>
            <wp:cNvGraphicFramePr>
              <a:graphicFrameLocks noChangeAspect="1"/>
            </wp:cNvGraphicFramePr>
            <a:graphic>
              <a:graphicData uri="http://schemas.openxmlformats.org/drawingml/2006/picture">
                <pic:pic>
                  <pic:nvPicPr>
                    <pic:cNvPr id="0" name="fig06_large_cubist.jpg"/>
                    <pic:cNvPicPr/>
                  </pic:nvPicPr>
                  <pic:blipFill>
                    <a:blip r:embed="rId14"/>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6] 다수 인물·형태가 중첩된 대형 큐비즘 회화</w:t>
      </w:r>
    </w:p>
    <w:p>
      <w:pPr>
        <w:spacing w:before="120" w:after="40"/>
        <w:jc w:val="center"/>
      </w:pPr>
      <w:r>
        <w:drawing>
          <wp:inline xmlns:a="http://schemas.openxmlformats.org/drawingml/2006/main" xmlns:pic="http://schemas.openxmlformats.org/drawingml/2006/picture">
            <wp:extent cx="4320000" cy="5760000"/>
            <wp:docPr id="7" name="Picture 7"/>
            <wp:cNvGraphicFramePr>
              <a:graphicFrameLocks noChangeAspect="1"/>
            </wp:cNvGraphicFramePr>
            <a:graphic>
              <a:graphicData uri="http://schemas.openxmlformats.org/drawingml/2006/picture">
                <pic:pic>
                  <pic:nvPicPr>
                    <pic:cNvPr id="0" name="fig07_green_work.jpg"/>
                    <pic:cNvPicPr/>
                  </pic:nvPicPr>
                  <pic:blipFill>
                    <a:blip r:embed="rId15"/>
                    <a:stretch>
                      <a:fillRect/>
                    </a:stretch>
                  </pic:blipFill>
                  <pic:spPr>
                    <a:xfrm>
                      <a:off x="0" y="0"/>
                      <a:ext cx="4320000" cy="5760000"/>
                    </a:xfrm>
                    <a:prstGeom prst="rect"/>
                  </pic:spPr>
                </pic:pic>
              </a:graphicData>
            </a:graphic>
          </wp:inline>
        </w:drawing>
      </w:r>
    </w:p>
    <w:p>
      <w:pPr>
        <w:spacing w:after="160"/>
        <w:jc w:val="center"/>
      </w:pPr>
      <w:r>
        <w:rPr>
          <w:rFonts w:ascii="맑은 고딕" w:hAnsi="맑은 고딕" w:eastAsia="맑은 고딕"/>
          <w:i/>
          <w:color w:val="666666"/>
          <w:sz w:val="18"/>
        </w:rPr>
        <w:t>[사진 7] 점묘·패턴이 결합된 종합적 큐비즘 회화</w:t>
      </w:r>
    </w:p>
    <w:p>
      <w:pPr>
        <w:pStyle w:val="ListBullet"/>
        <w:spacing w:after="80" w:line="276" w:lineRule="auto"/>
      </w:pPr>
      <w:r>
        <w:rPr>
          <w:rFonts w:ascii="맑은 고딕" w:hAnsi="맑은 고딕" w:eastAsia="맑은 고딕"/>
          <w:b/>
          <w:sz w:val="21"/>
        </w:rPr>
        <w:t xml:space="preserve">색채로의 확장(오르피즘) — </w:t>
      </w:r>
      <w:r>
        <w:rPr>
          <w:rFonts w:ascii="맑은 고딕" w:hAnsi="맑은 고딕" w:eastAsia="맑은 고딕"/>
          <w:sz w:val="21"/>
        </w:rPr>
        <w:t>소니아 들로네의 원형 색채 추상. 절제된 분석적 큐비즘과 대비되는 강렬한 색채와 리듬으로, 전시에서 시각적 임팩트가 가장 큰 구간이자 관람객의 체류·촬영이 집중되는 사실상의 '포토 스폿'이다.</w:t>
      </w:r>
    </w:p>
    <w:p>
      <w:pPr>
        <w:spacing w:before="120" w:after="40"/>
        <w:jc w:val="center"/>
      </w:pPr>
      <w:r>
        <w:drawing>
          <wp:inline xmlns:a="http://schemas.openxmlformats.org/drawingml/2006/main" xmlns:pic="http://schemas.openxmlformats.org/drawingml/2006/picture">
            <wp:extent cx="3960000" cy="5280000"/>
            <wp:docPr id="8" name="Picture 8"/>
            <wp:cNvGraphicFramePr>
              <a:graphicFrameLocks noChangeAspect="1"/>
            </wp:cNvGraphicFramePr>
            <a:graphic>
              <a:graphicData uri="http://schemas.openxmlformats.org/drawingml/2006/picture">
                <pic:pic>
                  <pic:nvPicPr>
                    <pic:cNvPr id="0" name="fig08_delaunay_single.jpg"/>
                    <pic:cNvPicPr/>
                  </pic:nvPicPr>
                  <pic:blipFill>
                    <a:blip r:embed="rId16"/>
                    <a:stretch>
                      <a:fillRect/>
                    </a:stretch>
                  </pic:blipFill>
                  <pic:spPr>
                    <a:xfrm>
                      <a:off x="0" y="0"/>
                      <a:ext cx="3960000" cy="5280000"/>
                    </a:xfrm>
                    <a:prstGeom prst="rect"/>
                  </pic:spPr>
                </pic:pic>
              </a:graphicData>
            </a:graphic>
          </wp:inline>
        </w:drawing>
      </w:r>
    </w:p>
    <w:p>
      <w:pPr>
        <w:spacing w:after="160"/>
        <w:jc w:val="center"/>
      </w:pPr>
      <w:r>
        <w:rPr>
          <w:rFonts w:ascii="맑은 고딕" w:hAnsi="맑은 고딕" w:eastAsia="맑은 고딕"/>
          <w:i/>
          <w:color w:val="666666"/>
          <w:sz w:val="18"/>
        </w:rPr>
        <w:t>[사진 8] 소니아 들로네 ― 원형 색채 추상(오르피즘)</w:t>
      </w:r>
    </w:p>
    <w:p>
      <w:pPr>
        <w:spacing w:before="120" w:after="40"/>
        <w:jc w:val="center"/>
      </w:pPr>
      <w:r>
        <w:drawing>
          <wp:inline xmlns:a="http://schemas.openxmlformats.org/drawingml/2006/main" xmlns:pic="http://schemas.openxmlformats.org/drawingml/2006/picture">
            <wp:extent cx="4680000" cy="3510000"/>
            <wp:docPr id="9" name="Picture 9"/>
            <wp:cNvGraphicFramePr>
              <a:graphicFrameLocks noChangeAspect="1"/>
            </wp:cNvGraphicFramePr>
            <a:graphic>
              <a:graphicData uri="http://schemas.openxmlformats.org/drawingml/2006/picture">
                <pic:pic>
                  <pic:nvPicPr>
                    <pic:cNvPr id="0" name="fig09_delaunay_wall.jpg"/>
                    <pic:cNvPicPr/>
                  </pic:nvPicPr>
                  <pic:blipFill>
                    <a:blip r:embed="rId17"/>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9] 들로네 작품의 전시 벽면 전경 ― 색채 구간 연출</w:t>
      </w:r>
    </w:p>
    <w:p>
      <w:pPr>
        <w:pStyle w:val="ListBullet"/>
        <w:spacing w:after="80" w:line="276" w:lineRule="auto"/>
      </w:pPr>
      <w:r>
        <w:rPr>
          <w:rFonts w:ascii="맑은 고딕" w:hAnsi="맑은 고딕" w:eastAsia="맑은 고딕"/>
          <w:b/>
          <w:sz w:val="21"/>
        </w:rPr>
        <w:t xml:space="preserve">응용·확장 — </w:t>
      </w:r>
      <w:r>
        <w:rPr>
          <w:rFonts w:ascii="맑은 고딕" w:hAnsi="맑은 고딕" w:eastAsia="맑은 고딕"/>
          <w:sz w:val="21"/>
        </w:rPr>
        <w:t>조르주 야쿨로프 〈Bull〉, 대형 무대막 등. 큐비즘이 회화를 넘어 무대·디자인으로 번져 나간 영향력을 보여준다.</w:t>
      </w:r>
    </w:p>
    <w:p>
      <w:pPr>
        <w:spacing w:before="120" w:after="40"/>
        <w:jc w:val="center"/>
      </w:pPr>
      <w:r>
        <w:drawing>
          <wp:inline xmlns:a="http://schemas.openxmlformats.org/drawingml/2006/main" xmlns:pic="http://schemas.openxmlformats.org/drawingml/2006/picture">
            <wp:extent cx="4680000" cy="3510000"/>
            <wp:docPr id="10" name="Picture 10"/>
            <wp:cNvGraphicFramePr>
              <a:graphicFrameLocks noChangeAspect="1"/>
            </wp:cNvGraphicFramePr>
            <a:graphic>
              <a:graphicData uri="http://schemas.openxmlformats.org/drawingml/2006/picture">
                <pic:pic>
                  <pic:nvPicPr>
                    <pic:cNvPr id="0" name="fig10_yakulov_bull.jpg"/>
                    <pic:cNvPicPr/>
                  </pic:nvPicPr>
                  <pic:blipFill>
                    <a:blip r:embed="rId18"/>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10] 조르주 야쿨로프 〈Bull〉</w:t>
      </w:r>
    </w:p>
    <w:p>
      <w:pPr>
        <w:spacing w:before="160" w:after="80"/>
      </w:pPr>
      <w:r>
        <w:rPr>
          <w:rFonts w:ascii="맑은 고딕" w:hAnsi="맑은 고딕" w:eastAsia="맑은 고딕"/>
          <w:b/>
          <w:color w:val="333333"/>
          <w:sz w:val="23"/>
        </w:rPr>
        <w:t>2.4 공간·건축 연출 ― '빛의 상자'</w:t>
      </w:r>
    </w:p>
    <w:p>
      <w:pPr>
        <w:spacing w:after="80" w:line="276" w:lineRule="auto"/>
      </w:pPr>
      <w:r>
        <w:rPr>
          <w:rFonts w:ascii="맑은 고딕" w:hAnsi="맑은 고딕" w:eastAsia="맑은 고딕"/>
          <w:sz w:val="21"/>
        </w:rPr>
        <w:t>건축가 장 미셸 빌모트가 과거 아쿠아리움이 있던 63빌딩 별관을 리모델링했다. 반투명 이중 유리 외피로 낮에는 자연광을 끌어들이고 밤에는 도시를 향해 빛나는 '빛의 상자'를 구현했으며, 외피의 곡선은 한국 전통 기와의 선을 차용했다. 황금빛 본관과 대비되는 흰색 매스(mass)가 그 자체로 강한 시각적 상징이 된다. 내부에서는 대형 작품을 아트리움 중앙·고천장에 배치해 압도적 첫인상을 만들고, 흰 벽·여백·조명으로 작품에 시선을 집중시켜 관람객의 동선과 체류 시간을 의도적으로 설계한 점이 인상적이었다.</w:t>
      </w:r>
    </w:p>
    <w:p>
      <w:pPr>
        <w:spacing w:before="120" w:after="40"/>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fig11_atrium.jpg"/>
                    <pic:cNvPicPr/>
                  </pic:nvPicPr>
                  <pic:blipFill>
                    <a:blip r:embed="rId19"/>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11] 아트리움 중앙의 대형 무대막 작품 ― '한 방' 공간 연출</w:t>
      </w:r>
    </w:p>
    <w:p>
      <w:pPr>
        <w:spacing w:before="160" w:after="80"/>
      </w:pPr>
      <w:r>
        <w:rPr>
          <w:rFonts w:ascii="맑은 고딕" w:hAnsi="맑은 고딕" w:eastAsia="맑은 고딕"/>
          <w:b/>
          <w:color w:val="333333"/>
          <w:sz w:val="23"/>
        </w:rPr>
        <w:t>2.5 현지화 전략 ― 코리아 포커스</w:t>
      </w:r>
    </w:p>
    <w:p>
      <w:pPr>
        <w:spacing w:after="80" w:line="276" w:lineRule="auto"/>
      </w:pPr>
      <w:r>
        <w:rPr>
          <w:rFonts w:ascii="맑은 고딕" w:hAnsi="맑은 고딕" w:eastAsia="맑은 고딕"/>
          <w:sz w:val="21"/>
        </w:rPr>
        <w:t>갤러리2 메자닌에 마련된 특별 섹션 '코리아 포커스: 모던 아방가르드를 향한 꿈의 지도'는 김환기·유영국·박래현 등 한국 근대 작가 11인의 21점을 통해, 서구 아방가르드가 한국적 현실에서 어떻게 수용·변주됐는지 조명한다. 이로써 본 전시는 파리 시기 큐비즘 40여 작가·90여 점에 한국 섹션을 더해 총 작가 54인·작품 112점 규모가 됐다. 해외 IP를 그대로 들여오는 데 그치지 않고 한국 미술사라는 현지 맥락과 연결함으로써, 국내 관객에게 '우리 이야기'라는 접점을 만들어 준 점이 전략적으로 가장 영리한 대목이다.</w:t>
      </w:r>
    </w:p>
    <w:p>
      <w:pPr>
        <w:spacing w:before="280" w:after="120"/>
      </w:pPr>
      <w:r>
        <w:rPr>
          <w:rFonts w:ascii="맑은 고딕" w:hAnsi="맑은 고딕" w:eastAsia="맑은 고딕"/>
          <w:b/>
          <w:color w:val="1F3764"/>
          <w:sz w:val="28"/>
        </w:rPr>
        <w:t>3. 업무 관점 심층 시사점</w:t>
      </w:r>
    </w:p>
    <w:p>
      <w:pPr>
        <w:spacing w:before="160" w:after="80"/>
      </w:pPr>
      <w:r>
        <w:rPr>
          <w:rFonts w:ascii="맑은 고딕" w:hAnsi="맑은 고딕" w:eastAsia="맑은 고딕"/>
          <w:b/>
          <w:color w:val="333333"/>
          <w:sz w:val="23"/>
        </w:rPr>
        <w:t>(A) 전시·공간 기획 및 고객 경험 설계</w:t>
      </w:r>
    </w:p>
    <w:p>
      <w:pPr>
        <w:pStyle w:val="ListBullet"/>
        <w:spacing w:after="80" w:line="276" w:lineRule="auto"/>
      </w:pPr>
      <w:r>
        <w:rPr>
          <w:rFonts w:ascii="맑은 고딕" w:hAnsi="맑은 고딕" w:eastAsia="맑은 고딕"/>
          <w:b/>
          <w:sz w:val="21"/>
        </w:rPr>
        <w:t xml:space="preserve">내러티브 큐레이션 — </w:t>
      </w:r>
      <w:r>
        <w:rPr>
          <w:rFonts w:ascii="맑은 고딕" w:hAnsi="맑은 고딕" w:eastAsia="맑은 고딕"/>
          <w:sz w:val="21"/>
        </w:rPr>
        <w:t>'개념 선언 → 단계적 심화 → 확장'으로 이어지는 8개 섹션 구조는 어려운 주제도 관객이 따라오게 만든다. 기획안·제안서·발표 자료를 '핵심 메시지 → 근거의 점층적 전개'로 구성하는 틀로 차용할 수 있다.</w:t>
      </w:r>
    </w:p>
    <w:p>
      <w:pPr>
        <w:pStyle w:val="ListBullet"/>
        <w:spacing w:after="80" w:line="276" w:lineRule="auto"/>
      </w:pPr>
      <w:r>
        <w:rPr>
          <w:rFonts w:ascii="맑은 고딕" w:hAnsi="맑은 고딕" w:eastAsia="맑은 고딕"/>
          <w:b/>
          <w:sz w:val="21"/>
        </w:rPr>
        <w:t xml:space="preserve">고객 경험 여정 설계 — </w:t>
      </w:r>
      <w:r>
        <w:rPr>
          <w:rFonts w:ascii="맑은 고딕" w:hAnsi="맑은 고딕" w:eastAsia="맑은 고딕"/>
          <w:sz w:val="21"/>
        </w:rPr>
        <w:t>도입(아폴리네르 텍스트 월) → 몰입(분석적 큐비즘) → 절정(들로네 색채/포토 스폿) → 공유(촬영·SNS) → 전환(굿즈·재방문)으로 이어지는 흐름이 의도적으로 설계돼 있다. 오프라인 체험 공간을 기획할 때 '어디서 멈추고, 어디서 찍고, 어디서 사게 할 것인가'를 동선 위에 설계하는 관점이 그대로 적용된다.</w:t>
      </w:r>
    </w:p>
    <w:p>
      <w:pPr>
        <w:pStyle w:val="ListBullet"/>
        <w:spacing w:after="80" w:line="276" w:lineRule="auto"/>
      </w:pPr>
      <w:r>
        <w:rPr>
          <w:rFonts w:ascii="맑은 고딕" w:hAnsi="맑은 고딕" w:eastAsia="맑은 고딕"/>
          <w:b/>
          <w:sz w:val="21"/>
        </w:rPr>
        <w:t xml:space="preserve">포토 스폿과 자발적 확산 — </w:t>
      </w:r>
      <w:r>
        <w:rPr>
          <w:rFonts w:ascii="맑은 고딕" w:hAnsi="맑은 고딕" w:eastAsia="맑은 고딕"/>
          <w:sz w:val="21"/>
        </w:rPr>
        <w:t>색채 구간처럼 시각적으로 강한 한 장면을 의도적으로 배치하면 관람객의 촬영·공유(UGC)가 자연 발생한다. 콘텐츠·행사 기획 시 '공유를 부르는 한 장면'을 명시적으로 설계할 필요가 있다.</w:t>
      </w:r>
    </w:p>
    <w:p>
      <w:pPr>
        <w:pStyle w:val="ListBullet"/>
        <w:spacing w:after="80" w:line="276" w:lineRule="auto"/>
      </w:pPr>
      <w:r>
        <w:rPr>
          <w:rFonts w:ascii="맑은 고딕" w:hAnsi="맑은 고딕" w:eastAsia="맑은 고딕"/>
          <w:b/>
          <w:sz w:val="21"/>
        </w:rPr>
        <w:t xml:space="preserve">정보 전달의 디지털 보완 — </w:t>
      </w:r>
      <w:r>
        <w:rPr>
          <w:rFonts w:ascii="맑은 고딕" w:hAnsi="맑은 고딕" w:eastAsia="맑은 고딕"/>
          <w:sz w:val="21"/>
        </w:rPr>
        <w:t>캡션 옆 QR로 다국어·심화 정보를 제공해 오프라인 경험에 디지털 레이어를 얹는다. 현장 콘텐츠에 확장 정보(영상·해설·구매 링크)를 연결하는 방식으로 응용 가능.</w:t>
      </w:r>
    </w:p>
    <w:p>
      <w:pPr>
        <w:spacing w:before="160" w:after="80"/>
      </w:pPr>
      <w:r>
        <w:rPr>
          <w:rFonts w:ascii="맑은 고딕" w:hAnsi="맑은 고딕" w:eastAsia="맑은 고딕"/>
          <w:b/>
          <w:color w:val="333333"/>
          <w:sz w:val="23"/>
        </w:rPr>
        <w:t>(B) 브랜드·콘텐츠·커뮤니케이션</w:t>
      </w:r>
    </w:p>
    <w:p>
      <w:pPr>
        <w:pStyle w:val="ListBullet"/>
        <w:spacing w:after="80" w:line="276" w:lineRule="auto"/>
      </w:pPr>
      <w:r>
        <w:rPr>
          <w:rFonts w:ascii="맑은 고딕" w:hAnsi="맑은 고딕" w:eastAsia="맑은 고딕"/>
          <w:b/>
          <w:sz w:val="21"/>
        </w:rPr>
        <w:t xml:space="preserve">앵커 IP를 통한 가치 제고 — </w:t>
      </w:r>
      <w:r>
        <w:rPr>
          <w:rFonts w:ascii="맑은 고딕" w:hAnsi="맑은 고딕" w:eastAsia="맑은 고딕"/>
          <w:sz w:val="21"/>
        </w:rPr>
        <w:t>강력한 외부 브랜드와의 제휴가 공간·콘텐츠 전체의 신뢰도와 집객을 끌어올린다. 협업 파트너 선정이 곧 포지셔닝 전략임을 보여준다.</w:t>
      </w:r>
    </w:p>
    <w:p>
      <w:pPr>
        <w:pStyle w:val="ListBullet"/>
        <w:spacing w:after="80" w:line="276" w:lineRule="auto"/>
      </w:pPr>
      <w:r>
        <w:rPr>
          <w:rFonts w:ascii="맑은 고딕" w:hAnsi="맑은 고딕" w:eastAsia="맑은 고딕"/>
          <w:b/>
          <w:sz w:val="21"/>
        </w:rPr>
        <w:t xml:space="preserve">글로컬 현지화 — </w:t>
      </w:r>
      <w:r>
        <w:rPr>
          <w:rFonts w:ascii="맑은 고딕" w:hAnsi="맑은 고딕" w:eastAsia="맑은 고딕"/>
          <w:sz w:val="21"/>
        </w:rPr>
        <w:t>글로벌 IP에 '코리아 포커스'라는 로컬 레이어를 더해 관객과의 정서적 접점을 만든 구성. 외부 콘텐츠 도입 시 '현지 관객에게 어떤 우리 이야기로 연결할 것인가'를 반드시 함께 설계해야 함을 시사한다.</w:t>
      </w:r>
    </w:p>
    <w:p>
      <w:pPr>
        <w:pStyle w:val="ListBullet"/>
        <w:spacing w:after="80" w:line="276" w:lineRule="auto"/>
      </w:pPr>
      <w:r>
        <w:rPr>
          <w:rFonts w:ascii="맑은 고딕" w:hAnsi="맑은 고딕" w:eastAsia="맑은 고딕"/>
          <w:b/>
          <w:sz w:val="21"/>
        </w:rPr>
        <w:t xml:space="preserve">시각 언어로서의 큐비즘 — </w:t>
      </w:r>
      <w:r>
        <w:rPr>
          <w:rFonts w:ascii="맑은 고딕" w:hAnsi="맑은 고딕" w:eastAsia="맑은 고딕"/>
          <w:sz w:val="21"/>
        </w:rPr>
        <w:t>형태 해체·재구성과 다시점 동시 표현은 '하나의 화면에 여러 메시지를 압축'하는 구성 원리로, 비주얼·레이아웃·키 비주얼 개발에 응용 가능하다.</w:t>
      </w:r>
    </w:p>
    <w:p>
      <w:pPr>
        <w:pStyle w:val="ListBullet"/>
        <w:spacing w:after="80" w:line="276" w:lineRule="auto"/>
      </w:pPr>
      <w:r>
        <w:rPr>
          <w:rFonts w:ascii="맑은 고딕" w:hAnsi="맑은 고딕" w:eastAsia="맑은 고딕"/>
          <w:b/>
          <w:sz w:val="21"/>
        </w:rPr>
        <w:t xml:space="preserve">색채·기하 모티프 — </w:t>
      </w:r>
      <w:r>
        <w:rPr>
          <w:rFonts w:ascii="맑은 고딕" w:hAnsi="맑은 고딕" w:eastAsia="맑은 고딕"/>
          <w:sz w:val="21"/>
        </w:rPr>
        <w:t>들로네식의 대담한 색 대비와 원형·기하 리듬은 강한 인상을 남기는 비주얼 아이덴티티 개발에 영감을 준다.</w:t>
      </w:r>
    </w:p>
    <w:p>
      <w:pPr>
        <w:pStyle w:val="ListBullet"/>
        <w:spacing w:after="80" w:line="276" w:lineRule="auto"/>
      </w:pPr>
      <w:r>
        <w:rPr>
          <w:rFonts w:ascii="맑은 고딕" w:hAnsi="맑은 고딕" w:eastAsia="맑은 고딕"/>
          <w:b/>
          <w:sz w:val="21"/>
        </w:rPr>
        <w:t xml:space="preserve">핵심 원칙, '재현이 아닌 개념 전달' — </w:t>
      </w:r>
      <w:r>
        <w:rPr>
          <w:rFonts w:ascii="맑은 고딕" w:hAnsi="맑은 고딕" w:eastAsia="맑은 고딕"/>
          <w:sz w:val="21"/>
        </w:rPr>
        <w:t>보이는 그대로가 아니라 전하려는 메시지를 시각적으로 재구성한다는 큐비즘의 태도는, '무엇을 말할지'를 먼저 정하고 표현은 그 다음이라는 작업 원칙과 정확히 맞닿는다.</w:t>
      </w:r>
    </w:p>
    <w:p>
      <w:pPr>
        <w:spacing w:before="160" w:after="80"/>
      </w:pPr>
      <w:r>
        <w:rPr>
          <w:rFonts w:ascii="맑은 고딕" w:hAnsi="맑은 고딕" w:eastAsia="맑은 고딕"/>
          <w:b/>
          <w:color w:val="333333"/>
          <w:sz w:val="23"/>
        </w:rPr>
        <w:t>시사점 요약</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tcPr>
          <w:p>
            <w:pPr>
              <w:jc w:val="center"/>
            </w:pPr>
            <w:r>
              <w:rPr>
                <w:rFonts w:ascii="맑은 고딕" w:hAnsi="맑은 고딕" w:eastAsia="맑은 고딕"/>
                <w:b/>
                <w:color w:val="FFFFFF"/>
                <w:sz w:val="19"/>
              </w:rPr>
              <w:t>관찰 포인트</w:t>
            </w:r>
          </w:p>
        </w:tc>
        <w:tc>
          <w:tcPr>
            <w:tcW w:type="dxa" w:w="3402"/>
          </w:tcPr>
          <w:p>
            <w:pPr>
              <w:jc w:val="center"/>
            </w:pPr>
            <w:r>
              <w:rPr>
                <w:rFonts w:ascii="맑은 고딕" w:hAnsi="맑은 고딕" w:eastAsia="맑은 고딕"/>
                <w:b/>
                <w:color w:val="FFFFFF"/>
                <w:sz w:val="19"/>
              </w:rPr>
              <w:t>전시에서의 구현</w:t>
            </w:r>
          </w:p>
        </w:tc>
        <w:tc>
          <w:tcPr>
            <w:tcW w:type="dxa" w:w="3685"/>
          </w:tcPr>
          <w:p>
            <w:pPr>
              <w:jc w:val="center"/>
            </w:pPr>
            <w:r>
              <w:rPr>
                <w:rFonts w:ascii="맑은 고딕" w:hAnsi="맑은 고딕" w:eastAsia="맑은 고딕"/>
                <w:b/>
                <w:color w:val="FFFFFF"/>
                <w:sz w:val="19"/>
              </w:rPr>
              <w:t>업무 적용 방향</w:t>
            </w:r>
          </w:p>
        </w:tc>
      </w:tr>
      <w:tr>
        <w:tc>
          <w:tcPr>
            <w:tcW w:type="dxa" w:w="1984"/>
          </w:tcPr>
          <w:p>
            <w:r>
              <w:rPr>
                <w:rFonts w:ascii="맑은 고딕" w:hAnsi="맑은 고딕" w:eastAsia="맑은 고딕"/>
                <w:sz w:val="19"/>
              </w:rPr>
              <w:t>내러티브 구성</w:t>
            </w:r>
          </w:p>
        </w:tc>
        <w:tc>
          <w:tcPr>
            <w:tcW w:type="dxa" w:w="3402"/>
          </w:tcPr>
          <w:p>
            <w:r>
              <w:rPr>
                <w:rFonts w:ascii="맑은 고딕" w:hAnsi="맑은 고딕" w:eastAsia="맑은 고딕"/>
                <w:sz w:val="19"/>
              </w:rPr>
              <w:t>8개 섹션의 점층적 전개</w:t>
            </w:r>
          </w:p>
        </w:tc>
        <w:tc>
          <w:tcPr>
            <w:tcW w:type="dxa" w:w="3685"/>
          </w:tcPr>
          <w:p>
            <w:r>
              <w:rPr>
                <w:rFonts w:ascii="맑은 고딕" w:hAnsi="맑은 고딕" w:eastAsia="맑은 고딕"/>
                <w:sz w:val="19"/>
              </w:rPr>
              <w:t>기획·발표물을 '메시지→점층 근거' 구조로 설계</w:t>
            </w:r>
          </w:p>
        </w:tc>
      </w:tr>
      <w:tr>
        <w:tc>
          <w:tcPr>
            <w:tcW w:type="dxa" w:w="1984"/>
          </w:tcPr>
          <w:p>
            <w:r>
              <w:rPr>
                <w:rFonts w:ascii="맑은 고딕" w:hAnsi="맑은 고딕" w:eastAsia="맑은 고딕"/>
                <w:sz w:val="19"/>
              </w:rPr>
              <w:t>고객 경험 여정</w:t>
            </w:r>
          </w:p>
        </w:tc>
        <w:tc>
          <w:tcPr>
            <w:tcW w:type="dxa" w:w="3402"/>
          </w:tcPr>
          <w:p>
            <w:r>
              <w:rPr>
                <w:rFonts w:ascii="맑은 고딕" w:hAnsi="맑은 고딕" w:eastAsia="맑은 고딕"/>
                <w:sz w:val="19"/>
              </w:rPr>
              <w:t>도입–몰입–절정–공유–전환 동선</w:t>
            </w:r>
          </w:p>
        </w:tc>
        <w:tc>
          <w:tcPr>
            <w:tcW w:type="dxa" w:w="3685"/>
          </w:tcPr>
          <w:p>
            <w:r>
              <w:rPr>
                <w:rFonts w:ascii="맑은 고딕" w:hAnsi="맑은 고딕" w:eastAsia="맑은 고딕"/>
                <w:sz w:val="19"/>
              </w:rPr>
              <w:t>체험 공간을 정지·촬영·구매 지점 기준으로 설계</w:t>
            </w:r>
          </w:p>
        </w:tc>
      </w:tr>
      <w:tr>
        <w:tc>
          <w:tcPr>
            <w:tcW w:type="dxa" w:w="1984"/>
          </w:tcPr>
          <w:p>
            <w:r>
              <w:rPr>
                <w:rFonts w:ascii="맑은 고딕" w:hAnsi="맑은 고딕" w:eastAsia="맑은 고딕"/>
                <w:sz w:val="19"/>
              </w:rPr>
              <w:t>포토 스폿/UGC</w:t>
            </w:r>
          </w:p>
        </w:tc>
        <w:tc>
          <w:tcPr>
            <w:tcW w:type="dxa" w:w="3402"/>
          </w:tcPr>
          <w:p>
            <w:r>
              <w:rPr>
                <w:rFonts w:ascii="맑은 고딕" w:hAnsi="맑은 고딕" w:eastAsia="맑은 고딕"/>
                <w:sz w:val="19"/>
              </w:rPr>
              <w:t>들로네 색채 구간의 촬영 집중</w:t>
            </w:r>
          </w:p>
        </w:tc>
        <w:tc>
          <w:tcPr>
            <w:tcW w:type="dxa" w:w="3685"/>
          </w:tcPr>
          <w:p>
            <w:r>
              <w:rPr>
                <w:rFonts w:ascii="맑은 고딕" w:hAnsi="맑은 고딕" w:eastAsia="맑은 고딕"/>
                <w:sz w:val="19"/>
              </w:rPr>
              <w:t>공유를 부르는 '한 장면'을 의도적으로 배치</w:t>
            </w:r>
          </w:p>
        </w:tc>
      </w:tr>
      <w:tr>
        <w:tc>
          <w:tcPr>
            <w:tcW w:type="dxa" w:w="1984"/>
          </w:tcPr>
          <w:p>
            <w:r>
              <w:rPr>
                <w:rFonts w:ascii="맑은 고딕" w:hAnsi="맑은 고딕" w:eastAsia="맑은 고딕"/>
                <w:sz w:val="19"/>
              </w:rPr>
              <w:t>앵커 IP·제휴</w:t>
            </w:r>
          </w:p>
        </w:tc>
        <w:tc>
          <w:tcPr>
            <w:tcW w:type="dxa" w:w="3402"/>
          </w:tcPr>
          <w:p>
            <w:r>
              <w:rPr>
                <w:rFonts w:ascii="맑은 고딕" w:hAnsi="맑은 고딕" w:eastAsia="맑은 고딕"/>
                <w:sz w:val="19"/>
              </w:rPr>
              <w:t>퐁피두 브랜드의 집객·격 제고</w:t>
            </w:r>
          </w:p>
        </w:tc>
        <w:tc>
          <w:tcPr>
            <w:tcW w:type="dxa" w:w="3685"/>
          </w:tcPr>
          <w:p>
            <w:r>
              <w:rPr>
                <w:rFonts w:ascii="맑은 고딕" w:hAnsi="맑은 고딕" w:eastAsia="맑은 고딕"/>
                <w:sz w:val="19"/>
              </w:rPr>
              <w:t>파트너 선정을 포지셔닝 전략으로 접근</w:t>
            </w:r>
          </w:p>
        </w:tc>
      </w:tr>
      <w:tr>
        <w:tc>
          <w:tcPr>
            <w:tcW w:type="dxa" w:w="1984"/>
          </w:tcPr>
          <w:p>
            <w:r>
              <w:rPr>
                <w:rFonts w:ascii="맑은 고딕" w:hAnsi="맑은 고딕" w:eastAsia="맑은 고딕"/>
                <w:sz w:val="19"/>
              </w:rPr>
              <w:t>글로컬 현지화</w:t>
            </w:r>
          </w:p>
        </w:tc>
        <w:tc>
          <w:tcPr>
            <w:tcW w:type="dxa" w:w="3402"/>
          </w:tcPr>
          <w:p>
            <w:r>
              <w:rPr>
                <w:rFonts w:ascii="맑은 고딕" w:hAnsi="맑은 고딕" w:eastAsia="맑은 고딕"/>
                <w:sz w:val="19"/>
              </w:rPr>
              <w:t>코리아 포커스 특별 섹션</w:t>
            </w:r>
          </w:p>
        </w:tc>
        <w:tc>
          <w:tcPr>
            <w:tcW w:type="dxa" w:w="3685"/>
          </w:tcPr>
          <w:p>
            <w:r>
              <w:rPr>
                <w:rFonts w:ascii="맑은 고딕" w:hAnsi="맑은 고딕" w:eastAsia="맑은 고딕"/>
                <w:sz w:val="19"/>
              </w:rPr>
              <w:t>외부 IP에 '우리 이야기' 로컬 레이어 결합</w:t>
            </w:r>
          </w:p>
        </w:tc>
      </w:tr>
      <w:tr>
        <w:tc>
          <w:tcPr>
            <w:tcW w:type="dxa" w:w="1984"/>
          </w:tcPr>
          <w:p>
            <w:r>
              <w:rPr>
                <w:rFonts w:ascii="맑은 고딕" w:hAnsi="맑은 고딕" w:eastAsia="맑은 고딕"/>
                <w:sz w:val="19"/>
              </w:rPr>
              <w:t>공간 리브랜딩</w:t>
            </w:r>
          </w:p>
        </w:tc>
        <w:tc>
          <w:tcPr>
            <w:tcW w:type="dxa" w:w="3402"/>
          </w:tcPr>
          <w:p>
            <w:r>
              <w:rPr>
                <w:rFonts w:ascii="맑은 고딕" w:hAnsi="맑은 고딕" w:eastAsia="맑은 고딕"/>
                <w:sz w:val="19"/>
              </w:rPr>
              <w:t>아쿠아리움→'빛의 상자' 전환</w:t>
            </w:r>
          </w:p>
        </w:tc>
        <w:tc>
          <w:tcPr>
            <w:tcW w:type="dxa" w:w="3685"/>
          </w:tcPr>
          <w:p>
            <w:r>
              <w:rPr>
                <w:rFonts w:ascii="맑은 고딕" w:hAnsi="맑은 고딕" w:eastAsia="맑은 고딕"/>
                <w:sz w:val="19"/>
              </w:rPr>
              <w:t>기존 자산의 재해석으로 방문 동기 창출</w:t>
            </w:r>
          </w:p>
        </w:tc>
      </w:tr>
    </w:tbl>
    <w:p>
      <w:pPr>
        <w:spacing w:after="40"/>
      </w:pPr>
    </w:p>
    <w:p>
      <w:pPr>
        <w:spacing w:before="280" w:after="120"/>
      </w:pPr>
      <w:r>
        <w:rPr>
          <w:rFonts w:ascii="맑은 고딕" w:hAnsi="맑은 고딕" w:eastAsia="맑은 고딕"/>
          <w:b/>
          <w:color w:val="1F3764"/>
          <w:sz w:val="28"/>
        </w:rPr>
        <w:t>4. 적용 제안</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tcPr>
          <w:p>
            <w:pPr>
              <w:jc w:val="center"/>
            </w:pPr>
            <w:r>
              <w:rPr>
                <w:rFonts w:ascii="맑은 고딕" w:hAnsi="맑은 고딕" w:eastAsia="맑은 고딕"/>
                <w:b/>
                <w:color w:val="FFFFFF"/>
                <w:sz w:val="19"/>
              </w:rPr>
              <w:t>제안 과제</w:t>
            </w:r>
          </w:p>
        </w:tc>
        <w:tc>
          <w:tcPr>
            <w:tcW w:type="dxa" w:w="3969"/>
          </w:tcPr>
          <w:p>
            <w:pPr>
              <w:jc w:val="center"/>
            </w:pPr>
            <w:r>
              <w:rPr>
                <w:rFonts w:ascii="맑은 고딕" w:hAnsi="맑은 고딕" w:eastAsia="맑은 고딕"/>
                <w:b/>
                <w:color w:val="FFFFFF"/>
                <w:sz w:val="19"/>
              </w:rPr>
              <w:t>실행 아이디어</w:t>
            </w:r>
          </w:p>
        </w:tc>
        <w:tc>
          <w:tcPr>
            <w:tcW w:type="dxa" w:w="3118"/>
          </w:tcPr>
          <w:p>
            <w:pPr>
              <w:jc w:val="center"/>
            </w:pPr>
            <w:r>
              <w:rPr>
                <w:rFonts w:ascii="맑은 고딕" w:hAnsi="맑은 고딕" w:eastAsia="맑은 고딕"/>
                <w:b/>
                <w:color w:val="FFFFFF"/>
                <w:sz w:val="19"/>
              </w:rPr>
              <w:t>기대 효과 / 검토 지표</w:t>
            </w:r>
          </w:p>
        </w:tc>
      </w:tr>
      <w:tr>
        <w:tc>
          <w:tcPr>
            <w:tcW w:type="dxa" w:w="1984"/>
          </w:tcPr>
          <w:p>
            <w:r>
              <w:rPr>
                <w:rFonts w:ascii="맑은 고딕" w:hAnsi="맑은 고딕" w:eastAsia="맑은 고딕"/>
                <w:sz w:val="19"/>
              </w:rPr>
              <w:t>기획 구성 템플릿화</w:t>
            </w:r>
          </w:p>
        </w:tc>
        <w:tc>
          <w:tcPr>
            <w:tcW w:type="dxa" w:w="3969"/>
          </w:tcPr>
          <w:p>
            <w:r>
              <w:rPr>
                <w:rFonts w:ascii="맑은 고딕" w:hAnsi="맑은 고딕" w:eastAsia="맑은 고딕"/>
                <w:sz w:val="19"/>
              </w:rPr>
              <w:t>'개념 선언 → 단계적 심화 → 로컬 연결'의 내러티브 틀을 표준 제안서 템플릿으로 정립</w:t>
            </w:r>
          </w:p>
        </w:tc>
        <w:tc>
          <w:tcPr>
            <w:tcW w:type="dxa" w:w="3118"/>
          </w:tcPr>
          <w:p>
            <w:r>
              <w:rPr>
                <w:rFonts w:ascii="맑은 고딕" w:hAnsi="맑은 고딕" w:eastAsia="맑은 고딕"/>
                <w:sz w:val="19"/>
              </w:rPr>
              <w:t>메시지 전달력 향상 / 제안 채택률·이해도</w:t>
            </w:r>
          </w:p>
        </w:tc>
      </w:tr>
      <w:tr>
        <w:tc>
          <w:tcPr>
            <w:tcW w:type="dxa" w:w="1984"/>
          </w:tcPr>
          <w:p>
            <w:r>
              <w:rPr>
                <w:rFonts w:ascii="맑은 고딕" w:hAnsi="맑은 고딕" w:eastAsia="맑은 고딕"/>
                <w:sz w:val="19"/>
              </w:rPr>
              <w:t>체험 동선 설계 가이드</w:t>
            </w:r>
          </w:p>
        </w:tc>
        <w:tc>
          <w:tcPr>
            <w:tcW w:type="dxa" w:w="3969"/>
          </w:tcPr>
          <w:p>
            <w:r>
              <w:rPr>
                <w:rFonts w:ascii="맑은 고딕" w:hAnsi="맑은 고딕" w:eastAsia="맑은 고딕"/>
                <w:sz w:val="19"/>
              </w:rPr>
              <w:t>오프라인 행사·부스에 '정지–촬영–전환' 포인트를 사전 설계하는 체크리스트 도입</w:t>
            </w:r>
          </w:p>
        </w:tc>
        <w:tc>
          <w:tcPr>
            <w:tcW w:type="dxa" w:w="3118"/>
          </w:tcPr>
          <w:p>
            <w:r>
              <w:rPr>
                <w:rFonts w:ascii="맑은 고딕" w:hAnsi="맑은 고딕" w:eastAsia="맑은 고딕"/>
                <w:sz w:val="19"/>
              </w:rPr>
              <w:t>체류시간·UGC 발생량·전환율</w:t>
            </w:r>
          </w:p>
        </w:tc>
      </w:tr>
      <w:tr>
        <w:tc>
          <w:tcPr>
            <w:tcW w:type="dxa" w:w="1984"/>
          </w:tcPr>
          <w:p>
            <w:r>
              <w:rPr>
                <w:rFonts w:ascii="맑은 고딕" w:hAnsi="맑은 고딕" w:eastAsia="맑은 고딕"/>
                <w:sz w:val="19"/>
              </w:rPr>
              <w:t>비주얼 레퍼런스 보강</w:t>
            </w:r>
          </w:p>
        </w:tc>
        <w:tc>
          <w:tcPr>
            <w:tcW w:type="dxa" w:w="3969"/>
          </w:tcPr>
          <w:p>
            <w:r>
              <w:rPr>
                <w:rFonts w:ascii="맑은 고딕" w:hAnsi="맑은 고딕" w:eastAsia="맑은 고딕"/>
                <w:sz w:val="19"/>
              </w:rPr>
              <w:t>큐비즘/오르피즘의 색채·기하 모티프를 무드보드에 추가, '메시지 우선' 원칙 명문화</w:t>
            </w:r>
          </w:p>
        </w:tc>
        <w:tc>
          <w:tcPr>
            <w:tcW w:type="dxa" w:w="3118"/>
          </w:tcPr>
          <w:p>
            <w:r>
              <w:rPr>
                <w:rFonts w:ascii="맑은 고딕" w:hAnsi="맑은 고딕" w:eastAsia="맑은 고딕"/>
                <w:sz w:val="19"/>
              </w:rPr>
              <w:t>비주얼 일관성·차별성</w:t>
            </w:r>
          </w:p>
        </w:tc>
      </w:tr>
      <w:tr>
        <w:tc>
          <w:tcPr>
            <w:tcW w:type="dxa" w:w="1984"/>
          </w:tcPr>
          <w:p>
            <w:r>
              <w:rPr>
                <w:rFonts w:ascii="맑은 고딕" w:hAnsi="맑은 고딕" w:eastAsia="맑은 고딕"/>
                <w:sz w:val="19"/>
              </w:rPr>
              <w:t>단체 견학 추진</w:t>
            </w:r>
          </w:p>
        </w:tc>
        <w:tc>
          <w:tcPr>
            <w:tcW w:type="dxa" w:w="3969"/>
          </w:tcPr>
          <w:p>
            <w:r>
              <w:rPr>
                <w:rFonts w:ascii="맑은 고딕" w:hAnsi="맑은 고딕" w:eastAsia="맑은 고딕"/>
                <w:sz w:val="19"/>
              </w:rPr>
              <w:t>전시 종료(10/4) 전 부서 단체 관람 ― 공간 연출·동선을 직접 체험</w:t>
            </w:r>
          </w:p>
        </w:tc>
        <w:tc>
          <w:tcPr>
            <w:tcW w:type="dxa" w:w="3118"/>
          </w:tcPr>
          <w:p>
            <w:r>
              <w:rPr>
                <w:rFonts w:ascii="맑은 고딕" w:hAnsi="맑은 고딕" w:eastAsia="맑은 고딕"/>
                <w:sz w:val="19"/>
              </w:rPr>
              <w:t>벤치마킹 내재화 / 후속 아이디어 도출</w:t>
            </w:r>
          </w:p>
        </w:tc>
      </w:tr>
    </w:tbl>
    <w:p>
      <w:pPr>
        <w:spacing w:after="40"/>
      </w:pPr>
    </w:p>
    <w:p>
      <w:pPr>
        <w:spacing w:before="280" w:after="120"/>
      </w:pPr>
      <w:r>
        <w:rPr>
          <w:rFonts w:ascii="맑은 고딕" w:hAnsi="맑은 고딕" w:eastAsia="맑은 고딕"/>
          <w:b/>
          <w:color w:val="1F3764"/>
          <w:sz w:val="28"/>
        </w:rPr>
        <w:t>5. 관찰된 한계 및 유의점</w:t>
      </w:r>
    </w:p>
    <w:p>
      <w:pPr>
        <w:spacing w:after="80" w:line="276" w:lineRule="auto"/>
      </w:pPr>
      <w:r>
        <w:rPr>
          <w:rFonts w:ascii="맑은 고딕" w:hAnsi="맑은 고딕" w:eastAsia="맑은 고딕"/>
          <w:color w:val="666666"/>
          <w:sz w:val="21"/>
        </w:rPr>
        <w:t>균형 잡힌 참고를 위해 한계점도 함께 기록한다.</w:t>
      </w:r>
    </w:p>
    <w:p>
      <w:pPr>
        <w:pStyle w:val="ListBullet"/>
        <w:spacing w:after="80" w:line="276" w:lineRule="auto"/>
      </w:pPr>
      <w:r>
        <w:rPr>
          <w:rFonts w:ascii="맑은 고딕" w:hAnsi="맑은 고딕" w:eastAsia="맑은 고딕"/>
          <w:b/>
          <w:sz w:val="21"/>
        </w:rPr>
        <w:t xml:space="preserve">높은 객단가 — </w:t>
      </w:r>
      <w:r>
        <w:rPr>
          <w:rFonts w:ascii="맑은 고딕" w:hAnsi="맑은 고딕" w:eastAsia="맑은 고딕"/>
          <w:sz w:val="21"/>
        </w:rPr>
        <w:t>성인 28,000원의 가격은 진입 장벽으로 작용할 수 있어, 가격 대비 경험 가치(전시 밀도·체류시간·부대 콘텐츠)에 대한 기대 관리가 필요하다.</w:t>
      </w:r>
    </w:p>
    <w:p>
      <w:pPr>
        <w:pStyle w:val="ListBullet"/>
        <w:spacing w:after="80" w:line="276" w:lineRule="auto"/>
      </w:pPr>
      <w:r>
        <w:rPr>
          <w:rFonts w:ascii="맑은 고딕" w:hAnsi="맑은 고딕" w:eastAsia="맑은 고딕"/>
          <w:b/>
          <w:sz w:val="21"/>
        </w:rPr>
        <w:t xml:space="preserve">주제의 난도 — </w:t>
      </w:r>
      <w:r>
        <w:rPr>
          <w:rFonts w:ascii="맑은 고딕" w:hAnsi="맑은 고딕" w:eastAsia="맑은 고딕"/>
          <w:sz w:val="21"/>
        </w:rPr>
        <w:t>큐비즘은 대중적으로 다소 어려운 사조로, 내러티브 설계에도 불구하고 사전 지식이 없으면 몰입이 떨어질 수 있다. 도슨트·디지털 해설 등 보조 장치의 중요성을 시사한다.</w:t>
      </w:r>
    </w:p>
    <w:p>
      <w:pPr>
        <w:pStyle w:val="ListBullet"/>
        <w:spacing w:after="80" w:line="276" w:lineRule="auto"/>
      </w:pPr>
      <w:r>
        <w:rPr>
          <w:rFonts w:ascii="맑은 고딕" w:hAnsi="맑은 고딕" w:eastAsia="맑은 고딕"/>
          <w:b/>
          <w:sz w:val="21"/>
        </w:rPr>
        <w:t xml:space="preserve">IP 의존도 — </w:t>
      </w:r>
      <w:r>
        <w:rPr>
          <w:rFonts w:ascii="맑은 고딕" w:hAnsi="맑은 고딕" w:eastAsia="맑은 고딕"/>
          <w:sz w:val="21"/>
        </w:rPr>
        <w:t>브랜드 파워에 기댄 집객은 강력하지만, 콘텐츠 자체의 차별성과 현지화 깊이가 뒷받침되지 않으면 지속성에 한계가 있을 수 있다.</w:t>
      </w:r>
    </w:p>
    <w:p>
      <w:pPr>
        <w:spacing w:before="280" w:after="120"/>
      </w:pPr>
      <w:r>
        <w:rPr>
          <w:rFonts w:ascii="맑은 고딕" w:hAnsi="맑은 고딕" w:eastAsia="맑은 고딕"/>
          <w:b/>
          <w:color w:val="1F3764"/>
          <w:sz w:val="28"/>
        </w:rPr>
        <w:t>6. 결론</w:t>
      </w:r>
    </w:p>
    <w:p>
      <w:pPr>
        <w:spacing w:after="80" w:line="276" w:lineRule="auto"/>
      </w:pPr>
      <w:r>
        <w:rPr>
          <w:rFonts w:ascii="맑은 고딕" w:hAnsi="맑은 고딕" w:eastAsia="맑은 고딕"/>
          <w:sz w:val="21"/>
        </w:rPr>
        <w:t>〈큐비스트: 시각의 혁신가들〉은 100년 전 미술 사조를 다루지만, 그 운영과 연출 방식은 '글로벌 콘텐츠의 국내 안착 + 공간 리브랜딩 + 현지화'라는, 오늘날 우리 업무에 그대로 시사점을 주는 사례였다. 특히 어려운 주제를 단계적 내러티브로 풀어내고, 관람객의 경험 여정을 동선 위에 설계하며, 글로벌 브랜드에 로컬 맥락을 결합한 세 가지 지점은 향후 기획·콘텐츠 업무에 구체적으로 차용할 가치가 있다. 전시는 10월 4일까지 이어지는 만큼, 부서 차원의 단체 견학을 통해 현장 경험을 공유하고 후속 아이디어로 발전시킬 것을 제안한다.</w:t>
      </w:r>
    </w:p>
    <w:p>
      <w:pPr>
        <w:spacing w:before="280" w:after="120"/>
      </w:pPr>
      <w:r>
        <w:rPr>
          <w:rFonts w:ascii="맑은 고딕" w:hAnsi="맑은 고딕" w:eastAsia="맑은 고딕"/>
          <w:b/>
          <w:color w:val="1F3764"/>
          <w:sz w:val="28"/>
        </w:rPr>
        <w:t>부록 1. 현장 사진 목록</w:t>
      </w:r>
    </w:p>
    <w:p>
      <w:pPr>
        <w:spacing w:after="80" w:line="276" w:lineRule="auto"/>
      </w:pPr>
      <w:r>
        <w:rPr>
          <w:rFonts w:ascii="맑은 고딕" w:hAnsi="맑은 고딕" w:eastAsia="맑은 고딕"/>
          <w:sz w:val="21"/>
        </w:rPr>
        <w:t>현장 사진(총 11장)은 본문 각 항목에 삽입했으며, 도판 목록은 다음과 같다.</w:t>
      </w:r>
    </w:p>
    <w:p>
      <w:pPr>
        <w:spacing w:after="80" w:line="276" w:lineRule="auto"/>
        <w:ind w:left="280"/>
      </w:pPr>
      <w:r>
        <w:rPr>
          <w:rFonts w:ascii="맑은 고딕" w:hAnsi="맑은 고딕" w:eastAsia="맑은 고딕"/>
          <w:sz w:val="20"/>
        </w:rPr>
        <w:t>사진 1: 전시 도입부 아폴리네르 인용문 (텍스트 월)</w:t>
      </w:r>
    </w:p>
    <w:p>
      <w:pPr>
        <w:spacing w:after="80" w:line="276" w:lineRule="auto"/>
        <w:ind w:left="280"/>
      </w:pPr>
      <w:r>
        <w:rPr>
          <w:rFonts w:ascii="맑은 고딕" w:hAnsi="맑은 고딕" w:eastAsia="맑은 고딕"/>
          <w:sz w:val="20"/>
        </w:rPr>
        <w:t>사진 2: 피카소 〈여인의 두상〉(1907)</w:t>
      </w:r>
    </w:p>
    <w:p>
      <w:pPr>
        <w:spacing w:after="80" w:line="276" w:lineRule="auto"/>
        <w:ind w:left="280"/>
      </w:pPr>
      <w:r>
        <w:rPr>
          <w:rFonts w:ascii="맑은 고딕" w:hAnsi="맑은 고딕" w:eastAsia="맑은 고딕"/>
          <w:sz w:val="20"/>
        </w:rPr>
        <w:t>사진 3: 피카소 〈여인 두상(Head of a Woman)〉</w:t>
      </w:r>
    </w:p>
    <w:p>
      <w:pPr>
        <w:spacing w:after="80" w:line="276" w:lineRule="auto"/>
        <w:ind w:left="280"/>
      </w:pPr>
      <w:r>
        <w:rPr>
          <w:rFonts w:ascii="맑은 고딕" w:hAnsi="맑은 고딕" w:eastAsia="맑은 고딕"/>
          <w:sz w:val="20"/>
        </w:rPr>
        <w:t>사진 4: 누워 있는 인물 (분석적 큐비즘)</w:t>
      </w:r>
    </w:p>
    <w:p>
      <w:pPr>
        <w:spacing w:after="80" w:line="276" w:lineRule="auto"/>
        <w:ind w:left="280"/>
      </w:pPr>
      <w:r>
        <w:rPr>
          <w:rFonts w:ascii="맑은 고딕" w:hAnsi="맑은 고딕" w:eastAsia="맑은 고딕"/>
          <w:sz w:val="20"/>
        </w:rPr>
        <w:t>사진 5: 다면 분할 분석적 큐비즘 회화</w:t>
      </w:r>
    </w:p>
    <w:p>
      <w:pPr>
        <w:spacing w:after="80" w:line="276" w:lineRule="auto"/>
        <w:ind w:left="280"/>
      </w:pPr>
      <w:r>
        <w:rPr>
          <w:rFonts w:ascii="맑은 고딕" w:hAnsi="맑은 고딕" w:eastAsia="맑은 고딕"/>
          <w:sz w:val="20"/>
        </w:rPr>
        <w:t>사진 6: 인물·형태가 중첩된 대형 큐비즘 회화</w:t>
      </w:r>
    </w:p>
    <w:p>
      <w:pPr>
        <w:spacing w:after="80" w:line="276" w:lineRule="auto"/>
        <w:ind w:left="280"/>
      </w:pPr>
      <w:r>
        <w:rPr>
          <w:rFonts w:ascii="맑은 고딕" w:hAnsi="맑은 고딕" w:eastAsia="맑은 고딕"/>
          <w:sz w:val="20"/>
        </w:rPr>
        <w:t>사진 7: 점묘·패턴이 결합된 종합적 큐비즘 회화</w:t>
      </w:r>
    </w:p>
    <w:p>
      <w:pPr>
        <w:spacing w:after="80" w:line="276" w:lineRule="auto"/>
        <w:ind w:left="280"/>
      </w:pPr>
      <w:r>
        <w:rPr>
          <w:rFonts w:ascii="맑은 고딕" w:hAnsi="맑은 고딕" w:eastAsia="맑은 고딕"/>
          <w:sz w:val="20"/>
        </w:rPr>
        <w:t>사진 8: 소니아 들로네 원형 색채 추상 (단독)</w:t>
      </w:r>
    </w:p>
    <w:p>
      <w:pPr>
        <w:spacing w:after="80" w:line="276" w:lineRule="auto"/>
        <w:ind w:left="280"/>
      </w:pPr>
      <w:r>
        <w:rPr>
          <w:rFonts w:ascii="맑은 고딕" w:hAnsi="맑은 고딕" w:eastAsia="맑은 고딕"/>
          <w:sz w:val="20"/>
        </w:rPr>
        <w:t>사진 9: 들로네 작품 전시 벽면 전경</w:t>
      </w:r>
    </w:p>
    <w:p>
      <w:pPr>
        <w:spacing w:after="80" w:line="276" w:lineRule="auto"/>
        <w:ind w:left="280"/>
      </w:pPr>
      <w:r>
        <w:rPr>
          <w:rFonts w:ascii="맑은 고딕" w:hAnsi="맑은 고딕" w:eastAsia="맑은 고딕"/>
          <w:sz w:val="20"/>
        </w:rPr>
        <w:t>사진 10: 조르주 야쿨로프 〈Bull〉</w:t>
      </w:r>
    </w:p>
    <w:p>
      <w:pPr>
        <w:spacing w:after="80" w:line="276" w:lineRule="auto"/>
        <w:ind w:left="280"/>
      </w:pPr>
      <w:r>
        <w:rPr>
          <w:rFonts w:ascii="맑은 고딕" w:hAnsi="맑은 고딕" w:eastAsia="맑은 고딕"/>
          <w:sz w:val="20"/>
        </w:rPr>
        <w:t>사진 11: 아트리움 대형 무대막 (공간 연출 전경)</w:t>
      </w:r>
    </w:p>
    <w:p>
      <w:pPr>
        <w:spacing w:before="280" w:after="120"/>
      </w:pPr>
      <w:r>
        <w:rPr>
          <w:rFonts w:ascii="맑은 고딕" w:hAnsi="맑은 고딕" w:eastAsia="맑은 고딕"/>
          <w:b/>
          <w:color w:val="1F3764"/>
          <w:sz w:val="28"/>
        </w:rPr>
        <w:t>부록 2. 참고 출처</w:t>
      </w:r>
    </w:p>
    <w:p>
      <w:pPr>
        <w:spacing w:after="80" w:line="276" w:lineRule="auto"/>
        <w:ind w:left="280"/>
      </w:pPr>
      <w:r>
        <w:rPr>
          <w:rFonts w:ascii="맑은 고딕" w:hAnsi="맑은 고딕" w:eastAsia="맑은 고딕"/>
          <w:sz w:val="18"/>
        </w:rPr>
        <w:t>퐁피두센터 한화 — 한화문화재단 공식 (hanwhafoundation.org/business/pompidou)</w:t>
      </w:r>
    </w:p>
    <w:p>
      <w:pPr>
        <w:spacing w:after="80" w:line="276" w:lineRule="auto"/>
        <w:ind w:left="280"/>
      </w:pPr>
      <w:r>
        <w:rPr>
          <w:rFonts w:ascii="맑은 고딕" w:hAnsi="맑은 고딕" w:eastAsia="맑은 고딕"/>
          <w:sz w:val="18"/>
        </w:rPr>
        <w:t>Centre Pompidou Hanwha — Centre Pompidou 공식 (centrepompidou.fr)</w:t>
      </w:r>
    </w:p>
    <w:p>
      <w:pPr>
        <w:spacing w:after="80" w:line="276" w:lineRule="auto"/>
        <w:ind w:left="280"/>
      </w:pPr>
      <w:r>
        <w:rPr>
          <w:rFonts w:ascii="맑은 고딕" w:hAnsi="맑은 고딕" w:eastAsia="맑은 고딕"/>
          <w:sz w:val="18"/>
        </w:rPr>
        <w:t>여의도 63빌딩에 퐁피두센터 문 연다 — 경향신문 (khan.co.kr/article/202605191731001)</w:t>
      </w:r>
    </w:p>
    <w:p>
      <w:pPr>
        <w:spacing w:after="80" w:line="276" w:lineRule="auto"/>
        <w:ind w:left="280"/>
      </w:pPr>
      <w:r>
        <w:rPr>
          <w:rFonts w:ascii="맑은 고딕" w:hAnsi="맑은 고딕" w:eastAsia="맑은 고딕"/>
          <w:sz w:val="18"/>
        </w:rPr>
        <w:t>퐁피두센터 한화 개관, 첫 전시 《큐비스트: 시각의 혁신가들》 — 데일리아트 (d-art.co.kr)</w:t>
      </w:r>
    </w:p>
    <w:p>
      <w:pPr>
        <w:spacing w:after="80" w:line="276" w:lineRule="auto"/>
        <w:ind w:left="280"/>
      </w:pPr>
      <w:r>
        <w:rPr>
          <w:rFonts w:ascii="맑은 고딕" w:hAnsi="맑은 고딕" w:eastAsia="맑은 고딕"/>
          <w:sz w:val="18"/>
        </w:rPr>
        <w:t>Centre Pompidou Hanwha unveils Cubist masterpieces in Seoul — The Korea Herald</w:t>
      </w:r>
    </w:p>
    <w:p>
      <w:pPr>
        <w:spacing w:after="80" w:line="276" w:lineRule="auto"/>
        <w:ind w:left="280"/>
      </w:pPr>
      <w:r>
        <w:rPr>
          <w:rFonts w:ascii="맑은 고딕" w:hAnsi="맑은 고딕" w:eastAsia="맑은 고딕"/>
          <w:sz w:val="18"/>
        </w:rPr>
        <w:t>Inside Centre Pompidou Hanwha — Hanwha Newsroom / Artsy / Dezeen / designboom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