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F3764"/>
          <w:sz w:val="44"/>
        </w:rPr>
        <w:t>큐비즘 전시 견학 보고서</w:t>
      </w:r>
    </w:p>
    <w:p>
      <w:pPr>
        <w:jc w:val="center"/>
      </w:pPr>
      <w:r>
        <w:rPr>
          <w:rFonts w:ascii="맑은 고딕" w:hAnsi="맑은 고딕" w:eastAsia="맑은 고딕"/>
          <w:b/>
          <w:color w:val="333333"/>
          <w:sz w:val="24"/>
        </w:rPr>
        <w:t>― 〈큐비스트: 시각의 혁신가들〉을 '보는 방식의 전환'으로 읽다 ―</w:t>
      </w:r>
    </w:p>
    <w:p>
      <w:pPr>
        <w:jc w:val="center"/>
      </w:pPr>
      <w:r>
        <w:rPr>
          <w:rFonts w:ascii="맑은 고딕" w:hAnsi="맑은 고딕" w:eastAsia="맑은 고딕"/>
          <w:sz w:val="21"/>
        </w:rPr>
        <w:t>퐁피두센터 한화 · 2026. 6. 18. 관람    |    작성자: 김민지</w:t>
      </w:r>
    </w:p>
    <w:p/>
    <w:p>
      <w:pPr>
        <w:spacing w:before="280" w:after="120"/>
      </w:pPr>
      <w:r>
        <w:rPr>
          <w:rFonts w:ascii="맑은 고딕" w:hAnsi="맑은 고딕" w:eastAsia="맑은 고딕"/>
          <w:b/>
          <w:color w:val="1F3764"/>
          <w:sz w:val="28"/>
        </w:rPr>
        <w:t>들어가며 ― 이 보고서가 말하려는 것</w:t>
      </w:r>
    </w:p>
    <w:p>
      <w:pPr>
        <w:spacing w:after="120" w:line="300" w:lineRule="auto"/>
      </w:pPr>
      <w:r>
        <w:rPr>
          <w:rFonts w:ascii="맑은 고딕" w:hAnsi="맑은 고딕" w:eastAsia="맑은 고딕"/>
          <w:sz w:val="21"/>
        </w:rPr>
        <w:t>이 전시를 '유명 화가들의 찌그러진 그림 모음'으로 보면 견학에서 가져갈 것이 거의 없다. 큐비즘의 핵심은 그림의 양식이 아니라 '세상을 보는 방식'을 바꾼 사건에 있기 때문이다. 르네상스 이후 약 500년간 서양 회화를 지배한 단일 시점(원근법)을 큐비즘이 깨뜨린 그 전환은, 공교롭게도 지금 우리가 하는 커뮤니케이션 업무가 통과하고 있는 변화와 정확히 닮아 있었다.</w:t>
      </w:r>
    </w:p>
    <w:p>
      <w:pPr>
        <w:spacing w:after="120" w:line="300" w:lineRule="auto"/>
      </w:pPr>
      <w:r>
        <w:rPr>
          <w:rFonts w:ascii="맑은 고딕" w:hAnsi="맑은 고딕" w:eastAsia="맑은 고딕"/>
          <w:sz w:val="21"/>
        </w:rPr>
        <w:t>그래서 이 보고서는 작품 해설이 아니라, 전시가 던진 한 가지 질문 ― ‘하나의 정리된 이미지를 일방적으로 보여주던 시대가 끝났을 때, 우리는 무엇을 어떻게 전달해야 하는가’ ― 를 중심에 두고 정리했다. 결론부터 말하면, 큐비즘은 100년 앞서 그려 보인 ‘파편화된 인식’의 시각 이론이며, 그 안에 우리 업무에 대한 세 가지 구체적인 교훈이 들어 있었다.</w:t>
      </w:r>
    </w:p>
    <w:p>
      <w:pPr>
        <w:spacing w:before="280" w:after="120"/>
      </w:pPr>
      <w:r>
        <w:rPr>
          <w:rFonts w:ascii="맑은 고딕" w:hAnsi="맑은 고딕" w:eastAsia="맑은 고딕"/>
          <w:b/>
          <w:color w:val="1F3764"/>
          <w:sz w:val="28"/>
        </w:rPr>
        <w:t>1. 견학 개요</w:t>
      </w:r>
    </w:p>
    <w:tbl>
      <w:tblPr>
        <w:tblStyle w:val="LightGrid-Accent1"/>
        <w:tblW w:type="auto" w:w="0"/>
        <w:jc w:val="center"/>
        <w:tblLook w:firstColumn="1" w:firstRow="1" w:lastColumn="0" w:lastRow="0" w:noHBand="0" w:noVBand="1" w:val="04A0"/>
      </w:tblPr>
      <w:tblGrid>
        <w:gridCol w:w="4320"/>
        <w:gridCol w:w="4320"/>
      </w:tblGrid>
      <w:tr>
        <w:tc>
          <w:tcPr>
            <w:tcW w:type="dxa" w:w="1701"/>
          </w:tcPr>
          <w:p>
            <w:r>
              <w:rPr>
                <w:rFonts w:ascii="맑은 고딕" w:hAnsi="맑은 고딕" w:eastAsia="맑은 고딕"/>
                <w:b/>
                <w:sz w:val="19"/>
              </w:rPr>
              <w:t>전시</w:t>
            </w:r>
          </w:p>
        </w:tc>
        <w:tc>
          <w:tcPr>
            <w:tcW w:type="dxa" w:w="7370"/>
          </w:tcPr>
          <w:p>
            <w:r>
              <w:rPr>
                <w:rFonts w:ascii="맑은 고딕" w:hAnsi="맑은 고딕" w:eastAsia="맑은 고딕"/>
                <w:sz w:val="19"/>
              </w:rPr>
              <w:t>퐁피두센터 한화 개관전 〈큐비스트: 시각의 혁신가들〉 (1907~1927 파리 큐비즘)</w:t>
            </w:r>
          </w:p>
        </w:tc>
      </w:tr>
      <w:tr>
        <w:tc>
          <w:tcPr>
            <w:tcW w:type="dxa" w:w="1701"/>
          </w:tcPr>
          <w:p>
            <w:r>
              <w:rPr>
                <w:rFonts w:ascii="맑은 고딕" w:hAnsi="맑은 고딕" w:eastAsia="맑은 고딕"/>
                <w:b/>
                <w:sz w:val="19"/>
              </w:rPr>
              <w:t>장소·기간</w:t>
            </w:r>
          </w:p>
        </w:tc>
        <w:tc>
          <w:tcPr>
            <w:tcW w:type="dxa" w:w="7370"/>
          </w:tcPr>
          <w:p>
            <w:r>
              <w:rPr>
                <w:rFonts w:ascii="맑은 고딕" w:hAnsi="맑은 고딕" w:eastAsia="맑은 고딕"/>
                <w:sz w:val="19"/>
              </w:rPr>
              <w:t>여의도 63빌딩 별관 / 2026. 6. 4 ~ 10. 4 (관람일 6. 18.)</w:t>
            </w:r>
          </w:p>
        </w:tc>
      </w:tr>
      <w:tr>
        <w:tc>
          <w:tcPr>
            <w:tcW w:type="dxa" w:w="1701"/>
          </w:tcPr>
          <w:p>
            <w:r>
              <w:rPr>
                <w:rFonts w:ascii="맑은 고딕" w:hAnsi="맑은 고딕" w:eastAsia="맑은 고딕"/>
                <w:b/>
                <w:sz w:val="19"/>
              </w:rPr>
              <w:t>규모</w:t>
            </w:r>
          </w:p>
        </w:tc>
        <w:tc>
          <w:tcPr>
            <w:tcW w:type="dxa" w:w="7370"/>
          </w:tcPr>
          <w:p>
            <w:r>
              <w:rPr>
                <w:rFonts w:ascii="맑은 고딕" w:hAnsi="맑은 고딕" w:eastAsia="맑은 고딕"/>
                <w:sz w:val="19"/>
              </w:rPr>
              <w:t>파리 시기 40여 작가·90여 점 + 한국 작가 11인·21점(코리아 포커스), 총 54인·112점 / 8개 주제 섹션</w:t>
            </w:r>
          </w:p>
        </w:tc>
      </w:tr>
      <w:tr>
        <w:tc>
          <w:tcPr>
            <w:tcW w:type="dxa" w:w="1701"/>
          </w:tcPr>
          <w:p>
            <w:r>
              <w:rPr>
                <w:rFonts w:ascii="맑은 고딕" w:hAnsi="맑은 고딕" w:eastAsia="맑은 고딕"/>
                <w:b/>
                <w:sz w:val="19"/>
              </w:rPr>
              <w:t>운영 구조</w:t>
            </w:r>
          </w:p>
        </w:tc>
        <w:tc>
          <w:tcPr>
            <w:tcW w:type="dxa" w:w="7370"/>
          </w:tcPr>
          <w:p>
            <w:r>
              <w:rPr>
                <w:rFonts w:ascii="맑은 고딕" w:hAnsi="맑은 고딕" w:eastAsia="맑은 고딕"/>
                <w:sz w:val="19"/>
              </w:rPr>
              <w:t>한화문화재단·파리 퐁피두 4년 파트너십(2023~). 한화=운영, 퐁피두=큐레이션·소장품. 연 2회 전시</w:t>
            </w:r>
          </w:p>
        </w:tc>
      </w:tr>
      <w:tr>
        <w:tc>
          <w:tcPr>
            <w:tcW w:type="dxa" w:w="1701"/>
          </w:tcPr>
          <w:p>
            <w:r>
              <w:rPr>
                <w:rFonts w:ascii="맑은 고딕" w:hAnsi="맑은 고딕" w:eastAsia="맑은 고딕"/>
                <w:b/>
                <w:sz w:val="19"/>
              </w:rPr>
              <w:t>관람료</w:t>
            </w:r>
          </w:p>
        </w:tc>
        <w:tc>
          <w:tcPr>
            <w:tcW w:type="dxa" w:w="7370"/>
          </w:tcPr>
          <w:p>
            <w:r>
              <w:rPr>
                <w:rFonts w:ascii="맑은 고딕" w:hAnsi="맑은 고딕" w:eastAsia="맑은 고딕"/>
                <w:sz w:val="19"/>
              </w:rPr>
              <w:t>성인 28,000원 (청소년 19,600 / 어린이 16,800 / 65세+ 19,600)</w:t>
            </w:r>
          </w:p>
        </w:tc>
      </w:tr>
    </w:tbl>
    <w:p>
      <w:pPr>
        <w:spacing w:after="40"/>
      </w:pPr>
    </w:p>
    <w:p>
      <w:pPr>
        <w:spacing w:before="280" w:after="120"/>
      </w:pPr>
      <w:r>
        <w:rPr>
          <w:rFonts w:ascii="맑은 고딕" w:hAnsi="맑은 고딕" w:eastAsia="맑은 고딕"/>
          <w:b/>
          <w:color w:val="1F3764"/>
          <w:sz w:val="28"/>
        </w:rPr>
        <w:t>2. 무엇을 보았나 ― 전시의 흐름</w:t>
      </w:r>
    </w:p>
    <w:p>
      <w:pPr>
        <w:spacing w:after="120" w:line="300" w:lineRule="auto"/>
      </w:pPr>
      <w:r>
        <w:rPr>
          <w:rFonts w:ascii="맑은 고딕" w:hAnsi="맑은 고딕" w:eastAsia="맑은 고딕"/>
          <w:sz w:val="21"/>
        </w:rPr>
        <w:t>전시는 입구의 아폴리네르 문장에서 시작한다.</w:t>
      </w:r>
    </w:p>
    <w:p>
      <w:pPr>
        <w:spacing w:before="80" w:after="120"/>
        <w:ind w:left="400" w:right="400"/>
      </w:pPr>
      <w:r>
        <w:rPr>
          <w:rFonts w:ascii="맑은 고딕" w:hAnsi="맑은 고딕" w:eastAsia="맑은 고딕"/>
          <w:i/>
          <w:color w:val="333333"/>
          <w:sz w:val="21"/>
        </w:rPr>
        <w:t>“큐비즘이 이전의 회화와 구별되는 지점은, 그것이 모방의 예술이 아니라 창조에까지 이르고자 하는 개념(conceptual)의 예술이라는 점이다.” ― 기욤 아폴리네르, 《입체파 화가들》, 1913</w:t>
      </w:r>
    </w:p>
    <w:p>
      <w:pPr>
        <w:spacing w:before="120" w:after="40"/>
        <w:jc w:val="center"/>
      </w:pPr>
      <w:r>
        <w:drawing>
          <wp:inline xmlns:a="http://schemas.openxmlformats.org/drawingml/2006/main" xmlns:pic="http://schemas.openxmlformats.org/drawingml/2006/picture">
            <wp:extent cx="2880000" cy="3840000"/>
            <wp:docPr id="1" name="Picture 1"/>
            <wp:cNvGraphicFramePr>
              <a:graphicFrameLocks noChangeAspect="1"/>
            </wp:cNvGraphicFramePr>
            <a:graphic>
              <a:graphicData uri="http://schemas.openxmlformats.org/drawingml/2006/picture">
                <pic:pic>
                  <pic:nvPicPr>
                    <pic:cNvPr id="0" name="fig01_apollinaire.jpg"/>
                    <pic:cNvPicPr/>
                  </pic:nvPicPr>
                  <pic:blipFill>
                    <a:blip r:embed="rId9"/>
                    <a:stretch>
                      <a:fillRect/>
                    </a:stretch>
                  </pic:blipFill>
                  <pic:spPr>
                    <a:xfrm>
                      <a:off x="0" y="0"/>
                      <a:ext cx="2880000" cy="3840000"/>
                    </a:xfrm>
                    <a:prstGeom prst="rect"/>
                  </pic:spPr>
                </pic:pic>
              </a:graphicData>
            </a:graphic>
          </wp:inline>
        </w:drawing>
      </w:r>
    </w:p>
    <w:p>
      <w:pPr>
        <w:spacing w:after="160"/>
        <w:jc w:val="center"/>
      </w:pPr>
      <w:r>
        <w:rPr>
          <w:rFonts w:ascii="맑은 고딕" w:hAnsi="맑은 고딕" w:eastAsia="맑은 고딕"/>
          <w:i/>
          <w:color w:val="666666"/>
          <w:sz w:val="18"/>
        </w:rPr>
        <w:t>[사진 1] 전시 도입부 텍스트 월 ― 큐비즘은 ‘모방’이 아니라 ‘개념’의 예술이다</w:t>
      </w:r>
    </w:p>
    <w:p>
      <w:pPr>
        <w:spacing w:after="120" w:line="300" w:lineRule="auto"/>
      </w:pPr>
      <w:r>
        <w:rPr>
          <w:rFonts w:ascii="맑은 고딕" w:hAnsi="맑은 고딕" w:eastAsia="맑은 고딕"/>
          <w:sz w:val="21"/>
        </w:rPr>
        <w:t>이 한 문장이 전시 전체의 주제다. 8개 섹션은 큐비즘이 '세잔의 영향 → 형태의 해체(분석적 큐비즘) → 색채로의 확장(오르피즘) → 전후의 변주'로 나아가는 과정을, 그리고 마지막에 한국 근대미술과의 만남(코리아 포커스)을 보여준다. 관람하며 특히 눈에 남은 장면은 다음과 같다.</w:t>
      </w:r>
    </w:p>
    <w:p>
      <w:pPr>
        <w:spacing w:after="120" w:line="300" w:lineRule="auto"/>
      </w:pPr>
      <w:r>
        <w:rPr>
          <w:rFonts w:ascii="맑은 고딕" w:hAnsi="맑은 고딕" w:eastAsia="맑은 고딕"/>
          <w:b/>
          <w:sz w:val="21"/>
        </w:rPr>
        <w:t xml:space="preserve">형태의 환원 ― </w:t>
      </w:r>
      <w:r>
        <w:rPr>
          <w:rFonts w:ascii="맑은 고딕" w:hAnsi="맑은 고딕" w:eastAsia="맑은 고딕"/>
          <w:sz w:val="21"/>
        </w:rPr>
        <w:t>피카소의 1907년 〈여인의 두상〉은 얼굴을 사실적으로 그리지 않고 몇 개의 면과 선으로 줄여 버린다. 그런데 그 ‘덜어냄’이 오히려 강한 인상을 남긴다.</w:t>
      </w:r>
    </w:p>
    <w:p>
      <w:pPr>
        <w:spacing w:before="120" w:after="40"/>
        <w:jc w:val="center"/>
      </w:pPr>
      <w:r>
        <w:drawing>
          <wp:inline xmlns:a="http://schemas.openxmlformats.org/drawingml/2006/main" xmlns:pic="http://schemas.openxmlformats.org/drawingml/2006/picture">
            <wp:extent cx="2880000" cy="3840000"/>
            <wp:docPr id="2" name="Picture 2"/>
            <wp:cNvGraphicFramePr>
              <a:graphicFrameLocks noChangeAspect="1"/>
            </wp:cNvGraphicFramePr>
            <a:graphic>
              <a:graphicData uri="http://schemas.openxmlformats.org/drawingml/2006/picture">
                <pic:pic>
                  <pic:nvPicPr>
                    <pic:cNvPr id="0" name="fig02_picasso_bust.jpg"/>
                    <pic:cNvPicPr/>
                  </pic:nvPicPr>
                  <pic:blipFill>
                    <a:blip r:embed="rId10"/>
                    <a:stretch>
                      <a:fillRect/>
                    </a:stretch>
                  </pic:blipFill>
                  <pic:spPr>
                    <a:xfrm>
                      <a:off x="0" y="0"/>
                      <a:ext cx="2880000" cy="3840000"/>
                    </a:xfrm>
                    <a:prstGeom prst="rect"/>
                  </pic:spPr>
                </pic:pic>
              </a:graphicData>
            </a:graphic>
          </wp:inline>
        </w:drawing>
      </w:r>
    </w:p>
    <w:p>
      <w:pPr>
        <w:spacing w:after="160"/>
        <w:jc w:val="center"/>
      </w:pPr>
      <w:r>
        <w:rPr>
          <w:rFonts w:ascii="맑은 고딕" w:hAnsi="맑은 고딕" w:eastAsia="맑은 고딕"/>
          <w:i/>
          <w:color w:val="666666"/>
          <w:sz w:val="18"/>
        </w:rPr>
        <w:t>[사진 2] 파블로 피카소 〈여인의 두상〉, 1907 ― 묘사가 아니라 환원</w:t>
      </w:r>
    </w:p>
    <w:p>
      <w:pPr>
        <w:spacing w:after="120" w:line="300" w:lineRule="auto"/>
      </w:pPr>
      <w:r>
        <w:rPr>
          <w:rFonts w:ascii="맑은 고딕" w:hAnsi="맑은 고딕" w:eastAsia="맑은 고딕"/>
          <w:b/>
          <w:sz w:val="21"/>
        </w:rPr>
        <w:t xml:space="preserve">해체의 극단 ― </w:t>
      </w:r>
      <w:r>
        <w:rPr>
          <w:rFonts w:ascii="맑은 고딕" w:hAnsi="맑은 고딕" w:eastAsia="맑은 고딕"/>
          <w:sz w:val="21"/>
        </w:rPr>
        <w:t>분석적 큐비즘 구간의 회색 작품들은 대상을 여러 시점으로 잘게 쪼개, 무엇을 그렸는지 거의 알아보기 어려운 지점까지 밀고 간다. 아름답지만 동시에 ‘의미가 사라지기 직전’의 긴장이 느껴진다.</w:t>
      </w:r>
    </w:p>
    <w:p>
      <w:pPr>
        <w:spacing w:before="120" w:after="40"/>
        <w:jc w:val="center"/>
      </w:pPr>
      <w:r>
        <w:drawing>
          <wp:inline xmlns:a="http://schemas.openxmlformats.org/drawingml/2006/main" xmlns:pic="http://schemas.openxmlformats.org/drawingml/2006/picture">
            <wp:extent cx="2880000" cy="3840000"/>
            <wp:docPr id="3" name="Picture 3"/>
            <wp:cNvGraphicFramePr>
              <a:graphicFrameLocks noChangeAspect="1"/>
            </wp:cNvGraphicFramePr>
            <a:graphic>
              <a:graphicData uri="http://schemas.openxmlformats.org/drawingml/2006/picture">
                <pic:pic>
                  <pic:nvPicPr>
                    <pic:cNvPr id="0" name="fig03_head_of_woman.jpg"/>
                    <pic:cNvPicPr/>
                  </pic:nvPicPr>
                  <pic:blipFill>
                    <a:blip r:embed="rId11"/>
                    <a:stretch>
                      <a:fillRect/>
                    </a:stretch>
                  </pic:blipFill>
                  <pic:spPr>
                    <a:xfrm>
                      <a:off x="0" y="0"/>
                      <a:ext cx="2880000" cy="3840000"/>
                    </a:xfrm>
                    <a:prstGeom prst="rect"/>
                  </pic:spPr>
                </pic:pic>
              </a:graphicData>
            </a:graphic>
          </wp:inline>
        </w:drawing>
      </w:r>
    </w:p>
    <w:p>
      <w:pPr>
        <w:spacing w:after="160"/>
        <w:jc w:val="center"/>
      </w:pPr>
      <w:r>
        <w:rPr>
          <w:rFonts w:ascii="맑은 고딕" w:hAnsi="맑은 고딕" w:eastAsia="맑은 고딕"/>
          <w:i/>
          <w:color w:val="666666"/>
          <w:sz w:val="18"/>
        </w:rPr>
        <w:t>[사진 3] 피카소 〈여인 두상〉 ― 다시점으로 분해된 얼굴</w:t>
      </w:r>
    </w:p>
    <w:p>
      <w:pPr>
        <w:spacing w:before="120" w:after="40"/>
        <w:jc w:val="center"/>
      </w:pPr>
      <w:r>
        <w:drawing>
          <wp:inline xmlns:a="http://schemas.openxmlformats.org/drawingml/2006/main" xmlns:pic="http://schemas.openxmlformats.org/drawingml/2006/picture">
            <wp:extent cx="2880000" cy="3840000"/>
            <wp:docPr id="4" name="Picture 4"/>
            <wp:cNvGraphicFramePr>
              <a:graphicFrameLocks noChangeAspect="1"/>
            </wp:cNvGraphicFramePr>
            <a:graphic>
              <a:graphicData uri="http://schemas.openxmlformats.org/drawingml/2006/picture">
                <pic:pic>
                  <pic:nvPicPr>
                    <pic:cNvPr id="0" name="fig04_reclining_nude.jpg"/>
                    <pic:cNvPicPr/>
                  </pic:nvPicPr>
                  <pic:blipFill>
                    <a:blip r:embed="rId12"/>
                    <a:stretch>
                      <a:fillRect/>
                    </a:stretch>
                  </pic:blipFill>
                  <pic:spPr>
                    <a:xfrm>
                      <a:off x="0" y="0"/>
                      <a:ext cx="2880000" cy="3840000"/>
                    </a:xfrm>
                    <a:prstGeom prst="rect"/>
                  </pic:spPr>
                </pic:pic>
              </a:graphicData>
            </a:graphic>
          </wp:inline>
        </w:drawing>
      </w:r>
    </w:p>
    <w:p>
      <w:pPr>
        <w:spacing w:after="160"/>
        <w:jc w:val="center"/>
      </w:pPr>
      <w:r>
        <w:rPr>
          <w:rFonts w:ascii="맑은 고딕" w:hAnsi="맑은 고딕" w:eastAsia="맑은 고딕"/>
          <w:i/>
          <w:color w:val="666666"/>
          <w:sz w:val="18"/>
        </w:rPr>
        <w:t>[사진 4] 누워 있는 인물 ― 양감의 단순화</w:t>
      </w:r>
    </w:p>
    <w:p>
      <w:pPr>
        <w:spacing w:before="120" w:after="40"/>
        <w:jc w:val="center"/>
      </w:pPr>
      <w:r>
        <w:drawing>
          <wp:inline xmlns:a="http://schemas.openxmlformats.org/drawingml/2006/main" xmlns:pic="http://schemas.openxmlformats.org/drawingml/2006/picture">
            <wp:extent cx="2880000" cy="3840000"/>
            <wp:docPr id="5" name="Picture 5"/>
            <wp:cNvGraphicFramePr>
              <a:graphicFrameLocks noChangeAspect="1"/>
            </wp:cNvGraphicFramePr>
            <a:graphic>
              <a:graphicData uri="http://schemas.openxmlformats.org/drawingml/2006/picture">
                <pic:pic>
                  <pic:nvPicPr>
                    <pic:cNvPr id="0" name="fig05_analytic.jpg"/>
                    <pic:cNvPicPr/>
                  </pic:nvPicPr>
                  <pic:blipFill>
                    <a:blip r:embed="rId13"/>
                    <a:stretch>
                      <a:fillRect/>
                    </a:stretch>
                  </pic:blipFill>
                  <pic:spPr>
                    <a:xfrm>
                      <a:off x="0" y="0"/>
                      <a:ext cx="2880000" cy="3840000"/>
                    </a:xfrm>
                    <a:prstGeom prst="rect"/>
                  </pic:spPr>
                </pic:pic>
              </a:graphicData>
            </a:graphic>
          </wp:inline>
        </w:drawing>
      </w:r>
    </w:p>
    <w:p>
      <w:pPr>
        <w:spacing w:after="160"/>
        <w:jc w:val="center"/>
      </w:pPr>
      <w:r>
        <w:rPr>
          <w:rFonts w:ascii="맑은 고딕" w:hAnsi="맑은 고딕" w:eastAsia="맑은 고딕"/>
          <w:i/>
          <w:color w:val="666666"/>
          <w:sz w:val="18"/>
        </w:rPr>
        <w:t>[사진 5] 거의 추상에 다다른 분석적 큐비즘 ― 식별의 한계 지점</w:t>
      </w:r>
    </w:p>
    <w:p>
      <w:pPr>
        <w:spacing w:before="120" w:after="40"/>
        <w:jc w:val="center"/>
      </w:pPr>
      <w:r>
        <w:drawing>
          <wp:inline xmlns:a="http://schemas.openxmlformats.org/drawingml/2006/main" xmlns:pic="http://schemas.openxmlformats.org/drawingml/2006/picture">
            <wp:extent cx="2880000" cy="3840000"/>
            <wp:docPr id="6" name="Picture 6"/>
            <wp:cNvGraphicFramePr>
              <a:graphicFrameLocks noChangeAspect="1"/>
            </wp:cNvGraphicFramePr>
            <a:graphic>
              <a:graphicData uri="http://schemas.openxmlformats.org/drawingml/2006/picture">
                <pic:pic>
                  <pic:nvPicPr>
                    <pic:cNvPr id="0" name="fig06_large_cubist.jpg"/>
                    <pic:cNvPicPr/>
                  </pic:nvPicPr>
                  <pic:blipFill>
                    <a:blip r:embed="rId14"/>
                    <a:stretch>
                      <a:fillRect/>
                    </a:stretch>
                  </pic:blipFill>
                  <pic:spPr>
                    <a:xfrm>
                      <a:off x="0" y="0"/>
                      <a:ext cx="2880000" cy="3840000"/>
                    </a:xfrm>
                    <a:prstGeom prst="rect"/>
                  </pic:spPr>
                </pic:pic>
              </a:graphicData>
            </a:graphic>
          </wp:inline>
        </w:drawing>
      </w:r>
    </w:p>
    <w:p>
      <w:pPr>
        <w:spacing w:after="160"/>
        <w:jc w:val="center"/>
      </w:pPr>
      <w:r>
        <w:rPr>
          <w:rFonts w:ascii="맑은 고딕" w:hAnsi="맑은 고딕" w:eastAsia="맑은 고딕"/>
          <w:i/>
          <w:color w:val="666666"/>
          <w:sz w:val="18"/>
        </w:rPr>
        <w:t>[사진 6] 여러 인물·형태가 중첩된 대형 화면</w:t>
      </w:r>
    </w:p>
    <w:p>
      <w:pPr>
        <w:spacing w:before="120" w:after="40"/>
        <w:jc w:val="center"/>
      </w:pPr>
      <w:r>
        <w:drawing>
          <wp:inline xmlns:a="http://schemas.openxmlformats.org/drawingml/2006/main" xmlns:pic="http://schemas.openxmlformats.org/drawingml/2006/picture">
            <wp:extent cx="4320000" cy="5760000"/>
            <wp:docPr id="7" name="Picture 7"/>
            <wp:cNvGraphicFramePr>
              <a:graphicFrameLocks noChangeAspect="1"/>
            </wp:cNvGraphicFramePr>
            <a:graphic>
              <a:graphicData uri="http://schemas.openxmlformats.org/drawingml/2006/picture">
                <pic:pic>
                  <pic:nvPicPr>
                    <pic:cNvPr id="0" name="fig07_green_work.jpg"/>
                    <pic:cNvPicPr/>
                  </pic:nvPicPr>
                  <pic:blipFill>
                    <a:blip r:embed="rId15"/>
                    <a:stretch>
                      <a:fillRect/>
                    </a:stretch>
                  </pic:blipFill>
                  <pic:spPr>
                    <a:xfrm>
                      <a:off x="0" y="0"/>
                      <a:ext cx="4320000" cy="5760000"/>
                    </a:xfrm>
                    <a:prstGeom prst="rect"/>
                  </pic:spPr>
                </pic:pic>
              </a:graphicData>
            </a:graphic>
          </wp:inline>
        </w:drawing>
      </w:r>
    </w:p>
    <w:p>
      <w:pPr>
        <w:spacing w:after="160"/>
        <w:jc w:val="center"/>
      </w:pPr>
      <w:r>
        <w:rPr>
          <w:rFonts w:ascii="맑은 고딕" w:hAnsi="맑은 고딕" w:eastAsia="맑은 고딕"/>
          <w:i/>
          <w:color w:val="666666"/>
          <w:sz w:val="18"/>
        </w:rPr>
        <w:t>[사진 7] 점묘·패턴이 결합된 종합적 큐비즘 ― 다시 ‘읽히는’ 요소의 회복</w:t>
      </w:r>
    </w:p>
    <w:p>
      <w:pPr>
        <w:spacing w:after="120" w:line="300" w:lineRule="auto"/>
      </w:pPr>
      <w:r>
        <w:rPr>
          <w:rFonts w:ascii="맑은 고딕" w:hAnsi="맑은 고딕" w:eastAsia="맑은 고딕"/>
          <w:b/>
          <w:sz w:val="21"/>
        </w:rPr>
        <w:t xml:space="preserve">색채의 폭발 ― </w:t>
      </w:r>
      <w:r>
        <w:rPr>
          <w:rFonts w:ascii="맑은 고딕" w:hAnsi="맑은 고딕" w:eastAsia="맑은 고딕"/>
          <w:sz w:val="21"/>
        </w:rPr>
        <w:t>소니아 들로네의 원형 추상은 절제된 회색조와 정반대로, 강렬한 색과 리듬으로 시선을 붙든다. 관람객의 발길과 카메라가 가장 오래 머무는 구간이었다.</w:t>
      </w:r>
    </w:p>
    <w:p>
      <w:pPr>
        <w:spacing w:before="120" w:after="40"/>
        <w:jc w:val="center"/>
      </w:pPr>
      <w:r>
        <w:drawing>
          <wp:inline xmlns:a="http://schemas.openxmlformats.org/drawingml/2006/main" xmlns:pic="http://schemas.openxmlformats.org/drawingml/2006/picture">
            <wp:extent cx="3960000" cy="5280000"/>
            <wp:docPr id="8" name="Picture 8"/>
            <wp:cNvGraphicFramePr>
              <a:graphicFrameLocks noChangeAspect="1"/>
            </wp:cNvGraphicFramePr>
            <a:graphic>
              <a:graphicData uri="http://schemas.openxmlformats.org/drawingml/2006/picture">
                <pic:pic>
                  <pic:nvPicPr>
                    <pic:cNvPr id="0" name="fig08_delaunay_single.jpg"/>
                    <pic:cNvPicPr/>
                  </pic:nvPicPr>
                  <pic:blipFill>
                    <a:blip r:embed="rId16"/>
                    <a:stretch>
                      <a:fillRect/>
                    </a:stretch>
                  </pic:blipFill>
                  <pic:spPr>
                    <a:xfrm>
                      <a:off x="0" y="0"/>
                      <a:ext cx="3960000" cy="5280000"/>
                    </a:xfrm>
                    <a:prstGeom prst="rect"/>
                  </pic:spPr>
                </pic:pic>
              </a:graphicData>
            </a:graphic>
          </wp:inline>
        </w:drawing>
      </w:r>
    </w:p>
    <w:p>
      <w:pPr>
        <w:spacing w:after="160"/>
        <w:jc w:val="center"/>
      </w:pPr>
      <w:r>
        <w:rPr>
          <w:rFonts w:ascii="맑은 고딕" w:hAnsi="맑은 고딕" w:eastAsia="맑은 고딕"/>
          <w:i/>
          <w:color w:val="666666"/>
          <w:sz w:val="18"/>
        </w:rPr>
        <w:t>[사진 8] 소니아 들로네 ― 원형 색채 추상(오르피즘)</w:t>
      </w:r>
    </w:p>
    <w:p>
      <w:pPr>
        <w:spacing w:before="120" w:after="40"/>
        <w:jc w:val="center"/>
      </w:pPr>
      <w:r>
        <w:drawing>
          <wp:inline xmlns:a="http://schemas.openxmlformats.org/drawingml/2006/main" xmlns:pic="http://schemas.openxmlformats.org/drawingml/2006/picture">
            <wp:extent cx="4680000" cy="3510000"/>
            <wp:docPr id="9" name="Picture 9"/>
            <wp:cNvGraphicFramePr>
              <a:graphicFrameLocks noChangeAspect="1"/>
            </wp:cNvGraphicFramePr>
            <a:graphic>
              <a:graphicData uri="http://schemas.openxmlformats.org/drawingml/2006/picture">
                <pic:pic>
                  <pic:nvPicPr>
                    <pic:cNvPr id="0" name="fig09_delaunay_wall.jpg"/>
                    <pic:cNvPicPr/>
                  </pic:nvPicPr>
                  <pic:blipFill>
                    <a:blip r:embed="rId17"/>
                    <a:stretch>
                      <a:fillRect/>
                    </a:stretch>
                  </pic:blipFill>
                  <pic:spPr>
                    <a:xfrm>
                      <a:off x="0" y="0"/>
                      <a:ext cx="4680000" cy="3510000"/>
                    </a:xfrm>
                    <a:prstGeom prst="rect"/>
                  </pic:spPr>
                </pic:pic>
              </a:graphicData>
            </a:graphic>
          </wp:inline>
        </w:drawing>
      </w:r>
    </w:p>
    <w:p>
      <w:pPr>
        <w:spacing w:after="160"/>
        <w:jc w:val="center"/>
      </w:pPr>
      <w:r>
        <w:rPr>
          <w:rFonts w:ascii="맑은 고딕" w:hAnsi="맑은 고딕" w:eastAsia="맑은 고딕"/>
          <w:i/>
          <w:color w:val="666666"/>
          <w:sz w:val="18"/>
        </w:rPr>
        <w:t>[사진 9] 색채 구간의 벽면 전경 ― 사실상의 ‘포토 스폿’</w:t>
      </w:r>
    </w:p>
    <w:p>
      <w:pPr>
        <w:spacing w:after="120" w:line="300" w:lineRule="auto"/>
      </w:pPr>
      <w:r>
        <w:rPr>
          <w:rFonts w:ascii="맑은 고딕" w:hAnsi="맑은 고딕" w:eastAsia="맑은 고딕"/>
          <w:b/>
          <w:sz w:val="21"/>
        </w:rPr>
        <w:t xml:space="preserve">회화를 넘어서 ― </w:t>
      </w:r>
      <w:r>
        <w:rPr>
          <w:rFonts w:ascii="맑은 고딕" w:hAnsi="맑은 고딕" w:eastAsia="맑은 고딕"/>
          <w:sz w:val="21"/>
        </w:rPr>
        <w:t>야쿨로프의 〈Bull〉과 대형 무대막은 큐비즘이 캔버스를 벗어나 무대·디자인으로 번져 나갔음을 보여준다.</w:t>
      </w:r>
    </w:p>
    <w:p>
      <w:pPr>
        <w:spacing w:before="120" w:after="40"/>
        <w:jc w:val="center"/>
      </w:pPr>
      <w:r>
        <w:drawing>
          <wp:inline xmlns:a="http://schemas.openxmlformats.org/drawingml/2006/main" xmlns:pic="http://schemas.openxmlformats.org/drawingml/2006/picture">
            <wp:extent cx="4680000" cy="3510000"/>
            <wp:docPr id="10" name="Picture 10"/>
            <wp:cNvGraphicFramePr>
              <a:graphicFrameLocks noChangeAspect="1"/>
            </wp:cNvGraphicFramePr>
            <a:graphic>
              <a:graphicData uri="http://schemas.openxmlformats.org/drawingml/2006/picture">
                <pic:pic>
                  <pic:nvPicPr>
                    <pic:cNvPr id="0" name="fig10_yakulov_bull.jpg"/>
                    <pic:cNvPicPr/>
                  </pic:nvPicPr>
                  <pic:blipFill>
                    <a:blip r:embed="rId18"/>
                    <a:stretch>
                      <a:fillRect/>
                    </a:stretch>
                  </pic:blipFill>
                  <pic:spPr>
                    <a:xfrm>
                      <a:off x="0" y="0"/>
                      <a:ext cx="4680000" cy="3510000"/>
                    </a:xfrm>
                    <a:prstGeom prst="rect"/>
                  </pic:spPr>
                </pic:pic>
              </a:graphicData>
            </a:graphic>
          </wp:inline>
        </w:drawing>
      </w:r>
    </w:p>
    <w:p>
      <w:pPr>
        <w:spacing w:after="160"/>
        <w:jc w:val="center"/>
      </w:pPr>
      <w:r>
        <w:rPr>
          <w:rFonts w:ascii="맑은 고딕" w:hAnsi="맑은 고딕" w:eastAsia="맑은 고딕"/>
          <w:i/>
          <w:color w:val="666666"/>
          <w:sz w:val="18"/>
        </w:rPr>
        <w:t>[사진 10] 조르주 야쿨로프 〈Bull〉</w:t>
      </w:r>
    </w:p>
    <w:p>
      <w:pPr>
        <w:spacing w:after="120" w:line="300" w:lineRule="auto"/>
      </w:pPr>
      <w:r>
        <w:rPr>
          <w:rFonts w:ascii="맑은 고딕" w:hAnsi="맑은 고딕" w:eastAsia="맑은 고딕"/>
          <w:sz w:val="21"/>
        </w:rPr>
        <w:t>공간 자체도 하나의 작품처럼 연출됐다. 건축가 장 미셸 빌모트는 과거 아쿠아리움 자리를 반투명 유리의 ‘빛의 상자’로 바꾸고, 대형 무대막을 아트리움 중앙·고천장에 걸어 압도적인 첫 장면을 만들었다.</w:t>
      </w:r>
    </w:p>
    <w:p>
      <w:pPr>
        <w:spacing w:before="120" w:after="40"/>
        <w:jc w:val="center"/>
      </w:pPr>
      <w:r>
        <w:drawing>
          <wp:inline xmlns:a="http://schemas.openxmlformats.org/drawingml/2006/main" xmlns:pic="http://schemas.openxmlformats.org/drawingml/2006/picture">
            <wp:extent cx="4680000" cy="3510000"/>
            <wp:docPr id="11" name="Picture 11"/>
            <wp:cNvGraphicFramePr>
              <a:graphicFrameLocks noChangeAspect="1"/>
            </wp:cNvGraphicFramePr>
            <a:graphic>
              <a:graphicData uri="http://schemas.openxmlformats.org/drawingml/2006/picture">
                <pic:pic>
                  <pic:nvPicPr>
                    <pic:cNvPr id="0" name="fig11_atrium.jpg"/>
                    <pic:cNvPicPr/>
                  </pic:nvPicPr>
                  <pic:blipFill>
                    <a:blip r:embed="rId19"/>
                    <a:stretch>
                      <a:fillRect/>
                    </a:stretch>
                  </pic:blipFill>
                  <pic:spPr>
                    <a:xfrm>
                      <a:off x="0" y="0"/>
                      <a:ext cx="4680000" cy="3510000"/>
                    </a:xfrm>
                    <a:prstGeom prst="rect"/>
                  </pic:spPr>
                </pic:pic>
              </a:graphicData>
            </a:graphic>
          </wp:inline>
        </w:drawing>
      </w:r>
    </w:p>
    <w:p>
      <w:pPr>
        <w:spacing w:after="160"/>
        <w:jc w:val="center"/>
      </w:pPr>
      <w:r>
        <w:rPr>
          <w:rFonts w:ascii="맑은 고딕" w:hAnsi="맑은 고딕" w:eastAsia="맑은 고딕"/>
          <w:i/>
          <w:color w:val="666666"/>
          <w:sz w:val="18"/>
        </w:rPr>
        <w:t>[사진 11] 아트리움에 걸린 대형 무대막 ― 공간으로 만든 ‘첫인상’</w:t>
      </w:r>
    </w:p>
    <w:p>
      <w:pPr>
        <w:spacing w:before="280" w:after="120"/>
      </w:pPr>
      <w:r>
        <w:rPr>
          <w:rFonts w:ascii="맑은 고딕" w:hAnsi="맑은 고딕" w:eastAsia="맑은 고딕"/>
          <w:b/>
          <w:color w:val="1F3764"/>
          <w:sz w:val="28"/>
        </w:rPr>
        <w:t>3. 고찰 ― 큐비즘이 우리 업무에 던지는 질문</w:t>
      </w:r>
    </w:p>
    <w:p>
      <w:pPr>
        <w:spacing w:before="180" w:after="60"/>
      </w:pPr>
      <w:r>
        <w:rPr>
          <w:rFonts w:ascii="맑은 고딕" w:hAnsi="맑은 고딕" w:eastAsia="맑은 고딕"/>
          <w:b/>
          <w:color w:val="333333"/>
          <w:sz w:val="23"/>
        </w:rPr>
        <w:t>(1) 단일 시점의 붕괴: 우리는 더 이상 ‘하나의 공식 이미지’를 보여줄 수 없다</w:t>
      </w:r>
    </w:p>
    <w:p>
      <w:pPr>
        <w:spacing w:after="120" w:line="300" w:lineRule="auto"/>
      </w:pPr>
      <w:r>
        <w:rPr>
          <w:rFonts w:ascii="맑은 고딕" w:hAnsi="맑은 고딕" w:eastAsia="맑은 고딕"/>
          <w:sz w:val="21"/>
        </w:rPr>
        <w:t>르네상스 원근법은 ‘하나의 고정된 눈’을 전제한다. 화가는 한 자리에 서서, 관객도 한 자리에 세워두고, 세계를 단일한 시점으로 정리해 보여준다. 권위적이고 일방적인 시선이다. 큐비즘은 바로 그 전제를 깼다. 하나의 대상을 정면·측면·위에서 본 모습을 한 화면에 동시에 펼쳐 놓고, 그 파편을 조합해 의미를 만드는 일은 관객에게 넘긴다.</w:t>
      </w:r>
    </w:p>
    <w:p>
      <w:pPr>
        <w:spacing w:after="120" w:line="300" w:lineRule="auto"/>
      </w:pPr>
      <w:r>
        <w:rPr>
          <w:rFonts w:ascii="맑은 고딕" w:hAnsi="맑은 고딕" w:eastAsia="맑은 고딕"/>
          <w:sz w:val="21"/>
        </w:rPr>
        <w:t>이 구도는 지금의 커뮤니케이션과 정확히 겹친다. 과거의 브랜드 커뮤니케이션은 르네상스 회화처럼 작동했다 ― 잘 정돈된 단일 이미지를, 정해진 자리에 앉은 청중에게 일방적으로 송출하는 방식. 그러나 지금 소비자는 광고·매장·리뷰·지인의 한마디·짧은 영상 같은 서로 다른 ‘시점의 파편’을 제각기 마주치고, 그것을 머릿속에서 스스로 조합해 하나의 브랜드 상(像)을 만든다. 큐비즘 그림 앞에서 흩어진 면들을 모아 ‘아, 얼굴이구나’ 하고 재구성하는 관객처럼. 결국 우리가 통제할 수 있는 것은 ‘완성된 한 장의 그림’이 아니라, 소비자가 조합하게 될 ‘파편들의 질과 그것들 사이의 정합성’뿐이다. 산출물을 채널별로 따로 평가하던 습관을, ‘소비자 머릿속에서 합쳐졌을 때 하나로 읽히는가’라는 기준으로 바꿔야 하는 이유가 여기에 있다.</w:t>
      </w:r>
    </w:p>
    <w:p>
      <w:pPr>
        <w:spacing w:before="180" w:after="60"/>
      </w:pPr>
      <w:r>
        <w:rPr>
          <w:rFonts w:ascii="맑은 고딕" w:hAnsi="맑은 고딕" w:eastAsia="맑은 고딕"/>
          <w:b/>
          <w:color w:val="333333"/>
          <w:sz w:val="23"/>
        </w:rPr>
        <w:t>(2) 해체에는 반드시 ‘축’이 필요하다: 전시가 정직하게 보여준 분석적 큐비즘의 한계</w:t>
      </w:r>
    </w:p>
    <w:p>
      <w:pPr>
        <w:spacing w:after="120" w:line="300" w:lineRule="auto"/>
      </w:pPr>
      <w:r>
        <w:rPr>
          <w:rFonts w:ascii="맑은 고딕" w:hAnsi="맑은 고딕" w:eastAsia="맑은 고딕"/>
          <w:sz w:val="21"/>
        </w:rPr>
        <w:t>주목할 점은, 전시가 이 해체를 끝까지 밀어붙인 ‘실패의 문턱’까지 정직하게 보여준다는 것이다. 분석적 큐비즘 구간의 회색 작품들(사진 3·5)은 형태가 거의 식별 불가능한 지점까지 부서져 있다. 미술사에서도 큐비즘은 이 시기 ‘추상의 문턱에서 의미를 잃을 위기’에 부딪혔고, 그래서 피카소와 브라크는 화면에 신문 글자나 실제 사물 조각을 붙이는 콜라주(종합적 큐비즘)로 방향을 틀어, 알아볼 수 있는 기호를 다시 끌어들였다(사진 7의 ‘읽히는 요소’가 그 회복이다).</w:t>
      </w:r>
    </w:p>
    <w:p>
      <w:pPr>
        <w:spacing w:after="120" w:line="300" w:lineRule="auto"/>
      </w:pPr>
      <w:r>
        <w:rPr>
          <w:rFonts w:ascii="맑은 고딕" w:hAnsi="맑은 고딕" w:eastAsia="맑은 고딕"/>
          <w:sz w:val="21"/>
        </w:rPr>
        <w:t>이 전개의 교훈은 흔한 조언과 정반대다. ‘채널을 쪼개고 메시지를 잘게 나누라’는 말은 절반만 맞다. 전시는 해체가 지나치면 의미 자체가 증발한다고 경고한다. 파편화가 성립하려면, 흩어진 조각을 다시 하나로 읽히게 묶어주는 ‘개념의 축’이 먼저 있어야 한다. 즉 채널을 늘릴수록 중요한 것은 채널의 수가 아니라, 모든 파편을 관통하는 단 하나의 개념이다. 캠페인을 시작할 때 채널 플랜보다 ‘모든 조각을 한 문장으로 묶는 개념’을 먼저 확정해야 하는 이유다.</w:t>
      </w:r>
    </w:p>
    <w:p>
      <w:pPr>
        <w:spacing w:before="180" w:after="60"/>
      </w:pPr>
      <w:r>
        <w:rPr>
          <w:rFonts w:ascii="맑은 고딕" w:hAnsi="맑은 고딕" w:eastAsia="맑은 고딕"/>
          <w:b/>
          <w:color w:val="333333"/>
          <w:sz w:val="23"/>
        </w:rPr>
        <w:t>(3) 더하는 기술이 아니라 ‘덜어내는’ 기술</w:t>
      </w:r>
    </w:p>
    <w:p>
      <w:pPr>
        <w:spacing w:after="120" w:line="300" w:lineRule="auto"/>
      </w:pPr>
      <w:r>
        <w:rPr>
          <w:rFonts w:ascii="맑은 고딕" w:hAnsi="맑은 고딕" w:eastAsia="맑은 고딕"/>
          <w:sz w:val="21"/>
        </w:rPr>
        <w:t>큐비즘 작품은 디테일을 더해서가 아니라, 본질만 남기고 덜어내서 강해진다. 피카소의 1907년 두상(사진 2)은 얼굴의 사실적 묘사를 포기한 대신 강렬해졌다. ‘개념의 예술’이라는 아폴리네르의 말은, 결국 ‘무엇을 그릴까’가 아니라 ‘무엇을 버릴까’의 예술이라는 뜻이다. 정보가 과잉인 시대에 메시지의 힘은 ‘얼마나 많이 담았는가’가 아니라 ‘무엇을 덜어낼 수 있었는가’에서 나온다. 산출물 리뷰 단계에 ‘무엇을 더 더할까’ 대신 ‘무엇을 더 뺄 수 있을까’라는 질문을 정식으로 넣는 것만으로도 결과물의 밀도는 달라질 것이다.</w:t>
      </w:r>
    </w:p>
    <w:p>
      <w:pPr>
        <w:spacing w:before="180" w:after="60"/>
      </w:pPr>
      <w:r>
        <w:rPr>
          <w:rFonts w:ascii="맑은 고딕" w:hAnsi="맑은 고딕" w:eastAsia="맑은 고딕"/>
          <w:b/>
          <w:color w:val="333333"/>
          <w:sz w:val="23"/>
        </w:rPr>
        <w:t>(4) 비판적으로 ― ‘코리아 포커스’는 또 하나의 시점인가, 잘 만든 각주인가</w:t>
      </w:r>
    </w:p>
    <w:p>
      <w:pPr>
        <w:spacing w:after="120" w:line="300" w:lineRule="auto"/>
      </w:pPr>
      <w:r>
        <w:rPr>
          <w:rFonts w:ascii="맑은 고딕" w:hAnsi="맑은 고딕" w:eastAsia="맑은 고딕"/>
          <w:sz w:val="21"/>
        </w:rPr>
        <w:t>한 가지는 비판적으로 보았다. 전시는 ‘코리아 포커스’로 한국 근대미술을 끌어들여 현지화를 시도했지만, 이 섹션은 메인 전시동이 아니라 갤러리2의 메자닌(중간층)에 놓여 있다. 의도는 분명히 좋다. 다만 물리적 배치는 ‘본편(프랑스 큐비즘) + 부록(한국)’의 구도로 읽힐 여지를 남긴다. 큐비즘의 논리를 빌리자면, 진정한 현지화란 로컬을 또 하나의 ‘대등한 시점’으로 화면 중앙에 끌어들이는 일이지, 잘 만든 각주로 덧붙이는 일이 아니다. 외부 IP·콘텐츠를 들여올 때 우리가 경계할 지점도 똑같다 ― 로컬 맥락이 장식이나 명분에 그치는 순간, 그것은 현지화가 아니라 면피가 된다. 글로벌 콘텐츠를 가져오는 일이 잦아질수록, ‘우리 이야기’를 서사의 중심에 둘 수 있는가가 진짜 실력이 된다.</w:t>
      </w:r>
    </w:p>
    <w:p>
      <w:pPr>
        <w:spacing w:before="280" w:after="120"/>
      </w:pPr>
      <w:r>
        <w:rPr>
          <w:rFonts w:ascii="맑은 고딕" w:hAnsi="맑은 고딕" w:eastAsia="맑은 고딕"/>
          <w:b/>
          <w:color w:val="1F3764"/>
          <w:sz w:val="28"/>
        </w:rPr>
        <w:t>4. 업무에의 적용</w:t>
      </w:r>
    </w:p>
    <w:p>
      <w:pPr>
        <w:spacing w:after="120" w:line="300" w:lineRule="auto"/>
      </w:pPr>
      <w:r>
        <w:rPr>
          <w:rFonts w:ascii="맑은 고딕" w:hAnsi="맑은 고딕" w:eastAsia="맑은 고딕"/>
          <w:sz w:val="21"/>
        </w:rPr>
        <w:t>위 고찰에서 곧바로 도출되는, 우리가 실제로 바꿔볼 만한 것들이다.</w:t>
      </w:r>
    </w:p>
    <w:p>
      <w:pPr>
        <w:pStyle w:val="ListBullet"/>
        <w:spacing w:after="60" w:line="288" w:lineRule="auto"/>
      </w:pPr>
      <w:r>
        <w:rPr>
          <w:rFonts w:ascii="맑은 고딕" w:hAnsi="맑은 고딕" w:eastAsia="맑은 고딕"/>
          <w:sz w:val="21"/>
        </w:rPr>
        <w:t>‘완성된 한 장’이 아니라 ‘조합될 파편들’을 만든다 ― 산출물을 채널별로 따로 보지 말고, 소비자 머릿속에서 합쳐졌을 때의 정합성으로 평가한다. 메시지 가이드의 기준을 ‘톤이 일치하는가’에서 ‘하나의 개념으로 환원되는가’로 옮긴다.</w:t>
      </w:r>
    </w:p>
    <w:p>
      <w:pPr>
        <w:pStyle w:val="ListBullet"/>
        <w:spacing w:after="60" w:line="288" w:lineRule="auto"/>
      </w:pPr>
      <w:r>
        <w:rPr>
          <w:rFonts w:ascii="맑은 고딕" w:hAnsi="맑은 고딕" w:eastAsia="맑은 고딕"/>
          <w:sz w:val="21"/>
        </w:rPr>
        <w:t>채널보다 개념을 먼저 ― 캠페인 착수 시 채널 플랜에 앞서, 모든 조각을 한 문장으로 묶는 개념 축을 먼저 확정한다(파편화의 전제 조건).</w:t>
      </w:r>
    </w:p>
    <w:p>
      <w:pPr>
        <w:pStyle w:val="ListBullet"/>
        <w:spacing w:after="60" w:line="288" w:lineRule="auto"/>
      </w:pPr>
      <w:r>
        <w:rPr>
          <w:rFonts w:ascii="맑은 고딕" w:hAnsi="맑은 고딕" w:eastAsia="맑은 고딕"/>
          <w:sz w:val="21"/>
        </w:rPr>
        <w:t>‘덜어내기’를 정식 절차로 ― 산출물 리뷰에 ‘무엇을 더 뺄 수 있는가’를 고정 질문으로 넣는다.</w:t>
      </w:r>
    </w:p>
    <w:p>
      <w:pPr>
        <w:pStyle w:val="ListBullet"/>
        <w:spacing w:after="60" w:line="288" w:lineRule="auto"/>
      </w:pPr>
      <w:r>
        <w:rPr>
          <w:rFonts w:ascii="맑은 고딕" w:hAnsi="맑은 고딕" w:eastAsia="맑은 고딕"/>
          <w:sz w:val="21"/>
        </w:rPr>
        <w:t>현지화는 부록이 아니라 중심에 ― 외부 콘텐츠·IP를 도입할 때 로컬 요소를 서사의 중앙에 배치할 방법을 기획 단계에서부터 설계한다.</w:t>
      </w:r>
    </w:p>
    <w:p>
      <w:pPr>
        <w:pStyle w:val="ListBullet"/>
        <w:spacing w:after="60" w:line="288" w:lineRule="auto"/>
      </w:pPr>
      <w:r>
        <w:rPr>
          <w:rFonts w:ascii="맑은 고딕" w:hAnsi="맑은 고딕" w:eastAsia="맑은 고딕"/>
          <w:sz w:val="21"/>
        </w:rPr>
        <w:t>부서 단체 견학(10/4 종료 전) ― 공간 연출과 동선은 글로 옮기기 어렵다. 직접 보는 것이 가장 빠른 학습이다.</w:t>
      </w:r>
    </w:p>
    <w:p>
      <w:pPr>
        <w:spacing w:before="280" w:after="120"/>
      </w:pPr>
      <w:r>
        <w:rPr>
          <w:rFonts w:ascii="맑은 고딕" w:hAnsi="맑은 고딕" w:eastAsia="맑은 고딕"/>
          <w:b/>
          <w:color w:val="1F3764"/>
          <w:sz w:val="28"/>
        </w:rPr>
        <w:t>5. 맺으며</w:t>
      </w:r>
    </w:p>
    <w:p>
      <w:pPr>
        <w:spacing w:after="120" w:line="300" w:lineRule="auto"/>
      </w:pPr>
      <w:r>
        <w:rPr>
          <w:rFonts w:ascii="맑은 고딕" w:hAnsi="맑은 고딕" w:eastAsia="맑은 고딕"/>
          <w:sz w:val="21"/>
        </w:rPr>
        <w:t>이번 견학에서 가장 값진 것은 유명 작품을 봤다는 사실이 아니라, ‘무엇을 보여주느냐’보다 ‘사람들이 어떻게 보게 만드느냐’가 더 근본적인 문제라는 점을 다시 확인한 것이다. 큐비즘은 보는 방식을 바꿈으로써 미술의 다음 100년을 열었다. 우리 일도 결국 같은 질문 위에 서 있다. 다만 한 가지는 분명하다 ― 시점을 흩뜨릴수록, 그것을 하나로 묶어줄 개념은 더 단단해야 한다.</w:t>
      </w:r>
    </w:p>
    <w:p>
      <w:pPr>
        <w:spacing w:before="280" w:after="120"/>
      </w:pPr>
      <w:r>
        <w:rPr>
          <w:rFonts w:ascii="맑은 고딕" w:hAnsi="맑은 고딕" w:eastAsia="맑은 고딕"/>
          <w:b/>
          <w:color w:val="1F3764"/>
          <w:sz w:val="28"/>
        </w:rPr>
        <w:t>부록. 도판 목록 및 출처</w:t>
      </w:r>
    </w:p>
    <w:p>
      <w:pPr>
        <w:spacing w:after="120" w:line="300" w:lineRule="auto"/>
      </w:pPr>
      <w:r>
        <w:rPr>
          <w:rFonts w:ascii="맑은 고딕" w:hAnsi="맑은 고딕" w:eastAsia="맑은 고딕"/>
          <w:color w:val="666666"/>
          <w:sz w:val="18"/>
        </w:rPr>
        <w:t>현장 사진 11장은 본문에 삽입했다. (사진 1 도입 인용문 / 2 피카소 두상 / 3~6 분석적 큐비즘 / 7 종합적 큐비즘 / 8~9 들로네 색채 / 10 야쿨로프 〈Bull〉 / 11 아트리움 무대막)</w:t>
      </w:r>
    </w:p>
    <w:p>
      <w:pPr>
        <w:spacing w:after="120" w:line="300" w:lineRule="auto"/>
      </w:pPr>
      <w:r>
        <w:rPr>
          <w:rFonts w:ascii="맑은 고딕" w:hAnsi="맑은 고딕" w:eastAsia="맑은 고딕"/>
          <w:color w:val="666666"/>
          <w:sz w:val="18"/>
        </w:rPr>
        <w:t>참고 출처: 퐁피두센터 한화·파리 퐁피두 공식 / 경향신문·데일리아트 / The Korea Herald·Artsy·Dezeen 보도. ※ 작품명·섹션 구성·수치는 전시 자료와 보도를 종합한 것으로, 일부는 출처 간 차이가 있어 보정했다.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