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Consolas" w:hAnsi="Consolas"/>
          <w:b/>
          <w:color w:val="E33E48"/>
          <w:sz w:val="20"/>
        </w:rPr>
        <w:t>DAEMONCORE // ACADEMY</w:t>
      </w:r>
    </w:p>
    <w:p>
      <w:pPr>
        <w:pStyle w:val="Title"/>
        <w:jc w:val="left"/>
      </w:pPr>
      <w:r>
        <w:t>DaemonCore Academy Assessment Standard</w:t>
      </w:r>
    </w:p>
    <w:p>
      <w:pPr>
        <w:pStyle w:val="Subtitle"/>
      </w:pPr>
      <w:r>
        <w:rPr>
          <w:color w:val="5E6570"/>
        </w:rPr>
        <w:t>Evidence requirements for local training and practical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DOCUMENT</w:t>
            </w:r>
          </w:p>
        </w:tc>
        <w:tc>
          <w:tcPr>
            <w:tcW w:type="dxa" w:w="2513"/>
            <w:shd w:fill="111318"/>
            <w:tcMar>
              <w:top w:w="120" w:type="dxa"/>
              <w:left w:w="120" w:type="dxa"/>
              <w:bottom w:w="120" w:type="dxa"/>
              <w:right w:w="120" w:type="dxa"/>
            </w:tcMar>
          </w:tcPr>
          <w:p>
            <w:r>
              <w:rPr>
                <w:rFonts w:ascii="Aptos" w:hAnsi="Aptos"/>
                <w:b/>
                <w:color w:val="FFFFFF"/>
                <w:sz w:val="17"/>
              </w:rPr>
              <w:t>RELEASE</w:t>
            </w:r>
          </w:p>
        </w:tc>
        <w:tc>
          <w:tcPr>
            <w:tcW w:type="dxa" w:w="2513"/>
            <w:shd w:fill="111318"/>
            <w:tcMar>
              <w:top w:w="120" w:type="dxa"/>
              <w:left w:w="120" w:type="dxa"/>
              <w:bottom w:w="120" w:type="dxa"/>
              <w:right w:w="120" w:type="dxa"/>
            </w:tcMar>
          </w:tcPr>
          <w:p>
            <w:r>
              <w:rPr>
                <w:rFonts w:ascii="Aptos" w:hAnsi="Aptos"/>
                <w:b/>
                <w:color w:val="FFFFFF"/>
                <w:sz w:val="17"/>
              </w:rPr>
              <w:t>STATUS</w:t>
            </w:r>
          </w:p>
        </w:tc>
        <w:tc>
          <w:tcPr>
            <w:tcW w:type="dxa" w:w="2513"/>
            <w:shd w:fill="111318"/>
            <w:tcMar>
              <w:top w:w="120" w:type="dxa"/>
              <w:left w:w="120" w:type="dxa"/>
              <w:bottom w:w="120" w:type="dxa"/>
              <w:right w:w="120" w:type="dxa"/>
            </w:tcMar>
          </w:tcPr>
          <w:p>
            <w:r>
              <w:rPr>
                <w:rFonts w:ascii="Aptos" w:hAnsi="Aptos"/>
                <w:b/>
                <w:color w:val="FFFFFF"/>
                <w:sz w:val="17"/>
              </w:rPr>
              <w:t>PUBLISHED</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DC-DOC-900-A</w:t>
            </w:r>
          </w:p>
        </w:tc>
        <w:tc>
          <w:tcPr>
            <w:tcW w:type="dxa" w:w="2513"/>
            <w:vAlign w:val="center"/>
            <w:tcMar>
              <w:top w:w="120" w:type="dxa"/>
              <w:left w:w="120" w:type="dxa"/>
              <w:bottom w:w="120" w:type="dxa"/>
              <w:right w:w="120" w:type="dxa"/>
            </w:tcMar>
          </w:tcPr>
          <w:p>
            <w:pPr>
              <w:spacing w:after="0"/>
            </w:pPr>
            <w:r>
              <w:rPr>
                <w:rFonts w:ascii="Aptos" w:hAnsi="Aptos"/>
                <w:color w:val="111318"/>
                <w:sz w:val="17"/>
              </w:rPr>
              <w:t>9.0.0</w:t>
            </w:r>
          </w:p>
        </w:tc>
        <w:tc>
          <w:tcPr>
            <w:tcW w:type="dxa" w:w="2513"/>
            <w:vAlign w:val="center"/>
            <w:tcMar>
              <w:top w:w="120" w:type="dxa"/>
              <w:left w:w="120" w:type="dxa"/>
              <w:bottom w:w="120" w:type="dxa"/>
              <w:right w:w="120" w:type="dxa"/>
            </w:tcMar>
          </w:tcPr>
          <w:p>
            <w:pPr>
              <w:spacing w:after="0"/>
            </w:pPr>
            <w:r>
              <w:rPr>
                <w:rFonts w:ascii="Aptos" w:hAnsi="Aptos"/>
                <w:color w:val="111318"/>
                <w:sz w:val="17"/>
              </w:rPr>
              <w:t>Official</w:t>
            </w:r>
          </w:p>
        </w:tc>
        <w:tc>
          <w:tcPr>
            <w:tcW w:type="dxa" w:w="2513"/>
            <w:vAlign w:val="center"/>
            <w:tcMar>
              <w:top w:w="120" w:type="dxa"/>
              <w:left w:w="120" w:type="dxa"/>
              <w:bottom w:w="120" w:type="dxa"/>
              <w:right w:w="120" w:type="dxa"/>
            </w:tcMar>
          </w:tcPr>
          <w:p>
            <w:pPr>
              <w:spacing w:after="0"/>
            </w:pPr>
            <w:r>
              <w:rPr>
                <w:rFonts w:ascii="Aptos" w:hAnsi="Aptos"/>
                <w:color w:val="111318"/>
                <w:sz w:val="17"/>
              </w:rPr>
              <w:t>14 September 2026</w:t>
            </w:r>
          </w:p>
        </w:tc>
      </w:tr>
    </w:tbl>
    <w:p>
      <w:pPr>
        <w:spacing w:after="0"/>
      </w:pPr>
    </w:p>
    <w:p>
      <w:r>
        <w:rPr>
          <w:b/>
        </w:rPr>
        <w:t xml:space="preserve">Intended audience  </w:t>
      </w:r>
      <w:r>
        <w:t>Learners, instructors, training administrators, and reviewers</w:t>
      </w:r>
    </w:p>
    <w:p>
      <w:r>
        <w:t>This standard defines how DaemonCore Academy evaluates practical work. Completion depends on ordered evidence from a live or explicitly synthetic exercise, not attendance, copied commands, or a successful process exit alone.</w:t>
      </w:r>
    </w:p>
    <w:p>
      <w:r>
        <w:br w:type="page"/>
      </w:r>
    </w:p>
    <w:p>
      <w:pPr>
        <w:pStyle w:val="Heading1"/>
      </w:pPr>
      <w:r>
        <w:t>Purpose and scope</w:t>
      </w:r>
    </w:p>
    <w:p>
      <w:r>
        <w:t>The standard applies to Academy lessons, scored workbenches, Web Forge, Enterprise Forge, Living Range, drills, capstones, and local Testing Mode. It does not authorize activity against an external system. Any live external assessment requires separate written authorization, scope, rules of engagement, and organizational approval.</w:t>
      </w:r>
    </w:p>
    <w:p>
      <w:r>
        <w:t>The central requirement is simple: an operator must demonstrate the expected outcome and preserve enough evidence for another reviewer to understand what was observed and why it supports the decision.</w:t>
      </w:r>
    </w:p>
    <w:p>
      <w:pPr>
        <w:pStyle w:val="Heading1"/>
      </w:pPr>
      <w:r>
        <w:t>Assessment modes</w:t>
      </w:r>
    </w:p>
    <w:p>
      <w:r>
        <w:t>Training Mode exposes suggested commands and guidance so the learner can understand the workflow. Testing Mode withholds suggested commands, disables guidance, and evaluates the next unresolved objective using backend-validated execution evidence. Local Testing Mode is practice for a future independently administered examination; it is not itself a certification exam.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Mode</w:t>
            </w:r>
          </w:p>
        </w:tc>
        <w:tc>
          <w:tcPr>
            <w:tcW w:type="dxa" w:w="2513"/>
            <w:shd w:fill="111318"/>
            <w:tcMar>
              <w:top w:w="120" w:type="dxa"/>
              <w:left w:w="120" w:type="dxa"/>
              <w:bottom w:w="120" w:type="dxa"/>
              <w:right w:w="120" w:type="dxa"/>
            </w:tcMar>
          </w:tcPr>
          <w:p>
            <w:r>
              <w:rPr>
                <w:rFonts w:ascii="Aptos" w:hAnsi="Aptos"/>
                <w:b/>
                <w:color w:val="FFFFFF"/>
                <w:sz w:val="17"/>
              </w:rPr>
              <w:t>Commands</w:t>
            </w:r>
          </w:p>
        </w:tc>
        <w:tc>
          <w:tcPr>
            <w:tcW w:type="dxa" w:w="2513"/>
            <w:shd w:fill="111318"/>
            <w:tcMar>
              <w:top w:w="120" w:type="dxa"/>
              <w:left w:w="120" w:type="dxa"/>
              <w:bottom w:w="120" w:type="dxa"/>
              <w:right w:w="120" w:type="dxa"/>
            </w:tcMar>
          </w:tcPr>
          <w:p>
            <w:r>
              <w:rPr>
                <w:rFonts w:ascii="Aptos" w:hAnsi="Aptos"/>
                <w:b/>
                <w:color w:val="FFFFFF"/>
                <w:sz w:val="17"/>
              </w:rPr>
              <w:t>Guidance</w:t>
            </w:r>
          </w:p>
        </w:tc>
        <w:tc>
          <w:tcPr>
            <w:tcW w:type="dxa" w:w="2513"/>
            <w:shd w:fill="111318"/>
            <w:tcMar>
              <w:top w:w="120" w:type="dxa"/>
              <w:left w:w="120" w:type="dxa"/>
              <w:bottom w:w="120" w:type="dxa"/>
              <w:right w:w="120" w:type="dxa"/>
            </w:tcMar>
          </w:tcPr>
          <w:p>
            <w:r>
              <w:rPr>
                <w:rFonts w:ascii="Aptos" w:hAnsi="Aptos"/>
                <w:b/>
                <w:color w:val="FFFFFF"/>
                <w:sz w:val="17"/>
              </w:rPr>
              <w:t>Intended use</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Training</w:t>
            </w:r>
          </w:p>
        </w:tc>
        <w:tc>
          <w:tcPr>
            <w:tcW w:type="dxa" w:w="2513"/>
            <w:vAlign w:val="center"/>
            <w:tcMar>
              <w:top w:w="120" w:type="dxa"/>
              <w:left w:w="120" w:type="dxa"/>
              <w:bottom w:w="120" w:type="dxa"/>
              <w:right w:w="120" w:type="dxa"/>
            </w:tcMar>
          </w:tcPr>
          <w:p>
            <w:pPr>
              <w:spacing w:after="0"/>
            </w:pPr>
            <w:r>
              <w:rPr>
                <w:rFonts w:ascii="Aptos" w:hAnsi="Aptos"/>
                <w:color w:val="111318"/>
                <w:sz w:val="17"/>
              </w:rPr>
              <w:t>Visible</w:t>
            </w:r>
          </w:p>
        </w:tc>
        <w:tc>
          <w:tcPr>
            <w:tcW w:type="dxa" w:w="2513"/>
            <w:vAlign w:val="center"/>
            <w:tcMar>
              <w:top w:w="120" w:type="dxa"/>
              <w:left w:w="120" w:type="dxa"/>
              <w:bottom w:w="120" w:type="dxa"/>
              <w:right w:w="120" w:type="dxa"/>
            </w:tcMar>
          </w:tcPr>
          <w:p>
            <w:pPr>
              <w:spacing w:after="0"/>
            </w:pPr>
            <w:r>
              <w:rPr>
                <w:rFonts w:ascii="Aptos" w:hAnsi="Aptos"/>
                <w:color w:val="111318"/>
                <w:sz w:val="17"/>
              </w:rPr>
              <w:t>Available with score cost</w:t>
            </w:r>
          </w:p>
        </w:tc>
        <w:tc>
          <w:tcPr>
            <w:tcW w:type="dxa" w:w="2513"/>
            <w:vAlign w:val="center"/>
            <w:tcMar>
              <w:top w:w="120" w:type="dxa"/>
              <w:left w:w="120" w:type="dxa"/>
              <w:bottom w:w="120" w:type="dxa"/>
              <w:right w:w="120" w:type="dxa"/>
            </w:tcMar>
          </w:tcPr>
          <w:p>
            <w:pPr>
              <w:spacing w:after="0"/>
            </w:pPr>
            <w:r>
              <w:rPr>
                <w:rFonts w:ascii="Aptos" w:hAnsi="Aptos"/>
                <w:color w:val="111318"/>
                <w:sz w:val="17"/>
              </w:rPr>
              <w:t>Instruction and deliberate practice</w:t>
            </w:r>
          </w:p>
        </w:tc>
      </w:tr>
      <w:tr>
        <w:tc>
          <w:tcPr>
            <w:tcW w:type="dxa" w:w="2513"/>
            <w:vAlign w:val="center"/>
            <w:tcMar>
              <w:top w:w="120" w:type="dxa"/>
              <w:left w:w="120" w:type="dxa"/>
              <w:bottom w:w="120" w:type="dxa"/>
              <w:right w:w="120" w:type="dxa"/>
            </w:tcMar>
            <w:shd w:fill="F4F5F7"/>
          </w:tcPr>
          <w:p>
            <w:pPr>
              <w:spacing w:after="0"/>
            </w:pPr>
            <w:r>
              <w:rPr>
                <w:rFonts w:ascii="Aptos" w:hAnsi="Aptos"/>
                <w:color w:val="111318"/>
                <w:sz w:val="17"/>
              </w:rPr>
              <w:t>Testing</w:t>
            </w:r>
          </w:p>
        </w:tc>
        <w:tc>
          <w:tcPr>
            <w:tcW w:type="dxa" w:w="2513"/>
            <w:vAlign w:val="center"/>
            <w:tcMar>
              <w:top w:w="120" w:type="dxa"/>
              <w:left w:w="120" w:type="dxa"/>
              <w:bottom w:w="120" w:type="dxa"/>
              <w:right w:w="120" w:type="dxa"/>
            </w:tcMar>
            <w:shd w:fill="F4F5F7"/>
          </w:tcPr>
          <w:p>
            <w:pPr>
              <w:spacing w:after="0"/>
            </w:pPr>
            <w:r>
              <w:rPr>
                <w:rFonts w:ascii="Aptos" w:hAnsi="Aptos"/>
                <w:color w:val="111318"/>
                <w:sz w:val="17"/>
              </w:rPr>
              <w:t>Withheld</w:t>
            </w:r>
          </w:p>
        </w:tc>
        <w:tc>
          <w:tcPr>
            <w:tcW w:type="dxa" w:w="2513"/>
            <w:vAlign w:val="center"/>
            <w:tcMar>
              <w:top w:w="120" w:type="dxa"/>
              <w:left w:w="120" w:type="dxa"/>
              <w:bottom w:w="120" w:type="dxa"/>
              <w:right w:w="120" w:type="dxa"/>
            </w:tcMar>
            <w:shd w:fill="F4F5F7"/>
          </w:tcPr>
          <w:p>
            <w:pPr>
              <w:spacing w:after="0"/>
            </w:pPr>
            <w:r>
              <w:rPr>
                <w:rFonts w:ascii="Aptos" w:hAnsi="Aptos"/>
                <w:color w:val="111318"/>
                <w:sz w:val="17"/>
              </w:rPr>
              <w:t>Disabled</w:t>
            </w:r>
          </w:p>
        </w:tc>
        <w:tc>
          <w:tcPr>
            <w:tcW w:type="dxa" w:w="2513"/>
            <w:vAlign w:val="center"/>
            <w:tcMar>
              <w:top w:w="120" w:type="dxa"/>
              <w:left w:w="120" w:type="dxa"/>
              <w:bottom w:w="120" w:type="dxa"/>
              <w:right w:w="120" w:type="dxa"/>
            </w:tcMar>
            <w:shd w:fill="F4F5F7"/>
          </w:tcPr>
          <w:p>
            <w:pPr>
              <w:spacing w:after="0"/>
            </w:pPr>
            <w:r>
              <w:rPr>
                <w:rFonts w:ascii="Aptos" w:hAnsi="Aptos"/>
                <w:color w:val="111318"/>
                <w:sz w:val="17"/>
              </w:rPr>
              <w:t>Independent local assessment practice</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Professional range</w:t>
            </w:r>
          </w:p>
        </w:tc>
        <w:tc>
          <w:tcPr>
            <w:tcW w:type="dxa" w:w="2513"/>
            <w:vAlign w:val="center"/>
            <w:tcMar>
              <w:top w:w="120" w:type="dxa"/>
              <w:left w:w="120" w:type="dxa"/>
              <w:bottom w:w="120" w:type="dxa"/>
              <w:right w:w="120" w:type="dxa"/>
            </w:tcMar>
          </w:tcPr>
          <w:p>
            <w:pPr>
              <w:spacing w:after="0"/>
            </w:pPr>
            <w:r>
              <w:rPr>
                <w:rFonts w:ascii="Aptos" w:hAnsi="Aptos"/>
                <w:color w:val="111318"/>
                <w:sz w:val="17"/>
              </w:rPr>
              <w:t>Operator selected</w:t>
            </w:r>
          </w:p>
        </w:tc>
        <w:tc>
          <w:tcPr>
            <w:tcW w:type="dxa" w:w="2513"/>
            <w:vAlign w:val="center"/>
            <w:tcMar>
              <w:top w:w="120" w:type="dxa"/>
              <w:left w:w="120" w:type="dxa"/>
              <w:bottom w:w="120" w:type="dxa"/>
              <w:right w:w="120" w:type="dxa"/>
            </w:tcMar>
          </w:tcPr>
          <w:p>
            <w:pPr>
              <w:spacing w:after="0"/>
            </w:pPr>
            <w:r>
              <w:rPr>
                <w:rFonts w:ascii="Aptos" w:hAnsi="Aptos"/>
                <w:color w:val="111318"/>
                <w:sz w:val="17"/>
              </w:rPr>
              <w:t>Unavailable</w:t>
            </w:r>
          </w:p>
        </w:tc>
        <w:tc>
          <w:tcPr>
            <w:tcW w:type="dxa" w:w="2513"/>
            <w:vAlign w:val="center"/>
            <w:tcMar>
              <w:top w:w="120" w:type="dxa"/>
              <w:left w:w="120" w:type="dxa"/>
              <w:bottom w:w="120" w:type="dxa"/>
              <w:right w:w="120" w:type="dxa"/>
            </w:tcMar>
          </w:tcPr>
          <w:p>
            <w:pPr>
              <w:spacing w:after="0"/>
            </w:pPr>
            <w:r>
              <w:rPr>
                <w:rFonts w:ascii="Aptos" w:hAnsi="Aptos"/>
                <w:color w:val="111318"/>
                <w:sz w:val="17"/>
              </w:rPr>
              <w:t>High-discipline evidence collection</w:t>
            </w:r>
          </w:p>
        </w:tc>
      </w:tr>
    </w:tbl>
    <w:p>
      <w:pPr>
        <w:spacing w:after="0"/>
      </w:pPr>
    </w:p>
    <w:p>
      <w:pPr>
        <w:pStyle w:val="Heading1"/>
      </w:pPr>
      <w:r>
        <w:t>Evidence acceptance</w:t>
      </w:r>
    </w:p>
    <w:p>
      <w:r>
        <w:t>Objectives are resolved in sequence. The range records the execution, exit status, output digest, and acceptance time. A command may differ from the suggested workflow when its output independently proves the current objective. An exit code of zero never grants credit by itself.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3351"/>
            <w:shd w:fill="111318"/>
            <w:tcMar>
              <w:top w:w="120" w:type="dxa"/>
              <w:left w:w="120" w:type="dxa"/>
              <w:bottom w:w="120" w:type="dxa"/>
              <w:right w:w="120" w:type="dxa"/>
            </w:tcMar>
          </w:tcPr>
          <w:p>
            <w:r>
              <w:rPr>
                <w:rFonts w:ascii="Aptos" w:hAnsi="Aptos"/>
                <w:b/>
                <w:color w:val="FFFFFF"/>
                <w:sz w:val="17"/>
              </w:rPr>
              <w:t>Gate</w:t>
            </w:r>
          </w:p>
        </w:tc>
        <w:tc>
          <w:tcPr>
            <w:tcW w:type="dxa" w:w="3351"/>
            <w:shd w:fill="111318"/>
            <w:tcMar>
              <w:top w:w="120" w:type="dxa"/>
              <w:left w:w="120" w:type="dxa"/>
              <w:bottom w:w="120" w:type="dxa"/>
              <w:right w:w="120" w:type="dxa"/>
            </w:tcMar>
          </w:tcPr>
          <w:p>
            <w:r>
              <w:rPr>
                <w:rFonts w:ascii="Aptos" w:hAnsi="Aptos"/>
                <w:b/>
                <w:color w:val="FFFFFF"/>
                <w:sz w:val="17"/>
              </w:rPr>
              <w:t>Required determination</w:t>
            </w:r>
          </w:p>
        </w:tc>
        <w:tc>
          <w:tcPr>
            <w:tcW w:type="dxa" w:w="3351"/>
            <w:shd w:fill="111318"/>
            <w:tcMar>
              <w:top w:w="120" w:type="dxa"/>
              <w:left w:w="120" w:type="dxa"/>
              <w:bottom w:w="120" w:type="dxa"/>
              <w:right w:w="120" w:type="dxa"/>
            </w:tcMar>
          </w:tcPr>
          <w:p>
            <w:r>
              <w:rPr>
                <w:rFonts w:ascii="Aptos" w:hAnsi="Aptos"/>
                <w:b/>
                <w:color w:val="FFFFFF"/>
                <w:sz w:val="17"/>
              </w:rPr>
              <w:t>Minimum evidence</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Boundary</w:t>
            </w:r>
          </w:p>
        </w:tc>
        <w:tc>
          <w:tcPr>
            <w:tcW w:type="dxa" w:w="3351"/>
            <w:vAlign w:val="center"/>
            <w:tcMar>
              <w:top w:w="120" w:type="dxa"/>
              <w:left w:w="120" w:type="dxa"/>
              <w:bottom w:w="120" w:type="dxa"/>
              <w:right w:w="120" w:type="dxa"/>
            </w:tcMar>
          </w:tcPr>
          <w:p>
            <w:pPr>
              <w:spacing w:after="0"/>
            </w:pPr>
            <w:r>
              <w:rPr>
                <w:rFonts w:ascii="Aptos" w:hAnsi="Aptos"/>
                <w:color w:val="111318"/>
                <w:sz w:val="17"/>
              </w:rPr>
              <w:t>The correct case and scope were identified</w:t>
            </w:r>
          </w:p>
        </w:tc>
        <w:tc>
          <w:tcPr>
            <w:tcW w:type="dxa" w:w="3351"/>
            <w:vAlign w:val="center"/>
            <w:tcMar>
              <w:top w:w="120" w:type="dxa"/>
              <w:left w:w="120" w:type="dxa"/>
              <w:bottom w:w="120" w:type="dxa"/>
              <w:right w:w="120" w:type="dxa"/>
            </w:tcMar>
          </w:tcPr>
          <w:p>
            <w:pPr>
              <w:spacing w:after="0"/>
            </w:pPr>
            <w:r>
              <w:rPr>
                <w:rFonts w:ascii="Aptos" w:hAnsi="Aptos"/>
                <w:color w:val="111318"/>
                <w:sz w:val="17"/>
              </w:rPr>
              <w:t>Case identity, authorized objects, and stop condition</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Positive control</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The expected path behaves as documented</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Independent observable value from the baseline</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Comparison</w:t>
            </w:r>
          </w:p>
        </w:tc>
        <w:tc>
          <w:tcPr>
            <w:tcW w:type="dxa" w:w="3351"/>
            <w:vAlign w:val="center"/>
            <w:tcMar>
              <w:top w:w="120" w:type="dxa"/>
              <w:left w:w="120" w:type="dxa"/>
              <w:bottom w:w="120" w:type="dxa"/>
              <w:right w:w="120" w:type="dxa"/>
            </w:tcMar>
          </w:tcPr>
          <w:p>
            <w:pPr>
              <w:spacing w:after="0"/>
            </w:pPr>
            <w:r>
              <w:rPr>
                <w:rFonts w:ascii="Aptos" w:hAnsi="Aptos"/>
                <w:color w:val="111318"/>
                <w:sz w:val="17"/>
              </w:rPr>
              <w:t>One controlled difference is established</w:t>
            </w:r>
          </w:p>
        </w:tc>
        <w:tc>
          <w:tcPr>
            <w:tcW w:type="dxa" w:w="3351"/>
            <w:vAlign w:val="center"/>
            <w:tcMar>
              <w:top w:w="120" w:type="dxa"/>
              <w:left w:w="120" w:type="dxa"/>
              <w:bottom w:w="120" w:type="dxa"/>
              <w:right w:w="120" w:type="dxa"/>
            </w:tcMar>
          </w:tcPr>
          <w:p>
            <w:pPr>
              <w:spacing w:after="0"/>
            </w:pPr>
            <w:r>
              <w:rPr>
                <w:rFonts w:ascii="Aptos" w:hAnsi="Aptos"/>
                <w:color w:val="111318"/>
                <w:sz w:val="17"/>
              </w:rPr>
              <w:t>A second distinct value tied to the affected condition</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Closure</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The bounded finding or recovery is supported</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Accepted submission or recovery proof</w:t>
            </w:r>
          </w:p>
        </w:tc>
      </w:tr>
    </w:tbl>
    <w:p>
      <w:pPr>
        <w:spacing w:after="0"/>
      </w:pPr>
    </w:p>
    <w:p>
      <w:pPr>
        <w:pStyle w:val="Heading1"/>
      </w:pPr>
      <w:r>
        <w:t>Scoring and integrity</w:t>
      </w:r>
    </w:p>
    <w:p>
      <w:r>
        <w:t>Scores may account for objective coverage, evidence independence, unnecessary actions, guidance use, and elapsed time. Records are local and device-bound unless exported. Tampered receipts, skipped gates, missing evidence, or unverifiable outputs invalidate the affected result.</w:t>
      </w:r>
    </w:p>
    <w:p>
      <w:r>
        <w:t>A passing exercise records capability demonstrated in that shipped scenario. It does not guarantee performance on an unknown production system, confer legal authority, or create a professional license.</w:t>
      </w:r>
    </w:p>
    <w:p>
      <w:pPr>
        <w:pStyle w:val="Heading1"/>
      </w:pPr>
      <w:r>
        <w:t>Reviewer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Check</w:t>
            </w:r>
          </w:p>
        </w:tc>
        <w:tc>
          <w:tcPr>
            <w:tcW w:type="dxa" w:w="5026"/>
            <w:shd w:fill="111318"/>
            <w:tcMar>
              <w:top w:w="120" w:type="dxa"/>
              <w:left w:w="120" w:type="dxa"/>
              <w:bottom w:w="120" w:type="dxa"/>
              <w:right w:w="120" w:type="dxa"/>
            </w:tcMar>
          </w:tcPr>
          <w:p>
            <w:r>
              <w:rPr>
                <w:rFonts w:ascii="Aptos" w:hAnsi="Aptos"/>
                <w:b/>
                <w:color w:val="FFFFFF"/>
                <w:sz w:val="17"/>
              </w:rPr>
              <w:t>Pass condition</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Correct environment</w:t>
            </w:r>
          </w:p>
        </w:tc>
        <w:tc>
          <w:tcPr>
            <w:tcW w:type="dxa" w:w="5026"/>
            <w:vAlign w:val="center"/>
            <w:tcMar>
              <w:top w:w="120" w:type="dxa"/>
              <w:left w:w="120" w:type="dxa"/>
              <w:bottom w:w="120" w:type="dxa"/>
              <w:right w:w="120" w:type="dxa"/>
            </w:tcMar>
          </w:tcPr>
          <w:p>
            <w:pPr>
              <w:spacing w:after="0"/>
            </w:pPr>
            <w:r>
              <w:rPr>
                <w:rFonts w:ascii="Aptos" w:hAnsi="Aptos"/>
                <w:color w:val="111318"/>
                <w:sz w:val="17"/>
              </w:rPr>
              <w:t>The required live or synthetic range was active and sealed</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Ordered gates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Every objective was accepted in sequence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Independent values</w:t>
            </w:r>
          </w:p>
        </w:tc>
        <w:tc>
          <w:tcPr>
            <w:tcW w:type="dxa" w:w="5026"/>
            <w:vAlign w:val="center"/>
            <w:tcMar>
              <w:top w:w="120" w:type="dxa"/>
              <w:left w:w="120" w:type="dxa"/>
              <w:bottom w:w="120" w:type="dxa"/>
              <w:right w:w="120" w:type="dxa"/>
            </w:tcMar>
          </w:tcPr>
          <w:p>
            <w:pPr>
              <w:spacing w:after="0"/>
            </w:pPr>
            <w:r>
              <w:rPr>
                <w:rFonts w:ascii="Aptos" w:hAnsi="Aptos"/>
                <w:color w:val="111318"/>
                <w:sz w:val="17"/>
              </w:rPr>
              <w:t>Evidence contains the required distinct observations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Bounded conclusion</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The conclusion does not exceed the observed evidence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Record integrity</w:t>
            </w:r>
          </w:p>
        </w:tc>
        <w:tc>
          <w:tcPr>
            <w:tcW w:type="dxa" w:w="5026"/>
            <w:vAlign w:val="center"/>
            <w:tcMar>
              <w:top w:w="120" w:type="dxa"/>
              <w:left w:w="120" w:type="dxa"/>
              <w:bottom w:w="120" w:type="dxa"/>
              <w:right w:w="120" w:type="dxa"/>
            </w:tcMar>
          </w:tcPr>
          <w:p>
            <w:pPr>
              <w:spacing w:after="0"/>
            </w:pPr>
            <w:r>
              <w:rPr>
                <w:rFonts w:ascii="Aptos" w:hAnsi="Aptos"/>
                <w:color w:val="111318"/>
                <w:sz w:val="17"/>
              </w:rPr>
              <w:t>Receipt and referenced execution digests verify</w:t>
            </w:r>
          </w:p>
        </w:tc>
      </w:tr>
    </w:tbl>
    <w:p>
      <w:pPr>
        <w:spacing w:after="0"/>
      </w:pPr>
    </w:p>
    <w:p>
      <w:pPr>
        <w:pStyle w:val="Heading1"/>
      </w:pPr>
      <w:r>
        <w:t>Document control</w:t>
      </w:r>
    </w:p>
    <w:p>
      <w:r>
        <w:t>This document describes DaemonCore Academy 9.0.0. When application behavior and this guide differ, stop the affected workflow and consult the release notes or support channel before continuing. Product and framework names belonging to third parties are used descriptively and do not imply endorsement.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Field</w:t>
            </w:r>
          </w:p>
        </w:tc>
        <w:tc>
          <w:tcPr>
            <w:tcW w:type="dxa" w:w="5026"/>
            <w:shd w:fill="111318"/>
            <w:tcMar>
              <w:top w:w="120" w:type="dxa"/>
              <w:left w:w="120" w:type="dxa"/>
              <w:bottom w:w="120" w:type="dxa"/>
              <w:right w:w="120" w:type="dxa"/>
            </w:tcMar>
          </w:tcPr>
          <w:p>
            <w:r>
              <w:rPr>
                <w:rFonts w:ascii="Aptos" w:hAnsi="Aptos"/>
                <w:b/>
                <w:color w:val="FFFFFF"/>
                <w:sz w:val="17"/>
              </w:rPr>
              <w:t>Value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Owner</w:t>
            </w:r>
          </w:p>
        </w:tc>
        <w:tc>
          <w:tcPr>
            <w:tcW w:type="dxa" w:w="5026"/>
            <w:vAlign w:val="center"/>
            <w:tcMar>
              <w:top w:w="120" w:type="dxa"/>
              <w:left w:w="120" w:type="dxa"/>
              <w:bottom w:w="120" w:type="dxa"/>
              <w:right w:w="120" w:type="dxa"/>
            </w:tcMar>
          </w:tcPr>
          <w:p>
            <w:pPr>
              <w:spacing w:after="0"/>
            </w:pPr>
            <w:r>
              <w:rPr>
                <w:rFonts w:ascii="Aptos" w:hAnsi="Aptos"/>
                <w:color w:val="111318"/>
                <w:sz w:val="17"/>
              </w:rPr>
              <w:t>DaemonCore Apps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Release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9.0.0</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Classification</w:t>
            </w:r>
          </w:p>
        </w:tc>
        <w:tc>
          <w:tcPr>
            <w:tcW w:type="dxa" w:w="5026"/>
            <w:vAlign w:val="center"/>
            <w:tcMar>
              <w:top w:w="120" w:type="dxa"/>
              <w:left w:w="120" w:type="dxa"/>
              <w:bottom w:w="120" w:type="dxa"/>
              <w:right w:w="120" w:type="dxa"/>
            </w:tcMar>
          </w:tcPr>
          <w:p>
            <w:pPr>
              <w:spacing w:after="0"/>
            </w:pPr>
            <w:r>
              <w:rPr>
                <w:rFonts w:ascii="Aptos" w:hAnsi="Aptos"/>
                <w:color w:val="111318"/>
                <w:sz w:val="17"/>
              </w:rPr>
              <w:t>Public product documentation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Review trigger</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Material product, policy, or credential-status change</w:t>
            </w:r>
          </w:p>
        </w:tc>
      </w:tr>
    </w:tbl>
    <w:p>
      <w:pPr>
        <w:spacing w:after="0"/>
      </w:pPr>
    </w:p>
    <w:sectPr w:rsidR="00FC693F" w:rsidRPr="0006063C" w:rsidSect="00034616">
      <w:headerReference w:type="default" r:id="rId9"/>
      <w:footerReference w:type="default" r:id="rId10"/>
      <w:pgSz w:w="12240" w:h="15840"/>
      <w:pgMar w:top="1037"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570"/>
        <w:sz w:val="14"/>
      </w:rPr>
      <w:t xml:space="preserve">DAEMONCORE // OFFICIAL GUIDE // </w:t>
    </w:r>
    <w:r>
      <w:rPr>
        <w:sz w:val="14"/>
      </w:rPr>
      <w:fldChar w:fldCharType="begin"/>
    </w:r>
    <w:r>
      <w:rPr>
        <w:sz w:val="14"/>
      </w:rPr>
      <w:instrText xml:space="preserve"> PAGE </w:instrText>
    </w:r>
    <w:r>
      <w:rPr>
        <w:sz w:val="14"/>
      </w:rPr>
      <w:fldChar w:fldCharType="separate"/>
    </w:r>
    <w:r>
      <w:rPr>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color w:val="E33E48"/>
        <w:sz w:val="14"/>
      </w:rPr>
      <w:t>DAEMONCORE ACADEMY    DC-DOC-900-A    VERSION 9.0.0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11131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Academy Assessment Standard</dc:title>
  <dc:subject>Evidence requirements for local training and practical assessment</dc:subject>
  <dc:creator>DaemonCore Apps</dc:creator>
  <cp:keywords>DaemonCore, Academy, DC-DOC-900-A, version 9.0.0</cp:keywords>
  <dc:description>Official public documentation</dc:description>
  <cp:lastModifiedBy/>
  <cp:revision>1</cp:revision>
  <dcterms:created xsi:type="dcterms:W3CDTF">2013-12-23T23:15:00Z</dcterms:created>
  <dcterms:modified xsi:type="dcterms:W3CDTF">2013-12-23T23:15:00Z</dcterms:modified>
  <cp:category/>
</cp:coreProperties>
</file>