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Consolas" w:hAnsi="Consolas"/>
          <w:b/>
          <w:color w:val="E33E48"/>
          <w:sz w:val="20"/>
        </w:rPr>
        <w:t>DAEMONCORE // ACADEMY</w:t>
      </w:r>
    </w:p>
    <w:p>
      <w:pPr>
        <w:pStyle w:val="Title"/>
        <w:jc w:val="left"/>
      </w:pPr>
      <w:r>
        <w:t>DaemonCore Academy DCCO 1 Framework Guide</w:t>
      </w:r>
    </w:p>
    <w:p>
      <w:pPr>
        <w:pStyle w:val="Subtitle"/>
      </w:pPr>
      <w:r>
        <w:rPr>
          <w:color w:val="5E6570"/>
        </w:rPr>
        <w:t>Candidate readiness, evidence policy, independent review, and credential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13"/>
        <w:gridCol w:w="2513"/>
        <w:gridCol w:w="2513"/>
        <w:gridCol w:w="2513"/>
      </w:tblGrid>
      <w:tr>
        <w:trPr>
          <w:tblHeader/>
        </w:trPr>
        <w:tc>
          <w:tcPr>
            <w:tcW w:type="dxa" w:w="2513"/>
            <w:shd w:fill="111318"/>
            <w:tcMar>
              <w:top w:w="120" w:type="dxa"/>
              <w:left w:w="120" w:type="dxa"/>
              <w:bottom w:w="120" w:type="dxa"/>
              <w:right w:w="120" w:type="dxa"/>
            </w:tcMar>
          </w:tcPr>
          <w:p>
            <w:r>
              <w:rPr>
                <w:rFonts w:ascii="Aptos" w:hAnsi="Aptos"/>
                <w:b/>
                <w:color w:val="FFFFFF"/>
                <w:sz w:val="17"/>
              </w:rPr>
              <w:t>DOCUMENT</w:t>
            </w:r>
          </w:p>
        </w:tc>
        <w:tc>
          <w:tcPr>
            <w:tcW w:type="dxa" w:w="2513"/>
            <w:shd w:fill="111318"/>
            <w:tcMar>
              <w:top w:w="120" w:type="dxa"/>
              <w:left w:w="120" w:type="dxa"/>
              <w:bottom w:w="120" w:type="dxa"/>
              <w:right w:w="120" w:type="dxa"/>
            </w:tcMar>
          </w:tcPr>
          <w:p>
            <w:r>
              <w:rPr>
                <w:rFonts w:ascii="Aptos" w:hAnsi="Aptos"/>
                <w:b/>
                <w:color w:val="FFFFFF"/>
                <w:sz w:val="17"/>
              </w:rPr>
              <w:t>RELEASE</w:t>
            </w:r>
          </w:p>
        </w:tc>
        <w:tc>
          <w:tcPr>
            <w:tcW w:type="dxa" w:w="2513"/>
            <w:shd w:fill="111318"/>
            <w:tcMar>
              <w:top w:w="120" w:type="dxa"/>
              <w:left w:w="120" w:type="dxa"/>
              <w:bottom w:w="120" w:type="dxa"/>
              <w:right w:w="120" w:type="dxa"/>
            </w:tcMar>
          </w:tcPr>
          <w:p>
            <w:r>
              <w:rPr>
                <w:rFonts w:ascii="Aptos" w:hAnsi="Aptos"/>
                <w:b/>
                <w:color w:val="FFFFFF"/>
                <w:sz w:val="17"/>
              </w:rPr>
              <w:t>STATUS</w:t>
            </w:r>
          </w:p>
        </w:tc>
        <w:tc>
          <w:tcPr>
            <w:tcW w:type="dxa" w:w="2513"/>
            <w:shd w:fill="111318"/>
            <w:tcMar>
              <w:top w:w="120" w:type="dxa"/>
              <w:left w:w="120" w:type="dxa"/>
              <w:bottom w:w="120" w:type="dxa"/>
              <w:right w:w="120" w:type="dxa"/>
            </w:tcMar>
          </w:tcPr>
          <w:p>
            <w:r>
              <w:rPr>
                <w:rFonts w:ascii="Aptos" w:hAnsi="Aptos"/>
                <w:b/>
                <w:color w:val="FFFFFF"/>
                <w:sz w:val="17"/>
              </w:rPr>
              <w:t>PUBLISHED</w:t>
            </w:r>
          </w:p>
        </w:tc>
      </w:tr>
      <w:tr>
        <w:tc>
          <w:tcPr>
            <w:tcW w:type="dxa" w:w="2513"/>
            <w:vAlign w:val="center"/>
            <w:tcMar>
              <w:top w:w="120" w:type="dxa"/>
              <w:left w:w="120" w:type="dxa"/>
              <w:bottom w:w="120" w:type="dxa"/>
              <w:right w:w="120" w:type="dxa"/>
            </w:tcMar>
          </w:tcPr>
          <w:p>
            <w:pPr>
              <w:spacing w:after="0"/>
            </w:pPr>
            <w:r>
              <w:rPr>
                <w:rFonts w:ascii="Aptos" w:hAnsi="Aptos"/>
                <w:color w:val="111318"/>
                <w:sz w:val="17"/>
              </w:rPr>
              <w:t>DC-DOC-900-F</w:t>
            </w:r>
          </w:p>
        </w:tc>
        <w:tc>
          <w:tcPr>
            <w:tcW w:type="dxa" w:w="2513"/>
            <w:vAlign w:val="center"/>
            <w:tcMar>
              <w:top w:w="120" w:type="dxa"/>
              <w:left w:w="120" w:type="dxa"/>
              <w:bottom w:w="120" w:type="dxa"/>
              <w:right w:w="120" w:type="dxa"/>
            </w:tcMar>
          </w:tcPr>
          <w:p>
            <w:pPr>
              <w:spacing w:after="0"/>
            </w:pPr>
            <w:r>
              <w:rPr>
                <w:rFonts w:ascii="Aptos" w:hAnsi="Aptos"/>
                <w:color w:val="111318"/>
                <w:sz w:val="17"/>
              </w:rPr>
              <w:t>9.0.0</w:t>
            </w:r>
          </w:p>
        </w:tc>
        <w:tc>
          <w:tcPr>
            <w:tcW w:type="dxa" w:w="2513"/>
            <w:vAlign w:val="center"/>
            <w:tcMar>
              <w:top w:w="120" w:type="dxa"/>
              <w:left w:w="120" w:type="dxa"/>
              <w:bottom w:w="120" w:type="dxa"/>
              <w:right w:w="120" w:type="dxa"/>
            </w:tcMar>
          </w:tcPr>
          <w:p>
            <w:pPr>
              <w:spacing w:after="0"/>
            </w:pPr>
            <w:r>
              <w:rPr>
                <w:rFonts w:ascii="Aptos" w:hAnsi="Aptos"/>
                <w:color w:val="111318"/>
                <w:sz w:val="17"/>
              </w:rPr>
              <w:t>Official</w:t>
            </w:r>
          </w:p>
        </w:tc>
        <w:tc>
          <w:tcPr>
            <w:tcW w:type="dxa" w:w="2513"/>
            <w:vAlign w:val="center"/>
            <w:tcMar>
              <w:top w:w="120" w:type="dxa"/>
              <w:left w:w="120" w:type="dxa"/>
              <w:bottom w:w="120" w:type="dxa"/>
              <w:right w:w="120" w:type="dxa"/>
            </w:tcMar>
          </w:tcPr>
          <w:p>
            <w:pPr>
              <w:spacing w:after="0"/>
            </w:pPr>
            <w:r>
              <w:rPr>
                <w:rFonts w:ascii="Aptos" w:hAnsi="Aptos"/>
                <w:color w:val="111318"/>
                <w:sz w:val="17"/>
              </w:rPr>
              <w:t>14 September 2026</w:t>
            </w:r>
          </w:p>
        </w:tc>
      </w:tr>
    </w:tbl>
    <w:p>
      <w:pPr>
        <w:spacing w:after="0"/>
      </w:pPr>
    </w:p>
    <w:p>
      <w:r>
        <w:rPr>
          <w:b/>
        </w:rPr>
        <w:t xml:space="preserve">Intended audience  </w:t>
      </w:r>
      <w:r>
        <w:t>Prospective candidates, reviewers, instructors, and credential administrators</w:t>
      </w:r>
    </w:p>
    <w:p>
      <w:r>
        <w:t>DCCO-1 is the planned DaemonCore Certified Cyber Operator vendor credential. The desktop can evaluate readiness and export a signed candidate dossier, but it cannot issue a credential, badge, certificate, or public verification record.</w:t>
      </w:r>
    </w:p>
    <w:p>
      <w:r>
        <w:br w:type="page"/>
      </w:r>
    </w:p>
    <w:p>
      <w:pPr>
        <w:pStyle w:val="Heading1"/>
      </w:pPr>
      <w:r>
        <w:t>Current status</w:t>
      </w:r>
    </w:p>
    <w:p>
      <w:r>
        <w:t>The DCCO-1 certification program is in development and is not currently accepting applications unless DaemonCore Apps separately announces that the independent review and issuer services are operational. A local eligibility result or exported candidate dossier is not certification.</w:t>
      </w:r>
    </w:p>
    <w:p>
      <w:r>
        <w:t>DCCO-1 is intended as a vendor professional credential. It is not government accreditation, a degree, a state license, an authorization to test systems, or a guarantee of employment.</w:t>
      </w:r>
    </w:p>
    <w:p>
      <w:pPr>
        <w:pStyle w:val="Heading1"/>
      </w:pPr>
      <w:r>
        <w:t>Published readiness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5026"/>
            <w:shd w:fill="111318"/>
            <w:tcMar>
              <w:top w:w="120" w:type="dxa"/>
              <w:left w:w="120" w:type="dxa"/>
              <w:bottom w:w="120" w:type="dxa"/>
              <w:right w:w="120" w:type="dxa"/>
            </w:tcMar>
          </w:tcPr>
          <w:p>
            <w:r>
              <w:rPr>
                <w:rFonts w:ascii="Aptos" w:hAnsi="Aptos"/>
                <w:b/>
                <w:color w:val="FFFFFF"/>
                <w:sz w:val="17"/>
              </w:rPr>
              <w:t>Requirement</w:t>
            </w:r>
          </w:p>
        </w:tc>
        <w:tc>
          <w:tcPr>
            <w:tcW w:type="dxa" w:w="5026"/>
            <w:shd w:fill="111318"/>
            <w:tcMar>
              <w:top w:w="120" w:type="dxa"/>
              <w:left w:w="120" w:type="dxa"/>
              <w:bottom w:w="120" w:type="dxa"/>
              <w:right w:w="120" w:type="dxa"/>
            </w:tcMar>
          </w:tcPr>
          <w:p>
            <w:r>
              <w:rPr>
                <w:rFonts w:ascii="Aptos" w:hAnsi="Aptos"/>
                <w:b/>
                <w:color w:val="FFFFFF"/>
                <w:sz w:val="17"/>
              </w:rPr>
              <w:t>Threshold</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Practical lessons</w:t>
            </w:r>
          </w:p>
        </w:tc>
        <w:tc>
          <w:tcPr>
            <w:tcW w:type="dxa" w:w="5026"/>
            <w:vAlign w:val="center"/>
            <w:tcMar>
              <w:top w:w="120" w:type="dxa"/>
              <w:left w:w="120" w:type="dxa"/>
              <w:bottom w:w="120" w:type="dxa"/>
              <w:right w:w="120" w:type="dxa"/>
            </w:tcMar>
          </w:tcPr>
          <w:p>
            <w:pPr>
              <w:spacing w:after="0"/>
            </w:pPr>
            <w:r>
              <w:rPr>
                <w:rFonts w:ascii="Aptos" w:hAnsi="Aptos"/>
                <w:color w:val="111318"/>
                <w:sz w:val="17"/>
              </w:rPr>
              <w:t>20 passes at 80 percent or better</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Independent missions</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5 sealed completions</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Web Forge</w:t>
            </w:r>
          </w:p>
        </w:tc>
        <w:tc>
          <w:tcPr>
            <w:tcW w:type="dxa" w:w="5026"/>
            <w:vAlign w:val="center"/>
            <w:tcMar>
              <w:top w:w="120" w:type="dxa"/>
              <w:left w:w="120" w:type="dxa"/>
              <w:bottom w:w="120" w:type="dxa"/>
              <w:right w:w="120" w:type="dxa"/>
            </w:tcMar>
          </w:tcPr>
          <w:p>
            <w:pPr>
              <w:spacing w:after="0"/>
            </w:pPr>
            <w:r>
              <w:rPr>
                <w:rFonts w:ascii="Aptos" w:hAnsi="Aptos"/>
                <w:color w:val="111318"/>
                <w:sz w:val="17"/>
              </w:rPr>
              <w:t>8 accepted conditions</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Enterprise Forge</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8 accepted cases</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Drills</w:t>
            </w:r>
          </w:p>
        </w:tc>
        <w:tc>
          <w:tcPr>
            <w:tcW w:type="dxa" w:w="5026"/>
            <w:vAlign w:val="center"/>
            <w:tcMar>
              <w:top w:w="120" w:type="dxa"/>
              <w:left w:w="120" w:type="dxa"/>
              <w:bottom w:w="120" w:type="dxa"/>
              <w:right w:w="120" w:type="dxa"/>
            </w:tcMar>
          </w:tcPr>
          <w:p>
            <w:pPr>
              <w:spacing w:after="0"/>
            </w:pPr>
            <w:r>
              <w:rPr>
                <w:rFonts w:ascii="Aptos" w:hAnsi="Aptos"/>
                <w:color w:val="111318"/>
                <w:sz w:val="17"/>
              </w:rPr>
              <w:t>4 passes</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Principal capstones</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2 passes at 80 percent or better</w:t>
            </w:r>
          </w:p>
        </w:tc>
      </w:tr>
    </w:tbl>
    <w:p>
      <w:pPr>
        <w:spacing w:after="0"/>
      </w:pPr>
    </w:p>
    <w:p>
      <w:pPr>
        <w:pStyle w:val="Heading1"/>
      </w:pPr>
      <w:r>
        <w:t>Candidate dossier</w:t>
      </w:r>
    </w:p>
    <w:p>
      <w:r>
        <w:t>When every local readiness requirement is met, the application can bind the candidate’s protected identity, device-key fingerprint, evidence references, policy version, and application version into a signed dossier. Editing a bound claim breaks verification.</w:t>
      </w:r>
    </w:p>
    <w:p>
      <w:r>
        <w:t>The dossier is an application artifact for future independent review. It does not contain an issuer decision and must never be displayed as a certificate.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5026"/>
            <w:shd w:fill="111318"/>
            <w:tcMar>
              <w:top w:w="120" w:type="dxa"/>
              <w:left w:w="120" w:type="dxa"/>
              <w:bottom w:w="120" w:type="dxa"/>
              <w:right w:w="120" w:type="dxa"/>
            </w:tcMar>
          </w:tcPr>
          <w:p>
            <w:r>
              <w:rPr>
                <w:rFonts w:ascii="Aptos" w:hAnsi="Aptos"/>
                <w:b/>
                <w:color w:val="FFFFFF"/>
                <w:sz w:val="17"/>
              </w:rPr>
              <w:t>Dossier element</w:t>
            </w:r>
          </w:p>
        </w:tc>
        <w:tc>
          <w:tcPr>
            <w:tcW w:type="dxa" w:w="5026"/>
            <w:shd w:fill="111318"/>
            <w:tcMar>
              <w:top w:w="120" w:type="dxa"/>
              <w:left w:w="120" w:type="dxa"/>
              <w:bottom w:w="120" w:type="dxa"/>
              <w:right w:w="120" w:type="dxa"/>
            </w:tcMar>
          </w:tcPr>
          <w:p>
            <w:r>
              <w:rPr>
                <w:rFonts w:ascii="Aptos" w:hAnsi="Aptos"/>
                <w:b/>
                <w:color w:val="FFFFFF"/>
                <w:sz w:val="17"/>
              </w:rPr>
              <w:t>Purpose</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Candidate identity</w:t>
            </w:r>
          </w:p>
        </w:tc>
        <w:tc>
          <w:tcPr>
            <w:tcW w:type="dxa" w:w="5026"/>
            <w:vAlign w:val="center"/>
            <w:tcMar>
              <w:top w:w="120" w:type="dxa"/>
              <w:left w:w="120" w:type="dxa"/>
              <w:bottom w:w="120" w:type="dxa"/>
              <w:right w:w="120" w:type="dxa"/>
            </w:tcMar>
          </w:tcPr>
          <w:p>
            <w:pPr>
              <w:spacing w:after="0"/>
            </w:pPr>
            <w:r>
              <w:rPr>
                <w:rFonts w:ascii="Aptos" w:hAnsi="Aptos"/>
                <w:color w:val="111318"/>
                <w:sz w:val="17"/>
              </w:rPr>
              <w:t>Connects evidence to the named applicant</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Device public key</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Verifies the local dossier signature</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Policy version</w:t>
            </w:r>
          </w:p>
        </w:tc>
        <w:tc>
          <w:tcPr>
            <w:tcW w:type="dxa" w:w="5026"/>
            <w:vAlign w:val="center"/>
            <w:tcMar>
              <w:top w:w="120" w:type="dxa"/>
              <w:left w:w="120" w:type="dxa"/>
              <w:bottom w:w="120" w:type="dxa"/>
              <w:right w:w="120" w:type="dxa"/>
            </w:tcMar>
          </w:tcPr>
          <w:p>
            <w:pPr>
              <w:spacing w:after="0"/>
            </w:pPr>
            <w:r>
              <w:rPr>
                <w:rFonts w:ascii="Aptos" w:hAnsi="Aptos"/>
                <w:color w:val="111318"/>
                <w:sz w:val="17"/>
              </w:rPr>
              <w:t>Identifies the standard evaluated</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Evidence references</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Points reviewers to qualifying local outcomes</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Digest and signature</w:t>
            </w:r>
          </w:p>
        </w:tc>
        <w:tc>
          <w:tcPr>
            <w:tcW w:type="dxa" w:w="5026"/>
            <w:vAlign w:val="center"/>
            <w:tcMar>
              <w:top w:w="120" w:type="dxa"/>
              <w:left w:w="120" w:type="dxa"/>
              <w:bottom w:w="120" w:type="dxa"/>
              <w:right w:w="120" w:type="dxa"/>
            </w:tcMar>
          </w:tcPr>
          <w:p>
            <w:pPr>
              <w:spacing w:after="0"/>
            </w:pPr>
            <w:r>
              <w:rPr>
                <w:rFonts w:ascii="Aptos" w:hAnsi="Aptos"/>
                <w:color w:val="111318"/>
                <w:sz w:val="17"/>
              </w:rPr>
              <w:t>Detects modification after export</w:t>
            </w:r>
          </w:p>
        </w:tc>
      </w:tr>
    </w:tbl>
    <w:p>
      <w:pPr>
        <w:spacing w:after="0"/>
      </w:pPr>
    </w:p>
    <w:p>
      <w:pPr>
        <w:pStyle w:val="Heading1"/>
      </w:pPr>
      <w:r>
        <w:t>Requirements before issuance</w:t>
      </w:r>
    </w:p>
    <w:p>
      <w:r>
        <w:t>A production credential program requires documented identity verification, controlled exam delivery, independent review, issuer-key separation, privacy terms, support, appeals, revocation, renewal, and a public verification service. Those controls must be deployed and tested together before DaemonCore markets issued credentials.</w:t>
      </w:r>
    </w:p>
    <w:p>
      <w:pPr>
        <w:pStyle w:val="Heading1"/>
      </w:pPr>
      <w:r>
        <w:t>Framework relationship</w:t>
      </w:r>
    </w:p>
    <w:p>
      <w:r>
        <w:t>DaemonCore maps selected Living Range objectives to NICE Framework Components v2.2.0 for transparent curriculum alignment. That relationship is independent and does not imply NIST or CISA endorsement, accreditation, approval, or certification.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5026"/>
            <w:shd w:fill="111318"/>
            <w:tcMar>
              <w:top w:w="120" w:type="dxa"/>
              <w:left w:w="120" w:type="dxa"/>
              <w:bottom w:w="120" w:type="dxa"/>
              <w:right w:w="120" w:type="dxa"/>
            </w:tcMar>
          </w:tcPr>
          <w:p>
            <w:r>
              <w:rPr>
                <w:rFonts w:ascii="Aptos" w:hAnsi="Aptos"/>
                <w:b/>
                <w:color w:val="FFFFFF"/>
                <w:sz w:val="17"/>
              </w:rPr>
              <w:t>Reference</w:t>
            </w:r>
          </w:p>
        </w:tc>
        <w:tc>
          <w:tcPr>
            <w:tcW w:type="dxa" w:w="5026"/>
            <w:shd w:fill="111318"/>
            <w:tcMar>
              <w:top w:w="120" w:type="dxa"/>
              <w:left w:w="120" w:type="dxa"/>
              <w:bottom w:w="120" w:type="dxa"/>
              <w:right w:w="120" w:type="dxa"/>
            </w:tcMar>
          </w:tcPr>
          <w:p>
            <w:r>
              <w:rPr>
                <w:rFonts w:ascii="Aptos" w:hAnsi="Aptos"/>
                <w:b/>
                <w:color w:val="FFFFFF"/>
                <w:sz w:val="17"/>
              </w:rPr>
              <w:t>Use in DaemonCore</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NICE work roles</w:t>
            </w:r>
          </w:p>
        </w:tc>
        <w:tc>
          <w:tcPr>
            <w:tcW w:type="dxa" w:w="5026"/>
            <w:vAlign w:val="center"/>
            <w:tcMar>
              <w:top w:w="120" w:type="dxa"/>
              <w:left w:w="120" w:type="dxa"/>
              <w:bottom w:w="120" w:type="dxa"/>
              <w:right w:w="120" w:type="dxa"/>
            </w:tcMar>
          </w:tcPr>
          <w:p>
            <w:pPr>
              <w:spacing w:after="0"/>
            </w:pPr>
            <w:r>
              <w:rPr>
                <w:rFonts w:ascii="Aptos" w:hAnsi="Aptos"/>
                <w:color w:val="111318"/>
                <w:sz w:val="17"/>
              </w:rPr>
              <w:t>Describe the kind of cybersecurity work represented</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Task statements</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Connect objectives to observable work</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Knowledge and skill statements</w:t>
            </w:r>
          </w:p>
        </w:tc>
        <w:tc>
          <w:tcPr>
            <w:tcW w:type="dxa" w:w="5026"/>
            <w:vAlign w:val="center"/>
            <w:tcMar>
              <w:top w:w="120" w:type="dxa"/>
              <w:left w:w="120" w:type="dxa"/>
              <w:bottom w:w="120" w:type="dxa"/>
              <w:right w:w="120" w:type="dxa"/>
            </w:tcMar>
          </w:tcPr>
          <w:p>
            <w:pPr>
              <w:spacing w:after="0"/>
            </w:pPr>
            <w:r>
              <w:rPr>
                <w:rFonts w:ascii="Aptos" w:hAnsi="Aptos"/>
                <w:color w:val="111318"/>
                <w:sz w:val="17"/>
              </w:rPr>
              <w:t>Describe capabilities exercised by the scenario</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DaemonCore evidence policy</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Defines local completion and dossier readiness</w:t>
            </w:r>
          </w:p>
        </w:tc>
      </w:tr>
    </w:tbl>
    <w:p>
      <w:pPr>
        <w:spacing w:after="0"/>
      </w:pPr>
    </w:p>
    <w:p>
      <w:pPr>
        <w:pStyle w:val="Heading1"/>
      </w:pPr>
      <w:r>
        <w:t>Document control</w:t>
      </w:r>
    </w:p>
    <w:p>
      <w:r>
        <w:t>This document describes DaemonCore Academy 9.0.0. When application behavior and this guide differ, stop the affected workflow and consult the release notes or support channel before continuing. Product and framework names belonging to third parties are used descriptively and do not imply endorsement.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5026"/>
            <w:shd w:fill="111318"/>
            <w:tcMar>
              <w:top w:w="120" w:type="dxa"/>
              <w:left w:w="120" w:type="dxa"/>
              <w:bottom w:w="120" w:type="dxa"/>
              <w:right w:w="120" w:type="dxa"/>
            </w:tcMar>
          </w:tcPr>
          <w:p>
            <w:r>
              <w:rPr>
                <w:rFonts w:ascii="Aptos" w:hAnsi="Aptos"/>
                <w:b/>
                <w:color w:val="FFFFFF"/>
                <w:sz w:val="17"/>
              </w:rPr>
              <w:t>Field</w:t>
            </w:r>
          </w:p>
        </w:tc>
        <w:tc>
          <w:tcPr>
            <w:tcW w:type="dxa" w:w="5026"/>
            <w:shd w:fill="111318"/>
            <w:tcMar>
              <w:top w:w="120" w:type="dxa"/>
              <w:left w:w="120" w:type="dxa"/>
              <w:bottom w:w="120" w:type="dxa"/>
              <w:right w:w="120" w:type="dxa"/>
            </w:tcMar>
          </w:tcPr>
          <w:p>
            <w:r>
              <w:rPr>
                <w:rFonts w:ascii="Aptos" w:hAnsi="Aptos"/>
                <w:b/>
                <w:color w:val="FFFFFF"/>
                <w:sz w:val="17"/>
              </w:rPr>
              <w:t>Value</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Owner</w:t>
            </w:r>
          </w:p>
        </w:tc>
        <w:tc>
          <w:tcPr>
            <w:tcW w:type="dxa" w:w="5026"/>
            <w:vAlign w:val="center"/>
            <w:tcMar>
              <w:top w:w="120" w:type="dxa"/>
              <w:left w:w="120" w:type="dxa"/>
              <w:bottom w:w="120" w:type="dxa"/>
              <w:right w:w="120" w:type="dxa"/>
            </w:tcMar>
          </w:tcPr>
          <w:p>
            <w:pPr>
              <w:spacing w:after="0"/>
            </w:pPr>
            <w:r>
              <w:rPr>
                <w:rFonts w:ascii="Aptos" w:hAnsi="Aptos"/>
                <w:color w:val="111318"/>
                <w:sz w:val="17"/>
              </w:rPr>
              <w:t>DaemonCore Apps</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Release</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9.0.0</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Classification</w:t>
            </w:r>
          </w:p>
        </w:tc>
        <w:tc>
          <w:tcPr>
            <w:tcW w:type="dxa" w:w="5026"/>
            <w:vAlign w:val="center"/>
            <w:tcMar>
              <w:top w:w="120" w:type="dxa"/>
              <w:left w:w="120" w:type="dxa"/>
              <w:bottom w:w="120" w:type="dxa"/>
              <w:right w:w="120" w:type="dxa"/>
            </w:tcMar>
          </w:tcPr>
          <w:p>
            <w:pPr>
              <w:spacing w:after="0"/>
            </w:pPr>
            <w:r>
              <w:rPr>
                <w:rFonts w:ascii="Aptos" w:hAnsi="Aptos"/>
                <w:color w:val="111318"/>
                <w:sz w:val="17"/>
              </w:rPr>
              <w:t>Public product documentation</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Review trigger</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Material product, policy, or credential-status change</w:t>
            </w:r>
          </w:p>
        </w:tc>
      </w:tr>
    </w:tbl>
    <w:p>
      <w:pPr>
        <w:spacing w:after="0"/>
      </w:pPr>
    </w:p>
    <w:sectPr w:rsidR="00FC693F" w:rsidRPr="0006063C" w:rsidSect="00034616">
      <w:headerReference w:type="default" r:id="rId9"/>
      <w:footerReference w:type="default" r:id="rId10"/>
      <w:pgSz w:w="12240" w:h="15840"/>
      <w:pgMar w:top="1037" w:right="1094" w:bottom="965"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570"/>
        <w:sz w:val="14"/>
      </w:rPr>
      <w:t xml:space="preserve">DAEMONCORE // OFFICIAL GUIDE // </w:t>
    </w:r>
    <w:r>
      <w:rPr>
        <w:sz w:val="14"/>
      </w:rPr>
      <w:fldChar w:fldCharType="begin"/>
    </w:r>
    <w:r>
      <w:rPr>
        <w:sz w:val="14"/>
      </w:rPr>
      <w:instrText xml:space="preserve"> PAGE </w:instrText>
    </w:r>
    <w:r>
      <w:rPr>
        <w:sz w:val="14"/>
      </w:rPr>
      <w:fldChar w:fldCharType="separate"/>
    </w:r>
    <w:r>
      <w:rPr>
        <w:sz w:val="1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onsolas" w:hAnsi="Consolas"/>
        <w:b/>
        <w:color w:val="E33E48"/>
        <w:sz w:val="14"/>
      </w:rPr>
      <w:t>DAEMONCORE ACADEMY    DC-DOC-900-F    VERSION 9.0.0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113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1131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1131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11131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pPr>
    <w:rPr>
      <w:rFonts w:asciiTheme="majorHAnsi" w:eastAsiaTheme="majorEastAsia" w:hAnsiTheme="majorHAnsi" w:cstheme="majorBidi" w:ascii="Aptos" w:hAnsi="Aptos"/>
      <w:b w:val="0"/>
      <w:i/>
      <w:iCs/>
      <w:color w:val="11131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DaemonCore Academy DCCO 1 Framework Guide</dc:title>
  <dc:subject>Candidate readiness, evidence policy, independent review, and credential boundaries</dc:subject>
  <dc:creator>DaemonCore Apps</dc:creator>
  <cp:keywords>DaemonCore, Academy, DC-DOC-900-F, version 9.0.0</cp:keywords>
  <dc:description>Official public documentation</dc:description>
  <cp:lastModifiedBy/>
  <cp:revision>1</cp:revision>
  <dcterms:created xsi:type="dcterms:W3CDTF">2013-12-23T23:15:00Z</dcterms:created>
  <dcterms:modified xsi:type="dcterms:W3CDTF">2013-12-23T23:15:00Z</dcterms:modified>
  <cp:category/>
</cp:coreProperties>
</file>