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rFonts w:ascii="Consolas" w:hAnsi="Consolas"/>
          <w:b/>
          <w:color w:val="E33E48"/>
          <w:sz w:val="20"/>
        </w:rPr>
        <w:t>DAEMONCORE // ACADEMY</w:t>
      </w:r>
    </w:p>
    <w:p>
      <w:pPr>
        <w:pStyle w:val="Title"/>
        <w:jc w:val="left"/>
      </w:pPr>
      <w:r>
        <w:t>DaemonCore Academy Egress Rules</w:t>
      </w:r>
    </w:p>
    <w:p>
      <w:pPr>
        <w:pStyle w:val="Subtitle"/>
      </w:pPr>
      <w:r>
        <w:rPr>
          <w:color w:val="5E6570"/>
        </w:rPr>
        <w:t>Network boundary rules for local ranges and authorized FieldOps work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13"/>
        <w:gridCol w:w="2513"/>
        <w:gridCol w:w="2513"/>
        <w:gridCol w:w="2513"/>
      </w:tblGrid>
      <w:tr>
        <w:trPr>
          <w:tblHeader/>
        </w:trPr>
        <w:tc>
          <w:tcPr>
            <w:tcW w:type="dxa" w:w="2513"/>
            <w:shd w:fill="111318"/>
            <w:tcMar>
              <w:top w:w="120" w:type="dxa"/>
              <w:left w:w="120" w:type="dxa"/>
              <w:bottom w:w="120" w:type="dxa"/>
              <w:right w:w="120" w:type="dxa"/>
            </w:tcMar>
          </w:tcPr>
          <w:p>
            <w:r>
              <w:rPr>
                <w:rFonts w:ascii="Aptos" w:hAnsi="Aptos"/>
                <w:b/>
                <w:color w:val="FFFFFF"/>
                <w:sz w:val="17"/>
              </w:rPr>
              <w:t>DOCUMENT</w:t>
            </w:r>
          </w:p>
        </w:tc>
        <w:tc>
          <w:tcPr>
            <w:tcW w:type="dxa" w:w="2513"/>
            <w:shd w:fill="111318"/>
            <w:tcMar>
              <w:top w:w="120" w:type="dxa"/>
              <w:left w:w="120" w:type="dxa"/>
              <w:bottom w:w="120" w:type="dxa"/>
              <w:right w:w="120" w:type="dxa"/>
            </w:tcMar>
          </w:tcPr>
          <w:p>
            <w:r>
              <w:rPr>
                <w:rFonts w:ascii="Aptos" w:hAnsi="Aptos"/>
                <w:b/>
                <w:color w:val="FFFFFF"/>
                <w:sz w:val="17"/>
              </w:rPr>
              <w:t>RELEASE</w:t>
            </w:r>
          </w:p>
        </w:tc>
        <w:tc>
          <w:tcPr>
            <w:tcW w:type="dxa" w:w="2513"/>
            <w:shd w:fill="111318"/>
            <w:tcMar>
              <w:top w:w="120" w:type="dxa"/>
              <w:left w:w="120" w:type="dxa"/>
              <w:bottom w:w="120" w:type="dxa"/>
              <w:right w:w="120" w:type="dxa"/>
            </w:tcMar>
          </w:tcPr>
          <w:p>
            <w:r>
              <w:rPr>
                <w:rFonts w:ascii="Aptos" w:hAnsi="Aptos"/>
                <w:b/>
                <w:color w:val="FFFFFF"/>
                <w:sz w:val="17"/>
              </w:rPr>
              <w:t>STATUS</w:t>
            </w:r>
          </w:p>
        </w:tc>
        <w:tc>
          <w:tcPr>
            <w:tcW w:type="dxa" w:w="2513"/>
            <w:shd w:fill="111318"/>
            <w:tcMar>
              <w:top w:w="120" w:type="dxa"/>
              <w:left w:w="120" w:type="dxa"/>
              <w:bottom w:w="120" w:type="dxa"/>
              <w:right w:w="120" w:type="dxa"/>
            </w:tcMar>
          </w:tcPr>
          <w:p>
            <w:r>
              <w:rPr>
                <w:rFonts w:ascii="Aptos" w:hAnsi="Aptos"/>
                <w:b/>
                <w:color w:val="FFFFFF"/>
                <w:sz w:val="17"/>
              </w:rPr>
              <w:t>PUBLISHED</w:t>
            </w:r>
          </w:p>
        </w:tc>
      </w:tr>
      <w:tr>
        <w:tc>
          <w:tcPr>
            <w:tcW w:type="dxa" w:w="2513"/>
            <w:vAlign w:val="center"/>
            <w:tcMar>
              <w:top w:w="120" w:type="dxa"/>
              <w:left w:w="120" w:type="dxa"/>
              <w:bottom w:w="120" w:type="dxa"/>
              <w:right w:w="120" w:type="dxa"/>
            </w:tcMar>
          </w:tcPr>
          <w:p>
            <w:pPr>
              <w:spacing w:after="0"/>
            </w:pPr>
            <w:r>
              <w:rPr>
                <w:rFonts w:ascii="Aptos" w:hAnsi="Aptos"/>
                <w:color w:val="111318"/>
                <w:sz w:val="17"/>
              </w:rPr>
              <w:t>DC-DOC-900-C</w:t>
            </w:r>
          </w:p>
        </w:tc>
        <w:tc>
          <w:tcPr>
            <w:tcW w:type="dxa" w:w="2513"/>
            <w:vAlign w:val="center"/>
            <w:tcMar>
              <w:top w:w="120" w:type="dxa"/>
              <w:left w:w="120" w:type="dxa"/>
              <w:bottom w:w="120" w:type="dxa"/>
              <w:right w:w="120" w:type="dxa"/>
            </w:tcMar>
          </w:tcPr>
          <w:p>
            <w:pPr>
              <w:spacing w:after="0"/>
            </w:pPr>
            <w:r>
              <w:rPr>
                <w:rFonts w:ascii="Aptos" w:hAnsi="Aptos"/>
                <w:color w:val="111318"/>
                <w:sz w:val="17"/>
              </w:rPr>
              <w:t>9.0.0</w:t>
            </w:r>
          </w:p>
        </w:tc>
        <w:tc>
          <w:tcPr>
            <w:tcW w:type="dxa" w:w="2513"/>
            <w:vAlign w:val="center"/>
            <w:tcMar>
              <w:top w:w="120" w:type="dxa"/>
              <w:left w:w="120" w:type="dxa"/>
              <w:bottom w:w="120" w:type="dxa"/>
              <w:right w:w="120" w:type="dxa"/>
            </w:tcMar>
          </w:tcPr>
          <w:p>
            <w:pPr>
              <w:spacing w:after="0"/>
            </w:pPr>
            <w:r>
              <w:rPr>
                <w:rFonts w:ascii="Aptos" w:hAnsi="Aptos"/>
                <w:color w:val="111318"/>
                <w:sz w:val="17"/>
              </w:rPr>
              <w:t>Official</w:t>
            </w:r>
          </w:p>
        </w:tc>
        <w:tc>
          <w:tcPr>
            <w:tcW w:type="dxa" w:w="2513"/>
            <w:vAlign w:val="center"/>
            <w:tcMar>
              <w:top w:w="120" w:type="dxa"/>
              <w:left w:w="120" w:type="dxa"/>
              <w:bottom w:w="120" w:type="dxa"/>
              <w:right w:w="120" w:type="dxa"/>
            </w:tcMar>
          </w:tcPr>
          <w:p>
            <w:pPr>
              <w:spacing w:after="0"/>
            </w:pPr>
            <w:r>
              <w:rPr>
                <w:rFonts w:ascii="Aptos" w:hAnsi="Aptos"/>
                <w:color w:val="111318"/>
                <w:sz w:val="17"/>
              </w:rPr>
              <w:t>14 September 2026</w:t>
            </w:r>
          </w:p>
        </w:tc>
      </w:tr>
    </w:tbl>
    <w:p>
      <w:pPr>
        <w:spacing w:after="0"/>
      </w:pPr>
    </w:p>
    <w:p>
      <w:r>
        <w:rPr>
          <w:b/>
        </w:rPr>
        <w:t xml:space="preserve">Intended audience  </w:t>
      </w:r>
      <w:r>
        <w:t>Operators, security leads, lab administrators, and approvers</w:t>
      </w:r>
    </w:p>
    <w:p>
      <w:r>
        <w:t>These rules separate no-egress Academy ranges from authorization-bound FieldOps activity. They define mandatory stop conditions and prevent training environments from becoming unintended launch points.</w:t>
      </w:r>
    </w:p>
    <w:p>
      <w:r>
        <w:br w:type="page"/>
      </w:r>
    </w:p>
    <w:p>
      <w:pPr>
        <w:pStyle w:val="Heading1"/>
      </w:pPr>
      <w:r>
        <w:t>Academy range rule</w:t>
      </w:r>
    </w:p>
    <w:p>
      <w:r>
        <w:t>Academy Docker ranges are local, disposable, and egress-blocked. Their operator containers may communicate only with services on the generated internal network. They must not reach the public internet, host services, unrelated Docker networks, or private organizational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Path</w:t>
            </w:r>
          </w:p>
        </w:tc>
        <w:tc>
          <w:tcPr>
            <w:tcW w:type="dxa" w:w="5026"/>
            <w:shd w:fill="111318"/>
            <w:tcMar>
              <w:top w:w="120" w:type="dxa"/>
              <w:left w:w="120" w:type="dxa"/>
              <w:bottom w:w="120" w:type="dxa"/>
              <w:right w:w="120" w:type="dxa"/>
            </w:tcMar>
          </w:tcPr>
          <w:p>
            <w:r>
              <w:rPr>
                <w:rFonts w:ascii="Aptos" w:hAnsi="Aptos"/>
                <w:b/>
                <w:color w:val="FFFFFF"/>
                <w:sz w:val="17"/>
              </w:rPr>
              <w:t>Academy policy</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Operator to range service</w:t>
            </w:r>
          </w:p>
        </w:tc>
        <w:tc>
          <w:tcPr>
            <w:tcW w:type="dxa" w:w="5026"/>
            <w:vAlign w:val="center"/>
            <w:tcMar>
              <w:top w:w="120" w:type="dxa"/>
              <w:left w:w="120" w:type="dxa"/>
              <w:bottom w:w="120" w:type="dxa"/>
              <w:right w:w="120" w:type="dxa"/>
            </w:tcMar>
          </w:tcPr>
          <w:p>
            <w:pPr>
              <w:spacing w:after="0"/>
            </w:pPr>
            <w:r>
              <w:rPr>
                <w:rFonts w:ascii="Aptos" w:hAnsi="Aptos"/>
                <w:color w:val="111318"/>
                <w:sz w:val="17"/>
              </w:rPr>
              <w:t>Allowed on the internal generated network</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Operator to public internet</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Denied</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Operator to host</w:t>
            </w:r>
          </w:p>
        </w:tc>
        <w:tc>
          <w:tcPr>
            <w:tcW w:type="dxa" w:w="5026"/>
            <w:vAlign w:val="center"/>
            <w:tcMar>
              <w:top w:w="120" w:type="dxa"/>
              <w:left w:w="120" w:type="dxa"/>
              <w:bottom w:w="120" w:type="dxa"/>
              <w:right w:w="120" w:type="dxa"/>
            </w:tcMar>
          </w:tcPr>
          <w:p>
            <w:pPr>
              <w:spacing w:after="0"/>
            </w:pPr>
            <w:r>
              <w:rPr>
                <w:rFonts w:ascii="Aptos" w:hAnsi="Aptos"/>
                <w:color w:val="111318"/>
                <w:sz w:val="17"/>
              </w:rPr>
              <w:t>Denied; no host mounts or published ports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Operator to another Docker network</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Denied</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Inbound traffic from host or LAN</w:t>
            </w:r>
          </w:p>
        </w:tc>
        <w:tc>
          <w:tcPr>
            <w:tcW w:type="dxa" w:w="5026"/>
            <w:vAlign w:val="center"/>
            <w:tcMar>
              <w:top w:w="120" w:type="dxa"/>
              <w:left w:w="120" w:type="dxa"/>
              <w:bottom w:w="120" w:type="dxa"/>
              <w:right w:w="120" w:type="dxa"/>
            </w:tcMar>
          </w:tcPr>
          <w:p>
            <w:pPr>
              <w:spacing w:after="0"/>
            </w:pPr>
            <w:r>
              <w:rPr>
                <w:rFonts w:ascii="Aptos" w:hAnsi="Aptos"/>
                <w:color w:val="111318"/>
                <w:sz w:val="17"/>
              </w:rPr>
              <w:t>Denied</w:t>
            </w:r>
          </w:p>
        </w:tc>
      </w:tr>
    </w:tbl>
    <w:p>
      <w:pPr>
        <w:spacing w:after="0"/>
      </w:pPr>
    </w:p>
    <w:p>
      <w:pPr>
        <w:pStyle w:val="Heading1"/>
      </w:pPr>
      <w:r>
        <w:t>FieldOps distinction</w:t>
      </w:r>
    </w:p>
    <w:p>
      <w:r>
        <w:t>FieldOps is not an Academy range. It may communicate with exact systems included in an active, written authorization boundary. The license unlocks the workspace; it does not grant permission to test a target. Operators remain responsible for written authorization, approved timing, permitted methods, data handling, emergency contacts, and applicable law.</w:t>
      </w:r>
    </w:p>
    <w:p>
      <w:pPr>
        <w:pStyle w:val="Heading1"/>
      </w:pPr>
      <w:r>
        <w:t>Mandatory stop conditions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Condition</w:t>
            </w:r>
          </w:p>
        </w:tc>
        <w:tc>
          <w:tcPr>
            <w:tcW w:type="dxa" w:w="5026"/>
            <w:shd w:fill="111318"/>
            <w:tcMar>
              <w:top w:w="120" w:type="dxa"/>
              <w:left w:w="120" w:type="dxa"/>
              <w:bottom w:w="120" w:type="dxa"/>
              <w:right w:w="120" w:type="dxa"/>
            </w:tcMar>
          </w:tcPr>
          <w:p>
            <w:r>
              <w:rPr>
                <w:rFonts w:ascii="Aptos" w:hAnsi="Aptos"/>
                <w:b/>
                <w:color w:val="FFFFFF"/>
                <w:sz w:val="17"/>
              </w:rPr>
              <w:t>Required action</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Target resolves outside approved scope</w:t>
            </w:r>
          </w:p>
        </w:tc>
        <w:tc>
          <w:tcPr>
            <w:tcW w:type="dxa" w:w="5026"/>
            <w:vAlign w:val="center"/>
            <w:tcMar>
              <w:top w:w="120" w:type="dxa"/>
              <w:left w:w="120" w:type="dxa"/>
              <w:bottom w:w="120" w:type="dxa"/>
              <w:right w:w="120" w:type="dxa"/>
            </w:tcMar>
          </w:tcPr>
          <w:p>
            <w:pPr>
              <w:spacing w:after="0"/>
            </w:pPr>
            <w:r>
              <w:rPr>
                <w:rFonts w:ascii="Aptos" w:hAnsi="Aptos"/>
                <w:color w:val="111318"/>
                <w:sz w:val="17"/>
              </w:rPr>
              <w:t>Stop before execution and correct the engagement</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Redirect leaves the exact target boundary</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Block the redirect and preserve the event</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Unexpected production impact</w:t>
            </w:r>
          </w:p>
        </w:tc>
        <w:tc>
          <w:tcPr>
            <w:tcW w:type="dxa" w:w="5026"/>
            <w:vAlign w:val="center"/>
            <w:tcMar>
              <w:top w:w="120" w:type="dxa"/>
              <w:left w:w="120" w:type="dxa"/>
              <w:bottom w:w="120" w:type="dxa"/>
              <w:right w:w="120" w:type="dxa"/>
            </w:tcMar>
          </w:tcPr>
          <w:p>
            <w:pPr>
              <w:spacing w:after="0"/>
            </w:pPr>
            <w:r>
              <w:rPr>
                <w:rFonts w:ascii="Aptos" w:hAnsi="Aptos"/>
                <w:color w:val="111318"/>
                <w:sz w:val="17"/>
              </w:rPr>
              <w:t>Use the kill switch and notify the approver</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Authorization window expires</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Stop all active work</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Containment proof becomes inconclusive</w:t>
            </w:r>
          </w:p>
        </w:tc>
        <w:tc>
          <w:tcPr>
            <w:tcW w:type="dxa" w:w="5026"/>
            <w:vAlign w:val="center"/>
            <w:tcMar>
              <w:top w:w="120" w:type="dxa"/>
              <w:left w:w="120" w:type="dxa"/>
              <w:bottom w:w="120" w:type="dxa"/>
              <w:right w:w="120" w:type="dxa"/>
            </w:tcMar>
          </w:tcPr>
          <w:p>
            <w:pPr>
              <w:spacing w:after="0"/>
            </w:pPr>
            <w:r>
              <w:rPr>
                <w:rFonts w:ascii="Aptos" w:hAnsi="Aptos"/>
                <w:color w:val="111318"/>
                <w:sz w:val="17"/>
              </w:rPr>
              <w:t>Destroy the Academy range</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Sensitive data exceeds collection need</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Stop collection and follow the engagement handling plan</w:t>
            </w:r>
          </w:p>
        </w:tc>
      </w:tr>
    </w:tbl>
    <w:p>
      <w:pPr>
        <w:spacing w:after="0"/>
      </w:pPr>
    </w:p>
    <w:p>
      <w:pPr>
        <w:pStyle w:val="Heading1"/>
      </w:pPr>
      <w:r>
        <w:t>Diagnostic and resilience traffic</w:t>
      </w:r>
    </w:p>
    <w:p>
      <w:r>
        <w:t>Use only traffic authorized by the active signed engagement. Professional rate, concurrency, and duration are operator-defined; exact target and port enforcement, run-specific confirmation, SLO abort criteria, emergency stop, and evidence logging remain active.</w:t>
      </w:r>
    </w:p>
    <w:p>
      <w:pPr>
        <w:pStyle w:val="Heading1"/>
      </w:pPr>
      <w:r>
        <w:t>Operational record</w:t>
      </w:r>
    </w:p>
    <w:p>
      <w:r>
        <w:t>Record the operator, approving authority, scope reference, exact target, resolved address, declared ports, testing window, selected module, start and stop times, and resulting evidence. Preserve cancellations and policy blocks; they are part of the audit record, not errors to hide.</w:t>
      </w:r>
    </w:p>
    <w:p>
      <w:pPr>
        <w:pStyle w:val="Heading1"/>
      </w:pPr>
      <w:r>
        <w:t>Document control</w:t>
      </w:r>
    </w:p>
    <w:p>
      <w:r>
        <w:t>This document describes DaemonCore Academy 9.0.0. When application behavior and this guide differ, stop the affected workflow and consult the release notes or support channel before continuing. Product and framework names belonging to third parties are used descriptively and do not imply endorsement.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26"/>
        <w:gridCol w:w="5026"/>
      </w:tblGrid>
      <w:tr>
        <w:trPr>
          <w:tblHeader/>
        </w:trPr>
        <w:tc>
          <w:tcPr>
            <w:tcW w:type="dxa" w:w="5026"/>
            <w:shd w:fill="111318"/>
            <w:tcMar>
              <w:top w:w="120" w:type="dxa"/>
              <w:left w:w="120" w:type="dxa"/>
              <w:bottom w:w="120" w:type="dxa"/>
              <w:right w:w="120" w:type="dxa"/>
            </w:tcMar>
          </w:tcPr>
          <w:p>
            <w:r>
              <w:rPr>
                <w:rFonts w:ascii="Aptos" w:hAnsi="Aptos"/>
                <w:b/>
                <w:color w:val="FFFFFF"/>
                <w:sz w:val="17"/>
              </w:rPr>
              <w:t>Field</w:t>
            </w:r>
          </w:p>
        </w:tc>
        <w:tc>
          <w:tcPr>
            <w:tcW w:type="dxa" w:w="5026"/>
            <w:shd w:fill="111318"/>
            <w:tcMar>
              <w:top w:w="120" w:type="dxa"/>
              <w:left w:w="120" w:type="dxa"/>
              <w:bottom w:w="120" w:type="dxa"/>
              <w:right w:w="120" w:type="dxa"/>
            </w:tcMar>
          </w:tcPr>
          <w:p>
            <w:r>
              <w:rPr>
                <w:rFonts w:ascii="Aptos" w:hAnsi="Aptos"/>
                <w:b/>
                <w:color w:val="FFFFFF"/>
                <w:sz w:val="17"/>
              </w:rPr>
              <w:t>Value</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Owner</w:t>
            </w:r>
          </w:p>
        </w:tc>
        <w:tc>
          <w:tcPr>
            <w:tcW w:type="dxa" w:w="5026"/>
            <w:vAlign w:val="center"/>
            <w:tcMar>
              <w:top w:w="120" w:type="dxa"/>
              <w:left w:w="120" w:type="dxa"/>
              <w:bottom w:w="120" w:type="dxa"/>
              <w:right w:w="120" w:type="dxa"/>
            </w:tcMar>
          </w:tcPr>
          <w:p>
            <w:pPr>
              <w:spacing w:after="0"/>
            </w:pPr>
            <w:r>
              <w:rPr>
                <w:rFonts w:ascii="Aptos" w:hAnsi="Aptos"/>
                <w:color w:val="111318"/>
                <w:sz w:val="17"/>
              </w:rPr>
              <w:t>DaemonCore Apps</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Release</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9.0.0</w:t>
            </w:r>
          </w:p>
        </w:tc>
      </w:tr>
      <w:tr>
        <w:tc>
          <w:tcPr>
            <w:tcW w:type="dxa" w:w="5026"/>
            <w:vAlign w:val="center"/>
            <w:tcMar>
              <w:top w:w="120" w:type="dxa"/>
              <w:left w:w="120" w:type="dxa"/>
              <w:bottom w:w="120" w:type="dxa"/>
              <w:right w:w="120" w:type="dxa"/>
            </w:tcMar>
          </w:tcPr>
          <w:p>
            <w:pPr>
              <w:spacing w:after="0"/>
            </w:pPr>
            <w:r>
              <w:rPr>
                <w:rFonts w:ascii="Aptos" w:hAnsi="Aptos"/>
                <w:color w:val="111318"/>
                <w:sz w:val="17"/>
              </w:rPr>
              <w:t>Classification</w:t>
            </w:r>
          </w:p>
        </w:tc>
        <w:tc>
          <w:tcPr>
            <w:tcW w:type="dxa" w:w="5026"/>
            <w:vAlign w:val="center"/>
            <w:tcMar>
              <w:top w:w="120" w:type="dxa"/>
              <w:left w:w="120" w:type="dxa"/>
              <w:bottom w:w="120" w:type="dxa"/>
              <w:right w:w="120" w:type="dxa"/>
            </w:tcMar>
          </w:tcPr>
          <w:p>
            <w:pPr>
              <w:spacing w:after="0"/>
            </w:pPr>
            <w:r>
              <w:rPr>
                <w:rFonts w:ascii="Aptos" w:hAnsi="Aptos"/>
                <w:color w:val="111318"/>
                <w:sz w:val="17"/>
              </w:rPr>
              <w:t>Public product documentation</w:t>
            </w:r>
          </w:p>
        </w:tc>
      </w:tr>
      <w:tr>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Review trigger</w:t>
            </w:r>
          </w:p>
        </w:tc>
        <w:tc>
          <w:tcPr>
            <w:tcW w:type="dxa" w:w="5026"/>
            <w:vAlign w:val="center"/>
            <w:tcMar>
              <w:top w:w="120" w:type="dxa"/>
              <w:left w:w="120" w:type="dxa"/>
              <w:bottom w:w="120" w:type="dxa"/>
              <w:right w:w="120" w:type="dxa"/>
            </w:tcMar>
            <w:shd w:fill="F4F5F7"/>
          </w:tcPr>
          <w:p>
            <w:pPr>
              <w:spacing w:after="0"/>
            </w:pPr>
            <w:r>
              <w:rPr>
                <w:rFonts w:ascii="Aptos" w:hAnsi="Aptos"/>
                <w:color w:val="111318"/>
                <w:sz w:val="17"/>
              </w:rPr>
              <w:t>Material product, policy, or credential-status change</w:t>
            </w:r>
          </w:p>
        </w:tc>
      </w:tr>
    </w:tbl>
    <w:p>
      <w:pPr>
        <w:spacing w:after="0"/>
      </w:pPr>
    </w:p>
    <w:sectPr w:rsidR="00FC693F" w:rsidRPr="0006063C" w:rsidSect="00034616">
      <w:headerReference w:type="default" r:id="rId9"/>
      <w:footerReference w:type="default" r:id="rId10"/>
      <w:pgSz w:w="12240" w:h="15840"/>
      <w:pgMar w:top="1037" w:right="1094" w:bottom="965"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570"/>
        <w:sz w:val="14"/>
      </w:rPr>
      <w:t xml:space="preserve">DAEMONCORE // OFFICIAL GUIDE // </w:t>
    </w:r>
    <w:r>
      <w:rPr>
        <w:sz w:val="14"/>
      </w:rPr>
      <w:fldChar w:fldCharType="begin"/>
    </w:r>
    <w:r>
      <w:rPr>
        <w:sz w:val="14"/>
      </w:rPr>
      <w:instrText xml:space="preserve"> PAGE </w:instrText>
    </w:r>
    <w:r>
      <w:rPr>
        <w:sz w:val="14"/>
      </w:rPr>
      <w:fldChar w:fldCharType="separate"/>
    </w:r>
    <w:r>
      <w:rPr>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onsolas" w:hAnsi="Consolas"/>
        <w:b/>
        <w:color w:val="E33E48"/>
        <w:sz w:val="14"/>
      </w:rPr>
      <w:t>DAEMONCORE ACADEMY    DC-DOC-900-C    VERSION 9.0.0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113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1131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11131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00"/>
    </w:pPr>
    <w:rPr>
      <w:rFonts w:asciiTheme="majorHAnsi" w:eastAsiaTheme="majorEastAsia" w:hAnsiTheme="majorHAnsi" w:cstheme="majorBidi" w:ascii="Aptos" w:hAnsi="Aptos"/>
      <w:b w:val="0"/>
      <w:i/>
      <w:iCs/>
      <w:color w:val="11131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DaemonCore Academy Egress Rules</dc:title>
  <dc:subject>Network boundary rules for local ranges and authorized FieldOps work</dc:subject>
  <dc:creator>DaemonCore Apps</dc:creator>
  <cp:keywords>DaemonCore, Academy, DC-DOC-900-C, version 9.0.0</cp:keywords>
  <dc:description>Official public documentation</dc:description>
  <cp:lastModifiedBy/>
  <cp:revision>1</cp:revision>
  <dcterms:created xsi:type="dcterms:W3CDTF">2013-12-23T23:15:00Z</dcterms:created>
  <dcterms:modified xsi:type="dcterms:W3CDTF">2013-12-23T23:15:00Z</dcterms:modified>
  <cp:category/>
</cp:coreProperties>
</file>