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Academy Range Registry Guide</w:t>
      </w:r>
    </w:p>
    <w:p>
      <w:pPr>
        <w:pStyle w:val="Subtitle"/>
      </w:pPr>
      <w:r>
        <w:rPr>
          <w:color w:val="5E6570"/>
        </w:rPr>
        <w:t>Registration, containment verification, operation,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DC-DOC-900-B</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Operators, instructors, lab administrators, and support teams</w:t>
      </w:r>
    </w:p>
    <w:p>
      <w:r>
        <w:t>This guide explains how DaemonCore discovers registered range packs, verifies their integrity, proves containment, launches disposable services, and rejects unsafe or altered environments.</w:t>
      </w:r>
    </w:p>
    <w:p>
      <w:r>
        <w:br w:type="page"/>
      </w:r>
    </w:p>
    <w:p>
      <w:pPr>
        <w:pStyle w:val="Heading1"/>
      </w:pPr>
      <w:r>
        <w:t>Registry model</w:t>
      </w:r>
    </w:p>
    <w:p>
      <w:r>
        <w:t>The range registry is the content-addressed catalog in ranges/index.json. Each entry identifies a shipped pack and its integrity digest. A pack is not trusted merely because its directory exists. DaemonCore compares the registered tree with the packaged files before orchestration.</w:t>
      </w:r>
    </w:p>
    <w:p>
      <w:r>
        <w:t>Web Forge, Enterprise Forge, classic ranges, and Living Range use different orchestration paths but share the same release principle: the desktop owns lifecycle, validates the boundary, and records the exact run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Registry element</w:t>
            </w:r>
          </w:p>
        </w:tc>
        <w:tc>
          <w:tcPr>
            <w:tcW w:type="dxa" w:w="5026"/>
            <w:shd w:fill="111318"/>
            <w:tcMar>
              <w:top w:w="120" w:type="dxa"/>
              <w:left w:w="120" w:type="dxa"/>
              <w:bottom w:w="120" w:type="dxa"/>
              <w:right w:w="120" w:type="dxa"/>
            </w:tcMar>
          </w:tcPr>
          <w:p>
            <w:r>
              <w:rPr>
                <w:rFonts w:ascii="Aptos" w:hAnsi="Aptos"/>
                <w:b/>
                <w:color w:val="FFFFFF"/>
                <w:sz w:val="17"/>
              </w:rPr>
              <w:t>Purpose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Pack identifier</w:t>
            </w:r>
          </w:p>
        </w:tc>
        <w:tc>
          <w:tcPr>
            <w:tcW w:type="dxa" w:w="5026"/>
            <w:vAlign w:val="center"/>
            <w:tcMar>
              <w:top w:w="120" w:type="dxa"/>
              <w:left w:w="120" w:type="dxa"/>
              <w:bottom w:w="120" w:type="dxa"/>
              <w:right w:w="120" w:type="dxa"/>
            </w:tcMar>
          </w:tcPr>
          <w:p>
            <w:pPr>
              <w:spacing w:after="0"/>
            </w:pPr>
            <w:r>
              <w:rPr>
                <w:rFonts w:ascii="Aptos" w:hAnsi="Aptos"/>
                <w:color w:val="111318"/>
                <w:sz w:val="17"/>
              </w:rPr>
              <w:t>Stable reference used by the desktop and mission catalog</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Content digest</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Detects missing, added, or modified range files</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Compose definition</w:t>
            </w:r>
          </w:p>
        </w:tc>
        <w:tc>
          <w:tcPr>
            <w:tcW w:type="dxa" w:w="5026"/>
            <w:vAlign w:val="center"/>
            <w:tcMar>
              <w:top w:w="120" w:type="dxa"/>
              <w:left w:w="120" w:type="dxa"/>
              <w:bottom w:w="120" w:type="dxa"/>
              <w:right w:w="120" w:type="dxa"/>
            </w:tcMar>
          </w:tcPr>
          <w:p>
            <w:pPr>
              <w:spacing w:after="0"/>
            </w:pPr>
            <w:r>
              <w:rPr>
                <w:rFonts w:ascii="Aptos" w:hAnsi="Aptos"/>
                <w:color w:val="111318"/>
                <w:sz w:val="17"/>
              </w:rPr>
              <w:t>Declares internal services and operator environment</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Runtime contract</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Binds seed, mode, topology, objectives, and policy</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Receipt</w:t>
            </w:r>
          </w:p>
        </w:tc>
        <w:tc>
          <w:tcPr>
            <w:tcW w:type="dxa" w:w="5026"/>
            <w:vAlign w:val="center"/>
            <w:tcMar>
              <w:top w:w="120" w:type="dxa"/>
              <w:left w:w="120" w:type="dxa"/>
              <w:bottom w:w="120" w:type="dxa"/>
              <w:right w:w="120" w:type="dxa"/>
            </w:tcMar>
          </w:tcPr>
          <w:p>
            <w:pPr>
              <w:spacing w:after="0"/>
            </w:pPr>
            <w:r>
              <w:rPr>
                <w:rFonts w:ascii="Aptos" w:hAnsi="Aptos"/>
                <w:color w:val="111318"/>
                <w:sz w:val="17"/>
              </w:rPr>
              <w:t>Records verified containment and run identity</w:t>
            </w:r>
          </w:p>
        </w:tc>
      </w:tr>
    </w:tbl>
    <w:p>
      <w:pPr>
        <w:spacing w:after="0"/>
      </w:pPr>
    </w:p>
    <w:p>
      <w:pPr>
        <w:pStyle w:val="Heading1"/>
      </w:pPr>
      <w:r>
        <w:t>Containment acceptance</w:t>
      </w:r>
    </w:p>
    <w:p>
      <w:r>
        <w:t>DaemonCore must observe an internal-only Docker network, zero host mounts, zero published ports, no privileged containers, and failed internet-egress probes before presenting a range as sealed. A missing or inconclusive proof is a launch failure, not a warning.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351"/>
            <w:shd w:fill="111318"/>
            <w:tcMar>
              <w:top w:w="120" w:type="dxa"/>
              <w:left w:w="120" w:type="dxa"/>
              <w:bottom w:w="120" w:type="dxa"/>
              <w:right w:w="120" w:type="dxa"/>
            </w:tcMar>
          </w:tcPr>
          <w:p>
            <w:r>
              <w:rPr>
                <w:rFonts w:ascii="Aptos" w:hAnsi="Aptos"/>
                <w:b/>
                <w:color w:val="FFFFFF"/>
                <w:sz w:val="17"/>
              </w:rPr>
              <w:t>Control</w:t>
            </w:r>
          </w:p>
        </w:tc>
        <w:tc>
          <w:tcPr>
            <w:tcW w:type="dxa" w:w="3351"/>
            <w:shd w:fill="111318"/>
            <w:tcMar>
              <w:top w:w="120" w:type="dxa"/>
              <w:left w:w="120" w:type="dxa"/>
              <w:bottom w:w="120" w:type="dxa"/>
              <w:right w:w="120" w:type="dxa"/>
            </w:tcMar>
          </w:tcPr>
          <w:p>
            <w:r>
              <w:rPr>
                <w:rFonts w:ascii="Aptos" w:hAnsi="Aptos"/>
                <w:b/>
                <w:color w:val="FFFFFF"/>
                <w:sz w:val="17"/>
              </w:rPr>
              <w:t>Required value</w:t>
            </w:r>
          </w:p>
        </w:tc>
        <w:tc>
          <w:tcPr>
            <w:tcW w:type="dxa" w:w="3351"/>
            <w:shd w:fill="111318"/>
            <w:tcMar>
              <w:top w:w="120" w:type="dxa"/>
              <w:left w:w="120" w:type="dxa"/>
              <w:bottom w:w="120" w:type="dxa"/>
              <w:right w:w="120" w:type="dxa"/>
            </w:tcMar>
          </w:tcPr>
          <w:p>
            <w:r>
              <w:rPr>
                <w:rFonts w:ascii="Aptos" w:hAnsi="Aptos"/>
                <w:b/>
                <w:color w:val="FFFFFF"/>
                <w:sz w:val="17"/>
              </w:rPr>
              <w:t>Failure response</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Internet egress</w:t>
            </w:r>
          </w:p>
        </w:tc>
        <w:tc>
          <w:tcPr>
            <w:tcW w:type="dxa" w:w="3351"/>
            <w:vAlign w:val="center"/>
            <w:tcMar>
              <w:top w:w="120" w:type="dxa"/>
              <w:left w:w="120" w:type="dxa"/>
              <w:bottom w:w="120" w:type="dxa"/>
              <w:right w:w="120" w:type="dxa"/>
            </w:tcMar>
          </w:tcPr>
          <w:p>
            <w:pPr>
              <w:spacing w:after="0"/>
            </w:pPr>
            <w:r>
              <w:rPr>
                <w:rFonts w:ascii="Aptos" w:hAnsi="Aptos"/>
                <w:color w:val="111318"/>
                <w:sz w:val="17"/>
              </w:rPr>
              <w:t>Blocked</w:t>
            </w:r>
          </w:p>
        </w:tc>
        <w:tc>
          <w:tcPr>
            <w:tcW w:type="dxa" w:w="3351"/>
            <w:vAlign w:val="center"/>
            <w:tcMar>
              <w:top w:w="120" w:type="dxa"/>
              <w:left w:w="120" w:type="dxa"/>
              <w:bottom w:w="120" w:type="dxa"/>
              <w:right w:w="120" w:type="dxa"/>
            </w:tcMar>
          </w:tcPr>
          <w:p>
            <w:pPr>
              <w:spacing w:after="0"/>
            </w:pPr>
            <w:r>
              <w:rPr>
                <w:rFonts w:ascii="Aptos" w:hAnsi="Aptos"/>
                <w:color w:val="111318"/>
                <w:sz w:val="17"/>
              </w:rPr>
              <w:t>Stop launch and destroy the range</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Host mounts</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0</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Reject the pack</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Published ports</w:t>
            </w:r>
          </w:p>
        </w:tc>
        <w:tc>
          <w:tcPr>
            <w:tcW w:type="dxa" w:w="3351"/>
            <w:vAlign w:val="center"/>
            <w:tcMar>
              <w:top w:w="120" w:type="dxa"/>
              <w:left w:w="120" w:type="dxa"/>
              <w:bottom w:w="120" w:type="dxa"/>
              <w:right w:w="120" w:type="dxa"/>
            </w:tcMar>
          </w:tcPr>
          <w:p>
            <w:pPr>
              <w:spacing w:after="0"/>
            </w:pPr>
            <w:r>
              <w:rPr>
                <w:rFonts w:ascii="Aptos" w:hAnsi="Aptos"/>
                <w:color w:val="111318"/>
                <w:sz w:val="17"/>
              </w:rPr>
              <w:t>0</w:t>
            </w:r>
          </w:p>
        </w:tc>
        <w:tc>
          <w:tcPr>
            <w:tcW w:type="dxa" w:w="3351"/>
            <w:vAlign w:val="center"/>
            <w:tcMar>
              <w:top w:w="120" w:type="dxa"/>
              <w:left w:w="120" w:type="dxa"/>
              <w:bottom w:w="120" w:type="dxa"/>
              <w:right w:w="120" w:type="dxa"/>
            </w:tcMar>
          </w:tcPr>
          <w:p>
            <w:pPr>
              <w:spacing w:after="0"/>
            </w:pPr>
            <w:r>
              <w:rPr>
                <w:rFonts w:ascii="Aptos" w:hAnsi="Aptos"/>
                <w:color w:val="111318"/>
                <w:sz w:val="17"/>
              </w:rPr>
              <w:t>Reject the pack</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Privileged containers</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0</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Reject the pack</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Range integrity</w:t>
            </w:r>
          </w:p>
        </w:tc>
        <w:tc>
          <w:tcPr>
            <w:tcW w:type="dxa" w:w="3351"/>
            <w:vAlign w:val="center"/>
            <w:tcMar>
              <w:top w:w="120" w:type="dxa"/>
              <w:left w:w="120" w:type="dxa"/>
              <w:bottom w:w="120" w:type="dxa"/>
              <w:right w:w="120" w:type="dxa"/>
            </w:tcMar>
          </w:tcPr>
          <w:p>
            <w:pPr>
              <w:spacing w:after="0"/>
            </w:pPr>
            <w:r>
              <w:rPr>
                <w:rFonts w:ascii="Aptos" w:hAnsi="Aptos"/>
                <w:color w:val="111318"/>
                <w:sz w:val="17"/>
              </w:rPr>
              <w:t>Digest match</w:t>
            </w:r>
          </w:p>
        </w:tc>
        <w:tc>
          <w:tcPr>
            <w:tcW w:type="dxa" w:w="3351"/>
            <w:vAlign w:val="center"/>
            <w:tcMar>
              <w:top w:w="120" w:type="dxa"/>
              <w:left w:w="120" w:type="dxa"/>
              <w:bottom w:w="120" w:type="dxa"/>
              <w:right w:w="120" w:type="dxa"/>
            </w:tcMar>
          </w:tcPr>
          <w:p>
            <w:pPr>
              <w:spacing w:after="0"/>
            </w:pPr>
            <w:r>
              <w:rPr>
                <w:rFonts w:ascii="Aptos" w:hAnsi="Aptos"/>
                <w:color w:val="111318"/>
                <w:sz w:val="17"/>
              </w:rPr>
              <w:t>Refuse orchestration</w:t>
            </w:r>
          </w:p>
        </w:tc>
      </w:tr>
    </w:tbl>
    <w:p>
      <w:pPr>
        <w:spacing w:after="0"/>
      </w:pPr>
    </w:p>
    <w:p>
      <w:pPr>
        <w:pStyle w:val="Heading1"/>
      </w:pPr>
      <w:r>
        <w:t>Launch and teardown</w:t>
      </w:r>
    </w:p>
    <w:p>
      <w:r>
        <w:t>Confirm Docker is running and accessible to the current user. Select the scenario and mode, launch the range, and wait for the containment receipt before entering commands. Use the in-app teardown control when finished. Automatic cleanup also runs during normal application shutdown.</w:t>
      </w:r>
    </w:p>
    <w:p>
      <w:r>
        <w:t>Do not manually attach public networks, publish ports, mount host directories, or start privileged containers to force a failed range to work. Those changes invalidate the range boundary and its results.</w:t>
      </w:r>
    </w:p>
    <w:p>
      <w:pPr>
        <w:pStyle w:val="Heading1"/>
      </w:pPr>
      <w:r>
        <w:t>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351"/>
            <w:shd w:fill="111318"/>
            <w:tcMar>
              <w:top w:w="120" w:type="dxa"/>
              <w:left w:w="120" w:type="dxa"/>
              <w:bottom w:w="120" w:type="dxa"/>
              <w:right w:w="120" w:type="dxa"/>
            </w:tcMar>
          </w:tcPr>
          <w:p>
            <w:r>
              <w:rPr>
                <w:rFonts w:ascii="Aptos" w:hAnsi="Aptos"/>
                <w:b/>
                <w:color w:val="FFFFFF"/>
                <w:sz w:val="17"/>
              </w:rPr>
              <w:t>Symptom</w:t>
            </w:r>
          </w:p>
        </w:tc>
        <w:tc>
          <w:tcPr>
            <w:tcW w:type="dxa" w:w="3351"/>
            <w:shd w:fill="111318"/>
            <w:tcMar>
              <w:top w:w="120" w:type="dxa"/>
              <w:left w:w="120" w:type="dxa"/>
              <w:bottom w:w="120" w:type="dxa"/>
              <w:right w:w="120" w:type="dxa"/>
            </w:tcMar>
          </w:tcPr>
          <w:p>
            <w:r>
              <w:rPr>
                <w:rFonts w:ascii="Aptos" w:hAnsi="Aptos"/>
                <w:b/>
                <w:color w:val="FFFFFF"/>
                <w:sz w:val="17"/>
              </w:rPr>
              <w:t>Likely cause</w:t>
            </w:r>
          </w:p>
        </w:tc>
        <w:tc>
          <w:tcPr>
            <w:tcW w:type="dxa" w:w="3351"/>
            <w:shd w:fill="111318"/>
            <w:tcMar>
              <w:top w:w="120" w:type="dxa"/>
              <w:left w:w="120" w:type="dxa"/>
              <w:bottom w:w="120" w:type="dxa"/>
              <w:right w:w="120" w:type="dxa"/>
            </w:tcMar>
          </w:tcPr>
          <w:p>
            <w:r>
              <w:rPr>
                <w:rFonts w:ascii="Aptos" w:hAnsi="Aptos"/>
                <w:b/>
                <w:color w:val="FFFFFF"/>
                <w:sz w:val="17"/>
              </w:rPr>
              <w:t>Correct response</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Docker offline</w:t>
            </w:r>
          </w:p>
        </w:tc>
        <w:tc>
          <w:tcPr>
            <w:tcW w:type="dxa" w:w="3351"/>
            <w:vAlign w:val="center"/>
            <w:tcMar>
              <w:top w:w="120" w:type="dxa"/>
              <w:left w:w="120" w:type="dxa"/>
              <w:bottom w:w="120" w:type="dxa"/>
              <w:right w:w="120" w:type="dxa"/>
            </w:tcMar>
          </w:tcPr>
          <w:p>
            <w:pPr>
              <w:spacing w:after="0"/>
            </w:pPr>
            <w:r>
              <w:rPr>
                <w:rFonts w:ascii="Aptos" w:hAnsi="Aptos"/>
                <w:color w:val="111318"/>
                <w:sz w:val="17"/>
              </w:rPr>
              <w:t>Engine stopped or inaccessible</w:t>
            </w:r>
          </w:p>
        </w:tc>
        <w:tc>
          <w:tcPr>
            <w:tcW w:type="dxa" w:w="3351"/>
            <w:vAlign w:val="center"/>
            <w:tcMar>
              <w:top w:w="120" w:type="dxa"/>
              <w:left w:w="120" w:type="dxa"/>
              <w:bottom w:w="120" w:type="dxa"/>
              <w:right w:w="120" w:type="dxa"/>
            </w:tcMar>
          </w:tcPr>
          <w:p>
            <w:pPr>
              <w:spacing w:after="0"/>
            </w:pPr>
            <w:r>
              <w:rPr>
                <w:rFonts w:ascii="Aptos" w:hAnsi="Aptos"/>
                <w:color w:val="111318"/>
                <w:sz w:val="17"/>
              </w:rPr>
              <w:t>Start Docker and rerun readiness checks</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Integrity mismatch</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Range files changed</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Restore the official package; do not bypass verification</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Egress check fails</w:t>
            </w:r>
          </w:p>
        </w:tc>
        <w:tc>
          <w:tcPr>
            <w:tcW w:type="dxa" w:w="3351"/>
            <w:vAlign w:val="center"/>
            <w:tcMar>
              <w:top w:w="120" w:type="dxa"/>
              <w:left w:w="120" w:type="dxa"/>
              <w:bottom w:w="120" w:type="dxa"/>
              <w:right w:w="120" w:type="dxa"/>
            </w:tcMar>
          </w:tcPr>
          <w:p>
            <w:pPr>
              <w:spacing w:after="0"/>
            </w:pPr>
            <w:r>
              <w:rPr>
                <w:rFonts w:ascii="Aptos" w:hAnsi="Aptos"/>
                <w:color w:val="111318"/>
                <w:sz w:val="17"/>
              </w:rPr>
              <w:t>Network is not internal-only</w:t>
            </w:r>
          </w:p>
        </w:tc>
        <w:tc>
          <w:tcPr>
            <w:tcW w:type="dxa" w:w="3351"/>
            <w:vAlign w:val="center"/>
            <w:tcMar>
              <w:top w:w="120" w:type="dxa"/>
              <w:left w:w="120" w:type="dxa"/>
              <w:bottom w:w="120" w:type="dxa"/>
              <w:right w:w="120" w:type="dxa"/>
            </w:tcMar>
          </w:tcPr>
          <w:p>
            <w:pPr>
              <w:spacing w:after="0"/>
            </w:pPr>
            <w:r>
              <w:rPr>
                <w:rFonts w:ascii="Aptos" w:hAnsi="Aptos"/>
                <w:color w:val="111318"/>
                <w:sz w:val="17"/>
              </w:rPr>
              <w:t>Destroy the range and inspect Docker networks</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Console cannot resolve services</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Range startup incomplete</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Wait for health checks, then relaunch</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Stale containers</w:t>
            </w:r>
          </w:p>
        </w:tc>
        <w:tc>
          <w:tcPr>
            <w:tcW w:type="dxa" w:w="3351"/>
            <w:vAlign w:val="center"/>
            <w:tcMar>
              <w:top w:w="120" w:type="dxa"/>
              <w:left w:w="120" w:type="dxa"/>
              <w:bottom w:w="120" w:type="dxa"/>
              <w:right w:w="120" w:type="dxa"/>
            </w:tcMar>
          </w:tcPr>
          <w:p>
            <w:pPr>
              <w:spacing w:after="0"/>
            </w:pPr>
            <w:r>
              <w:rPr>
                <w:rFonts w:ascii="Aptos" w:hAnsi="Aptos"/>
                <w:color w:val="111318"/>
                <w:sz w:val="17"/>
              </w:rPr>
              <w:t>Interrupted prior shutdown</w:t>
            </w:r>
          </w:p>
        </w:tc>
        <w:tc>
          <w:tcPr>
            <w:tcW w:type="dxa" w:w="3351"/>
            <w:vAlign w:val="center"/>
            <w:tcMar>
              <w:top w:w="120" w:type="dxa"/>
              <w:left w:w="120" w:type="dxa"/>
              <w:bottom w:w="120" w:type="dxa"/>
              <w:right w:w="120" w:type="dxa"/>
            </w:tcMar>
          </w:tcPr>
          <w:p>
            <w:pPr>
              <w:spacing w:after="0"/>
            </w:pPr>
            <w:r>
              <w:rPr>
                <w:rFonts w:ascii="Aptos" w:hAnsi="Aptos"/>
                <w:color w:val="111318"/>
                <w:sz w:val="17"/>
              </w:rPr>
              <w:t>Use the app teardown flow and verify cleanup</w:t>
            </w:r>
          </w:p>
        </w:tc>
      </w:tr>
    </w:tbl>
    <w:p>
      <w:pPr>
        <w:spacing w:after="0"/>
      </w:pPr>
    </w:p>
    <w:p>
      <w:pPr>
        <w:pStyle w:val="Heading1"/>
      </w:pPr>
      <w:r>
        <w:t>Registry maintenance</w:t>
      </w:r>
    </w:p>
    <w:p>
      <w:r>
        <w:t>Release maintainers must rebuild ranges/index.json after an intentional range-file change, rerun integrity verification, exercise the applicable Docker matrix, and package the regenerated registry with the same application version. Operators should never regenerate the registry to legitimize an unreviewed local modification.</w:t>
      </w: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DC-DOC-900-B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Range Registry Guide</dc:title>
  <dc:subject>Registration, containment verification, operation, and recovery</dc:subject>
  <dc:creator>DaemonCore Apps</dc:creator>
  <cp:keywords>DaemonCore, Academy, DC-DOC-900-B,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