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r>
        <w:rPr>
          <w:rFonts w:ascii="Consolas" w:hAnsi="Consolas"/>
          <w:b/>
          <w:color w:val="E33E48"/>
          <w:sz w:val="20"/>
        </w:rPr>
        <w:t>DAEMONCORE // ACADEMY</w:t>
      </w:r>
    </w:p>
    <w:p>
      <w:pPr>
        <w:pStyle w:val="Title"/>
        <w:jc w:val="left"/>
      </w:pPr>
      <w:r>
        <w:t>DaemonCore FieldOps Commercial Brief</w:t>
      </w:r>
    </w:p>
    <w:p>
      <w:pPr>
        <w:pStyle w:val="Subtitle"/>
      </w:pPr>
      <w:r>
        <w:rPr>
          <w:color w:val="5E6570"/>
        </w:rPr>
        <w:t>Licensed assessment operations for consultants and security teams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13"/>
        <w:gridCol w:w="2513"/>
        <w:gridCol w:w="2513"/>
        <w:gridCol w:w="2513"/>
      </w:tblGrid>
      <w:tr>
        <w:trPr>
          <w:tblHeader/>
        </w:trPr>
        <w:tc>
          <w:tcPr>
            <w:tcW w:type="dxa" w:w="2513"/>
            <w:shd w:fill="111318"/>
            <w:tcMar>
              <w:top w:w="120" w:type="dxa"/>
              <w:left w:w="120" w:type="dxa"/>
              <w:bottom w:w="120" w:type="dxa"/>
              <w:right w:w="120" w:type="dxa"/>
            </w:tcMar>
          </w:tcPr>
          <w:p>
            <w:r>
              <w:rPr>
                <w:rFonts w:ascii="Aptos" w:hAnsi="Aptos"/>
                <w:b/>
                <w:color w:val="FFFFFF"/>
                <w:sz w:val="17"/>
              </w:rPr>
              <w:t>DOCUMENT</w:t>
            </w:r>
          </w:p>
        </w:tc>
        <w:tc>
          <w:tcPr>
            <w:tcW w:type="dxa" w:w="2513"/>
            <w:shd w:fill="111318"/>
            <w:tcMar>
              <w:top w:w="120" w:type="dxa"/>
              <w:left w:w="120" w:type="dxa"/>
              <w:bottom w:w="120" w:type="dxa"/>
              <w:right w:w="120" w:type="dxa"/>
            </w:tcMar>
          </w:tcPr>
          <w:p>
            <w:r>
              <w:rPr>
                <w:rFonts w:ascii="Aptos" w:hAnsi="Aptos"/>
                <w:b/>
                <w:color w:val="FFFFFF"/>
                <w:sz w:val="17"/>
              </w:rPr>
              <w:t>RELEASE</w:t>
            </w:r>
          </w:p>
        </w:tc>
        <w:tc>
          <w:tcPr>
            <w:tcW w:type="dxa" w:w="2513"/>
            <w:shd w:fill="111318"/>
            <w:tcMar>
              <w:top w:w="120" w:type="dxa"/>
              <w:left w:w="120" w:type="dxa"/>
              <w:bottom w:w="120" w:type="dxa"/>
              <w:right w:w="120" w:type="dxa"/>
            </w:tcMar>
          </w:tcPr>
          <w:p>
            <w:r>
              <w:rPr>
                <w:rFonts w:ascii="Aptos" w:hAnsi="Aptos"/>
                <w:b/>
                <w:color w:val="FFFFFF"/>
                <w:sz w:val="17"/>
              </w:rPr>
              <w:t>STATUS</w:t>
            </w:r>
          </w:p>
        </w:tc>
        <w:tc>
          <w:tcPr>
            <w:tcW w:type="dxa" w:w="2513"/>
            <w:shd w:fill="111318"/>
            <w:tcMar>
              <w:top w:w="120" w:type="dxa"/>
              <w:left w:w="120" w:type="dxa"/>
              <w:bottom w:w="120" w:type="dxa"/>
              <w:right w:w="120" w:type="dxa"/>
            </w:tcMar>
          </w:tcPr>
          <w:p>
            <w:r>
              <w:rPr>
                <w:rFonts w:ascii="Aptos" w:hAnsi="Aptos"/>
                <w:b/>
                <w:color w:val="FFFFFF"/>
                <w:sz w:val="17"/>
              </w:rPr>
              <w:t>PUBLISHED</w:t>
            </w:r>
          </w:p>
        </w:tc>
      </w:tr>
      <w:tr>
        <w:tc>
          <w:tcPr>
            <w:tcW w:type="dxa" w:w="2513"/>
            <w:vAlign w:val="center"/>
            <w:tcMar>
              <w:top w:w="120" w:type="dxa"/>
              <w:left w:w="120" w:type="dxa"/>
              <w:bottom w:w="120" w:type="dxa"/>
              <w:right w:w="120" w:type="dxa"/>
            </w:tcMar>
          </w:tcPr>
          <w:p>
            <w:pPr>
              <w:spacing w:after="0"/>
            </w:pPr>
            <w:r>
              <w:rPr>
                <w:rFonts w:ascii="Aptos" w:hAnsi="Aptos"/>
                <w:color w:val="111318"/>
                <w:sz w:val="17"/>
              </w:rPr>
              <w:t>DC-DOC-900-D</w:t>
            </w:r>
          </w:p>
        </w:tc>
        <w:tc>
          <w:tcPr>
            <w:tcW w:type="dxa" w:w="2513"/>
            <w:vAlign w:val="center"/>
            <w:tcMar>
              <w:top w:w="120" w:type="dxa"/>
              <w:left w:w="120" w:type="dxa"/>
              <w:bottom w:w="120" w:type="dxa"/>
              <w:right w:w="120" w:type="dxa"/>
            </w:tcMar>
          </w:tcPr>
          <w:p>
            <w:pPr>
              <w:spacing w:after="0"/>
            </w:pPr>
            <w:r>
              <w:rPr>
                <w:rFonts w:ascii="Aptos" w:hAnsi="Aptos"/>
                <w:color w:val="111318"/>
                <w:sz w:val="17"/>
              </w:rPr>
              <w:t>9.0.0</w:t>
            </w:r>
          </w:p>
        </w:tc>
        <w:tc>
          <w:tcPr>
            <w:tcW w:type="dxa" w:w="2513"/>
            <w:vAlign w:val="center"/>
            <w:tcMar>
              <w:top w:w="120" w:type="dxa"/>
              <w:left w:w="120" w:type="dxa"/>
              <w:bottom w:w="120" w:type="dxa"/>
              <w:right w:w="120" w:type="dxa"/>
            </w:tcMar>
          </w:tcPr>
          <w:p>
            <w:pPr>
              <w:spacing w:after="0"/>
            </w:pPr>
            <w:r>
              <w:rPr>
                <w:rFonts w:ascii="Aptos" w:hAnsi="Aptos"/>
                <w:color w:val="111318"/>
                <w:sz w:val="17"/>
              </w:rPr>
              <w:t>Official</w:t>
            </w:r>
          </w:p>
        </w:tc>
        <w:tc>
          <w:tcPr>
            <w:tcW w:type="dxa" w:w="2513"/>
            <w:vAlign w:val="center"/>
            <w:tcMar>
              <w:top w:w="120" w:type="dxa"/>
              <w:left w:w="120" w:type="dxa"/>
              <w:bottom w:w="120" w:type="dxa"/>
              <w:right w:w="120" w:type="dxa"/>
            </w:tcMar>
          </w:tcPr>
          <w:p>
            <w:pPr>
              <w:spacing w:after="0"/>
            </w:pPr>
            <w:r>
              <w:rPr>
                <w:rFonts w:ascii="Aptos" w:hAnsi="Aptos"/>
                <w:color w:val="111318"/>
                <w:sz w:val="17"/>
              </w:rPr>
              <w:t>14 September 2026</w:t>
            </w:r>
          </w:p>
        </w:tc>
      </w:tr>
    </w:tbl>
    <w:p>
      <w:pPr>
        <w:spacing w:after="0"/>
      </w:pPr>
    </w:p>
    <w:p>
      <w:r>
        <w:rPr>
          <w:b/>
        </w:rPr>
        <w:t xml:space="preserve">Intended audience  </w:t>
      </w:r>
      <w:r>
        <w:t>Security leadership, consulting practices, procurement, and technical evaluators</w:t>
      </w:r>
    </w:p>
    <w:p>
      <w:r>
        <w:t>FieldOps is the separately licensed assessment workspace in DaemonCore Academy. It connects authorization, exact-scope execution, evidence, findings, retesting, resilience validation, and client-ready reporting in one local-first operating record.</w:t>
      </w:r>
    </w:p>
    <w:p>
      <w:r>
        <w:br w:type="page"/>
      </w:r>
    </w:p>
    <w:p>
      <w:pPr>
        <w:pStyle w:val="Heading1"/>
      </w:pPr>
      <w:r>
        <w:t>Operational value</w:t>
      </w:r>
    </w:p>
    <w:p>
      <w:r>
        <w:t>FieldOps is designed for teams that need continuity between why an assessment was authorized, what was executed, what the system returned, how the condition was interpreted, and whether remediation held. It complements specialist tools by retaining their outputs inside an accountable engagement record.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26"/>
        <w:gridCol w:w="5026"/>
      </w:tblGrid>
      <w:tr>
        <w:trPr>
          <w:tblHeader/>
        </w:trPr>
        <w:tc>
          <w:tcPr>
            <w:tcW w:type="dxa" w:w="5026"/>
            <w:shd w:fill="111318"/>
            <w:tcMar>
              <w:top w:w="120" w:type="dxa"/>
              <w:left w:w="120" w:type="dxa"/>
              <w:bottom w:w="120" w:type="dxa"/>
              <w:right w:w="120" w:type="dxa"/>
            </w:tcMar>
          </w:tcPr>
          <w:p>
            <w:r>
              <w:rPr>
                <w:rFonts w:ascii="Aptos" w:hAnsi="Aptos"/>
                <w:b/>
                <w:color w:val="FFFFFF"/>
                <w:sz w:val="17"/>
              </w:rPr>
              <w:t>Operational layer</w:t>
            </w:r>
          </w:p>
        </w:tc>
        <w:tc>
          <w:tcPr>
            <w:tcW w:type="dxa" w:w="5026"/>
            <w:shd w:fill="111318"/>
            <w:tcMar>
              <w:top w:w="120" w:type="dxa"/>
              <w:left w:w="120" w:type="dxa"/>
              <w:bottom w:w="120" w:type="dxa"/>
              <w:right w:w="120" w:type="dxa"/>
            </w:tcMar>
          </w:tcPr>
          <w:p>
            <w:r>
              <w:rPr>
                <w:rFonts w:ascii="Aptos" w:hAnsi="Aptos"/>
                <w:b/>
                <w:color w:val="FFFFFF"/>
                <w:sz w:val="17"/>
              </w:rPr>
              <w:t>FieldOps capability</w:t>
            </w:r>
          </w:p>
        </w:tc>
      </w:tr>
      <w:tr>
        <w:tc>
          <w:tcPr>
            <w:tcW w:type="dxa" w:w="5026"/>
            <w:vAlign w:val="center"/>
            <w:tcMar>
              <w:top w:w="120" w:type="dxa"/>
              <w:left w:w="120" w:type="dxa"/>
              <w:bottom w:w="120" w:type="dxa"/>
              <w:right w:w="120" w:type="dxa"/>
            </w:tcMar>
          </w:tcPr>
          <w:p>
            <w:pPr>
              <w:spacing w:after="0"/>
            </w:pPr>
            <w:r>
              <w:rPr>
                <w:rFonts w:ascii="Aptos" w:hAnsi="Aptos"/>
                <w:color w:val="111318"/>
                <w:sz w:val="17"/>
              </w:rPr>
              <w:t>Authority</w:t>
            </w:r>
          </w:p>
        </w:tc>
        <w:tc>
          <w:tcPr>
            <w:tcW w:type="dxa" w:w="5026"/>
            <w:vAlign w:val="center"/>
            <w:tcMar>
              <w:top w:w="120" w:type="dxa"/>
              <w:left w:w="120" w:type="dxa"/>
              <w:bottom w:w="120" w:type="dxa"/>
              <w:right w:w="120" w:type="dxa"/>
            </w:tcMar>
          </w:tcPr>
          <w:p>
            <w:pPr>
              <w:spacing w:after="0"/>
            </w:pPr>
            <w:r>
              <w:rPr>
                <w:rFonts w:ascii="Aptos" w:hAnsi="Aptos"/>
                <w:color w:val="111318"/>
                <w:sz w:val="17"/>
              </w:rPr>
              <w:t>Named operator, approver, window, targets, ports, and signed permit</w:t>
            </w:r>
          </w:p>
        </w:tc>
      </w:tr>
      <w:tr>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Execution</w:t>
            </w:r>
          </w:p>
        </w:tc>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Managed diagnostics, campaigns, web and API requests, TLS review, and supported adapters</w:t>
            </w:r>
          </w:p>
        </w:tc>
      </w:tr>
      <w:tr>
        <w:tc>
          <w:tcPr>
            <w:tcW w:type="dxa" w:w="5026"/>
            <w:vAlign w:val="center"/>
            <w:tcMar>
              <w:top w:w="120" w:type="dxa"/>
              <w:left w:w="120" w:type="dxa"/>
              <w:bottom w:w="120" w:type="dxa"/>
              <w:right w:w="120" w:type="dxa"/>
            </w:tcMar>
          </w:tcPr>
          <w:p>
            <w:pPr>
              <w:spacing w:after="0"/>
            </w:pPr>
            <w:r>
              <w:rPr>
                <w:rFonts w:ascii="Aptos" w:hAnsi="Aptos"/>
                <w:color w:val="111318"/>
                <w:sz w:val="17"/>
              </w:rPr>
              <w:t>Evidence</w:t>
            </w:r>
          </w:p>
        </w:tc>
        <w:tc>
          <w:tcPr>
            <w:tcW w:type="dxa" w:w="5026"/>
            <w:vAlign w:val="center"/>
            <w:tcMar>
              <w:top w:w="120" w:type="dxa"/>
              <w:left w:w="120" w:type="dxa"/>
              <w:bottom w:w="120" w:type="dxa"/>
              <w:right w:w="120" w:type="dxa"/>
            </w:tcMar>
          </w:tcPr>
          <w:p>
            <w:pPr>
              <w:spacing w:after="0"/>
            </w:pPr>
            <w:r>
              <w:rPr>
                <w:rFonts w:ascii="Aptos" w:hAnsi="Aptos"/>
                <w:color w:val="111318"/>
                <w:sz w:val="17"/>
              </w:rPr>
              <w:t>Sealed captures, imports, digests, activity ledger, and case exports</w:t>
            </w:r>
          </w:p>
        </w:tc>
      </w:tr>
      <w:tr>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Findings</w:t>
            </w:r>
          </w:p>
        </w:tc>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Severity, evidence links, remediation, retest, and closure lifecycle</w:t>
            </w:r>
          </w:p>
        </w:tc>
      </w:tr>
      <w:tr>
        <w:tc>
          <w:tcPr>
            <w:tcW w:type="dxa" w:w="5026"/>
            <w:vAlign w:val="center"/>
            <w:tcMar>
              <w:top w:w="120" w:type="dxa"/>
              <w:left w:w="120" w:type="dxa"/>
              <w:bottom w:w="120" w:type="dxa"/>
              <w:right w:w="120" w:type="dxa"/>
            </w:tcMar>
          </w:tcPr>
          <w:p>
            <w:pPr>
              <w:spacing w:after="0"/>
            </w:pPr>
            <w:r>
              <w:rPr>
                <w:rFonts w:ascii="Aptos" w:hAnsi="Aptos"/>
                <w:color w:val="111318"/>
                <w:sz w:val="17"/>
              </w:rPr>
              <w:t>Reporting</w:t>
            </w:r>
          </w:p>
        </w:tc>
        <w:tc>
          <w:tcPr>
            <w:tcW w:type="dxa" w:w="5026"/>
            <w:vAlign w:val="center"/>
            <w:tcMar>
              <w:top w:w="120" w:type="dxa"/>
              <w:left w:w="120" w:type="dxa"/>
              <w:bottom w:w="120" w:type="dxa"/>
              <w:right w:w="120" w:type="dxa"/>
            </w:tcMar>
          </w:tcPr>
          <w:p>
            <w:pPr>
              <w:spacing w:after="0"/>
            </w:pPr>
            <w:r>
              <w:rPr>
                <w:rFonts w:ascii="Aptos" w:hAnsi="Aptos"/>
                <w:color w:val="111318"/>
                <w:sz w:val="17"/>
              </w:rPr>
              <w:t>Campaign summary, inventory, surface change, and reviewed findings</w:t>
            </w:r>
          </w:p>
        </w:tc>
      </w:tr>
    </w:tbl>
    <w:p>
      <w:pPr>
        <w:spacing w:after="0"/>
      </w:pPr>
    </w:p>
    <w:p>
      <w:pPr>
        <w:pStyle w:val="Heading1"/>
      </w:pPr>
      <w:r>
        <w:t>Managed technical coverage</w:t>
      </w:r>
    </w:p>
    <w:p>
      <w:r>
        <w:t>The installed environment determines actual adapter availability. FieldOps reports whether an integration is ready, unavailable, native, or Docker-backed rather than claiming every tool is present.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26"/>
        <w:gridCol w:w="5026"/>
      </w:tblGrid>
      <w:tr>
        <w:trPr>
          <w:tblHeader/>
        </w:trPr>
        <w:tc>
          <w:tcPr>
            <w:tcW w:type="dxa" w:w="5026"/>
            <w:shd w:fill="111318"/>
            <w:tcMar>
              <w:top w:w="120" w:type="dxa"/>
              <w:left w:w="120" w:type="dxa"/>
              <w:bottom w:w="120" w:type="dxa"/>
              <w:right w:w="120" w:type="dxa"/>
            </w:tcMar>
          </w:tcPr>
          <w:p>
            <w:r>
              <w:rPr>
                <w:rFonts w:ascii="Aptos" w:hAnsi="Aptos"/>
                <w:b/>
                <w:color w:val="FFFFFF"/>
                <w:sz w:val="17"/>
              </w:rPr>
              <w:t>Area</w:t>
            </w:r>
          </w:p>
        </w:tc>
        <w:tc>
          <w:tcPr>
            <w:tcW w:type="dxa" w:w="5026"/>
            <w:shd w:fill="111318"/>
            <w:tcMar>
              <w:top w:w="120" w:type="dxa"/>
              <w:left w:w="120" w:type="dxa"/>
              <w:bottom w:w="120" w:type="dxa"/>
              <w:right w:w="120" w:type="dxa"/>
            </w:tcMar>
          </w:tcPr>
          <w:p>
            <w:r>
              <w:rPr>
                <w:rFonts w:ascii="Aptos" w:hAnsi="Aptos"/>
                <w:b/>
                <w:color w:val="FFFFFF"/>
                <w:sz w:val="17"/>
              </w:rPr>
              <w:t>Supported workflow</w:t>
            </w:r>
          </w:p>
        </w:tc>
      </w:tr>
      <w:tr>
        <w:tc>
          <w:tcPr>
            <w:tcW w:type="dxa" w:w="5026"/>
            <w:vAlign w:val="center"/>
            <w:tcMar>
              <w:top w:w="120" w:type="dxa"/>
              <w:left w:w="120" w:type="dxa"/>
              <w:bottom w:w="120" w:type="dxa"/>
              <w:right w:w="120" w:type="dxa"/>
            </w:tcMar>
          </w:tcPr>
          <w:p>
            <w:pPr>
              <w:spacing w:after="0"/>
            </w:pPr>
            <w:r>
              <w:rPr>
                <w:rFonts w:ascii="Aptos" w:hAnsi="Aptos"/>
                <w:color w:val="111318"/>
                <w:sz w:val="17"/>
              </w:rPr>
              <w:t>Network and services</w:t>
            </w:r>
          </w:p>
        </w:tc>
        <w:tc>
          <w:tcPr>
            <w:tcW w:type="dxa" w:w="5026"/>
            <w:vAlign w:val="center"/>
            <w:tcMar>
              <w:top w:w="120" w:type="dxa"/>
              <w:left w:w="120" w:type="dxa"/>
              <w:bottom w:w="120" w:type="dxa"/>
              <w:right w:w="120" w:type="dxa"/>
            </w:tcMar>
          </w:tcPr>
          <w:p>
            <w:pPr>
              <w:spacing w:after="0"/>
            </w:pPr>
            <w:r>
              <w:rPr>
                <w:rFonts w:ascii="Aptos" w:hAnsi="Aptos"/>
                <w:color w:val="111318"/>
                <w:sz w:val="17"/>
              </w:rPr>
              <w:t>Nmap discovery and service inventory against exact approved targets</w:t>
            </w:r>
          </w:p>
        </w:tc>
      </w:tr>
      <w:tr>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Web and API</w:t>
            </w:r>
          </w:p>
        </w:tc>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Request composer, OpenAPI import, redacted history, passive ZAP baseline</w:t>
            </w:r>
          </w:p>
        </w:tc>
      </w:tr>
      <w:tr>
        <w:tc>
          <w:tcPr>
            <w:tcW w:type="dxa" w:w="5026"/>
            <w:vAlign w:val="center"/>
            <w:tcMar>
              <w:top w:w="120" w:type="dxa"/>
              <w:left w:w="120" w:type="dxa"/>
              <w:bottom w:w="120" w:type="dxa"/>
              <w:right w:w="120" w:type="dxa"/>
            </w:tcMar>
          </w:tcPr>
          <w:p>
            <w:pPr>
              <w:spacing w:after="0"/>
            </w:pPr>
            <w:r>
              <w:rPr>
                <w:rFonts w:ascii="Aptos" w:hAnsi="Aptos"/>
                <w:color w:val="111318"/>
                <w:sz w:val="17"/>
              </w:rPr>
              <w:t>Vulnerability intelligence</w:t>
            </w:r>
          </w:p>
        </w:tc>
        <w:tc>
          <w:tcPr>
            <w:tcW w:type="dxa" w:w="5026"/>
            <w:vAlign w:val="center"/>
            <w:tcMar>
              <w:top w:w="120" w:type="dxa"/>
              <w:left w:w="120" w:type="dxa"/>
              <w:bottom w:w="120" w:type="dxa"/>
              <w:right w:w="120" w:type="dxa"/>
            </w:tcMar>
          </w:tcPr>
          <w:p>
            <w:pPr>
              <w:spacing w:after="0"/>
            </w:pPr>
            <w:r>
              <w:rPr>
                <w:rFonts w:ascii="Aptos" w:hAnsi="Aptos"/>
                <w:color w:val="111318"/>
                <w:sz w:val="17"/>
              </w:rPr>
              <w:t>Nuclei JSONL normalization through managed adapters</w:t>
            </w:r>
          </w:p>
        </w:tc>
      </w:tr>
      <w:tr>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TLS</w:t>
            </w:r>
          </w:p>
        </w:tc>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testssl.sh protocol, certificate, cipher, and posture evidence</w:t>
            </w:r>
          </w:p>
        </w:tc>
      </w:tr>
      <w:tr>
        <w:tc>
          <w:tcPr>
            <w:tcW w:type="dxa" w:w="5026"/>
            <w:vAlign w:val="center"/>
            <w:tcMar>
              <w:top w:w="120" w:type="dxa"/>
              <w:left w:w="120" w:type="dxa"/>
              <w:bottom w:w="120" w:type="dxa"/>
              <w:right w:w="120" w:type="dxa"/>
            </w:tcMar>
          </w:tcPr>
          <w:p>
            <w:pPr>
              <w:spacing w:after="0"/>
            </w:pPr>
            <w:r>
              <w:rPr>
                <w:rFonts w:ascii="Aptos" w:hAnsi="Aptos"/>
                <w:color w:val="111318"/>
                <w:sz w:val="17"/>
              </w:rPr>
              <w:t>Resilience</w:t>
            </w:r>
          </w:p>
        </w:tc>
        <w:tc>
          <w:tcPr>
            <w:tcW w:type="dxa" w:w="5026"/>
            <w:vAlign w:val="center"/>
            <w:tcMar>
              <w:top w:w="120" w:type="dxa"/>
              <w:left w:w="120" w:type="dxa"/>
              <w:bottom w:w="120" w:type="dxa"/>
              <w:right w:w="120" w:type="dxa"/>
            </w:tcMar>
          </w:tcPr>
          <w:p>
            <w:pPr>
              <w:spacing w:after="0"/>
            </w:pPr>
            <w:r>
              <w:rPr>
                <w:rFonts w:ascii="Aptos" w:hAnsi="Aptos"/>
                <w:color w:val="111318"/>
                <w:sz w:val="17"/>
              </w:rPr>
              <w:t>Managed k6 profiles bounded by target-hosted capacity verification</w:t>
            </w:r>
          </w:p>
        </w:tc>
      </w:tr>
      <w:tr>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Evidence intake</w:t>
            </w:r>
          </w:p>
        </w:tc>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JSON and SARIF import with integrity and scope context</w:t>
            </w:r>
          </w:p>
        </w:tc>
      </w:tr>
    </w:tbl>
    <w:p>
      <w:pPr>
        <w:spacing w:after="0"/>
      </w:pPr>
    </w:p>
    <w:p>
      <w:pPr>
        <w:pStyle w:val="Heading1"/>
      </w:pPr>
      <w:r>
        <w:t>Deployment and data</w:t>
      </w:r>
    </w:p>
    <w:p>
      <w:r>
        <w:t>The desktop application is local-first. Customer-controlled workstations and Docker perform assessment execution. Operator records remain in the application data directory unless exported. License secrets and signing keys use operating-system protected storage when available.</w:t>
      </w:r>
    </w:p>
    <w:p>
      <w:r>
        <w:t>FieldOps is delivered inside the Windows and Linux DaemonCore Academy application and remains paywalled through Lemon Squeezy licensing. Academy learning content remains available without a FieldOps purchase.</w:t>
      </w:r>
    </w:p>
    <w:p>
      <w:pPr>
        <w:pStyle w:val="Heading1"/>
      </w:pPr>
      <w:r>
        <w:t>Buyer fit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26"/>
        <w:gridCol w:w="5026"/>
      </w:tblGrid>
      <w:tr>
        <w:trPr>
          <w:tblHeader/>
        </w:trPr>
        <w:tc>
          <w:tcPr>
            <w:tcW w:type="dxa" w:w="5026"/>
            <w:shd w:fill="111318"/>
            <w:tcMar>
              <w:top w:w="120" w:type="dxa"/>
              <w:left w:w="120" w:type="dxa"/>
              <w:bottom w:w="120" w:type="dxa"/>
              <w:right w:w="120" w:type="dxa"/>
            </w:tcMar>
          </w:tcPr>
          <w:p>
            <w:r>
              <w:rPr>
                <w:rFonts w:ascii="Aptos" w:hAnsi="Aptos"/>
                <w:b/>
                <w:color w:val="FFFFFF"/>
                <w:sz w:val="17"/>
              </w:rPr>
              <w:t>Best fit</w:t>
            </w:r>
          </w:p>
        </w:tc>
        <w:tc>
          <w:tcPr>
            <w:tcW w:type="dxa" w:w="5026"/>
            <w:shd w:fill="111318"/>
            <w:tcMar>
              <w:top w:w="120" w:type="dxa"/>
              <w:left w:w="120" w:type="dxa"/>
              <w:bottom w:w="120" w:type="dxa"/>
              <w:right w:w="120" w:type="dxa"/>
            </w:tcMar>
          </w:tcPr>
          <w:p>
            <w:r>
              <w:rPr>
                <w:rFonts w:ascii="Aptos" w:hAnsi="Aptos"/>
                <w:b/>
                <w:color w:val="FFFFFF"/>
                <w:sz w:val="17"/>
              </w:rPr>
              <w:t>Evaluate carefully when</w:t>
            </w:r>
          </w:p>
        </w:tc>
      </w:tr>
      <w:tr>
        <w:tc>
          <w:tcPr>
            <w:tcW w:type="dxa" w:w="5026"/>
            <w:vAlign w:val="center"/>
            <w:tcMar>
              <w:top w:w="120" w:type="dxa"/>
              <w:left w:w="120" w:type="dxa"/>
              <w:bottom w:w="120" w:type="dxa"/>
              <w:right w:w="120" w:type="dxa"/>
            </w:tcMar>
          </w:tcPr>
          <w:p>
            <w:pPr>
              <w:spacing w:after="0"/>
            </w:pPr>
            <w:r>
              <w:rPr>
                <w:rFonts w:ascii="Aptos" w:hAnsi="Aptos"/>
                <w:color w:val="111318"/>
                <w:sz w:val="17"/>
              </w:rPr>
              <w:t>Consultancies needing repeatable evidence and reports</w:t>
            </w:r>
          </w:p>
        </w:tc>
        <w:tc>
          <w:tcPr>
            <w:tcW w:type="dxa" w:w="5026"/>
            <w:vAlign w:val="center"/>
            <w:tcMar>
              <w:top w:w="120" w:type="dxa"/>
              <w:left w:w="120" w:type="dxa"/>
              <w:bottom w:w="120" w:type="dxa"/>
              <w:right w:w="120" w:type="dxa"/>
            </w:tcMar>
          </w:tcPr>
          <w:p>
            <w:pPr>
              <w:spacing w:after="0"/>
            </w:pPr>
            <w:r>
              <w:rPr>
                <w:rFonts w:ascii="Aptos" w:hAnsi="Aptos"/>
                <w:color w:val="111318"/>
                <w:sz w:val="17"/>
              </w:rPr>
              <w:t>A team requires a cloud multi-tenant management plane today</w:t>
            </w:r>
          </w:p>
        </w:tc>
      </w:tr>
      <w:tr>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Internal security validation and remediation teams</w:t>
            </w:r>
          </w:p>
        </w:tc>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The primary need is a single specialist scanner only</w:t>
            </w:r>
          </w:p>
        </w:tc>
      </w:tr>
      <w:tr>
        <w:tc>
          <w:tcPr>
            <w:tcW w:type="dxa" w:w="5026"/>
            <w:vAlign w:val="center"/>
            <w:tcMar>
              <w:top w:w="120" w:type="dxa"/>
              <w:left w:w="120" w:type="dxa"/>
              <w:bottom w:w="120" w:type="dxa"/>
              <w:right w:w="120" w:type="dxa"/>
            </w:tcMar>
          </w:tcPr>
          <w:p>
            <w:pPr>
              <w:spacing w:after="0"/>
            </w:pPr>
            <w:r>
              <w:rPr>
                <w:rFonts w:ascii="Aptos" w:hAnsi="Aptos"/>
                <w:color w:val="111318"/>
                <w:sz w:val="17"/>
              </w:rPr>
              <w:t>Operators coordinating several supported tools</w:t>
            </w:r>
          </w:p>
        </w:tc>
        <w:tc>
          <w:tcPr>
            <w:tcW w:type="dxa" w:w="5026"/>
            <w:vAlign w:val="center"/>
            <w:tcMar>
              <w:top w:w="120" w:type="dxa"/>
              <w:left w:w="120" w:type="dxa"/>
              <w:bottom w:w="120" w:type="dxa"/>
              <w:right w:w="120" w:type="dxa"/>
            </w:tcMar>
          </w:tcPr>
          <w:p>
            <w:pPr>
              <w:spacing w:after="0"/>
            </w:pPr>
            <w:r>
              <w:rPr>
                <w:rFonts w:ascii="Aptos" w:hAnsi="Aptos"/>
                <w:color w:val="111318"/>
                <w:sz w:val="17"/>
              </w:rPr>
              <w:t>Required adapters are unavailable in the deployment environment</w:t>
            </w:r>
          </w:p>
        </w:tc>
      </w:tr>
      <w:tr>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Teams that value local-first records</w:t>
            </w:r>
          </w:p>
        </w:tc>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Centralized real-time collaboration is mandatory</w:t>
            </w:r>
          </w:p>
        </w:tc>
      </w:tr>
    </w:tbl>
    <w:p>
      <w:pPr>
        <w:spacing w:after="0"/>
      </w:pPr>
    </w:p>
    <w:p>
      <w:pPr>
        <w:pStyle w:val="Heading1"/>
      </w:pPr>
      <w:r>
        <w:t>Evaluation checklist</w:t>
      </w:r>
    </w:p>
    <w:p>
      <w:r>
        <w:t>Before purchase, confirm the operating system, Docker availability, required adapters, license terms, reporting needs, data-retention expectations, and the organization’s authorization process. Run a controlled pilot against owned infrastructure and judge the evidence workflow, not screenshots or marketing language alone.</w:t>
      </w:r>
    </w:p>
    <w:p>
      <w:pPr>
        <w:pStyle w:val="Heading1"/>
      </w:pPr>
      <w:r>
        <w:t>Document control</w:t>
      </w:r>
    </w:p>
    <w:p>
      <w:r>
        <w:t>This document describes DaemonCore Academy 9.0.0. When application behavior and this guide differ, stop the affected workflow and consult the release notes or support channel before continuing. Product and framework names belonging to third parties are used descriptively and do not imply endorsement.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26"/>
        <w:gridCol w:w="5026"/>
      </w:tblGrid>
      <w:tr>
        <w:trPr>
          <w:tblHeader/>
        </w:trPr>
        <w:tc>
          <w:tcPr>
            <w:tcW w:type="dxa" w:w="5026"/>
            <w:shd w:fill="111318"/>
            <w:tcMar>
              <w:top w:w="120" w:type="dxa"/>
              <w:left w:w="120" w:type="dxa"/>
              <w:bottom w:w="120" w:type="dxa"/>
              <w:right w:w="120" w:type="dxa"/>
            </w:tcMar>
          </w:tcPr>
          <w:p>
            <w:r>
              <w:rPr>
                <w:rFonts w:ascii="Aptos" w:hAnsi="Aptos"/>
                <w:b/>
                <w:color w:val="FFFFFF"/>
                <w:sz w:val="17"/>
              </w:rPr>
              <w:t>Field</w:t>
            </w:r>
          </w:p>
        </w:tc>
        <w:tc>
          <w:tcPr>
            <w:tcW w:type="dxa" w:w="5026"/>
            <w:shd w:fill="111318"/>
            <w:tcMar>
              <w:top w:w="120" w:type="dxa"/>
              <w:left w:w="120" w:type="dxa"/>
              <w:bottom w:w="120" w:type="dxa"/>
              <w:right w:w="120" w:type="dxa"/>
            </w:tcMar>
          </w:tcPr>
          <w:p>
            <w:r>
              <w:rPr>
                <w:rFonts w:ascii="Aptos" w:hAnsi="Aptos"/>
                <w:b/>
                <w:color w:val="FFFFFF"/>
                <w:sz w:val="17"/>
              </w:rPr>
              <w:t>Value</w:t>
            </w:r>
          </w:p>
        </w:tc>
      </w:tr>
      <w:tr>
        <w:tc>
          <w:tcPr>
            <w:tcW w:type="dxa" w:w="5026"/>
            <w:vAlign w:val="center"/>
            <w:tcMar>
              <w:top w:w="120" w:type="dxa"/>
              <w:left w:w="120" w:type="dxa"/>
              <w:bottom w:w="120" w:type="dxa"/>
              <w:right w:w="120" w:type="dxa"/>
            </w:tcMar>
          </w:tcPr>
          <w:p>
            <w:pPr>
              <w:spacing w:after="0"/>
            </w:pPr>
            <w:r>
              <w:rPr>
                <w:rFonts w:ascii="Aptos" w:hAnsi="Aptos"/>
                <w:color w:val="111318"/>
                <w:sz w:val="17"/>
              </w:rPr>
              <w:t>Owner</w:t>
            </w:r>
          </w:p>
        </w:tc>
        <w:tc>
          <w:tcPr>
            <w:tcW w:type="dxa" w:w="5026"/>
            <w:vAlign w:val="center"/>
            <w:tcMar>
              <w:top w:w="120" w:type="dxa"/>
              <w:left w:w="120" w:type="dxa"/>
              <w:bottom w:w="120" w:type="dxa"/>
              <w:right w:w="120" w:type="dxa"/>
            </w:tcMar>
          </w:tcPr>
          <w:p>
            <w:pPr>
              <w:spacing w:after="0"/>
            </w:pPr>
            <w:r>
              <w:rPr>
                <w:rFonts w:ascii="Aptos" w:hAnsi="Aptos"/>
                <w:color w:val="111318"/>
                <w:sz w:val="17"/>
              </w:rPr>
              <w:t>DaemonCore Apps</w:t>
            </w:r>
          </w:p>
        </w:tc>
      </w:tr>
      <w:tr>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Release</w:t>
            </w:r>
          </w:p>
        </w:tc>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9.0.0</w:t>
            </w:r>
          </w:p>
        </w:tc>
      </w:tr>
      <w:tr>
        <w:tc>
          <w:tcPr>
            <w:tcW w:type="dxa" w:w="5026"/>
            <w:vAlign w:val="center"/>
            <w:tcMar>
              <w:top w:w="120" w:type="dxa"/>
              <w:left w:w="120" w:type="dxa"/>
              <w:bottom w:w="120" w:type="dxa"/>
              <w:right w:w="120" w:type="dxa"/>
            </w:tcMar>
          </w:tcPr>
          <w:p>
            <w:pPr>
              <w:spacing w:after="0"/>
            </w:pPr>
            <w:r>
              <w:rPr>
                <w:rFonts w:ascii="Aptos" w:hAnsi="Aptos"/>
                <w:color w:val="111318"/>
                <w:sz w:val="17"/>
              </w:rPr>
              <w:t>Classification</w:t>
            </w:r>
          </w:p>
        </w:tc>
        <w:tc>
          <w:tcPr>
            <w:tcW w:type="dxa" w:w="5026"/>
            <w:vAlign w:val="center"/>
            <w:tcMar>
              <w:top w:w="120" w:type="dxa"/>
              <w:left w:w="120" w:type="dxa"/>
              <w:bottom w:w="120" w:type="dxa"/>
              <w:right w:w="120" w:type="dxa"/>
            </w:tcMar>
          </w:tcPr>
          <w:p>
            <w:pPr>
              <w:spacing w:after="0"/>
            </w:pPr>
            <w:r>
              <w:rPr>
                <w:rFonts w:ascii="Aptos" w:hAnsi="Aptos"/>
                <w:color w:val="111318"/>
                <w:sz w:val="17"/>
              </w:rPr>
              <w:t>Public product documentation</w:t>
            </w:r>
          </w:p>
        </w:tc>
      </w:tr>
      <w:tr>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Review trigger</w:t>
            </w:r>
          </w:p>
        </w:tc>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Material product, policy, or credential-status change</w:t>
            </w:r>
          </w:p>
        </w:tc>
      </w:tr>
    </w:tbl>
    <w:p>
      <w:pPr>
        <w:spacing w:after="0"/>
      </w:pPr>
    </w:p>
    <w:sectPr w:rsidR="00FC693F" w:rsidRPr="0006063C" w:rsidSect="00034616">
      <w:headerReference w:type="default" r:id="rId9"/>
      <w:footerReference w:type="default" r:id="rId10"/>
      <w:pgSz w:w="12240" w:h="15840"/>
      <w:pgMar w:top="1037" w:right="1094" w:bottom="965"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6570"/>
        <w:sz w:val="14"/>
      </w:rPr>
      <w:t xml:space="preserve">DAEMONCORE // OFFICIAL GUIDE // </w:t>
    </w:r>
    <w:r>
      <w:rPr>
        <w:sz w:val="14"/>
      </w:rPr>
      <w:fldChar w:fldCharType="begin"/>
    </w:r>
    <w:r>
      <w:rPr>
        <w:sz w:val="14"/>
      </w:rPr>
      <w:instrText xml:space="preserve"> PAGE </w:instrText>
    </w:r>
    <w:r>
      <w:rPr>
        <w:sz w:val="14"/>
      </w:rPr>
      <w:fldChar w:fldCharType="separate"/>
    </w:r>
    <w:r>
      <w:rPr>
        <w:sz w:val="14"/>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onsolas" w:hAnsi="Consolas"/>
        <w:b/>
        <w:color w:val="E33E48"/>
        <w:sz w:val="14"/>
      </w:rPr>
      <w:t>DAEMONCORE ACADEMY    DC-DOC-900-D    VERSION 9.0.0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11131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11318"/>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1131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ptos Display" w:hAnsi="Aptos Display"/>
      <w:b/>
      <w:color w:val="111318"/>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400"/>
    </w:pPr>
    <w:rPr>
      <w:rFonts w:asciiTheme="majorHAnsi" w:eastAsiaTheme="majorEastAsia" w:hAnsiTheme="majorHAnsi" w:cstheme="majorBidi" w:ascii="Aptos" w:hAnsi="Aptos"/>
      <w:b w:val="0"/>
      <w:i/>
      <w:iCs/>
      <w:color w:val="11131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DaemonCore FieldOps Commercial Brief</dc:title>
  <dc:subject>Licensed assessment operations for consultants and security teams</dc:subject>
  <dc:creator>DaemonCore Apps</dc:creator>
  <cp:keywords>DaemonCore, Academy, DC-DOC-900-D, version 9.0.0</cp:keywords>
  <dc:description>Official public documentation</dc:description>
  <cp:lastModifiedBy/>
  <cp:revision>1</cp:revision>
  <dcterms:created xsi:type="dcterms:W3CDTF">2013-12-23T23:15:00Z</dcterms:created>
  <dcterms:modified xsi:type="dcterms:W3CDTF">2013-12-23T23:15:00Z</dcterms:modified>
  <cp:category/>
</cp:coreProperties>
</file>