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Mission OS Reference</w:t>
      </w:r>
    </w:p>
    <w:p>
      <w:pPr>
        <w:pStyle w:val="Subtitle"/>
      </w:pPr>
      <w:r>
        <w:rPr>
          <w:color w:val="5E6570"/>
        </w:rPr>
        <w:t>Learning routes, diagnostics, evidence, storage, and practical handoffs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DC-DOC-900-E</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Learners, instructors, support teams, and training administrators</w:t>
      </w:r>
    </w:p>
    <w:p>
      <w:r>
        <w:t>Mission OS is the learning-orchestration layer that connects diagnostic decisions, role-based routes, lessons, workbenches, sealed ranges, mastery evidence, and the next useful action on the current device.</w:t>
      </w:r>
    </w:p>
    <w:p>
      <w:r>
        <w:br w:type="page"/>
      </w:r>
    </w:p>
    <w:p>
      <w:pPr>
        <w:pStyle w:val="Heading1"/>
      </w:pPr>
      <w:r>
        <w:t>Learning model</w:t>
      </w:r>
    </w:p>
    <w:p>
      <w:r>
        <w:t>Mission OS follows a Learn, Practice, Launch, Prove loop. Lessons establish the mental model, workbenches test decisions, live ranges require observable evidence, and the operator record turns completed work into transparent progress. The workflow dock identifies the next useful action without pretending that every text block is a live command.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351"/>
            <w:shd w:fill="111318"/>
            <w:tcMar>
              <w:top w:w="120" w:type="dxa"/>
              <w:left w:w="120" w:type="dxa"/>
              <w:bottom w:w="120" w:type="dxa"/>
              <w:right w:w="120" w:type="dxa"/>
            </w:tcMar>
          </w:tcPr>
          <w:p>
            <w:r>
              <w:rPr>
                <w:rFonts w:ascii="Aptos" w:hAnsi="Aptos"/>
                <w:b/>
                <w:color w:val="FFFFFF"/>
                <w:sz w:val="17"/>
              </w:rPr>
              <w:t>Stage</w:t>
            </w:r>
          </w:p>
        </w:tc>
        <w:tc>
          <w:tcPr>
            <w:tcW w:type="dxa" w:w="3351"/>
            <w:shd w:fill="111318"/>
            <w:tcMar>
              <w:top w:w="120" w:type="dxa"/>
              <w:left w:w="120" w:type="dxa"/>
              <w:bottom w:w="120" w:type="dxa"/>
              <w:right w:w="120" w:type="dxa"/>
            </w:tcMar>
          </w:tcPr>
          <w:p>
            <w:r>
              <w:rPr>
                <w:rFonts w:ascii="Aptos" w:hAnsi="Aptos"/>
                <w:b/>
                <w:color w:val="FFFFFF"/>
                <w:sz w:val="17"/>
              </w:rPr>
              <w:t>Surface</w:t>
            </w:r>
          </w:p>
        </w:tc>
        <w:tc>
          <w:tcPr>
            <w:tcW w:type="dxa" w:w="3351"/>
            <w:shd w:fill="111318"/>
            <w:tcMar>
              <w:top w:w="120" w:type="dxa"/>
              <w:left w:w="120" w:type="dxa"/>
              <w:bottom w:w="120" w:type="dxa"/>
              <w:right w:w="120" w:type="dxa"/>
            </w:tcMar>
          </w:tcPr>
          <w:p>
            <w:r>
              <w:rPr>
                <w:rFonts w:ascii="Aptos" w:hAnsi="Aptos"/>
                <w:b/>
                <w:color w:val="FFFFFF"/>
                <w:sz w:val="17"/>
              </w:rPr>
              <w:t>Evidence</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Learn</w:t>
            </w:r>
          </w:p>
        </w:tc>
        <w:tc>
          <w:tcPr>
            <w:tcW w:type="dxa" w:w="3351"/>
            <w:vAlign w:val="center"/>
            <w:tcMar>
              <w:top w:w="120" w:type="dxa"/>
              <w:left w:w="120" w:type="dxa"/>
              <w:bottom w:w="120" w:type="dxa"/>
              <w:right w:w="120" w:type="dxa"/>
            </w:tcMar>
          </w:tcPr>
          <w:p>
            <w:pPr>
              <w:spacing w:after="0"/>
            </w:pPr>
            <w:r>
              <w:rPr>
                <w:rFonts w:ascii="Aptos" w:hAnsi="Aptos"/>
                <w:color w:val="111318"/>
                <w:sz w:val="17"/>
              </w:rPr>
              <w:t>Academy lesson</w:t>
            </w:r>
          </w:p>
        </w:tc>
        <w:tc>
          <w:tcPr>
            <w:tcW w:type="dxa" w:w="3351"/>
            <w:vAlign w:val="center"/>
            <w:tcMar>
              <w:top w:w="120" w:type="dxa"/>
              <w:left w:w="120" w:type="dxa"/>
              <w:bottom w:w="120" w:type="dxa"/>
              <w:right w:w="120" w:type="dxa"/>
            </w:tcMar>
          </w:tcPr>
          <w:p>
            <w:pPr>
              <w:spacing w:after="0"/>
            </w:pPr>
            <w:r>
              <w:rPr>
                <w:rFonts w:ascii="Aptos" w:hAnsi="Aptos"/>
                <w:color w:val="111318"/>
                <w:sz w:val="17"/>
              </w:rPr>
              <w:t>Reading and knowledge checks</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Practice</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Workbench or drill</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Scored decisions and explanations</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Launch</w:t>
            </w:r>
          </w:p>
        </w:tc>
        <w:tc>
          <w:tcPr>
            <w:tcW w:type="dxa" w:w="3351"/>
            <w:vAlign w:val="center"/>
            <w:tcMar>
              <w:top w:w="120" w:type="dxa"/>
              <w:left w:w="120" w:type="dxa"/>
              <w:bottom w:w="120" w:type="dxa"/>
              <w:right w:w="120" w:type="dxa"/>
            </w:tcMar>
          </w:tcPr>
          <w:p>
            <w:pPr>
              <w:spacing w:after="0"/>
            </w:pPr>
            <w:r>
              <w:rPr>
                <w:rFonts w:ascii="Aptos" w:hAnsi="Aptos"/>
                <w:color w:val="111318"/>
                <w:sz w:val="17"/>
              </w:rPr>
              <w:t>Web Forge, Enterprise Forge, or Living Range</w:t>
            </w:r>
          </w:p>
        </w:tc>
        <w:tc>
          <w:tcPr>
            <w:tcW w:type="dxa" w:w="3351"/>
            <w:vAlign w:val="center"/>
            <w:tcMar>
              <w:top w:w="120" w:type="dxa"/>
              <w:left w:w="120" w:type="dxa"/>
              <w:bottom w:w="120" w:type="dxa"/>
              <w:right w:w="120" w:type="dxa"/>
            </w:tcMar>
          </w:tcPr>
          <w:p>
            <w:pPr>
              <w:spacing w:after="0"/>
            </w:pPr>
            <w:r>
              <w:rPr>
                <w:rFonts w:ascii="Aptos" w:hAnsi="Aptos"/>
                <w:color w:val="111318"/>
                <w:sz w:val="17"/>
              </w:rPr>
              <w:t>Live execution and ordered evidence gates</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Prove</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Mastery, capstone, or dossier readiness</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Recorded outcomes tied to the current device</w:t>
            </w:r>
          </w:p>
        </w:tc>
      </w:tr>
    </w:tbl>
    <w:p>
      <w:pPr>
        <w:spacing w:after="0"/>
      </w:pPr>
    </w:p>
    <w:p>
      <w:pPr>
        <w:pStyle w:val="Heading1"/>
      </w:pPr>
      <w:r>
        <w:t>Routes and diagnostics</w:t>
      </w:r>
    </w:p>
    <w:p>
      <w:r>
        <w:t>The entry diagnostic measures the learner’s current decisions across scope, network analysis, web and API, identity, cloud and supply chain, and evidence and detection. It recommends a route; it is not a psychometric test, percentile, certification, or employer assessment.</w:t>
      </w:r>
    </w:p>
    <w:p>
      <w:r>
        <w:t>Role-based routes organize the existing curriculum without removing access to other material. Progress is calculated from completed shipped activities rather than a fabricated peer leaderboard.</w:t>
      </w:r>
    </w:p>
    <w:p>
      <w:pPr>
        <w:pStyle w:val="Heading1"/>
      </w:pPr>
      <w:r>
        <w:t>Storage and recovery</w:t>
      </w:r>
    </w:p>
    <w:p>
      <w:r>
        <w:t>Mission OS stores operator identity, preferences, lesson progress, practical scores, mastery state, and activity locally through the desktop data store. Writes are atomic and recovery copies are maintained. Browser preview storage can migrate into the desktop record, but the preview cannot run Docker ranges.</w:t>
      </w:r>
    </w:p>
    <w:p>
      <w:r>
        <w:t>Application upgrades retain the stable daemoncore-academy user-data path. Operators should still export important FieldOps case files and preserve backups before a major upgrade.</w:t>
      </w:r>
    </w:p>
    <w:p>
      <w:pPr>
        <w:pStyle w:val="Heading1"/>
      </w:pPr>
      <w:r>
        <w:t>Range handoff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51"/>
        <w:gridCol w:w="3351"/>
        <w:gridCol w:w="3351"/>
      </w:tblGrid>
      <w:tr>
        <w:trPr>
          <w:tblHeader/>
        </w:trPr>
        <w:tc>
          <w:tcPr>
            <w:tcW w:type="dxa" w:w="3351"/>
            <w:shd w:fill="111318"/>
            <w:tcMar>
              <w:top w:w="120" w:type="dxa"/>
              <w:left w:w="120" w:type="dxa"/>
              <w:bottom w:w="120" w:type="dxa"/>
              <w:right w:w="120" w:type="dxa"/>
            </w:tcMar>
          </w:tcPr>
          <w:p>
            <w:r>
              <w:rPr>
                <w:rFonts w:ascii="Aptos" w:hAnsi="Aptos"/>
                <w:b/>
                <w:color w:val="FFFFFF"/>
                <w:sz w:val="17"/>
              </w:rPr>
              <w:t>State</w:t>
            </w:r>
          </w:p>
        </w:tc>
        <w:tc>
          <w:tcPr>
            <w:tcW w:type="dxa" w:w="3351"/>
            <w:shd w:fill="111318"/>
            <w:tcMar>
              <w:top w:w="120" w:type="dxa"/>
              <w:left w:w="120" w:type="dxa"/>
              <w:bottom w:w="120" w:type="dxa"/>
              <w:right w:w="120" w:type="dxa"/>
            </w:tcMar>
          </w:tcPr>
          <w:p>
            <w:r>
              <w:rPr>
                <w:rFonts w:ascii="Aptos" w:hAnsi="Aptos"/>
                <w:b/>
                <w:color w:val="FFFFFF"/>
                <w:sz w:val="17"/>
              </w:rPr>
              <w:t>What the user should see</w:t>
            </w:r>
          </w:p>
        </w:tc>
        <w:tc>
          <w:tcPr>
            <w:tcW w:type="dxa" w:w="3351"/>
            <w:shd w:fill="111318"/>
            <w:tcMar>
              <w:top w:w="120" w:type="dxa"/>
              <w:left w:w="120" w:type="dxa"/>
              <w:bottom w:w="120" w:type="dxa"/>
              <w:right w:w="120" w:type="dxa"/>
            </w:tcMar>
          </w:tcPr>
          <w:p>
            <w:r>
              <w:rPr>
                <w:rFonts w:ascii="Aptos" w:hAnsi="Aptos"/>
                <w:b/>
                <w:color w:val="FFFFFF"/>
                <w:sz w:val="17"/>
              </w:rPr>
              <w:t>Meaning</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Informational</w:t>
            </w:r>
          </w:p>
        </w:tc>
        <w:tc>
          <w:tcPr>
            <w:tcW w:type="dxa" w:w="3351"/>
            <w:vAlign w:val="center"/>
            <w:tcMar>
              <w:top w:w="120" w:type="dxa"/>
              <w:left w:w="120" w:type="dxa"/>
              <w:bottom w:w="120" w:type="dxa"/>
              <w:right w:w="120" w:type="dxa"/>
            </w:tcMar>
          </w:tcPr>
          <w:p>
            <w:pPr>
              <w:spacing w:after="0"/>
            </w:pPr>
            <w:r>
              <w:rPr>
                <w:rFonts w:ascii="Aptos" w:hAnsi="Aptos"/>
                <w:color w:val="111318"/>
                <w:sz w:val="17"/>
              </w:rPr>
              <w:t>Worked example label</w:t>
            </w:r>
          </w:p>
        </w:tc>
        <w:tc>
          <w:tcPr>
            <w:tcW w:type="dxa" w:w="3351"/>
            <w:vAlign w:val="center"/>
            <w:tcMar>
              <w:top w:w="120" w:type="dxa"/>
              <w:left w:w="120" w:type="dxa"/>
              <w:bottom w:w="120" w:type="dxa"/>
              <w:right w:w="120" w:type="dxa"/>
            </w:tcMar>
          </w:tcPr>
          <w:p>
            <w:pPr>
              <w:spacing w:after="0"/>
            </w:pPr>
            <w:r>
              <w:rPr>
                <w:rFonts w:ascii="Aptos" w:hAnsi="Aptos"/>
                <w:color w:val="111318"/>
                <w:sz w:val="17"/>
              </w:rPr>
              <w:t>Read the command; no live target is attached</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Preparing</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Containment proof in progress</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Wait; the console is not ready</w:t>
            </w:r>
          </w:p>
        </w:tc>
      </w:tr>
      <w:tr>
        <w:tc>
          <w:tcPr>
            <w:tcW w:type="dxa" w:w="3351"/>
            <w:vAlign w:val="center"/>
            <w:tcMar>
              <w:top w:w="120" w:type="dxa"/>
              <w:left w:w="120" w:type="dxa"/>
              <w:bottom w:w="120" w:type="dxa"/>
              <w:right w:w="120" w:type="dxa"/>
            </w:tcMar>
          </w:tcPr>
          <w:p>
            <w:pPr>
              <w:spacing w:after="0"/>
            </w:pPr>
            <w:r>
              <w:rPr>
                <w:rFonts w:ascii="Aptos" w:hAnsi="Aptos"/>
                <w:color w:val="111318"/>
                <w:sz w:val="17"/>
              </w:rPr>
              <w:t>Sealed</w:t>
            </w:r>
          </w:p>
        </w:tc>
        <w:tc>
          <w:tcPr>
            <w:tcW w:type="dxa" w:w="3351"/>
            <w:vAlign w:val="center"/>
            <w:tcMar>
              <w:top w:w="120" w:type="dxa"/>
              <w:left w:w="120" w:type="dxa"/>
              <w:bottom w:w="120" w:type="dxa"/>
              <w:right w:w="120" w:type="dxa"/>
            </w:tcMar>
          </w:tcPr>
          <w:p>
            <w:pPr>
              <w:spacing w:after="0"/>
            </w:pPr>
            <w:r>
              <w:rPr>
                <w:rFonts w:ascii="Aptos" w:hAnsi="Aptos"/>
                <w:color w:val="111318"/>
                <w:sz w:val="17"/>
              </w:rPr>
              <w:t>Container prompt and verified boundary</w:t>
            </w:r>
          </w:p>
        </w:tc>
        <w:tc>
          <w:tcPr>
            <w:tcW w:type="dxa" w:w="3351"/>
            <w:vAlign w:val="center"/>
            <w:tcMar>
              <w:top w:w="120" w:type="dxa"/>
              <w:left w:w="120" w:type="dxa"/>
              <w:bottom w:w="120" w:type="dxa"/>
              <w:right w:w="120" w:type="dxa"/>
            </w:tcMar>
          </w:tcPr>
          <w:p>
            <w:pPr>
              <w:spacing w:after="0"/>
            </w:pPr>
            <w:r>
              <w:rPr>
                <w:rFonts w:ascii="Aptos" w:hAnsi="Aptos"/>
                <w:color w:val="111318"/>
                <w:sz w:val="17"/>
              </w:rPr>
              <w:t>Commands execute inside the disposable range</w:t>
            </w:r>
          </w:p>
        </w:tc>
      </w:tr>
      <w:tr>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Rejected</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Specific readiness or integrity error</w:t>
            </w:r>
          </w:p>
        </w:tc>
        <w:tc>
          <w:tcPr>
            <w:tcW w:type="dxa" w:w="3351"/>
            <w:vAlign w:val="center"/>
            <w:tcMar>
              <w:top w:w="120" w:type="dxa"/>
              <w:left w:w="120" w:type="dxa"/>
              <w:bottom w:w="120" w:type="dxa"/>
              <w:right w:w="120" w:type="dxa"/>
            </w:tcMar>
            <w:shd w:fill="F4F5F7"/>
          </w:tcPr>
          <w:p>
            <w:pPr>
              <w:spacing w:after="0"/>
            </w:pPr>
            <w:r>
              <w:rPr>
                <w:rFonts w:ascii="Aptos" w:hAnsi="Aptos"/>
                <w:color w:val="111318"/>
                <w:sz w:val="17"/>
              </w:rPr>
              <w:t>Fix the cause; no completion credit is available</w:t>
            </w:r>
          </w:p>
        </w:tc>
      </w:tr>
    </w:tbl>
    <w:p>
      <w:pPr>
        <w:spacing w:after="0"/>
      </w:pPr>
    </w:p>
    <w:p>
      <w:pPr>
        <w:pStyle w:val="Heading1"/>
      </w:pPr>
      <w:r>
        <w:t>Telemetry and privacy</w:t>
      </w:r>
    </w:p>
    <w:p>
      <w:r>
        <w:t>Mission OS telemetry is local application activity used to calculate the current operator’s next action and progress. It is not a claim of anonymous industry benchmarking. Instructors may use the protected local Instructor Mode for cohorts and assignments; centralized cloud reporting is not implied unless separately deployed and documented.</w:t>
      </w: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DC-DOC-900-E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Mission OS Reference</dc:title>
  <dc:subject>Learning routes, diagnostics, evidence, storage, and practical handoffs</dc:subject>
  <dc:creator>DaemonCore Apps</dc:creator>
  <cp:keywords>DaemonCore, Academy, DC-DOC-900-E,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