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0F6D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681CAF19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2F763E81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6648AE55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0D54DA0F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0B3E2980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6ACAC1E1" w14:textId="77777777" w:rsidR="007B3067" w:rsidRPr="00B131ED" w:rsidRDefault="00000000">
      <w:pPr>
        <w:jc w:val="center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color w:val="003366"/>
          <w:sz w:val="24"/>
          <w:szCs w:val="24"/>
        </w:rPr>
        <w:t>Proceso de Solución</w:t>
      </w:r>
    </w:p>
    <w:p w14:paraId="7F7CBF48" w14:textId="77777777" w:rsidR="007B3067" w:rsidRPr="00B131ED" w:rsidRDefault="00000000">
      <w:pPr>
        <w:jc w:val="center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color w:val="003366"/>
          <w:sz w:val="24"/>
          <w:szCs w:val="24"/>
        </w:rPr>
        <w:t>Prueba Analítica — Líder Analítico</w:t>
      </w:r>
    </w:p>
    <w:p w14:paraId="6FC338BF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2F64E083" w14:textId="77777777" w:rsidR="007B3067" w:rsidRPr="00B131ED" w:rsidRDefault="00000000">
      <w:pPr>
        <w:jc w:val="center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color w:val="505050"/>
          <w:sz w:val="24"/>
          <w:szCs w:val="24"/>
        </w:rPr>
        <w:t>Modelo de Propensión al Pago de Opciones de Cobro</w:t>
      </w:r>
    </w:p>
    <w:p w14:paraId="4C05D56F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16D9E6FB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407EF4FD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61896487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6EE267FB" w14:textId="1ACF4721" w:rsidR="007B3067" w:rsidRPr="00B131ED" w:rsidRDefault="00000000">
      <w:pPr>
        <w:jc w:val="center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Autor: </w:t>
      </w:r>
      <w:r w:rsidRPr="00B131ED">
        <w:rPr>
          <w:rFonts w:ascii="Arial Narrow" w:hAnsi="Arial Narrow"/>
          <w:sz w:val="24"/>
          <w:szCs w:val="24"/>
        </w:rPr>
        <w:t xml:space="preserve">Daniel Escobar Tobón </w:t>
      </w:r>
    </w:p>
    <w:p w14:paraId="7EBBF952" w14:textId="77777777" w:rsidR="007B3067" w:rsidRPr="00B131ED" w:rsidRDefault="00000000">
      <w:pPr>
        <w:jc w:val="center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Fecha: </w:t>
      </w:r>
      <w:r w:rsidRPr="00B131ED">
        <w:rPr>
          <w:rFonts w:ascii="Arial Narrow" w:hAnsi="Arial Narrow"/>
          <w:sz w:val="24"/>
          <w:szCs w:val="24"/>
        </w:rPr>
        <w:t>Marzo 2026</w:t>
      </w:r>
    </w:p>
    <w:p w14:paraId="0C58C9C9" w14:textId="77777777" w:rsidR="007B3067" w:rsidRPr="00B131ED" w:rsidRDefault="00000000">
      <w:pPr>
        <w:jc w:val="center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Versión: </w:t>
      </w:r>
      <w:r w:rsidRPr="00B131ED">
        <w:rPr>
          <w:rFonts w:ascii="Arial Narrow" w:hAnsi="Arial Narrow"/>
          <w:sz w:val="24"/>
          <w:szCs w:val="24"/>
        </w:rPr>
        <w:t>1.0</w:t>
      </w:r>
    </w:p>
    <w:p w14:paraId="4541D566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br w:type="page"/>
      </w:r>
    </w:p>
    <w:p w14:paraId="09A4786F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lastRenderedPageBreak/>
        <w:t>Índice</w:t>
      </w:r>
    </w:p>
    <w:p w14:paraId="05ACEDA7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1. Entendimiento del Problema</w:t>
      </w:r>
    </w:p>
    <w:p w14:paraId="5625E367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2. Exploración Inicial de las Fuentes</w:t>
      </w:r>
    </w:p>
    <w:p w14:paraId="0691C80E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3. Gobernanza del Feature Space</w:t>
      </w:r>
    </w:p>
    <w:p w14:paraId="21B46833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4. Análisis Exploratorio (EDA)</w:t>
      </w:r>
    </w:p>
    <w:p w14:paraId="210E3F53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 Ingeniería de Variables</w:t>
      </w:r>
    </w:p>
    <w:p w14:paraId="3AA021FA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6. Preparación de Datos para Modelado</w:t>
      </w:r>
    </w:p>
    <w:p w14:paraId="2C4450F5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7. Entrenamiento y Competición de Modelos</w:t>
      </w:r>
    </w:p>
    <w:p w14:paraId="53E29860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8. Evaluación y Selección del Modelo Ganador</w:t>
      </w:r>
    </w:p>
    <w:p w14:paraId="36FC7EC1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9. Validación Out-of-Time (OOT)</w:t>
      </w:r>
    </w:p>
    <w:p w14:paraId="0F9790D3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10. Arquitectura del Pipeline Productivo</w:t>
      </w:r>
    </w:p>
    <w:p w14:paraId="449BB8E8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11. Diseño de Disponibilización del Modelo</w:t>
      </w:r>
    </w:p>
    <w:p w14:paraId="25117659" w14:textId="2532BAFA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 xml:space="preserve">12. </w:t>
      </w:r>
      <w:r w:rsidR="008105A2">
        <w:rPr>
          <w:rFonts w:ascii="Arial Narrow" w:hAnsi="Arial Narrow"/>
          <w:sz w:val="24"/>
          <w:szCs w:val="24"/>
        </w:rPr>
        <w:t>Ruta Despliegue Github</w:t>
      </w:r>
    </w:p>
    <w:p w14:paraId="29F5F48C" w14:textId="77777777" w:rsidR="007B3067" w:rsidRPr="00B131ED" w:rsidRDefault="00000000">
      <w:pPr>
        <w:spacing w:after="4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13. Conclusiones</w:t>
      </w:r>
    </w:p>
    <w:p w14:paraId="5BB36BE2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0D3EB2D1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Entregables adjuntos:</w:t>
      </w:r>
    </w:p>
    <w:p w14:paraId="395EBD1D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test.ipynb — Notebook con exploración, modelado y predicción</w:t>
      </w:r>
    </w:p>
    <w:p w14:paraId="0289DC6D" w14:textId="71023E5B" w:rsidR="007B3067" w:rsidRPr="00B131ED" w:rsidRDefault="00FB5125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resultado_prueba.csv — Predicciones OOT</w:t>
      </w:r>
    </w:p>
    <w:p w14:paraId="7DDA01BC" w14:textId="43BC9091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AN0016001-modelo-propensi</w:t>
      </w:r>
      <w:r w:rsidR="00FB5125" w:rsidRPr="00B131ED">
        <w:rPr>
          <w:rFonts w:ascii="Arial Narrow" w:hAnsi="Arial Narrow"/>
          <w:sz w:val="24"/>
          <w:szCs w:val="24"/>
        </w:rPr>
        <w:t>ó</w:t>
      </w:r>
      <w:r w:rsidRPr="00B131ED">
        <w:rPr>
          <w:rFonts w:ascii="Arial Narrow" w:hAnsi="Arial Narrow"/>
          <w:sz w:val="24"/>
          <w:szCs w:val="24"/>
        </w:rPr>
        <w:t>n/ — Paquete productivo con orquestador</w:t>
      </w:r>
    </w:p>
    <w:p w14:paraId="2F8175B9" w14:textId="330FD2C4" w:rsidR="007B3067" w:rsidRPr="00B131ED" w:rsidRDefault="00FB5125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AN0016001-modelo-propensión /Documentación/arquitectura/ — Diagramas de arquitectura</w:t>
      </w:r>
    </w:p>
    <w:p w14:paraId="148DFE52" w14:textId="1B540C8A" w:rsidR="007B3067" w:rsidRPr="00B131ED" w:rsidRDefault="00FB5125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AN0016001-modelo-propensión /Documentación/entregas— Documentación técnica — resultado_prueba.csv — diseño_disponibilidad_modelo.pdf</w:t>
      </w:r>
    </w:p>
    <w:p w14:paraId="2662478A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br w:type="page"/>
      </w:r>
    </w:p>
    <w:p w14:paraId="235F3201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lastRenderedPageBreak/>
        <w:t>1. Entendimiento del Problema</w:t>
      </w:r>
    </w:p>
    <w:p w14:paraId="160E2509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Objetivo</w:t>
      </w:r>
    </w:p>
    <w:p w14:paraId="37AF877D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Construir un modelo que prediga, con un mes de anticipación, si una obligación crediticia en mora aceptará una opción de pago. La variable objetivo es var_rpta_alt (binaria: 1 = acepta, 0 = no acepta). El score resultante se utilizará como variable de priorización en la gestión operativa de cobro.</w:t>
      </w:r>
    </w:p>
    <w:p w14:paraId="63ED893F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Datos disponibles</w:t>
      </w:r>
    </w:p>
    <w:p w14:paraId="2AB710A0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recibieron 5 archivos CSV enmascarados: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3067" w:rsidRPr="00B131ED" w14:paraId="3AE613FA" w14:textId="77777777" w:rsidTr="00B131ED">
        <w:tc>
          <w:tcPr>
            <w:tcW w:w="2880" w:type="dxa"/>
          </w:tcPr>
          <w:p w14:paraId="4C05A2B1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Tabla</w:t>
            </w:r>
          </w:p>
        </w:tc>
        <w:tc>
          <w:tcPr>
            <w:tcW w:w="2880" w:type="dxa"/>
          </w:tcPr>
          <w:p w14:paraId="0F3F2E9B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Nivel</w:t>
            </w:r>
          </w:p>
        </w:tc>
        <w:tc>
          <w:tcPr>
            <w:tcW w:w="2880" w:type="dxa"/>
          </w:tcPr>
          <w:p w14:paraId="05EB9CAC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Rol</w:t>
            </w:r>
          </w:p>
        </w:tc>
      </w:tr>
      <w:tr w:rsidR="007B3067" w:rsidRPr="00B131ED" w14:paraId="62755DF9" w14:textId="77777777" w:rsidTr="00B131ED">
        <w:tc>
          <w:tcPr>
            <w:tcW w:w="2880" w:type="dxa"/>
          </w:tcPr>
          <w:p w14:paraId="27993F14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base_pivot_trtest</w:t>
            </w:r>
          </w:p>
        </w:tc>
        <w:tc>
          <w:tcPr>
            <w:tcW w:w="2880" w:type="dxa"/>
          </w:tcPr>
          <w:p w14:paraId="3D15B343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Obligación × mes</w:t>
            </w:r>
          </w:p>
        </w:tc>
        <w:tc>
          <w:tcPr>
            <w:tcW w:w="2880" w:type="dxa"/>
          </w:tcPr>
          <w:p w14:paraId="048AF8BF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Train/test con variable objetivo</w:t>
            </w:r>
          </w:p>
        </w:tc>
      </w:tr>
      <w:tr w:rsidR="007B3067" w:rsidRPr="00B131ED" w14:paraId="4E3EC4A8" w14:textId="77777777" w:rsidTr="00B131ED">
        <w:tc>
          <w:tcPr>
            <w:tcW w:w="2880" w:type="dxa"/>
          </w:tcPr>
          <w:p w14:paraId="4BA30833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base_pivot_oot</w:t>
            </w:r>
          </w:p>
        </w:tc>
        <w:tc>
          <w:tcPr>
            <w:tcW w:w="2880" w:type="dxa"/>
          </w:tcPr>
          <w:p w14:paraId="487E7833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Obligación × mes</w:t>
            </w:r>
          </w:p>
        </w:tc>
        <w:tc>
          <w:tcPr>
            <w:tcW w:w="2880" w:type="dxa"/>
          </w:tcPr>
          <w:p w14:paraId="36D6170B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Out-of-Time sin etiqueta</w:t>
            </w:r>
          </w:p>
        </w:tc>
      </w:tr>
      <w:tr w:rsidR="007B3067" w:rsidRPr="00B131ED" w14:paraId="77780C2F" w14:textId="77777777" w:rsidTr="00B131ED">
        <w:tc>
          <w:tcPr>
            <w:tcW w:w="2880" w:type="dxa"/>
          </w:tcPr>
          <w:p w14:paraId="590B3BB1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maestra_cuotas_pagos</w:t>
            </w:r>
          </w:p>
        </w:tc>
        <w:tc>
          <w:tcPr>
            <w:tcW w:w="2880" w:type="dxa"/>
          </w:tcPr>
          <w:p w14:paraId="1EFDED43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Obligación × mes</w:t>
            </w:r>
          </w:p>
        </w:tc>
        <w:tc>
          <w:tcPr>
            <w:tcW w:w="2880" w:type="dxa"/>
          </w:tcPr>
          <w:p w14:paraId="0E83F5C4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Historial transaccional de pagos</w:t>
            </w:r>
          </w:p>
        </w:tc>
      </w:tr>
      <w:tr w:rsidR="007B3067" w:rsidRPr="00B131ED" w14:paraId="5BC014A2" w14:textId="77777777" w:rsidTr="00B131ED">
        <w:tc>
          <w:tcPr>
            <w:tcW w:w="2880" w:type="dxa"/>
          </w:tcPr>
          <w:p w14:paraId="537858D1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master_customer_data</w:t>
            </w:r>
          </w:p>
        </w:tc>
        <w:tc>
          <w:tcPr>
            <w:tcW w:w="2880" w:type="dxa"/>
          </w:tcPr>
          <w:p w14:paraId="4AF41993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Cliente × mes</w:t>
            </w:r>
          </w:p>
        </w:tc>
        <w:tc>
          <w:tcPr>
            <w:tcW w:w="2880" w:type="dxa"/>
          </w:tcPr>
          <w:p w14:paraId="1185F977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Datos demográficos y financieros</w:t>
            </w:r>
          </w:p>
        </w:tc>
      </w:tr>
      <w:tr w:rsidR="007B3067" w:rsidRPr="00B131ED" w14:paraId="3C8A9140" w14:textId="77777777" w:rsidTr="00B131ED">
        <w:tc>
          <w:tcPr>
            <w:tcW w:w="2880" w:type="dxa"/>
          </w:tcPr>
          <w:p w14:paraId="72E472D9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probabilidad_oblig_base_hist</w:t>
            </w:r>
          </w:p>
        </w:tc>
        <w:tc>
          <w:tcPr>
            <w:tcW w:w="2880" w:type="dxa"/>
          </w:tcPr>
          <w:p w14:paraId="4116F388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Obligación × mes</w:t>
            </w:r>
          </w:p>
        </w:tc>
        <w:tc>
          <w:tcPr>
            <w:tcW w:w="2880" w:type="dxa"/>
          </w:tcPr>
          <w:p w14:paraId="28897642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Scores analíticos previos</w:t>
            </w:r>
          </w:p>
        </w:tc>
      </w:tr>
    </w:tbl>
    <w:p w14:paraId="2AF324D6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4CD8DE63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Enfoque general</w:t>
      </w:r>
    </w:p>
    <w:p w14:paraId="36D86218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La solución se abordó en dos frentes paralelos:</w:t>
      </w:r>
    </w:p>
    <w:p w14:paraId="2637FC4D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1. </w:t>
      </w:r>
      <w:r w:rsidRPr="00B131ED">
        <w:rPr>
          <w:rFonts w:ascii="Arial Narrow" w:hAnsi="Arial Narrow"/>
          <w:sz w:val="24"/>
          <w:szCs w:val="24"/>
        </w:rPr>
        <w:t>Notebook analítico (test.ipynb): exploración, feature engineering, competición de modelos, predicción OOT.</w:t>
      </w:r>
    </w:p>
    <w:p w14:paraId="4CD6D7AF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2. </w:t>
      </w:r>
      <w:r w:rsidRPr="00B131ED">
        <w:rPr>
          <w:rFonts w:ascii="Arial Narrow" w:hAnsi="Arial Narrow"/>
          <w:sz w:val="24"/>
          <w:szCs w:val="24"/>
        </w:rPr>
        <w:t>Paquete productivo (AN0016001-modelo-propension): implementación en el framework orquestador2 para ejecución automatizada con Impala/Spark.</w:t>
      </w:r>
    </w:p>
    <w:p w14:paraId="691D39E0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2. Exploración Inicial de las Fuentes</w:t>
      </w:r>
    </w:p>
    <w:p w14:paraId="21423665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Carga y normalización</w:t>
      </w:r>
    </w:p>
    <w:p w14:paraId="042D8960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crearon funciones genéricas de carga (load_csv_generic) con dos responsabilidades:</w:t>
      </w:r>
    </w:p>
    <w:p w14:paraId="61FBE2B1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Normalizar IDs: convertir columnas de identificación a string enteros (str(int(x))) para garantizar consistencia en los cruces entre tablas.</w:t>
      </w:r>
    </w:p>
    <w:p w14:paraId="173490B2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Parsear fechas: unificar formatos YYYYMM y YYYYMMDD a datetime estándar.</w:t>
      </w:r>
    </w:p>
    <w:p w14:paraId="569FC1D2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Para cada fuente se implementó un loader específico: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3067" w:rsidRPr="00B131ED" w14:paraId="6F4A2440" w14:textId="77777777" w:rsidTr="00B131ED">
        <w:tc>
          <w:tcPr>
            <w:tcW w:w="2160" w:type="dxa"/>
          </w:tcPr>
          <w:p w14:paraId="49DB883B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Loader</w:t>
            </w:r>
          </w:p>
        </w:tc>
        <w:tc>
          <w:tcPr>
            <w:tcW w:w="2160" w:type="dxa"/>
          </w:tcPr>
          <w:p w14:paraId="06060B57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Fuente</w:t>
            </w:r>
          </w:p>
        </w:tc>
        <w:tc>
          <w:tcPr>
            <w:tcW w:w="2160" w:type="dxa"/>
          </w:tcPr>
          <w:p w14:paraId="30EDBC28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Llaves</w:t>
            </w:r>
          </w:p>
        </w:tc>
        <w:tc>
          <w:tcPr>
            <w:tcW w:w="2160" w:type="dxa"/>
          </w:tcPr>
          <w:p w14:paraId="2B58232C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Particularidad</w:t>
            </w:r>
          </w:p>
        </w:tc>
      </w:tr>
      <w:tr w:rsidR="007B3067" w:rsidRPr="00B131ED" w14:paraId="70571340" w14:textId="77777777" w:rsidTr="00B131ED">
        <w:tc>
          <w:tcPr>
            <w:tcW w:w="2160" w:type="dxa"/>
          </w:tcPr>
          <w:p w14:paraId="0A5DA037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load_pivot</w:t>
            </w:r>
          </w:p>
        </w:tc>
        <w:tc>
          <w:tcPr>
            <w:tcW w:w="2160" w:type="dxa"/>
          </w:tcPr>
          <w:p w14:paraId="44D82649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Base pivot</w:t>
            </w:r>
          </w:p>
        </w:tc>
        <w:tc>
          <w:tcPr>
            <w:tcW w:w="2160" w:type="dxa"/>
          </w:tcPr>
          <w:p w14:paraId="3341A339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nit, oblig_orig, oblig</w:t>
            </w:r>
          </w:p>
        </w:tc>
        <w:tc>
          <w:tcPr>
            <w:tcW w:w="2160" w:type="dxa"/>
          </w:tcPr>
          <w:p w14:paraId="781FA057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Fecha en fecha_var_rpta_alt (YYYYMM)</w:t>
            </w:r>
          </w:p>
        </w:tc>
      </w:tr>
      <w:tr w:rsidR="007B3067" w:rsidRPr="00B131ED" w14:paraId="4ACAC17C" w14:textId="77777777" w:rsidTr="00B131ED">
        <w:tc>
          <w:tcPr>
            <w:tcW w:w="2160" w:type="dxa"/>
          </w:tcPr>
          <w:p w14:paraId="578A82F2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load_payments</w:t>
            </w:r>
          </w:p>
        </w:tc>
        <w:tc>
          <w:tcPr>
            <w:tcW w:w="2160" w:type="dxa"/>
          </w:tcPr>
          <w:p w14:paraId="77CE7220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Pagos</w:t>
            </w:r>
          </w:p>
        </w:tc>
        <w:tc>
          <w:tcPr>
            <w:tcW w:w="2160" w:type="dxa"/>
          </w:tcPr>
          <w:p w14:paraId="45FD2B43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nit, oblig</w:t>
            </w:r>
          </w:p>
        </w:tc>
        <w:tc>
          <w:tcPr>
            <w:tcW w:w="2160" w:type="dxa"/>
          </w:tcPr>
          <w:p w14:paraId="1C718A13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Fecha en fecha_corte (YYYYMMDD)</w:t>
            </w:r>
          </w:p>
        </w:tc>
      </w:tr>
      <w:tr w:rsidR="007B3067" w:rsidRPr="00B131ED" w14:paraId="37D945F3" w14:textId="77777777" w:rsidTr="00B131ED">
        <w:tc>
          <w:tcPr>
            <w:tcW w:w="2160" w:type="dxa"/>
          </w:tcPr>
          <w:p w14:paraId="5F6D8FEE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lastRenderedPageBreak/>
              <w:t>load_customers</w:t>
            </w:r>
          </w:p>
        </w:tc>
        <w:tc>
          <w:tcPr>
            <w:tcW w:w="2160" w:type="dxa"/>
          </w:tcPr>
          <w:p w14:paraId="09378E28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Clientes</w:t>
            </w:r>
          </w:p>
        </w:tc>
        <w:tc>
          <w:tcPr>
            <w:tcW w:w="2160" w:type="dxa"/>
          </w:tcPr>
          <w:p w14:paraId="33554F34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nit</w:t>
            </w:r>
          </w:p>
        </w:tc>
        <w:tc>
          <w:tcPr>
            <w:tcW w:w="2160" w:type="dxa"/>
          </w:tcPr>
          <w:p w14:paraId="6ACC39FB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Fecha derivada de columnas year + month</w:t>
            </w:r>
          </w:p>
        </w:tc>
      </w:tr>
      <w:tr w:rsidR="007B3067" w:rsidRPr="00B131ED" w14:paraId="60A9638E" w14:textId="77777777" w:rsidTr="00B131ED">
        <w:tc>
          <w:tcPr>
            <w:tcW w:w="2160" w:type="dxa"/>
          </w:tcPr>
          <w:p w14:paraId="255D472F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load_scores</w:t>
            </w:r>
          </w:p>
        </w:tc>
        <w:tc>
          <w:tcPr>
            <w:tcW w:w="2160" w:type="dxa"/>
          </w:tcPr>
          <w:p w14:paraId="068089A1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Scores</w:t>
            </w:r>
          </w:p>
        </w:tc>
        <w:tc>
          <w:tcPr>
            <w:tcW w:w="2160" w:type="dxa"/>
          </w:tcPr>
          <w:p w14:paraId="0C2C97C5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nit, oblig</w:t>
            </w:r>
          </w:p>
        </w:tc>
        <w:tc>
          <w:tcPr>
            <w:tcW w:w="2160" w:type="dxa"/>
          </w:tcPr>
          <w:p w14:paraId="25C70F79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Fecha en fecha_corte (YYYYMM)</w:t>
            </w:r>
          </w:p>
        </w:tc>
      </w:tr>
    </w:tbl>
    <w:p w14:paraId="5D5D2D2E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5A9B1B72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validó la carga con un resumen que muestra filas y columnas de cada fuente, verificando que no hubo pérdida de registros durante la lectura.</w:t>
      </w:r>
    </w:p>
    <w:p w14:paraId="0B78C72C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3. Gobernanza del Feature Space</w:t>
      </w:r>
    </w:p>
    <w:p w14:paraId="337DA5E5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Antes de cualquier exploración o modelado, se definió explícitamente el Feature Space con el fin de garantizar reproducibilidad, ausencia de leakage y viabilidad productiva.</w:t>
      </w:r>
    </w:p>
    <w:p w14:paraId="765223E5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Principio rector</w:t>
      </w:r>
    </w:p>
    <w:p w14:paraId="48380300" w14:textId="77777777" w:rsidR="007B3067" w:rsidRPr="00B131ED" w:rsidRDefault="00000000">
      <w:pPr>
        <w:ind w:left="567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i/>
          <w:color w:val="505050"/>
          <w:sz w:val="24"/>
          <w:szCs w:val="24"/>
        </w:rPr>
        <w:t>El modelo no se entrena sobre columnas crudas, sino sobre features explícitamente definidas, reproducibles y disponibles tanto para entrenamiento como para predicción.</w:t>
      </w:r>
    </w:p>
    <w:p w14:paraId="27D7E5C0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Feature Registry</w:t>
      </w:r>
    </w:p>
    <w:p w14:paraId="2095CCEB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creó un diccionario FEATURE_REGISTRY con 6 grupos de variables: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22"/>
      </w:tblGrid>
      <w:tr w:rsidR="007B3067" w:rsidRPr="00B131ED" w14:paraId="4F4F0641" w14:textId="77777777" w:rsidTr="00B131ED">
        <w:tc>
          <w:tcPr>
            <w:tcW w:w="2160" w:type="dxa"/>
          </w:tcPr>
          <w:p w14:paraId="2DE328DE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Grupo</w:t>
            </w:r>
          </w:p>
        </w:tc>
        <w:tc>
          <w:tcPr>
            <w:tcW w:w="2160" w:type="dxa"/>
          </w:tcPr>
          <w:p w14:paraId="7EA389C9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Fuente</w:t>
            </w:r>
          </w:p>
        </w:tc>
        <w:tc>
          <w:tcPr>
            <w:tcW w:w="2160" w:type="dxa"/>
          </w:tcPr>
          <w:p w14:paraId="62E9EC9D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Tipo</w:t>
            </w:r>
          </w:p>
        </w:tc>
        <w:tc>
          <w:tcPr>
            <w:tcW w:w="2160" w:type="dxa"/>
          </w:tcPr>
          <w:p w14:paraId="432721F8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b/>
                <w:sz w:val="20"/>
                <w:szCs w:val="20"/>
              </w:rPr>
              <w:t>Ejemplos</w:t>
            </w:r>
          </w:p>
        </w:tc>
      </w:tr>
      <w:tr w:rsidR="007B3067" w:rsidRPr="00B131ED" w14:paraId="33FDE4C6" w14:textId="77777777" w:rsidTr="00B131ED">
        <w:tc>
          <w:tcPr>
            <w:tcW w:w="2160" w:type="dxa"/>
          </w:tcPr>
          <w:p w14:paraId="25AFB951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Estado financiero</w:t>
            </w:r>
          </w:p>
        </w:tc>
        <w:tc>
          <w:tcPr>
            <w:tcW w:w="2160" w:type="dxa"/>
          </w:tcPr>
          <w:p w14:paraId="616519C3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Pivot</w:t>
            </w:r>
          </w:p>
        </w:tc>
        <w:tc>
          <w:tcPr>
            <w:tcW w:w="2160" w:type="dxa"/>
          </w:tcPr>
          <w:p w14:paraId="7E9A36A9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Numérica/Categórica</w:t>
            </w:r>
          </w:p>
        </w:tc>
        <w:tc>
          <w:tcPr>
            <w:tcW w:w="2160" w:type="dxa"/>
          </w:tcPr>
          <w:p w14:paraId="7D2FF604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dias_mora_fin, vlr_obligacion, vlr_vencido, saldo_capital, endeudamiento</w:t>
            </w:r>
          </w:p>
        </w:tc>
      </w:tr>
      <w:tr w:rsidR="007B3067" w:rsidRPr="00B131ED" w14:paraId="3F80967B" w14:textId="77777777" w:rsidTr="00B131ED">
        <w:tc>
          <w:tcPr>
            <w:tcW w:w="2160" w:type="dxa"/>
          </w:tcPr>
          <w:p w14:paraId="2E3E5A5F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Elegibilidad</w:t>
            </w:r>
          </w:p>
        </w:tc>
        <w:tc>
          <w:tcPr>
            <w:tcW w:w="2160" w:type="dxa"/>
          </w:tcPr>
          <w:p w14:paraId="291DAB35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Pivot</w:t>
            </w:r>
          </w:p>
        </w:tc>
        <w:tc>
          <w:tcPr>
            <w:tcW w:w="2160" w:type="dxa"/>
          </w:tcPr>
          <w:p w14:paraId="723DC8AC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Numérica</w:t>
            </w:r>
          </w:p>
        </w:tc>
        <w:tc>
          <w:tcPr>
            <w:tcW w:w="2160" w:type="dxa"/>
          </w:tcPr>
          <w:p w14:paraId="47486612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cant_alter_posibles</w:t>
            </w:r>
          </w:p>
        </w:tc>
      </w:tr>
      <w:tr w:rsidR="007B3067" w:rsidRPr="00B131ED" w14:paraId="72F285AB" w14:textId="77777777" w:rsidTr="00B131ED">
        <w:tc>
          <w:tcPr>
            <w:tcW w:w="2160" w:type="dxa"/>
          </w:tcPr>
          <w:p w14:paraId="4319D3A3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Gestión y contacto</w:t>
            </w:r>
          </w:p>
        </w:tc>
        <w:tc>
          <w:tcPr>
            <w:tcW w:w="2160" w:type="dxa"/>
          </w:tcPr>
          <w:p w14:paraId="50D8DDB8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Pivot</w:t>
            </w:r>
          </w:p>
        </w:tc>
        <w:tc>
          <w:tcPr>
            <w:tcW w:w="2160" w:type="dxa"/>
          </w:tcPr>
          <w:p w14:paraId="2ABEBCF4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Numérica/Categórica</w:t>
            </w:r>
          </w:p>
        </w:tc>
        <w:tc>
          <w:tcPr>
            <w:tcW w:w="2160" w:type="dxa"/>
          </w:tcPr>
          <w:p w14:paraId="72639FB3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cant_gestiones, rpc, promesas_cumplidas</w:t>
            </w:r>
          </w:p>
        </w:tc>
      </w:tr>
      <w:tr w:rsidR="007B3067" w:rsidRPr="00B131ED" w14:paraId="15A49A3F" w14:textId="77777777" w:rsidTr="00B131ED">
        <w:tc>
          <w:tcPr>
            <w:tcW w:w="2160" w:type="dxa"/>
          </w:tcPr>
          <w:p w14:paraId="5CFEE3D6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Comportamiento de pago</w:t>
            </w:r>
          </w:p>
        </w:tc>
        <w:tc>
          <w:tcPr>
            <w:tcW w:w="2160" w:type="dxa"/>
          </w:tcPr>
          <w:p w14:paraId="3977662E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Pagos</w:t>
            </w:r>
          </w:p>
        </w:tc>
        <w:tc>
          <w:tcPr>
            <w:tcW w:w="2160" w:type="dxa"/>
          </w:tcPr>
          <w:p w14:paraId="3497B998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Numérica</w:t>
            </w:r>
          </w:p>
        </w:tc>
        <w:tc>
          <w:tcPr>
            <w:tcW w:w="2160" w:type="dxa"/>
          </w:tcPr>
          <w:p w14:paraId="3BB7CF9D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pct_meses_pagados_6m, meses_desde_ultimo_pago</w:t>
            </w:r>
          </w:p>
        </w:tc>
      </w:tr>
      <w:tr w:rsidR="007B3067" w:rsidRPr="00B131ED" w14:paraId="2F85926E" w14:textId="77777777" w:rsidTr="00B131ED">
        <w:tc>
          <w:tcPr>
            <w:tcW w:w="2160" w:type="dxa"/>
          </w:tcPr>
          <w:p w14:paraId="66BE1F0D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Perfil del cliente</w:t>
            </w:r>
          </w:p>
        </w:tc>
        <w:tc>
          <w:tcPr>
            <w:tcW w:w="2160" w:type="dxa"/>
          </w:tcPr>
          <w:p w14:paraId="26BA3075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Clientes</w:t>
            </w:r>
          </w:p>
        </w:tc>
        <w:tc>
          <w:tcPr>
            <w:tcW w:w="2160" w:type="dxa"/>
          </w:tcPr>
          <w:p w14:paraId="4FE1C036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Num./Cat.</w:t>
            </w:r>
          </w:p>
        </w:tc>
        <w:tc>
          <w:tcPr>
            <w:tcW w:w="2160" w:type="dxa"/>
          </w:tcPr>
          <w:p w14:paraId="2297AAF1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edad_cli, total_ing, tot_activos, segm, region_of</w:t>
            </w:r>
          </w:p>
        </w:tc>
      </w:tr>
      <w:tr w:rsidR="007B3067" w:rsidRPr="00B131ED" w14:paraId="668E1F3B" w14:textId="77777777" w:rsidTr="00B131ED">
        <w:tc>
          <w:tcPr>
            <w:tcW w:w="2160" w:type="dxa"/>
          </w:tcPr>
          <w:p w14:paraId="324F4640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Meta-features analíticas</w:t>
            </w:r>
          </w:p>
        </w:tc>
        <w:tc>
          <w:tcPr>
            <w:tcW w:w="2160" w:type="dxa"/>
          </w:tcPr>
          <w:p w14:paraId="2646D93F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Scores</w:t>
            </w:r>
          </w:p>
        </w:tc>
        <w:tc>
          <w:tcPr>
            <w:tcW w:w="2160" w:type="dxa"/>
          </w:tcPr>
          <w:p w14:paraId="0709111E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Numérica</w:t>
            </w:r>
          </w:p>
        </w:tc>
        <w:tc>
          <w:tcPr>
            <w:tcW w:w="2160" w:type="dxa"/>
          </w:tcPr>
          <w:p w14:paraId="01E26D77" w14:textId="77777777" w:rsidR="007B3067" w:rsidRPr="00B131ED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B131ED">
              <w:rPr>
                <w:rFonts w:ascii="Arial Narrow" w:hAnsi="Arial Narrow"/>
                <w:sz w:val="20"/>
                <w:szCs w:val="20"/>
              </w:rPr>
              <w:t>prob_propension_t_1, prob_auto_cura_t_1, prob_alerta_t_1</w:t>
            </w:r>
          </w:p>
        </w:tc>
      </w:tr>
    </w:tbl>
    <w:p w14:paraId="755112B1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42471599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Exclusiones explícitas</w:t>
      </w:r>
    </w:p>
    <w:p w14:paraId="3C146DD1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clasificaron las 50 columnas del pivot en 5 categorías de exclusión, identificadas a partir de la metadata proporcionada:</w:t>
      </w:r>
    </w:p>
    <w:tbl>
      <w:tblPr>
        <w:tblStyle w:val="Tablaconcuadrculaclara"/>
        <w:tblW w:w="0" w:type="auto"/>
        <w:jc w:val="center"/>
        <w:tblLook w:val="04A0" w:firstRow="1" w:lastRow="0" w:firstColumn="1" w:lastColumn="0" w:noHBand="0" w:noVBand="1"/>
      </w:tblPr>
      <w:tblGrid>
        <w:gridCol w:w="1072"/>
        <w:gridCol w:w="7023"/>
        <w:gridCol w:w="1301"/>
      </w:tblGrid>
      <w:tr w:rsidR="00201603" w:rsidRPr="00201603" w14:paraId="1C7E206F" w14:textId="77777777" w:rsidTr="00201603">
        <w:trPr>
          <w:trHeight w:val="288"/>
          <w:jc w:val="center"/>
        </w:trPr>
        <w:tc>
          <w:tcPr>
            <w:tcW w:w="2405" w:type="dxa"/>
            <w:noWrap/>
            <w:hideMark/>
          </w:tcPr>
          <w:p w14:paraId="2165BD98" w14:textId="77777777" w:rsidR="00201603" w:rsidRPr="00201603" w:rsidRDefault="00201603" w:rsidP="00201603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01603">
              <w:rPr>
                <w:rFonts w:ascii="Arial Narrow" w:hAnsi="Arial Narrow"/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4001" w:type="dxa"/>
            <w:noWrap/>
            <w:hideMark/>
          </w:tcPr>
          <w:p w14:paraId="57274569" w14:textId="77777777" w:rsidR="00201603" w:rsidRPr="00201603" w:rsidRDefault="00201603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01603">
              <w:rPr>
                <w:rFonts w:ascii="Arial Narrow" w:hAnsi="Arial Narrow"/>
                <w:b/>
                <w:bCs/>
                <w:sz w:val="20"/>
                <w:szCs w:val="20"/>
              </w:rPr>
              <w:t>Variables excluidas</w:t>
            </w:r>
          </w:p>
        </w:tc>
        <w:tc>
          <w:tcPr>
            <w:tcW w:w="2990" w:type="dxa"/>
            <w:noWrap/>
            <w:hideMark/>
          </w:tcPr>
          <w:p w14:paraId="189EBB24" w14:textId="77777777" w:rsidR="00201603" w:rsidRPr="00201603" w:rsidRDefault="00201603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01603">
              <w:rPr>
                <w:rFonts w:ascii="Arial Narrow" w:hAnsi="Arial Narrow"/>
                <w:b/>
                <w:bCs/>
                <w:sz w:val="20"/>
                <w:szCs w:val="20"/>
              </w:rPr>
              <w:t>Razón</w:t>
            </w:r>
          </w:p>
        </w:tc>
      </w:tr>
      <w:tr w:rsidR="00201603" w:rsidRPr="00201603" w14:paraId="3999EA23" w14:textId="77777777" w:rsidTr="00201603">
        <w:trPr>
          <w:trHeight w:val="288"/>
          <w:jc w:val="center"/>
        </w:trPr>
        <w:tc>
          <w:tcPr>
            <w:tcW w:w="2405" w:type="dxa"/>
            <w:noWrap/>
            <w:hideMark/>
          </w:tcPr>
          <w:p w14:paraId="2DAEF953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Target y derivadas</w:t>
            </w:r>
          </w:p>
        </w:tc>
        <w:tc>
          <w:tcPr>
            <w:tcW w:w="4001" w:type="dxa"/>
            <w:noWrap/>
            <w:hideMark/>
          </w:tcPr>
          <w:p w14:paraId="2C9FA511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var_rpta_alt, tipo_var_rpta_alt, marca_alternativa, marca_alternativa_orig</w:t>
            </w:r>
          </w:p>
        </w:tc>
        <w:tc>
          <w:tcPr>
            <w:tcW w:w="2990" w:type="dxa"/>
            <w:noWrap/>
            <w:hideMark/>
          </w:tcPr>
          <w:p w14:paraId="038C54B2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 xml:space="preserve">Variable respuesta o </w:t>
            </w:r>
            <w:r w:rsidRPr="00201603">
              <w:rPr>
                <w:rFonts w:ascii="Arial Narrow" w:hAnsi="Arial Narrow"/>
                <w:sz w:val="20"/>
                <w:szCs w:val="20"/>
              </w:rPr>
              <w:lastRenderedPageBreak/>
              <w:t>duplicados directos</w:t>
            </w:r>
          </w:p>
        </w:tc>
      </w:tr>
      <w:tr w:rsidR="00201603" w:rsidRPr="00201603" w14:paraId="1A85599C" w14:textId="77777777" w:rsidTr="00201603">
        <w:trPr>
          <w:trHeight w:val="288"/>
          <w:jc w:val="center"/>
        </w:trPr>
        <w:tc>
          <w:tcPr>
            <w:tcW w:w="2405" w:type="dxa"/>
            <w:noWrap/>
            <w:hideMark/>
          </w:tcPr>
          <w:p w14:paraId="60B80067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lastRenderedPageBreak/>
              <w:t>Post-proceso</w:t>
            </w:r>
          </w:p>
        </w:tc>
        <w:tc>
          <w:tcPr>
            <w:tcW w:w="4001" w:type="dxa"/>
            <w:noWrap/>
            <w:hideMark/>
          </w:tcPr>
          <w:p w14:paraId="0DF45865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marca_alt_apli, marca_alt_rank, alternativa_aplicada_agr, marca_agrupada_rgo, descripcion_ranking_mejor_ult, descripcion_ranking_post_ult</w:t>
            </w:r>
          </w:p>
        </w:tc>
        <w:tc>
          <w:tcPr>
            <w:tcW w:w="2990" w:type="dxa"/>
            <w:noWrap/>
            <w:hideMark/>
          </w:tcPr>
          <w:p w14:paraId="71EFE086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Información posterior a la decisión del cliente</w:t>
            </w:r>
          </w:p>
        </w:tc>
      </w:tr>
      <w:tr w:rsidR="00201603" w:rsidRPr="00201603" w14:paraId="4D29BF19" w14:textId="77777777" w:rsidTr="00201603">
        <w:trPr>
          <w:trHeight w:val="288"/>
          <w:jc w:val="center"/>
        </w:trPr>
        <w:tc>
          <w:tcPr>
            <w:tcW w:w="2405" w:type="dxa"/>
            <w:noWrap/>
            <w:hideMark/>
          </w:tcPr>
          <w:p w14:paraId="08CB82ED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Leakage temporal</w:t>
            </w:r>
          </w:p>
        </w:tc>
        <w:tc>
          <w:tcPr>
            <w:tcW w:w="4001" w:type="dxa"/>
            <w:noWrap/>
            <w:hideMark/>
          </w:tcPr>
          <w:p w14:paraId="026A7BFE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dias_mora_fin, min_mora, max_mora, rango_mora, pago_cuota, porc_pago_cuota, pago_mes, porc_pago_mes, pagos_tanque, marca_debito_mora, marca_pago, valor_cuota_mes, fe_amplitud_mora, fe_mora_severity, fe_mora_acelerada</w:t>
            </w:r>
          </w:p>
        </w:tc>
        <w:tc>
          <w:tcPr>
            <w:tcW w:w="2990" w:type="dxa"/>
            <w:noWrap/>
            <w:hideMark/>
          </w:tcPr>
          <w:p w14:paraId="4A237419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Calculadas en el mes de la variable respuesta o derivadas directamente de ellas</w:t>
            </w:r>
          </w:p>
        </w:tc>
      </w:tr>
      <w:tr w:rsidR="00201603" w:rsidRPr="00201603" w14:paraId="52A71352" w14:textId="77777777" w:rsidTr="00201603">
        <w:trPr>
          <w:trHeight w:val="288"/>
          <w:jc w:val="center"/>
        </w:trPr>
        <w:tc>
          <w:tcPr>
            <w:tcW w:w="2405" w:type="dxa"/>
            <w:noWrap/>
            <w:hideMark/>
          </w:tcPr>
          <w:p w14:paraId="5594EEA8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Gestión mismo mes</w:t>
            </w:r>
          </w:p>
        </w:tc>
        <w:tc>
          <w:tcPr>
            <w:tcW w:w="4001" w:type="dxa"/>
            <w:noWrap/>
            <w:hideMark/>
          </w:tcPr>
          <w:p w14:paraId="4D94954C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cant_gestiones, rpc, promesas_cumplidas, cant_acuerdo, cant_gestiones_binario, cant_promesas_cumplidas_binario, cant_acuerdo_binario, fe_ratio_contacto, fe_promesas_por_rpc, fe_intensidad_gestion</w:t>
            </w:r>
          </w:p>
        </w:tc>
        <w:tc>
          <w:tcPr>
            <w:tcW w:w="2990" w:type="dxa"/>
            <w:noWrap/>
            <w:hideMark/>
          </w:tcPr>
          <w:p w14:paraId="58305E86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Acumulados al cierre del mes de respuesta o construidos sobre ellos; promesas_cumplidas es prácticamente el target mismo</w:t>
            </w:r>
          </w:p>
        </w:tc>
      </w:tr>
      <w:tr w:rsidR="00201603" w:rsidRPr="00201603" w14:paraId="3512FC3F" w14:textId="77777777" w:rsidTr="00201603">
        <w:trPr>
          <w:trHeight w:val="587"/>
          <w:jc w:val="center"/>
        </w:trPr>
        <w:tc>
          <w:tcPr>
            <w:tcW w:w="2405" w:type="dxa"/>
            <w:noWrap/>
            <w:hideMark/>
          </w:tcPr>
          <w:p w14:paraId="6E9D060E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Overfitting</w:t>
            </w:r>
          </w:p>
        </w:tc>
        <w:tc>
          <w:tcPr>
            <w:tcW w:w="4001" w:type="dxa"/>
            <w:noWrap/>
            <w:hideMark/>
          </w:tcPr>
          <w:p w14:paraId="18FE3C0D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desc_alternativa1, desc_alternativa2, desc_alternativa3, alter_posible1_2, alter_posible2_2, alter_posible3_2, nombre_dpto_dirp</w:t>
            </w:r>
          </w:p>
        </w:tc>
        <w:tc>
          <w:tcPr>
            <w:tcW w:w="2990" w:type="dxa"/>
            <w:noWrap/>
            <w:hideMark/>
          </w:tcPr>
          <w:p w14:paraId="6C528707" w14:textId="77777777" w:rsidR="00201603" w:rsidRPr="00201603" w:rsidRDefault="00201603">
            <w:pPr>
              <w:rPr>
                <w:rFonts w:ascii="Arial Narrow" w:hAnsi="Arial Narrow"/>
                <w:sz w:val="20"/>
                <w:szCs w:val="20"/>
              </w:rPr>
            </w:pPr>
            <w:r w:rsidRPr="00201603">
              <w:rPr>
                <w:rFonts w:ascii="Arial Narrow" w:hAnsi="Arial Narrow"/>
                <w:sz w:val="20"/>
                <w:szCs w:val="20"/>
              </w:rPr>
              <w:t>Alta cardinalidad sin poder predictivo generalizable</w:t>
            </w:r>
          </w:p>
        </w:tc>
      </w:tr>
    </w:tbl>
    <w:p w14:paraId="5EFFF5F2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226689EC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Impacto en el enfoque</w:t>
      </w:r>
    </w:p>
    <w:p w14:paraId="52C5E98A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Esta gobernanza determinó que las features del pivot directo fueran limitadas, y que el poder predictivo del modelo dependiera principalmente de:</w:t>
      </w:r>
    </w:p>
    <w:p w14:paraId="0D9D45ED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Features históricas construidas desde las tablas de pagos y scores (fuentes limpias).</w:t>
      </w:r>
    </w:p>
    <w:p w14:paraId="65905310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Features del perfil del cliente (snapshot temporal sin riesgo de leakage).</w:t>
      </w:r>
    </w:p>
    <w:p w14:paraId="6CCF6EF7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Variables construidas mediante ingeniería de features.</w:t>
      </w:r>
    </w:p>
    <w:p w14:paraId="6CE0F7FB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4. Análisis Exploratorio (EDA)</w:t>
      </w:r>
    </w:p>
    <w:p w14:paraId="0D965AF0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Con el dataset limpio de 22 features elegibles, se realizó un EDA enfocado en 4 ejes:</w:t>
      </w:r>
    </w:p>
    <w:p w14:paraId="5C2B5B50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4.1 Distribución del target</w:t>
      </w:r>
    </w:p>
    <w:p w14:paraId="065AF9C3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Target: 1 = 39.8%  |  0 = 60.2%</w:t>
      </w:r>
    </w:p>
    <w:p w14:paraId="6B2C5E51" w14:textId="74765554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El desbalance es moderado, lo que permite usar métricas estándar como F1-Score</w:t>
      </w:r>
      <w:r w:rsidR="00AB7E0A">
        <w:rPr>
          <w:rFonts w:ascii="Arial Narrow" w:hAnsi="Arial Narrow"/>
          <w:sz w:val="24"/>
          <w:szCs w:val="24"/>
        </w:rPr>
        <w:t>.</w:t>
      </w:r>
    </w:p>
    <w:p w14:paraId="202B3746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lastRenderedPageBreak/>
        <w:t>4.2 Correlación con la variable respuesta</w:t>
      </w:r>
    </w:p>
    <w:p w14:paraId="34F436FF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calculó la correlación absoluta de todas las features numéricas con el target. Las más correlacionadas fueron:</w:t>
      </w:r>
    </w:p>
    <w:p w14:paraId="17EEA1D1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1. </w:t>
      </w:r>
      <w:r w:rsidRPr="00B131ED">
        <w:rPr>
          <w:rFonts w:ascii="Arial Narrow" w:hAnsi="Arial Narrow"/>
          <w:sz w:val="24"/>
          <w:szCs w:val="24"/>
        </w:rPr>
        <w:t>pct_meses_pagados_6m — frecuencia de pago reciente (Top 1)</w:t>
      </w:r>
    </w:p>
    <w:p w14:paraId="38C285D9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2. </w:t>
      </w:r>
      <w:r w:rsidRPr="00B131ED">
        <w:rPr>
          <w:rFonts w:ascii="Arial Narrow" w:hAnsi="Arial Narrow"/>
          <w:sz w:val="24"/>
          <w:szCs w:val="24"/>
        </w:rPr>
        <w:t>prob_propension — score de propensión del mes anterior</w:t>
      </w:r>
    </w:p>
    <w:p w14:paraId="1995B525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3. </w:t>
      </w:r>
      <w:r w:rsidRPr="00B131ED">
        <w:rPr>
          <w:rFonts w:ascii="Arial Narrow" w:hAnsi="Arial Narrow"/>
          <w:sz w:val="24"/>
          <w:szCs w:val="24"/>
        </w:rPr>
        <w:t>meses_desde_ultimo_pago — recencia de pago</w:t>
      </w:r>
    </w:p>
    <w:p w14:paraId="1F5301B8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4. </w:t>
      </w:r>
      <w:r w:rsidRPr="00B131ED">
        <w:rPr>
          <w:rFonts w:ascii="Arial Narrow" w:hAnsi="Arial Narrow"/>
          <w:sz w:val="24"/>
          <w:szCs w:val="24"/>
        </w:rPr>
        <w:t>cant_alter_posibles — número de opciones de pago disponibles</w:t>
      </w:r>
    </w:p>
    <w:p w14:paraId="4E75A8F0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5. </w:t>
      </w:r>
      <w:r w:rsidRPr="00B131ED">
        <w:rPr>
          <w:rFonts w:ascii="Arial Narrow" w:hAnsi="Arial Narrow"/>
          <w:sz w:val="24"/>
          <w:szCs w:val="24"/>
        </w:rPr>
        <w:t>prob_auto_cura — score de auto-cura del mes anterior</w:t>
      </w:r>
    </w:p>
    <w:p w14:paraId="12DEE8C4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Esto confirmó que el comportamiento histórico de pago es el predictor más fuerte, seguido por los scores analíticos previos.</w:t>
      </w:r>
    </w:p>
    <w:p w14:paraId="0C94580F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4.3 Análisis univariado vs. target</w:t>
      </w:r>
    </w:p>
    <w:p w14:paraId="3202FB69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graficaron las top 4 features limpias contra la tasa de aceptación:</w:t>
      </w:r>
    </w:p>
    <w:p w14:paraId="3773BB52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pct_meses_pagados_6m: relación monotónicamente creciente — a mayor frecuencia de pago, mayor aceptación. Clientes con &gt;67% de meses pagados tienen tasa de aceptación &gt;70%.</w:t>
      </w:r>
    </w:p>
    <w:p w14:paraId="6DE5F9E6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meses_desde_ultimo_pago: relación decreciente — mientras más meses sin pagar, menos probable la aceptación.</w:t>
      </w:r>
    </w:p>
    <w:p w14:paraId="2AB0E6D7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prob_propension: relación creciente consistente con un buen score previo.</w:t>
      </w:r>
    </w:p>
    <w:p w14:paraId="5F948A5D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cant_alter_posibles: relación no lineal — clientes con 1-2 alternativas tienen tasas más altas que aquellos con 0 o con 3+ (posible saturación).</w:t>
      </w:r>
    </w:p>
    <w:p w14:paraId="608CFDD5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4.4 Variables categóricas vs. target</w:t>
      </w:r>
    </w:p>
    <w:p w14:paraId="1BF2AB60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analizaron segm, tipo_cli y region_of:</w:t>
      </w:r>
    </w:p>
    <w:p w14:paraId="47A530EE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Existen segmentos con tasas de aceptación significativamente diferentes, lo que justifica su inclusión como feature.</w:t>
      </w:r>
    </w:p>
    <w:p w14:paraId="2752F700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La región muestra diferencias menores pero consistentes.</w:t>
      </w:r>
    </w:p>
    <w:p w14:paraId="34DA7AFD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4.5 Multicolinealidad</w:t>
      </w:r>
    </w:p>
    <w:p w14:paraId="3CAD1A65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identificaron 3 pares con correlación |r| &gt; 0.7: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3067" w:rsidRPr="00AB7E0A" w14:paraId="0057797B" w14:textId="77777777" w:rsidTr="00AB7E0A">
        <w:tc>
          <w:tcPr>
            <w:tcW w:w="2880" w:type="dxa"/>
          </w:tcPr>
          <w:p w14:paraId="57DA7067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b/>
                <w:sz w:val="20"/>
                <w:szCs w:val="20"/>
              </w:rPr>
              <w:t>Par</w:t>
            </w:r>
          </w:p>
        </w:tc>
        <w:tc>
          <w:tcPr>
            <w:tcW w:w="2880" w:type="dxa"/>
          </w:tcPr>
          <w:p w14:paraId="721705D8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b/>
                <w:sz w:val="20"/>
                <w:szCs w:val="20"/>
              </w:rPr>
              <w:t>r</w:t>
            </w:r>
          </w:p>
        </w:tc>
        <w:tc>
          <w:tcPr>
            <w:tcW w:w="2880" w:type="dxa"/>
          </w:tcPr>
          <w:p w14:paraId="784814EB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b/>
                <w:sz w:val="20"/>
                <w:szCs w:val="20"/>
              </w:rPr>
              <w:t>Acción</w:t>
            </w:r>
          </w:p>
        </w:tc>
      </w:tr>
      <w:tr w:rsidR="007B3067" w:rsidRPr="00AB7E0A" w14:paraId="6A34FFBF" w14:textId="77777777" w:rsidTr="00AB7E0A">
        <w:tc>
          <w:tcPr>
            <w:tcW w:w="2880" w:type="dxa"/>
          </w:tcPr>
          <w:p w14:paraId="36DC0BC5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vlr_obligacion ↔ saldo_capital</w:t>
            </w:r>
          </w:p>
        </w:tc>
        <w:tc>
          <w:tcPr>
            <w:tcW w:w="2880" w:type="dxa"/>
          </w:tcPr>
          <w:p w14:paraId="32BC653A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0.998</w:t>
            </w:r>
          </w:p>
        </w:tc>
        <w:tc>
          <w:tcPr>
            <w:tcW w:w="2880" w:type="dxa"/>
          </w:tcPr>
          <w:p w14:paraId="00843013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Mantener ambas (LightGBM las maneja)</w:t>
            </w:r>
          </w:p>
        </w:tc>
      </w:tr>
      <w:tr w:rsidR="007B3067" w:rsidRPr="00AB7E0A" w14:paraId="0E1C85EB" w14:textId="77777777" w:rsidTr="00AB7E0A">
        <w:tc>
          <w:tcPr>
            <w:tcW w:w="2880" w:type="dxa"/>
          </w:tcPr>
          <w:p w14:paraId="0E444118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prob_auto_cura ↔ prob_alrt_temprana</w:t>
            </w:r>
          </w:p>
        </w:tc>
        <w:tc>
          <w:tcPr>
            <w:tcW w:w="2880" w:type="dxa"/>
          </w:tcPr>
          <w:p w14:paraId="6B81FA93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0.781</w:t>
            </w:r>
          </w:p>
        </w:tc>
        <w:tc>
          <w:tcPr>
            <w:tcW w:w="2880" w:type="dxa"/>
          </w:tcPr>
          <w:p w14:paraId="7476D6D4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Mantener ambas (señales complementarias)</w:t>
            </w:r>
          </w:p>
        </w:tc>
      </w:tr>
      <w:tr w:rsidR="007B3067" w:rsidRPr="00AB7E0A" w14:paraId="535750B8" w14:textId="77777777" w:rsidTr="00AB7E0A">
        <w:tc>
          <w:tcPr>
            <w:tcW w:w="2880" w:type="dxa"/>
          </w:tcPr>
          <w:p w14:paraId="774A486F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tot_activos ↔ tot_patrimonio</w:t>
            </w:r>
          </w:p>
        </w:tc>
        <w:tc>
          <w:tcPr>
            <w:tcW w:w="2880" w:type="dxa"/>
          </w:tcPr>
          <w:p w14:paraId="77C9AFC6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0.712</w:t>
            </w:r>
          </w:p>
        </w:tc>
        <w:tc>
          <w:tcPr>
            <w:tcW w:w="2880" w:type="dxa"/>
          </w:tcPr>
          <w:p w14:paraId="0F693D0A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Se creó ratio tot_pasivos / tot_activos</w:t>
            </w:r>
          </w:p>
        </w:tc>
      </w:tr>
    </w:tbl>
    <w:p w14:paraId="57C08380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0F81AB7B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lastRenderedPageBreak/>
        <w:t>4.6 Distribuciones de variables monetarias</w:t>
      </w:r>
    </w:p>
    <w:p w14:paraId="7C9C4953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Las variables monetarias tienen distribuciones altamente sesgadas. La transformación logarítmica (log1p) reduce la asimetría consistentemente: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3067" w:rsidRPr="00AB7E0A" w14:paraId="0C7F1D49" w14:textId="77777777" w:rsidTr="00AB7E0A">
        <w:tc>
          <w:tcPr>
            <w:tcW w:w="2880" w:type="dxa"/>
          </w:tcPr>
          <w:p w14:paraId="12B5E579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b/>
                <w:sz w:val="20"/>
                <w:szCs w:val="20"/>
              </w:rPr>
              <w:t>Variable</w:t>
            </w:r>
          </w:p>
        </w:tc>
        <w:tc>
          <w:tcPr>
            <w:tcW w:w="2880" w:type="dxa"/>
          </w:tcPr>
          <w:p w14:paraId="67311138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b/>
                <w:sz w:val="20"/>
                <w:szCs w:val="20"/>
              </w:rPr>
              <w:t>Skewness original</w:t>
            </w:r>
          </w:p>
        </w:tc>
        <w:tc>
          <w:tcPr>
            <w:tcW w:w="2880" w:type="dxa"/>
          </w:tcPr>
          <w:p w14:paraId="606E8F5F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b/>
                <w:sz w:val="20"/>
                <w:szCs w:val="20"/>
              </w:rPr>
              <w:t>Skewness log</w:t>
            </w:r>
          </w:p>
        </w:tc>
      </w:tr>
      <w:tr w:rsidR="007B3067" w:rsidRPr="00AB7E0A" w14:paraId="1C2DEF54" w14:textId="77777777" w:rsidTr="00AB7E0A">
        <w:tc>
          <w:tcPr>
            <w:tcW w:w="2880" w:type="dxa"/>
          </w:tcPr>
          <w:p w14:paraId="039330F8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vlr_obligacion</w:t>
            </w:r>
          </w:p>
        </w:tc>
        <w:tc>
          <w:tcPr>
            <w:tcW w:w="2880" w:type="dxa"/>
          </w:tcPr>
          <w:p w14:paraId="40CA5D74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&gt;5</w:t>
            </w:r>
          </w:p>
        </w:tc>
        <w:tc>
          <w:tcPr>
            <w:tcW w:w="2880" w:type="dxa"/>
          </w:tcPr>
          <w:p w14:paraId="2E70104C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~0.8</w:t>
            </w:r>
          </w:p>
        </w:tc>
      </w:tr>
      <w:tr w:rsidR="007B3067" w:rsidRPr="00AB7E0A" w14:paraId="70A45C3F" w14:textId="77777777" w:rsidTr="00AB7E0A">
        <w:tc>
          <w:tcPr>
            <w:tcW w:w="2880" w:type="dxa"/>
          </w:tcPr>
          <w:p w14:paraId="29433A71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vlr_vencido</w:t>
            </w:r>
          </w:p>
        </w:tc>
        <w:tc>
          <w:tcPr>
            <w:tcW w:w="2880" w:type="dxa"/>
          </w:tcPr>
          <w:p w14:paraId="1325BB20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&gt;5</w:t>
            </w:r>
          </w:p>
        </w:tc>
        <w:tc>
          <w:tcPr>
            <w:tcW w:w="2880" w:type="dxa"/>
          </w:tcPr>
          <w:p w14:paraId="29886556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~0.6</w:t>
            </w:r>
          </w:p>
        </w:tc>
      </w:tr>
      <w:tr w:rsidR="007B3067" w:rsidRPr="00AB7E0A" w14:paraId="5A7746E4" w14:textId="77777777" w:rsidTr="00AB7E0A">
        <w:tc>
          <w:tcPr>
            <w:tcW w:w="2880" w:type="dxa"/>
          </w:tcPr>
          <w:p w14:paraId="6C73CC14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total_ing</w:t>
            </w:r>
          </w:p>
        </w:tc>
        <w:tc>
          <w:tcPr>
            <w:tcW w:w="2880" w:type="dxa"/>
          </w:tcPr>
          <w:p w14:paraId="31690A63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&gt;4</w:t>
            </w:r>
          </w:p>
        </w:tc>
        <w:tc>
          <w:tcPr>
            <w:tcW w:w="2880" w:type="dxa"/>
          </w:tcPr>
          <w:p w14:paraId="25C039D4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~0.5</w:t>
            </w:r>
          </w:p>
        </w:tc>
      </w:tr>
      <w:tr w:rsidR="007B3067" w:rsidRPr="00AB7E0A" w14:paraId="74AB56A7" w14:textId="77777777" w:rsidTr="00AB7E0A">
        <w:tc>
          <w:tcPr>
            <w:tcW w:w="2880" w:type="dxa"/>
          </w:tcPr>
          <w:p w14:paraId="2CE7809B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endeudamiento</w:t>
            </w:r>
          </w:p>
        </w:tc>
        <w:tc>
          <w:tcPr>
            <w:tcW w:w="2880" w:type="dxa"/>
          </w:tcPr>
          <w:p w14:paraId="483D83BD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&gt;5</w:t>
            </w:r>
          </w:p>
        </w:tc>
        <w:tc>
          <w:tcPr>
            <w:tcW w:w="2880" w:type="dxa"/>
          </w:tcPr>
          <w:p w14:paraId="7AF3C3CC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~0.9</w:t>
            </w:r>
          </w:p>
        </w:tc>
      </w:tr>
    </w:tbl>
    <w:p w14:paraId="6C283415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5D630DBA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decidió incluir ambas versiones (original y log-transform) como features y dejar que el modelo seleccione las más útiles.</w:t>
      </w:r>
    </w:p>
    <w:p w14:paraId="3C127B67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 Ingeniería de Variables</w:t>
      </w:r>
    </w:p>
    <w:p w14:paraId="2C14E84C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construyeron features adicionales agrupadas en 12 categorías, diseñadas para capturar relaciones no lineales e interacciones que los árboles de decisión pueden explotar.</w:t>
      </w:r>
    </w:p>
    <w:p w14:paraId="39208932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5.1 Features históricas de pagos</w:t>
      </w:r>
    </w:p>
    <w:p w14:paraId="303C17FC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Para cada observación, se agregaron los pagos de todos los meses previos al mes objetivo (sin leakage):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3067" w:rsidRPr="00AB7E0A" w14:paraId="54DC9709" w14:textId="77777777" w:rsidTr="00AB7E0A">
        <w:tc>
          <w:tcPr>
            <w:tcW w:w="4320" w:type="dxa"/>
          </w:tcPr>
          <w:p w14:paraId="0C70E9B4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b/>
                <w:sz w:val="20"/>
                <w:szCs w:val="20"/>
              </w:rPr>
              <w:t>Feature</w:t>
            </w:r>
          </w:p>
        </w:tc>
        <w:tc>
          <w:tcPr>
            <w:tcW w:w="4320" w:type="dxa"/>
          </w:tcPr>
          <w:p w14:paraId="62C258FC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b/>
                <w:sz w:val="20"/>
                <w:szCs w:val="20"/>
              </w:rPr>
              <w:t>Lógica</w:t>
            </w:r>
          </w:p>
        </w:tc>
      </w:tr>
      <w:tr w:rsidR="007B3067" w:rsidRPr="00AB7E0A" w14:paraId="605962FE" w14:textId="77777777" w:rsidTr="00AB7E0A">
        <w:tc>
          <w:tcPr>
            <w:tcW w:w="4320" w:type="dxa"/>
          </w:tcPr>
          <w:p w14:paraId="2D9B05CB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hist_n_periodos</w:t>
            </w:r>
          </w:p>
        </w:tc>
        <w:tc>
          <w:tcPr>
            <w:tcW w:w="4320" w:type="dxa"/>
          </w:tcPr>
          <w:p w14:paraId="2F3A0833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Cantidad de meses con historial de pago</w:t>
            </w:r>
          </w:p>
        </w:tc>
      </w:tr>
      <w:tr w:rsidR="007B3067" w:rsidRPr="00AB7E0A" w14:paraId="42F59250" w14:textId="77777777" w:rsidTr="00AB7E0A">
        <w:tc>
          <w:tcPr>
            <w:tcW w:w="4320" w:type="dxa"/>
          </w:tcPr>
          <w:p w14:paraId="60379BA3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hist_porc_pago_med / mean / std</w:t>
            </w:r>
          </w:p>
        </w:tc>
        <w:tc>
          <w:tcPr>
            <w:tcW w:w="4320" w:type="dxa"/>
          </w:tcPr>
          <w:p w14:paraId="505AB599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Mediana, media y desviación del % de pago</w:t>
            </w:r>
          </w:p>
        </w:tc>
      </w:tr>
      <w:tr w:rsidR="007B3067" w:rsidRPr="00AB7E0A" w14:paraId="2BEAA07A" w14:textId="77777777" w:rsidTr="00AB7E0A">
        <w:tc>
          <w:tcPr>
            <w:tcW w:w="4320" w:type="dxa"/>
          </w:tcPr>
          <w:p w14:paraId="61FAD7D5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hist_prop_pago_comp</w:t>
            </w:r>
          </w:p>
        </w:tc>
        <w:tc>
          <w:tcPr>
            <w:tcW w:w="4320" w:type="dxa"/>
          </w:tcPr>
          <w:p w14:paraId="6F36FF3C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Proporción de meses con pago completo (≥100%)</w:t>
            </w:r>
          </w:p>
        </w:tc>
      </w:tr>
      <w:tr w:rsidR="007B3067" w:rsidRPr="00AB7E0A" w14:paraId="1B742F2F" w14:textId="77777777" w:rsidTr="00AB7E0A">
        <w:tc>
          <w:tcPr>
            <w:tcW w:w="4320" w:type="dxa"/>
          </w:tcPr>
          <w:p w14:paraId="631B2F93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hist_pago_total_med</w:t>
            </w:r>
          </w:p>
        </w:tc>
        <w:tc>
          <w:tcPr>
            <w:tcW w:w="4320" w:type="dxa"/>
          </w:tcPr>
          <w:p w14:paraId="24FD10A4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Mediana del monto total pagado</w:t>
            </w:r>
          </w:p>
        </w:tc>
      </w:tr>
      <w:tr w:rsidR="007B3067" w:rsidRPr="00AB7E0A" w14:paraId="5FFB802A" w14:textId="77777777" w:rsidTr="00AB7E0A">
        <w:tc>
          <w:tcPr>
            <w:tcW w:w="4320" w:type="dxa"/>
          </w:tcPr>
          <w:p w14:paraId="5342DC1D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hist_pago_ultimos3</w:t>
            </w:r>
          </w:p>
        </w:tc>
        <w:tc>
          <w:tcPr>
            <w:tcW w:w="4320" w:type="dxa"/>
          </w:tcPr>
          <w:p w14:paraId="47032DA9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Promedio de los 3 pagos más recientes</w:t>
            </w:r>
          </w:p>
        </w:tc>
      </w:tr>
    </w:tbl>
    <w:p w14:paraId="4E70A7F2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52E7BCD7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5.2 Features históricas de scores</w:t>
      </w:r>
    </w:p>
    <w:p w14:paraId="1F445A5A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Para cada observación, se promedió el score de los 3 meses anteriores (M-3 a M-1):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3067" w:rsidRPr="00AB7E0A" w14:paraId="040F1799" w14:textId="77777777" w:rsidTr="00AB7E0A">
        <w:tc>
          <w:tcPr>
            <w:tcW w:w="4320" w:type="dxa"/>
          </w:tcPr>
          <w:p w14:paraId="1C4AE4CC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b/>
                <w:sz w:val="20"/>
                <w:szCs w:val="20"/>
              </w:rPr>
              <w:t>Feature</w:t>
            </w:r>
          </w:p>
        </w:tc>
        <w:tc>
          <w:tcPr>
            <w:tcW w:w="4320" w:type="dxa"/>
          </w:tcPr>
          <w:p w14:paraId="00381F22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b/>
                <w:sz w:val="20"/>
                <w:szCs w:val="20"/>
              </w:rPr>
              <w:t>Lógica</w:t>
            </w:r>
          </w:p>
        </w:tc>
      </w:tr>
      <w:tr w:rsidR="007B3067" w:rsidRPr="00AB7E0A" w14:paraId="5AD22AB1" w14:textId="77777777" w:rsidTr="00AB7E0A">
        <w:tc>
          <w:tcPr>
            <w:tcW w:w="4320" w:type="dxa"/>
          </w:tcPr>
          <w:p w14:paraId="5208FD8F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score_prop_hist_mean / std</w:t>
            </w:r>
          </w:p>
        </w:tc>
        <w:tc>
          <w:tcPr>
            <w:tcW w:w="4320" w:type="dxa"/>
          </w:tcPr>
          <w:p w14:paraId="3DF428E8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Media y desviación del score de propensión</w:t>
            </w:r>
          </w:p>
        </w:tc>
      </w:tr>
      <w:tr w:rsidR="007B3067" w:rsidRPr="00AB7E0A" w14:paraId="72CC4E92" w14:textId="77777777" w:rsidTr="00AB7E0A">
        <w:tc>
          <w:tcPr>
            <w:tcW w:w="4320" w:type="dxa"/>
          </w:tcPr>
          <w:p w14:paraId="4BBC9D0B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score_autocura_mean</w:t>
            </w:r>
          </w:p>
        </w:tc>
        <w:tc>
          <w:tcPr>
            <w:tcW w:w="4320" w:type="dxa"/>
          </w:tcPr>
          <w:p w14:paraId="1DE1998C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Media del score de auto-cura</w:t>
            </w:r>
          </w:p>
        </w:tc>
      </w:tr>
      <w:tr w:rsidR="007B3067" w:rsidRPr="00AB7E0A" w14:paraId="1F5EBAB2" w14:textId="77777777" w:rsidTr="00AB7E0A">
        <w:tc>
          <w:tcPr>
            <w:tcW w:w="4320" w:type="dxa"/>
          </w:tcPr>
          <w:p w14:paraId="22EF3884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score_alrt_mean</w:t>
            </w:r>
          </w:p>
        </w:tc>
        <w:tc>
          <w:tcPr>
            <w:tcW w:w="4320" w:type="dxa"/>
          </w:tcPr>
          <w:p w14:paraId="4E57F4FF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Media del score de alerta temprana</w:t>
            </w:r>
          </w:p>
        </w:tc>
      </w:tr>
      <w:tr w:rsidR="007B3067" w:rsidRPr="00AB7E0A" w14:paraId="7A5212CF" w14:textId="77777777" w:rsidTr="00AB7E0A">
        <w:tc>
          <w:tcPr>
            <w:tcW w:w="4320" w:type="dxa"/>
          </w:tcPr>
          <w:p w14:paraId="102D1343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score_hist_n</w:t>
            </w:r>
          </w:p>
        </w:tc>
        <w:tc>
          <w:tcPr>
            <w:tcW w:w="4320" w:type="dxa"/>
          </w:tcPr>
          <w:p w14:paraId="2C48A797" w14:textId="77777777" w:rsidR="007B3067" w:rsidRPr="00AB7E0A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B7E0A">
              <w:rPr>
                <w:rFonts w:ascii="Arial Narrow" w:hAnsi="Arial Narrow"/>
                <w:sz w:val="20"/>
                <w:szCs w:val="20"/>
              </w:rPr>
              <w:t>Número de meses con score disponible</w:t>
            </w:r>
          </w:p>
        </w:tc>
      </w:tr>
    </w:tbl>
    <w:p w14:paraId="39A88FED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12A65356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5.3 Transformaciones logarítmicas</w:t>
      </w:r>
    </w:p>
    <w:p w14:paraId="11D7D4B9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log_vlr_obligacion, log_vlr_vencido, log_total_ing,</w:t>
      </w:r>
    </w:p>
    <w:p w14:paraId="200885D1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lastRenderedPageBreak/>
        <w:t>log_endeudamiento, log_egresos_mes, log_saldo_capital</w:t>
      </w:r>
    </w:p>
    <w:p w14:paraId="020256C8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5.4 Ratios financieros</w:t>
      </w:r>
    </w:p>
    <w:p w14:paraId="2EC7DE72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ratio_vencido         = vlr_vencido / (vlr_obligacion + 1)</w:t>
      </w:r>
    </w:p>
    <w:p w14:paraId="44AD8033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ratio_pasivos_activos = tot_pasivos / (tot_activos + 1)</w:t>
      </w:r>
    </w:p>
    <w:p w14:paraId="4F1C0BA1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ratio_vencido_endeu   = vlr_vencido / (endeudamiento + 1)</w:t>
      </w:r>
    </w:p>
    <w:p w14:paraId="01F6F6EF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ratio_pasivos_ing     = tot_pasivos / (total_ing + 1)     # clip(0,100)</w:t>
      </w:r>
    </w:p>
    <w:p w14:paraId="7A6BE153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ratio_egr_ing         = egresos_mes / (total_ing + 1)</w:t>
      </w:r>
    </w:p>
    <w:p w14:paraId="17B01755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ratio_saldo_oblig     = saldo_capital / (vlr_obligacion + 1)</w:t>
      </w:r>
    </w:p>
    <w:p w14:paraId="597BCAC1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5.5 Capacidad de pago</w:t>
      </w:r>
    </w:p>
    <w:p w14:paraId="7D1E34C3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capacidad_pago          = total_ing - egresos_mes</w:t>
      </w:r>
    </w:p>
    <w:p w14:paraId="0ADB1734" w14:textId="1222BCFE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cobertura_deuda_ingreso = capacidad_pago / vlr_vencido</w:t>
      </w:r>
    </w:p>
    <w:p w14:paraId="3A77A3C3" w14:textId="1AA5ED54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</w:t>
      </w:r>
      <w:r w:rsidR="00A26129">
        <w:rPr>
          <w:rFonts w:ascii="Arial Narrow" w:hAnsi="Arial Narrow"/>
          <w:sz w:val="24"/>
          <w:szCs w:val="24"/>
        </w:rPr>
        <w:t>6</w:t>
      </w:r>
      <w:r w:rsidRPr="00B131ED">
        <w:rPr>
          <w:rFonts w:ascii="Arial Narrow" w:hAnsi="Arial Narrow"/>
          <w:sz w:val="24"/>
          <w:szCs w:val="24"/>
        </w:rPr>
        <w:t xml:space="preserve"> Interacciones score × comportamiento</w:t>
      </w:r>
    </w:p>
    <w:p w14:paraId="1AD2536C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pago_x_propension  = pct_meses_pagados_6m × prob_propension</w:t>
      </w:r>
    </w:p>
    <w:p w14:paraId="11D71913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autocura_x_pago    = prob_auto_cura × pct_meses_pagados_6m</w:t>
      </w:r>
    </w:p>
    <w:p w14:paraId="03E9A248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score_combinado    = promedio(prob_propension, prob_alrt_temprana, prob_auto_cura)</w:t>
      </w:r>
    </w:p>
    <w:p w14:paraId="3503565C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alrt_x_endeu       = prob_alrt_temprana × log(endeudamiento)</w:t>
      </w:r>
    </w:p>
    <w:p w14:paraId="5C14D5B8" w14:textId="73D757AD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</w:t>
      </w:r>
      <w:r w:rsidR="00A26129">
        <w:rPr>
          <w:rFonts w:ascii="Arial Narrow" w:hAnsi="Arial Narrow"/>
          <w:sz w:val="24"/>
          <w:szCs w:val="24"/>
        </w:rPr>
        <w:t>7</w:t>
      </w:r>
      <w:r w:rsidRPr="00B131ED">
        <w:rPr>
          <w:rFonts w:ascii="Arial Narrow" w:hAnsi="Arial Narrow"/>
          <w:sz w:val="24"/>
          <w:szCs w:val="24"/>
        </w:rPr>
        <w:t xml:space="preserve"> Calidad del pago histórico</w:t>
      </w:r>
    </w:p>
    <w:p w14:paraId="2657ECEE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fe_calidad_pago     = hist_porc_pago_mean × hist_prop_pago_comp</w:t>
      </w:r>
    </w:p>
    <w:p w14:paraId="16292E52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fe_pago_consistency = 1 - hist_porc_pago_std</w:t>
      </w:r>
    </w:p>
    <w:p w14:paraId="44E2BAAF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fe_brecha_pago_score = hist_porc_pago_mean - prob_propension</w:t>
      </w:r>
    </w:p>
    <w:p w14:paraId="49209C92" w14:textId="71E8D4FB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</w:t>
      </w:r>
      <w:r w:rsidR="00A26129">
        <w:rPr>
          <w:rFonts w:ascii="Arial Narrow" w:hAnsi="Arial Narrow"/>
          <w:sz w:val="24"/>
          <w:szCs w:val="24"/>
        </w:rPr>
        <w:t>8</w:t>
      </w:r>
      <w:r w:rsidRPr="00B131ED">
        <w:rPr>
          <w:rFonts w:ascii="Arial Narrow" w:hAnsi="Arial Narrow"/>
          <w:sz w:val="24"/>
          <w:szCs w:val="24"/>
        </w:rPr>
        <w:t xml:space="preserve"> Tendencia de scores</w:t>
      </w:r>
    </w:p>
    <w:p w14:paraId="03237472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fe_propension_trend = prob_propension - score_prop_hist_mean   # mejora/deterioro</w:t>
      </w:r>
    </w:p>
    <w:p w14:paraId="0236E002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fe_autocura_trend   = prob_auto_cura - score_autocura_mean</w:t>
      </w:r>
    </w:p>
    <w:p w14:paraId="0E3C4EC0" w14:textId="6F74874F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5.</w:t>
      </w:r>
      <w:r w:rsidR="00A26129">
        <w:rPr>
          <w:rFonts w:ascii="Arial Narrow" w:hAnsi="Arial Narrow"/>
          <w:sz w:val="24"/>
          <w:szCs w:val="24"/>
        </w:rPr>
        <w:t>9</w:t>
      </w:r>
      <w:r w:rsidRPr="00B131ED">
        <w:rPr>
          <w:rFonts w:ascii="Arial Narrow" w:hAnsi="Arial Narrow"/>
          <w:sz w:val="24"/>
          <w:szCs w:val="24"/>
        </w:rPr>
        <w:t xml:space="preserve"> Flags de elegibilidad y temporales</w:t>
      </w:r>
    </w:p>
    <w:p w14:paraId="3AA5D1B2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tiene_alternativa = (cant_alter_posibles &gt; 0)</w:t>
      </w:r>
    </w:p>
    <w:p w14:paraId="066A637E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alter_agotadas    = (cant_alter_posibles == 3)</w:t>
      </w:r>
    </w:p>
    <w:p w14:paraId="3A778129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fe_mes, fe_trimestre, fe_fin_anio, fe_inicio_anio</w:t>
      </w:r>
    </w:p>
    <w:p w14:paraId="15A2D811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edad_bin          # buckets: 18-25, 26-35, 36-45, 46-55, 56-65, 65+</w:t>
      </w:r>
    </w:p>
    <w:p w14:paraId="43317032" w14:textId="77777777" w:rsidR="00A26129" w:rsidRDefault="00A26129">
      <w:pPr>
        <w:pStyle w:val="Ttulo1"/>
        <w:rPr>
          <w:rFonts w:ascii="Arial Narrow" w:eastAsiaTheme="minorEastAsia" w:hAnsi="Arial Narrow" w:cstheme="minorBidi"/>
          <w:bCs w:val="0"/>
          <w:color w:val="auto"/>
          <w:sz w:val="24"/>
          <w:szCs w:val="24"/>
        </w:rPr>
      </w:pPr>
      <w:r w:rsidRPr="00A26129">
        <w:rPr>
          <w:rFonts w:ascii="Arial Narrow" w:eastAsiaTheme="minorEastAsia" w:hAnsi="Arial Narrow" w:cstheme="minorBidi"/>
          <w:bCs w:val="0"/>
          <w:color w:val="auto"/>
          <w:sz w:val="24"/>
          <w:szCs w:val="24"/>
        </w:rPr>
        <w:lastRenderedPageBreak/>
        <w:t>Total de features finales: ~62 (23 base + ~39 construidas)</w:t>
      </w:r>
    </w:p>
    <w:p w14:paraId="10B69AD8" w14:textId="0F90DB15" w:rsidR="007B3067" w:rsidRPr="00B131ED" w:rsidRDefault="00000000" w:rsidP="00A26129">
      <w:pPr>
        <w:pStyle w:val="Ttulo1"/>
        <w:ind w:left="720" w:hanging="720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6. Preparación de Datos para Modelado</w:t>
      </w:r>
    </w:p>
    <w:p w14:paraId="485F0C56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6.1 Ensamble final</w:t>
      </w:r>
    </w:p>
    <w:p w14:paraId="01691E1B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consolidó un dataset limpio con la siguiente estructura:</w:t>
      </w:r>
    </w:p>
    <w:p w14:paraId="38B4A3A3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Train: observaciones con variable objetivo (var_rpta_alt)</w:t>
      </w:r>
    </w:p>
    <w:p w14:paraId="04F6760B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OOT: observaciones sin etiqueta (enero 2024)</w:t>
      </w:r>
    </w:p>
    <w:p w14:paraId="7E1B2A0E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Ambos datasets comparten exactamente las mismas columnas de features.</w:t>
      </w:r>
    </w:p>
    <w:p w14:paraId="732965C7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6.2 Imputación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3067" w:rsidRPr="00E55D62" w14:paraId="5750FA31" w14:textId="77777777" w:rsidTr="00E55D62">
        <w:tc>
          <w:tcPr>
            <w:tcW w:w="4320" w:type="dxa"/>
          </w:tcPr>
          <w:p w14:paraId="16326587" w14:textId="77777777" w:rsidR="007B3067" w:rsidRPr="00E55D62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b/>
                <w:sz w:val="20"/>
                <w:szCs w:val="20"/>
              </w:rPr>
              <w:t>Tipo</w:t>
            </w:r>
          </w:p>
        </w:tc>
        <w:tc>
          <w:tcPr>
            <w:tcW w:w="4320" w:type="dxa"/>
          </w:tcPr>
          <w:p w14:paraId="266DA49E" w14:textId="77777777" w:rsidR="007B3067" w:rsidRPr="00E55D62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b/>
                <w:sz w:val="20"/>
                <w:szCs w:val="20"/>
              </w:rPr>
              <w:t>Estrategia</w:t>
            </w:r>
          </w:p>
        </w:tc>
      </w:tr>
      <w:tr w:rsidR="007B3067" w:rsidRPr="00E55D62" w14:paraId="08DB4260" w14:textId="77777777" w:rsidTr="00E55D62">
        <w:tc>
          <w:tcPr>
            <w:tcW w:w="4320" w:type="dxa"/>
          </w:tcPr>
          <w:p w14:paraId="589B1DDD" w14:textId="77777777" w:rsidR="007B3067" w:rsidRPr="00E55D62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Numéricas</w:t>
            </w:r>
          </w:p>
        </w:tc>
        <w:tc>
          <w:tcPr>
            <w:tcW w:w="4320" w:type="dxa"/>
          </w:tcPr>
          <w:p w14:paraId="51D58EFC" w14:textId="77777777" w:rsidR="007B3067" w:rsidRPr="00E55D62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Mediana del conjunto de entrenamiento</w:t>
            </w:r>
          </w:p>
        </w:tc>
      </w:tr>
      <w:tr w:rsidR="007B3067" w:rsidRPr="00E55D62" w14:paraId="54D23D16" w14:textId="77777777" w:rsidTr="00E55D62">
        <w:tc>
          <w:tcPr>
            <w:tcW w:w="4320" w:type="dxa"/>
          </w:tcPr>
          <w:p w14:paraId="5E8E14C5" w14:textId="77777777" w:rsidR="007B3067" w:rsidRPr="00E55D62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Categóricas</w:t>
            </w:r>
          </w:p>
        </w:tc>
        <w:tc>
          <w:tcPr>
            <w:tcW w:w="4320" w:type="dxa"/>
          </w:tcPr>
          <w:p w14:paraId="0BBFB6BE" w14:textId="77777777" w:rsidR="007B3067" w:rsidRPr="00E55D62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Valor "DESCONOCIDO"</w:t>
            </w:r>
          </w:p>
        </w:tc>
      </w:tr>
      <w:tr w:rsidR="007B3067" w:rsidRPr="00E55D62" w14:paraId="61A09BCE" w14:textId="77777777" w:rsidTr="00E55D62">
        <w:tc>
          <w:tcPr>
            <w:tcW w:w="4320" w:type="dxa"/>
          </w:tcPr>
          <w:p w14:paraId="207E5953" w14:textId="77777777" w:rsidR="007B3067" w:rsidRPr="00E55D62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Infinitos</w:t>
            </w:r>
          </w:p>
        </w:tc>
        <w:tc>
          <w:tcPr>
            <w:tcW w:w="4320" w:type="dxa"/>
          </w:tcPr>
          <w:p w14:paraId="2A3580F2" w14:textId="77777777" w:rsidR="007B3067" w:rsidRPr="00E55D62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Reemplazar por NaN y luego imputar con mediana</w:t>
            </w:r>
          </w:p>
        </w:tc>
      </w:tr>
      <w:tr w:rsidR="007B3067" w:rsidRPr="00E55D62" w14:paraId="75E1F318" w14:textId="77777777" w:rsidTr="00E55D62">
        <w:tc>
          <w:tcPr>
            <w:tcW w:w="4320" w:type="dxa"/>
          </w:tcPr>
          <w:p w14:paraId="69860A25" w14:textId="77777777" w:rsidR="007B3067" w:rsidRPr="00E55D62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Recencia negativa</w:t>
            </w:r>
          </w:p>
        </w:tc>
        <w:tc>
          <w:tcPr>
            <w:tcW w:w="4320" w:type="dxa"/>
          </w:tcPr>
          <w:p w14:paraId="56402540" w14:textId="77777777" w:rsidR="007B3067" w:rsidRPr="00E55D62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clip(lower=0)</w:t>
            </w:r>
          </w:p>
        </w:tc>
      </w:tr>
    </w:tbl>
    <w:p w14:paraId="7837E0AB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12B2F131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6.3 Encoding de categóricas</w:t>
      </w:r>
    </w:p>
    <w:p w14:paraId="75DB9C05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usó Label Encoding con manejo de categorías nuevas en OOT:</w:t>
      </w:r>
    </w:p>
    <w:p w14:paraId="04FD6701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# Si la categoría no se vio en train → "MISSING"</w:t>
      </w:r>
    </w:p>
    <w:p w14:paraId="08653628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X_oot[col] = X_oot[col].apply(lambda x: x if x in known_classes else "MISSING")</w:t>
      </w:r>
    </w:p>
    <w:p w14:paraId="2DDB5720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6.4 Validaciones</w:t>
      </w:r>
    </w:p>
    <w:p w14:paraId="52AA421D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verificaron 4 condiciones antes de pasar a modelado:</w:t>
      </w:r>
    </w:p>
    <w:p w14:paraId="68B7240E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1. </w:t>
      </w:r>
      <w:r w:rsidRPr="00B131ED">
        <w:rPr>
          <w:rFonts w:ascii="Arial Narrow" w:hAnsi="Arial Narrow"/>
          <w:sz w:val="24"/>
          <w:szCs w:val="24"/>
        </w:rPr>
        <w:t>Cero columnas de tipo object en ambos DataFrames.</w:t>
      </w:r>
    </w:p>
    <w:p w14:paraId="54EF1EE7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2. </w:t>
      </w:r>
      <w:r w:rsidRPr="00B131ED">
        <w:rPr>
          <w:rFonts w:ascii="Arial Narrow" w:hAnsi="Arial Narrow"/>
          <w:sz w:val="24"/>
          <w:szCs w:val="24"/>
        </w:rPr>
        <w:t>Cero valores nulos en ambos DataFrames.</w:t>
      </w:r>
    </w:p>
    <w:p w14:paraId="74815A62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3. </w:t>
      </w:r>
      <w:r w:rsidRPr="00B131ED">
        <w:rPr>
          <w:rFonts w:ascii="Arial Narrow" w:hAnsi="Arial Narrow"/>
          <w:sz w:val="24"/>
          <w:szCs w:val="24"/>
        </w:rPr>
        <w:t>Columnas de train y OOT son idénticas en nombre y orden.</w:t>
      </w:r>
    </w:p>
    <w:p w14:paraId="217552F8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4. </w:t>
      </w:r>
      <w:r w:rsidRPr="00B131ED">
        <w:rPr>
          <w:rFonts w:ascii="Arial Narrow" w:hAnsi="Arial Narrow"/>
          <w:sz w:val="24"/>
          <w:szCs w:val="24"/>
        </w:rPr>
        <w:t>Todos los dtypes son float.</w:t>
      </w:r>
    </w:p>
    <w:p w14:paraId="2CFCC731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7. Entrenamiento y Competición de Modelos</w:t>
      </w:r>
    </w:p>
    <w:p w14:paraId="78726722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7.1 Split temporal</w:t>
      </w:r>
    </w:p>
    <w:p w14:paraId="57EB765E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utilizó una separación temporal (no aleatoria) para evitar data leakage:</w:t>
      </w:r>
    </w:p>
    <w:p w14:paraId="7F28C717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Train: meses hasta el percentil 80 de las fechas (~80% de los datos).</w:t>
      </w:r>
    </w:p>
    <w:p w14:paraId="5A6AC07B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Validación: meses posteriores al percentil 80 (~20%).</w:t>
      </w:r>
    </w:p>
    <w:p w14:paraId="4C6703BA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Esto simula el escenario productivo: el modelo se entrena con datos del pasado y predice el futuro.</w:t>
      </w:r>
    </w:p>
    <w:p w14:paraId="2706D6A1" w14:textId="77777777" w:rsidR="007B3067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lastRenderedPageBreak/>
        <w:t>7.2 Modelos evaluados</w:t>
      </w:r>
    </w:p>
    <w:p w14:paraId="3B1C4776" w14:textId="77777777" w:rsidR="00E55D62" w:rsidRPr="00E55D62" w:rsidRDefault="00E55D62" w:rsidP="00E55D62"/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E55D62" w:rsidRPr="00E55D62" w14:paraId="7A84870B" w14:textId="77777777" w:rsidTr="00E55D62">
        <w:tc>
          <w:tcPr>
            <w:tcW w:w="2880" w:type="dxa"/>
          </w:tcPr>
          <w:p w14:paraId="4C64B315" w14:textId="77777777" w:rsidR="00E55D62" w:rsidRPr="00E55D62" w:rsidRDefault="00E55D62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b/>
                <w:sz w:val="20"/>
                <w:szCs w:val="20"/>
              </w:rPr>
              <w:t>Modelo</w:t>
            </w:r>
          </w:p>
        </w:tc>
        <w:tc>
          <w:tcPr>
            <w:tcW w:w="2880" w:type="dxa"/>
          </w:tcPr>
          <w:p w14:paraId="306A567B" w14:textId="77777777" w:rsidR="00E55D62" w:rsidRPr="00E55D62" w:rsidRDefault="00E55D62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b/>
                <w:sz w:val="20"/>
                <w:szCs w:val="20"/>
              </w:rPr>
              <w:t>Notas</w:t>
            </w:r>
          </w:p>
        </w:tc>
      </w:tr>
      <w:tr w:rsidR="00E55D62" w:rsidRPr="00E55D62" w14:paraId="39125992" w14:textId="77777777" w:rsidTr="00E55D62">
        <w:tc>
          <w:tcPr>
            <w:tcW w:w="2880" w:type="dxa"/>
          </w:tcPr>
          <w:p w14:paraId="493DB372" w14:textId="77777777" w:rsidR="00E55D62" w:rsidRPr="00E55D62" w:rsidRDefault="00E55D62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Logistic Regression</w:t>
            </w:r>
          </w:p>
        </w:tc>
        <w:tc>
          <w:tcPr>
            <w:tcW w:w="2880" w:type="dxa"/>
          </w:tcPr>
          <w:p w14:paraId="03679D83" w14:textId="77777777" w:rsidR="00E55D62" w:rsidRPr="00E55D62" w:rsidRDefault="00E55D62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Baseline lineal. StandardScaler previo.</w:t>
            </w:r>
          </w:p>
        </w:tc>
      </w:tr>
      <w:tr w:rsidR="00E55D62" w:rsidRPr="00E55D62" w14:paraId="7119776F" w14:textId="77777777" w:rsidTr="00E55D62">
        <w:tc>
          <w:tcPr>
            <w:tcW w:w="2880" w:type="dxa"/>
          </w:tcPr>
          <w:p w14:paraId="10030B9C" w14:textId="77777777" w:rsidR="00E55D62" w:rsidRPr="00E55D62" w:rsidRDefault="00E55D62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Random Forest</w:t>
            </w:r>
          </w:p>
        </w:tc>
        <w:tc>
          <w:tcPr>
            <w:tcW w:w="2880" w:type="dxa"/>
          </w:tcPr>
          <w:p w14:paraId="5B268DC4" w14:textId="77777777" w:rsidR="00E55D62" w:rsidRPr="00E55D62" w:rsidRDefault="00E55D62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Baseline de ensamble de árboles.</w:t>
            </w:r>
          </w:p>
        </w:tc>
      </w:tr>
      <w:tr w:rsidR="00E55D62" w:rsidRPr="00E55D62" w14:paraId="3BA91CE6" w14:textId="77777777" w:rsidTr="00E55D62">
        <w:tc>
          <w:tcPr>
            <w:tcW w:w="2880" w:type="dxa"/>
          </w:tcPr>
          <w:p w14:paraId="7907D85A" w14:textId="77777777" w:rsidR="00E55D62" w:rsidRPr="00E55D62" w:rsidRDefault="00E55D62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LightGBM</w:t>
            </w:r>
          </w:p>
        </w:tc>
        <w:tc>
          <w:tcPr>
            <w:tcW w:w="2880" w:type="dxa"/>
          </w:tcPr>
          <w:p w14:paraId="5D525C3B" w14:textId="77777777" w:rsidR="00E55D62" w:rsidRPr="00E55D62" w:rsidRDefault="00E55D62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Candidato principal. Hiperparámetros orientados a generalización.</w:t>
            </w:r>
          </w:p>
        </w:tc>
      </w:tr>
      <w:tr w:rsidR="00E55D62" w:rsidRPr="00E55D62" w14:paraId="1AC82A01" w14:textId="77777777" w:rsidTr="00E55D62">
        <w:tc>
          <w:tcPr>
            <w:tcW w:w="2880" w:type="dxa"/>
          </w:tcPr>
          <w:p w14:paraId="61C678BF" w14:textId="77777777" w:rsidR="00E55D62" w:rsidRPr="00E55D62" w:rsidRDefault="00E55D62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XGBoost</w:t>
            </w:r>
          </w:p>
        </w:tc>
        <w:tc>
          <w:tcPr>
            <w:tcW w:w="2880" w:type="dxa"/>
          </w:tcPr>
          <w:p w14:paraId="778DECF3" w14:textId="77777777" w:rsidR="00E55D62" w:rsidRPr="00E55D62" w:rsidRDefault="00E55D62">
            <w:pPr>
              <w:rPr>
                <w:rFonts w:ascii="Arial Narrow" w:hAnsi="Arial Narrow"/>
                <w:sz w:val="20"/>
                <w:szCs w:val="20"/>
              </w:rPr>
            </w:pPr>
            <w:r w:rsidRPr="00E55D62">
              <w:rPr>
                <w:rFonts w:ascii="Arial Narrow" w:hAnsi="Arial Narrow"/>
                <w:sz w:val="20"/>
                <w:szCs w:val="20"/>
              </w:rPr>
              <w:t>Segundo candidato.</w:t>
            </w:r>
          </w:p>
        </w:tc>
      </w:tr>
    </w:tbl>
    <w:p w14:paraId="01F42180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8. Evaluación y Selección del Modelo Ganador</w:t>
      </w:r>
    </w:p>
    <w:p w14:paraId="0DB5D695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8.1 Métricas en validación temporal</w:t>
      </w:r>
    </w:p>
    <w:p w14:paraId="13F5CEFD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evaluaron 7 métricas por modelo: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3067" w:rsidRPr="00506586" w14:paraId="4159F766" w14:textId="77777777" w:rsidTr="00506586">
        <w:tc>
          <w:tcPr>
            <w:tcW w:w="1728" w:type="dxa"/>
          </w:tcPr>
          <w:p w14:paraId="58128DC7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Métrica</w:t>
            </w:r>
          </w:p>
        </w:tc>
        <w:tc>
          <w:tcPr>
            <w:tcW w:w="1728" w:type="dxa"/>
          </w:tcPr>
          <w:p w14:paraId="5AD5F915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Logistic Regression</w:t>
            </w:r>
          </w:p>
        </w:tc>
        <w:tc>
          <w:tcPr>
            <w:tcW w:w="1728" w:type="dxa"/>
          </w:tcPr>
          <w:p w14:paraId="5DC17092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Random Forest</w:t>
            </w:r>
          </w:p>
        </w:tc>
        <w:tc>
          <w:tcPr>
            <w:tcW w:w="1728" w:type="dxa"/>
          </w:tcPr>
          <w:p w14:paraId="610877FD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LightGBM</w:t>
            </w:r>
          </w:p>
        </w:tc>
        <w:tc>
          <w:tcPr>
            <w:tcW w:w="1728" w:type="dxa"/>
          </w:tcPr>
          <w:p w14:paraId="1CF014C8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XGBoost</w:t>
            </w:r>
          </w:p>
        </w:tc>
      </w:tr>
      <w:tr w:rsidR="007B3067" w:rsidRPr="00506586" w14:paraId="1D3DEAA0" w14:textId="77777777" w:rsidTr="00506586">
        <w:tc>
          <w:tcPr>
            <w:tcW w:w="1728" w:type="dxa"/>
          </w:tcPr>
          <w:p w14:paraId="3374ED7B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AUC</w:t>
            </w:r>
          </w:p>
        </w:tc>
        <w:tc>
          <w:tcPr>
            <w:tcW w:w="1728" w:type="dxa"/>
          </w:tcPr>
          <w:p w14:paraId="27C750F7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~0.72</w:t>
            </w:r>
          </w:p>
        </w:tc>
        <w:tc>
          <w:tcPr>
            <w:tcW w:w="1728" w:type="dxa"/>
          </w:tcPr>
          <w:p w14:paraId="2479DFEF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~0.76</w:t>
            </w:r>
          </w:p>
        </w:tc>
        <w:tc>
          <w:tcPr>
            <w:tcW w:w="1728" w:type="dxa"/>
          </w:tcPr>
          <w:p w14:paraId="7290A33F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~0.80</w:t>
            </w:r>
          </w:p>
        </w:tc>
        <w:tc>
          <w:tcPr>
            <w:tcW w:w="1728" w:type="dxa"/>
          </w:tcPr>
          <w:p w14:paraId="31D39668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~0.79</w:t>
            </w:r>
          </w:p>
        </w:tc>
      </w:tr>
      <w:tr w:rsidR="007B3067" w:rsidRPr="00506586" w14:paraId="4799B6CC" w14:textId="77777777" w:rsidTr="00506586">
        <w:tc>
          <w:tcPr>
            <w:tcW w:w="1728" w:type="dxa"/>
          </w:tcPr>
          <w:p w14:paraId="6B5EC39B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Gini</w:t>
            </w:r>
          </w:p>
        </w:tc>
        <w:tc>
          <w:tcPr>
            <w:tcW w:w="1728" w:type="dxa"/>
          </w:tcPr>
          <w:p w14:paraId="2D82F617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~0.44</w:t>
            </w:r>
          </w:p>
        </w:tc>
        <w:tc>
          <w:tcPr>
            <w:tcW w:w="1728" w:type="dxa"/>
          </w:tcPr>
          <w:p w14:paraId="14278FAC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~0.52</w:t>
            </w:r>
          </w:p>
        </w:tc>
        <w:tc>
          <w:tcPr>
            <w:tcW w:w="1728" w:type="dxa"/>
          </w:tcPr>
          <w:p w14:paraId="4CBF7F9E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~0.60</w:t>
            </w:r>
          </w:p>
        </w:tc>
        <w:tc>
          <w:tcPr>
            <w:tcW w:w="1728" w:type="dxa"/>
          </w:tcPr>
          <w:p w14:paraId="698FAAD6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~0.58</w:t>
            </w:r>
          </w:p>
        </w:tc>
      </w:tr>
      <w:tr w:rsidR="007B3067" w:rsidRPr="00506586" w14:paraId="14451E8A" w14:textId="77777777" w:rsidTr="00506586">
        <w:tc>
          <w:tcPr>
            <w:tcW w:w="1728" w:type="dxa"/>
          </w:tcPr>
          <w:p w14:paraId="6F068EE4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KS</w:t>
            </w:r>
          </w:p>
        </w:tc>
        <w:tc>
          <w:tcPr>
            <w:tcW w:w="1728" w:type="dxa"/>
          </w:tcPr>
          <w:p w14:paraId="69A4B869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~0.32</w:t>
            </w:r>
          </w:p>
        </w:tc>
        <w:tc>
          <w:tcPr>
            <w:tcW w:w="1728" w:type="dxa"/>
          </w:tcPr>
          <w:p w14:paraId="6F439073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~0.40</w:t>
            </w:r>
          </w:p>
        </w:tc>
        <w:tc>
          <w:tcPr>
            <w:tcW w:w="1728" w:type="dxa"/>
          </w:tcPr>
          <w:p w14:paraId="0E0972BB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~0.47</w:t>
            </w:r>
          </w:p>
        </w:tc>
        <w:tc>
          <w:tcPr>
            <w:tcW w:w="1728" w:type="dxa"/>
          </w:tcPr>
          <w:p w14:paraId="1B833997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~0.45</w:t>
            </w:r>
          </w:p>
        </w:tc>
      </w:tr>
      <w:tr w:rsidR="007B3067" w:rsidRPr="00506586" w14:paraId="63452CFF" w14:textId="77777777" w:rsidTr="00506586">
        <w:tc>
          <w:tcPr>
            <w:tcW w:w="1728" w:type="dxa"/>
          </w:tcPr>
          <w:p w14:paraId="3AB14EF4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F1</w:t>
            </w:r>
          </w:p>
        </w:tc>
        <w:tc>
          <w:tcPr>
            <w:tcW w:w="1728" w:type="dxa"/>
          </w:tcPr>
          <w:p w14:paraId="3F2EB0AC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~0.56</w:t>
            </w:r>
          </w:p>
        </w:tc>
        <w:tc>
          <w:tcPr>
            <w:tcW w:w="1728" w:type="dxa"/>
          </w:tcPr>
          <w:p w14:paraId="7D3C7BA4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~0.60</w:t>
            </w:r>
          </w:p>
        </w:tc>
        <w:tc>
          <w:tcPr>
            <w:tcW w:w="1728" w:type="dxa"/>
          </w:tcPr>
          <w:p w14:paraId="14603585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~0.64</w:t>
            </w:r>
          </w:p>
        </w:tc>
        <w:tc>
          <w:tcPr>
            <w:tcW w:w="1728" w:type="dxa"/>
          </w:tcPr>
          <w:p w14:paraId="49F1FB5E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~0.63</w:t>
            </w:r>
          </w:p>
        </w:tc>
      </w:tr>
      <w:tr w:rsidR="007B3067" w:rsidRPr="00506586" w14:paraId="12A065BB" w14:textId="77777777" w:rsidTr="00506586">
        <w:tc>
          <w:tcPr>
            <w:tcW w:w="1728" w:type="dxa"/>
          </w:tcPr>
          <w:p w14:paraId="6FDC2965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PR-AUC</w:t>
            </w:r>
          </w:p>
        </w:tc>
        <w:tc>
          <w:tcPr>
            <w:tcW w:w="1728" w:type="dxa"/>
          </w:tcPr>
          <w:p w14:paraId="6C2D0412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~0.63</w:t>
            </w:r>
          </w:p>
        </w:tc>
        <w:tc>
          <w:tcPr>
            <w:tcW w:w="1728" w:type="dxa"/>
          </w:tcPr>
          <w:p w14:paraId="16021476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~0.68</w:t>
            </w:r>
          </w:p>
        </w:tc>
        <w:tc>
          <w:tcPr>
            <w:tcW w:w="1728" w:type="dxa"/>
          </w:tcPr>
          <w:p w14:paraId="68D7B853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~0.73</w:t>
            </w:r>
          </w:p>
        </w:tc>
        <w:tc>
          <w:tcPr>
            <w:tcW w:w="1728" w:type="dxa"/>
          </w:tcPr>
          <w:p w14:paraId="36C7309A" w14:textId="77777777" w:rsidR="007B3067" w:rsidRPr="00506586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506586">
              <w:rPr>
                <w:rFonts w:ascii="Arial Narrow" w:hAnsi="Arial Narrow"/>
                <w:sz w:val="20"/>
                <w:szCs w:val="20"/>
              </w:rPr>
              <w:t>~0.72</w:t>
            </w:r>
          </w:p>
        </w:tc>
      </w:tr>
    </w:tbl>
    <w:p w14:paraId="2E6B6BFC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6A1A6D19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Ganador por AUC: LightGBM — supera a todos los modelos en todas las métricas con margen consistente.</w:t>
      </w:r>
    </w:p>
    <w:p w14:paraId="12D84E06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8.2 Análisis gráfico</w:t>
      </w:r>
    </w:p>
    <w:p w14:paraId="0F35EBEA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produjeron 4 tipos de gráficos:</w:t>
      </w:r>
    </w:p>
    <w:p w14:paraId="22A8182C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1. </w:t>
      </w:r>
      <w:r w:rsidRPr="00B131ED">
        <w:rPr>
          <w:rFonts w:ascii="Arial Narrow" w:hAnsi="Arial Narrow"/>
          <w:sz w:val="24"/>
          <w:szCs w:val="24"/>
        </w:rPr>
        <w:t>Curvas ROC: LightGBM muestra clara separación sobre los otros modelos.</w:t>
      </w:r>
    </w:p>
    <w:p w14:paraId="25B41140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2. </w:t>
      </w:r>
      <w:r w:rsidRPr="00B131ED">
        <w:rPr>
          <w:rFonts w:ascii="Arial Narrow" w:hAnsi="Arial Narrow"/>
          <w:sz w:val="24"/>
          <w:szCs w:val="24"/>
        </w:rPr>
        <w:t>Separación de distribuciones (KS): las distribuciones de scores para positivos y negativos están bien separadas.</w:t>
      </w:r>
    </w:p>
    <w:p w14:paraId="08067FBF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3. </w:t>
      </w:r>
      <w:r w:rsidRPr="00B131ED">
        <w:rPr>
          <w:rFonts w:ascii="Arial Narrow" w:hAnsi="Arial Narrow"/>
          <w:sz w:val="24"/>
          <w:szCs w:val="24"/>
        </w:rPr>
        <w:t>Lift por decil: el decil 1 (mayor propensión) tiene un lift &gt;2.5x.</w:t>
      </w:r>
    </w:p>
    <w:p w14:paraId="7C5F7E67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4. </w:t>
      </w:r>
      <w:r w:rsidRPr="00B131ED">
        <w:rPr>
          <w:rFonts w:ascii="Arial Narrow" w:hAnsi="Arial Narrow"/>
          <w:sz w:val="24"/>
          <w:szCs w:val="24"/>
        </w:rPr>
        <w:t>Curva de Gains: con el 30% de la población se captura ~60% de los positivos.</w:t>
      </w:r>
    </w:p>
    <w:p w14:paraId="76812236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8.3 Optimización del umbral</w:t>
      </w:r>
    </w:p>
    <w:p w14:paraId="530A67EE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escaneó el umbral de decisión de 0.10 a 0.90 en pasos de 0.02, optimizando F1-Score:</w:t>
      </w:r>
    </w:p>
    <w:p w14:paraId="5141E81B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Umbral óptimo encontrado: 0.42</w:t>
      </w:r>
    </w:p>
    <w:p w14:paraId="68723B0F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F1 en umbral óptimo: ~0.64</w:t>
      </w:r>
    </w:p>
    <w:p w14:paraId="015093D5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Precision: ~0.62  |  Recall: ~0.66</w:t>
      </w:r>
    </w:p>
    <w:p w14:paraId="0B43FCA4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lastRenderedPageBreak/>
        <w:t>8.4 Calibración</w:t>
      </w:r>
    </w:p>
    <w:p w14:paraId="4A3FE423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El diagrama de calibración muestra que las probabilidades predichas por LightGBM están razonablemente calibradas: la fracción real de positivos sigue de cerca la diagonal, con ligera sobreconfianza en el rango 0.6-0.8.</w:t>
      </w:r>
    </w:p>
    <w:p w14:paraId="101FFFC7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8.5 Importancia de features</w:t>
      </w:r>
    </w:p>
    <w:p w14:paraId="36A4240D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Las Top 10 features por importancia (gain) del modelo LightGBM:</w:t>
      </w:r>
    </w:p>
    <w:p w14:paraId="5207C763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1.</w:t>
      </w:r>
      <w:r w:rsidRPr="00B131ED">
        <w:rPr>
          <w:rFonts w:ascii="Arial Narrow" w:hAnsi="Arial Narrow"/>
          <w:sz w:val="24"/>
          <w:szCs w:val="24"/>
        </w:rPr>
        <w:t xml:space="preserve"> prob_propension — score de propensión del mes anterior</w:t>
      </w:r>
    </w:p>
    <w:p w14:paraId="0F78F171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2.</w:t>
      </w:r>
      <w:r w:rsidRPr="00B131ED">
        <w:rPr>
          <w:rFonts w:ascii="Arial Narrow" w:hAnsi="Arial Narrow"/>
          <w:sz w:val="24"/>
          <w:szCs w:val="24"/>
        </w:rPr>
        <w:t xml:space="preserve"> pct_meses_pagados_6m — frecuencia de pago reciente</w:t>
      </w:r>
    </w:p>
    <w:p w14:paraId="2DD332AD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3.</w:t>
      </w:r>
      <w:r w:rsidRPr="00B131ED">
        <w:rPr>
          <w:rFonts w:ascii="Arial Narrow" w:hAnsi="Arial Narrow"/>
          <w:sz w:val="24"/>
          <w:szCs w:val="24"/>
        </w:rPr>
        <w:t xml:space="preserve"> score_combinado — promedio de 3 scores</w:t>
      </w:r>
    </w:p>
    <w:p w14:paraId="1A4BDA49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4.</w:t>
      </w:r>
      <w:r w:rsidRPr="00B131ED">
        <w:rPr>
          <w:rFonts w:ascii="Arial Narrow" w:hAnsi="Arial Narrow"/>
          <w:sz w:val="24"/>
          <w:szCs w:val="24"/>
        </w:rPr>
        <w:t xml:space="preserve"> hist_porc_pago_mean — porcentaje de pago histórico medio</w:t>
      </w:r>
    </w:p>
    <w:p w14:paraId="6B01E847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5.</w:t>
      </w:r>
      <w:r w:rsidRPr="00B131ED">
        <w:rPr>
          <w:rFonts w:ascii="Arial Narrow" w:hAnsi="Arial Narrow"/>
          <w:sz w:val="24"/>
          <w:szCs w:val="24"/>
        </w:rPr>
        <w:t xml:space="preserve"> pago_x_propension — interacción pago × propensión</w:t>
      </w:r>
    </w:p>
    <w:p w14:paraId="4338C9C1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6.</w:t>
      </w:r>
      <w:r w:rsidRPr="00B131ED">
        <w:rPr>
          <w:rFonts w:ascii="Arial Narrow" w:hAnsi="Arial Narrow"/>
          <w:sz w:val="24"/>
          <w:szCs w:val="24"/>
        </w:rPr>
        <w:t xml:space="preserve"> meses_desde_ultimo_pago — recencia de pago</w:t>
      </w:r>
    </w:p>
    <w:p w14:paraId="74A0C28F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7.</w:t>
      </w:r>
      <w:r w:rsidRPr="00B131ED">
        <w:rPr>
          <w:rFonts w:ascii="Arial Narrow" w:hAnsi="Arial Narrow"/>
          <w:sz w:val="24"/>
          <w:szCs w:val="24"/>
        </w:rPr>
        <w:t xml:space="preserve"> fe_propension_trend — tendencia del score de propensión</w:t>
      </w:r>
    </w:p>
    <w:p w14:paraId="5654D2CC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8.</w:t>
      </w:r>
      <w:r w:rsidRPr="00B131ED">
        <w:rPr>
          <w:rFonts w:ascii="Arial Narrow" w:hAnsi="Arial Narrow"/>
          <w:sz w:val="24"/>
          <w:szCs w:val="24"/>
        </w:rPr>
        <w:t xml:space="preserve"> ratio_vencido — proporción del valor vencido</w:t>
      </w:r>
    </w:p>
    <w:p w14:paraId="0F27B6DA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9.</w:t>
      </w:r>
      <w:r w:rsidRPr="00B131ED">
        <w:rPr>
          <w:rFonts w:ascii="Arial Narrow" w:hAnsi="Arial Narrow"/>
          <w:sz w:val="24"/>
          <w:szCs w:val="24"/>
        </w:rPr>
        <w:t xml:space="preserve"> cant_alter_posibles — opciones de pago disponibles</w:t>
      </w:r>
    </w:p>
    <w:p w14:paraId="019E7B67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10.</w:t>
      </w:r>
      <w:r w:rsidRPr="00B131ED">
        <w:rPr>
          <w:rFonts w:ascii="Arial Narrow" w:hAnsi="Arial Narrow"/>
          <w:sz w:val="24"/>
          <w:szCs w:val="24"/>
        </w:rPr>
        <w:t xml:space="preserve"> fe_calidad_pago — calidad histórica de pagos</w:t>
      </w:r>
    </w:p>
    <w:p w14:paraId="37F0C65B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i/>
          <w:sz w:val="24"/>
          <w:szCs w:val="24"/>
        </w:rPr>
        <w:t>La importancia confirma la hipótesis del EDA: las features construidas sobre historial de pagos y scores son las más predictivas.</w:t>
      </w:r>
    </w:p>
    <w:p w14:paraId="2AF663C8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9. Validación Out-of-Time (OOT)</w:t>
      </w:r>
    </w:p>
    <w:p w14:paraId="495EC2FA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9.1 Reentrenamiento sobre datos completos</w:t>
      </w:r>
    </w:p>
    <w:p w14:paraId="536ACA0F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Antes de predecir OOT, se reentrenó LightGBM sobre el 100% de los datos de entrenamiento (train + validación). Esto maximiza la información disponible para el modelo que genera las predicciones finales.</w:t>
      </w:r>
    </w:p>
    <w:p w14:paraId="42D6881A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9.2 Estabilidad del modelo</w:t>
      </w:r>
    </w:p>
    <w:p w14:paraId="3B302171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compararon las distribuciones de scores entre validación y OOT: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3067" w:rsidRPr="00AC4B89" w14:paraId="331121AA" w14:textId="77777777" w:rsidTr="00AC4B89">
        <w:tc>
          <w:tcPr>
            <w:tcW w:w="2880" w:type="dxa"/>
          </w:tcPr>
          <w:p w14:paraId="407FB747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b/>
                <w:sz w:val="20"/>
                <w:szCs w:val="20"/>
              </w:rPr>
              <w:t>Métrica</w:t>
            </w:r>
          </w:p>
        </w:tc>
        <w:tc>
          <w:tcPr>
            <w:tcW w:w="2880" w:type="dxa"/>
          </w:tcPr>
          <w:p w14:paraId="7EA706B7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b/>
                <w:sz w:val="20"/>
                <w:szCs w:val="20"/>
              </w:rPr>
              <w:t>Validación</w:t>
            </w:r>
          </w:p>
        </w:tc>
        <w:tc>
          <w:tcPr>
            <w:tcW w:w="2880" w:type="dxa"/>
          </w:tcPr>
          <w:p w14:paraId="68B99835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b/>
                <w:sz w:val="20"/>
                <w:szCs w:val="20"/>
              </w:rPr>
              <w:t>OOT</w:t>
            </w:r>
          </w:p>
        </w:tc>
      </w:tr>
      <w:tr w:rsidR="007B3067" w:rsidRPr="00AC4B89" w14:paraId="68CDBBD7" w14:textId="77777777" w:rsidTr="00AC4B89">
        <w:tc>
          <w:tcPr>
            <w:tcW w:w="2880" w:type="dxa"/>
          </w:tcPr>
          <w:p w14:paraId="33454CA0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Media</w:t>
            </w:r>
          </w:p>
        </w:tc>
        <w:tc>
          <w:tcPr>
            <w:tcW w:w="2880" w:type="dxa"/>
          </w:tcPr>
          <w:p w14:paraId="0499761D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~0.39</w:t>
            </w:r>
          </w:p>
        </w:tc>
        <w:tc>
          <w:tcPr>
            <w:tcW w:w="2880" w:type="dxa"/>
          </w:tcPr>
          <w:p w14:paraId="0E54DDCD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~0.40</w:t>
            </w:r>
          </w:p>
        </w:tc>
      </w:tr>
      <w:tr w:rsidR="007B3067" w:rsidRPr="00AC4B89" w14:paraId="35C03408" w14:textId="77777777" w:rsidTr="00AC4B89">
        <w:tc>
          <w:tcPr>
            <w:tcW w:w="2880" w:type="dxa"/>
          </w:tcPr>
          <w:p w14:paraId="37AC140D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Std</w:t>
            </w:r>
          </w:p>
        </w:tc>
        <w:tc>
          <w:tcPr>
            <w:tcW w:w="2880" w:type="dxa"/>
          </w:tcPr>
          <w:p w14:paraId="5F8A149B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~0.21</w:t>
            </w:r>
          </w:p>
        </w:tc>
        <w:tc>
          <w:tcPr>
            <w:tcW w:w="2880" w:type="dxa"/>
          </w:tcPr>
          <w:p w14:paraId="4F456F00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~0.20</w:t>
            </w:r>
          </w:p>
        </w:tc>
      </w:tr>
      <w:tr w:rsidR="007B3067" w:rsidRPr="00AC4B89" w14:paraId="7EF42EA5" w14:textId="77777777" w:rsidTr="00AC4B89">
        <w:tc>
          <w:tcPr>
            <w:tcW w:w="2880" w:type="dxa"/>
          </w:tcPr>
          <w:p w14:paraId="2998F95D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P10</w:t>
            </w:r>
          </w:p>
        </w:tc>
        <w:tc>
          <w:tcPr>
            <w:tcW w:w="2880" w:type="dxa"/>
          </w:tcPr>
          <w:p w14:paraId="6CA3322F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~0.12</w:t>
            </w:r>
          </w:p>
        </w:tc>
        <w:tc>
          <w:tcPr>
            <w:tcW w:w="2880" w:type="dxa"/>
          </w:tcPr>
          <w:p w14:paraId="4BC92744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~0.14</w:t>
            </w:r>
          </w:p>
        </w:tc>
      </w:tr>
      <w:tr w:rsidR="007B3067" w:rsidRPr="00AC4B89" w14:paraId="00E13FE3" w14:textId="77777777" w:rsidTr="00AC4B89">
        <w:tc>
          <w:tcPr>
            <w:tcW w:w="2880" w:type="dxa"/>
          </w:tcPr>
          <w:p w14:paraId="78AE7310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P50</w:t>
            </w:r>
          </w:p>
        </w:tc>
        <w:tc>
          <w:tcPr>
            <w:tcW w:w="2880" w:type="dxa"/>
          </w:tcPr>
          <w:p w14:paraId="57812838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~0.36</w:t>
            </w:r>
          </w:p>
        </w:tc>
        <w:tc>
          <w:tcPr>
            <w:tcW w:w="2880" w:type="dxa"/>
          </w:tcPr>
          <w:p w14:paraId="10F0CC7B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~0.38</w:t>
            </w:r>
          </w:p>
        </w:tc>
      </w:tr>
      <w:tr w:rsidR="007B3067" w:rsidRPr="00AC4B89" w14:paraId="4405B2DF" w14:textId="77777777" w:rsidTr="00AC4B89">
        <w:tc>
          <w:tcPr>
            <w:tcW w:w="2880" w:type="dxa"/>
          </w:tcPr>
          <w:p w14:paraId="5C5C9997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P90</w:t>
            </w:r>
          </w:p>
        </w:tc>
        <w:tc>
          <w:tcPr>
            <w:tcW w:w="2880" w:type="dxa"/>
          </w:tcPr>
          <w:p w14:paraId="677D238D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~0.70</w:t>
            </w:r>
          </w:p>
        </w:tc>
        <w:tc>
          <w:tcPr>
            <w:tcW w:w="2880" w:type="dxa"/>
          </w:tcPr>
          <w:p w14:paraId="46C9BA87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~0.68</w:t>
            </w:r>
          </w:p>
        </w:tc>
      </w:tr>
    </w:tbl>
    <w:p w14:paraId="29ABE915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43199CD3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>KS estabilidad val/OOT: &lt; 0.10 → Modelo estable. Las distribuciones de scores son consistentes entre la ventana de validación y el periodo OOT, lo que indica que el modelo no sufre de concept drift significativo.</w:t>
      </w:r>
    </w:p>
    <w:p w14:paraId="7D3A168D" w14:textId="77777777" w:rsidR="007B3067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lastRenderedPageBreak/>
        <w:t>10. Arquitectura del Pipeline Productivo</w:t>
      </w:r>
    </w:p>
    <w:p w14:paraId="40EC15CE" w14:textId="77777777" w:rsidR="00AC4B89" w:rsidRDefault="00AC4B89" w:rsidP="00AC4B89"/>
    <w:p w14:paraId="319267E2" w14:textId="3FC52B6D" w:rsidR="00AC4B89" w:rsidRPr="00AC4B89" w:rsidRDefault="00AC4B89" w:rsidP="00AC4B89">
      <w:r w:rsidRPr="00AC4B89">
        <w:drawing>
          <wp:inline distT="0" distB="0" distL="0" distR="0" wp14:anchorId="3B25BB62" wp14:editId="159EF705">
            <wp:extent cx="5363210" cy="2924506"/>
            <wp:effectExtent l="0" t="0" r="8890" b="9525"/>
            <wp:docPr id="10235890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397" cy="292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1673" w14:textId="77777777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implementó la solución productiva en el framework orquestador2 siguiendo el estándar MLOps:</w:t>
      </w:r>
    </w:p>
    <w:p w14:paraId="4D64FA5D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AN0016001-modelo-propension/</w:t>
      </w:r>
    </w:p>
    <w:p w14:paraId="35E5B1A7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├── src/an0016001_modelo_propension/</w:t>
      </w:r>
    </w:p>
    <w:p w14:paraId="47DD34C6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│   ├── ejecucion.py          ← Entry point CLI</w:t>
      </w:r>
    </w:p>
    <w:p w14:paraId="0C3E795B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│   ├── carga_lz.py           ← Carga CSVs a Impala (una vez)</w:t>
      </w:r>
    </w:p>
    <w:p w14:paraId="53C26156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│   ├── preprocesador.py      ← Valida ingestiones y fechas</w:t>
      </w:r>
    </w:p>
    <w:p w14:paraId="631D12CE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│   ├── etl.py                ← Genera tablas de staging en SQL</w:t>
      </w:r>
    </w:p>
    <w:p w14:paraId="6D675E9F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│   ├── modelo.py             ← Orquesta entrenamiento y scoring</w:t>
      </w:r>
    </w:p>
    <w:p w14:paraId="31A5E848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│   ├── modelo_seleccion.py   ← Pipeline ML completo</w:t>
      </w:r>
    </w:p>
    <w:p w14:paraId="44CCE900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│   └── static/</w:t>
      </w:r>
    </w:p>
    <w:p w14:paraId="04136C7C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│       ├── config.json       ← Configuración centralizada</w:t>
      </w:r>
    </w:p>
    <w:p w14:paraId="78358F76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│       ├── pkl/              ← Artefactos serializados</w:t>
      </w:r>
    </w:p>
    <w:p w14:paraId="39CD8778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│       └── sql/              ← SQLs por etapa</w:t>
      </w:r>
    </w:p>
    <w:p w14:paraId="1CD2EC20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├── setup.py / setup.cfg</w:t>
      </w:r>
    </w:p>
    <w:p w14:paraId="62B93FD2" w14:textId="77777777" w:rsidR="007B3067" w:rsidRPr="00B131ED" w:rsidRDefault="00000000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>└── MANIFEST.in</w:t>
      </w:r>
    </w:p>
    <w:p w14:paraId="77D23DF7" w14:textId="07FD71A0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10.</w:t>
      </w:r>
      <w:r w:rsidR="00AC4B89">
        <w:rPr>
          <w:rFonts w:ascii="Arial Narrow" w:hAnsi="Arial Narrow"/>
          <w:sz w:val="24"/>
          <w:szCs w:val="24"/>
        </w:rPr>
        <w:t>1</w:t>
      </w:r>
      <w:r w:rsidRPr="00B131ED">
        <w:rPr>
          <w:rFonts w:ascii="Arial Narrow" w:hAnsi="Arial Narrow"/>
          <w:sz w:val="24"/>
          <w:szCs w:val="24"/>
        </w:rPr>
        <w:t xml:space="preserve"> Flujo de ejecución</w:t>
      </w:r>
    </w:p>
    <w:p w14:paraId="382D6FE2" w14:textId="297C1B3C" w:rsidR="007B3067" w:rsidRPr="00B131ED" w:rsidRDefault="00000000" w:rsidP="00AC4B89">
      <w:pPr>
        <w:pStyle w:val="CodeBlock"/>
        <w:rPr>
          <w:rFonts w:ascii="Arial Narrow" w:hAnsi="Arial Narrow"/>
          <w:noProof/>
          <w:sz w:val="24"/>
          <w:szCs w:val="24"/>
          <w:lang w:val="es-CO"/>
        </w:rPr>
      </w:pPr>
      <w:r w:rsidRPr="00B131ED">
        <w:rPr>
          <w:rFonts w:ascii="Arial Narrow" w:hAnsi="Arial Narrow"/>
          <w:noProof/>
          <w:sz w:val="24"/>
          <w:szCs w:val="24"/>
          <w:lang w:val="es-CO"/>
        </w:rPr>
        <w:t xml:space="preserve">CargaLz </w:t>
      </w:r>
      <w:r w:rsidR="00AC4B89" w:rsidRPr="00AC4B89">
        <w:rPr>
          <w:rFonts w:ascii="Arial Narrow" w:hAnsi="Arial Narrow"/>
          <w:noProof/>
          <w:sz w:val="24"/>
          <w:szCs w:val="24"/>
          <w:lang w:val="es-CO"/>
        </w:rPr>
        <w:sym w:font="Wingdings" w:char="F0E0"/>
      </w:r>
      <w:r w:rsidRPr="00B131ED">
        <w:rPr>
          <w:rFonts w:ascii="Arial Narrow" w:hAnsi="Arial Narrow"/>
          <w:noProof/>
          <w:sz w:val="24"/>
          <w:szCs w:val="24"/>
          <w:lang w:val="es-CO"/>
        </w:rPr>
        <w:t xml:space="preserve"> Preprocesador </w:t>
      </w:r>
      <w:r w:rsidR="00AC4B89" w:rsidRPr="00AC4B89">
        <w:rPr>
          <w:rFonts w:ascii="Arial Narrow" w:hAnsi="Arial Narrow"/>
          <w:noProof/>
          <w:sz w:val="24"/>
          <w:szCs w:val="24"/>
          <w:lang w:val="es-CO"/>
        </w:rPr>
        <w:sym w:font="Wingdings" w:char="F0E0"/>
      </w:r>
      <w:r w:rsidRPr="00B131ED">
        <w:rPr>
          <w:rFonts w:ascii="Arial Narrow" w:hAnsi="Arial Narrow"/>
          <w:noProof/>
          <w:sz w:val="24"/>
          <w:szCs w:val="24"/>
          <w:lang w:val="es-CO"/>
        </w:rPr>
        <w:t xml:space="preserve"> ETL </w:t>
      </w:r>
      <w:r w:rsidR="00AC4B89" w:rsidRPr="00AC4B89">
        <w:rPr>
          <w:rFonts w:ascii="Arial Narrow" w:hAnsi="Arial Narrow"/>
          <w:noProof/>
          <w:sz w:val="24"/>
          <w:szCs w:val="24"/>
          <w:lang w:val="es-CO"/>
        </w:rPr>
        <w:sym w:font="Wingdings" w:char="F0E0"/>
      </w:r>
      <w:r w:rsidRPr="00B131ED">
        <w:rPr>
          <w:rFonts w:ascii="Arial Narrow" w:hAnsi="Arial Narrow"/>
          <w:noProof/>
          <w:sz w:val="24"/>
          <w:szCs w:val="24"/>
          <w:lang w:val="es-CO"/>
        </w:rPr>
        <w:t xml:space="preserve"> Modelo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3067" w:rsidRPr="00AC4B89" w14:paraId="4C3A9AB2" w14:textId="77777777" w:rsidTr="00AC4B89">
        <w:tc>
          <w:tcPr>
            <w:tcW w:w="2880" w:type="dxa"/>
          </w:tcPr>
          <w:p w14:paraId="422A052C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b/>
                <w:sz w:val="20"/>
                <w:szCs w:val="20"/>
              </w:rPr>
              <w:t>Paso</w:t>
            </w:r>
          </w:p>
        </w:tc>
        <w:tc>
          <w:tcPr>
            <w:tcW w:w="2880" w:type="dxa"/>
          </w:tcPr>
          <w:p w14:paraId="61153B2E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b/>
                <w:sz w:val="20"/>
                <w:szCs w:val="20"/>
              </w:rPr>
              <w:t>Archivo</w:t>
            </w:r>
          </w:p>
        </w:tc>
        <w:tc>
          <w:tcPr>
            <w:tcW w:w="2880" w:type="dxa"/>
          </w:tcPr>
          <w:p w14:paraId="068C3785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b/>
                <w:sz w:val="20"/>
                <w:szCs w:val="20"/>
              </w:rPr>
              <w:t>Función</w:t>
            </w:r>
          </w:p>
        </w:tc>
      </w:tr>
      <w:tr w:rsidR="007B3067" w:rsidRPr="00AC4B89" w14:paraId="3E8F4EF8" w14:textId="77777777" w:rsidTr="00AC4B89">
        <w:tc>
          <w:tcPr>
            <w:tcW w:w="2880" w:type="dxa"/>
          </w:tcPr>
          <w:p w14:paraId="7F4D6D09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lastRenderedPageBreak/>
              <w:t>CargaLz</w:t>
            </w:r>
          </w:p>
        </w:tc>
        <w:tc>
          <w:tcPr>
            <w:tcW w:w="2880" w:type="dxa"/>
          </w:tcPr>
          <w:p w14:paraId="585CF252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carga_lz.py</w:t>
            </w:r>
          </w:p>
        </w:tc>
        <w:tc>
          <w:tcPr>
            <w:tcW w:w="2880" w:type="dxa"/>
          </w:tcPr>
          <w:p w14:paraId="00C91DF7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Sube los 5 CSVs a zona proceso de Impala vía sparky-bc</w:t>
            </w:r>
          </w:p>
        </w:tc>
      </w:tr>
      <w:tr w:rsidR="007B3067" w:rsidRPr="00AC4B89" w14:paraId="711811EE" w14:textId="77777777" w:rsidTr="00AC4B89">
        <w:tc>
          <w:tcPr>
            <w:tcW w:w="2880" w:type="dxa"/>
          </w:tcPr>
          <w:p w14:paraId="1AD54974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Preprocesador</w:t>
            </w:r>
          </w:p>
        </w:tc>
        <w:tc>
          <w:tcPr>
            <w:tcW w:w="2880" w:type="dxa"/>
          </w:tcPr>
          <w:p w14:paraId="036F9F6A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preprocesador.py</w:t>
            </w:r>
          </w:p>
        </w:tc>
        <w:tc>
          <w:tcPr>
            <w:tcW w:w="2880" w:type="dxa"/>
          </w:tcPr>
          <w:p w14:paraId="6C4368CB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Consulta MAX(fecha) de cada tabla fuente, actualiza config.json</w:t>
            </w:r>
          </w:p>
        </w:tc>
      </w:tr>
      <w:tr w:rsidR="007B3067" w:rsidRPr="00AC4B89" w14:paraId="223245A8" w14:textId="77777777" w:rsidTr="00AC4B89">
        <w:tc>
          <w:tcPr>
            <w:tcW w:w="2880" w:type="dxa"/>
          </w:tcPr>
          <w:p w14:paraId="4374BDBD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ETL</w:t>
            </w:r>
          </w:p>
        </w:tc>
        <w:tc>
          <w:tcPr>
            <w:tcW w:w="2880" w:type="dxa"/>
          </w:tcPr>
          <w:p w14:paraId="709FD340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etl.py</w:t>
            </w:r>
          </w:p>
        </w:tc>
        <w:tc>
          <w:tcPr>
            <w:tcW w:w="2880" w:type="dxa"/>
          </w:tcPr>
          <w:p w14:paraId="3E78250D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Ejecuta SQLs que crean an0016001_features_train y features_score</w:t>
            </w:r>
          </w:p>
        </w:tc>
      </w:tr>
      <w:tr w:rsidR="007B3067" w:rsidRPr="00AC4B89" w14:paraId="07FB3CFC" w14:textId="77777777" w:rsidTr="00AC4B89">
        <w:tc>
          <w:tcPr>
            <w:tcW w:w="2880" w:type="dxa"/>
          </w:tcPr>
          <w:p w14:paraId="7DA70104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Modelo</w:t>
            </w:r>
          </w:p>
        </w:tc>
        <w:tc>
          <w:tcPr>
            <w:tcW w:w="2880" w:type="dxa"/>
          </w:tcPr>
          <w:p w14:paraId="0ADEDF22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modelo.py + modelo_seleccion.py</w:t>
            </w:r>
          </w:p>
        </w:tc>
        <w:tc>
          <w:tcPr>
            <w:tcW w:w="2880" w:type="dxa"/>
          </w:tcPr>
          <w:p w14:paraId="2322C563" w14:textId="77777777" w:rsidR="007B3067" w:rsidRPr="00AC4B89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AC4B89">
              <w:rPr>
                <w:rFonts w:ascii="Arial Narrow" w:hAnsi="Arial Narrow"/>
                <w:sz w:val="20"/>
                <w:szCs w:val="20"/>
              </w:rPr>
              <w:t>Descarga datos, construye features, entrena/predice, sube resultados</w:t>
            </w:r>
          </w:p>
        </w:tc>
      </w:tr>
    </w:tbl>
    <w:p w14:paraId="4C5F571A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103CD893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11. Diseño de Disponibilización del Modelo</w:t>
      </w:r>
    </w:p>
    <w:p w14:paraId="094D398D" w14:textId="5A74C43D" w:rsidR="007B3067" w:rsidRPr="00B131ED" w:rsidRDefault="00000000">
      <w:pPr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Se diseñó una arquitectura para hacer disponibles los resultados del modelo a sistemas externos:</w:t>
      </w:r>
    </w:p>
    <w:p w14:paraId="72A587E6" w14:textId="77777777" w:rsidR="007B3067" w:rsidRPr="00B131ED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Arquitectura propuesta</w:t>
      </w:r>
    </w:p>
    <w:p w14:paraId="61C19AF9" w14:textId="09B39888" w:rsidR="003945E4" w:rsidRDefault="003945E4">
      <w:pPr>
        <w:pStyle w:val="Ttulo2"/>
        <w:rPr>
          <w:rFonts w:ascii="Arial Narrow" w:hAnsi="Arial Narrow"/>
          <w:sz w:val="24"/>
          <w:szCs w:val="24"/>
        </w:rPr>
      </w:pPr>
      <w:r w:rsidRPr="003945E4">
        <w:rPr>
          <w:rFonts w:ascii="Arial Narrow" w:hAnsi="Arial Narrow"/>
          <w:sz w:val="24"/>
          <w:szCs w:val="24"/>
        </w:rPr>
        <w:drawing>
          <wp:inline distT="0" distB="0" distL="0" distR="0" wp14:anchorId="49EF4FA7" wp14:editId="2371D9DC">
            <wp:extent cx="4792980" cy="3812065"/>
            <wp:effectExtent l="0" t="0" r="7620" b="0"/>
            <wp:docPr id="1440870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0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587" cy="382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D6F4" w14:textId="0718B8C3" w:rsidR="007B3067" w:rsidRDefault="00000000">
      <w:pPr>
        <w:pStyle w:val="Ttulo2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Componentes clave</w:t>
      </w:r>
    </w:p>
    <w:p w14:paraId="3C6BE4CB" w14:textId="77777777" w:rsidR="003945E4" w:rsidRDefault="003945E4" w:rsidP="003945E4"/>
    <w:p w14:paraId="172F632E" w14:textId="77777777" w:rsidR="003945E4" w:rsidRPr="003945E4" w:rsidRDefault="003945E4" w:rsidP="003945E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3067" w:rsidRPr="003945E4" w14:paraId="34F11F97" w14:textId="77777777" w:rsidTr="003945E4">
        <w:tc>
          <w:tcPr>
            <w:tcW w:w="2880" w:type="dxa"/>
          </w:tcPr>
          <w:p w14:paraId="20E51D3E" w14:textId="77777777" w:rsidR="007B3067" w:rsidRPr="003945E4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b/>
                <w:sz w:val="20"/>
                <w:szCs w:val="20"/>
              </w:rPr>
              <w:t>Componente</w:t>
            </w:r>
          </w:p>
        </w:tc>
        <w:tc>
          <w:tcPr>
            <w:tcW w:w="2880" w:type="dxa"/>
          </w:tcPr>
          <w:p w14:paraId="109F9BC2" w14:textId="77777777" w:rsidR="007B3067" w:rsidRPr="003945E4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b/>
                <w:sz w:val="20"/>
                <w:szCs w:val="20"/>
              </w:rPr>
              <w:t>Tecnología</w:t>
            </w:r>
          </w:p>
        </w:tc>
        <w:tc>
          <w:tcPr>
            <w:tcW w:w="2880" w:type="dxa"/>
          </w:tcPr>
          <w:p w14:paraId="562718D9" w14:textId="77777777" w:rsidR="007B3067" w:rsidRPr="003945E4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b/>
                <w:sz w:val="20"/>
                <w:szCs w:val="20"/>
              </w:rPr>
              <w:t>Función</w:t>
            </w:r>
          </w:p>
        </w:tc>
      </w:tr>
      <w:tr w:rsidR="007B3067" w:rsidRPr="003945E4" w14:paraId="398B221B" w14:textId="77777777" w:rsidTr="003945E4">
        <w:tc>
          <w:tcPr>
            <w:tcW w:w="2880" w:type="dxa"/>
          </w:tcPr>
          <w:p w14:paraId="2155A6C5" w14:textId="3E9A22C6" w:rsidR="007B3067" w:rsidRPr="003945E4" w:rsidRDefault="00000000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sz w:val="20"/>
                <w:szCs w:val="20"/>
              </w:rPr>
              <w:lastRenderedPageBreak/>
              <w:t>Storage</w:t>
            </w:r>
            <w:r w:rsidR="003945E4">
              <w:rPr>
                <w:rFonts w:ascii="Arial Narrow" w:hAnsi="Arial Narrow"/>
                <w:sz w:val="20"/>
                <w:szCs w:val="20"/>
              </w:rPr>
              <w:t>-LZ</w:t>
            </w:r>
          </w:p>
        </w:tc>
        <w:tc>
          <w:tcPr>
            <w:tcW w:w="2880" w:type="dxa"/>
          </w:tcPr>
          <w:p w14:paraId="6DEB8EE8" w14:textId="3DFFBC9F" w:rsidR="007B3067" w:rsidRPr="003945E4" w:rsidRDefault="003945E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Base calendarizable</w:t>
            </w:r>
          </w:p>
        </w:tc>
        <w:tc>
          <w:tcPr>
            <w:tcW w:w="2880" w:type="dxa"/>
          </w:tcPr>
          <w:p w14:paraId="449C4A53" w14:textId="77777777" w:rsidR="003945E4" w:rsidRPr="003945E4" w:rsidRDefault="003945E4" w:rsidP="003945E4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sz w:val="20"/>
                <w:szCs w:val="20"/>
              </w:rPr>
              <w:t xml:space="preserve">Ejecutar el modelo ML de forma calendarizada y dejar disponible la </w:t>
            </w:r>
            <w:r w:rsidRPr="003945E4">
              <w:rPr>
                <w:rFonts w:ascii="Arial Narrow" w:hAnsi="Arial Narrow"/>
                <w:b/>
                <w:bCs/>
                <w:sz w:val="20"/>
                <w:szCs w:val="20"/>
              </w:rPr>
              <w:t>tabla de resultados en la LZ</w:t>
            </w:r>
          </w:p>
          <w:p w14:paraId="00D65518" w14:textId="25944809" w:rsidR="007B3067" w:rsidRPr="003945E4" w:rsidRDefault="007B306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B3067" w:rsidRPr="003945E4" w14:paraId="1C7C192E" w14:textId="77777777" w:rsidTr="003945E4">
        <w:tc>
          <w:tcPr>
            <w:tcW w:w="2880" w:type="dxa"/>
          </w:tcPr>
          <w:p w14:paraId="29A83BFB" w14:textId="4D2945D1" w:rsidR="007B3067" w:rsidRPr="003945E4" w:rsidRDefault="003945E4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sz w:val="20"/>
                <w:szCs w:val="20"/>
              </w:rPr>
              <w:t>Storage – Resultados</w:t>
            </w:r>
          </w:p>
        </w:tc>
        <w:tc>
          <w:tcPr>
            <w:tcW w:w="2880" w:type="dxa"/>
          </w:tcPr>
          <w:p w14:paraId="3611C6C7" w14:textId="12DF3D74" w:rsidR="007B3067" w:rsidRPr="003945E4" w:rsidRDefault="003945E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AWS </w:t>
            </w:r>
            <w:r w:rsidRPr="003945E4">
              <w:rPr>
                <w:rFonts w:ascii="Arial Narrow" w:hAnsi="Arial Narrow"/>
                <w:sz w:val="20"/>
                <w:szCs w:val="20"/>
              </w:rPr>
              <w:t>S3</w:t>
            </w:r>
          </w:p>
        </w:tc>
        <w:tc>
          <w:tcPr>
            <w:tcW w:w="2880" w:type="dxa"/>
          </w:tcPr>
          <w:p w14:paraId="63039BC7" w14:textId="5858155F" w:rsidR="007B3067" w:rsidRPr="003945E4" w:rsidRDefault="003945E4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sz w:val="20"/>
                <w:szCs w:val="20"/>
              </w:rPr>
              <w:t xml:space="preserve">Almacenar de forma segura los </w:t>
            </w:r>
            <w:r w:rsidRPr="003945E4">
              <w:rPr>
                <w:rFonts w:ascii="Arial Narrow" w:hAnsi="Arial Narrow"/>
                <w:b/>
                <w:bCs/>
                <w:sz w:val="20"/>
                <w:szCs w:val="20"/>
              </w:rPr>
              <w:t>resultados del modelo</w:t>
            </w:r>
            <w:r w:rsidRPr="003945E4">
              <w:rPr>
                <w:rFonts w:ascii="Arial Narrow" w:hAnsi="Arial Narrow"/>
                <w:sz w:val="20"/>
                <w:szCs w:val="20"/>
              </w:rPr>
              <w:t xml:space="preserve"> generados en la LZ, funcionando como repositorio intermedio desacoplado del entorno analítico.</w:t>
            </w:r>
          </w:p>
        </w:tc>
      </w:tr>
      <w:tr w:rsidR="007B3067" w:rsidRPr="003945E4" w14:paraId="4AC85E6D" w14:textId="77777777" w:rsidTr="003945E4">
        <w:tc>
          <w:tcPr>
            <w:tcW w:w="2880" w:type="dxa"/>
          </w:tcPr>
          <w:p w14:paraId="5FDEC52A" w14:textId="2ECC47E4" w:rsidR="007B3067" w:rsidRPr="003945E4" w:rsidRDefault="003945E4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sz w:val="20"/>
                <w:szCs w:val="20"/>
              </w:rPr>
              <w:t>Servicio de Procesamiento</w:t>
            </w:r>
          </w:p>
        </w:tc>
        <w:tc>
          <w:tcPr>
            <w:tcW w:w="2880" w:type="dxa"/>
          </w:tcPr>
          <w:p w14:paraId="003EB2BB" w14:textId="2C7FCAE8" w:rsidR="007B3067" w:rsidRPr="003945E4" w:rsidRDefault="003945E4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sz w:val="20"/>
                <w:szCs w:val="20"/>
              </w:rPr>
              <w:t>AWS Lambda</w:t>
            </w:r>
          </w:p>
        </w:tc>
        <w:tc>
          <w:tcPr>
            <w:tcW w:w="2880" w:type="dxa"/>
          </w:tcPr>
          <w:p w14:paraId="005B5494" w14:textId="26BBDA6B" w:rsidR="007B3067" w:rsidRPr="003945E4" w:rsidRDefault="003945E4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sz w:val="20"/>
                <w:szCs w:val="20"/>
              </w:rPr>
              <w:t>Atender las peticiones externas, consultar los resultados en S3, aplicar reglas de negocio y transformaciones necesarias, y construir la respuesta en formato JSON.</w:t>
            </w:r>
          </w:p>
        </w:tc>
      </w:tr>
      <w:tr w:rsidR="007B3067" w:rsidRPr="003945E4" w14:paraId="0E5E22D0" w14:textId="77777777" w:rsidTr="003945E4">
        <w:tc>
          <w:tcPr>
            <w:tcW w:w="2880" w:type="dxa"/>
          </w:tcPr>
          <w:p w14:paraId="03DB4758" w14:textId="0D001A3F" w:rsidR="007B3067" w:rsidRPr="003945E4" w:rsidRDefault="003945E4">
            <w:pPr>
              <w:rPr>
                <w:rFonts w:ascii="Arial Narrow" w:hAnsi="Arial Narrow"/>
                <w:sz w:val="20"/>
                <w:szCs w:val="20"/>
              </w:rPr>
            </w:pPr>
            <w:r w:rsidRPr="003945E4">
              <w:rPr>
                <w:rFonts w:ascii="Arial Narrow" w:hAnsi="Arial Narrow"/>
                <w:sz w:val="20"/>
                <w:szCs w:val="20"/>
              </w:rPr>
              <w:t>Capa de Exposición</w:t>
            </w:r>
          </w:p>
        </w:tc>
        <w:tc>
          <w:tcPr>
            <w:tcW w:w="2880" w:type="dxa"/>
          </w:tcPr>
          <w:p w14:paraId="0E4C9AF7" w14:textId="5E0149BE" w:rsidR="007B3067" w:rsidRPr="003945E4" w:rsidRDefault="003945E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API Connect</w:t>
            </w:r>
          </w:p>
        </w:tc>
        <w:tc>
          <w:tcPr>
            <w:tcW w:w="2880" w:type="dxa"/>
          </w:tcPr>
          <w:p w14:paraId="2BE1BEB6" w14:textId="2655B8EE" w:rsidR="007B3067" w:rsidRPr="003945E4" w:rsidRDefault="003945E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Exponer un endpoint</w:t>
            </w:r>
            <w:r w:rsidR="005C7EC3">
              <w:rPr>
                <w:rFonts w:ascii="Arial Narrow" w:hAnsi="Arial Narrow"/>
                <w:sz w:val="20"/>
                <w:szCs w:val="20"/>
              </w:rPr>
              <w:t>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5C7EC3" w:rsidRPr="005C7EC3">
              <w:rPr>
                <w:rFonts w:ascii="Arial Narrow" w:hAnsi="Arial Narrow"/>
                <w:sz w:val="20"/>
                <w:szCs w:val="20"/>
              </w:rPr>
              <w:t>validar las peticiones entrantes y retornar las respuestas generadas por el servicio de procesamiento a los consumidores externos.</w:t>
            </w:r>
          </w:p>
        </w:tc>
      </w:tr>
    </w:tbl>
    <w:p w14:paraId="0CDC7670" w14:textId="77777777" w:rsidR="007B3067" w:rsidRDefault="007B3067">
      <w:pPr>
        <w:rPr>
          <w:rFonts w:ascii="Arial Narrow" w:hAnsi="Arial Narrow"/>
          <w:sz w:val="24"/>
          <w:szCs w:val="24"/>
        </w:rPr>
      </w:pPr>
    </w:p>
    <w:p w14:paraId="37A9D74E" w14:textId="77777777" w:rsidR="00E854CB" w:rsidRDefault="00E854CB" w:rsidP="00E854CB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1</w:t>
      </w:r>
      <w:r>
        <w:rPr>
          <w:rFonts w:ascii="Arial Narrow" w:hAnsi="Arial Narrow"/>
          <w:sz w:val="24"/>
          <w:szCs w:val="24"/>
        </w:rPr>
        <w:t>2</w:t>
      </w:r>
      <w:r w:rsidRPr="00B131ED">
        <w:rPr>
          <w:rFonts w:ascii="Arial Narrow" w:hAnsi="Arial Narrow"/>
          <w:sz w:val="24"/>
          <w:szCs w:val="24"/>
        </w:rPr>
        <w:t xml:space="preserve">. </w:t>
      </w:r>
      <w:r>
        <w:rPr>
          <w:rFonts w:ascii="Arial Narrow" w:hAnsi="Arial Narrow"/>
          <w:sz w:val="24"/>
          <w:szCs w:val="24"/>
        </w:rPr>
        <w:t>Ruta Despliegue Github:</w:t>
      </w:r>
    </w:p>
    <w:p w14:paraId="3C5C6E05" w14:textId="0147B37B" w:rsidR="00E854CB" w:rsidRPr="00B131ED" w:rsidRDefault="00E854CB" w:rsidP="00E854CB">
      <w:pPr>
        <w:pStyle w:val="Ttulo1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hyperlink r:id="rId8" w:history="1">
        <w:r w:rsidR="00506586" w:rsidRPr="003D73E2">
          <w:rPr>
            <w:rStyle w:val="Hipervnculo"/>
            <w:rFonts w:ascii="Arial Narrow" w:hAnsi="Arial Narrow"/>
            <w:sz w:val="24"/>
            <w:szCs w:val="24"/>
          </w:rPr>
          <w:t>https://github.com/Daetobo/prueba_modelo_analitico_propension</w:t>
        </w:r>
      </w:hyperlink>
      <w:r w:rsidR="00506586">
        <w:rPr>
          <w:rFonts w:ascii="Arial Narrow" w:hAnsi="Arial Narrow"/>
          <w:sz w:val="24"/>
          <w:szCs w:val="24"/>
        </w:rPr>
        <w:t xml:space="preserve"> </w:t>
      </w:r>
    </w:p>
    <w:p w14:paraId="70EC3B8F" w14:textId="77777777" w:rsidR="007B3067" w:rsidRPr="00B131ED" w:rsidRDefault="00000000">
      <w:pPr>
        <w:pStyle w:val="Ttulo1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sz w:val="24"/>
          <w:szCs w:val="24"/>
        </w:rPr>
        <w:t>13. Conclusiones</w:t>
      </w:r>
    </w:p>
    <w:p w14:paraId="31B5E386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1. </w:t>
      </w:r>
      <w:r w:rsidRPr="00B131ED">
        <w:rPr>
          <w:rFonts w:ascii="Arial Narrow" w:hAnsi="Arial Narrow"/>
          <w:sz w:val="24"/>
          <w:szCs w:val="24"/>
        </w:rPr>
        <w:t>El modelo LightGBM fue seleccionado por superar consistentemente a Logistic Regression, Random Forest y XGBoost en todas las métricas (AUC, Gini, KS, F1, PR-AUC).</w:t>
      </w:r>
    </w:p>
    <w:p w14:paraId="29E647D9" w14:textId="77777777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2. </w:t>
      </w:r>
      <w:r w:rsidRPr="00B131ED">
        <w:rPr>
          <w:rFonts w:ascii="Arial Narrow" w:hAnsi="Arial Narrow"/>
          <w:sz w:val="24"/>
          <w:szCs w:val="24"/>
        </w:rPr>
        <w:t>Las features más predictivas son el comportamiento histórico de pago (pct_meses_pagados_6m, hist_porc_pago_mean) y los scores analíticos previos (prob_propension), no las variables del pivot crudo. Esto refuerza que el historial del cliente es mejor predictor que su estado puntual.</w:t>
      </w:r>
    </w:p>
    <w:p w14:paraId="025F2435" w14:textId="5AAA1783" w:rsidR="007B3067" w:rsidRPr="00B131ED" w:rsidRDefault="00000000">
      <w:pPr>
        <w:pStyle w:val="Listaconvietas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b/>
          <w:sz w:val="24"/>
          <w:szCs w:val="24"/>
        </w:rPr>
        <w:t xml:space="preserve">3. </w:t>
      </w:r>
      <w:r w:rsidRPr="00B131ED">
        <w:rPr>
          <w:rFonts w:ascii="Arial Narrow" w:hAnsi="Arial Narrow"/>
          <w:sz w:val="24"/>
          <w:szCs w:val="24"/>
        </w:rPr>
        <w:t>La gobernanza previa del Feature Space fue determinante: al excluir variables contaminadas antes del modelado (no después), se garantizó que el modelo no aprenda de información que no estará disponible en producción.</w:t>
      </w:r>
    </w:p>
    <w:p w14:paraId="24DE96A2" w14:textId="77777777" w:rsidR="007B3067" w:rsidRPr="00B131ED" w:rsidRDefault="007B3067">
      <w:pPr>
        <w:rPr>
          <w:rFonts w:ascii="Arial Narrow" w:hAnsi="Arial Narrow"/>
          <w:sz w:val="24"/>
          <w:szCs w:val="24"/>
        </w:rPr>
      </w:pPr>
    </w:p>
    <w:p w14:paraId="0A45813F" w14:textId="77777777" w:rsidR="007B3067" w:rsidRPr="00B131ED" w:rsidRDefault="00000000">
      <w:pPr>
        <w:jc w:val="center"/>
        <w:rPr>
          <w:rFonts w:ascii="Arial Narrow" w:hAnsi="Arial Narrow"/>
          <w:sz w:val="24"/>
          <w:szCs w:val="24"/>
        </w:rPr>
      </w:pPr>
      <w:r w:rsidRPr="00B131ED">
        <w:rPr>
          <w:rFonts w:ascii="Arial Narrow" w:hAnsi="Arial Narrow"/>
          <w:i/>
          <w:color w:val="787878"/>
          <w:sz w:val="24"/>
          <w:szCs w:val="24"/>
        </w:rPr>
        <w:t>— Documento de entrega — Prueba Analítica Líder Analítico —</w:t>
      </w:r>
    </w:p>
    <w:sectPr w:rsidR="007B3067" w:rsidRPr="00B131E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288521">
    <w:abstractNumId w:val="8"/>
  </w:num>
  <w:num w:numId="2" w16cid:durableId="1345476299">
    <w:abstractNumId w:val="6"/>
  </w:num>
  <w:num w:numId="3" w16cid:durableId="970667642">
    <w:abstractNumId w:val="5"/>
  </w:num>
  <w:num w:numId="4" w16cid:durableId="1620339442">
    <w:abstractNumId w:val="4"/>
  </w:num>
  <w:num w:numId="5" w16cid:durableId="1501314674">
    <w:abstractNumId w:val="7"/>
  </w:num>
  <w:num w:numId="6" w16cid:durableId="1486356738">
    <w:abstractNumId w:val="3"/>
  </w:num>
  <w:num w:numId="7" w16cid:durableId="1087849658">
    <w:abstractNumId w:val="2"/>
  </w:num>
  <w:num w:numId="8" w16cid:durableId="1660116926">
    <w:abstractNumId w:val="1"/>
  </w:num>
  <w:num w:numId="9" w16cid:durableId="1372069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603"/>
    <w:rsid w:val="0029639D"/>
    <w:rsid w:val="00326F90"/>
    <w:rsid w:val="00381430"/>
    <w:rsid w:val="003945E4"/>
    <w:rsid w:val="003D4457"/>
    <w:rsid w:val="004D1169"/>
    <w:rsid w:val="00506586"/>
    <w:rsid w:val="005C7EC3"/>
    <w:rsid w:val="006C66A5"/>
    <w:rsid w:val="007B3067"/>
    <w:rsid w:val="008105A2"/>
    <w:rsid w:val="00A26129"/>
    <w:rsid w:val="00AA1D8D"/>
    <w:rsid w:val="00AB7E0A"/>
    <w:rsid w:val="00AC4B89"/>
    <w:rsid w:val="00B131ED"/>
    <w:rsid w:val="00B47730"/>
    <w:rsid w:val="00CB0664"/>
    <w:rsid w:val="00E55D62"/>
    <w:rsid w:val="00E854CB"/>
    <w:rsid w:val="00FB51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97430"/>
  <w14:defaultImageDpi w14:val="300"/>
  <w15:docId w15:val="{A3D98978-5179-47DD-91D8-7885B873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noProof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nsolas" w:hAnsi="Consolas"/>
      <w:color w:val="1E1E1E"/>
      <w:sz w:val="18"/>
    </w:rPr>
  </w:style>
  <w:style w:type="table" w:styleId="Tablaconcuadrculaclara">
    <w:name w:val="Grid Table Light"/>
    <w:basedOn w:val="Tablanormal"/>
    <w:uiPriority w:val="99"/>
    <w:rsid w:val="00B131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50658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6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etobo/prueba_modelo_analitico_propensi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14</Pages>
  <Words>2430</Words>
  <Characters>15771</Characters>
  <Application>Microsoft Office Word</Application>
  <DocSecurity>0</DocSecurity>
  <Lines>606</Lines>
  <Paragraphs>520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Escobar Tobon</cp:lastModifiedBy>
  <cp:revision>3</cp:revision>
  <cp:lastPrinted>2026-03-23T21:43:00Z</cp:lastPrinted>
  <dcterms:created xsi:type="dcterms:W3CDTF">2026-03-23T21:42:00Z</dcterms:created>
  <dcterms:modified xsi:type="dcterms:W3CDTF">2026-03-24T00:07:00Z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2026-03-23T18:14:38Z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87a4267a-b110-4225-a1c4-28aaf6a50744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