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00F6D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681CAF19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2F763E81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6648AE55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0D54DA0F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0B3E2980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6ACAC1E1" w14:textId="77777777" w:rsidR="007B3067" w:rsidRPr="00B131ED" w:rsidRDefault="00000000">
      <w:pPr>
        <w:jc w:val="center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color w:val="003366"/>
          <w:sz w:val="24"/>
          <w:szCs w:val="24"/>
        </w:rPr>
        <w:t>Proceso de Solución</w:t>
      </w:r>
    </w:p>
    <w:p w14:paraId="7F7CBF48" w14:textId="77777777" w:rsidR="007B3067" w:rsidRPr="00B131ED" w:rsidRDefault="00000000">
      <w:pPr>
        <w:jc w:val="center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color w:val="003366"/>
          <w:sz w:val="24"/>
          <w:szCs w:val="24"/>
        </w:rPr>
        <w:t>Prueba Analítica — Líder Analítico</w:t>
      </w:r>
    </w:p>
    <w:p w14:paraId="6FC338BF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2F64E083" w14:textId="77777777" w:rsidR="007B3067" w:rsidRPr="00B131ED" w:rsidRDefault="00000000">
      <w:pPr>
        <w:jc w:val="center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color w:val="505050"/>
          <w:sz w:val="24"/>
          <w:szCs w:val="24"/>
        </w:rPr>
        <w:t>Modelo de Propensión al Pago de Opciones de Cobro</w:t>
      </w:r>
    </w:p>
    <w:p w14:paraId="4C05D56F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16D9E6FB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407EF4FD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61896487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6EE267FB" w14:textId="1ACF4721" w:rsidR="007B3067" w:rsidRPr="00B131ED" w:rsidRDefault="00000000">
      <w:pPr>
        <w:jc w:val="center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 xml:space="preserve">Autor: </w:t>
      </w:r>
      <w:r w:rsidRPr="00B131ED">
        <w:rPr>
          <w:rFonts w:ascii="Arial Narrow" w:hAnsi="Arial Narrow"/>
          <w:sz w:val="24"/>
          <w:szCs w:val="24"/>
        </w:rPr>
        <w:t xml:space="preserve">Daniel Escobar Tobón </w:t>
      </w:r>
    </w:p>
    <w:p w14:paraId="7EBBF952" w14:textId="77777777" w:rsidR="007B3067" w:rsidRPr="00B131ED" w:rsidRDefault="00000000">
      <w:pPr>
        <w:jc w:val="center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 xml:space="preserve">Fecha: </w:t>
      </w:r>
      <w:r w:rsidRPr="00B131ED">
        <w:rPr>
          <w:rFonts w:ascii="Arial Narrow" w:hAnsi="Arial Narrow"/>
          <w:sz w:val="24"/>
          <w:szCs w:val="24"/>
        </w:rPr>
        <w:t>Marzo 2026</w:t>
      </w:r>
    </w:p>
    <w:p w14:paraId="0C58C9C9" w14:textId="77777777" w:rsidR="007B3067" w:rsidRPr="00B131ED" w:rsidRDefault="00000000">
      <w:pPr>
        <w:jc w:val="center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 xml:space="preserve">Versión: </w:t>
      </w:r>
      <w:r w:rsidRPr="00B131ED">
        <w:rPr>
          <w:rFonts w:ascii="Arial Narrow" w:hAnsi="Arial Narrow"/>
          <w:sz w:val="24"/>
          <w:szCs w:val="24"/>
        </w:rPr>
        <w:t>1.0</w:t>
      </w:r>
    </w:p>
    <w:p w14:paraId="4541D566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br w:type="page"/>
      </w:r>
    </w:p>
    <w:p w14:paraId="09A4786F" w14:textId="77777777" w:rsidR="007B3067" w:rsidRPr="00B131ED" w:rsidRDefault="00000000">
      <w:pPr>
        <w:pStyle w:val="Ttulo1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lastRenderedPageBreak/>
        <w:t>Índice</w:t>
      </w:r>
    </w:p>
    <w:p w14:paraId="05ACEDA7" w14:textId="77777777" w:rsidR="007B3067" w:rsidRPr="00B131ED" w:rsidRDefault="00000000">
      <w:pPr>
        <w:spacing w:after="40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1. Entendimiento del Problema</w:t>
      </w:r>
    </w:p>
    <w:p w14:paraId="5625E367" w14:textId="77777777" w:rsidR="007B3067" w:rsidRPr="00B131ED" w:rsidRDefault="00000000">
      <w:pPr>
        <w:spacing w:after="40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2. Exploración Inicial de las Fuentes</w:t>
      </w:r>
    </w:p>
    <w:p w14:paraId="0691C80E" w14:textId="77777777" w:rsidR="007B3067" w:rsidRPr="00B131ED" w:rsidRDefault="00000000">
      <w:pPr>
        <w:spacing w:after="40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3. Gobernanza del Feature Space</w:t>
      </w:r>
    </w:p>
    <w:p w14:paraId="21B46833" w14:textId="77777777" w:rsidR="007B3067" w:rsidRPr="00B131ED" w:rsidRDefault="00000000">
      <w:pPr>
        <w:spacing w:after="40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4. Análisis Exploratorio (EDA)</w:t>
      </w:r>
    </w:p>
    <w:p w14:paraId="210E3F53" w14:textId="77777777" w:rsidR="007B3067" w:rsidRPr="00B131ED" w:rsidRDefault="00000000">
      <w:pPr>
        <w:spacing w:after="40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5. Ingeniería de Variables</w:t>
      </w:r>
    </w:p>
    <w:p w14:paraId="3AA021FA" w14:textId="77777777" w:rsidR="007B3067" w:rsidRPr="00B131ED" w:rsidRDefault="00000000">
      <w:pPr>
        <w:spacing w:after="40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6. Preparación de Datos para Modelado</w:t>
      </w:r>
    </w:p>
    <w:p w14:paraId="2C4450F5" w14:textId="77777777" w:rsidR="007B3067" w:rsidRPr="00B131ED" w:rsidRDefault="00000000">
      <w:pPr>
        <w:spacing w:after="40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7. Entrenamiento y Competición de Modelos</w:t>
      </w:r>
    </w:p>
    <w:p w14:paraId="53E29860" w14:textId="77777777" w:rsidR="007B3067" w:rsidRPr="00B131ED" w:rsidRDefault="00000000">
      <w:pPr>
        <w:spacing w:after="40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8. Evaluación y Selección del Modelo Ganador</w:t>
      </w:r>
    </w:p>
    <w:p w14:paraId="36FC7EC1" w14:textId="77777777" w:rsidR="007B3067" w:rsidRPr="00B131ED" w:rsidRDefault="00000000">
      <w:pPr>
        <w:spacing w:after="40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9. Validación Out-of-Time (OOT)</w:t>
      </w:r>
    </w:p>
    <w:p w14:paraId="0F9790D3" w14:textId="77777777" w:rsidR="007B3067" w:rsidRPr="00B131ED" w:rsidRDefault="00000000">
      <w:pPr>
        <w:spacing w:after="40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10. Arquitectura del Pipeline Productivo</w:t>
      </w:r>
    </w:p>
    <w:p w14:paraId="449BB8E8" w14:textId="77777777" w:rsidR="007B3067" w:rsidRPr="00B131ED" w:rsidRDefault="00000000">
      <w:pPr>
        <w:spacing w:after="40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11. Diseño de Disponibilización del Modelo</w:t>
      </w:r>
    </w:p>
    <w:p w14:paraId="25117659" w14:textId="2532BAFA" w:rsidR="007B3067" w:rsidRPr="00B131ED" w:rsidRDefault="00000000">
      <w:pPr>
        <w:spacing w:after="40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 xml:space="preserve">12. </w:t>
      </w:r>
      <w:r w:rsidR="008105A2">
        <w:rPr>
          <w:rFonts w:ascii="Arial Narrow" w:hAnsi="Arial Narrow"/>
          <w:sz w:val="24"/>
          <w:szCs w:val="24"/>
        </w:rPr>
        <w:t>Ruta Despliegue Github</w:t>
      </w:r>
    </w:p>
    <w:p w14:paraId="29F5F48C" w14:textId="77777777" w:rsidR="007B3067" w:rsidRPr="00B131ED" w:rsidRDefault="00000000">
      <w:pPr>
        <w:spacing w:after="40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13. Conclusiones</w:t>
      </w:r>
    </w:p>
    <w:p w14:paraId="5BB36BE2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0D3EB2D1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>Entregables adjuntos:</w:t>
      </w:r>
    </w:p>
    <w:p w14:paraId="395EBD1D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test.ipynb — Notebook con exploración, modelado y predicción</w:t>
      </w:r>
    </w:p>
    <w:p w14:paraId="0289DC6D" w14:textId="71023E5B" w:rsidR="007B3067" w:rsidRPr="00B131ED" w:rsidRDefault="00FB5125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resultado_prueba.csv — Predicciones OOT</w:t>
      </w:r>
    </w:p>
    <w:p w14:paraId="7DDA01BC" w14:textId="43BC9091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AN0016001-modelo-propensi</w:t>
      </w:r>
      <w:r w:rsidR="00FB5125" w:rsidRPr="00B131ED">
        <w:rPr>
          <w:rFonts w:ascii="Arial Narrow" w:hAnsi="Arial Narrow"/>
          <w:sz w:val="24"/>
          <w:szCs w:val="24"/>
        </w:rPr>
        <w:t>ó</w:t>
      </w:r>
      <w:r w:rsidRPr="00B131ED">
        <w:rPr>
          <w:rFonts w:ascii="Arial Narrow" w:hAnsi="Arial Narrow"/>
          <w:sz w:val="24"/>
          <w:szCs w:val="24"/>
        </w:rPr>
        <w:t>n/ — Paquete productivo con orquestador</w:t>
      </w:r>
    </w:p>
    <w:p w14:paraId="2F8175B9" w14:textId="330FD2C4" w:rsidR="007B3067" w:rsidRPr="00B131ED" w:rsidRDefault="00FB5125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AN0016001-modelo-propensión /Documentación/arquitectura/ — Diagramas de arquitectura</w:t>
      </w:r>
    </w:p>
    <w:p w14:paraId="148DFE52" w14:textId="1B540C8A" w:rsidR="007B3067" w:rsidRPr="00B131ED" w:rsidRDefault="00FB5125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AN0016001-modelo-propensión /Documentación/entregas— Documentación técnica — resultado_prueba.csv — diseño_disponibilidad_modelo.pdf</w:t>
      </w:r>
    </w:p>
    <w:p w14:paraId="2662478A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br w:type="page"/>
      </w:r>
    </w:p>
    <w:p w14:paraId="235F3201" w14:textId="77777777" w:rsidR="007B3067" w:rsidRPr="00B131ED" w:rsidRDefault="00000000">
      <w:pPr>
        <w:pStyle w:val="Ttulo1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lastRenderedPageBreak/>
        <w:t>1. Entendimiento del Problema</w:t>
      </w:r>
    </w:p>
    <w:p w14:paraId="160E2509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Objetivo</w:t>
      </w:r>
    </w:p>
    <w:p w14:paraId="37AF877D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Construir un modelo que prediga, con un mes de anticipación, si una obligación crediticia en mora aceptará una opción de pago. La variable objetivo es var_rpta_alt (binaria: 1 = acepta, 0 = no acepta). El score resultante se utilizará como variable de priorización en la gestión operativa de cobro.</w:t>
      </w:r>
    </w:p>
    <w:p w14:paraId="63ED893F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Datos disponibles</w:t>
      </w:r>
    </w:p>
    <w:p w14:paraId="2AB710A0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Se recibieron 5 archivos CSV enmascarados: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B3067" w:rsidRPr="00B131ED" w14:paraId="3AE613FA" w14:textId="77777777" w:rsidTr="00B131ED">
        <w:tc>
          <w:tcPr>
            <w:tcW w:w="2880" w:type="dxa"/>
          </w:tcPr>
          <w:p w14:paraId="4C05A2B1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b/>
                <w:sz w:val="20"/>
                <w:szCs w:val="20"/>
              </w:rPr>
              <w:t>Tabla</w:t>
            </w:r>
          </w:p>
        </w:tc>
        <w:tc>
          <w:tcPr>
            <w:tcW w:w="2880" w:type="dxa"/>
          </w:tcPr>
          <w:p w14:paraId="0F3F2E9B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b/>
                <w:sz w:val="20"/>
                <w:szCs w:val="20"/>
              </w:rPr>
              <w:t>Nivel</w:t>
            </w:r>
          </w:p>
        </w:tc>
        <w:tc>
          <w:tcPr>
            <w:tcW w:w="2880" w:type="dxa"/>
          </w:tcPr>
          <w:p w14:paraId="05EB9CAC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b/>
                <w:sz w:val="20"/>
                <w:szCs w:val="20"/>
              </w:rPr>
              <w:t>Rol</w:t>
            </w:r>
          </w:p>
        </w:tc>
      </w:tr>
      <w:tr w:rsidR="007B3067" w:rsidRPr="00B131ED" w14:paraId="62755DF9" w14:textId="77777777" w:rsidTr="00B131ED">
        <w:tc>
          <w:tcPr>
            <w:tcW w:w="2880" w:type="dxa"/>
          </w:tcPr>
          <w:p w14:paraId="27993F14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base_pivot_trtest</w:t>
            </w:r>
          </w:p>
        </w:tc>
        <w:tc>
          <w:tcPr>
            <w:tcW w:w="2880" w:type="dxa"/>
          </w:tcPr>
          <w:p w14:paraId="3D15B343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Obligación × mes</w:t>
            </w:r>
          </w:p>
        </w:tc>
        <w:tc>
          <w:tcPr>
            <w:tcW w:w="2880" w:type="dxa"/>
          </w:tcPr>
          <w:p w14:paraId="048AF8BF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Train/test con variable objetivo</w:t>
            </w:r>
          </w:p>
        </w:tc>
      </w:tr>
      <w:tr w:rsidR="007B3067" w:rsidRPr="00B131ED" w14:paraId="4E3EC4A8" w14:textId="77777777" w:rsidTr="00B131ED">
        <w:tc>
          <w:tcPr>
            <w:tcW w:w="2880" w:type="dxa"/>
          </w:tcPr>
          <w:p w14:paraId="4BA30833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base_pivot_oot</w:t>
            </w:r>
          </w:p>
        </w:tc>
        <w:tc>
          <w:tcPr>
            <w:tcW w:w="2880" w:type="dxa"/>
          </w:tcPr>
          <w:p w14:paraId="487E7833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Obligación × mes</w:t>
            </w:r>
          </w:p>
        </w:tc>
        <w:tc>
          <w:tcPr>
            <w:tcW w:w="2880" w:type="dxa"/>
          </w:tcPr>
          <w:p w14:paraId="36D6170B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Out-of-Time sin etiqueta</w:t>
            </w:r>
          </w:p>
        </w:tc>
      </w:tr>
      <w:tr w:rsidR="007B3067" w:rsidRPr="00B131ED" w14:paraId="77780C2F" w14:textId="77777777" w:rsidTr="00B131ED">
        <w:tc>
          <w:tcPr>
            <w:tcW w:w="2880" w:type="dxa"/>
          </w:tcPr>
          <w:p w14:paraId="590B3BB1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maestra_cuotas_pagos</w:t>
            </w:r>
          </w:p>
        </w:tc>
        <w:tc>
          <w:tcPr>
            <w:tcW w:w="2880" w:type="dxa"/>
          </w:tcPr>
          <w:p w14:paraId="1EFDED43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Obligación × mes</w:t>
            </w:r>
          </w:p>
        </w:tc>
        <w:tc>
          <w:tcPr>
            <w:tcW w:w="2880" w:type="dxa"/>
          </w:tcPr>
          <w:p w14:paraId="0E83F5C4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Historial transaccional de pagos</w:t>
            </w:r>
          </w:p>
        </w:tc>
      </w:tr>
      <w:tr w:rsidR="007B3067" w:rsidRPr="00B131ED" w14:paraId="5BC014A2" w14:textId="77777777" w:rsidTr="00B131ED">
        <w:tc>
          <w:tcPr>
            <w:tcW w:w="2880" w:type="dxa"/>
          </w:tcPr>
          <w:p w14:paraId="537858D1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master_customer_data</w:t>
            </w:r>
          </w:p>
        </w:tc>
        <w:tc>
          <w:tcPr>
            <w:tcW w:w="2880" w:type="dxa"/>
          </w:tcPr>
          <w:p w14:paraId="4AF41993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Cliente × mes</w:t>
            </w:r>
          </w:p>
        </w:tc>
        <w:tc>
          <w:tcPr>
            <w:tcW w:w="2880" w:type="dxa"/>
          </w:tcPr>
          <w:p w14:paraId="1185F977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Datos demográficos y financieros</w:t>
            </w:r>
          </w:p>
        </w:tc>
      </w:tr>
      <w:tr w:rsidR="007B3067" w:rsidRPr="00B131ED" w14:paraId="3C8A9140" w14:textId="77777777" w:rsidTr="00B131ED">
        <w:tc>
          <w:tcPr>
            <w:tcW w:w="2880" w:type="dxa"/>
          </w:tcPr>
          <w:p w14:paraId="72E472D9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probabilidad_oblig_base_hist</w:t>
            </w:r>
          </w:p>
        </w:tc>
        <w:tc>
          <w:tcPr>
            <w:tcW w:w="2880" w:type="dxa"/>
          </w:tcPr>
          <w:p w14:paraId="4116F388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Obligación × mes</w:t>
            </w:r>
          </w:p>
        </w:tc>
        <w:tc>
          <w:tcPr>
            <w:tcW w:w="2880" w:type="dxa"/>
          </w:tcPr>
          <w:p w14:paraId="28897642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Scores analíticos previos</w:t>
            </w:r>
          </w:p>
        </w:tc>
      </w:tr>
    </w:tbl>
    <w:p w14:paraId="2AF324D6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4CD8DE63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Enfoque general</w:t>
      </w:r>
    </w:p>
    <w:p w14:paraId="36D86218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La solución se abordó en dos frentes paralelos:</w:t>
      </w:r>
    </w:p>
    <w:p w14:paraId="2637FC4D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 xml:space="preserve">1. </w:t>
      </w:r>
      <w:r w:rsidRPr="00B131ED">
        <w:rPr>
          <w:rFonts w:ascii="Arial Narrow" w:hAnsi="Arial Narrow"/>
          <w:sz w:val="24"/>
          <w:szCs w:val="24"/>
        </w:rPr>
        <w:t>Notebook analítico (test.ipynb): exploración, feature engineering, competición de modelos, predicción OOT.</w:t>
      </w:r>
    </w:p>
    <w:p w14:paraId="4CD6D7AF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 xml:space="preserve">2. </w:t>
      </w:r>
      <w:r w:rsidRPr="00B131ED">
        <w:rPr>
          <w:rFonts w:ascii="Arial Narrow" w:hAnsi="Arial Narrow"/>
          <w:sz w:val="24"/>
          <w:szCs w:val="24"/>
        </w:rPr>
        <w:t>Paquete productivo (AN0016001-modelo-propension): implementación en el framework orquestador2 para ejecución automatizada con Impala/Spark.</w:t>
      </w:r>
    </w:p>
    <w:p w14:paraId="691D39E0" w14:textId="77777777" w:rsidR="007B3067" w:rsidRPr="00B131ED" w:rsidRDefault="00000000">
      <w:pPr>
        <w:pStyle w:val="Ttulo1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2. Exploración Inicial de las Fuentes</w:t>
      </w:r>
    </w:p>
    <w:p w14:paraId="21423665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Carga y normalización</w:t>
      </w:r>
    </w:p>
    <w:p w14:paraId="042D8960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Se crearon funciones genéricas de carga (load_csv_generic) con dos responsabilidades:</w:t>
      </w:r>
    </w:p>
    <w:p w14:paraId="61FBE2B1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Normalizar IDs: convertir columnas de identificación a string enteros (str(int(x))) para garantizar consistencia en los cruces entre tablas.</w:t>
      </w:r>
    </w:p>
    <w:p w14:paraId="173490B2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Parsear fechas: unificar formatos YYYYMM y YYYYMMDD a datetime estándar.</w:t>
      </w:r>
    </w:p>
    <w:p w14:paraId="569FC1D2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Para cada fuente se implementó un loader específico: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B3067" w:rsidRPr="00B131ED" w14:paraId="6F4A2440" w14:textId="77777777" w:rsidTr="00B131ED">
        <w:tc>
          <w:tcPr>
            <w:tcW w:w="2160" w:type="dxa"/>
          </w:tcPr>
          <w:p w14:paraId="49DB883B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b/>
                <w:sz w:val="20"/>
                <w:szCs w:val="20"/>
              </w:rPr>
              <w:t>Loader</w:t>
            </w:r>
          </w:p>
        </w:tc>
        <w:tc>
          <w:tcPr>
            <w:tcW w:w="2160" w:type="dxa"/>
          </w:tcPr>
          <w:p w14:paraId="06060B57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b/>
                <w:sz w:val="20"/>
                <w:szCs w:val="20"/>
              </w:rPr>
              <w:t>Fuente</w:t>
            </w:r>
          </w:p>
        </w:tc>
        <w:tc>
          <w:tcPr>
            <w:tcW w:w="2160" w:type="dxa"/>
          </w:tcPr>
          <w:p w14:paraId="30EDBC28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b/>
                <w:sz w:val="20"/>
                <w:szCs w:val="20"/>
              </w:rPr>
              <w:t>Llaves</w:t>
            </w:r>
          </w:p>
        </w:tc>
        <w:tc>
          <w:tcPr>
            <w:tcW w:w="2160" w:type="dxa"/>
          </w:tcPr>
          <w:p w14:paraId="2B58232C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b/>
                <w:sz w:val="20"/>
                <w:szCs w:val="20"/>
              </w:rPr>
              <w:t>Particularidad</w:t>
            </w:r>
          </w:p>
        </w:tc>
      </w:tr>
      <w:tr w:rsidR="007B3067" w:rsidRPr="00B131ED" w14:paraId="70571340" w14:textId="77777777" w:rsidTr="00B131ED">
        <w:tc>
          <w:tcPr>
            <w:tcW w:w="2160" w:type="dxa"/>
          </w:tcPr>
          <w:p w14:paraId="0A5DA037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load_pivot</w:t>
            </w:r>
          </w:p>
        </w:tc>
        <w:tc>
          <w:tcPr>
            <w:tcW w:w="2160" w:type="dxa"/>
          </w:tcPr>
          <w:p w14:paraId="44D82649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Base pivot</w:t>
            </w:r>
          </w:p>
        </w:tc>
        <w:tc>
          <w:tcPr>
            <w:tcW w:w="2160" w:type="dxa"/>
          </w:tcPr>
          <w:p w14:paraId="3341A339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nit, oblig_orig, oblig</w:t>
            </w:r>
          </w:p>
        </w:tc>
        <w:tc>
          <w:tcPr>
            <w:tcW w:w="2160" w:type="dxa"/>
          </w:tcPr>
          <w:p w14:paraId="781FA057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Fecha en fecha_var_rpta_alt (YYYYMM)</w:t>
            </w:r>
          </w:p>
        </w:tc>
      </w:tr>
      <w:tr w:rsidR="007B3067" w:rsidRPr="00B131ED" w14:paraId="4ACAC17C" w14:textId="77777777" w:rsidTr="00B131ED">
        <w:tc>
          <w:tcPr>
            <w:tcW w:w="2160" w:type="dxa"/>
          </w:tcPr>
          <w:p w14:paraId="578A82F2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load_payments</w:t>
            </w:r>
          </w:p>
        </w:tc>
        <w:tc>
          <w:tcPr>
            <w:tcW w:w="2160" w:type="dxa"/>
          </w:tcPr>
          <w:p w14:paraId="77CE7220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Pagos</w:t>
            </w:r>
          </w:p>
        </w:tc>
        <w:tc>
          <w:tcPr>
            <w:tcW w:w="2160" w:type="dxa"/>
          </w:tcPr>
          <w:p w14:paraId="45FD2B43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nit, oblig</w:t>
            </w:r>
          </w:p>
        </w:tc>
        <w:tc>
          <w:tcPr>
            <w:tcW w:w="2160" w:type="dxa"/>
          </w:tcPr>
          <w:p w14:paraId="1C718A13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Fecha en fecha_corte (YYYYMMDD)</w:t>
            </w:r>
          </w:p>
        </w:tc>
      </w:tr>
      <w:tr w:rsidR="007B3067" w:rsidRPr="00B131ED" w14:paraId="37D945F3" w14:textId="77777777" w:rsidTr="00B131ED">
        <w:tc>
          <w:tcPr>
            <w:tcW w:w="2160" w:type="dxa"/>
          </w:tcPr>
          <w:p w14:paraId="5F6D8FEE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lastRenderedPageBreak/>
              <w:t>load_customers</w:t>
            </w:r>
          </w:p>
        </w:tc>
        <w:tc>
          <w:tcPr>
            <w:tcW w:w="2160" w:type="dxa"/>
          </w:tcPr>
          <w:p w14:paraId="09378E28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Clientes</w:t>
            </w:r>
          </w:p>
        </w:tc>
        <w:tc>
          <w:tcPr>
            <w:tcW w:w="2160" w:type="dxa"/>
          </w:tcPr>
          <w:p w14:paraId="33554F34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nit</w:t>
            </w:r>
          </w:p>
        </w:tc>
        <w:tc>
          <w:tcPr>
            <w:tcW w:w="2160" w:type="dxa"/>
          </w:tcPr>
          <w:p w14:paraId="6ACC39FB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Fecha derivada de columnas year + month</w:t>
            </w:r>
          </w:p>
        </w:tc>
      </w:tr>
      <w:tr w:rsidR="007B3067" w:rsidRPr="00B131ED" w14:paraId="60A9638E" w14:textId="77777777" w:rsidTr="00B131ED">
        <w:tc>
          <w:tcPr>
            <w:tcW w:w="2160" w:type="dxa"/>
          </w:tcPr>
          <w:p w14:paraId="255D472F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load_scores</w:t>
            </w:r>
          </w:p>
        </w:tc>
        <w:tc>
          <w:tcPr>
            <w:tcW w:w="2160" w:type="dxa"/>
          </w:tcPr>
          <w:p w14:paraId="068089A1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Scores</w:t>
            </w:r>
          </w:p>
        </w:tc>
        <w:tc>
          <w:tcPr>
            <w:tcW w:w="2160" w:type="dxa"/>
          </w:tcPr>
          <w:p w14:paraId="0C2C97C5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nit, oblig</w:t>
            </w:r>
          </w:p>
        </w:tc>
        <w:tc>
          <w:tcPr>
            <w:tcW w:w="2160" w:type="dxa"/>
          </w:tcPr>
          <w:p w14:paraId="25C70F79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Fecha en fecha_corte (YYYYMM)</w:t>
            </w:r>
          </w:p>
        </w:tc>
      </w:tr>
    </w:tbl>
    <w:p w14:paraId="5D5D2D2E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5A9B1B72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Se validó la carga con un resumen que muestra filas y columnas de cada fuente, verificando que no hubo pérdida de registros durante la lectura.</w:t>
      </w:r>
    </w:p>
    <w:p w14:paraId="0B78C72C" w14:textId="77777777" w:rsidR="007B3067" w:rsidRPr="00B131ED" w:rsidRDefault="00000000">
      <w:pPr>
        <w:pStyle w:val="Ttulo1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3. Gobernanza del Feature Space</w:t>
      </w:r>
    </w:p>
    <w:p w14:paraId="337DA5E5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Antes de cualquier exploración o modelado, se definió explícitamente el Feature Space con el fin de garantizar reproducibilidad, ausencia de leakage y viabilidad productiva.</w:t>
      </w:r>
    </w:p>
    <w:p w14:paraId="765223E5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Principio rector</w:t>
      </w:r>
    </w:p>
    <w:p w14:paraId="48380300" w14:textId="77777777" w:rsidR="007B3067" w:rsidRPr="00B131ED" w:rsidRDefault="00000000">
      <w:pPr>
        <w:ind w:left="567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i/>
          <w:color w:val="505050"/>
          <w:sz w:val="24"/>
          <w:szCs w:val="24"/>
        </w:rPr>
        <w:t>El modelo no se entrena sobre columnas crudas, sino sobre features explícitamente definidas, reproducibles y disponibles tanto para entrenamiento como para predicción.</w:t>
      </w:r>
    </w:p>
    <w:p w14:paraId="27D7E5C0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Feature Registry</w:t>
      </w:r>
    </w:p>
    <w:p w14:paraId="2095CCEB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Se creó un diccionario FEATURE_REGISTRY con 6 grupos de variables: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222"/>
      </w:tblGrid>
      <w:tr w:rsidR="007B3067" w:rsidRPr="00B131ED" w14:paraId="4F4F0641" w14:textId="77777777" w:rsidTr="00B131ED">
        <w:tc>
          <w:tcPr>
            <w:tcW w:w="2160" w:type="dxa"/>
          </w:tcPr>
          <w:p w14:paraId="2DE328DE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b/>
                <w:sz w:val="20"/>
                <w:szCs w:val="20"/>
              </w:rPr>
              <w:t>Grupo</w:t>
            </w:r>
          </w:p>
        </w:tc>
        <w:tc>
          <w:tcPr>
            <w:tcW w:w="2160" w:type="dxa"/>
          </w:tcPr>
          <w:p w14:paraId="7EA389C9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b/>
                <w:sz w:val="20"/>
                <w:szCs w:val="20"/>
              </w:rPr>
              <w:t>Fuente</w:t>
            </w:r>
          </w:p>
        </w:tc>
        <w:tc>
          <w:tcPr>
            <w:tcW w:w="2160" w:type="dxa"/>
          </w:tcPr>
          <w:p w14:paraId="62E9EC9D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b/>
                <w:sz w:val="20"/>
                <w:szCs w:val="20"/>
              </w:rPr>
              <w:t>Tipo</w:t>
            </w:r>
          </w:p>
        </w:tc>
        <w:tc>
          <w:tcPr>
            <w:tcW w:w="2160" w:type="dxa"/>
          </w:tcPr>
          <w:p w14:paraId="432721F8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b/>
                <w:sz w:val="20"/>
                <w:szCs w:val="20"/>
              </w:rPr>
              <w:t>Ejemplos</w:t>
            </w:r>
          </w:p>
        </w:tc>
      </w:tr>
      <w:tr w:rsidR="007B3067" w:rsidRPr="00B131ED" w14:paraId="33FDE4C6" w14:textId="77777777" w:rsidTr="00B131ED">
        <w:tc>
          <w:tcPr>
            <w:tcW w:w="2160" w:type="dxa"/>
          </w:tcPr>
          <w:p w14:paraId="25AFB951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Estado financiero</w:t>
            </w:r>
          </w:p>
        </w:tc>
        <w:tc>
          <w:tcPr>
            <w:tcW w:w="2160" w:type="dxa"/>
          </w:tcPr>
          <w:p w14:paraId="616519C3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Pivot</w:t>
            </w:r>
          </w:p>
        </w:tc>
        <w:tc>
          <w:tcPr>
            <w:tcW w:w="2160" w:type="dxa"/>
          </w:tcPr>
          <w:p w14:paraId="7E9A36A9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Numérica/Categórica</w:t>
            </w:r>
          </w:p>
        </w:tc>
        <w:tc>
          <w:tcPr>
            <w:tcW w:w="2160" w:type="dxa"/>
          </w:tcPr>
          <w:p w14:paraId="7D2FF604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dias_mora_fin, vlr_obligacion, vlr_vencido, saldo_capital, endeudamiento</w:t>
            </w:r>
          </w:p>
        </w:tc>
      </w:tr>
      <w:tr w:rsidR="007B3067" w:rsidRPr="00B131ED" w14:paraId="3F80967B" w14:textId="77777777" w:rsidTr="00B131ED">
        <w:tc>
          <w:tcPr>
            <w:tcW w:w="2160" w:type="dxa"/>
          </w:tcPr>
          <w:p w14:paraId="2E3E5A5F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Elegibilidad</w:t>
            </w:r>
          </w:p>
        </w:tc>
        <w:tc>
          <w:tcPr>
            <w:tcW w:w="2160" w:type="dxa"/>
          </w:tcPr>
          <w:p w14:paraId="291DAB35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Pivot</w:t>
            </w:r>
          </w:p>
        </w:tc>
        <w:tc>
          <w:tcPr>
            <w:tcW w:w="2160" w:type="dxa"/>
          </w:tcPr>
          <w:p w14:paraId="723DC8AC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Numérica</w:t>
            </w:r>
          </w:p>
        </w:tc>
        <w:tc>
          <w:tcPr>
            <w:tcW w:w="2160" w:type="dxa"/>
          </w:tcPr>
          <w:p w14:paraId="47486612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cant_alter_posibles</w:t>
            </w:r>
          </w:p>
        </w:tc>
      </w:tr>
      <w:tr w:rsidR="007B3067" w:rsidRPr="00B131ED" w14:paraId="72F285AB" w14:textId="77777777" w:rsidTr="00B131ED">
        <w:tc>
          <w:tcPr>
            <w:tcW w:w="2160" w:type="dxa"/>
          </w:tcPr>
          <w:p w14:paraId="4319D3A3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Gestión y contacto</w:t>
            </w:r>
          </w:p>
        </w:tc>
        <w:tc>
          <w:tcPr>
            <w:tcW w:w="2160" w:type="dxa"/>
          </w:tcPr>
          <w:p w14:paraId="50D8DDB8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Pivot</w:t>
            </w:r>
          </w:p>
        </w:tc>
        <w:tc>
          <w:tcPr>
            <w:tcW w:w="2160" w:type="dxa"/>
          </w:tcPr>
          <w:p w14:paraId="2ABEBCF4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Numérica/Categórica</w:t>
            </w:r>
          </w:p>
        </w:tc>
        <w:tc>
          <w:tcPr>
            <w:tcW w:w="2160" w:type="dxa"/>
          </w:tcPr>
          <w:p w14:paraId="72639FB3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cant_gestiones, rpc, promesas_cumplidas</w:t>
            </w:r>
          </w:p>
        </w:tc>
      </w:tr>
      <w:tr w:rsidR="007B3067" w:rsidRPr="00B131ED" w14:paraId="15A49A3F" w14:textId="77777777" w:rsidTr="00B131ED">
        <w:tc>
          <w:tcPr>
            <w:tcW w:w="2160" w:type="dxa"/>
          </w:tcPr>
          <w:p w14:paraId="5CFEE3D6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Comportamiento de pago</w:t>
            </w:r>
          </w:p>
        </w:tc>
        <w:tc>
          <w:tcPr>
            <w:tcW w:w="2160" w:type="dxa"/>
          </w:tcPr>
          <w:p w14:paraId="3977662E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Pagos</w:t>
            </w:r>
          </w:p>
        </w:tc>
        <w:tc>
          <w:tcPr>
            <w:tcW w:w="2160" w:type="dxa"/>
          </w:tcPr>
          <w:p w14:paraId="3497B998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Numérica</w:t>
            </w:r>
          </w:p>
        </w:tc>
        <w:tc>
          <w:tcPr>
            <w:tcW w:w="2160" w:type="dxa"/>
          </w:tcPr>
          <w:p w14:paraId="3BB7CF9D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pct_meses_pagados_6m, meses_desde_ultimo_pago</w:t>
            </w:r>
          </w:p>
        </w:tc>
      </w:tr>
      <w:tr w:rsidR="007B3067" w:rsidRPr="00B131ED" w14:paraId="2F85926E" w14:textId="77777777" w:rsidTr="00B131ED">
        <w:tc>
          <w:tcPr>
            <w:tcW w:w="2160" w:type="dxa"/>
          </w:tcPr>
          <w:p w14:paraId="66BE1F0D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Perfil del cliente</w:t>
            </w:r>
          </w:p>
        </w:tc>
        <w:tc>
          <w:tcPr>
            <w:tcW w:w="2160" w:type="dxa"/>
          </w:tcPr>
          <w:p w14:paraId="26BA3075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Clientes</w:t>
            </w:r>
          </w:p>
        </w:tc>
        <w:tc>
          <w:tcPr>
            <w:tcW w:w="2160" w:type="dxa"/>
          </w:tcPr>
          <w:p w14:paraId="4FE1C036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Num./Cat.</w:t>
            </w:r>
          </w:p>
        </w:tc>
        <w:tc>
          <w:tcPr>
            <w:tcW w:w="2160" w:type="dxa"/>
          </w:tcPr>
          <w:p w14:paraId="2297AAF1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edad_cli, total_ing, tot_activos, segm, region_of</w:t>
            </w:r>
          </w:p>
        </w:tc>
      </w:tr>
      <w:tr w:rsidR="007B3067" w:rsidRPr="00B131ED" w14:paraId="668E1F3B" w14:textId="77777777" w:rsidTr="00B131ED">
        <w:tc>
          <w:tcPr>
            <w:tcW w:w="2160" w:type="dxa"/>
          </w:tcPr>
          <w:p w14:paraId="324F4640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Meta-features analíticas</w:t>
            </w:r>
          </w:p>
        </w:tc>
        <w:tc>
          <w:tcPr>
            <w:tcW w:w="2160" w:type="dxa"/>
          </w:tcPr>
          <w:p w14:paraId="2646D93F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Scores</w:t>
            </w:r>
          </w:p>
        </w:tc>
        <w:tc>
          <w:tcPr>
            <w:tcW w:w="2160" w:type="dxa"/>
          </w:tcPr>
          <w:p w14:paraId="0709111E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Numérica</w:t>
            </w:r>
          </w:p>
        </w:tc>
        <w:tc>
          <w:tcPr>
            <w:tcW w:w="2160" w:type="dxa"/>
          </w:tcPr>
          <w:p w14:paraId="01E26D77" w14:textId="77777777" w:rsidR="007B3067" w:rsidRPr="00B131ED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B131ED">
              <w:rPr>
                <w:rFonts w:ascii="Arial Narrow" w:hAnsi="Arial Narrow"/>
                <w:sz w:val="20"/>
                <w:szCs w:val="20"/>
              </w:rPr>
              <w:t>prob_propension_t_1, prob_auto_cura_t_1, prob_alerta_t_1</w:t>
            </w:r>
          </w:p>
        </w:tc>
      </w:tr>
    </w:tbl>
    <w:p w14:paraId="755112B1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42471599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Exclusiones explícitas</w:t>
      </w:r>
    </w:p>
    <w:p w14:paraId="3C146DD1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Se clasificaron las 50 columnas del pivot en 5 categorías de exclusión, identificadas a partir de la metadata proporcionada:</w:t>
      </w:r>
    </w:p>
    <w:tbl>
      <w:tblPr>
        <w:tblStyle w:val="Tablaconcuadrculaclara"/>
        <w:tblW w:w="0" w:type="auto"/>
        <w:jc w:val="center"/>
        <w:tblLook w:val="04A0" w:firstRow="1" w:lastRow="0" w:firstColumn="1" w:lastColumn="0" w:noHBand="0" w:noVBand="1"/>
      </w:tblPr>
      <w:tblGrid>
        <w:gridCol w:w="1072"/>
        <w:gridCol w:w="7023"/>
        <w:gridCol w:w="1301"/>
      </w:tblGrid>
      <w:tr w:rsidR="00201603" w:rsidRPr="00201603" w14:paraId="1C7E206F" w14:textId="77777777" w:rsidTr="00201603">
        <w:trPr>
          <w:trHeight w:val="288"/>
          <w:jc w:val="center"/>
        </w:trPr>
        <w:tc>
          <w:tcPr>
            <w:tcW w:w="2405" w:type="dxa"/>
            <w:noWrap/>
            <w:hideMark/>
          </w:tcPr>
          <w:p w14:paraId="2165BD98" w14:textId="77777777" w:rsidR="00201603" w:rsidRPr="00201603" w:rsidRDefault="00201603" w:rsidP="00201603">
            <w:pPr>
              <w:rPr>
                <w:rFonts w:ascii="Arial Narrow" w:hAnsi="Arial Narrow"/>
                <w:b/>
                <w:bCs/>
                <w:sz w:val="20"/>
                <w:szCs w:val="20"/>
              </w:rPr>
            </w:pPr>
            <w:r w:rsidRPr="00201603">
              <w:rPr>
                <w:rFonts w:ascii="Arial Narrow" w:hAnsi="Arial Narrow"/>
                <w:b/>
                <w:bCs/>
                <w:sz w:val="20"/>
                <w:szCs w:val="20"/>
              </w:rPr>
              <w:t>Categoría</w:t>
            </w:r>
          </w:p>
        </w:tc>
        <w:tc>
          <w:tcPr>
            <w:tcW w:w="4001" w:type="dxa"/>
            <w:noWrap/>
            <w:hideMark/>
          </w:tcPr>
          <w:p w14:paraId="57274569" w14:textId="77777777" w:rsidR="00201603" w:rsidRPr="00201603" w:rsidRDefault="00201603">
            <w:pPr>
              <w:rPr>
                <w:rFonts w:ascii="Arial Narrow" w:hAnsi="Arial Narrow"/>
                <w:b/>
                <w:bCs/>
                <w:sz w:val="20"/>
                <w:szCs w:val="20"/>
              </w:rPr>
            </w:pPr>
            <w:r w:rsidRPr="00201603">
              <w:rPr>
                <w:rFonts w:ascii="Arial Narrow" w:hAnsi="Arial Narrow"/>
                <w:b/>
                <w:bCs/>
                <w:sz w:val="20"/>
                <w:szCs w:val="20"/>
              </w:rPr>
              <w:t>Variables excluidas</w:t>
            </w:r>
          </w:p>
        </w:tc>
        <w:tc>
          <w:tcPr>
            <w:tcW w:w="2990" w:type="dxa"/>
            <w:noWrap/>
            <w:hideMark/>
          </w:tcPr>
          <w:p w14:paraId="189EBB24" w14:textId="77777777" w:rsidR="00201603" w:rsidRPr="00201603" w:rsidRDefault="00201603">
            <w:pPr>
              <w:rPr>
                <w:rFonts w:ascii="Arial Narrow" w:hAnsi="Arial Narrow"/>
                <w:b/>
                <w:bCs/>
                <w:sz w:val="20"/>
                <w:szCs w:val="20"/>
              </w:rPr>
            </w:pPr>
            <w:r w:rsidRPr="00201603">
              <w:rPr>
                <w:rFonts w:ascii="Arial Narrow" w:hAnsi="Arial Narrow"/>
                <w:b/>
                <w:bCs/>
                <w:sz w:val="20"/>
                <w:szCs w:val="20"/>
              </w:rPr>
              <w:t>Razón</w:t>
            </w:r>
          </w:p>
        </w:tc>
      </w:tr>
      <w:tr w:rsidR="00201603" w:rsidRPr="00201603" w14:paraId="3999EA23" w14:textId="77777777" w:rsidTr="00201603">
        <w:trPr>
          <w:trHeight w:val="288"/>
          <w:jc w:val="center"/>
        </w:trPr>
        <w:tc>
          <w:tcPr>
            <w:tcW w:w="2405" w:type="dxa"/>
            <w:noWrap/>
            <w:hideMark/>
          </w:tcPr>
          <w:p w14:paraId="2DAEF953" w14:textId="77777777" w:rsidR="00201603" w:rsidRPr="00201603" w:rsidRDefault="00201603">
            <w:pPr>
              <w:rPr>
                <w:rFonts w:ascii="Arial Narrow" w:hAnsi="Arial Narrow"/>
                <w:sz w:val="20"/>
                <w:szCs w:val="20"/>
              </w:rPr>
            </w:pPr>
            <w:r w:rsidRPr="00201603">
              <w:rPr>
                <w:rFonts w:ascii="Arial Narrow" w:hAnsi="Arial Narrow"/>
                <w:sz w:val="20"/>
                <w:szCs w:val="20"/>
              </w:rPr>
              <w:t>Target y derivadas</w:t>
            </w:r>
          </w:p>
        </w:tc>
        <w:tc>
          <w:tcPr>
            <w:tcW w:w="4001" w:type="dxa"/>
            <w:noWrap/>
            <w:hideMark/>
          </w:tcPr>
          <w:p w14:paraId="2C9FA511" w14:textId="77777777" w:rsidR="00201603" w:rsidRPr="00201603" w:rsidRDefault="00201603">
            <w:pPr>
              <w:rPr>
                <w:rFonts w:ascii="Arial Narrow" w:hAnsi="Arial Narrow"/>
                <w:sz w:val="20"/>
                <w:szCs w:val="20"/>
              </w:rPr>
            </w:pPr>
            <w:r w:rsidRPr="00201603">
              <w:rPr>
                <w:rFonts w:ascii="Arial Narrow" w:hAnsi="Arial Narrow"/>
                <w:sz w:val="20"/>
                <w:szCs w:val="20"/>
              </w:rPr>
              <w:t>var_rpta_alt, tipo_var_rpta_alt, marca_alternativa, marca_alternativa_orig</w:t>
            </w:r>
          </w:p>
        </w:tc>
        <w:tc>
          <w:tcPr>
            <w:tcW w:w="2990" w:type="dxa"/>
            <w:noWrap/>
            <w:hideMark/>
          </w:tcPr>
          <w:p w14:paraId="038C54B2" w14:textId="77777777" w:rsidR="00201603" w:rsidRPr="00201603" w:rsidRDefault="00201603">
            <w:pPr>
              <w:rPr>
                <w:rFonts w:ascii="Arial Narrow" w:hAnsi="Arial Narrow"/>
                <w:sz w:val="20"/>
                <w:szCs w:val="20"/>
              </w:rPr>
            </w:pPr>
            <w:r w:rsidRPr="00201603">
              <w:rPr>
                <w:rFonts w:ascii="Arial Narrow" w:hAnsi="Arial Narrow"/>
                <w:sz w:val="20"/>
                <w:szCs w:val="20"/>
              </w:rPr>
              <w:t xml:space="preserve">Variable respuesta o </w:t>
            </w:r>
            <w:r w:rsidRPr="00201603">
              <w:rPr>
                <w:rFonts w:ascii="Arial Narrow" w:hAnsi="Arial Narrow"/>
                <w:sz w:val="20"/>
                <w:szCs w:val="20"/>
              </w:rPr>
              <w:lastRenderedPageBreak/>
              <w:t>duplicados directos</w:t>
            </w:r>
          </w:p>
        </w:tc>
      </w:tr>
      <w:tr w:rsidR="00201603" w:rsidRPr="00201603" w14:paraId="1A85599C" w14:textId="77777777" w:rsidTr="00201603">
        <w:trPr>
          <w:trHeight w:val="288"/>
          <w:jc w:val="center"/>
        </w:trPr>
        <w:tc>
          <w:tcPr>
            <w:tcW w:w="2405" w:type="dxa"/>
            <w:noWrap/>
            <w:hideMark/>
          </w:tcPr>
          <w:p w14:paraId="60B80067" w14:textId="77777777" w:rsidR="00201603" w:rsidRPr="00201603" w:rsidRDefault="00201603">
            <w:pPr>
              <w:rPr>
                <w:rFonts w:ascii="Arial Narrow" w:hAnsi="Arial Narrow"/>
                <w:sz w:val="20"/>
                <w:szCs w:val="20"/>
              </w:rPr>
            </w:pPr>
            <w:r w:rsidRPr="00201603">
              <w:rPr>
                <w:rFonts w:ascii="Arial Narrow" w:hAnsi="Arial Narrow"/>
                <w:sz w:val="20"/>
                <w:szCs w:val="20"/>
              </w:rPr>
              <w:lastRenderedPageBreak/>
              <w:t>Post-proceso</w:t>
            </w:r>
          </w:p>
        </w:tc>
        <w:tc>
          <w:tcPr>
            <w:tcW w:w="4001" w:type="dxa"/>
            <w:noWrap/>
            <w:hideMark/>
          </w:tcPr>
          <w:p w14:paraId="0DF45865" w14:textId="77777777" w:rsidR="00201603" w:rsidRPr="00201603" w:rsidRDefault="00201603">
            <w:pPr>
              <w:rPr>
                <w:rFonts w:ascii="Arial Narrow" w:hAnsi="Arial Narrow"/>
                <w:sz w:val="20"/>
                <w:szCs w:val="20"/>
              </w:rPr>
            </w:pPr>
            <w:r w:rsidRPr="00201603">
              <w:rPr>
                <w:rFonts w:ascii="Arial Narrow" w:hAnsi="Arial Narrow"/>
                <w:sz w:val="20"/>
                <w:szCs w:val="20"/>
              </w:rPr>
              <w:t>marca_alt_apli, marca_alt_rank, alternativa_aplicada_agr, marca_agrupada_rgo, descripcion_ranking_mejor_ult, descripcion_ranking_post_ult</w:t>
            </w:r>
          </w:p>
        </w:tc>
        <w:tc>
          <w:tcPr>
            <w:tcW w:w="2990" w:type="dxa"/>
            <w:noWrap/>
            <w:hideMark/>
          </w:tcPr>
          <w:p w14:paraId="71EFE086" w14:textId="77777777" w:rsidR="00201603" w:rsidRPr="00201603" w:rsidRDefault="00201603">
            <w:pPr>
              <w:rPr>
                <w:rFonts w:ascii="Arial Narrow" w:hAnsi="Arial Narrow"/>
                <w:sz w:val="20"/>
                <w:szCs w:val="20"/>
              </w:rPr>
            </w:pPr>
            <w:r w:rsidRPr="00201603">
              <w:rPr>
                <w:rFonts w:ascii="Arial Narrow" w:hAnsi="Arial Narrow"/>
                <w:sz w:val="20"/>
                <w:szCs w:val="20"/>
              </w:rPr>
              <w:t>Información posterior a la decisión del cliente</w:t>
            </w:r>
          </w:p>
        </w:tc>
      </w:tr>
      <w:tr w:rsidR="00201603" w:rsidRPr="00201603" w14:paraId="4D29BF19" w14:textId="77777777" w:rsidTr="00201603">
        <w:trPr>
          <w:trHeight w:val="288"/>
          <w:jc w:val="center"/>
        </w:trPr>
        <w:tc>
          <w:tcPr>
            <w:tcW w:w="2405" w:type="dxa"/>
            <w:noWrap/>
            <w:hideMark/>
          </w:tcPr>
          <w:p w14:paraId="08CB82ED" w14:textId="77777777" w:rsidR="00201603" w:rsidRPr="00201603" w:rsidRDefault="00201603">
            <w:pPr>
              <w:rPr>
                <w:rFonts w:ascii="Arial Narrow" w:hAnsi="Arial Narrow"/>
                <w:sz w:val="20"/>
                <w:szCs w:val="20"/>
              </w:rPr>
            </w:pPr>
            <w:r w:rsidRPr="00201603">
              <w:rPr>
                <w:rFonts w:ascii="Arial Narrow" w:hAnsi="Arial Narrow"/>
                <w:sz w:val="20"/>
                <w:szCs w:val="20"/>
              </w:rPr>
              <w:t>Leakage temporal</w:t>
            </w:r>
          </w:p>
        </w:tc>
        <w:tc>
          <w:tcPr>
            <w:tcW w:w="4001" w:type="dxa"/>
            <w:noWrap/>
            <w:hideMark/>
          </w:tcPr>
          <w:p w14:paraId="026A7BFE" w14:textId="77777777" w:rsidR="00201603" w:rsidRPr="00201603" w:rsidRDefault="00201603">
            <w:pPr>
              <w:rPr>
                <w:rFonts w:ascii="Arial Narrow" w:hAnsi="Arial Narrow"/>
                <w:sz w:val="20"/>
                <w:szCs w:val="20"/>
              </w:rPr>
            </w:pPr>
            <w:r w:rsidRPr="00201603">
              <w:rPr>
                <w:rFonts w:ascii="Arial Narrow" w:hAnsi="Arial Narrow"/>
                <w:sz w:val="20"/>
                <w:szCs w:val="20"/>
              </w:rPr>
              <w:t>dias_mora_fin, min_mora, max_mora, rango_mora, pago_cuota, porc_pago_cuota, pago_mes, porc_pago_mes, pagos_tanque, marca_debito_mora, marca_pago, valor_cuota_mes, fe_amplitud_mora, fe_mora_severity, fe_mora_acelerada</w:t>
            </w:r>
          </w:p>
        </w:tc>
        <w:tc>
          <w:tcPr>
            <w:tcW w:w="2990" w:type="dxa"/>
            <w:noWrap/>
            <w:hideMark/>
          </w:tcPr>
          <w:p w14:paraId="4A237419" w14:textId="77777777" w:rsidR="00201603" w:rsidRPr="00201603" w:rsidRDefault="00201603">
            <w:pPr>
              <w:rPr>
                <w:rFonts w:ascii="Arial Narrow" w:hAnsi="Arial Narrow"/>
                <w:sz w:val="20"/>
                <w:szCs w:val="20"/>
              </w:rPr>
            </w:pPr>
            <w:r w:rsidRPr="00201603">
              <w:rPr>
                <w:rFonts w:ascii="Arial Narrow" w:hAnsi="Arial Narrow"/>
                <w:sz w:val="20"/>
                <w:szCs w:val="20"/>
              </w:rPr>
              <w:t>Calculadas en el mes de la variable respuesta o derivadas directamente de ellas</w:t>
            </w:r>
          </w:p>
        </w:tc>
      </w:tr>
      <w:tr w:rsidR="00201603" w:rsidRPr="00201603" w14:paraId="52A71352" w14:textId="77777777" w:rsidTr="00201603">
        <w:trPr>
          <w:trHeight w:val="288"/>
          <w:jc w:val="center"/>
        </w:trPr>
        <w:tc>
          <w:tcPr>
            <w:tcW w:w="2405" w:type="dxa"/>
            <w:noWrap/>
            <w:hideMark/>
          </w:tcPr>
          <w:p w14:paraId="5594EEA8" w14:textId="77777777" w:rsidR="00201603" w:rsidRPr="00201603" w:rsidRDefault="00201603">
            <w:pPr>
              <w:rPr>
                <w:rFonts w:ascii="Arial Narrow" w:hAnsi="Arial Narrow"/>
                <w:sz w:val="20"/>
                <w:szCs w:val="20"/>
              </w:rPr>
            </w:pPr>
            <w:r w:rsidRPr="00201603">
              <w:rPr>
                <w:rFonts w:ascii="Arial Narrow" w:hAnsi="Arial Narrow"/>
                <w:sz w:val="20"/>
                <w:szCs w:val="20"/>
              </w:rPr>
              <w:t>Gestión mismo mes</w:t>
            </w:r>
          </w:p>
        </w:tc>
        <w:tc>
          <w:tcPr>
            <w:tcW w:w="4001" w:type="dxa"/>
            <w:noWrap/>
            <w:hideMark/>
          </w:tcPr>
          <w:p w14:paraId="4D94954C" w14:textId="77777777" w:rsidR="00201603" w:rsidRPr="00201603" w:rsidRDefault="00201603">
            <w:pPr>
              <w:rPr>
                <w:rFonts w:ascii="Arial Narrow" w:hAnsi="Arial Narrow"/>
                <w:sz w:val="20"/>
                <w:szCs w:val="20"/>
              </w:rPr>
            </w:pPr>
            <w:r w:rsidRPr="00201603">
              <w:rPr>
                <w:rFonts w:ascii="Arial Narrow" w:hAnsi="Arial Narrow"/>
                <w:sz w:val="20"/>
                <w:szCs w:val="20"/>
              </w:rPr>
              <w:t>cant_gestiones, rpc, promesas_cumplidas, cant_acuerdo, cant_gestiones_binario, cant_promesas_cumplidas_binario, cant_acuerdo_binario, fe_ratio_contacto, fe_promesas_por_rpc, fe_intensidad_gestion</w:t>
            </w:r>
          </w:p>
        </w:tc>
        <w:tc>
          <w:tcPr>
            <w:tcW w:w="2990" w:type="dxa"/>
            <w:noWrap/>
            <w:hideMark/>
          </w:tcPr>
          <w:p w14:paraId="58305E86" w14:textId="77777777" w:rsidR="00201603" w:rsidRPr="00201603" w:rsidRDefault="00201603">
            <w:pPr>
              <w:rPr>
                <w:rFonts w:ascii="Arial Narrow" w:hAnsi="Arial Narrow"/>
                <w:sz w:val="20"/>
                <w:szCs w:val="20"/>
              </w:rPr>
            </w:pPr>
            <w:r w:rsidRPr="00201603">
              <w:rPr>
                <w:rFonts w:ascii="Arial Narrow" w:hAnsi="Arial Narrow"/>
                <w:sz w:val="20"/>
                <w:szCs w:val="20"/>
              </w:rPr>
              <w:t>Acumulados al cierre del mes de respuesta o construidos sobre ellos; promesas_cumplidas es prácticamente el target mismo</w:t>
            </w:r>
          </w:p>
        </w:tc>
      </w:tr>
      <w:tr w:rsidR="00201603" w:rsidRPr="00201603" w14:paraId="3512FC3F" w14:textId="77777777" w:rsidTr="00201603">
        <w:trPr>
          <w:trHeight w:val="587"/>
          <w:jc w:val="center"/>
        </w:trPr>
        <w:tc>
          <w:tcPr>
            <w:tcW w:w="2405" w:type="dxa"/>
            <w:noWrap/>
            <w:hideMark/>
          </w:tcPr>
          <w:p w14:paraId="6E9D060E" w14:textId="77777777" w:rsidR="00201603" w:rsidRPr="00201603" w:rsidRDefault="00201603">
            <w:pPr>
              <w:rPr>
                <w:rFonts w:ascii="Arial Narrow" w:hAnsi="Arial Narrow"/>
                <w:sz w:val="20"/>
                <w:szCs w:val="20"/>
              </w:rPr>
            </w:pPr>
            <w:r w:rsidRPr="00201603">
              <w:rPr>
                <w:rFonts w:ascii="Arial Narrow" w:hAnsi="Arial Narrow"/>
                <w:sz w:val="20"/>
                <w:szCs w:val="20"/>
              </w:rPr>
              <w:t>Overfitting</w:t>
            </w:r>
          </w:p>
        </w:tc>
        <w:tc>
          <w:tcPr>
            <w:tcW w:w="4001" w:type="dxa"/>
            <w:noWrap/>
            <w:hideMark/>
          </w:tcPr>
          <w:p w14:paraId="18FE3C0D" w14:textId="77777777" w:rsidR="00201603" w:rsidRPr="00201603" w:rsidRDefault="00201603">
            <w:pPr>
              <w:rPr>
                <w:rFonts w:ascii="Arial Narrow" w:hAnsi="Arial Narrow"/>
                <w:sz w:val="20"/>
                <w:szCs w:val="20"/>
              </w:rPr>
            </w:pPr>
            <w:r w:rsidRPr="00201603">
              <w:rPr>
                <w:rFonts w:ascii="Arial Narrow" w:hAnsi="Arial Narrow"/>
                <w:sz w:val="20"/>
                <w:szCs w:val="20"/>
              </w:rPr>
              <w:t>desc_alternativa1, desc_alternativa2, desc_alternativa3, alter_posible1_2, alter_posible2_2, alter_posible3_2, nombre_dpto_dirp</w:t>
            </w:r>
          </w:p>
        </w:tc>
        <w:tc>
          <w:tcPr>
            <w:tcW w:w="2990" w:type="dxa"/>
            <w:noWrap/>
            <w:hideMark/>
          </w:tcPr>
          <w:p w14:paraId="6C528707" w14:textId="77777777" w:rsidR="00201603" w:rsidRPr="00201603" w:rsidRDefault="00201603">
            <w:pPr>
              <w:rPr>
                <w:rFonts w:ascii="Arial Narrow" w:hAnsi="Arial Narrow"/>
                <w:sz w:val="20"/>
                <w:szCs w:val="20"/>
              </w:rPr>
            </w:pPr>
            <w:r w:rsidRPr="00201603">
              <w:rPr>
                <w:rFonts w:ascii="Arial Narrow" w:hAnsi="Arial Narrow"/>
                <w:sz w:val="20"/>
                <w:szCs w:val="20"/>
              </w:rPr>
              <w:t>Alta cardinalidad sin poder predictivo generalizable</w:t>
            </w:r>
          </w:p>
        </w:tc>
      </w:tr>
    </w:tbl>
    <w:p w14:paraId="5EFFF5F2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226689EC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Impacto en el enfoque</w:t>
      </w:r>
    </w:p>
    <w:p w14:paraId="52C5E98A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Esta gobernanza determinó que las features del pivot directo fueran limitadas, y que el poder predictivo del modelo dependiera principalmente de:</w:t>
      </w:r>
    </w:p>
    <w:p w14:paraId="0D9D45ED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Features históricas construidas desde las tablas de pagos y scores (fuentes limpias).</w:t>
      </w:r>
    </w:p>
    <w:p w14:paraId="65905310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Features del perfil del cliente (snapshot temporal sin riesgo de leakage).</w:t>
      </w:r>
    </w:p>
    <w:p w14:paraId="6CCF6EF7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Variables construidas mediante ingeniería de features.</w:t>
      </w:r>
    </w:p>
    <w:p w14:paraId="6CE0F7FB" w14:textId="77777777" w:rsidR="007B3067" w:rsidRPr="00B131ED" w:rsidRDefault="00000000">
      <w:pPr>
        <w:pStyle w:val="Ttulo1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4. Análisis Exploratorio (EDA)</w:t>
      </w:r>
    </w:p>
    <w:p w14:paraId="0D965AF0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Con el dataset limpio de 22 features elegibles, se realizó un EDA enfocado en 4 ejes:</w:t>
      </w:r>
    </w:p>
    <w:p w14:paraId="5C2B5B50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4.1 Distribución del target</w:t>
      </w:r>
    </w:p>
    <w:p w14:paraId="065AF9C3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Target: 1 = 39.8%  |  0 = 60.2%</w:t>
      </w:r>
    </w:p>
    <w:p w14:paraId="6B2C5E51" w14:textId="74765554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El desbalance es moderado, lo que permite usar métricas estándar como F1-Score</w:t>
      </w:r>
      <w:r w:rsidR="00AB7E0A">
        <w:rPr>
          <w:rFonts w:ascii="Arial Narrow" w:hAnsi="Arial Narrow"/>
          <w:sz w:val="24"/>
          <w:szCs w:val="24"/>
        </w:rPr>
        <w:t>.</w:t>
      </w:r>
    </w:p>
    <w:p w14:paraId="202B3746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lastRenderedPageBreak/>
        <w:t>4.2 Correlación con la variable respuesta</w:t>
      </w:r>
    </w:p>
    <w:p w14:paraId="34F436FF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Se calculó la correlación absoluta de todas las features numéricas con el target. Las más correlacionadas fueron:</w:t>
      </w:r>
    </w:p>
    <w:p w14:paraId="17EEA1D1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 xml:space="preserve">1. </w:t>
      </w:r>
      <w:r w:rsidRPr="00B131ED">
        <w:rPr>
          <w:rFonts w:ascii="Arial Narrow" w:hAnsi="Arial Narrow"/>
          <w:sz w:val="24"/>
          <w:szCs w:val="24"/>
        </w:rPr>
        <w:t>pct_meses_pagados_6m — frecuencia de pago reciente (Top 1)</w:t>
      </w:r>
    </w:p>
    <w:p w14:paraId="38C285D9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 xml:space="preserve">2. </w:t>
      </w:r>
      <w:r w:rsidRPr="00B131ED">
        <w:rPr>
          <w:rFonts w:ascii="Arial Narrow" w:hAnsi="Arial Narrow"/>
          <w:sz w:val="24"/>
          <w:szCs w:val="24"/>
        </w:rPr>
        <w:t>prob_propension — score de propensión del mes anterior</w:t>
      </w:r>
    </w:p>
    <w:p w14:paraId="1995B525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 xml:space="preserve">3. </w:t>
      </w:r>
      <w:r w:rsidRPr="00B131ED">
        <w:rPr>
          <w:rFonts w:ascii="Arial Narrow" w:hAnsi="Arial Narrow"/>
          <w:sz w:val="24"/>
          <w:szCs w:val="24"/>
        </w:rPr>
        <w:t>meses_desde_ultimo_pago — recencia de pago</w:t>
      </w:r>
    </w:p>
    <w:p w14:paraId="1F5301B8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 xml:space="preserve">4. </w:t>
      </w:r>
      <w:r w:rsidRPr="00B131ED">
        <w:rPr>
          <w:rFonts w:ascii="Arial Narrow" w:hAnsi="Arial Narrow"/>
          <w:sz w:val="24"/>
          <w:szCs w:val="24"/>
        </w:rPr>
        <w:t>cant_alter_posibles — número de opciones de pago disponibles</w:t>
      </w:r>
    </w:p>
    <w:p w14:paraId="4E75A8F0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 xml:space="preserve">5. </w:t>
      </w:r>
      <w:r w:rsidRPr="00B131ED">
        <w:rPr>
          <w:rFonts w:ascii="Arial Narrow" w:hAnsi="Arial Narrow"/>
          <w:sz w:val="24"/>
          <w:szCs w:val="24"/>
        </w:rPr>
        <w:t>prob_auto_cura — score de auto-cura del mes anterior</w:t>
      </w:r>
    </w:p>
    <w:p w14:paraId="12DEE8C4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>Esto confirmó que el comportamiento histórico de pago es el predictor más fuerte, seguido por los scores analíticos previos.</w:t>
      </w:r>
    </w:p>
    <w:p w14:paraId="0C94580F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4.3 Análisis univariado vs. target</w:t>
      </w:r>
    </w:p>
    <w:p w14:paraId="3202FB69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Se graficaron las top 4 features limpias contra la tasa de aceptación:</w:t>
      </w:r>
    </w:p>
    <w:p w14:paraId="3773BB52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pct_meses_pagados_6m: relación monotónicamente creciente — a mayor frecuencia de pago, mayor aceptación. Clientes con &gt;67% de meses pagados tienen tasa de aceptación &gt;70%.</w:t>
      </w:r>
    </w:p>
    <w:p w14:paraId="6DE5F9E6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meses_desde_ultimo_pago: relación decreciente — mientras más meses sin pagar, menos probable la aceptación.</w:t>
      </w:r>
    </w:p>
    <w:p w14:paraId="2AB0E6D7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prob_propension: relación creciente consistente con un buen score previo.</w:t>
      </w:r>
    </w:p>
    <w:p w14:paraId="5F948A5D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cant_alter_posibles: relación no lineal — clientes con 1-2 alternativas tienen tasas más altas que aquellos con 0 o con 3+ (posible saturación).</w:t>
      </w:r>
    </w:p>
    <w:p w14:paraId="608CFDD5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4.4 Variables categóricas vs. target</w:t>
      </w:r>
    </w:p>
    <w:p w14:paraId="1BF2AB60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Se analizaron segm, tipo_cli y region_of:</w:t>
      </w:r>
    </w:p>
    <w:p w14:paraId="47A530EE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Existen segmentos con tasas de aceptación significativamente diferentes, lo que justifica su inclusión como feature.</w:t>
      </w:r>
    </w:p>
    <w:p w14:paraId="2752F700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La región muestra diferencias menores pero consistentes.</w:t>
      </w:r>
    </w:p>
    <w:p w14:paraId="34DA7AFD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4.5 Multicolinealidad</w:t>
      </w:r>
    </w:p>
    <w:p w14:paraId="3CAD1A65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Se identificaron 3 pares con correlación |r| &gt; 0.7: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B3067" w:rsidRPr="00AB7E0A" w14:paraId="0057797B" w14:textId="77777777" w:rsidTr="00AB7E0A">
        <w:tc>
          <w:tcPr>
            <w:tcW w:w="2880" w:type="dxa"/>
          </w:tcPr>
          <w:p w14:paraId="57DA7067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b/>
                <w:sz w:val="20"/>
                <w:szCs w:val="20"/>
              </w:rPr>
              <w:t>Par</w:t>
            </w:r>
          </w:p>
        </w:tc>
        <w:tc>
          <w:tcPr>
            <w:tcW w:w="2880" w:type="dxa"/>
          </w:tcPr>
          <w:p w14:paraId="721705D8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b/>
                <w:sz w:val="20"/>
                <w:szCs w:val="20"/>
              </w:rPr>
              <w:t>r</w:t>
            </w:r>
          </w:p>
        </w:tc>
        <w:tc>
          <w:tcPr>
            <w:tcW w:w="2880" w:type="dxa"/>
          </w:tcPr>
          <w:p w14:paraId="784814EB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b/>
                <w:sz w:val="20"/>
                <w:szCs w:val="20"/>
              </w:rPr>
              <w:t>Acción</w:t>
            </w:r>
          </w:p>
        </w:tc>
      </w:tr>
      <w:tr w:rsidR="007B3067" w:rsidRPr="00AB7E0A" w14:paraId="6A34FFBF" w14:textId="77777777" w:rsidTr="00AB7E0A">
        <w:tc>
          <w:tcPr>
            <w:tcW w:w="2880" w:type="dxa"/>
          </w:tcPr>
          <w:p w14:paraId="36DC0BC5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vlr_obligacion ↔ saldo_capital</w:t>
            </w:r>
          </w:p>
        </w:tc>
        <w:tc>
          <w:tcPr>
            <w:tcW w:w="2880" w:type="dxa"/>
          </w:tcPr>
          <w:p w14:paraId="32BC653A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0.998</w:t>
            </w:r>
          </w:p>
        </w:tc>
        <w:tc>
          <w:tcPr>
            <w:tcW w:w="2880" w:type="dxa"/>
          </w:tcPr>
          <w:p w14:paraId="00843013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Mantener ambas (LightGBM las maneja)</w:t>
            </w:r>
          </w:p>
        </w:tc>
      </w:tr>
      <w:tr w:rsidR="007B3067" w:rsidRPr="00AB7E0A" w14:paraId="0E1C85EB" w14:textId="77777777" w:rsidTr="00AB7E0A">
        <w:tc>
          <w:tcPr>
            <w:tcW w:w="2880" w:type="dxa"/>
          </w:tcPr>
          <w:p w14:paraId="0E444118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prob_auto_cura ↔ prob_alrt_temprana</w:t>
            </w:r>
          </w:p>
        </w:tc>
        <w:tc>
          <w:tcPr>
            <w:tcW w:w="2880" w:type="dxa"/>
          </w:tcPr>
          <w:p w14:paraId="6B81FA93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0.781</w:t>
            </w:r>
          </w:p>
        </w:tc>
        <w:tc>
          <w:tcPr>
            <w:tcW w:w="2880" w:type="dxa"/>
          </w:tcPr>
          <w:p w14:paraId="7476D6D4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Mantener ambas (señales complementarias)</w:t>
            </w:r>
          </w:p>
        </w:tc>
      </w:tr>
      <w:tr w:rsidR="007B3067" w:rsidRPr="00AB7E0A" w14:paraId="535750B8" w14:textId="77777777" w:rsidTr="00AB7E0A">
        <w:tc>
          <w:tcPr>
            <w:tcW w:w="2880" w:type="dxa"/>
          </w:tcPr>
          <w:p w14:paraId="774A486F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tot_activos ↔ tot_patrimonio</w:t>
            </w:r>
          </w:p>
        </w:tc>
        <w:tc>
          <w:tcPr>
            <w:tcW w:w="2880" w:type="dxa"/>
          </w:tcPr>
          <w:p w14:paraId="77C9AFC6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0.712</w:t>
            </w:r>
          </w:p>
        </w:tc>
        <w:tc>
          <w:tcPr>
            <w:tcW w:w="2880" w:type="dxa"/>
          </w:tcPr>
          <w:p w14:paraId="0F693D0A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Se creó ratio tot_pasivos / tot_activos</w:t>
            </w:r>
          </w:p>
        </w:tc>
      </w:tr>
    </w:tbl>
    <w:p w14:paraId="57C08380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0F81AB7B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lastRenderedPageBreak/>
        <w:t>4.6 Distribuciones de variables monetarias</w:t>
      </w:r>
    </w:p>
    <w:p w14:paraId="7C9C4953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Las variables monetarias tienen distribuciones altamente sesgadas. La transformación logarítmica (log1p) reduce la asimetría consistentemente: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B3067" w:rsidRPr="00AB7E0A" w14:paraId="0C7F1D49" w14:textId="77777777" w:rsidTr="00AB7E0A">
        <w:tc>
          <w:tcPr>
            <w:tcW w:w="2880" w:type="dxa"/>
          </w:tcPr>
          <w:p w14:paraId="12B5E579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b/>
                <w:sz w:val="20"/>
                <w:szCs w:val="20"/>
              </w:rPr>
              <w:t>Variable</w:t>
            </w:r>
          </w:p>
        </w:tc>
        <w:tc>
          <w:tcPr>
            <w:tcW w:w="2880" w:type="dxa"/>
          </w:tcPr>
          <w:p w14:paraId="67311138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b/>
                <w:sz w:val="20"/>
                <w:szCs w:val="20"/>
              </w:rPr>
              <w:t>Skewness original</w:t>
            </w:r>
          </w:p>
        </w:tc>
        <w:tc>
          <w:tcPr>
            <w:tcW w:w="2880" w:type="dxa"/>
          </w:tcPr>
          <w:p w14:paraId="606E8F5F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b/>
                <w:sz w:val="20"/>
                <w:szCs w:val="20"/>
              </w:rPr>
              <w:t>Skewness log</w:t>
            </w:r>
          </w:p>
        </w:tc>
      </w:tr>
      <w:tr w:rsidR="007B3067" w:rsidRPr="00AB7E0A" w14:paraId="1C2DEF54" w14:textId="77777777" w:rsidTr="00AB7E0A">
        <w:tc>
          <w:tcPr>
            <w:tcW w:w="2880" w:type="dxa"/>
          </w:tcPr>
          <w:p w14:paraId="039330F8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vlr_obligacion</w:t>
            </w:r>
          </w:p>
        </w:tc>
        <w:tc>
          <w:tcPr>
            <w:tcW w:w="2880" w:type="dxa"/>
          </w:tcPr>
          <w:p w14:paraId="40CA5D74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&gt;5</w:t>
            </w:r>
          </w:p>
        </w:tc>
        <w:tc>
          <w:tcPr>
            <w:tcW w:w="2880" w:type="dxa"/>
          </w:tcPr>
          <w:p w14:paraId="2E70104C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~0.8</w:t>
            </w:r>
          </w:p>
        </w:tc>
      </w:tr>
      <w:tr w:rsidR="007B3067" w:rsidRPr="00AB7E0A" w14:paraId="70A45C3F" w14:textId="77777777" w:rsidTr="00AB7E0A">
        <w:tc>
          <w:tcPr>
            <w:tcW w:w="2880" w:type="dxa"/>
          </w:tcPr>
          <w:p w14:paraId="29433A71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vlr_vencido</w:t>
            </w:r>
          </w:p>
        </w:tc>
        <w:tc>
          <w:tcPr>
            <w:tcW w:w="2880" w:type="dxa"/>
          </w:tcPr>
          <w:p w14:paraId="1325BB20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&gt;5</w:t>
            </w:r>
          </w:p>
        </w:tc>
        <w:tc>
          <w:tcPr>
            <w:tcW w:w="2880" w:type="dxa"/>
          </w:tcPr>
          <w:p w14:paraId="29886556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~0.6</w:t>
            </w:r>
          </w:p>
        </w:tc>
      </w:tr>
      <w:tr w:rsidR="007B3067" w:rsidRPr="00AB7E0A" w14:paraId="5A7746E4" w14:textId="77777777" w:rsidTr="00AB7E0A">
        <w:tc>
          <w:tcPr>
            <w:tcW w:w="2880" w:type="dxa"/>
          </w:tcPr>
          <w:p w14:paraId="6C73CC14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total_ing</w:t>
            </w:r>
          </w:p>
        </w:tc>
        <w:tc>
          <w:tcPr>
            <w:tcW w:w="2880" w:type="dxa"/>
          </w:tcPr>
          <w:p w14:paraId="31690A63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&gt;4</w:t>
            </w:r>
          </w:p>
        </w:tc>
        <w:tc>
          <w:tcPr>
            <w:tcW w:w="2880" w:type="dxa"/>
          </w:tcPr>
          <w:p w14:paraId="25C039D4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~0.5</w:t>
            </w:r>
          </w:p>
        </w:tc>
      </w:tr>
      <w:tr w:rsidR="007B3067" w:rsidRPr="00AB7E0A" w14:paraId="74AB56A7" w14:textId="77777777" w:rsidTr="00AB7E0A">
        <w:tc>
          <w:tcPr>
            <w:tcW w:w="2880" w:type="dxa"/>
          </w:tcPr>
          <w:p w14:paraId="2CE7809B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endeudamiento</w:t>
            </w:r>
          </w:p>
        </w:tc>
        <w:tc>
          <w:tcPr>
            <w:tcW w:w="2880" w:type="dxa"/>
          </w:tcPr>
          <w:p w14:paraId="483D83BD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&gt;5</w:t>
            </w:r>
          </w:p>
        </w:tc>
        <w:tc>
          <w:tcPr>
            <w:tcW w:w="2880" w:type="dxa"/>
          </w:tcPr>
          <w:p w14:paraId="7AF3C3CC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~0.9</w:t>
            </w:r>
          </w:p>
        </w:tc>
      </w:tr>
    </w:tbl>
    <w:p w14:paraId="6C283415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5D630DBA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Se decidió incluir ambas versiones (original y log-transform) como features y dejar que el modelo seleccione las más útiles.</w:t>
      </w:r>
    </w:p>
    <w:p w14:paraId="3C127B67" w14:textId="77777777" w:rsidR="007B3067" w:rsidRPr="00B131ED" w:rsidRDefault="00000000">
      <w:pPr>
        <w:pStyle w:val="Ttulo1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5. Ingeniería de Variables</w:t>
      </w:r>
    </w:p>
    <w:p w14:paraId="2C14E84C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Se construyeron features adicionales agrupadas en 12 categorías, diseñadas para capturar relaciones no lineales e interacciones que los árboles de decisión pueden explotar.</w:t>
      </w:r>
    </w:p>
    <w:p w14:paraId="39208932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5.1 Features históricas de pagos</w:t>
      </w:r>
    </w:p>
    <w:p w14:paraId="303C17FC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Para cada observación, se agregaron los pagos de todos los meses previos al mes objetivo (sin leakage):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B3067" w:rsidRPr="00AB7E0A" w14:paraId="54DC9709" w14:textId="77777777" w:rsidTr="00AB7E0A">
        <w:tc>
          <w:tcPr>
            <w:tcW w:w="4320" w:type="dxa"/>
          </w:tcPr>
          <w:p w14:paraId="0C70E9B4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b/>
                <w:sz w:val="20"/>
                <w:szCs w:val="20"/>
              </w:rPr>
              <w:t>Feature</w:t>
            </w:r>
          </w:p>
        </w:tc>
        <w:tc>
          <w:tcPr>
            <w:tcW w:w="4320" w:type="dxa"/>
          </w:tcPr>
          <w:p w14:paraId="62C258FC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b/>
                <w:sz w:val="20"/>
                <w:szCs w:val="20"/>
              </w:rPr>
              <w:t>Lógica</w:t>
            </w:r>
          </w:p>
        </w:tc>
      </w:tr>
      <w:tr w:rsidR="007B3067" w:rsidRPr="00AB7E0A" w14:paraId="605962FE" w14:textId="77777777" w:rsidTr="00AB7E0A">
        <w:tc>
          <w:tcPr>
            <w:tcW w:w="4320" w:type="dxa"/>
          </w:tcPr>
          <w:p w14:paraId="2D9B05CB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hist_n_periodos</w:t>
            </w:r>
          </w:p>
        </w:tc>
        <w:tc>
          <w:tcPr>
            <w:tcW w:w="4320" w:type="dxa"/>
          </w:tcPr>
          <w:p w14:paraId="2F3A0833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Cantidad de meses con historial de pago</w:t>
            </w:r>
          </w:p>
        </w:tc>
      </w:tr>
      <w:tr w:rsidR="007B3067" w:rsidRPr="00AB7E0A" w14:paraId="42F59250" w14:textId="77777777" w:rsidTr="00AB7E0A">
        <w:tc>
          <w:tcPr>
            <w:tcW w:w="4320" w:type="dxa"/>
          </w:tcPr>
          <w:p w14:paraId="60379BA3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hist_porc_pago_med / mean / std</w:t>
            </w:r>
          </w:p>
        </w:tc>
        <w:tc>
          <w:tcPr>
            <w:tcW w:w="4320" w:type="dxa"/>
          </w:tcPr>
          <w:p w14:paraId="505AB599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Mediana, media y desviación del % de pago</w:t>
            </w:r>
          </w:p>
        </w:tc>
      </w:tr>
      <w:tr w:rsidR="007B3067" w:rsidRPr="00AB7E0A" w14:paraId="2BEAA07A" w14:textId="77777777" w:rsidTr="00AB7E0A">
        <w:tc>
          <w:tcPr>
            <w:tcW w:w="4320" w:type="dxa"/>
          </w:tcPr>
          <w:p w14:paraId="61FAD7D5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hist_prop_pago_comp</w:t>
            </w:r>
          </w:p>
        </w:tc>
        <w:tc>
          <w:tcPr>
            <w:tcW w:w="4320" w:type="dxa"/>
          </w:tcPr>
          <w:p w14:paraId="6F36FF3C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Proporción de meses con pago completo (≥100%)</w:t>
            </w:r>
          </w:p>
        </w:tc>
      </w:tr>
      <w:tr w:rsidR="007B3067" w:rsidRPr="00AB7E0A" w14:paraId="1B742F2F" w14:textId="77777777" w:rsidTr="00AB7E0A">
        <w:tc>
          <w:tcPr>
            <w:tcW w:w="4320" w:type="dxa"/>
          </w:tcPr>
          <w:p w14:paraId="631B2F93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hist_pago_total_med</w:t>
            </w:r>
          </w:p>
        </w:tc>
        <w:tc>
          <w:tcPr>
            <w:tcW w:w="4320" w:type="dxa"/>
          </w:tcPr>
          <w:p w14:paraId="24FD10A4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Mediana del monto total pagado</w:t>
            </w:r>
          </w:p>
        </w:tc>
      </w:tr>
      <w:tr w:rsidR="007B3067" w:rsidRPr="00AB7E0A" w14:paraId="5FFB802A" w14:textId="77777777" w:rsidTr="00AB7E0A">
        <w:tc>
          <w:tcPr>
            <w:tcW w:w="4320" w:type="dxa"/>
          </w:tcPr>
          <w:p w14:paraId="5342DC1D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hist_pago_ultimos3</w:t>
            </w:r>
          </w:p>
        </w:tc>
        <w:tc>
          <w:tcPr>
            <w:tcW w:w="4320" w:type="dxa"/>
          </w:tcPr>
          <w:p w14:paraId="47032DA9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Promedio de los 3 pagos más recientes</w:t>
            </w:r>
          </w:p>
        </w:tc>
      </w:tr>
    </w:tbl>
    <w:p w14:paraId="4E70A7F2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52E7BCD7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5.2 Features históricas de scores</w:t>
      </w:r>
    </w:p>
    <w:p w14:paraId="1F445A5A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Para cada observación, se promedió el score de los 3 meses anteriores (M-3 a M-1):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B3067" w:rsidRPr="00AB7E0A" w14:paraId="040F1799" w14:textId="77777777" w:rsidTr="00AB7E0A">
        <w:tc>
          <w:tcPr>
            <w:tcW w:w="4320" w:type="dxa"/>
          </w:tcPr>
          <w:p w14:paraId="1C4AE4CC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b/>
                <w:sz w:val="20"/>
                <w:szCs w:val="20"/>
              </w:rPr>
              <w:t>Feature</w:t>
            </w:r>
          </w:p>
        </w:tc>
        <w:tc>
          <w:tcPr>
            <w:tcW w:w="4320" w:type="dxa"/>
          </w:tcPr>
          <w:p w14:paraId="00381F22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b/>
                <w:sz w:val="20"/>
                <w:szCs w:val="20"/>
              </w:rPr>
              <w:t>Lógica</w:t>
            </w:r>
          </w:p>
        </w:tc>
      </w:tr>
      <w:tr w:rsidR="007B3067" w:rsidRPr="00AB7E0A" w14:paraId="5AD22AB1" w14:textId="77777777" w:rsidTr="00AB7E0A">
        <w:tc>
          <w:tcPr>
            <w:tcW w:w="4320" w:type="dxa"/>
          </w:tcPr>
          <w:p w14:paraId="5208FD8F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score_prop_hist_mean / std</w:t>
            </w:r>
          </w:p>
        </w:tc>
        <w:tc>
          <w:tcPr>
            <w:tcW w:w="4320" w:type="dxa"/>
          </w:tcPr>
          <w:p w14:paraId="3DF428E8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Media y desviación del score de propensión</w:t>
            </w:r>
          </w:p>
        </w:tc>
      </w:tr>
      <w:tr w:rsidR="007B3067" w:rsidRPr="00AB7E0A" w14:paraId="72CC4E92" w14:textId="77777777" w:rsidTr="00AB7E0A">
        <w:tc>
          <w:tcPr>
            <w:tcW w:w="4320" w:type="dxa"/>
          </w:tcPr>
          <w:p w14:paraId="4BBC9D0B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score_autocura_mean</w:t>
            </w:r>
          </w:p>
        </w:tc>
        <w:tc>
          <w:tcPr>
            <w:tcW w:w="4320" w:type="dxa"/>
          </w:tcPr>
          <w:p w14:paraId="1DE1998C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Media del score de auto-cura</w:t>
            </w:r>
          </w:p>
        </w:tc>
      </w:tr>
      <w:tr w:rsidR="007B3067" w:rsidRPr="00AB7E0A" w14:paraId="1F5EBAB2" w14:textId="77777777" w:rsidTr="00AB7E0A">
        <w:tc>
          <w:tcPr>
            <w:tcW w:w="4320" w:type="dxa"/>
          </w:tcPr>
          <w:p w14:paraId="22EF3884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score_alrt_mean</w:t>
            </w:r>
          </w:p>
        </w:tc>
        <w:tc>
          <w:tcPr>
            <w:tcW w:w="4320" w:type="dxa"/>
          </w:tcPr>
          <w:p w14:paraId="4E57F4FF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Media del score de alerta temprana</w:t>
            </w:r>
          </w:p>
        </w:tc>
      </w:tr>
      <w:tr w:rsidR="007B3067" w:rsidRPr="00AB7E0A" w14:paraId="7A5212CF" w14:textId="77777777" w:rsidTr="00AB7E0A">
        <w:tc>
          <w:tcPr>
            <w:tcW w:w="4320" w:type="dxa"/>
          </w:tcPr>
          <w:p w14:paraId="102D1343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score_hist_n</w:t>
            </w:r>
          </w:p>
        </w:tc>
        <w:tc>
          <w:tcPr>
            <w:tcW w:w="4320" w:type="dxa"/>
          </w:tcPr>
          <w:p w14:paraId="2C48A797" w14:textId="77777777" w:rsidR="007B3067" w:rsidRPr="00AB7E0A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B7E0A">
              <w:rPr>
                <w:rFonts w:ascii="Arial Narrow" w:hAnsi="Arial Narrow"/>
                <w:sz w:val="20"/>
                <w:szCs w:val="20"/>
              </w:rPr>
              <w:t>Número de meses con score disponible</w:t>
            </w:r>
          </w:p>
        </w:tc>
      </w:tr>
    </w:tbl>
    <w:p w14:paraId="39A88FED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12A65356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5.3 Transformaciones logarítmicas</w:t>
      </w:r>
    </w:p>
    <w:p w14:paraId="11D7D4B9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log_vlr_obligacion, log_vlr_vencido, log_total_ing,</w:t>
      </w:r>
    </w:p>
    <w:p w14:paraId="200885D1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lastRenderedPageBreak/>
        <w:t>log_endeudamiento, log_egresos_mes, log_saldo_capital</w:t>
      </w:r>
    </w:p>
    <w:p w14:paraId="020256C8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5.4 Ratios financieros</w:t>
      </w:r>
    </w:p>
    <w:p w14:paraId="2EC7DE72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ratio_vencido         = vlr_vencido / (vlr_obligacion + 1)</w:t>
      </w:r>
    </w:p>
    <w:p w14:paraId="44AD8033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ratio_pasivos_activos = tot_pasivos / (tot_activos + 1)</w:t>
      </w:r>
    </w:p>
    <w:p w14:paraId="4F1C0BA1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ratio_vencido_endeu   = vlr_vencido / (endeudamiento + 1)</w:t>
      </w:r>
    </w:p>
    <w:p w14:paraId="01F6F6EF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ratio_pasivos_ing     = tot_pasivos / (total_ing + 1)     # clip(0,100)</w:t>
      </w:r>
    </w:p>
    <w:p w14:paraId="7A6BE153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ratio_egr_ing         = egresos_mes / (total_ing + 1)</w:t>
      </w:r>
    </w:p>
    <w:p w14:paraId="17B01755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ratio_saldo_oblig     = saldo_capital / (vlr_obligacion + 1)</w:t>
      </w:r>
    </w:p>
    <w:p w14:paraId="597BCAC1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5.5 Capacidad de pago</w:t>
      </w:r>
    </w:p>
    <w:p w14:paraId="7D1E34C3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capacidad_pago          = total_ing - egresos_mes</w:t>
      </w:r>
    </w:p>
    <w:p w14:paraId="0ADB1734" w14:textId="1222BCFE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cobertura_deuda_ingreso = capacidad_pago / vlr_vencido</w:t>
      </w:r>
    </w:p>
    <w:p w14:paraId="3A77A3C3" w14:textId="1AA5ED54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5.</w:t>
      </w:r>
      <w:r w:rsidR="00A26129">
        <w:rPr>
          <w:rFonts w:ascii="Arial Narrow" w:hAnsi="Arial Narrow"/>
          <w:sz w:val="24"/>
          <w:szCs w:val="24"/>
        </w:rPr>
        <w:t>6</w:t>
      </w:r>
      <w:r w:rsidRPr="00B131ED">
        <w:rPr>
          <w:rFonts w:ascii="Arial Narrow" w:hAnsi="Arial Narrow"/>
          <w:sz w:val="24"/>
          <w:szCs w:val="24"/>
        </w:rPr>
        <w:t xml:space="preserve"> Interacciones score × comportamiento</w:t>
      </w:r>
    </w:p>
    <w:p w14:paraId="1AD2536C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pago_x_propension  = pct_meses_pagados_6m × prob_propension</w:t>
      </w:r>
    </w:p>
    <w:p w14:paraId="11D71913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autocura_x_pago    = prob_auto_cura × pct_meses_pagados_6m</w:t>
      </w:r>
    </w:p>
    <w:p w14:paraId="03E9A248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score_combinado    = promedio(prob_propension, prob_alrt_temprana, prob_auto_cura)</w:t>
      </w:r>
    </w:p>
    <w:p w14:paraId="3503565C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alrt_x_endeu       = prob_alrt_temprana × log(endeudamiento)</w:t>
      </w:r>
    </w:p>
    <w:p w14:paraId="5C14D5B8" w14:textId="73D757AD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5.</w:t>
      </w:r>
      <w:r w:rsidR="00A26129">
        <w:rPr>
          <w:rFonts w:ascii="Arial Narrow" w:hAnsi="Arial Narrow"/>
          <w:sz w:val="24"/>
          <w:szCs w:val="24"/>
        </w:rPr>
        <w:t>7</w:t>
      </w:r>
      <w:r w:rsidRPr="00B131ED">
        <w:rPr>
          <w:rFonts w:ascii="Arial Narrow" w:hAnsi="Arial Narrow"/>
          <w:sz w:val="24"/>
          <w:szCs w:val="24"/>
        </w:rPr>
        <w:t xml:space="preserve"> Calidad del pago histórico</w:t>
      </w:r>
    </w:p>
    <w:p w14:paraId="2657ECEE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fe_calidad_pago     = hist_porc_pago_mean × hist_prop_pago_comp</w:t>
      </w:r>
    </w:p>
    <w:p w14:paraId="16292E52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fe_pago_consistency = 1 - hist_porc_pago_std</w:t>
      </w:r>
    </w:p>
    <w:p w14:paraId="44E2BAAF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fe_brecha_pago_score = hist_porc_pago_mean - prob_propension</w:t>
      </w:r>
    </w:p>
    <w:p w14:paraId="49209C92" w14:textId="71E8D4FB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5.</w:t>
      </w:r>
      <w:r w:rsidR="00A26129">
        <w:rPr>
          <w:rFonts w:ascii="Arial Narrow" w:hAnsi="Arial Narrow"/>
          <w:sz w:val="24"/>
          <w:szCs w:val="24"/>
        </w:rPr>
        <w:t>8</w:t>
      </w:r>
      <w:r w:rsidRPr="00B131ED">
        <w:rPr>
          <w:rFonts w:ascii="Arial Narrow" w:hAnsi="Arial Narrow"/>
          <w:sz w:val="24"/>
          <w:szCs w:val="24"/>
        </w:rPr>
        <w:t xml:space="preserve"> Tendencia de scores</w:t>
      </w:r>
    </w:p>
    <w:p w14:paraId="03237472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fe_propension_trend = prob_propension - score_prop_hist_mean   # mejora/deterioro</w:t>
      </w:r>
    </w:p>
    <w:p w14:paraId="0236E002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fe_autocura_trend   = prob_auto_cura - score_autocura_mean</w:t>
      </w:r>
    </w:p>
    <w:p w14:paraId="0E3C4EC0" w14:textId="6F74874F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5.</w:t>
      </w:r>
      <w:r w:rsidR="00A26129">
        <w:rPr>
          <w:rFonts w:ascii="Arial Narrow" w:hAnsi="Arial Narrow"/>
          <w:sz w:val="24"/>
          <w:szCs w:val="24"/>
        </w:rPr>
        <w:t>9</w:t>
      </w:r>
      <w:r w:rsidRPr="00B131ED">
        <w:rPr>
          <w:rFonts w:ascii="Arial Narrow" w:hAnsi="Arial Narrow"/>
          <w:sz w:val="24"/>
          <w:szCs w:val="24"/>
        </w:rPr>
        <w:t xml:space="preserve"> Flags de elegibilidad y temporales</w:t>
      </w:r>
    </w:p>
    <w:p w14:paraId="3AA5D1B2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tiene_alternativa = (cant_alter_posibles &gt; 0)</w:t>
      </w:r>
    </w:p>
    <w:p w14:paraId="066A637E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alter_agotadas    = (cant_alter_posibles == 3)</w:t>
      </w:r>
    </w:p>
    <w:p w14:paraId="3A778129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fe_mes, fe_trimestre, fe_fin_anio, fe_inicio_anio</w:t>
      </w:r>
    </w:p>
    <w:p w14:paraId="15A2D811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edad_bin          # buckets: 18-25, 26-35, 36-45, 46-55, 56-65, 65+</w:t>
      </w:r>
    </w:p>
    <w:p w14:paraId="43317032" w14:textId="77777777" w:rsidR="00A26129" w:rsidRDefault="00A26129">
      <w:pPr>
        <w:pStyle w:val="Ttulo1"/>
        <w:rPr>
          <w:rFonts w:ascii="Arial Narrow" w:eastAsiaTheme="minorEastAsia" w:hAnsi="Arial Narrow" w:cstheme="minorBidi"/>
          <w:bCs w:val="0"/>
          <w:color w:val="auto"/>
          <w:sz w:val="24"/>
          <w:szCs w:val="24"/>
        </w:rPr>
      </w:pPr>
      <w:r w:rsidRPr="00A26129">
        <w:rPr>
          <w:rFonts w:ascii="Arial Narrow" w:eastAsiaTheme="minorEastAsia" w:hAnsi="Arial Narrow" w:cstheme="minorBidi"/>
          <w:bCs w:val="0"/>
          <w:color w:val="auto"/>
          <w:sz w:val="24"/>
          <w:szCs w:val="24"/>
        </w:rPr>
        <w:lastRenderedPageBreak/>
        <w:t>Total de features finales: ~62 (23 base + ~39 construidas)</w:t>
      </w:r>
    </w:p>
    <w:p w14:paraId="10B69AD8" w14:textId="0F90DB15" w:rsidR="007B3067" w:rsidRPr="00B131ED" w:rsidRDefault="00000000" w:rsidP="00A26129">
      <w:pPr>
        <w:pStyle w:val="Ttulo1"/>
        <w:ind w:left="720" w:hanging="720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6. Preparación de Datos para Modelado</w:t>
      </w:r>
    </w:p>
    <w:p w14:paraId="485F0C56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6.1 Ensamble final</w:t>
      </w:r>
    </w:p>
    <w:p w14:paraId="01691E1B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Se consolidó un dataset limpio con la siguiente estructura:</w:t>
      </w:r>
    </w:p>
    <w:p w14:paraId="38B4A3A3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Train: observaciones con variable objetivo (var_rpta_alt)</w:t>
      </w:r>
    </w:p>
    <w:p w14:paraId="04F6760B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OOT: observaciones sin etiqueta (enero 2024)</w:t>
      </w:r>
    </w:p>
    <w:p w14:paraId="7E1B2A0E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Ambos datasets comparten exactamente las mismas columnas de features.</w:t>
      </w:r>
    </w:p>
    <w:p w14:paraId="732965C7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6.2 Imputación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B3067" w:rsidRPr="00E55D62" w14:paraId="5750FA31" w14:textId="77777777" w:rsidTr="00E55D62">
        <w:tc>
          <w:tcPr>
            <w:tcW w:w="4320" w:type="dxa"/>
          </w:tcPr>
          <w:p w14:paraId="16326587" w14:textId="77777777" w:rsidR="007B3067" w:rsidRPr="00E55D62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E55D62">
              <w:rPr>
                <w:rFonts w:ascii="Arial Narrow" w:hAnsi="Arial Narrow"/>
                <w:b/>
                <w:sz w:val="20"/>
                <w:szCs w:val="20"/>
              </w:rPr>
              <w:t>Tipo</w:t>
            </w:r>
          </w:p>
        </w:tc>
        <w:tc>
          <w:tcPr>
            <w:tcW w:w="4320" w:type="dxa"/>
          </w:tcPr>
          <w:p w14:paraId="266DA49E" w14:textId="77777777" w:rsidR="007B3067" w:rsidRPr="00E55D62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E55D62">
              <w:rPr>
                <w:rFonts w:ascii="Arial Narrow" w:hAnsi="Arial Narrow"/>
                <w:b/>
                <w:sz w:val="20"/>
                <w:szCs w:val="20"/>
              </w:rPr>
              <w:t>Estrategia</w:t>
            </w:r>
          </w:p>
        </w:tc>
      </w:tr>
      <w:tr w:rsidR="007B3067" w:rsidRPr="00E55D62" w14:paraId="08DB4260" w14:textId="77777777" w:rsidTr="00E55D62">
        <w:tc>
          <w:tcPr>
            <w:tcW w:w="4320" w:type="dxa"/>
          </w:tcPr>
          <w:p w14:paraId="589B1DDD" w14:textId="77777777" w:rsidR="007B3067" w:rsidRPr="00E55D62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E55D62">
              <w:rPr>
                <w:rFonts w:ascii="Arial Narrow" w:hAnsi="Arial Narrow"/>
                <w:sz w:val="20"/>
                <w:szCs w:val="20"/>
              </w:rPr>
              <w:t>Numéricas</w:t>
            </w:r>
          </w:p>
        </w:tc>
        <w:tc>
          <w:tcPr>
            <w:tcW w:w="4320" w:type="dxa"/>
          </w:tcPr>
          <w:p w14:paraId="51D58EFC" w14:textId="77777777" w:rsidR="007B3067" w:rsidRPr="00E55D62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E55D62">
              <w:rPr>
                <w:rFonts w:ascii="Arial Narrow" w:hAnsi="Arial Narrow"/>
                <w:sz w:val="20"/>
                <w:szCs w:val="20"/>
              </w:rPr>
              <w:t>Mediana del conjunto de entrenamiento</w:t>
            </w:r>
          </w:p>
        </w:tc>
      </w:tr>
      <w:tr w:rsidR="007B3067" w:rsidRPr="00E55D62" w14:paraId="54D23D16" w14:textId="77777777" w:rsidTr="00E55D62">
        <w:tc>
          <w:tcPr>
            <w:tcW w:w="4320" w:type="dxa"/>
          </w:tcPr>
          <w:p w14:paraId="5E8E14C5" w14:textId="77777777" w:rsidR="007B3067" w:rsidRPr="00E55D62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E55D62">
              <w:rPr>
                <w:rFonts w:ascii="Arial Narrow" w:hAnsi="Arial Narrow"/>
                <w:sz w:val="20"/>
                <w:szCs w:val="20"/>
              </w:rPr>
              <w:t>Categóricas</w:t>
            </w:r>
          </w:p>
        </w:tc>
        <w:tc>
          <w:tcPr>
            <w:tcW w:w="4320" w:type="dxa"/>
          </w:tcPr>
          <w:p w14:paraId="0BBFB6BE" w14:textId="77777777" w:rsidR="007B3067" w:rsidRPr="00E55D62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E55D62">
              <w:rPr>
                <w:rFonts w:ascii="Arial Narrow" w:hAnsi="Arial Narrow"/>
                <w:sz w:val="20"/>
                <w:szCs w:val="20"/>
              </w:rPr>
              <w:t>Valor "DESCONOCIDO"</w:t>
            </w:r>
          </w:p>
        </w:tc>
      </w:tr>
      <w:tr w:rsidR="007B3067" w:rsidRPr="00E55D62" w14:paraId="61A09BCE" w14:textId="77777777" w:rsidTr="00E55D62">
        <w:tc>
          <w:tcPr>
            <w:tcW w:w="4320" w:type="dxa"/>
          </w:tcPr>
          <w:p w14:paraId="207E5953" w14:textId="77777777" w:rsidR="007B3067" w:rsidRPr="00E55D62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E55D62">
              <w:rPr>
                <w:rFonts w:ascii="Arial Narrow" w:hAnsi="Arial Narrow"/>
                <w:sz w:val="20"/>
                <w:szCs w:val="20"/>
              </w:rPr>
              <w:t>Infinitos</w:t>
            </w:r>
          </w:p>
        </w:tc>
        <w:tc>
          <w:tcPr>
            <w:tcW w:w="4320" w:type="dxa"/>
          </w:tcPr>
          <w:p w14:paraId="2A3580F2" w14:textId="77777777" w:rsidR="007B3067" w:rsidRPr="00E55D62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E55D62">
              <w:rPr>
                <w:rFonts w:ascii="Arial Narrow" w:hAnsi="Arial Narrow"/>
                <w:sz w:val="20"/>
                <w:szCs w:val="20"/>
              </w:rPr>
              <w:t>Reemplazar por NaN y luego imputar con mediana</w:t>
            </w:r>
          </w:p>
        </w:tc>
      </w:tr>
      <w:tr w:rsidR="007B3067" w:rsidRPr="00E55D62" w14:paraId="75E1F318" w14:textId="77777777" w:rsidTr="00E55D62">
        <w:tc>
          <w:tcPr>
            <w:tcW w:w="4320" w:type="dxa"/>
          </w:tcPr>
          <w:p w14:paraId="69860A25" w14:textId="77777777" w:rsidR="007B3067" w:rsidRPr="00E55D62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E55D62">
              <w:rPr>
                <w:rFonts w:ascii="Arial Narrow" w:hAnsi="Arial Narrow"/>
                <w:sz w:val="20"/>
                <w:szCs w:val="20"/>
              </w:rPr>
              <w:t>Recencia negativa</w:t>
            </w:r>
          </w:p>
        </w:tc>
        <w:tc>
          <w:tcPr>
            <w:tcW w:w="4320" w:type="dxa"/>
          </w:tcPr>
          <w:p w14:paraId="56402540" w14:textId="77777777" w:rsidR="007B3067" w:rsidRPr="00E55D62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E55D62">
              <w:rPr>
                <w:rFonts w:ascii="Arial Narrow" w:hAnsi="Arial Narrow"/>
                <w:sz w:val="20"/>
                <w:szCs w:val="20"/>
              </w:rPr>
              <w:t>clip(lower=0)</w:t>
            </w:r>
          </w:p>
        </w:tc>
      </w:tr>
    </w:tbl>
    <w:p w14:paraId="7837E0AB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12B2F131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6.3 Encoding de categóricas</w:t>
      </w:r>
    </w:p>
    <w:p w14:paraId="75DB9C05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Se usó Label Encoding con manejo de categorías nuevas en OOT:</w:t>
      </w:r>
    </w:p>
    <w:p w14:paraId="04FD6701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# Si la categoría no se vio en train → "MISSING"</w:t>
      </w:r>
    </w:p>
    <w:p w14:paraId="08653628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X_oot[col] = X_oot[col].apply(lambda x: x if x in known_classes else "MISSING")</w:t>
      </w:r>
    </w:p>
    <w:p w14:paraId="2DDB5720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6.4 Validaciones</w:t>
      </w:r>
    </w:p>
    <w:p w14:paraId="52AA421D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Se verificaron 4 condiciones antes de pasar a modelado:</w:t>
      </w:r>
    </w:p>
    <w:p w14:paraId="68B7240E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 xml:space="preserve">1. </w:t>
      </w:r>
      <w:r w:rsidRPr="00B131ED">
        <w:rPr>
          <w:rFonts w:ascii="Arial Narrow" w:hAnsi="Arial Narrow"/>
          <w:sz w:val="24"/>
          <w:szCs w:val="24"/>
        </w:rPr>
        <w:t>Cero columnas de tipo object en ambos DataFrames.</w:t>
      </w:r>
    </w:p>
    <w:p w14:paraId="54EF1EE7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 xml:space="preserve">2. </w:t>
      </w:r>
      <w:r w:rsidRPr="00B131ED">
        <w:rPr>
          <w:rFonts w:ascii="Arial Narrow" w:hAnsi="Arial Narrow"/>
          <w:sz w:val="24"/>
          <w:szCs w:val="24"/>
        </w:rPr>
        <w:t>Cero valores nulos en ambos DataFrames.</w:t>
      </w:r>
    </w:p>
    <w:p w14:paraId="74815A62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 xml:space="preserve">3. </w:t>
      </w:r>
      <w:r w:rsidRPr="00B131ED">
        <w:rPr>
          <w:rFonts w:ascii="Arial Narrow" w:hAnsi="Arial Narrow"/>
          <w:sz w:val="24"/>
          <w:szCs w:val="24"/>
        </w:rPr>
        <w:t>Columnas de train y OOT son idénticas en nombre y orden.</w:t>
      </w:r>
    </w:p>
    <w:p w14:paraId="217552F8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 xml:space="preserve">4. </w:t>
      </w:r>
      <w:r w:rsidRPr="00B131ED">
        <w:rPr>
          <w:rFonts w:ascii="Arial Narrow" w:hAnsi="Arial Narrow"/>
          <w:sz w:val="24"/>
          <w:szCs w:val="24"/>
        </w:rPr>
        <w:t>Todos los dtypes son float.</w:t>
      </w:r>
    </w:p>
    <w:p w14:paraId="2CFCC731" w14:textId="77777777" w:rsidR="007B3067" w:rsidRPr="00B131ED" w:rsidRDefault="00000000">
      <w:pPr>
        <w:pStyle w:val="Ttulo1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7. Entrenamiento y Competición de Modelos</w:t>
      </w:r>
    </w:p>
    <w:p w14:paraId="78726722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7.1 Split temporal</w:t>
      </w:r>
    </w:p>
    <w:p w14:paraId="57EB765E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Se utilizó una separación temporal (no aleatoria) para evitar data leakage:</w:t>
      </w:r>
    </w:p>
    <w:p w14:paraId="7F28C717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Train: meses hasta el percentil 80 de las fechas (~80% de los datos).</w:t>
      </w:r>
    </w:p>
    <w:p w14:paraId="5A6AC07B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Validación: meses posteriores al percentil 80 (~20%).</w:t>
      </w:r>
    </w:p>
    <w:p w14:paraId="4C6703BA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Esto simula el escenario productivo: el modelo se entrena con datos del pasado y predice el futuro.</w:t>
      </w:r>
    </w:p>
    <w:p w14:paraId="2706D6A1" w14:textId="77777777" w:rsidR="007B3067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lastRenderedPageBreak/>
        <w:t>7.2 Modelos evaluados</w:t>
      </w:r>
    </w:p>
    <w:p w14:paraId="3B1C4776" w14:textId="77777777" w:rsidR="00E55D62" w:rsidRPr="00E55D62" w:rsidRDefault="00E55D62" w:rsidP="00E55D62"/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880"/>
        <w:gridCol w:w="2880"/>
      </w:tblGrid>
      <w:tr w:rsidR="00E55D62" w:rsidRPr="00E55D62" w14:paraId="7A84870B" w14:textId="77777777" w:rsidTr="00E55D62">
        <w:tc>
          <w:tcPr>
            <w:tcW w:w="2880" w:type="dxa"/>
          </w:tcPr>
          <w:p w14:paraId="4C64B315" w14:textId="77777777" w:rsidR="00E55D62" w:rsidRPr="00E55D62" w:rsidRDefault="00E55D62">
            <w:pPr>
              <w:rPr>
                <w:rFonts w:ascii="Arial Narrow" w:hAnsi="Arial Narrow"/>
                <w:sz w:val="20"/>
                <w:szCs w:val="20"/>
              </w:rPr>
            </w:pPr>
            <w:r w:rsidRPr="00E55D62">
              <w:rPr>
                <w:rFonts w:ascii="Arial Narrow" w:hAnsi="Arial Narrow"/>
                <w:b/>
                <w:sz w:val="20"/>
                <w:szCs w:val="20"/>
              </w:rPr>
              <w:t>Modelo</w:t>
            </w:r>
          </w:p>
        </w:tc>
        <w:tc>
          <w:tcPr>
            <w:tcW w:w="2880" w:type="dxa"/>
          </w:tcPr>
          <w:p w14:paraId="306A567B" w14:textId="77777777" w:rsidR="00E55D62" w:rsidRPr="00E55D62" w:rsidRDefault="00E55D62">
            <w:pPr>
              <w:rPr>
                <w:rFonts w:ascii="Arial Narrow" w:hAnsi="Arial Narrow"/>
                <w:sz w:val="20"/>
                <w:szCs w:val="20"/>
              </w:rPr>
            </w:pPr>
            <w:r w:rsidRPr="00E55D62">
              <w:rPr>
                <w:rFonts w:ascii="Arial Narrow" w:hAnsi="Arial Narrow"/>
                <w:b/>
                <w:sz w:val="20"/>
                <w:szCs w:val="20"/>
              </w:rPr>
              <w:t>Notas</w:t>
            </w:r>
          </w:p>
        </w:tc>
      </w:tr>
      <w:tr w:rsidR="00E55D62" w:rsidRPr="00E55D62" w14:paraId="39125992" w14:textId="77777777" w:rsidTr="00E55D62">
        <w:tc>
          <w:tcPr>
            <w:tcW w:w="2880" w:type="dxa"/>
          </w:tcPr>
          <w:p w14:paraId="493DB372" w14:textId="77777777" w:rsidR="00E55D62" w:rsidRPr="00E55D62" w:rsidRDefault="00E55D62">
            <w:pPr>
              <w:rPr>
                <w:rFonts w:ascii="Arial Narrow" w:hAnsi="Arial Narrow"/>
                <w:sz w:val="20"/>
                <w:szCs w:val="20"/>
              </w:rPr>
            </w:pPr>
            <w:r w:rsidRPr="00E55D62">
              <w:rPr>
                <w:rFonts w:ascii="Arial Narrow" w:hAnsi="Arial Narrow"/>
                <w:sz w:val="20"/>
                <w:szCs w:val="20"/>
              </w:rPr>
              <w:t>Logistic Regression</w:t>
            </w:r>
          </w:p>
        </w:tc>
        <w:tc>
          <w:tcPr>
            <w:tcW w:w="2880" w:type="dxa"/>
          </w:tcPr>
          <w:p w14:paraId="03679D83" w14:textId="77777777" w:rsidR="00E55D62" w:rsidRPr="00E55D62" w:rsidRDefault="00E55D62">
            <w:pPr>
              <w:rPr>
                <w:rFonts w:ascii="Arial Narrow" w:hAnsi="Arial Narrow"/>
                <w:sz w:val="20"/>
                <w:szCs w:val="20"/>
              </w:rPr>
            </w:pPr>
            <w:r w:rsidRPr="00E55D62">
              <w:rPr>
                <w:rFonts w:ascii="Arial Narrow" w:hAnsi="Arial Narrow"/>
                <w:sz w:val="20"/>
                <w:szCs w:val="20"/>
              </w:rPr>
              <w:t>Baseline lineal. StandardScaler previo.</w:t>
            </w:r>
          </w:p>
        </w:tc>
      </w:tr>
      <w:tr w:rsidR="00E55D62" w:rsidRPr="00E55D62" w14:paraId="7119776F" w14:textId="77777777" w:rsidTr="00E55D62">
        <w:tc>
          <w:tcPr>
            <w:tcW w:w="2880" w:type="dxa"/>
          </w:tcPr>
          <w:p w14:paraId="10030B9C" w14:textId="77777777" w:rsidR="00E55D62" w:rsidRPr="00E55D62" w:rsidRDefault="00E55D62">
            <w:pPr>
              <w:rPr>
                <w:rFonts w:ascii="Arial Narrow" w:hAnsi="Arial Narrow"/>
                <w:sz w:val="20"/>
                <w:szCs w:val="20"/>
              </w:rPr>
            </w:pPr>
            <w:r w:rsidRPr="00E55D62">
              <w:rPr>
                <w:rFonts w:ascii="Arial Narrow" w:hAnsi="Arial Narrow"/>
                <w:sz w:val="20"/>
                <w:szCs w:val="20"/>
              </w:rPr>
              <w:t>Random Forest</w:t>
            </w:r>
          </w:p>
        </w:tc>
        <w:tc>
          <w:tcPr>
            <w:tcW w:w="2880" w:type="dxa"/>
          </w:tcPr>
          <w:p w14:paraId="5B268DC4" w14:textId="77777777" w:rsidR="00E55D62" w:rsidRPr="00E55D62" w:rsidRDefault="00E55D62">
            <w:pPr>
              <w:rPr>
                <w:rFonts w:ascii="Arial Narrow" w:hAnsi="Arial Narrow"/>
                <w:sz w:val="20"/>
                <w:szCs w:val="20"/>
              </w:rPr>
            </w:pPr>
            <w:r w:rsidRPr="00E55D62">
              <w:rPr>
                <w:rFonts w:ascii="Arial Narrow" w:hAnsi="Arial Narrow"/>
                <w:sz w:val="20"/>
                <w:szCs w:val="20"/>
              </w:rPr>
              <w:t>Baseline de ensamble de árboles.</w:t>
            </w:r>
          </w:p>
        </w:tc>
      </w:tr>
      <w:tr w:rsidR="00E55D62" w:rsidRPr="00E55D62" w14:paraId="3BA91CE6" w14:textId="77777777" w:rsidTr="00E55D62">
        <w:tc>
          <w:tcPr>
            <w:tcW w:w="2880" w:type="dxa"/>
          </w:tcPr>
          <w:p w14:paraId="7907D85A" w14:textId="77777777" w:rsidR="00E55D62" w:rsidRPr="00E55D62" w:rsidRDefault="00E55D62">
            <w:pPr>
              <w:rPr>
                <w:rFonts w:ascii="Arial Narrow" w:hAnsi="Arial Narrow"/>
                <w:sz w:val="20"/>
                <w:szCs w:val="20"/>
              </w:rPr>
            </w:pPr>
            <w:r w:rsidRPr="00E55D62">
              <w:rPr>
                <w:rFonts w:ascii="Arial Narrow" w:hAnsi="Arial Narrow"/>
                <w:sz w:val="20"/>
                <w:szCs w:val="20"/>
              </w:rPr>
              <w:t>LightGBM</w:t>
            </w:r>
          </w:p>
        </w:tc>
        <w:tc>
          <w:tcPr>
            <w:tcW w:w="2880" w:type="dxa"/>
          </w:tcPr>
          <w:p w14:paraId="5D525C3B" w14:textId="77777777" w:rsidR="00E55D62" w:rsidRPr="00E55D62" w:rsidRDefault="00E55D62">
            <w:pPr>
              <w:rPr>
                <w:rFonts w:ascii="Arial Narrow" w:hAnsi="Arial Narrow"/>
                <w:sz w:val="20"/>
                <w:szCs w:val="20"/>
              </w:rPr>
            </w:pPr>
            <w:r w:rsidRPr="00E55D62">
              <w:rPr>
                <w:rFonts w:ascii="Arial Narrow" w:hAnsi="Arial Narrow"/>
                <w:sz w:val="20"/>
                <w:szCs w:val="20"/>
              </w:rPr>
              <w:t>Candidato principal. Hiperparámetros orientados a generalización.</w:t>
            </w:r>
          </w:p>
        </w:tc>
      </w:tr>
      <w:tr w:rsidR="00E55D62" w:rsidRPr="00E55D62" w14:paraId="1AC82A01" w14:textId="77777777" w:rsidTr="00E55D62">
        <w:tc>
          <w:tcPr>
            <w:tcW w:w="2880" w:type="dxa"/>
          </w:tcPr>
          <w:p w14:paraId="61C678BF" w14:textId="77777777" w:rsidR="00E55D62" w:rsidRPr="00E55D62" w:rsidRDefault="00E55D62">
            <w:pPr>
              <w:rPr>
                <w:rFonts w:ascii="Arial Narrow" w:hAnsi="Arial Narrow"/>
                <w:sz w:val="20"/>
                <w:szCs w:val="20"/>
              </w:rPr>
            </w:pPr>
            <w:r w:rsidRPr="00E55D62">
              <w:rPr>
                <w:rFonts w:ascii="Arial Narrow" w:hAnsi="Arial Narrow"/>
                <w:sz w:val="20"/>
                <w:szCs w:val="20"/>
              </w:rPr>
              <w:t>XGBoost</w:t>
            </w:r>
          </w:p>
        </w:tc>
        <w:tc>
          <w:tcPr>
            <w:tcW w:w="2880" w:type="dxa"/>
          </w:tcPr>
          <w:p w14:paraId="778DECF3" w14:textId="77777777" w:rsidR="00E55D62" w:rsidRPr="00E55D62" w:rsidRDefault="00E55D62">
            <w:pPr>
              <w:rPr>
                <w:rFonts w:ascii="Arial Narrow" w:hAnsi="Arial Narrow"/>
                <w:sz w:val="20"/>
                <w:szCs w:val="20"/>
              </w:rPr>
            </w:pPr>
            <w:r w:rsidRPr="00E55D62">
              <w:rPr>
                <w:rFonts w:ascii="Arial Narrow" w:hAnsi="Arial Narrow"/>
                <w:sz w:val="20"/>
                <w:szCs w:val="20"/>
              </w:rPr>
              <w:t>Segundo candidato.</w:t>
            </w:r>
          </w:p>
        </w:tc>
      </w:tr>
    </w:tbl>
    <w:p w14:paraId="01F42180" w14:textId="77777777" w:rsidR="007B3067" w:rsidRPr="00B131ED" w:rsidRDefault="00000000">
      <w:pPr>
        <w:pStyle w:val="Ttulo1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8. Evaluación y Selección del Modelo Ganador</w:t>
      </w:r>
    </w:p>
    <w:p w14:paraId="0DB5D695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8.1 Métricas en validación temporal</w:t>
      </w:r>
    </w:p>
    <w:p w14:paraId="13F5CEFD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Se evaluaron 7 métricas por modelo: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B3067" w:rsidRPr="00B131ED" w14:paraId="4159F766" w14:textId="77777777" w:rsidTr="007B30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8128DC7" w14:textId="77777777" w:rsidR="007B3067" w:rsidRPr="00B131ED" w:rsidRDefault="00000000">
            <w:pPr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Métrica</w:t>
            </w:r>
          </w:p>
        </w:tc>
        <w:tc>
          <w:tcPr>
            <w:tcW w:w="1728" w:type="dxa"/>
          </w:tcPr>
          <w:p w14:paraId="5AD5F915" w14:textId="77777777" w:rsidR="007B3067" w:rsidRPr="00B131E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Logistic Regression</w:t>
            </w:r>
          </w:p>
        </w:tc>
        <w:tc>
          <w:tcPr>
            <w:tcW w:w="1728" w:type="dxa"/>
          </w:tcPr>
          <w:p w14:paraId="5DC17092" w14:textId="77777777" w:rsidR="007B3067" w:rsidRPr="00B131E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Random Forest</w:t>
            </w:r>
          </w:p>
        </w:tc>
        <w:tc>
          <w:tcPr>
            <w:tcW w:w="1728" w:type="dxa"/>
          </w:tcPr>
          <w:p w14:paraId="610877FD" w14:textId="77777777" w:rsidR="007B3067" w:rsidRPr="00B131E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LightGBM</w:t>
            </w:r>
          </w:p>
        </w:tc>
        <w:tc>
          <w:tcPr>
            <w:tcW w:w="1728" w:type="dxa"/>
          </w:tcPr>
          <w:p w14:paraId="1CF014C8" w14:textId="77777777" w:rsidR="007B3067" w:rsidRPr="00B131E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XGBoost</w:t>
            </w:r>
          </w:p>
        </w:tc>
      </w:tr>
      <w:tr w:rsidR="007B3067" w:rsidRPr="00B131ED" w14:paraId="1D3DEAA0" w14:textId="77777777" w:rsidTr="007B30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374ED7B" w14:textId="77777777" w:rsidR="007B3067" w:rsidRPr="00B131ED" w:rsidRDefault="00000000">
            <w:pPr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AUC</w:t>
            </w:r>
          </w:p>
        </w:tc>
        <w:tc>
          <w:tcPr>
            <w:tcW w:w="1728" w:type="dxa"/>
          </w:tcPr>
          <w:p w14:paraId="27C750F7" w14:textId="77777777" w:rsidR="007B3067" w:rsidRPr="00B1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~0.72</w:t>
            </w:r>
          </w:p>
        </w:tc>
        <w:tc>
          <w:tcPr>
            <w:tcW w:w="1728" w:type="dxa"/>
          </w:tcPr>
          <w:p w14:paraId="2479DFEF" w14:textId="77777777" w:rsidR="007B3067" w:rsidRPr="00B1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~0.76</w:t>
            </w:r>
          </w:p>
        </w:tc>
        <w:tc>
          <w:tcPr>
            <w:tcW w:w="1728" w:type="dxa"/>
          </w:tcPr>
          <w:p w14:paraId="7290A33F" w14:textId="77777777" w:rsidR="007B3067" w:rsidRPr="00B1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~0.80</w:t>
            </w:r>
          </w:p>
        </w:tc>
        <w:tc>
          <w:tcPr>
            <w:tcW w:w="1728" w:type="dxa"/>
          </w:tcPr>
          <w:p w14:paraId="31D39668" w14:textId="77777777" w:rsidR="007B3067" w:rsidRPr="00B1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~0.79</w:t>
            </w:r>
          </w:p>
        </w:tc>
      </w:tr>
      <w:tr w:rsidR="007B3067" w:rsidRPr="00B131ED" w14:paraId="4799B6CC" w14:textId="77777777" w:rsidTr="007B30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B5EC39B" w14:textId="77777777" w:rsidR="007B3067" w:rsidRPr="00B131ED" w:rsidRDefault="00000000">
            <w:pPr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Gini</w:t>
            </w:r>
          </w:p>
        </w:tc>
        <w:tc>
          <w:tcPr>
            <w:tcW w:w="1728" w:type="dxa"/>
          </w:tcPr>
          <w:p w14:paraId="2D82F617" w14:textId="77777777" w:rsidR="007B3067" w:rsidRPr="00B131E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~0.44</w:t>
            </w:r>
          </w:p>
        </w:tc>
        <w:tc>
          <w:tcPr>
            <w:tcW w:w="1728" w:type="dxa"/>
          </w:tcPr>
          <w:p w14:paraId="14278FAC" w14:textId="77777777" w:rsidR="007B3067" w:rsidRPr="00B131E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~0.52</w:t>
            </w:r>
          </w:p>
        </w:tc>
        <w:tc>
          <w:tcPr>
            <w:tcW w:w="1728" w:type="dxa"/>
          </w:tcPr>
          <w:p w14:paraId="4CBF7F9E" w14:textId="77777777" w:rsidR="007B3067" w:rsidRPr="00B131E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~0.60</w:t>
            </w:r>
          </w:p>
        </w:tc>
        <w:tc>
          <w:tcPr>
            <w:tcW w:w="1728" w:type="dxa"/>
          </w:tcPr>
          <w:p w14:paraId="698FAAD6" w14:textId="77777777" w:rsidR="007B3067" w:rsidRPr="00B131E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~0.58</w:t>
            </w:r>
          </w:p>
        </w:tc>
      </w:tr>
      <w:tr w:rsidR="007B3067" w:rsidRPr="00B131ED" w14:paraId="14451E8A" w14:textId="77777777" w:rsidTr="007B30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F068EE4" w14:textId="77777777" w:rsidR="007B3067" w:rsidRPr="00B131ED" w:rsidRDefault="00000000">
            <w:pPr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KS</w:t>
            </w:r>
          </w:p>
        </w:tc>
        <w:tc>
          <w:tcPr>
            <w:tcW w:w="1728" w:type="dxa"/>
          </w:tcPr>
          <w:p w14:paraId="69A4B869" w14:textId="77777777" w:rsidR="007B3067" w:rsidRPr="00B1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~0.32</w:t>
            </w:r>
          </w:p>
        </w:tc>
        <w:tc>
          <w:tcPr>
            <w:tcW w:w="1728" w:type="dxa"/>
          </w:tcPr>
          <w:p w14:paraId="6F439073" w14:textId="77777777" w:rsidR="007B3067" w:rsidRPr="00B1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~0.40</w:t>
            </w:r>
          </w:p>
        </w:tc>
        <w:tc>
          <w:tcPr>
            <w:tcW w:w="1728" w:type="dxa"/>
          </w:tcPr>
          <w:p w14:paraId="0E0972BB" w14:textId="77777777" w:rsidR="007B3067" w:rsidRPr="00B1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~0.47</w:t>
            </w:r>
          </w:p>
        </w:tc>
        <w:tc>
          <w:tcPr>
            <w:tcW w:w="1728" w:type="dxa"/>
          </w:tcPr>
          <w:p w14:paraId="1B833997" w14:textId="77777777" w:rsidR="007B3067" w:rsidRPr="00B1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~0.45</w:t>
            </w:r>
          </w:p>
        </w:tc>
      </w:tr>
      <w:tr w:rsidR="007B3067" w:rsidRPr="00B131ED" w14:paraId="63452CFF" w14:textId="77777777" w:rsidTr="007B30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AB14EF4" w14:textId="77777777" w:rsidR="007B3067" w:rsidRPr="00B131ED" w:rsidRDefault="00000000">
            <w:pPr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F1</w:t>
            </w:r>
          </w:p>
        </w:tc>
        <w:tc>
          <w:tcPr>
            <w:tcW w:w="1728" w:type="dxa"/>
          </w:tcPr>
          <w:p w14:paraId="3F2EB0AC" w14:textId="77777777" w:rsidR="007B3067" w:rsidRPr="00B131E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~0.56</w:t>
            </w:r>
          </w:p>
        </w:tc>
        <w:tc>
          <w:tcPr>
            <w:tcW w:w="1728" w:type="dxa"/>
          </w:tcPr>
          <w:p w14:paraId="7D3C7BA4" w14:textId="77777777" w:rsidR="007B3067" w:rsidRPr="00B131E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~0.60</w:t>
            </w:r>
          </w:p>
        </w:tc>
        <w:tc>
          <w:tcPr>
            <w:tcW w:w="1728" w:type="dxa"/>
          </w:tcPr>
          <w:p w14:paraId="14603585" w14:textId="77777777" w:rsidR="007B3067" w:rsidRPr="00B131E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~0.64</w:t>
            </w:r>
          </w:p>
        </w:tc>
        <w:tc>
          <w:tcPr>
            <w:tcW w:w="1728" w:type="dxa"/>
          </w:tcPr>
          <w:p w14:paraId="49F1FB5E" w14:textId="77777777" w:rsidR="007B3067" w:rsidRPr="00B131E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~0.63</w:t>
            </w:r>
          </w:p>
        </w:tc>
      </w:tr>
      <w:tr w:rsidR="007B3067" w:rsidRPr="00B131ED" w14:paraId="12A065BB" w14:textId="77777777" w:rsidTr="007B30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FDC2965" w14:textId="77777777" w:rsidR="007B3067" w:rsidRPr="00B131ED" w:rsidRDefault="00000000">
            <w:pPr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PR-AUC</w:t>
            </w:r>
          </w:p>
        </w:tc>
        <w:tc>
          <w:tcPr>
            <w:tcW w:w="1728" w:type="dxa"/>
          </w:tcPr>
          <w:p w14:paraId="6C2D0412" w14:textId="77777777" w:rsidR="007B3067" w:rsidRPr="00B1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~0.63</w:t>
            </w:r>
          </w:p>
        </w:tc>
        <w:tc>
          <w:tcPr>
            <w:tcW w:w="1728" w:type="dxa"/>
          </w:tcPr>
          <w:p w14:paraId="16021476" w14:textId="77777777" w:rsidR="007B3067" w:rsidRPr="00B1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~0.68</w:t>
            </w:r>
          </w:p>
        </w:tc>
        <w:tc>
          <w:tcPr>
            <w:tcW w:w="1728" w:type="dxa"/>
          </w:tcPr>
          <w:p w14:paraId="68D7B853" w14:textId="77777777" w:rsidR="007B3067" w:rsidRPr="00B1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~0.73</w:t>
            </w:r>
          </w:p>
        </w:tc>
        <w:tc>
          <w:tcPr>
            <w:tcW w:w="1728" w:type="dxa"/>
          </w:tcPr>
          <w:p w14:paraId="36C7309A" w14:textId="77777777" w:rsidR="007B3067" w:rsidRPr="00B131E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/>
                <w:sz w:val="24"/>
                <w:szCs w:val="24"/>
              </w:rPr>
            </w:pPr>
            <w:r w:rsidRPr="00B131ED">
              <w:rPr>
                <w:rFonts w:ascii="Arial Narrow" w:hAnsi="Arial Narrow"/>
                <w:sz w:val="24"/>
                <w:szCs w:val="24"/>
              </w:rPr>
              <w:t>~0.72</w:t>
            </w:r>
          </w:p>
        </w:tc>
      </w:tr>
    </w:tbl>
    <w:p w14:paraId="2E6B6BFC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6A1A6D19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>Ganador por AUC: LightGBM — supera a todos los modelos en todas las métricas con margen consistente.</w:t>
      </w:r>
    </w:p>
    <w:p w14:paraId="12D84E06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8.2 Análisis gráfico</w:t>
      </w:r>
    </w:p>
    <w:p w14:paraId="0F35EBEA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Se produjeron 4 tipos de gráficos:</w:t>
      </w:r>
    </w:p>
    <w:p w14:paraId="22A8182C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 xml:space="preserve">1. </w:t>
      </w:r>
      <w:r w:rsidRPr="00B131ED">
        <w:rPr>
          <w:rFonts w:ascii="Arial Narrow" w:hAnsi="Arial Narrow"/>
          <w:sz w:val="24"/>
          <w:szCs w:val="24"/>
        </w:rPr>
        <w:t>Curvas ROC: LightGBM muestra clara separación sobre los otros modelos.</w:t>
      </w:r>
    </w:p>
    <w:p w14:paraId="25B41140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 xml:space="preserve">2. </w:t>
      </w:r>
      <w:r w:rsidRPr="00B131ED">
        <w:rPr>
          <w:rFonts w:ascii="Arial Narrow" w:hAnsi="Arial Narrow"/>
          <w:sz w:val="24"/>
          <w:szCs w:val="24"/>
        </w:rPr>
        <w:t>Separación de distribuciones (KS): las distribuciones de scores para positivos y negativos están bien separadas.</w:t>
      </w:r>
    </w:p>
    <w:p w14:paraId="08067FBF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 xml:space="preserve">3. </w:t>
      </w:r>
      <w:r w:rsidRPr="00B131ED">
        <w:rPr>
          <w:rFonts w:ascii="Arial Narrow" w:hAnsi="Arial Narrow"/>
          <w:sz w:val="24"/>
          <w:szCs w:val="24"/>
        </w:rPr>
        <w:t>Lift por decil: el decil 1 (mayor propensión) tiene un lift &gt;2.5x.</w:t>
      </w:r>
    </w:p>
    <w:p w14:paraId="7C5F7E67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 xml:space="preserve">4. </w:t>
      </w:r>
      <w:r w:rsidRPr="00B131ED">
        <w:rPr>
          <w:rFonts w:ascii="Arial Narrow" w:hAnsi="Arial Narrow"/>
          <w:sz w:val="24"/>
          <w:szCs w:val="24"/>
        </w:rPr>
        <w:t>Curva de Gains: con el 30% de la población se captura ~60% de los positivos.</w:t>
      </w:r>
    </w:p>
    <w:p w14:paraId="76812236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8.3 Optimización del umbral</w:t>
      </w:r>
    </w:p>
    <w:p w14:paraId="530A67EE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Se escaneó el umbral de decisión de 0.10 a 0.90 en pasos de 0.02, optimizando F1-Score:</w:t>
      </w:r>
    </w:p>
    <w:p w14:paraId="5141E81B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Umbral óptimo encontrado: 0.42</w:t>
      </w:r>
    </w:p>
    <w:p w14:paraId="68723B0F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lastRenderedPageBreak/>
        <w:t>F1 en umbral óptimo: ~0.64</w:t>
      </w:r>
    </w:p>
    <w:p w14:paraId="015093D5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Precision: ~0.62  |  Recall: ~0.66</w:t>
      </w:r>
    </w:p>
    <w:p w14:paraId="0B43FCA4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8.4 Calibración</w:t>
      </w:r>
    </w:p>
    <w:p w14:paraId="4A3FE423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El diagrama de calibración muestra que las probabilidades predichas por LightGBM están razonablemente calibradas: la fracción real de positivos sigue de cerca la diagonal, con ligera sobreconfianza en el rango 0.6-0.8.</w:t>
      </w:r>
    </w:p>
    <w:p w14:paraId="101FFFC7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8.5 Importancia de features</w:t>
      </w:r>
    </w:p>
    <w:p w14:paraId="36A4240D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Las Top 10 features por importancia (gain) del modelo LightGBM:</w:t>
      </w:r>
    </w:p>
    <w:p w14:paraId="5207C763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>1.</w:t>
      </w:r>
      <w:r w:rsidRPr="00B131ED">
        <w:rPr>
          <w:rFonts w:ascii="Arial Narrow" w:hAnsi="Arial Narrow"/>
          <w:sz w:val="24"/>
          <w:szCs w:val="24"/>
        </w:rPr>
        <w:t xml:space="preserve"> prob_propension — score de propensión del mes anterior</w:t>
      </w:r>
    </w:p>
    <w:p w14:paraId="0F78F171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>2.</w:t>
      </w:r>
      <w:r w:rsidRPr="00B131ED">
        <w:rPr>
          <w:rFonts w:ascii="Arial Narrow" w:hAnsi="Arial Narrow"/>
          <w:sz w:val="24"/>
          <w:szCs w:val="24"/>
        </w:rPr>
        <w:t xml:space="preserve"> pct_meses_pagados_6m — frecuencia de pago reciente</w:t>
      </w:r>
    </w:p>
    <w:p w14:paraId="2DD332AD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>3.</w:t>
      </w:r>
      <w:r w:rsidRPr="00B131ED">
        <w:rPr>
          <w:rFonts w:ascii="Arial Narrow" w:hAnsi="Arial Narrow"/>
          <w:sz w:val="24"/>
          <w:szCs w:val="24"/>
        </w:rPr>
        <w:t xml:space="preserve"> score_combinado — promedio de 3 scores</w:t>
      </w:r>
    </w:p>
    <w:p w14:paraId="1A4BDA49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>4.</w:t>
      </w:r>
      <w:r w:rsidRPr="00B131ED">
        <w:rPr>
          <w:rFonts w:ascii="Arial Narrow" w:hAnsi="Arial Narrow"/>
          <w:sz w:val="24"/>
          <w:szCs w:val="24"/>
        </w:rPr>
        <w:t xml:space="preserve"> hist_porc_pago_mean — porcentaje de pago histórico medio</w:t>
      </w:r>
    </w:p>
    <w:p w14:paraId="6B01E847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>5.</w:t>
      </w:r>
      <w:r w:rsidRPr="00B131ED">
        <w:rPr>
          <w:rFonts w:ascii="Arial Narrow" w:hAnsi="Arial Narrow"/>
          <w:sz w:val="24"/>
          <w:szCs w:val="24"/>
        </w:rPr>
        <w:t xml:space="preserve"> pago_x_propension — interacción pago × propensión</w:t>
      </w:r>
    </w:p>
    <w:p w14:paraId="4338C9C1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>6.</w:t>
      </w:r>
      <w:r w:rsidRPr="00B131ED">
        <w:rPr>
          <w:rFonts w:ascii="Arial Narrow" w:hAnsi="Arial Narrow"/>
          <w:sz w:val="24"/>
          <w:szCs w:val="24"/>
        </w:rPr>
        <w:t xml:space="preserve"> meses_desde_ultimo_pago — recencia de pago</w:t>
      </w:r>
    </w:p>
    <w:p w14:paraId="74A0C28F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>7.</w:t>
      </w:r>
      <w:r w:rsidRPr="00B131ED">
        <w:rPr>
          <w:rFonts w:ascii="Arial Narrow" w:hAnsi="Arial Narrow"/>
          <w:sz w:val="24"/>
          <w:szCs w:val="24"/>
        </w:rPr>
        <w:t xml:space="preserve"> fe_propension_trend — tendencia del score de propensión</w:t>
      </w:r>
    </w:p>
    <w:p w14:paraId="5654D2CC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>8.</w:t>
      </w:r>
      <w:r w:rsidRPr="00B131ED">
        <w:rPr>
          <w:rFonts w:ascii="Arial Narrow" w:hAnsi="Arial Narrow"/>
          <w:sz w:val="24"/>
          <w:szCs w:val="24"/>
        </w:rPr>
        <w:t xml:space="preserve"> ratio_vencido — proporción del valor vencido</w:t>
      </w:r>
    </w:p>
    <w:p w14:paraId="0F27B6DA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>9.</w:t>
      </w:r>
      <w:r w:rsidRPr="00B131ED">
        <w:rPr>
          <w:rFonts w:ascii="Arial Narrow" w:hAnsi="Arial Narrow"/>
          <w:sz w:val="24"/>
          <w:szCs w:val="24"/>
        </w:rPr>
        <w:t xml:space="preserve"> cant_alter_posibles — opciones de pago disponibles</w:t>
      </w:r>
    </w:p>
    <w:p w14:paraId="019E7B67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>10.</w:t>
      </w:r>
      <w:r w:rsidRPr="00B131ED">
        <w:rPr>
          <w:rFonts w:ascii="Arial Narrow" w:hAnsi="Arial Narrow"/>
          <w:sz w:val="24"/>
          <w:szCs w:val="24"/>
        </w:rPr>
        <w:t xml:space="preserve"> fe_calidad_pago — calidad histórica de pagos</w:t>
      </w:r>
    </w:p>
    <w:p w14:paraId="37F0C65B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i/>
          <w:sz w:val="24"/>
          <w:szCs w:val="24"/>
        </w:rPr>
        <w:t>La importancia confirma la hipótesis del EDA: las features construidas sobre historial de pagos y scores son las más predictivas.</w:t>
      </w:r>
    </w:p>
    <w:p w14:paraId="2AF663C8" w14:textId="77777777" w:rsidR="007B3067" w:rsidRPr="00B131ED" w:rsidRDefault="00000000">
      <w:pPr>
        <w:pStyle w:val="Ttulo1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9. Validación Out-of-Time (OOT)</w:t>
      </w:r>
    </w:p>
    <w:p w14:paraId="495EC2FA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9.1 Reentrenamiento sobre datos completos</w:t>
      </w:r>
    </w:p>
    <w:p w14:paraId="536ACA0F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Antes de predecir OOT, se reentrenó LightGBM sobre el 100% de los datos de entrenamiento (train + validación). Esto maximiza la información disponible para el modelo que genera las predicciones finales.</w:t>
      </w:r>
    </w:p>
    <w:p w14:paraId="42D6881A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9.2 Estabilidad del modelo</w:t>
      </w:r>
    </w:p>
    <w:p w14:paraId="3B302171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Se compararon las distribuciones de scores entre validación y OOT: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B3067" w:rsidRPr="00AC4B89" w14:paraId="331121AA" w14:textId="77777777" w:rsidTr="00AC4B89">
        <w:tc>
          <w:tcPr>
            <w:tcW w:w="2880" w:type="dxa"/>
          </w:tcPr>
          <w:p w14:paraId="407FB747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b/>
                <w:sz w:val="20"/>
                <w:szCs w:val="20"/>
              </w:rPr>
              <w:t>Métrica</w:t>
            </w:r>
          </w:p>
        </w:tc>
        <w:tc>
          <w:tcPr>
            <w:tcW w:w="2880" w:type="dxa"/>
          </w:tcPr>
          <w:p w14:paraId="7EA706B7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b/>
                <w:sz w:val="20"/>
                <w:szCs w:val="20"/>
              </w:rPr>
              <w:t>Validación</w:t>
            </w:r>
          </w:p>
        </w:tc>
        <w:tc>
          <w:tcPr>
            <w:tcW w:w="2880" w:type="dxa"/>
          </w:tcPr>
          <w:p w14:paraId="68B99835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b/>
                <w:sz w:val="20"/>
                <w:szCs w:val="20"/>
              </w:rPr>
              <w:t>OOT</w:t>
            </w:r>
          </w:p>
        </w:tc>
      </w:tr>
      <w:tr w:rsidR="007B3067" w:rsidRPr="00AC4B89" w14:paraId="68CDBBD7" w14:textId="77777777" w:rsidTr="00AC4B89">
        <w:tc>
          <w:tcPr>
            <w:tcW w:w="2880" w:type="dxa"/>
          </w:tcPr>
          <w:p w14:paraId="33454CA0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Media</w:t>
            </w:r>
          </w:p>
        </w:tc>
        <w:tc>
          <w:tcPr>
            <w:tcW w:w="2880" w:type="dxa"/>
          </w:tcPr>
          <w:p w14:paraId="0499761D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~0.39</w:t>
            </w:r>
          </w:p>
        </w:tc>
        <w:tc>
          <w:tcPr>
            <w:tcW w:w="2880" w:type="dxa"/>
          </w:tcPr>
          <w:p w14:paraId="0E54DDCD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~0.40</w:t>
            </w:r>
          </w:p>
        </w:tc>
      </w:tr>
      <w:tr w:rsidR="007B3067" w:rsidRPr="00AC4B89" w14:paraId="35C03408" w14:textId="77777777" w:rsidTr="00AC4B89">
        <w:tc>
          <w:tcPr>
            <w:tcW w:w="2880" w:type="dxa"/>
          </w:tcPr>
          <w:p w14:paraId="37AC140D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Std</w:t>
            </w:r>
          </w:p>
        </w:tc>
        <w:tc>
          <w:tcPr>
            <w:tcW w:w="2880" w:type="dxa"/>
          </w:tcPr>
          <w:p w14:paraId="5F8A149B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~0.21</w:t>
            </w:r>
          </w:p>
        </w:tc>
        <w:tc>
          <w:tcPr>
            <w:tcW w:w="2880" w:type="dxa"/>
          </w:tcPr>
          <w:p w14:paraId="4F456F00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~0.20</w:t>
            </w:r>
          </w:p>
        </w:tc>
      </w:tr>
      <w:tr w:rsidR="007B3067" w:rsidRPr="00AC4B89" w14:paraId="7EF42EA5" w14:textId="77777777" w:rsidTr="00AC4B89">
        <w:tc>
          <w:tcPr>
            <w:tcW w:w="2880" w:type="dxa"/>
          </w:tcPr>
          <w:p w14:paraId="2998F95D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P10</w:t>
            </w:r>
          </w:p>
        </w:tc>
        <w:tc>
          <w:tcPr>
            <w:tcW w:w="2880" w:type="dxa"/>
          </w:tcPr>
          <w:p w14:paraId="6CA3322F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~0.12</w:t>
            </w:r>
          </w:p>
        </w:tc>
        <w:tc>
          <w:tcPr>
            <w:tcW w:w="2880" w:type="dxa"/>
          </w:tcPr>
          <w:p w14:paraId="4BC92744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~0.14</w:t>
            </w:r>
          </w:p>
        </w:tc>
      </w:tr>
      <w:tr w:rsidR="007B3067" w:rsidRPr="00AC4B89" w14:paraId="00E13FE3" w14:textId="77777777" w:rsidTr="00AC4B89">
        <w:tc>
          <w:tcPr>
            <w:tcW w:w="2880" w:type="dxa"/>
          </w:tcPr>
          <w:p w14:paraId="78AE7310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P50</w:t>
            </w:r>
          </w:p>
        </w:tc>
        <w:tc>
          <w:tcPr>
            <w:tcW w:w="2880" w:type="dxa"/>
          </w:tcPr>
          <w:p w14:paraId="57812838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~0.36</w:t>
            </w:r>
          </w:p>
        </w:tc>
        <w:tc>
          <w:tcPr>
            <w:tcW w:w="2880" w:type="dxa"/>
          </w:tcPr>
          <w:p w14:paraId="10F0CC7B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~0.38</w:t>
            </w:r>
          </w:p>
        </w:tc>
      </w:tr>
      <w:tr w:rsidR="007B3067" w:rsidRPr="00AC4B89" w14:paraId="4405B2DF" w14:textId="77777777" w:rsidTr="00AC4B89">
        <w:tc>
          <w:tcPr>
            <w:tcW w:w="2880" w:type="dxa"/>
          </w:tcPr>
          <w:p w14:paraId="5C5C9997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P90</w:t>
            </w:r>
          </w:p>
        </w:tc>
        <w:tc>
          <w:tcPr>
            <w:tcW w:w="2880" w:type="dxa"/>
          </w:tcPr>
          <w:p w14:paraId="677D238D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~0.70</w:t>
            </w:r>
          </w:p>
        </w:tc>
        <w:tc>
          <w:tcPr>
            <w:tcW w:w="2880" w:type="dxa"/>
          </w:tcPr>
          <w:p w14:paraId="46C9BA87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~0.68</w:t>
            </w:r>
          </w:p>
        </w:tc>
      </w:tr>
    </w:tbl>
    <w:p w14:paraId="29ABE915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43199CD3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lastRenderedPageBreak/>
        <w:t>KS estabilidad val/OOT: &lt; 0.10 → Modelo estable. Las distribuciones de scores son consistentes entre la ventana de validación y el periodo OOT, lo que indica que el modelo no sufre de concept drift significativo.</w:t>
      </w:r>
    </w:p>
    <w:p w14:paraId="7D3A168D" w14:textId="77777777" w:rsidR="007B3067" w:rsidRDefault="00000000">
      <w:pPr>
        <w:pStyle w:val="Ttulo1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10. Arquitectura del Pipeline Productivo</w:t>
      </w:r>
    </w:p>
    <w:p w14:paraId="40EC15CE" w14:textId="77777777" w:rsidR="00AC4B89" w:rsidRDefault="00AC4B89" w:rsidP="00AC4B89"/>
    <w:p w14:paraId="319267E2" w14:textId="3FC52B6D" w:rsidR="00AC4B89" w:rsidRPr="00AC4B89" w:rsidRDefault="00AC4B89" w:rsidP="00AC4B89">
      <w:r w:rsidRPr="00AC4B89">
        <w:drawing>
          <wp:inline distT="0" distB="0" distL="0" distR="0" wp14:anchorId="3B25BB62" wp14:editId="159EF705">
            <wp:extent cx="5363210" cy="2924506"/>
            <wp:effectExtent l="0" t="0" r="8890" b="9525"/>
            <wp:docPr id="102358900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397" cy="2928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71673" w14:textId="77777777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Se implementó la solución productiva en el framework orquestador2 siguiendo el estándar MLOps:</w:t>
      </w:r>
    </w:p>
    <w:p w14:paraId="4D64FA5D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AN0016001-modelo-propension/</w:t>
      </w:r>
    </w:p>
    <w:p w14:paraId="35E5B1A7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├── src/an0016001_modelo_propension/</w:t>
      </w:r>
    </w:p>
    <w:p w14:paraId="47DD34C6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│   ├── ejecucion.py          ← Entry point CLI</w:t>
      </w:r>
    </w:p>
    <w:p w14:paraId="0C3E795B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│   ├── carga_lz.py           ← Carga CSVs a Impala (una vez)</w:t>
      </w:r>
    </w:p>
    <w:p w14:paraId="53C26156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│   ├── preprocesador.py      ← Valida ingestiones y fechas</w:t>
      </w:r>
    </w:p>
    <w:p w14:paraId="631D12CE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│   ├── etl.py                ← Genera tablas de staging en SQL</w:t>
      </w:r>
    </w:p>
    <w:p w14:paraId="6D675E9F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│   ├── modelo.py             ← Orquesta entrenamiento y scoring</w:t>
      </w:r>
    </w:p>
    <w:p w14:paraId="31A5E848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│   ├── modelo_seleccion.py   ← Pipeline ML completo</w:t>
      </w:r>
    </w:p>
    <w:p w14:paraId="44CCE900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│   └── static/</w:t>
      </w:r>
    </w:p>
    <w:p w14:paraId="04136C7C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│       ├── config.json       ← Configuración centralizada</w:t>
      </w:r>
    </w:p>
    <w:p w14:paraId="78358F76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│       ├── pkl/              ← Artefactos serializados</w:t>
      </w:r>
    </w:p>
    <w:p w14:paraId="39CD8778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│       └── sql/              ← SQLs por etapa</w:t>
      </w:r>
    </w:p>
    <w:p w14:paraId="1CD2EC20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├── setup.py / setup.cfg</w:t>
      </w:r>
    </w:p>
    <w:p w14:paraId="62B93FD2" w14:textId="77777777" w:rsidR="007B3067" w:rsidRPr="00B131ED" w:rsidRDefault="00000000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>└── MANIFEST.in</w:t>
      </w:r>
    </w:p>
    <w:p w14:paraId="77D23DF7" w14:textId="07FD71A0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lastRenderedPageBreak/>
        <w:t>10.</w:t>
      </w:r>
      <w:r w:rsidR="00AC4B89">
        <w:rPr>
          <w:rFonts w:ascii="Arial Narrow" w:hAnsi="Arial Narrow"/>
          <w:sz w:val="24"/>
          <w:szCs w:val="24"/>
        </w:rPr>
        <w:t>1</w:t>
      </w:r>
      <w:r w:rsidRPr="00B131ED">
        <w:rPr>
          <w:rFonts w:ascii="Arial Narrow" w:hAnsi="Arial Narrow"/>
          <w:sz w:val="24"/>
          <w:szCs w:val="24"/>
        </w:rPr>
        <w:t xml:space="preserve"> Flujo de ejecución</w:t>
      </w:r>
    </w:p>
    <w:p w14:paraId="382D6FE2" w14:textId="297C1B3C" w:rsidR="007B3067" w:rsidRPr="00B131ED" w:rsidRDefault="00000000" w:rsidP="00AC4B89">
      <w:pPr>
        <w:pStyle w:val="CodeBlock"/>
        <w:rPr>
          <w:rFonts w:ascii="Arial Narrow" w:hAnsi="Arial Narrow"/>
          <w:noProof/>
          <w:sz w:val="24"/>
          <w:szCs w:val="24"/>
          <w:lang w:val="es-CO"/>
        </w:rPr>
      </w:pPr>
      <w:r w:rsidRPr="00B131ED">
        <w:rPr>
          <w:rFonts w:ascii="Arial Narrow" w:hAnsi="Arial Narrow"/>
          <w:noProof/>
          <w:sz w:val="24"/>
          <w:szCs w:val="24"/>
          <w:lang w:val="es-CO"/>
        </w:rPr>
        <w:t xml:space="preserve">CargaLz </w:t>
      </w:r>
      <w:r w:rsidR="00AC4B89" w:rsidRPr="00AC4B89">
        <w:rPr>
          <w:rFonts w:ascii="Arial Narrow" w:hAnsi="Arial Narrow"/>
          <w:noProof/>
          <w:sz w:val="24"/>
          <w:szCs w:val="24"/>
          <w:lang w:val="es-CO"/>
        </w:rPr>
        <w:sym w:font="Wingdings" w:char="F0E0"/>
      </w:r>
      <w:r w:rsidRPr="00B131ED">
        <w:rPr>
          <w:rFonts w:ascii="Arial Narrow" w:hAnsi="Arial Narrow"/>
          <w:noProof/>
          <w:sz w:val="24"/>
          <w:szCs w:val="24"/>
          <w:lang w:val="es-CO"/>
        </w:rPr>
        <w:t xml:space="preserve"> Preprocesador </w:t>
      </w:r>
      <w:r w:rsidR="00AC4B89" w:rsidRPr="00AC4B89">
        <w:rPr>
          <w:rFonts w:ascii="Arial Narrow" w:hAnsi="Arial Narrow"/>
          <w:noProof/>
          <w:sz w:val="24"/>
          <w:szCs w:val="24"/>
          <w:lang w:val="es-CO"/>
        </w:rPr>
        <w:sym w:font="Wingdings" w:char="F0E0"/>
      </w:r>
      <w:r w:rsidRPr="00B131ED">
        <w:rPr>
          <w:rFonts w:ascii="Arial Narrow" w:hAnsi="Arial Narrow"/>
          <w:noProof/>
          <w:sz w:val="24"/>
          <w:szCs w:val="24"/>
          <w:lang w:val="es-CO"/>
        </w:rPr>
        <w:t xml:space="preserve"> ETL </w:t>
      </w:r>
      <w:r w:rsidR="00AC4B89" w:rsidRPr="00AC4B89">
        <w:rPr>
          <w:rFonts w:ascii="Arial Narrow" w:hAnsi="Arial Narrow"/>
          <w:noProof/>
          <w:sz w:val="24"/>
          <w:szCs w:val="24"/>
          <w:lang w:val="es-CO"/>
        </w:rPr>
        <w:sym w:font="Wingdings" w:char="F0E0"/>
      </w:r>
      <w:r w:rsidRPr="00B131ED">
        <w:rPr>
          <w:rFonts w:ascii="Arial Narrow" w:hAnsi="Arial Narrow"/>
          <w:noProof/>
          <w:sz w:val="24"/>
          <w:szCs w:val="24"/>
          <w:lang w:val="es-CO"/>
        </w:rPr>
        <w:t xml:space="preserve"> Modelo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B3067" w:rsidRPr="00AC4B89" w14:paraId="4C3A9AB2" w14:textId="77777777" w:rsidTr="00AC4B89">
        <w:tc>
          <w:tcPr>
            <w:tcW w:w="2880" w:type="dxa"/>
          </w:tcPr>
          <w:p w14:paraId="422A052C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b/>
                <w:sz w:val="20"/>
                <w:szCs w:val="20"/>
              </w:rPr>
              <w:t>Paso</w:t>
            </w:r>
          </w:p>
        </w:tc>
        <w:tc>
          <w:tcPr>
            <w:tcW w:w="2880" w:type="dxa"/>
          </w:tcPr>
          <w:p w14:paraId="61153B2E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b/>
                <w:sz w:val="20"/>
                <w:szCs w:val="20"/>
              </w:rPr>
              <w:t>Archivo</w:t>
            </w:r>
          </w:p>
        </w:tc>
        <w:tc>
          <w:tcPr>
            <w:tcW w:w="2880" w:type="dxa"/>
          </w:tcPr>
          <w:p w14:paraId="068C3785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b/>
                <w:sz w:val="20"/>
                <w:szCs w:val="20"/>
              </w:rPr>
              <w:t>Función</w:t>
            </w:r>
          </w:p>
        </w:tc>
      </w:tr>
      <w:tr w:rsidR="007B3067" w:rsidRPr="00AC4B89" w14:paraId="3E8F4EF8" w14:textId="77777777" w:rsidTr="00AC4B89">
        <w:tc>
          <w:tcPr>
            <w:tcW w:w="2880" w:type="dxa"/>
          </w:tcPr>
          <w:p w14:paraId="7F4D6D09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CargaLz</w:t>
            </w:r>
          </w:p>
        </w:tc>
        <w:tc>
          <w:tcPr>
            <w:tcW w:w="2880" w:type="dxa"/>
          </w:tcPr>
          <w:p w14:paraId="585CF252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carga_lz.py</w:t>
            </w:r>
          </w:p>
        </w:tc>
        <w:tc>
          <w:tcPr>
            <w:tcW w:w="2880" w:type="dxa"/>
          </w:tcPr>
          <w:p w14:paraId="00C91DF7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Sube los 5 CSVs a zona proceso de Impala vía sparky-bc</w:t>
            </w:r>
          </w:p>
        </w:tc>
      </w:tr>
      <w:tr w:rsidR="007B3067" w:rsidRPr="00AC4B89" w14:paraId="711811EE" w14:textId="77777777" w:rsidTr="00AC4B89">
        <w:tc>
          <w:tcPr>
            <w:tcW w:w="2880" w:type="dxa"/>
          </w:tcPr>
          <w:p w14:paraId="1AD54974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Preprocesador</w:t>
            </w:r>
          </w:p>
        </w:tc>
        <w:tc>
          <w:tcPr>
            <w:tcW w:w="2880" w:type="dxa"/>
          </w:tcPr>
          <w:p w14:paraId="036F9F6A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preprocesador.py</w:t>
            </w:r>
          </w:p>
        </w:tc>
        <w:tc>
          <w:tcPr>
            <w:tcW w:w="2880" w:type="dxa"/>
          </w:tcPr>
          <w:p w14:paraId="6C4368CB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Consulta MAX(fecha) de cada tabla fuente, actualiza config.json</w:t>
            </w:r>
          </w:p>
        </w:tc>
      </w:tr>
      <w:tr w:rsidR="007B3067" w:rsidRPr="00AC4B89" w14:paraId="223245A8" w14:textId="77777777" w:rsidTr="00AC4B89">
        <w:tc>
          <w:tcPr>
            <w:tcW w:w="2880" w:type="dxa"/>
          </w:tcPr>
          <w:p w14:paraId="4374BDBD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ETL</w:t>
            </w:r>
          </w:p>
        </w:tc>
        <w:tc>
          <w:tcPr>
            <w:tcW w:w="2880" w:type="dxa"/>
          </w:tcPr>
          <w:p w14:paraId="709FD340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etl.py</w:t>
            </w:r>
          </w:p>
        </w:tc>
        <w:tc>
          <w:tcPr>
            <w:tcW w:w="2880" w:type="dxa"/>
          </w:tcPr>
          <w:p w14:paraId="3E78250D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Ejecuta SQLs que crean an0016001_features_train y features_score</w:t>
            </w:r>
          </w:p>
        </w:tc>
      </w:tr>
      <w:tr w:rsidR="007B3067" w:rsidRPr="00AC4B89" w14:paraId="07FB3CFC" w14:textId="77777777" w:rsidTr="00AC4B89">
        <w:tc>
          <w:tcPr>
            <w:tcW w:w="2880" w:type="dxa"/>
          </w:tcPr>
          <w:p w14:paraId="7DA70104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Modelo</w:t>
            </w:r>
          </w:p>
        </w:tc>
        <w:tc>
          <w:tcPr>
            <w:tcW w:w="2880" w:type="dxa"/>
          </w:tcPr>
          <w:p w14:paraId="0ADEDF22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modelo.py + modelo_seleccion.py</w:t>
            </w:r>
          </w:p>
        </w:tc>
        <w:tc>
          <w:tcPr>
            <w:tcW w:w="2880" w:type="dxa"/>
          </w:tcPr>
          <w:p w14:paraId="2322C563" w14:textId="77777777" w:rsidR="007B3067" w:rsidRPr="00AC4B89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AC4B89">
              <w:rPr>
                <w:rFonts w:ascii="Arial Narrow" w:hAnsi="Arial Narrow"/>
                <w:sz w:val="20"/>
                <w:szCs w:val="20"/>
              </w:rPr>
              <w:t>Descarga datos, construye features, entrena/predice, sube resultados</w:t>
            </w:r>
          </w:p>
        </w:tc>
      </w:tr>
    </w:tbl>
    <w:p w14:paraId="4C5F571A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103CD893" w14:textId="77777777" w:rsidR="007B3067" w:rsidRPr="00B131ED" w:rsidRDefault="00000000">
      <w:pPr>
        <w:pStyle w:val="Ttulo1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11. Diseño de Disponibilización del Modelo</w:t>
      </w:r>
    </w:p>
    <w:p w14:paraId="094D398D" w14:textId="5A74C43D" w:rsidR="007B3067" w:rsidRPr="00B131ED" w:rsidRDefault="00000000">
      <w:pPr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Se diseñó una arquitectura para hacer disponibles los resultados del modelo a sistemas externos:</w:t>
      </w:r>
    </w:p>
    <w:p w14:paraId="72A587E6" w14:textId="77777777" w:rsidR="007B3067" w:rsidRPr="00B131ED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Arquitectura propuesta</w:t>
      </w:r>
    </w:p>
    <w:p w14:paraId="61C19AF9" w14:textId="09B39888" w:rsidR="003945E4" w:rsidRDefault="003945E4">
      <w:pPr>
        <w:pStyle w:val="Ttulo2"/>
        <w:rPr>
          <w:rFonts w:ascii="Arial Narrow" w:hAnsi="Arial Narrow"/>
          <w:sz w:val="24"/>
          <w:szCs w:val="24"/>
        </w:rPr>
      </w:pPr>
      <w:r w:rsidRPr="003945E4">
        <w:rPr>
          <w:rFonts w:ascii="Arial Narrow" w:hAnsi="Arial Narrow"/>
          <w:sz w:val="24"/>
          <w:szCs w:val="24"/>
        </w:rPr>
        <w:drawing>
          <wp:inline distT="0" distB="0" distL="0" distR="0" wp14:anchorId="49EF4FA7" wp14:editId="2371D9DC">
            <wp:extent cx="4792980" cy="3812065"/>
            <wp:effectExtent l="0" t="0" r="7620" b="0"/>
            <wp:docPr id="14408701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8701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6587" cy="382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AD6F4" w14:textId="0718B8C3" w:rsidR="007B3067" w:rsidRDefault="00000000">
      <w:pPr>
        <w:pStyle w:val="Ttulo2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Componentes clave</w:t>
      </w:r>
    </w:p>
    <w:p w14:paraId="3C6BE4CB" w14:textId="77777777" w:rsidR="003945E4" w:rsidRDefault="003945E4" w:rsidP="003945E4"/>
    <w:p w14:paraId="172F632E" w14:textId="77777777" w:rsidR="003945E4" w:rsidRPr="003945E4" w:rsidRDefault="003945E4" w:rsidP="003945E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B3067" w:rsidRPr="003945E4" w14:paraId="34F11F97" w14:textId="77777777" w:rsidTr="003945E4">
        <w:tc>
          <w:tcPr>
            <w:tcW w:w="2880" w:type="dxa"/>
          </w:tcPr>
          <w:p w14:paraId="20E51D3E" w14:textId="77777777" w:rsidR="007B3067" w:rsidRPr="003945E4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3945E4">
              <w:rPr>
                <w:rFonts w:ascii="Arial Narrow" w:hAnsi="Arial Narrow"/>
                <w:b/>
                <w:sz w:val="20"/>
                <w:szCs w:val="20"/>
              </w:rPr>
              <w:t>Componente</w:t>
            </w:r>
          </w:p>
        </w:tc>
        <w:tc>
          <w:tcPr>
            <w:tcW w:w="2880" w:type="dxa"/>
          </w:tcPr>
          <w:p w14:paraId="109F9BC2" w14:textId="77777777" w:rsidR="007B3067" w:rsidRPr="003945E4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3945E4">
              <w:rPr>
                <w:rFonts w:ascii="Arial Narrow" w:hAnsi="Arial Narrow"/>
                <w:b/>
                <w:sz w:val="20"/>
                <w:szCs w:val="20"/>
              </w:rPr>
              <w:t>Tecnología</w:t>
            </w:r>
          </w:p>
        </w:tc>
        <w:tc>
          <w:tcPr>
            <w:tcW w:w="2880" w:type="dxa"/>
          </w:tcPr>
          <w:p w14:paraId="562718D9" w14:textId="77777777" w:rsidR="007B3067" w:rsidRPr="003945E4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3945E4">
              <w:rPr>
                <w:rFonts w:ascii="Arial Narrow" w:hAnsi="Arial Narrow"/>
                <w:b/>
                <w:sz w:val="20"/>
                <w:szCs w:val="20"/>
              </w:rPr>
              <w:t>Función</w:t>
            </w:r>
          </w:p>
        </w:tc>
      </w:tr>
      <w:tr w:rsidR="007B3067" w:rsidRPr="003945E4" w14:paraId="398B221B" w14:textId="77777777" w:rsidTr="003945E4">
        <w:tc>
          <w:tcPr>
            <w:tcW w:w="2880" w:type="dxa"/>
          </w:tcPr>
          <w:p w14:paraId="2155A6C5" w14:textId="3E9A22C6" w:rsidR="007B3067" w:rsidRPr="003945E4" w:rsidRDefault="00000000">
            <w:pPr>
              <w:rPr>
                <w:rFonts w:ascii="Arial Narrow" w:hAnsi="Arial Narrow"/>
                <w:sz w:val="20"/>
                <w:szCs w:val="20"/>
              </w:rPr>
            </w:pPr>
            <w:r w:rsidRPr="003945E4">
              <w:rPr>
                <w:rFonts w:ascii="Arial Narrow" w:hAnsi="Arial Narrow"/>
                <w:sz w:val="20"/>
                <w:szCs w:val="20"/>
              </w:rPr>
              <w:t>Storage</w:t>
            </w:r>
            <w:r w:rsidR="003945E4">
              <w:rPr>
                <w:rFonts w:ascii="Arial Narrow" w:hAnsi="Arial Narrow"/>
                <w:sz w:val="20"/>
                <w:szCs w:val="20"/>
              </w:rPr>
              <w:t>-LZ</w:t>
            </w:r>
          </w:p>
        </w:tc>
        <w:tc>
          <w:tcPr>
            <w:tcW w:w="2880" w:type="dxa"/>
          </w:tcPr>
          <w:p w14:paraId="6DEB8EE8" w14:textId="3DFFBC9F" w:rsidR="007B3067" w:rsidRPr="003945E4" w:rsidRDefault="003945E4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Base calendarizable</w:t>
            </w:r>
          </w:p>
        </w:tc>
        <w:tc>
          <w:tcPr>
            <w:tcW w:w="2880" w:type="dxa"/>
          </w:tcPr>
          <w:p w14:paraId="449C4A53" w14:textId="77777777" w:rsidR="003945E4" w:rsidRPr="003945E4" w:rsidRDefault="003945E4" w:rsidP="003945E4">
            <w:pPr>
              <w:rPr>
                <w:rFonts w:ascii="Arial Narrow" w:hAnsi="Arial Narrow"/>
                <w:sz w:val="20"/>
                <w:szCs w:val="20"/>
              </w:rPr>
            </w:pPr>
            <w:r w:rsidRPr="003945E4">
              <w:rPr>
                <w:rFonts w:ascii="Arial Narrow" w:hAnsi="Arial Narrow"/>
                <w:sz w:val="20"/>
                <w:szCs w:val="20"/>
              </w:rPr>
              <w:t xml:space="preserve">Ejecutar el modelo ML de forma calendarizada y dejar disponible la </w:t>
            </w:r>
            <w:r w:rsidRPr="003945E4">
              <w:rPr>
                <w:rFonts w:ascii="Arial Narrow" w:hAnsi="Arial Narrow"/>
                <w:b/>
                <w:bCs/>
                <w:sz w:val="20"/>
                <w:szCs w:val="20"/>
              </w:rPr>
              <w:t>tabla de resultados en la LZ</w:t>
            </w:r>
          </w:p>
          <w:p w14:paraId="00D65518" w14:textId="25944809" w:rsidR="007B3067" w:rsidRPr="003945E4" w:rsidRDefault="007B3067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7B3067" w:rsidRPr="003945E4" w14:paraId="1C7C192E" w14:textId="77777777" w:rsidTr="003945E4">
        <w:tc>
          <w:tcPr>
            <w:tcW w:w="2880" w:type="dxa"/>
          </w:tcPr>
          <w:p w14:paraId="29A83BFB" w14:textId="4D2945D1" w:rsidR="007B3067" w:rsidRPr="003945E4" w:rsidRDefault="003945E4">
            <w:pPr>
              <w:rPr>
                <w:rFonts w:ascii="Arial Narrow" w:hAnsi="Arial Narrow"/>
                <w:sz w:val="20"/>
                <w:szCs w:val="20"/>
              </w:rPr>
            </w:pPr>
            <w:r w:rsidRPr="003945E4">
              <w:rPr>
                <w:rFonts w:ascii="Arial Narrow" w:hAnsi="Arial Narrow"/>
                <w:sz w:val="20"/>
                <w:szCs w:val="20"/>
              </w:rPr>
              <w:t>Storage – Resultados</w:t>
            </w:r>
          </w:p>
        </w:tc>
        <w:tc>
          <w:tcPr>
            <w:tcW w:w="2880" w:type="dxa"/>
          </w:tcPr>
          <w:p w14:paraId="3611C6C7" w14:textId="12DF3D74" w:rsidR="007B3067" w:rsidRPr="003945E4" w:rsidRDefault="003945E4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AWS </w:t>
            </w:r>
            <w:r w:rsidRPr="003945E4">
              <w:rPr>
                <w:rFonts w:ascii="Arial Narrow" w:hAnsi="Arial Narrow"/>
                <w:sz w:val="20"/>
                <w:szCs w:val="20"/>
              </w:rPr>
              <w:t>S3</w:t>
            </w:r>
          </w:p>
        </w:tc>
        <w:tc>
          <w:tcPr>
            <w:tcW w:w="2880" w:type="dxa"/>
          </w:tcPr>
          <w:p w14:paraId="63039BC7" w14:textId="5858155F" w:rsidR="007B3067" w:rsidRPr="003945E4" w:rsidRDefault="003945E4">
            <w:pPr>
              <w:rPr>
                <w:rFonts w:ascii="Arial Narrow" w:hAnsi="Arial Narrow"/>
                <w:sz w:val="20"/>
                <w:szCs w:val="20"/>
              </w:rPr>
            </w:pPr>
            <w:r w:rsidRPr="003945E4">
              <w:rPr>
                <w:rFonts w:ascii="Arial Narrow" w:hAnsi="Arial Narrow"/>
                <w:sz w:val="20"/>
                <w:szCs w:val="20"/>
              </w:rPr>
              <w:t xml:space="preserve">Almacenar de forma segura los </w:t>
            </w:r>
            <w:r w:rsidRPr="003945E4">
              <w:rPr>
                <w:rFonts w:ascii="Arial Narrow" w:hAnsi="Arial Narrow"/>
                <w:b/>
                <w:bCs/>
                <w:sz w:val="20"/>
                <w:szCs w:val="20"/>
              </w:rPr>
              <w:t>resultados del modelo</w:t>
            </w:r>
            <w:r w:rsidRPr="003945E4">
              <w:rPr>
                <w:rFonts w:ascii="Arial Narrow" w:hAnsi="Arial Narrow"/>
                <w:sz w:val="20"/>
                <w:szCs w:val="20"/>
              </w:rPr>
              <w:t xml:space="preserve"> generados en la LZ, funcionando como repositorio intermedio desacoplado del entorno analítico.</w:t>
            </w:r>
          </w:p>
        </w:tc>
      </w:tr>
      <w:tr w:rsidR="007B3067" w:rsidRPr="003945E4" w14:paraId="4AC85E6D" w14:textId="77777777" w:rsidTr="003945E4">
        <w:tc>
          <w:tcPr>
            <w:tcW w:w="2880" w:type="dxa"/>
          </w:tcPr>
          <w:p w14:paraId="5FDEC52A" w14:textId="2ECC47E4" w:rsidR="007B3067" w:rsidRPr="003945E4" w:rsidRDefault="003945E4">
            <w:pPr>
              <w:rPr>
                <w:rFonts w:ascii="Arial Narrow" w:hAnsi="Arial Narrow"/>
                <w:sz w:val="20"/>
                <w:szCs w:val="20"/>
              </w:rPr>
            </w:pPr>
            <w:r w:rsidRPr="003945E4">
              <w:rPr>
                <w:rFonts w:ascii="Arial Narrow" w:hAnsi="Arial Narrow"/>
                <w:sz w:val="20"/>
                <w:szCs w:val="20"/>
              </w:rPr>
              <w:t>Servicio de Procesamiento</w:t>
            </w:r>
          </w:p>
        </w:tc>
        <w:tc>
          <w:tcPr>
            <w:tcW w:w="2880" w:type="dxa"/>
          </w:tcPr>
          <w:p w14:paraId="003EB2BB" w14:textId="2C7FCAE8" w:rsidR="007B3067" w:rsidRPr="003945E4" w:rsidRDefault="003945E4">
            <w:pPr>
              <w:rPr>
                <w:rFonts w:ascii="Arial Narrow" w:hAnsi="Arial Narrow"/>
                <w:sz w:val="20"/>
                <w:szCs w:val="20"/>
              </w:rPr>
            </w:pPr>
            <w:r w:rsidRPr="003945E4">
              <w:rPr>
                <w:rFonts w:ascii="Arial Narrow" w:hAnsi="Arial Narrow"/>
                <w:sz w:val="20"/>
                <w:szCs w:val="20"/>
              </w:rPr>
              <w:t>AWS Lambda</w:t>
            </w:r>
          </w:p>
        </w:tc>
        <w:tc>
          <w:tcPr>
            <w:tcW w:w="2880" w:type="dxa"/>
          </w:tcPr>
          <w:p w14:paraId="005B5494" w14:textId="26BBDA6B" w:rsidR="007B3067" w:rsidRPr="003945E4" w:rsidRDefault="003945E4">
            <w:pPr>
              <w:rPr>
                <w:rFonts w:ascii="Arial Narrow" w:hAnsi="Arial Narrow"/>
                <w:sz w:val="20"/>
                <w:szCs w:val="20"/>
              </w:rPr>
            </w:pPr>
            <w:r w:rsidRPr="003945E4">
              <w:rPr>
                <w:rFonts w:ascii="Arial Narrow" w:hAnsi="Arial Narrow"/>
                <w:sz w:val="20"/>
                <w:szCs w:val="20"/>
              </w:rPr>
              <w:t>Atender las peticiones externas, consultar los resultados en S3, aplicar reglas de negocio y transformaciones necesarias, y construir la respuesta en formato JSON.</w:t>
            </w:r>
          </w:p>
        </w:tc>
      </w:tr>
      <w:tr w:rsidR="007B3067" w:rsidRPr="003945E4" w14:paraId="0E5E22D0" w14:textId="77777777" w:rsidTr="003945E4">
        <w:tc>
          <w:tcPr>
            <w:tcW w:w="2880" w:type="dxa"/>
          </w:tcPr>
          <w:p w14:paraId="03DB4758" w14:textId="0D001A3F" w:rsidR="007B3067" w:rsidRPr="003945E4" w:rsidRDefault="003945E4">
            <w:pPr>
              <w:rPr>
                <w:rFonts w:ascii="Arial Narrow" w:hAnsi="Arial Narrow"/>
                <w:sz w:val="20"/>
                <w:szCs w:val="20"/>
              </w:rPr>
            </w:pPr>
            <w:r w:rsidRPr="003945E4">
              <w:rPr>
                <w:rFonts w:ascii="Arial Narrow" w:hAnsi="Arial Narrow"/>
                <w:sz w:val="20"/>
                <w:szCs w:val="20"/>
              </w:rPr>
              <w:t>Capa de Exposición</w:t>
            </w:r>
          </w:p>
        </w:tc>
        <w:tc>
          <w:tcPr>
            <w:tcW w:w="2880" w:type="dxa"/>
          </w:tcPr>
          <w:p w14:paraId="0E4C9AF7" w14:textId="5E0149BE" w:rsidR="007B3067" w:rsidRPr="003945E4" w:rsidRDefault="003945E4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API Connect</w:t>
            </w:r>
          </w:p>
        </w:tc>
        <w:tc>
          <w:tcPr>
            <w:tcW w:w="2880" w:type="dxa"/>
          </w:tcPr>
          <w:p w14:paraId="2BE1BEB6" w14:textId="2655B8EE" w:rsidR="007B3067" w:rsidRPr="003945E4" w:rsidRDefault="003945E4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Exponer un endpoint</w:t>
            </w:r>
            <w:r w:rsidR="005C7EC3">
              <w:rPr>
                <w:rFonts w:ascii="Arial Narrow" w:hAnsi="Arial Narrow"/>
                <w:sz w:val="20"/>
                <w:szCs w:val="20"/>
              </w:rPr>
              <w:t>,</w:t>
            </w:r>
            <w:r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5C7EC3" w:rsidRPr="005C7EC3">
              <w:rPr>
                <w:rFonts w:ascii="Arial Narrow" w:hAnsi="Arial Narrow"/>
                <w:sz w:val="20"/>
                <w:szCs w:val="20"/>
              </w:rPr>
              <w:t>validar las peticiones entrantes y retornar las respuestas generadas por el servicio de procesamiento a los consumidores externos.</w:t>
            </w:r>
          </w:p>
        </w:tc>
      </w:tr>
    </w:tbl>
    <w:p w14:paraId="0CDC7670" w14:textId="77777777" w:rsidR="007B3067" w:rsidRDefault="007B3067">
      <w:pPr>
        <w:rPr>
          <w:rFonts w:ascii="Arial Narrow" w:hAnsi="Arial Narrow"/>
          <w:sz w:val="24"/>
          <w:szCs w:val="24"/>
        </w:rPr>
      </w:pPr>
    </w:p>
    <w:p w14:paraId="37A9D74E" w14:textId="77777777" w:rsidR="00E854CB" w:rsidRDefault="00E854CB" w:rsidP="00E854CB">
      <w:pPr>
        <w:pStyle w:val="Ttulo1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1</w:t>
      </w:r>
      <w:r>
        <w:rPr>
          <w:rFonts w:ascii="Arial Narrow" w:hAnsi="Arial Narrow"/>
          <w:sz w:val="24"/>
          <w:szCs w:val="24"/>
        </w:rPr>
        <w:t>2</w:t>
      </w:r>
      <w:r w:rsidRPr="00B131ED">
        <w:rPr>
          <w:rFonts w:ascii="Arial Narrow" w:hAnsi="Arial Narrow"/>
          <w:sz w:val="24"/>
          <w:szCs w:val="24"/>
        </w:rPr>
        <w:t xml:space="preserve">. </w:t>
      </w:r>
      <w:r>
        <w:rPr>
          <w:rFonts w:ascii="Arial Narrow" w:hAnsi="Arial Narrow"/>
          <w:sz w:val="24"/>
          <w:szCs w:val="24"/>
        </w:rPr>
        <w:t>Ruta Despliegue Github:</w:t>
      </w:r>
    </w:p>
    <w:p w14:paraId="3C5C6E05" w14:textId="1C244CFA" w:rsidR="00E854CB" w:rsidRPr="00B131ED" w:rsidRDefault="00E854CB" w:rsidP="00E854CB">
      <w:pPr>
        <w:pStyle w:val="Ttulo1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 </w:t>
      </w:r>
    </w:p>
    <w:p w14:paraId="70EC3B8F" w14:textId="77777777" w:rsidR="007B3067" w:rsidRPr="00B131ED" w:rsidRDefault="00000000">
      <w:pPr>
        <w:pStyle w:val="Ttulo1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sz w:val="24"/>
          <w:szCs w:val="24"/>
        </w:rPr>
        <w:t>13. Conclusiones</w:t>
      </w:r>
    </w:p>
    <w:p w14:paraId="31B5E386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 xml:space="preserve">1. </w:t>
      </w:r>
      <w:r w:rsidRPr="00B131ED">
        <w:rPr>
          <w:rFonts w:ascii="Arial Narrow" w:hAnsi="Arial Narrow"/>
          <w:sz w:val="24"/>
          <w:szCs w:val="24"/>
        </w:rPr>
        <w:t>El modelo LightGBM fue seleccionado por superar consistentemente a Logistic Regression, Random Forest y XGBoost en todas las métricas (AUC, Gini, KS, F1, PR-AUC).</w:t>
      </w:r>
    </w:p>
    <w:p w14:paraId="29E647D9" w14:textId="77777777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 xml:space="preserve">2. </w:t>
      </w:r>
      <w:r w:rsidRPr="00B131ED">
        <w:rPr>
          <w:rFonts w:ascii="Arial Narrow" w:hAnsi="Arial Narrow"/>
          <w:sz w:val="24"/>
          <w:szCs w:val="24"/>
        </w:rPr>
        <w:t>Las features más predictivas son el comportamiento histórico de pago (pct_meses_pagados_6m, hist_porc_pago_mean) y los scores analíticos previos (prob_propension), no las variables del pivot crudo. Esto refuerza que el historial del cliente es mejor predictor que su estado puntual.</w:t>
      </w:r>
    </w:p>
    <w:p w14:paraId="025F2435" w14:textId="5AAA1783" w:rsidR="007B3067" w:rsidRPr="00B131ED" w:rsidRDefault="00000000">
      <w:pPr>
        <w:pStyle w:val="Listaconvietas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b/>
          <w:sz w:val="24"/>
          <w:szCs w:val="24"/>
        </w:rPr>
        <w:t xml:space="preserve">3. </w:t>
      </w:r>
      <w:r w:rsidRPr="00B131ED">
        <w:rPr>
          <w:rFonts w:ascii="Arial Narrow" w:hAnsi="Arial Narrow"/>
          <w:sz w:val="24"/>
          <w:szCs w:val="24"/>
        </w:rPr>
        <w:t>La gobernanza previa del Feature Space fue determinante: al excluir variables contaminadas antes del modelado (no después), se garantizó que el modelo no aprenda de información que no estará disponible en producción.</w:t>
      </w:r>
    </w:p>
    <w:p w14:paraId="24DE96A2" w14:textId="77777777" w:rsidR="007B3067" w:rsidRPr="00B131ED" w:rsidRDefault="007B3067">
      <w:pPr>
        <w:rPr>
          <w:rFonts w:ascii="Arial Narrow" w:hAnsi="Arial Narrow"/>
          <w:sz w:val="24"/>
          <w:szCs w:val="24"/>
        </w:rPr>
      </w:pPr>
    </w:p>
    <w:p w14:paraId="0A45813F" w14:textId="77777777" w:rsidR="007B3067" w:rsidRPr="00B131ED" w:rsidRDefault="00000000">
      <w:pPr>
        <w:jc w:val="center"/>
        <w:rPr>
          <w:rFonts w:ascii="Arial Narrow" w:hAnsi="Arial Narrow"/>
          <w:sz w:val="24"/>
          <w:szCs w:val="24"/>
        </w:rPr>
      </w:pPr>
      <w:r w:rsidRPr="00B131ED">
        <w:rPr>
          <w:rFonts w:ascii="Arial Narrow" w:hAnsi="Arial Narrow"/>
          <w:i/>
          <w:color w:val="787878"/>
          <w:sz w:val="24"/>
          <w:szCs w:val="24"/>
        </w:rPr>
        <w:t>— Documento de entrega — Prueba Analítica Líder Analítico —</w:t>
      </w:r>
    </w:p>
    <w:sectPr w:rsidR="007B3067" w:rsidRPr="00B131ED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6288521">
    <w:abstractNumId w:val="8"/>
  </w:num>
  <w:num w:numId="2" w16cid:durableId="1345476299">
    <w:abstractNumId w:val="6"/>
  </w:num>
  <w:num w:numId="3" w16cid:durableId="970667642">
    <w:abstractNumId w:val="5"/>
  </w:num>
  <w:num w:numId="4" w16cid:durableId="1620339442">
    <w:abstractNumId w:val="4"/>
  </w:num>
  <w:num w:numId="5" w16cid:durableId="1501314674">
    <w:abstractNumId w:val="7"/>
  </w:num>
  <w:num w:numId="6" w16cid:durableId="1486356738">
    <w:abstractNumId w:val="3"/>
  </w:num>
  <w:num w:numId="7" w16cid:durableId="1087849658">
    <w:abstractNumId w:val="2"/>
  </w:num>
  <w:num w:numId="8" w16cid:durableId="1660116926">
    <w:abstractNumId w:val="1"/>
  </w:num>
  <w:num w:numId="9" w16cid:durableId="1372069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01603"/>
    <w:rsid w:val="0029639D"/>
    <w:rsid w:val="00326F90"/>
    <w:rsid w:val="00381430"/>
    <w:rsid w:val="003945E4"/>
    <w:rsid w:val="003D4457"/>
    <w:rsid w:val="004D1169"/>
    <w:rsid w:val="005C7EC3"/>
    <w:rsid w:val="006C66A5"/>
    <w:rsid w:val="007B3067"/>
    <w:rsid w:val="008105A2"/>
    <w:rsid w:val="00A26129"/>
    <w:rsid w:val="00AA1D8D"/>
    <w:rsid w:val="00AB7E0A"/>
    <w:rsid w:val="00AC4B89"/>
    <w:rsid w:val="00B131ED"/>
    <w:rsid w:val="00B47730"/>
    <w:rsid w:val="00CB0664"/>
    <w:rsid w:val="00E55D62"/>
    <w:rsid w:val="00E854CB"/>
    <w:rsid w:val="00FB51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B97430"/>
  <w14:defaultImageDpi w14:val="300"/>
  <w15:docId w15:val="{A3D98978-5179-47DD-91D8-7885B873B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noProof/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3366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336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80"/>
      <w:ind w:left="283"/>
    </w:pPr>
    <w:rPr>
      <w:rFonts w:ascii="Consolas" w:hAnsi="Consolas"/>
      <w:color w:val="1E1E1E"/>
      <w:sz w:val="18"/>
    </w:rPr>
  </w:style>
  <w:style w:type="table" w:styleId="Tablaconcuadrculaclara">
    <w:name w:val="Grid Table Light"/>
    <w:basedOn w:val="Tablanormal"/>
    <w:uiPriority w:val="99"/>
    <w:rsid w:val="00B131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14</Pages>
  <Words>2411</Words>
  <Characters>15652</Characters>
  <Application>Microsoft Office Word</Application>
  <DocSecurity>0</DocSecurity>
  <Lines>602</Lines>
  <Paragraphs>516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17547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Daniel Escobar Tobon</cp:lastModifiedBy>
  <cp:revision>6</cp:revision>
  <cp:lastPrinted>2026-03-23T19:01:00Z</cp:lastPrinted>
  <dcterms:created xsi:type="dcterms:W3CDTF">2026-03-23T19:00:00Z</dcterms:created>
  <dcterms:modified xsi:type="dcterms:W3CDTF">2026-03-23T21:42:00Z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1bdff26-5887-4e5c-8426-6e404c233df0_Enabled">
    <vt:lpwstr>true</vt:lpwstr>
  </property>
  <property fmtid="{D5CDD505-2E9C-101B-9397-08002B2CF9AE}" pid="3" name="MSIP_Label_71bdff26-5887-4e5c-8426-6e404c233df0_SetDate">
    <vt:lpwstr>2026-03-23T18:14:38Z</vt:lpwstr>
  </property>
  <property fmtid="{D5CDD505-2E9C-101B-9397-08002B2CF9AE}" pid="4" name="MSIP_Label_71bdff26-5887-4e5c-8426-6e404c233df0_Method">
    <vt:lpwstr>Standard</vt:lpwstr>
  </property>
  <property fmtid="{D5CDD505-2E9C-101B-9397-08002B2CF9AE}" pid="5" name="MSIP_Label_71bdff26-5887-4e5c-8426-6e404c233df0_Name">
    <vt:lpwstr>71bdff26-5887-4e5c-8426-6e404c233df0</vt:lpwstr>
  </property>
  <property fmtid="{D5CDD505-2E9C-101B-9397-08002B2CF9AE}" pid="6" name="MSIP_Label_71bdff26-5887-4e5c-8426-6e404c233df0_SiteId">
    <vt:lpwstr>b5e244bd-c492-495b-8b10-61bfd453e423</vt:lpwstr>
  </property>
  <property fmtid="{D5CDD505-2E9C-101B-9397-08002B2CF9AE}" pid="7" name="MSIP_Label_71bdff26-5887-4e5c-8426-6e404c233df0_ActionId">
    <vt:lpwstr>87a4267a-b110-4225-a1c4-28aaf6a50744</vt:lpwstr>
  </property>
  <property fmtid="{D5CDD505-2E9C-101B-9397-08002B2CF9AE}" pid="8" name="MSIP_Label_71bdff26-5887-4e5c-8426-6e404c233df0_ContentBits">
    <vt:lpwstr>0</vt:lpwstr>
  </property>
  <property fmtid="{D5CDD505-2E9C-101B-9397-08002B2CF9AE}" pid="9" name="MSIP_Label_71bdff26-5887-4e5c-8426-6e404c233df0_Tag">
    <vt:lpwstr>10, 3, 0, 1</vt:lpwstr>
  </property>
</Properties>
</file>