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8.png" ContentType="image/png"/>
  <Override PartName="/word/media/rId73.png" ContentType="image/png"/>
  <Override PartName="/word/media/rId8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cinco modos (libre, historia, resistencia, escape room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descrito en esta memoria; la capa narrativa escape room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51" w:name="introducción"/>
    <w:p>
      <w:pPr>
        <w:pStyle w:val="Heading1"/>
      </w:pPr>
      <w:r>
        <w:rPr>
          <w:rStyle w:val="SectionNumber"/>
        </w:rPr>
        <w:t xml:space="preserve">1</w:t>
      </w:r>
      <w:r>
        <w:tab/>
      </w:r>
      <w:r>
        <w:t xml:space="preserve">Introducción</w:t>
      </w:r>
    </w:p>
    <w:bookmarkStart w:id="40"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0"/>
    <w:bookmarkStart w:id="41"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1"/>
    <w:bookmarkStart w:id="42" w:name="alcance-del-entregable"/>
    <w:p>
      <w:pPr>
        <w:pStyle w:val="Heading2"/>
      </w:pPr>
      <w:r>
        <w:rPr>
          <w:rStyle w:val="SectionNumber"/>
        </w:rPr>
        <w:t xml:space="preserve">1.3</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42"/>
    <w:bookmarkStart w:id="43" w:name="objetivos-derivados-del-desarrollo"/>
    <w:p>
      <w:pPr>
        <w:pStyle w:val="Heading2"/>
      </w:pPr>
      <w:r>
        <w:rPr>
          <w:rStyle w:val="SectionNumber"/>
        </w:rPr>
        <w:t xml:space="preserve">1.4</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43"/>
    <w:bookmarkStart w:id="50" w:name="marco-teórico-y-estado-del-arte"/>
    <w:p>
      <w:pPr>
        <w:pStyle w:val="Heading2"/>
      </w:pPr>
      <w:r>
        <w:rPr>
          <w:rStyle w:val="SectionNumber"/>
        </w:rPr>
        <w:t xml:space="preserve">1.5</w:t>
      </w:r>
      <w:r>
        <w:tab/>
      </w:r>
      <w:r>
        <w:t xml:space="preserve">Marco teórico y estado del arte</w:t>
      </w:r>
    </w:p>
    <w:bookmarkStart w:id="44" w:name="X6eb52f069087824c7d3eb7ecc2b46d123991812"/>
    <w:p>
      <w:pPr>
        <w:pStyle w:val="Heading3"/>
      </w:pPr>
      <w:r>
        <w:rPr>
          <w:rStyle w:val="SectionNumber"/>
        </w:rPr>
        <w:t xml:space="preserve">1.5.1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44"/>
    <w:bookmarkStart w:id="45" w:name="Xe84cf04b537bf3bd5e2051d64d0ffba57fcf36b"/>
    <w:p>
      <w:pPr>
        <w:pStyle w:val="Heading3"/>
      </w:pPr>
      <w:r>
        <w:rPr>
          <w:rStyle w:val="SectionNumber"/>
        </w:rPr>
        <w:t xml:space="preserve">1.5.2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45"/>
    <w:bookmarkStart w:id="46" w:name="serious-games-escape-rooms-y-narrativa"/>
    <w:p>
      <w:pPr>
        <w:pStyle w:val="Heading3"/>
      </w:pPr>
      <w:r>
        <w:rPr>
          <w:rStyle w:val="SectionNumber"/>
        </w:rPr>
        <w:t xml:space="preserve">1.5.3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46"/>
    <w:bookmarkStart w:id="47" w:name="Xbd8bf8877c345ed30bc9633b1a8df7645d431f5"/>
    <w:p>
      <w:pPr>
        <w:pStyle w:val="Heading3"/>
      </w:pPr>
      <w:r>
        <w:rPr>
          <w:rStyle w:val="SectionNumber"/>
        </w:rPr>
        <w:t xml:space="preserve">1.5.4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47"/>
    <w:bookmarkStart w:id="48" w:name="posicionamiento"/>
    <w:p>
      <w:pPr>
        <w:pStyle w:val="Heading3"/>
      </w:pPr>
      <w:r>
        <w:rPr>
          <w:rStyle w:val="SectionNumber"/>
        </w:rPr>
        <w:t xml:space="preserve">1.5.5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48"/>
    <w:bookmarkStart w:id="49" w:name="ítems-distractores-fuertes-y-débiles"/>
    <w:p>
      <w:pPr>
        <w:pStyle w:val="Heading3"/>
      </w:pPr>
      <w:r>
        <w:rPr>
          <w:rStyle w:val="SectionNumber"/>
        </w:rPr>
        <w:t xml:space="preserve">1.5.6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49"/>
    <w:bookmarkEnd w:id="50"/>
    <w:bookmarkEnd w:id="51"/>
    <w:bookmarkStart w:id="54" w:name="objetivos"/>
    <w:p>
      <w:pPr>
        <w:pStyle w:val="Heading1"/>
      </w:pPr>
      <w:r>
        <w:rPr>
          <w:rStyle w:val="SectionNumber"/>
        </w:rPr>
        <w:t xml:space="preserve">2</w:t>
      </w:r>
      <w:r>
        <w:tab/>
      </w:r>
      <w:r>
        <w:t xml:space="preserve">Objetivos</w:t>
      </w:r>
    </w:p>
    <w:bookmarkStart w:id="52"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52"/>
    <w:bookmarkStart w:id="53" w:name="objetivos-específicos"/>
    <w:p>
      <w:pPr>
        <w:pStyle w:val="Heading2"/>
      </w:pPr>
      <w:r>
        <w:rPr>
          <w:rStyle w:val="SectionNumber"/>
        </w:rPr>
        <w:t xml:space="preserve">2.2</w:t>
      </w:r>
      <w:r>
        <w:tab/>
      </w: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53"/>
    <w:bookmarkEnd w:id="54"/>
    <w:bookmarkStart w:id="55" w:name="hipótesis-de-trabajo"/>
    <w:p>
      <w:pPr>
        <w:pStyle w:val="Heading1"/>
      </w:pPr>
      <w:r>
        <w:rPr>
          <w:rStyle w:val="SectionNumber"/>
        </w:rPr>
        <w:t xml:space="preserve">3</w:t>
      </w:r>
      <w:r>
        <w:tab/>
      </w: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55"/>
    <w:bookmarkStart w:id="65" w:name="metodología"/>
    <w:p>
      <w:pPr>
        <w:pStyle w:val="Heading1"/>
      </w:pPr>
      <w:r>
        <w:rPr>
          <w:rStyle w:val="SectionNumber"/>
        </w:rPr>
        <w:t xml:space="preserve">4</w:t>
      </w:r>
      <w:r>
        <w:tab/>
      </w:r>
      <w:r>
        <w:t xml:space="preserve">Metodología</w:t>
      </w:r>
    </w:p>
    <w:bookmarkStart w:id="56"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56"/>
    <w:bookmarkStart w:id="57"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57"/>
    <w:bookmarkStart w:id="62"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Empaquetado opcional: PyInstaller (</w:t>
      </w:r>
      <w:r>
        <w:rPr>
          <w:rStyle w:val="VerbatimChar"/>
        </w:rPr>
        <w:t xml:space="preserve">Juego/build_exe_onefile.ps1</w:t>
      </w:r>
      <w:r>
        <w:t xml:space="preserve"> </w:t>
      </w:r>
      <m:oMath>
        <m:r>
          <m:rPr>
            <m:sty m:val="p"/>
          </m:rPr>
          <m:t>→</m:t>
        </m:r>
      </m:oMath>
      <w:r>
        <w:t xml:space="preserve"> </w:t>
      </w:r>
      <w:r>
        <w:rPr>
          <w:rStyle w:val="VerbatimChar"/>
        </w:rPr>
        <w:t xml:space="preserve">juego_grafico.exe</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61" w:name="fig:arquitectura"/>
    <w:p>
      <w:pPr>
        <w:pStyle w:val="CaptionedFigure"/>
      </w:pPr>
      <w:r>
        <w:drawing>
          <wp:inline>
            <wp:extent cx="4907280" cy="3084698"/>
            <wp:effectExtent b="0" l="0" r="0" t="0"/>
            <wp:docPr descr="" title="" id="59" name="Picture"/>
            <a:graphic>
              <a:graphicData uri="http://schemas.openxmlformats.org/drawingml/2006/picture">
                <pic:pic>
                  <pic:nvPicPr>
                    <pic:cNvPr descr="arquitectura_sistema.png" id="60" name="Picture"/>
                    <pic:cNvPicPr>
                      <a:picLocks noChangeArrowheads="1" noChangeAspect="1"/>
                    </pic:cNvPicPr>
                  </pic:nvPicPr>
                  <pic:blipFill>
                    <a:blip r:embed="rId58"/>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61"/>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 (libre, historia, resistencia, feedback)</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jc w:val="left"/>
            </w:pPr>
            <w:r>
              <w:t xml:space="preserve">Reglas, puntuación, pool, informes, rutas</w:t>
            </w:r>
          </w:p>
        </w:tc>
      </w:tr>
      <w:tr>
        <w:tc>
          <w:tcPr/>
          <w:p>
            <w:pPr>
              <w:pStyle w:val="Compact"/>
              <w:jc w:val="left"/>
            </w:pPr>
            <w:r>
              <w:t xml:space="preserve">Interfaz gráfica</w:t>
            </w:r>
          </w:p>
        </w:tc>
        <w:tc>
          <w:tcPr/>
          <w:p>
            <w:pPr>
              <w:pStyle w:val="Compact"/>
              <w:jc w:val="lef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jc w:val="left"/>
            </w:pPr>
            <w:r>
              <w:t xml:space="preserve">Menús y partida con ratón (pygame)</w:t>
            </w:r>
          </w:p>
        </w:tc>
      </w:tr>
      <w:tr>
        <w:tc>
          <w:tcPr/>
          <w:p>
            <w:pPr>
              <w:pStyle w:val="Compact"/>
              <w:jc w:val="left"/>
            </w:pPr>
            <w:r>
              <w:t xml:space="preserve">Historia</w:t>
            </w:r>
          </w:p>
        </w:tc>
        <w:tc>
          <w:tcPr/>
          <w:p>
            <w:pPr>
              <w:pStyle w:val="Compact"/>
              <w:jc w:val="left"/>
            </w:pPr>
            <w:r>
              <w:rPr>
                <w:rStyle w:val="VerbatimChar"/>
              </w:rPr>
              <w:t xml:space="preserve">Comun/generador_examen_historia.py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Resistencia</w:t>
            </w:r>
          </w:p>
        </w:tc>
        <w:tc>
          <w:tcPr/>
          <w:p>
            <w:pPr>
              <w:pStyle w:val="Compact"/>
              <w:jc w:val="left"/>
            </w:pPr>
            <w:r>
              <w:t xml:space="preserve">Partida infinita con eventos, objetos y ranking local de preguntas alcanzadas</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rPr>
                <w:b/>
                <w:bCs/>
              </w:rPr>
              <w:t xml:space="preserve">Corrección inmediata</w:t>
            </w:r>
          </w:p>
        </w:tc>
        <w:tc>
          <w:tcPr/>
          <w:p>
            <w:pPr>
              <w:pStyle w:val="Compact"/>
              <w:jc w:val="left"/>
            </w:pPr>
            <w:r>
              <w:t xml:space="preserve">En modo arcade/repaso: acierto</w:t>
            </w:r>
            <w:r>
              <w:t xml:space="preserve"> </w:t>
            </w:r>
            <m:oMath>
              <m:r>
                <m:rPr>
                  <m:sty m:val="p"/>
                </m:rPr>
                <m:t>→</m:t>
              </m:r>
            </m:oMath>
            <w:r>
              <w:t xml:space="preserve"> </w:t>
            </w:r>
            <w:r>
              <w:t xml:space="preserve">mensaje y, si aplica, suma de puntos; fallo</w:t>
            </w:r>
            <w:r>
              <w:t xml:space="preserve"> </w:t>
            </w:r>
            <m:oMath>
              <m:r>
                <m:rPr>
                  <m:sty m:val="p"/>
                </m:rPr>
                <m:t>→</m:t>
              </m:r>
            </m:oMath>
            <w:r>
              <w:t xml:space="preserve"> </w:t>
            </w:r>
            <w:r>
              <w:t xml:space="preserve">resta de vida y/o penalización de puntos, opcionalmente muestra la solución.</w:t>
            </w:r>
          </w:p>
        </w:tc>
      </w:tr>
      <w:tr>
        <w:tc>
          <w:tcPr/>
          <w:p>
            <w:pPr>
              <w:pStyle w:val="Compact"/>
              <w:jc w:val="left"/>
            </w:pPr>
            <w:r>
              <w:rPr>
                <w:b/>
                <w:bCs/>
              </w:rPr>
              <w:t xml:space="preserve">Corrección al final</w:t>
            </w:r>
          </w:p>
        </w:tc>
        <w:tc>
          <w:tcPr/>
          <w:p>
            <w:pPr>
              <w:pStyle w:val="Compact"/>
              <w:jc w:val="left"/>
            </w:pPr>
            <w:r>
              <w:t xml:space="preserve">En modo examen (historia): no hay feedback durante el bloque; al cerrar se genera informe con nota y detalle pregunta a pregunta.</w:t>
            </w:r>
          </w:p>
        </w:tc>
      </w:tr>
      <w:tr>
        <w:tc>
          <w:tcPr/>
          <w:p>
            <w:pPr>
              <w:pStyle w:val="Compact"/>
              <w:jc w:val="left"/>
            </w:pPr>
            <w:r>
              <w:rPr>
                <w:b/>
                <w:bCs/>
              </w:rPr>
              <w:t xml:space="preserve">Puntuación arcade</w:t>
            </w:r>
          </w:p>
        </w:tc>
        <w:tc>
          <w:tcPr/>
          <w:p>
            <w:pPr>
              <w:pStyle w:val="Compact"/>
              <w:jc w:val="left"/>
            </w:pPr>
            <w:r>
              <w:t xml:space="preserve">+10 / +20 / +30 por acierto (Fácil / Media / Difícil); penalización en fallo: al menos 5 puntos o la mitad del valor base.</w:t>
            </w:r>
          </w:p>
        </w:tc>
      </w:tr>
      <w:tr>
        <w:tc>
          <w:tcPr/>
          <w:p>
            <w:pPr>
              <w:pStyle w:val="Compact"/>
              <w:jc w:val="left"/>
            </w:pPr>
            <w:r>
              <w:rPr>
                <w:b/>
                <w:bCs/>
              </w:rPr>
              <w:t xml:space="preserve">Nota / porcentaje</w:t>
            </w:r>
          </w:p>
        </w:tc>
        <w:tc>
          <w:tcPr/>
          <w:p>
            <w:pPr>
              <w:pStyle w:val="Compact"/>
              <w:jc w:val="left"/>
            </w:pPr>
            <m:oMath>
              <m:r>
                <m:rPr>
                  <m:sty m:val="p"/>
                </m:rPr>
                <m:t>n</m:t>
              </m:r>
              <m:r>
                <m:rPr>
                  <m:sty m:val="p"/>
                </m:rPr>
                <m:t>o</m:t>
              </m:r>
              <m:r>
                <m:rPr>
                  <m:sty m:val="p"/>
                </m:rPr>
                <m:t>t</m:t>
              </m:r>
              <m:r>
                <m:rPr>
                  <m:sty m:val="p"/>
                </m:rPr>
                <m:t>a</m:t>
              </m:r>
              <m:r>
                <m:rPr>
                  <m:sty m:val="p"/>
                </m:rPr>
                <m:t>=</m:t>
              </m:r>
              <m:r>
                <m:t>10</m:t>
              </m:r>
              <m:r>
                <m:rPr>
                  <m:sty m:val="p"/>
                </m:rPr>
                <m:t>×</m:t>
              </m:r>
              <m:r>
                <m:rPr>
                  <m:nor/>
                  <m:sty m:val="p"/>
                </m:rPr>
                <m:t>aciertos</m:t>
              </m:r>
              <m:r>
                <m:rPr>
                  <m:sty m:val="p"/>
                </m:rPr>
                <m:t>/</m:t>
              </m:r>
              <m:r>
                <m:rPr>
                  <m:nor/>
                  <m:sty m:val="p"/>
                </m:rPr>
                <m:t>total</m:t>
              </m:r>
            </m:oMath>
            <w:r>
              <w:t xml:space="preserve"> </w:t>
            </w:r>
            <w:r>
              <w:t xml:space="preserve">o porcentaje equivalente cuando el preset usa sistema NOTA o PORCENTAJE.</w:t>
            </w:r>
          </w:p>
        </w:tc>
      </w:tr>
      <w:tr>
        <w:tc>
          <w:tcPr/>
          <w:p>
            <w:pPr>
              <w:pStyle w:val="Compact"/>
              <w:jc w:val="left"/>
            </w:pPr>
            <w:r>
              <w:rPr>
                <w:b/>
                <w:bCs/>
              </w:rPr>
              <w:t xml:space="preserve">Vidas</w:t>
            </w:r>
          </w:p>
        </w:tc>
        <w:tc>
          <w:tcPr/>
          <w:p>
            <w:pPr>
              <w:pStyle w:val="Compact"/>
              <w:jc w:val="left"/>
            </w:pPr>
            <w:r>
              <w:t xml:space="preserve">Por defecto 3; cada error resta una vida; la partida termina al llegar a 0 (antes de completar el objetivo de preguntas).</w:t>
            </w:r>
          </w:p>
        </w:tc>
      </w:tr>
      <w:tr>
        <w:tc>
          <w:tcPr/>
          <w:p>
            <w:pPr>
              <w:pStyle w:val="Compact"/>
              <w:jc w:val="left"/>
            </w:pPr>
            <w:r>
              <w:rPr>
                <w:b/>
                <w:bCs/>
              </w:rPr>
              <w:t xml:space="preserve">Dificultad progresiva</w:t>
            </w:r>
          </w:p>
        </w:tc>
        <w:tc>
          <w:tcPr/>
          <w:p>
            <w:pPr>
              <w:pStyle w:val="Compact"/>
              <w:jc w:val="left"/>
            </w:pPr>
            <w:r>
              <w:t xml:space="preserve">En modo libre arcade: la dificultad global del pool sube cada tres preguntas respondidas.</w:t>
            </w:r>
          </w:p>
        </w:tc>
      </w:tr>
      <w:tr>
        <w:tc>
          <w:tcPr/>
          <w:p>
            <w:pPr>
              <w:pStyle w:val="Compact"/>
              <w:jc w:val="left"/>
            </w:pPr>
            <w:r>
              <w:rPr>
                <w:b/>
                <w:bCs/>
              </w:rPr>
              <w:t xml:space="preserve">Tiempo</w:t>
            </w:r>
          </w:p>
        </w:tc>
        <w:tc>
          <w:tcPr/>
          <w:p>
            <w:pPr>
              <w:pStyle w:val="Compact"/>
              <w:jc w:val="left"/>
            </w:pPr>
            <w:r>
              <w:t xml:space="preserve">Opcional por pregunta o total; si se agota, la respuesta cuenta como fallo.</w:t>
            </w:r>
          </w:p>
        </w:tc>
      </w:tr>
    </w:tbl>
    <w:bookmarkEnd w:id="62"/>
    <w:bookmarkStart w:id="63" w:name="validación-y-aseguramiento-de-la-calidad"/>
    <w:p>
      <w:pPr>
        <w:pStyle w:val="Heading2"/>
      </w:pPr>
      <w:r>
        <w:rPr>
          <w:rStyle w:val="SectionNumber"/>
        </w:rPr>
        <w:t xml:space="preserve">4.4</w:t>
      </w:r>
      <w:r>
        <w:tab/>
      </w: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395</w:t>
            </w:r>
            <w:r>
              <w:t xml:space="preserve"> </w:t>
            </w:r>
            <w:r>
              <w:t xml:space="preserve">tests: 387 + 8 en</w:t>
            </w:r>
            <w:r>
              <w:t xml:space="preserve"> </w:t>
            </w:r>
            <w:r>
              <w:rPr>
                <w:rStyle w:val="VerbatimChar"/>
              </w:rPr>
              <w:t xml:space="preserve">Files/</w:t>
            </w:r>
            <w:r>
              <w:t xml:space="preserve">)</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w:t>
            </w:r>
          </w:p>
        </w:tc>
        <w:tc>
          <w:tcPr/>
          <w:p>
            <w:pPr>
              <w:pStyle w:val="Compact"/>
              <w:jc w:val="lef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63"/>
    <w:bookmarkStart w:id="64" w:name="criterios-de-éxito"/>
    <w:p>
      <w:pPr>
        <w:pStyle w:val="Heading2"/>
      </w:pPr>
      <w:r>
        <w:rPr>
          <w:rStyle w:val="SectionNumber"/>
        </w:rPr>
        <w:t xml:space="preserve">4.5</w:t>
      </w:r>
      <w:r>
        <w:tab/>
      </w: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64"/>
    <w:bookmarkEnd w:id="65"/>
    <w:bookmarkStart w:id="87" w:name="resultados"/>
    <w:p>
      <w:pPr>
        <w:pStyle w:val="Heading1"/>
      </w:pPr>
      <w:r>
        <w:rPr>
          <w:rStyle w:val="SectionNumber"/>
        </w:rPr>
        <w:t xml:space="preserve">5</w:t>
      </w:r>
      <w:r>
        <w:tab/>
      </w:r>
      <w:r>
        <w:t xml:space="preserve">Resultados</w:t>
      </w:r>
    </w:p>
    <w:bookmarkStart w:id="66"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66"/>
    <w:bookmarkStart w:id="67"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cinco modos operativos (libre, historia, resistencia, escape room, feedback), banco de</w:t>
      </w:r>
      <w:r>
        <w:t xml:space="preserve"> </w:t>
      </w:r>
      <w:r>
        <w:rPr>
          <w:b/>
          <w:bCs/>
        </w:rPr>
        <w:t xml:space="preserve">480 preguntas</w:t>
      </w:r>
      <w:r>
        <w:t xml:space="preserve"> </w:t>
      </w:r>
      <w:r>
        <w:t xml:space="preserve">revisadas manualmente y herramientas de mantenimiento del dataset. El</w:t>
      </w:r>
      <w:r>
        <w:t xml:space="preserve"> </w:t>
      </w:r>
      <w:r>
        <w:rPr>
          <w:b/>
          <w:bCs/>
        </w:rPr>
        <w:t xml:space="preserve">modo escape room</w:t>
      </w:r>
      <w:r>
        <w:t xml:space="preserve"> </w:t>
      </w:r>
      <w:r>
        <w:t xml:space="preserve">implementa mecánicas de salas y puertas (tienda, botín, inventario); la narrativa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resistencia</w:t>
            </w:r>
          </w:p>
        </w:tc>
        <w:tc>
          <w:tcPr/>
          <w:p>
            <w:pPr>
              <w:pStyle w:val="Compact"/>
              <w:jc w:val="left"/>
            </w:pPr>
            <w:r>
              <w:t xml:space="preserve">Reto del día, apuestas, maldiciones, power-ups</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67"/>
    <w:bookmarkStart w:id="70"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68" w:name="tab:curso-sem"/>
      <w:bookmarkEnd w:id="68"/>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69" w:name="tab:grupos"/>
      <w:bookmarkEnd w:id="69"/>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70"/>
    <w:bookmarkStart w:id="71"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395</w:t>
      </w:r>
      <w:r>
        <w:t xml:space="preserve"> </w:t>
      </w:r>
      <w:r>
        <w:t xml:space="preserve">tests) con CI en GitHub Actions. Catálogo de comandos:</w:t>
      </w:r>
      <w:r>
        <w:t xml:space="preserve"> </w:t>
      </w:r>
      <w:r>
        <w:rPr>
          <w:rStyle w:val="VerbatimChar"/>
        </w:rPr>
        <w:t xml:space="preserve">Files/README.md</w:t>
      </w:r>
      <w:r>
        <w:t xml:space="preserve">.</w:t>
      </w:r>
    </w:p>
    <w:bookmarkEnd w:id="71"/>
    <w:bookmarkStart w:id="72"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4</w:t>
            </w:r>
          </w:p>
        </w:tc>
      </w:tr>
      <w:tr>
        <w:tc>
          <w:tcPr/>
          <w:p>
            <w:pPr>
              <w:pStyle w:val="Compact"/>
              <w:jc w:val="left"/>
            </w:pPr>
            <w:r>
              <w:t xml:space="preserve">Pruebas automatizadas</w:t>
            </w:r>
          </w:p>
        </w:tc>
        <w:tc>
          <w:tcPr/>
          <w:p>
            <w:pPr>
              <w:pStyle w:val="Compact"/>
              <w:jc w:val="left"/>
            </w:pPr>
            <w:r>
              <w:t xml:space="preserve">395</w:t>
            </w:r>
          </w:p>
        </w:tc>
      </w:tr>
      <w:tr>
        <w:tc>
          <w:tcPr/>
          <w:p>
            <w:pPr>
              <w:pStyle w:val="Compact"/>
              <w:jc w:val="left"/>
            </w:pPr>
            <w:r>
              <w:t xml:space="preserve">Grupos temáticos modelados</w:t>
            </w:r>
          </w:p>
        </w:tc>
        <w:tc>
          <w:tcPr/>
          <w:p>
            <w:pPr>
              <w:pStyle w:val="Compact"/>
              <w:jc w:val="left"/>
            </w:pPr>
            <w:r>
              <w:t xml:space="preserve">10</w:t>
            </w:r>
          </w:p>
        </w:tc>
      </w:tr>
    </w:tbl>
    <w:bookmarkEnd w:id="72"/>
    <w:bookmarkStart w:id="77"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76" w:name="fig:flujo-historia"/>
    <w:p>
      <w:pPr>
        <w:pStyle w:val="CaptionedFigure"/>
      </w:pPr>
      <w:r>
        <w:drawing>
          <wp:inline>
            <wp:extent cx="5067300" cy="2187065"/>
            <wp:effectExtent b="0" l="0" r="0" t="0"/>
            <wp:docPr descr="" title="" id="74" name="Picture"/>
            <a:graphic>
              <a:graphicData uri="http://schemas.openxmlformats.org/drawingml/2006/picture">
                <pic:pic>
                  <pic:nvPicPr>
                    <pic:cNvPr descr="flujo_modo_historia.png" id="75" name="Picture"/>
                    <pic:cNvPicPr>
                      <a:picLocks noChangeArrowheads="1" noChangeAspect="1"/>
                    </pic:cNvPicPr>
                  </pic:nvPicPr>
                  <pic:blipFill>
                    <a:blip r:embed="rId73"/>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76"/>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77"/>
    <w:bookmarkStart w:id="86"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w:t>
      </w:r>
      <w:hyperlink w:anchor="fig:mc-histograma">
        <w:r>
          <w:rPr>
            <w:rStyle w:val="Hyperlink"/>
          </w:rPr>
          <w:t xml:space="preserve">3</w:t>
        </w:r>
      </w:hyperlink>
      <w:r>
        <w:t xml:space="preserve"> </w:t>
      </w:r>
      <w:r>
        <w:t xml:space="preserve">contrasta el histograma empírico de notas con la masa de probabilidad binomial; la figura </w:t>
      </w:r>
      <w:hyperlink w:anchor="fig:mc-convergencia">
        <w:r>
          <w:rPr>
            <w:rStyle w:val="Hyperlink"/>
          </w:rPr>
          <w:t xml:space="preserve">4</w:t>
        </w:r>
      </w:hyperlink>
      <w:r>
        <w:t xml:space="preserve"> </w:t>
      </w:r>
      <w:r>
        <w:t xml:space="preserve">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bookmarkStart w:id="81" w:name="fig:mc-histograma"/>
    <w:p>
      <w:pPr>
        <w:pStyle w:val="CaptionedFigure"/>
      </w:pPr>
      <w:r>
        <w:drawing>
          <wp:inline>
            <wp:extent cx="5227320" cy="2080227"/>
            <wp:effectExtent b="0" l="0" r="0" t="0"/>
            <wp:docPr descr="" title="" id="79" name="Picture"/>
            <a:graphic>
              <a:graphicData uri="http://schemas.openxmlformats.org/drawingml/2006/picture">
                <pic:pic>
                  <pic:nvPicPr>
                    <pic:cNvPr descr="monte_carlo_histograma_notas.png" id="80" name="Picture"/>
                    <pic:cNvPicPr>
                      <a:picLocks noChangeArrowheads="1" noChangeAspect="1"/>
                    </pic:cNvPicPr>
                  </pic:nvPicPr>
                  <pic:blipFill>
                    <a:blip r:embed="rId78"/>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81"/>
    <w:bookmarkStart w:id="85" w:name="fig:mc-convergencia"/>
    <w:p>
      <w:pPr>
        <w:pStyle w:val="CaptionedFigure"/>
      </w:pPr>
      <w:r>
        <w:drawing>
          <wp:inline>
            <wp:extent cx="4693920" cy="2517930"/>
            <wp:effectExtent b="0" l="0" r="0" t="0"/>
            <wp:docPr descr="" title="" id="83" name="Picture"/>
            <a:graphic>
              <a:graphicData uri="http://schemas.openxmlformats.org/drawingml/2006/picture">
                <pic:pic>
                  <pic:nvPicPr>
                    <pic:cNvPr descr="monte_carlo_convergencia.png" id="84" name="Picture"/>
                    <pic:cNvPicPr>
                      <a:picLocks noChangeArrowheads="1" noChangeAspect="1"/>
                    </pic:cNvPicPr>
                  </pic:nvPicPr>
                  <pic:blipFill>
                    <a:blip r:embed="rId82"/>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85"/>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libre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libre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libre (arcade)</w:t>
            </w:r>
          </w:p>
        </w:tc>
        <w:tc>
          <w:tcPr/>
          <w:p>
            <w:pPr>
              <w:pStyle w:val="Compact"/>
              <w:jc w:val="left"/>
            </w:pPr>
            <w:r>
              <w:t xml:space="preserve">Puntos medios</w:t>
            </w:r>
          </w:p>
        </w:tc>
        <w:tc>
          <w:tcPr/>
          <w:p>
            <w:pPr>
              <w:pStyle w:val="Compact"/>
              <w:jc w:val="left"/>
            </w:pPr>
            <w:r>
              <w:rPr>
                <w:b/>
                <w:bCs/>
              </w:rPr>
              <w:t xml:space="preserve">-10,0</w:t>
            </w:r>
          </w:p>
        </w:tc>
      </w:tr>
    </w:tbl>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86"/>
    <w:bookmarkEnd w:id="87"/>
    <w:bookmarkStart w:id="94" w:name="discusión"/>
    <w:p>
      <w:pPr>
        <w:pStyle w:val="Heading1"/>
      </w:pPr>
      <w:r>
        <w:rPr>
          <w:rStyle w:val="SectionNumber"/>
        </w:rPr>
        <w:t xml:space="preserve">6</w:t>
      </w:r>
      <w:r>
        <w:tab/>
      </w:r>
      <w:r>
        <w:t xml:space="preserve">Discusión</w:t>
      </w:r>
    </w:p>
    <w:bookmarkStart w:id="88"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t xml:space="preserve">Parcial</w:t>
            </w:r>
          </w:p>
        </w:tc>
        <w:tc>
          <w:tcPr/>
          <w:p>
            <w:pPr>
              <w:pStyle w:val="Compact"/>
              <w:jc w:val="left"/>
            </w:pPr>
            <w:r>
              <w:t xml:space="preserve">Modo escape room jugable; guion visual completo pendiente</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con libre, historia, resistencia, escape room y feedback</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Parcialmente cumplido</w:t>
            </w:r>
          </w:p>
        </w:tc>
        <w:tc>
          <w:tcPr/>
          <w:p>
            <w:pPr>
              <w:pStyle w:val="Compact"/>
              <w:jc w:val="left"/>
            </w:pPr>
            <w:r>
              <w:t xml:space="preserve">Banco validado, 395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queda parcialmente cubierto por las mecánicas del escape room y como trabajo futuro en arte y guion. El enfoque incremental —primero validar el núcleo evaluable, después la capa visual— permitió concentrar el esfuerzo en un único lanzador mantenible.</w:t>
      </w:r>
    </w:p>
    <w:bookmarkEnd w:id="88"/>
    <w:bookmarkStart w:id="89"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numPr>
          <w:ilvl w:val="0"/>
          <w:numId w:val="1006"/>
        </w:numPr>
      </w:pPr>
      <w:r>
        <w:rPr>
          <w:b/>
          <w:bCs/>
        </w:rPr>
        <w:t xml:space="preserve">Prerrequisitos:</w:t>
      </w:r>
      <w:r>
        <w:t xml:space="preserve"> </w:t>
      </w:r>
      <w:r>
        <w:t xml:space="preserve">ítems de cursos avanzados que asumen conceptos de materias previas (p. ej. optimización y cálculo multivariable).</w:t>
      </w:r>
    </w:p>
    <w:p>
      <w:pPr>
        <w:pStyle w:val="FirstParagraph"/>
      </w:pPr>
      <w:r>
        <w:t xml:space="preserve">Estas observaciones motivan los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propuestos para futuras versiones del esquema (§6.6).</w:t>
      </w:r>
    </w:p>
    <w:bookmarkEnd w:id="89"/>
    <w:bookmarkStart w:id="90"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90"/>
    <w:bookmarkStart w:id="91"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91"/>
    <w:bookmarkStart w:id="92"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92"/>
    <w:bookmarkStart w:id="93"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93"/>
    <w:bookmarkEnd w:id="94"/>
    <w:bookmarkStart w:id="95"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95"/>
    <w:bookmarkStart w:id="104"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96">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97">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98">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99">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100">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101">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102">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103">
        <w:r>
          <w:rPr>
            <w:rStyle w:val="Hyperlink"/>
          </w:rPr>
          <w:t xml:space="preserve">https://doi.org/10.1016/j.edurev.2020.100364</w:t>
        </w:r>
      </w:hyperlink>
    </w:p>
    <w:bookmarkEnd w:id="104"/>
    <w:bookmarkStart w:id="106" w:name="apéndices"/>
    <w:p>
      <w:pPr>
        <w:pStyle w:val="Heading1"/>
      </w:pPr>
      <w:r>
        <w:rPr>
          <w:rStyle w:val="SectionNumber"/>
        </w:rPr>
        <w:t xml:space="preserve">9</w:t>
      </w:r>
      <w:r>
        <w:tab/>
      </w:r>
      <w:r>
        <w:t xml:space="preserve">Apéndices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D</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E</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F</w:t>
            </w:r>
          </w:p>
        </w:tc>
        <w:tc>
          <w:tcPr/>
          <w:p>
            <w:pPr>
              <w:pStyle w:val="Compact"/>
              <w:jc w:val="left"/>
            </w:pPr>
            <w:r>
              <w:t xml:space="preserve">LaTeX, Word y exportación</w:t>
            </w:r>
          </w:p>
        </w:tc>
        <w:tc>
          <w:tcPr/>
          <w:p>
            <w:pPr>
              <w:pStyle w:val="Compact"/>
              <w:jc w:val="left"/>
            </w:pPr>
            <w:r>
              <w:rPr>
                <w:rStyle w:val="VerbatimChar"/>
              </w:rPr>
              <w:t xml:space="preserve">Docs/README.md</w:t>
            </w:r>
          </w:p>
        </w:tc>
      </w:tr>
      <w:tr>
        <w:tc>
          <w:tcPr/>
          <w:p>
            <w:pPr>
              <w:pStyle w:val="Compact"/>
              <w:jc w:val="center"/>
            </w:pPr>
            <w:r>
              <w:t xml:space="preserve">G</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bl>
    <w:p>
      <w:pPr>
        <w:pStyle w:val="BodyText"/>
      </w:pPr>
      <w:r>
        <w:rPr>
          <w:b/>
          <w:bCs/>
        </w:rPr>
        <w:t xml:space="preserve">Repositorio:</w:t>
      </w:r>
      <w:r>
        <w:t xml:space="preserve"> </w:t>
      </w:r>
      <w:hyperlink r:id="rId105">
        <w:r>
          <w:rPr>
            <w:rStyle w:val="Hyperlink"/>
          </w:rPr>
          <w:t xml:space="preserve">https://github.com/Dafafi63f/Escape-Room.git</w:t>
        </w:r>
      </w:hyperlink>
    </w:p>
    <w:bookmarkEnd w:id="106"/>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hyperlink" Id="rId103" Target="https://doi.org/10.1016/j.edurev.2020.100364" TargetMode="External" /><Relationship Type="http://schemas.openxmlformats.org/officeDocument/2006/relationships/hyperlink" Id="rId100" Target="https://doi.org/10.1016/j.iheduc.2004.12.001" TargetMode="External" /><Relationship Type="http://schemas.openxmlformats.org/officeDocument/2006/relationships/hyperlink" Id="rId101" Target="https://doi.org/10.1080/03075070600572090" TargetMode="External" /><Relationship Type="http://schemas.openxmlformats.org/officeDocument/2006/relationships/hyperlink" Id="rId98" Target="https://doi.org/10.1111/j.1467-8535.2009.01034.x" TargetMode="External" /><Relationship Type="http://schemas.openxmlformats.org/officeDocument/2006/relationships/hyperlink" Id="rId96" Target="https://doi.org/10.1145/2181037.2181040" TargetMode="External" /><Relationship Type="http://schemas.openxmlformats.org/officeDocument/2006/relationships/hyperlink" Id="rId97" Target="https://doi.org/10.1145/950566.950595" TargetMode="External" /><Relationship Type="http://schemas.openxmlformats.org/officeDocument/2006/relationships/hyperlink" Id="rId102" Target="https://doi.org/10.1145/950566.950596" TargetMode="External" /><Relationship Type="http://schemas.openxmlformats.org/officeDocument/2006/relationships/hyperlink" Id="rId99" Target="https://doi.org/10.1207/S15324818AME1503_5" TargetMode="External" /><Relationship Type="http://schemas.openxmlformats.org/officeDocument/2006/relationships/hyperlink" Id="rId105"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16/j.edurev.2020.100364" TargetMode="External" /><Relationship Type="http://schemas.openxmlformats.org/officeDocument/2006/relationships/hyperlink" Id="rId100" Target="https://doi.org/10.1016/j.iheduc.2004.12.001" TargetMode="External" /><Relationship Type="http://schemas.openxmlformats.org/officeDocument/2006/relationships/hyperlink" Id="rId101" Target="https://doi.org/10.1080/03075070600572090" TargetMode="External" /><Relationship Type="http://schemas.openxmlformats.org/officeDocument/2006/relationships/hyperlink" Id="rId98" Target="https://doi.org/10.1111/j.1467-8535.2009.01034.x" TargetMode="External" /><Relationship Type="http://schemas.openxmlformats.org/officeDocument/2006/relationships/hyperlink" Id="rId96" Target="https://doi.org/10.1145/2181037.2181040" TargetMode="External" /><Relationship Type="http://schemas.openxmlformats.org/officeDocument/2006/relationships/hyperlink" Id="rId97" Target="https://doi.org/10.1145/950566.950595" TargetMode="External" /><Relationship Type="http://schemas.openxmlformats.org/officeDocument/2006/relationships/hyperlink" Id="rId102" Target="https://doi.org/10.1145/950566.950596" TargetMode="External" /><Relationship Type="http://schemas.openxmlformats.org/officeDocument/2006/relationships/hyperlink" Id="rId99" Target="https://doi.org/10.1207/S15324818AME1503_5" TargetMode="External" /><Relationship Type="http://schemas.openxmlformats.org/officeDocument/2006/relationships/hyperlink" Id="rId105"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2026-06-26T22:09:49Z</dcterms:created>
  <dcterms:modified xsi:type="dcterms:W3CDTF">2026-06-26T22:09:49Z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 con cinco modos (libre, historia, resistencia, escape room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y fmtid="{D5CDD505-2E9C-101B-9397-08002B2CF9AE}" pid="4" name="toc-title">
    <vt:lpwstr>Índice</vt:lpwstr>
  </property>
</Properties>
</file>