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400" w:after="0"/>
        <w:rPr/>
      </w:pPr>
      <w:r>
        <w:rPr/>
      </w:r>
    </w:p>
    <w:p>
      <w:pPr>
        <w:pStyle w:val="Normal"/>
        <w:spacing w:before="0" w:after="120"/>
        <w:jc w:val="center"/>
        <w:rPr/>
      </w:pPr>
      <w:r>
        <w:rPr>
          <w:b/>
          <w:bCs/>
          <w:color w:val="1F3864"/>
          <w:sz w:val="64"/>
          <w:szCs w:val="64"/>
        </w:rPr>
        <w:t>TalkLate</w:t>
      </w:r>
    </w:p>
    <w:p>
      <w:pPr>
        <w:pStyle w:val="Normal"/>
        <w:spacing w:before="0" w:after="600"/>
        <w:jc w:val="center"/>
        <w:rPr/>
      </w:pPr>
      <w:r>
        <w:rPr>
          <w:i/>
          <w:iCs/>
          <w:color w:val="595959"/>
          <w:sz w:val="24"/>
          <w:szCs w:val="24"/>
        </w:rPr>
        <w:t>Traduccion en tiempo real con conciencia cultural y emocional</w:t>
      </w:r>
    </w:p>
    <w:p>
      <w:pPr>
        <w:pStyle w:val="Normal"/>
        <w:pBdr>
          <w:top w:val="single" w:sz="12" w:space="12" w:color="1F3864"/>
          <w:bottom w:val="single" w:sz="12" w:space="12" w:color="1F3864"/>
        </w:pBdr>
        <w:spacing w:lineRule="auto" w:line="240" w:before="0" w:after="240"/>
        <w:jc w:val="center"/>
        <w:rPr/>
      </w:pPr>
      <w:r>
        <w:rPr>
          <w:b/>
          <w:bCs/>
          <w:color w:val="1F3864"/>
          <w:sz w:val="40"/>
          <w:szCs w:val="40"/>
        </w:rPr>
        <w:t>6. Drivers de arquitectura</w:t>
      </w:r>
    </w:p>
    <w:p>
      <w:pPr>
        <w:pStyle w:val="Normal"/>
        <w:spacing w:before="0" w:after="1600"/>
        <w:rPr/>
      </w:pPr>
      <w:r>
        <w:rPr/>
      </w:r>
    </w:p>
    <w:p>
      <w:pPr>
        <w:pStyle w:val="Normal"/>
        <w:spacing w:before="0" w:after="120"/>
        <w:jc w:val="center"/>
        <w:rPr/>
      </w:pPr>
      <w:r>
        <w:rPr>
          <w:b/>
          <w:bCs/>
          <w:sz w:val="22"/>
          <w:szCs w:val="22"/>
        </w:rPr>
        <w:t>Trabajo de grado</w:t>
      </w:r>
    </w:p>
    <w:p>
      <w:pPr>
        <w:pStyle w:val="Normal"/>
        <w:spacing w:before="0" w:after="120"/>
        <w:jc w:val="center"/>
        <w:rPr/>
      </w:pPr>
      <w:r>
        <w:rPr>
          <w:sz w:val="22"/>
          <w:szCs w:val="22"/>
        </w:rPr>
        <w:t>Julian David Diaz Medina</w:t>
      </w:r>
    </w:p>
    <w:p>
      <w:pPr>
        <w:pStyle w:val="Normal"/>
        <w:spacing w:before="0" w:after="360"/>
        <w:jc w:val="center"/>
        <w:rPr/>
      </w:pPr>
      <w:r>
        <w:rPr>
          <w:sz w:val="22"/>
          <w:szCs w:val="22"/>
        </w:rPr>
        <w:t>Diego Alejandro Franco Atehortua</w:t>
      </w:r>
    </w:p>
    <w:p>
      <w:pPr>
        <w:pStyle w:val="Normal"/>
        <w:spacing w:before="0" w:after="360"/>
        <w:jc w:val="center"/>
        <w:rPr/>
      </w:pPr>
      <w:r>
        <w:rPr>
          <w:sz w:val="22"/>
          <w:szCs w:val="22"/>
        </w:rPr>
        <w:t>Director: Wider Farid Sanchez Garzon</w:t>
      </w:r>
    </w:p>
    <w:p>
      <w:pPr>
        <w:pStyle w:val="Normal"/>
        <w:spacing w:before="0" w:after="120"/>
        <w:jc w:val="center"/>
        <w:rPr/>
      </w:pPr>
      <w:r>
        <w:rPr>
          <w:color w:val="595959"/>
          <w:sz w:val="20"/>
          <w:szCs w:val="20"/>
        </w:rPr>
        <w:t>Version 1.0 - Octubre de 2026</w:t>
      </w:r>
    </w:p>
    <w:p>
      <w:pPr>
        <w:sectPr>
          <w:type w:val="nextPage"/>
          <w:pgSz w:w="12240" w:h="15840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6143"/>
        </w:sect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rPr/>
      </w:pPr>
      <w:r>
        <w:rPr>
          <w:b/>
          <w:bCs/>
        </w:rPr>
        <w:t>Fase 3 - Arquitectura</w:t>
      </w:r>
    </w:p>
    <w:p>
      <w:pPr>
        <w:pStyle w:val="Normal"/>
        <w:spacing w:before="0" w:after="120"/>
        <w:rPr/>
      </w:pPr>
      <w:r>
        <w:rPr>
          <w:b/>
          <w:bCs/>
        </w:rPr>
        <w:t>Version:</w:t>
      </w:r>
      <w:r>
        <w:rPr/>
        <w:t xml:space="preserve"> 1.0 (29/10/2026)</w:t>
      </w:r>
    </w:p>
    <w:p>
      <w:pPr>
        <w:pStyle w:val="Normal"/>
        <w:spacing w:before="0" w:after="120"/>
        <w:rPr/>
      </w:pPr>
      <w:r>
        <w:rPr/>
        <w:t xml:space="preserve">Un driver es un requisito que obliga a tomar decisiones de arquitectura. Cada driver tiene una meta medible, la forma de medirla y las decisiones (ADR, </w:t>
      </w:r>
      <w:r>
        <w:rPr>
          <w:i/>
          <w:iCs/>
        </w:rPr>
        <w:t>documento 11 (Decisiones de arquitectura (ADR))</w:t>
      </w:r>
      <w:r>
        <w:rPr/>
        <w:t>) que lo responden. Los dos que definen el producto son DRV-01 (tiempo por turno) y DRV-02 (calidad cultural y emocional).</w:t>
      </w:r>
    </w:p>
    <w:p>
      <w:pPr>
        <w:pStyle w:val="Heading1"/>
        <w:keepNext w:val="true"/>
        <w:rPr/>
      </w:pPr>
      <w:r>
        <w:rPr/>
        <w:t>1. Drivers</w:t>
      </w:r>
    </w:p>
    <w:tbl>
      <w:tblPr>
        <w:tblW w:w="9360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669"/>
        <w:gridCol w:w="1835"/>
        <w:gridCol w:w="5638"/>
        <w:gridCol w:w="1217"/>
      </w:tblGrid>
      <w:tr>
        <w:trPr>
          <w:tblHeader w:val="true"/>
        </w:trPr>
        <w:tc>
          <w:tcPr>
            <w:tcW w:w="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1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Driver</w:t>
            </w:r>
          </w:p>
        </w:tc>
        <w:tc>
          <w:tcPr>
            <w:tcW w:w="5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Meta medible</w:t>
            </w:r>
          </w:p>
        </w:tc>
        <w:tc>
          <w:tcPr>
            <w:tcW w:w="12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Origen</w:t>
            </w:r>
          </w:p>
        </w:tc>
      </w:tr>
      <w:tr>
        <w:trPr>
          <w:cantSplit w:val="true"/>
        </w:trPr>
        <w:tc>
          <w:tcPr>
            <w:tcW w:w="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DRV-01</w:t>
            </w:r>
          </w:p>
        </w:tc>
        <w:tc>
          <w:tcPr>
            <w:tcW w:w="1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Tiempo de respuesta por turno</w:t>
            </w:r>
          </w:p>
        </w:tc>
        <w:tc>
          <w:tcPr>
            <w:tcW w:w="5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Texto: 3 s o menos (p95). Voz: 5 s o menos, contando transcripcion y audio de salida</w:t>
            </w:r>
          </w:p>
        </w:tc>
        <w:tc>
          <w:tcPr>
            <w:tcW w:w="12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RNF-001, vision</w:t>
            </w:r>
          </w:p>
        </w:tc>
      </w:tr>
      <w:tr>
        <w:trPr>
          <w:cantSplit w:val="true"/>
        </w:trPr>
        <w:tc>
          <w:tcPr>
            <w:tcW w:w="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DRV-02</w:t>
            </w:r>
          </w:p>
        </w:tc>
        <w:tc>
          <w:tcPr>
            <w:tcW w:w="1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Calidad cultural y emocional</w:t>
            </w:r>
          </w:p>
        </w:tc>
        <w:tc>
          <w:tcPr>
            <w:tcW w:w="5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80 % de los modismos del glosario con su equivalente cultural; la emocion detectada se escucha en la voz de salida</w:t>
            </w:r>
          </w:p>
        </w:tc>
        <w:tc>
          <w:tcPr>
            <w:tcW w:w="12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RNF-002, RNF-010, vision</w:t>
            </w:r>
          </w:p>
        </w:tc>
      </w:tr>
      <w:tr>
        <w:trPr>
          <w:cantSplit w:val="true"/>
        </w:trPr>
        <w:tc>
          <w:tcPr>
            <w:tcW w:w="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DRV-03</w:t>
            </w:r>
          </w:p>
        </w:tc>
        <w:tc>
          <w:tcPr>
            <w:tcW w:w="1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Privacidad de los datos</w:t>
            </w:r>
          </w:p>
        </w:tc>
        <w:tc>
          <w:tcPr>
            <w:tcW w:w="5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0 accesos a datos de otro usuario; mensajes cifrados en reposo; logs sin datos personales; consentimiento y borrado de cuenta (Ley 1581 de 2012)</w:t>
            </w:r>
          </w:p>
        </w:tc>
        <w:tc>
          <w:tcPr>
            <w:tcW w:w="12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RNF-003</w:t>
            </w:r>
          </w:p>
        </w:tc>
      </w:tr>
      <w:tr>
        <w:trPr>
          <w:cantSplit w:val="true"/>
        </w:trPr>
        <w:tc>
          <w:tcPr>
            <w:tcW w:w="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DRV-04</w:t>
            </w:r>
          </w:p>
        </w:tc>
        <w:tc>
          <w:tcPr>
            <w:tcW w:w="1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Crecimiento de idiomas</w:t>
            </w:r>
          </w:p>
        </w:tc>
        <w:tc>
          <w:tcPr>
            <w:tcW w:w="5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Agregar un idioma o una region sin cambiar codigo</w:t>
            </w:r>
          </w:p>
        </w:tc>
        <w:tc>
          <w:tcPr>
            <w:tcW w:w="12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RNF-004, impacto del Administrador</w:t>
            </w:r>
          </w:p>
        </w:tc>
      </w:tr>
      <w:tr>
        <w:trPr>
          <w:cantSplit w:val="true"/>
        </w:trPr>
        <w:tc>
          <w:tcPr>
            <w:tcW w:w="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DRV-05</w:t>
            </w:r>
          </w:p>
        </w:tc>
        <w:tc>
          <w:tcPr>
            <w:tcW w:w="1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Continuidad ante fallas de IA</w:t>
            </w:r>
          </w:p>
        </w:tc>
        <w:tc>
          <w:tcPr>
            <w:tcW w:w="5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Si falla un motor de traduccion o de voz, el servicio sigue con el siguiente</w:t>
            </w:r>
          </w:p>
        </w:tc>
        <w:tc>
          <w:tcPr>
            <w:tcW w:w="12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RNF-005</w:t>
            </w:r>
          </w:p>
        </w:tc>
      </w:tr>
      <w:tr>
        <w:trPr>
          <w:cantSplit w:val="true"/>
        </w:trPr>
        <w:tc>
          <w:tcPr>
            <w:tcW w:w="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DRV-06</w:t>
            </w:r>
          </w:p>
        </w:tc>
        <w:tc>
          <w:tcPr>
            <w:tcW w:w="1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Costo y abuso</w:t>
            </w:r>
          </w:p>
        </w:tc>
        <w:tc>
          <w:tcPr>
            <w:tcW w:w="5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Motores locales (Qwen, Whisper, VoiceStudio) sin costo por mensaje; 30 mensajes por minuto por usuario</w:t>
            </w:r>
          </w:p>
        </w:tc>
        <w:tc>
          <w:tcPr>
            <w:tcW w:w="12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RNF-006</w:t>
            </w:r>
          </w:p>
        </w:tc>
      </w:tr>
      <w:tr>
        <w:trPr>
          <w:cantSplit w:val="true"/>
        </w:trPr>
        <w:tc>
          <w:tcPr>
            <w:tcW w:w="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DRV-07</w:t>
            </w:r>
          </w:p>
        </w:tc>
        <w:tc>
          <w:tcPr>
            <w:tcW w:w="1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Una base de codigo para varias plataformas</w:t>
            </w:r>
          </w:p>
        </w:tc>
        <w:tc>
          <w:tcPr>
            <w:tcW w:w="5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Mismo codigo para iOS, Android y web</w:t>
            </w:r>
          </w:p>
        </w:tc>
        <w:tc>
          <w:tcPr>
            <w:tcW w:w="12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RNF-007</w:t>
            </w:r>
          </w:p>
        </w:tc>
      </w:tr>
      <w:tr>
        <w:trPr>
          <w:cantSplit w:val="true"/>
        </w:trPr>
        <w:tc>
          <w:tcPr>
            <w:tcW w:w="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DRV-08</w:t>
            </w:r>
          </w:p>
        </w:tc>
        <w:tc>
          <w:tcPr>
            <w:tcW w:w="1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Facilidad de prueba y mantenimiento</w:t>
            </w:r>
          </w:p>
        </w:tc>
        <w:tc>
          <w:tcPr>
            <w:tcW w:w="5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Reglas probadas sin internet ni claves; cobertura de 80 % o mas; reglas de dependencia entre capas verificables con dependency-cruiser</w:t>
            </w:r>
          </w:p>
        </w:tc>
        <w:tc>
          <w:tcPr>
            <w:tcW w:w="12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RNF-008, RNF-009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1"/>
        <w:keepNext w:val="true"/>
        <w:rPr/>
      </w:pPr>
      <w:r>
        <w:rPr/>
        <w:t>2. Como se responde y como se comprueba</w:t>
      </w:r>
    </w:p>
    <w:tbl>
      <w:tblPr>
        <w:tblW w:w="9360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669"/>
        <w:gridCol w:w="2333"/>
        <w:gridCol w:w="2964"/>
        <w:gridCol w:w="3393"/>
      </w:tblGrid>
      <w:tr>
        <w:trPr>
          <w:tblHeader w:val="true"/>
        </w:trPr>
        <w:tc>
          <w:tcPr>
            <w:tcW w:w="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Driver</w:t>
            </w:r>
          </w:p>
        </w:tc>
        <w:tc>
          <w:tcPr>
            <w:tcW w:w="23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Decisiones</w:t>
            </w:r>
          </w:p>
        </w:tc>
        <w:tc>
          <w:tcPr>
            <w:tcW w:w="2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Como se mide</w:t>
            </w:r>
          </w:p>
        </w:tc>
        <w:tc>
          <w:tcPr>
            <w:tcW w:w="33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Resultado actual</w:t>
            </w:r>
          </w:p>
        </w:tc>
      </w:tr>
      <w:tr>
        <w:trPr>
          <w:cantSplit w:val="true"/>
        </w:trPr>
        <w:tc>
          <w:tcPr>
            <w:tcW w:w="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DRV-01</w:t>
            </w:r>
          </w:p>
        </w:tc>
        <w:tc>
          <w:tcPr>
            <w:tcW w:w="23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ADR-002 (REST por turno), ADR-004 (motores en cadena), ADR-014 (voz con Whisper), ADR-016 (voz local)</w:t>
            </w:r>
          </w:p>
        </w:tc>
        <w:tc>
          <w:tcPr>
            <w:tcW w:w="2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npm run medir</w:t>
            </w:r>
            <w:r>
              <w:rPr>
                <w:sz w:val="17"/>
                <w:szCs w:val="17"/>
              </w:rPr>
              <w:t xml:space="preserve"> (texto) y </w:t>
            </w: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npm run medir:voz</w:t>
            </w:r>
            <w:r>
              <w:rPr>
                <w:sz w:val="17"/>
                <w:szCs w:val="17"/>
              </w:rPr>
              <w:t xml:space="preserve"> (voz) en </w:t>
            </w: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backend/</w:t>
            </w:r>
            <w:r>
              <w:rPr>
                <w:sz w:val="17"/>
                <w:szCs w:val="17"/>
              </w:rPr>
              <w:t xml:space="preserve">; evento de log </w:t>
            </w: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traduccion</w:t>
            </w:r>
            <w:r>
              <w:rPr>
                <w:sz w:val="17"/>
                <w:szCs w:val="17"/>
              </w:rPr>
              <w:t xml:space="preserve"> con </w:t>
            </w: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duracion_ms</w:t>
            </w:r>
          </w:p>
        </w:tc>
        <w:tc>
          <w:tcPr>
            <w:tcW w:w="33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 xml:space="preserve">La medicion con los motores de produccion (Qwen, Whisper y VoiceStudio) se ejecuta en el equipo de despliegue (Mac M5, 32 GB) con la guia </w:t>
            </w: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backend/VOICESTUDIO_MAC.md</w:t>
            </w:r>
          </w:p>
        </w:tc>
      </w:tr>
      <w:tr>
        <w:trPr>
          <w:cantSplit w:val="true"/>
        </w:trPr>
        <w:tc>
          <w:tcPr>
            <w:tcW w:w="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DRV-02</w:t>
            </w:r>
          </w:p>
        </w:tc>
        <w:tc>
          <w:tcPr>
            <w:tcW w:w="23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ADR-004 (prompt de equivalencia cultural), ADR-014 (entonacion por texto y voz), ADR-015 y ADR-016 (voz con emocion)</w:t>
            </w:r>
          </w:p>
        </w:tc>
        <w:tc>
          <w:tcPr>
            <w:tcW w:w="2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npm run medir</w:t>
            </w:r>
            <w:r>
              <w:rPr>
                <w:sz w:val="17"/>
                <w:szCs w:val="17"/>
              </w:rPr>
              <w:t xml:space="preserve"> con un glosario de prueba separado del usado para construir las reglas; prueba de escucha con usuarios</w:t>
            </w:r>
          </w:p>
        </w:tc>
        <w:tc>
          <w:tcPr>
            <w:tcW w:w="33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El motor de reglas logra 14 de 15 modismos; el resultado que cuenta para el driver es el de Qwen con el glosario separado</w:t>
            </w:r>
          </w:p>
        </w:tc>
      </w:tr>
      <w:tr>
        <w:trPr>
          <w:cantSplit w:val="true"/>
        </w:trPr>
        <w:tc>
          <w:tcPr>
            <w:tcW w:w="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DRV-03</w:t>
            </w:r>
          </w:p>
        </w:tc>
        <w:tc>
          <w:tcPr>
            <w:tcW w:w="23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ADR-006 (autenticacion), ADR-010 (seguridad y datos personales)</w:t>
            </w:r>
          </w:p>
        </w:tc>
        <w:tc>
          <w:tcPr>
            <w:tcW w:w="2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backend/test/api.test.js</w:t>
            </w:r>
            <w:r>
              <w:rPr>
                <w:sz w:val="17"/>
                <w:szCs w:val="17"/>
              </w:rPr>
              <w:t xml:space="preserve"> y </w:t>
            </w: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seguridad.test.js</w:t>
            </w:r>
          </w:p>
        </w:tc>
        <w:tc>
          <w:tcPr>
            <w:tcW w:w="33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Cumple: aislamiento entre usuarios, cifrado en reposo, consentimiento, borrado de cuenta y logs sin datos personales</w:t>
            </w:r>
          </w:p>
        </w:tc>
      </w:tr>
      <w:tr>
        <w:trPr>
          <w:cantSplit w:val="true"/>
        </w:trPr>
        <w:tc>
          <w:tcPr>
            <w:tcW w:w="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DRV-04</w:t>
            </w:r>
          </w:p>
        </w:tc>
        <w:tc>
          <w:tcPr>
            <w:tcW w:w="23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ADR-003 (capas), ADR-008 (modelo de dominio)</w:t>
            </w:r>
          </w:p>
        </w:tc>
        <w:tc>
          <w:tcPr>
            <w:tcW w:w="2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Prueba del administrador que activa un idioma y agrega una region</w:t>
            </w:r>
          </w:p>
        </w:tc>
        <w:tc>
          <w:tcPr>
            <w:tcW w:w="33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Cumple</w:t>
            </w:r>
          </w:p>
        </w:tc>
      </w:tr>
      <w:tr>
        <w:trPr>
          <w:cantSplit w:val="true"/>
        </w:trPr>
        <w:tc>
          <w:tcPr>
            <w:tcW w:w="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DRV-05</w:t>
            </w:r>
          </w:p>
        </w:tc>
        <w:tc>
          <w:tcPr>
            <w:tcW w:w="23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ADR-004 (Circuit Breaker), ADR-015 (cadena de voz)</w:t>
            </w:r>
          </w:p>
        </w:tc>
        <w:tc>
          <w:tcPr>
            <w:tcW w:w="2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backend/test/motores.test.js</w:t>
            </w:r>
          </w:p>
        </w:tc>
        <w:tc>
          <w:tcPr>
            <w:tcW w:w="33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Cumple: Qwen -&gt; Claude -&gt; reglas; VoiceStudio -&gt; Azure -&gt; OpenAI -&gt; voz del celular</w:t>
            </w:r>
          </w:p>
        </w:tc>
      </w:tr>
      <w:tr>
        <w:trPr>
          <w:cantSplit w:val="true"/>
        </w:trPr>
        <w:tc>
          <w:tcPr>
            <w:tcW w:w="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DRV-06</w:t>
            </w:r>
          </w:p>
        </w:tc>
        <w:tc>
          <w:tcPr>
            <w:tcW w:w="23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ADR-004, ADR-010, ADR-016</w:t>
            </w:r>
          </w:p>
        </w:tc>
        <w:tc>
          <w:tcPr>
            <w:tcW w:w="2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 xml:space="preserve">Limites en </w:t>
            </w: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src/adaptadores/http/limites.js</w:t>
            </w:r>
            <w:r>
              <w:rPr>
                <w:sz w:val="17"/>
                <w:szCs w:val="17"/>
              </w:rPr>
              <w:t xml:space="preserve"> y pruebas de seguridad</w:t>
            </w:r>
          </w:p>
        </w:tc>
        <w:tc>
          <w:tcPr>
            <w:tcW w:w="33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Cumple</w:t>
            </w:r>
          </w:p>
        </w:tc>
      </w:tr>
      <w:tr>
        <w:trPr>
          <w:cantSplit w:val="true"/>
        </w:trPr>
        <w:tc>
          <w:tcPr>
            <w:tcW w:w="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DRV-07</w:t>
            </w:r>
          </w:p>
        </w:tc>
        <w:tc>
          <w:tcPr>
            <w:tcW w:w="23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ADR-001 (Expo)</w:t>
            </w:r>
          </w:p>
        </w:tc>
        <w:tc>
          <w:tcPr>
            <w:tcW w:w="2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Compilacion web y ejecucion en Expo Go</w:t>
            </w:r>
          </w:p>
        </w:tc>
        <w:tc>
          <w:tcPr>
            <w:tcW w:w="33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Cumple en web y en Expo Go</w:t>
            </w:r>
          </w:p>
        </w:tc>
      </w:tr>
      <w:tr>
        <w:trPr>
          <w:cantSplit w:val="true"/>
        </w:trPr>
        <w:tc>
          <w:tcPr>
            <w:tcW w:w="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DRV-08</w:t>
            </w:r>
          </w:p>
        </w:tc>
        <w:tc>
          <w:tcPr>
            <w:tcW w:w="23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ADR-002, ADR-003, ADR-013 (hexagonal)</w:t>
            </w:r>
          </w:p>
        </w:tc>
        <w:tc>
          <w:tcPr>
            <w:tcW w:w="2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npm run coverage</w:t>
            </w:r>
            <w:r>
              <w:rPr>
                <w:sz w:val="17"/>
                <w:szCs w:val="17"/>
              </w:rPr>
              <w:t xml:space="preserve"> y CI en cada pull request; </w:t>
            </w: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npm run arch:check</w:t>
            </w:r>
            <w:r>
              <w:rPr>
                <w:sz w:val="17"/>
                <w:szCs w:val="17"/>
              </w:rPr>
              <w:t xml:space="preserve"> (dependency-cruiser) para las capas</w:t>
            </w:r>
          </w:p>
        </w:tc>
        <w:tc>
          <w:tcPr>
            <w:tcW w:w="33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 xml:space="preserve">Cumple en pruebas: 40 pruebas del backend, cobertura de lineas cercana al 96 %. </w:t>
            </w: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arch:check</w:t>
            </w:r>
            <w:r>
              <w:rPr>
                <w:sz w:val="17"/>
                <w:szCs w:val="17"/>
              </w:rPr>
              <w:t xml:space="preserve"> marca 2 dependencias de librerias en la capa de aplicacion (bcryptjs y jsonwebtoken) que se mueven a un puerto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sectPr>
      <w:headerReference w:type="default" r:id="rId2"/>
      <w:footerReference w:type="default" r:id="rId3"/>
      <w:type w:val="nextPage"/>
      <w:pgSz w:w="12240" w:h="15840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614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7F7F7F"/>
        <w:sz w:val="16"/>
        <w:szCs w:val="16"/>
      </w:rPr>
      <w:t xml:space="preserve">Pagina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  <w:r>
      <w:rPr>
        <w:color w:val="7F7F7F"/>
        <w:sz w:val="16"/>
        <w:szCs w:val="16"/>
      </w:rPr>
      <w:t xml:space="preserve"> de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BFBFBF"/>
      </w:pBdr>
      <w:tabs>
        <w:tab w:val="clear" w:pos="720"/>
        <w:tab w:val="right" w:pos="9360" w:leader="none"/>
      </w:tabs>
      <w:rPr/>
    </w:pPr>
    <w:r>
      <w:rPr>
        <w:b/>
        <w:bCs/>
        <w:color w:val="1F3864"/>
        <w:sz w:val="16"/>
        <w:szCs w:val="16"/>
      </w:rPr>
      <w:t>TalkLate</w:t>
    </w:r>
    <w:r>
      <w:rPr>
        <w:color w:val="7F7F7F"/>
        <w:sz w:val="16"/>
        <w:szCs w:val="16"/>
      </w:rPr>
      <w:tab/>
      <w:t>Drivers de arquitectura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1"/>
        <w:szCs w:val="21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Calibri" w:hAnsi="Calibri" w:eastAsia="Calibri" w:cs="Calibri"/>
      <w:color w:val="auto"/>
      <w:kern w:val="0"/>
      <w:sz w:val="21"/>
      <w:szCs w:val="21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160"/>
      <w:outlineLvl w:val="0"/>
    </w:pPr>
    <w:rPr>
      <w:rFonts w:ascii="Calibri" w:hAnsi="Calibri" w:eastAsia="Calibri" w:cs="Calibri"/>
      <w:b/>
      <w:bCs/>
      <w:color w:val="1F3864"/>
      <w:sz w:val="32"/>
      <w:szCs w:val="32"/>
    </w:rPr>
  </w:style>
  <w:style w:type="paragraph" w:styleId="Heading2">
    <w:name w:val="Heading 2"/>
    <w:basedOn w:val="Heading"/>
    <w:qFormat/>
    <w:pPr>
      <w:spacing w:before="280" w:after="120"/>
      <w:outlineLvl w:val="1"/>
    </w:pPr>
    <w:rPr>
      <w:rFonts w:ascii="Calibri" w:hAnsi="Calibri" w:eastAsia="Calibri" w:cs="Calibri"/>
      <w:b/>
      <w:bCs/>
      <w:color w:val="1F3864"/>
      <w:sz w:val="26"/>
      <w:szCs w:val="26"/>
    </w:rPr>
  </w:style>
  <w:style w:type="paragraph" w:styleId="Heading3">
    <w:name w:val="Heading 3"/>
    <w:basedOn w:val="Heading"/>
    <w:qFormat/>
    <w:pPr>
      <w:spacing w:before="200" w:after="100"/>
      <w:outlineLvl w:val="2"/>
    </w:pPr>
    <w:rPr>
      <w:rFonts w:ascii="Calibri" w:hAnsi="Calibri" w:eastAsia="Calibri" w:cs="Calibri"/>
      <w:b/>
      <w:bCs/>
      <w:color w:val="2F5496"/>
      <w:sz w:val="23"/>
      <w:szCs w:val="23"/>
    </w:rPr>
  </w:style>
  <w:style w:type="paragraph" w:styleId="Heading4">
    <w:name w:val="Heading 4"/>
    <w:basedOn w:val="Heading"/>
    <w:qFormat/>
    <w:pPr>
      <w:spacing w:before="160" w:after="80"/>
      <w:outlineLvl w:val="3"/>
    </w:pPr>
    <w:rPr>
      <w:rFonts w:ascii="Calibri" w:hAnsi="Calibri" w:eastAsia="Calibri" w:cs="Calibri"/>
      <w:b/>
      <w:bCs/>
      <w:i/>
      <w:iCs/>
      <w:color w:val="2F5496"/>
      <w:sz w:val="21"/>
      <w:szCs w:val="21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lineRule="auto" w:line="276" w:before="0" w:after="0"/>
      <w:jc w:val="left"/>
    </w:pPr>
    <w:rPr>
      <w:rFonts w:ascii="Calibri" w:hAnsi="Calibri" w:eastAsia="Calibri" w:cs="Calibri"/>
      <w:b/>
      <w:bCs/>
      <w:color w:val="auto"/>
      <w:kern w:val="0"/>
      <w:sz w:val="21"/>
      <w:szCs w:val="21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lineRule="auto" w:line="276" w:before="0" w:after="0"/>
      <w:jc w:val="left"/>
    </w:pPr>
    <w:rPr>
      <w:rFonts w:ascii="Calibri" w:hAnsi="Calibri" w:eastAsia="Calibri" w:cs="Calibri"/>
      <w:color w:val="auto"/>
      <w:kern w:val="0"/>
      <w:sz w:val="21"/>
      <w:szCs w:val="21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3</Pages>
  <Words>587</Words>
  <Characters>3164</Characters>
  <CharactersWithSpaces>3664</CharactersWithSpaces>
  <Paragraphs>87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2026-10-29T23:28:13Z</dcterms:created>
  <dc:creator>Equipo TalkLate</dc:creator>
  <dc:description/>
  <dc:language>en-US</dc:language>
  <cp:lastModifiedBy/>
  <dcterms:modified xsi:type="dcterms:W3CDTF">2026-10-29T23:28:16Z</dcterms:modified>
  <cp:revision>2</cp:revision>
  <dc:subject/>
  <dc:title>TalkLate - Drivers de arquitectura</dc:title>
</cp:coreProperties>
</file>