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0" w:after="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color w:val="1F3864"/>
          <w:sz w:val="64"/>
          <w:szCs w:val="64"/>
        </w:rPr>
        <w:t>TalkLate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595959"/>
          <w:sz w:val="24"/>
          <w:szCs w:val="24"/>
        </w:rPr>
        <w:t>Traduccion en tiempo real con conciencia cultural y emocional</w:t>
      </w:r>
    </w:p>
    <w:p>
      <w:pPr>
        <w:pStyle w:val="Normal"/>
        <w:pBdr>
          <w:top w:val="single" w:sz="12" w:space="12" w:color="1F3864"/>
          <w:bottom w:val="single" w:sz="12" w:space="12" w:color="1F3864"/>
        </w:pBdr>
        <w:spacing w:lineRule="auto" w:line="240" w:before="0" w:after="240"/>
        <w:jc w:val="center"/>
        <w:rPr/>
      </w:pPr>
      <w:r>
        <w:rPr>
          <w:b/>
          <w:bCs/>
          <w:color w:val="1F3864"/>
          <w:sz w:val="40"/>
          <w:szCs w:val="40"/>
        </w:rPr>
        <w:t>7. Arquitectura</w:t>
      </w:r>
    </w:p>
    <w:p>
      <w:pPr>
        <w:pStyle w:val="Normal"/>
        <w:spacing w:before="0" w:after="1600"/>
        <w:rPr/>
      </w:pPr>
      <w:r>
        <w:rPr/>
      </w:r>
    </w:p>
    <w:p>
      <w:pPr>
        <w:pStyle w:val="Normal"/>
        <w:spacing w:before="0" w:after="120"/>
        <w:jc w:val="center"/>
        <w:rPr/>
      </w:pPr>
      <w:r>
        <w:rPr>
          <w:b/>
          <w:bCs/>
          <w:sz w:val="22"/>
          <w:szCs w:val="22"/>
        </w:rPr>
        <w:t>Trabajo de grado</w:t>
      </w:r>
    </w:p>
    <w:p>
      <w:pPr>
        <w:pStyle w:val="Normal"/>
        <w:spacing w:before="0" w:after="120"/>
        <w:jc w:val="center"/>
        <w:rPr/>
      </w:pPr>
      <w:r>
        <w:rPr>
          <w:sz w:val="22"/>
          <w:szCs w:val="22"/>
        </w:rPr>
        <w:t>Julian David Diaz Medina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Diego Alejandro Franco Atehortua</w:t>
      </w:r>
    </w:p>
    <w:p>
      <w:pPr>
        <w:pStyle w:val="Normal"/>
        <w:spacing w:before="0" w:after="360"/>
        <w:jc w:val="center"/>
        <w:rPr/>
      </w:pPr>
      <w:r>
        <w:rPr>
          <w:sz w:val="22"/>
          <w:szCs w:val="22"/>
        </w:rPr>
        <w:t>Director: Wider Farid Sanchez Garzon</w:t>
      </w:r>
    </w:p>
    <w:p>
      <w:pPr>
        <w:pStyle w:val="Normal"/>
        <w:spacing w:before="0" w:after="120"/>
        <w:jc w:val="center"/>
        <w:rPr/>
      </w:pPr>
      <w:r>
        <w:rPr>
          <w:color w:val="595959"/>
          <w:sz w:val="20"/>
          <w:szCs w:val="20"/>
        </w:rPr>
        <w:t>Version 1.0 - Octubre de 2026</w:t>
      </w:r>
    </w:p>
    <w:p>
      <w:pPr>
        <w:sectPr>
          <w:type w:val="nextPage"/>
          <w:pgSz w:w="12240" w:h="15840"/>
          <w:pgMar w:left="1440" w:right="1440" w:gutter="0" w:header="0" w:top="1440" w:footer="0" w:bottom="1440"/>
          <w:pgNumType w:fmt="decimal"/>
          <w:formProt w:val="false"/>
          <w:textDirection w:val="lrTb"/>
          <w:docGrid w:type="default" w:linePitch="360" w:charSpace="6143"/>
        </w:sect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b/>
          <w:bCs/>
        </w:rPr>
        <w:t>Fase 3 - Arquitectura de software y base de datos</w:t>
      </w:r>
    </w:p>
    <w:p>
      <w:pPr>
        <w:pStyle w:val="Normal"/>
        <w:spacing w:before="0" w:after="120"/>
        <w:rPr/>
      </w:pPr>
      <w:r>
        <w:rPr>
          <w:b/>
          <w:bCs/>
        </w:rPr>
        <w:t>Version:</w:t>
      </w:r>
      <w:r>
        <w:rPr/>
        <w:t xml:space="preserve"> 1.0 (29/10/2026)</w:t>
      </w:r>
    </w:p>
    <w:p>
      <w:pPr>
        <w:pStyle w:val="Normal"/>
        <w:spacing w:before="0" w:after="120"/>
        <w:rPr/>
      </w:pPr>
      <w:r>
        <w:rPr/>
        <w:t xml:space="preserve">Este es el documento de entrada a la arquitectura de TalkLate. Describe la </w:t>
      </w:r>
      <w:r>
        <w:rPr>
          <w:b/>
          <w:bCs/>
        </w:rPr>
        <w:t>arquitectura construida</w:t>
      </w:r>
      <w:r>
        <w:rPr/>
        <w:t xml:space="preserve"> y </w:t>
      </w:r>
      <w:r>
        <w:rPr>
          <w:b/>
          <w:bCs/>
        </w:rPr>
        <w:t>justifica cada decision con su ADR</w:t>
      </w:r>
      <w:r>
        <w:rPr/>
        <w:t xml:space="preserve"> (</w:t>
      </w:r>
      <w:r>
        <w:rPr>
          <w:i/>
          <w:iCs/>
        </w:rPr>
        <w:t>documento 11 (Decisiones de arquitectura (ADR))</w:t>
      </w:r>
      <w:r>
        <w:rPr/>
        <w:t>) y el driver que la obliga (</w:t>
      </w:r>
      <w:r>
        <w:rPr>
          <w:i/>
          <w:iCs/>
        </w:rPr>
        <w:t>documento 6 (Drivers de arquitectura)</w:t>
      </w:r>
      <w:r>
        <w:rPr/>
        <w:t>). Cada afirmacion apunta al codigo real (</w:t>
      </w:r>
      <w:r>
        <w:rPr>
          <w:rFonts w:eastAsia="Consolas" w:cs="Consolas" w:ascii="Consolas" w:hAnsi="Consolas"/>
          <w:color w:val="2F5496"/>
          <w:sz w:val="19"/>
          <w:szCs w:val="19"/>
        </w:rPr>
        <w:t>backend/src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frontend/</w:t>
      </w:r>
      <w:r>
        <w:rPr/>
        <w:t>).</w:t>
      </w:r>
    </w:p>
    <w:p>
      <w:pPr>
        <w:pStyle w:val="Heading1"/>
        <w:keepNext w:val="true"/>
        <w:rPr/>
      </w:pPr>
      <w:r>
        <w:rPr/>
        <w:t>Como leer esta entrega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258"/>
        <w:gridCol w:w="1337"/>
        <w:gridCol w:w="5765"/>
      </w:tblGrid>
      <w:tr>
        <w:trPr>
          <w:tblHeader w:val="true"/>
        </w:trPr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Documento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Vista C4 / tema</w:t>
            </w:r>
          </w:p>
        </w:tc>
        <w:tc>
          <w:tcPr>
            <w:tcW w:w="5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Contenido</w:t>
            </w:r>
          </w:p>
        </w:tc>
      </w:tr>
      <w:tr>
        <w:trPr>
          <w:cantSplit w:val="true"/>
        </w:trPr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sz w:val="19"/>
                <w:szCs w:val="19"/>
              </w:rPr>
              <w:t>documento 7 (Arquitectura)</w:t>
            </w:r>
            <w:r>
              <w:rPr>
                <w:sz w:val="19"/>
                <w:szCs w:val="19"/>
              </w:rPr>
              <w:t xml:space="preserve"> (este)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Sintesis y justificacion</w:t>
            </w:r>
          </w:p>
        </w:tc>
        <w:tc>
          <w:tcPr>
            <w:tcW w:w="5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Todas las vistas amarradas y justificadas por ADR</w:t>
            </w:r>
          </w:p>
        </w:tc>
      </w:tr>
      <w:tr>
        <w:trPr>
          <w:cantSplit w:val="true"/>
        </w:trPr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sz w:val="19"/>
                <w:szCs w:val="19"/>
              </w:rPr>
              <w:t>documento 6 (Drivers de arquitectura)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Drivers</w:t>
            </w:r>
          </w:p>
        </w:tc>
        <w:tc>
          <w:tcPr>
            <w:tcW w:w="5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Requisitos que obligan decisiones (DRV-01 a DRV-08)</w:t>
            </w:r>
          </w:p>
        </w:tc>
      </w:tr>
      <w:tr>
        <w:trPr>
          <w:cantSplit w:val="true"/>
        </w:trPr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sz w:val="19"/>
                <w:szCs w:val="19"/>
              </w:rPr>
              <w:t>documento 8 (Stack tecnologico)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Stack</w:t>
            </w:r>
          </w:p>
        </w:tc>
        <w:tc>
          <w:tcPr>
            <w:tcW w:w="5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Tecnologia por capa y alternativas evaluadas</w:t>
            </w:r>
          </w:p>
        </w:tc>
      </w:tr>
      <w:tr>
        <w:trPr>
          <w:cantSplit w:val="true"/>
        </w:trPr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sz w:val="19"/>
                <w:szCs w:val="19"/>
              </w:rPr>
              <w:t>documento 9 (Diagramas C4)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C4 Niveles 1 y 2</w:t>
            </w:r>
          </w:p>
        </w:tc>
        <w:tc>
          <w:tcPr>
            <w:tcW w:w="5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Contexto del sistema y contenedores</w:t>
            </w:r>
          </w:p>
        </w:tc>
      </w:tr>
      <w:tr>
        <w:trPr>
          <w:cantSplit w:val="true"/>
        </w:trPr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sz w:val="19"/>
                <w:szCs w:val="19"/>
              </w:rPr>
              <w:t>documento 10 (Componentes de la API)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C4 Nivel 3 (API)</w:t>
            </w:r>
          </w:p>
        </w:tc>
        <w:tc>
          <w:tcPr>
            <w:tcW w:w="5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Componentes internos de la API TalkLate</w:t>
            </w:r>
          </w:p>
        </w:tc>
      </w:tr>
      <w:tr>
        <w:trPr>
          <w:cantSplit w:val="true"/>
        </w:trPr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sz w:val="19"/>
                <w:szCs w:val="19"/>
              </w:rPr>
              <w:t>documento 11 (Decisiones de arquitectura (ADR))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Decisiones</w:t>
            </w:r>
          </w:p>
        </w:tc>
        <w:tc>
          <w:tcPr>
            <w:tcW w:w="5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16 ADR con contexto, alternativas y consecuencias</w:t>
            </w:r>
          </w:p>
        </w:tc>
      </w:tr>
      <w:tr>
        <w:trPr>
          <w:cantSplit w:val="true"/>
        </w:trPr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i/>
                <w:iCs/>
                <w:sz w:val="19"/>
                <w:szCs w:val="19"/>
              </w:rPr>
              <w:t>documento 12 (Modelo de datos)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Datos</w:t>
            </w:r>
          </w:p>
        </w:tc>
        <w:tc>
          <w:tcPr>
            <w:tcW w:w="5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Modelo de dominio, reglas y correspondencia con la base</w:t>
            </w:r>
          </w:p>
        </w:tc>
      </w:tr>
      <w:tr>
        <w:trPr>
          <w:cantSplit w:val="true"/>
        </w:trPr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diagramas/arquitectura_talklate.html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Vista general interactiva</w:t>
            </w:r>
          </w:p>
        </w:tc>
        <w:tc>
          <w:tcPr>
            <w:tcW w:w="5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Diagrama de arquitectura (Archify) con el flujo de voz</w:t>
            </w:r>
          </w:p>
        </w:tc>
      </w:tr>
      <w:tr>
        <w:trPr>
          <w:cantSplit w:val="true"/>
        </w:trPr>
        <w:tc>
          <w:tcPr>
            <w:tcW w:w="225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diagramas/arquitectura_hexagonal.html</w:t>
            </w:r>
          </w:p>
        </w:tc>
        <w:tc>
          <w:tcPr>
            <w:tcW w:w="133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Vista interactiva del backend</w:t>
            </w:r>
          </w:p>
        </w:tc>
        <w:tc>
          <w:tcPr>
            <w:tcW w:w="57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Nucleo, 6 puertos y adaptadores (Archify)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1. Estilo arquitectonico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3467100"/>
            <wp:effectExtent l="0" t="0" r="0" b="0"/>
            <wp:docPr id="1" name="Vista general de la arquitectura de TalkLate con el flujo de voz (Archify)" descr="Vista general de la arquitectura de TalkLate con el flujo de voz (Archify)&#10;Vista general de la arquitectura de TalkLate con el flujo de voz (Archif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Vista general de la arquitectura de TalkLate con el flujo de voz (Archify)" descr="Vista general de la arquitectura de TalkLate con el flujo de voz (Archify)&#10;Vista general de la arquitectura de TalkLate con el flujo de voz (Archify)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i/>
          <w:iCs/>
          <w:color w:val="404040"/>
          <w:sz w:val="18"/>
          <w:szCs w:val="18"/>
        </w:rPr>
        <w:t xml:space="preserve">Figura 1. </w:t>
      </w:r>
      <w:r>
        <w:rPr>
          <w:i/>
          <w:iCs/>
          <w:color w:val="404040"/>
          <w:sz w:val="18"/>
          <w:szCs w:val="18"/>
        </w:rPr>
        <w:t>Vista general de la arquitectura de TalkLate con el flujo de voz (Archify)</w:t>
      </w:r>
    </w:p>
    <w:p>
      <w:pPr>
        <w:pStyle w:val="Normal"/>
        <w:spacing w:before="0" w:after="120"/>
        <w:rPr/>
      </w:pPr>
      <w:r>
        <w:rPr/>
        <w:t xml:space="preserve">TalkLate es una arquitectura </w:t>
      </w:r>
      <w:r>
        <w:rPr>
          <w:b/>
          <w:bCs/>
        </w:rPr>
        <w:t>cliente-servidor</w:t>
      </w:r>
      <w:r>
        <w:rPr/>
        <w:t xml:space="preserve"> de tres contenedores:</w:t>
      </w:r>
    </w:p>
    <w:p>
      <w:pPr>
        <w:pStyle w:val="ListParagraph"/>
        <w:numPr>
          <w:ilvl w:val="0"/>
          <w:numId w:val="3"/>
        </w:numPr>
        <w:spacing w:before="0" w:after="60"/>
        <w:rPr/>
      </w:pPr>
      <w:r>
        <w:rPr>
          <w:b/>
          <w:bCs/>
        </w:rPr>
        <w:t>App movil</w:t>
      </w:r>
      <w:r>
        <w:rPr/>
        <w:t xml:space="preserve"> multiplataforma en Expo / React Native, una sola base de codigo para iOS, Android y web (ADR-001, responde a DRV-07).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API TalkLate</w:t>
      </w:r>
      <w:r>
        <w:rPr/>
        <w:t xml:space="preserve">, un </w:t>
      </w:r>
      <w:r>
        <w:rPr>
          <w:b/>
          <w:bCs/>
        </w:rPr>
        <w:t>monolito modular</w:t>
      </w:r>
      <w:r>
        <w:rPr/>
        <w:t xml:space="preserve"> en Node.js 22 + Express con API REST sincrona </w:t>
      </w:r>
      <w:r>
        <w:rPr>
          <w:rFonts w:eastAsia="Consolas" w:cs="Consolas" w:ascii="Consolas" w:hAnsi="Consolas"/>
          <w:color w:val="2F5496"/>
          <w:sz w:val="19"/>
          <w:szCs w:val="19"/>
        </w:rPr>
        <w:t>/api/v1</w:t>
      </w:r>
      <w:r>
        <w:rPr/>
        <w:t xml:space="preserve"> (ADR-002, ADR-011, responde a DRV-01, DRV-08).</w:t>
      </w:r>
    </w:p>
    <w:p>
      <w:pPr>
        <w:pStyle w:val="ListParagraph"/>
        <w:numPr>
          <w:ilvl w:val="0"/>
          <w:numId w:val="1"/>
        </w:numPr>
        <w:spacing w:before="0" w:after="60"/>
        <w:rPr/>
      </w:pPr>
      <w:r>
        <w:rPr>
          <w:b/>
          <w:bCs/>
        </w:rPr>
        <w:t>Base de datos</w:t>
      </w:r>
      <w:r>
        <w:rPr/>
        <w:t xml:space="preserve"> SurrealDB 3.x, detras de un patron </w:t>
      </w:r>
      <w:r>
        <w:rPr>
          <w:b/>
          <w:bCs/>
        </w:rPr>
        <w:t>Repository</w:t>
      </w:r>
      <w:r>
        <w:rPr/>
        <w:t xml:space="preserve"> que permite usar SQLite en pruebas (ADR-012, responde a DRV-04, DRV-08).</w:t>
      </w:r>
    </w:p>
    <w:p>
      <w:pPr>
        <w:pStyle w:val="Normal"/>
        <w:spacing w:before="0" w:after="120"/>
        <w:rPr/>
      </w:pPr>
      <w:r>
        <w:rPr/>
        <w:t>El corazon del producto -traducir conservando tono, intencion, emocion y modismos- vive en tres subsistemas que dependen de motores de IA, cada uno detras de un puerto y con respaldo: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247"/>
        <w:gridCol w:w="1373"/>
        <w:gridCol w:w="4690"/>
        <w:gridCol w:w="825"/>
        <w:gridCol w:w="1225"/>
      </w:tblGrid>
      <w:tr>
        <w:trPr>
          <w:tblHeader w:val="true"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Subsistema</w:t>
            </w:r>
          </w:p>
        </w:tc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Puerto</w:t>
            </w:r>
          </w:p>
        </w:tc>
        <w:tc>
          <w:tcPr>
            <w:tcW w:w="4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Motores (en orden)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ADR</w:t>
            </w:r>
          </w:p>
        </w:tc>
        <w:tc>
          <w:tcPr>
            <w:tcW w:w="1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Drivers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Transcripcion de voz</w:t>
            </w:r>
          </w:p>
        </w:tc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Transcriptor</w:t>
            </w:r>
          </w:p>
        </w:tc>
        <w:tc>
          <w:tcPr>
            <w:tcW w:w="4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Whisper (API compatible con OpenAI: whisper.cpp o faster-whisper locales)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ADR-014</w:t>
            </w:r>
          </w:p>
        </w:tc>
        <w:tc>
          <w:tcPr>
            <w:tcW w:w="1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DRV-01, DRV-06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Traduccion cultural</w:t>
            </w:r>
          </w:p>
        </w:tc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MotorTraduccion</w:t>
            </w:r>
          </w:p>
        </w:tc>
        <w:tc>
          <w:tcPr>
            <w:tcW w:w="4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Qwen local (Ollama) -&gt; Claude Sonnet -&gt; motor de reglas, con Circuit Breaker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ADR-004</w:t>
            </w:r>
          </w:p>
        </w:tc>
        <w:tc>
          <w:tcPr>
            <w:tcW w:w="1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DRV-01, DRV-02, DRV-05</w:t>
            </w:r>
          </w:p>
        </w:tc>
      </w:tr>
      <w:tr>
        <w:trPr>
          <w:cantSplit w:val="true"/>
        </w:trPr>
        <w:tc>
          <w:tcPr>
            <w:tcW w:w="12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Voz con emocion</w:t>
            </w:r>
          </w:p>
        </w:tc>
        <w:tc>
          <w:tcPr>
            <w:tcW w:w="137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Sintetizador</w:t>
            </w:r>
          </w:p>
        </w:tc>
        <w:tc>
          <w:tcPr>
            <w:tcW w:w="469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VoiceStudio local (IndexTTS 2) -&gt; Azure Speech -&gt; OpenAI -&gt; voz del celular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ADR-015, ADR-016</w:t>
            </w:r>
          </w:p>
        </w:tc>
        <w:tc>
          <w:tcPr>
            <w:tcW w:w="12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DRV-02, DRV-05, DRV-06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>La entonacion de un mensaje hablado se estima en el dominio (</w:t>
      </w:r>
      <w:r>
        <w:rPr>
          <w:rFonts w:eastAsia="Consolas" w:cs="Consolas" w:ascii="Consolas" w:hAnsi="Consolas"/>
          <w:color w:val="2F5496"/>
          <w:sz w:val="19"/>
          <w:szCs w:val="19"/>
        </w:rPr>
        <w:t>dominio/prosodia.js</w:t>
      </w:r>
      <w:r>
        <w:rPr/>
        <w:t>) con el volumen, la variacion y la velocidad de la voz, y se combina con el tono de las palabras. Ese tono viaja al prompt de traduccion y al sintetizador, que lo convierte en emocion audible (</w:t>
      </w:r>
      <w:r>
        <w:rPr>
          <w:rFonts w:eastAsia="Consolas" w:cs="Consolas" w:ascii="Consolas" w:hAnsi="Consolas"/>
          <w:color w:val="2F5496"/>
          <w:sz w:val="19"/>
          <w:szCs w:val="19"/>
        </w:rPr>
        <w:t>dominio/voz.js</w:t>
      </w:r>
      <w:r>
        <w:rPr/>
        <w:t>).</w:t>
      </w:r>
    </w:p>
    <w:p>
      <w:pPr>
        <w:pStyle w:val="Normal"/>
        <w:spacing w:before="0" w:after="120"/>
        <w:rPr/>
      </w:pPr>
      <w:r>
        <w:rPr/>
        <w:t xml:space="preserve">Por dentro, la API sigue una </w:t>
      </w:r>
      <w:r>
        <w:rPr>
          <w:b/>
          <w:bCs/>
        </w:rPr>
        <w:t>arquitectura hexagonal (puertos y adaptadores)</w:t>
      </w:r>
      <w:r>
        <w:rPr/>
        <w:t xml:space="preserve"> (ADR-013): el dominio y los casos de uso estan en el centro y no dependen de Express, de la base ni de los motores de IA; cada dependencia externa entra por un puerto (</w:t>
      </w:r>
      <w:r>
        <w:rPr>
          <w:rFonts w:eastAsia="Consolas" w:cs="Consolas" w:ascii="Consolas" w:hAnsi="Consolas"/>
          <w:color w:val="2F5496"/>
          <w:sz w:val="19"/>
          <w:szCs w:val="19"/>
        </w:rPr>
        <w:t>Repositorio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MotorTraduccion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Transcriptor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Sintetizador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Notificador</w:t>
      </w:r>
      <w:r>
        <w:rPr/>
        <w:t xml:space="preserve">, </w:t>
      </w:r>
      <w:r>
        <w:rPr>
          <w:rFonts w:eastAsia="Consolas" w:cs="Consolas" w:ascii="Consolas" w:hAnsi="Consolas"/>
          <w:color w:val="2F5496"/>
          <w:sz w:val="19"/>
          <w:szCs w:val="19"/>
        </w:rPr>
        <w:t>Cifrador</w:t>
      </w:r>
      <w:r>
        <w:rPr/>
        <w:t>) y se conecta con un adaptador. Las reglas de dependencia entre capas se verifican con dependency-cruiser (</w:t>
      </w:r>
      <w:r>
        <w:rPr>
          <w:rFonts w:eastAsia="Consolas" w:cs="Consolas" w:ascii="Consolas" w:hAnsi="Consolas"/>
          <w:color w:val="2F5496"/>
          <w:sz w:val="19"/>
          <w:szCs w:val="19"/>
        </w:rPr>
        <w:t>npm run arch:check</w:t>
      </w:r>
      <w:r>
        <w:rPr/>
        <w:t xml:space="preserve">). Hoy marca dos dependencias pendientes de mover detras de un puerto: </w:t>
      </w:r>
      <w:r>
        <w:rPr>
          <w:rFonts w:eastAsia="Consolas" w:cs="Consolas" w:ascii="Consolas" w:hAnsi="Consolas"/>
          <w:color w:val="2F5496"/>
          <w:sz w:val="19"/>
          <w:szCs w:val="19"/>
        </w:rPr>
        <w:t>bcryptjs</w:t>
      </w:r>
      <w:r>
        <w:rPr/>
        <w:t xml:space="preserve"> en </w:t>
      </w:r>
      <w:r>
        <w:rPr>
          <w:rFonts w:eastAsia="Consolas" w:cs="Consolas" w:ascii="Consolas" w:hAnsi="Consolas"/>
          <w:color w:val="2F5496"/>
          <w:sz w:val="19"/>
          <w:szCs w:val="19"/>
        </w:rPr>
        <w:t>aplicacion/cuentas.js</w:t>
      </w:r>
      <w:r>
        <w:rPr/>
        <w:t xml:space="preserve"> y </w:t>
      </w:r>
      <w:r>
        <w:rPr>
          <w:rFonts w:eastAsia="Consolas" w:cs="Consolas" w:ascii="Consolas" w:hAnsi="Consolas"/>
          <w:color w:val="2F5496"/>
          <w:sz w:val="19"/>
          <w:szCs w:val="19"/>
        </w:rPr>
        <w:t>jsonwebtoken</w:t>
      </w:r>
      <w:r>
        <w:rPr/>
        <w:t xml:space="preserve"> en </w:t>
      </w:r>
      <w:r>
        <w:rPr>
          <w:rFonts w:eastAsia="Consolas" w:cs="Consolas" w:ascii="Consolas" w:hAnsi="Consolas"/>
          <w:color w:val="2F5496"/>
          <w:sz w:val="19"/>
          <w:szCs w:val="19"/>
        </w:rPr>
        <w:t>aplicacion/sesiones.js</w:t>
      </w:r>
      <w:r>
        <w:rPr/>
        <w:t>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3352800"/>
            <wp:effectExtent l="0" t="0" r="0" b="0"/>
            <wp:docPr id="2" name="Backend hexagonal: nucleo, 6 puertos y adaptadores (Archify)" descr="Backend hexagonal: nucleo, 6 puertos y adaptadores (Archify)&#10;Backend hexagonal: nucleo, 6 puertos y adaptadores (Archif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ackend hexagonal: nucleo, 6 puertos y adaptadores (Archify)" descr="Backend hexagonal: nucleo, 6 puertos y adaptadores (Archify)&#10;Backend hexagonal: nucleo, 6 puertos y adaptadores (Archify)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i/>
          <w:iCs/>
          <w:color w:val="404040"/>
          <w:sz w:val="18"/>
          <w:szCs w:val="18"/>
        </w:rPr>
        <w:t xml:space="preserve">Figura 2. </w:t>
      </w:r>
      <w:r>
        <w:rPr>
          <w:i/>
          <w:iCs/>
          <w:color w:val="404040"/>
          <w:sz w:val="18"/>
          <w:szCs w:val="18"/>
        </w:rPr>
        <w:t>Backend hexagonal: nucleo, 6 puertos y adaptadores (Archify)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4819650"/>
            <wp:effectExtent l="0" t="0" r="0" b="0"/>
            <wp:docPr id="3" name="1. Estilo arquitectonico" descr="1. Estilo arquitectonico&#10;1. Estilo arquitecto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 Estilo arquitectonico" descr="1. Estilo arquitectonico&#10;1. Estilo arquitectonico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i/>
          <w:iCs/>
          <w:color w:val="404040"/>
          <w:sz w:val="18"/>
          <w:szCs w:val="18"/>
        </w:rPr>
        <w:t xml:space="preserve">Figura 3. </w:t>
      </w:r>
      <w:r>
        <w:rPr>
          <w:i/>
          <w:iCs/>
          <w:color w:val="404040"/>
          <w:sz w:val="18"/>
          <w:szCs w:val="18"/>
        </w:rPr>
        <w:t>1. Estilo arquitectonico</w:t>
      </w:r>
    </w:p>
    <w:p>
      <w:pPr>
        <w:pStyle w:val="Heading1"/>
        <w:keepNext w:val="true"/>
        <w:rPr/>
      </w:pPr>
      <w:r>
        <w:rPr/>
        <w:t>2. Como la arquitectura responde a los drivers</w:t>
      </w:r>
    </w:p>
    <w:p>
      <w:pPr>
        <w:pStyle w:val="Normal"/>
        <w:spacing w:before="0" w:after="120"/>
        <w:rPr/>
      </w:pPr>
      <w:r>
        <w:rPr/>
        <w:t>Por cada driver: que se decidio (ADR), con que mecanismo del codigo se realiza y como se comprueba.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476"/>
        <w:gridCol w:w="1977"/>
        <w:gridCol w:w="3639"/>
        <w:gridCol w:w="2267"/>
      </w:tblGrid>
      <w:tr>
        <w:trPr>
          <w:tblHeader w:val="true"/>
        </w:trPr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Driver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Decision (ADR)</w:t>
            </w:r>
          </w:p>
        </w:tc>
        <w:tc>
          <w:tcPr>
            <w:tcW w:w="3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Mecanismo en el codigo</w:t>
            </w:r>
          </w:p>
        </w:tc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Como se comprueba</w:t>
            </w:r>
          </w:p>
        </w:tc>
      </w:tr>
      <w:tr>
        <w:trPr>
          <w:cantSplit w:val="true"/>
        </w:trPr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DRV-01 Tiempo por turno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ADR-002 (REST por turno), ADR-004 (motores en cadena, sin reintentos), ADR-014, ADR-016</w:t>
            </w:r>
          </w:p>
        </w:tc>
        <w:tc>
          <w:tcPr>
            <w:tcW w:w="3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aplicacion/traduccion.js</w:t>
            </w:r>
            <w:r>
              <w:rPr>
                <w:sz w:val="17"/>
                <w:szCs w:val="17"/>
              </w:rPr>
              <w:t>: al fallar un motor se pasa al siguiente y el circuito evita esperar el timeout en cada mensaje; Whisper y VoiceStudio corren locales, sin viaje a internet</w:t>
            </w:r>
          </w:p>
        </w:tc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medir</w:t>
            </w:r>
            <w:r>
              <w:rPr>
                <w:sz w:val="17"/>
                <w:szCs w:val="17"/>
              </w:rPr>
              <w:t xml:space="preserve"> y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medir:voz</w:t>
            </w:r>
            <w:r>
              <w:rPr>
                <w:sz w:val="17"/>
                <w:szCs w:val="17"/>
              </w:rPr>
              <w:t xml:space="preserve">; evento de log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traduccion</w:t>
            </w:r>
            <w:r>
              <w:rPr>
                <w:sz w:val="17"/>
                <w:szCs w:val="17"/>
              </w:rPr>
              <w:t xml:space="preserve"> con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duracion_ms</w:t>
            </w:r>
          </w:p>
        </w:tc>
      </w:tr>
      <w:tr>
        <w:trPr>
          <w:cantSplit w:val="true"/>
        </w:trPr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DRV-02 Calidad cultural y emocional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ADR-004 (prompt de equivalencia cultural), ADR-014 (entonacion), ADR-015 y ADR-016 (voz con emocion)</w:t>
            </w:r>
          </w:p>
        </w:tc>
        <w:tc>
          <w:tcPr>
            <w:tcW w:w="3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adaptadores/traduccion/prompt.js</w:t>
            </w:r>
            <w:r>
              <w:rPr>
                <w:sz w:val="17"/>
                <w:szCs w:val="17"/>
              </w:rPr>
              <w:t xml:space="preserve"> arma el prompt con tono, prosodia y region destino;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dominio/voz.js</w:t>
            </w:r>
            <w:r>
              <w:rPr>
                <w:sz w:val="17"/>
                <w:szCs w:val="17"/>
              </w:rPr>
              <w:t xml:space="preserve"> traduce el tono a estilo SSML, instruccion o vector de emocion</w:t>
            </w:r>
          </w:p>
        </w:tc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medir</w:t>
            </w:r>
            <w:r>
              <w:rPr>
                <w:sz w:val="17"/>
                <w:szCs w:val="17"/>
              </w:rPr>
              <w:t xml:space="preserve"> con glosario de prueba; audios de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medir:voz</w:t>
            </w:r>
            <w:r>
              <w:rPr>
                <w:sz w:val="17"/>
                <w:szCs w:val="17"/>
              </w:rPr>
              <w:t>; prueba de escucha</w:t>
            </w:r>
          </w:p>
        </w:tc>
      </w:tr>
      <w:tr>
        <w:trPr>
          <w:cantSplit w:val="true"/>
        </w:trPr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DRV-03 Privacidad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ADR-006 (JWT + refresco), ADR-010 (proteccion de datos)</w:t>
            </w:r>
          </w:p>
        </w:tc>
        <w:tc>
          <w:tcPr>
            <w:tcW w:w="3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adaptadores/cifrado/aesGcm.js</w:t>
            </w:r>
            <w:r>
              <w:rPr>
                <w:sz w:val="17"/>
                <w:szCs w:val="17"/>
              </w:rPr>
              <w:t xml:space="preserve"> (AES-256-GCM en reposo),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compartido/log.js</w:t>
            </w:r>
            <w:r>
              <w:rPr>
                <w:sz w:val="17"/>
                <w:szCs w:val="17"/>
              </w:rPr>
              <w:t xml:space="preserve"> (JSON sin datos personales), aislamiento por usuario, eliminar cuenta; los audios de voz solo viven en memoria 5 minutos</w:t>
            </w:r>
          </w:p>
        </w:tc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test/api.test.js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test/seguridad.test.js</w:t>
            </w:r>
          </w:p>
        </w:tc>
      </w:tr>
      <w:tr>
        <w:trPr>
          <w:cantSplit w:val="true"/>
        </w:trPr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DRV-04 Crecimiento de idiomas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ADR-008 (LenguajeRegion N:M), ADR-012 (catalogo en datos)</w:t>
            </w:r>
          </w:p>
        </w:tc>
        <w:tc>
          <w:tcPr>
            <w:tcW w:w="3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aplicacion/catalogo.js</w:t>
            </w:r>
            <w:r>
              <w:rPr>
                <w:sz w:val="17"/>
                <w:szCs w:val="17"/>
              </w:rPr>
              <w:t xml:space="preserve"> + puerto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Repositorio.catalogo</w:t>
            </w:r>
            <w:r>
              <w:rPr>
                <w:sz w:val="17"/>
                <w:szCs w:val="17"/>
              </w:rPr>
              <w:t>: alta y activacion de idiomas y regiones sin tocar codigo</w:t>
            </w:r>
          </w:p>
        </w:tc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Prueba del administrador</w:t>
            </w:r>
          </w:p>
        </w:tc>
      </w:tr>
      <w:tr>
        <w:trPr>
          <w:cantSplit w:val="true"/>
        </w:trPr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DRV-05 Continuidad ante fallas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ADR-004 (Circuit Breaker), ADR-015 (cadena de voz)</w:t>
            </w:r>
          </w:p>
        </w:tc>
        <w:tc>
          <w:tcPr>
            <w:tcW w:w="3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Circuito abierto 60 s por motor; motor de reglas y voz del celular como ultimo recurso</w:t>
            </w:r>
          </w:p>
        </w:tc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test/motores.test.js</w:t>
            </w:r>
          </w:p>
        </w:tc>
      </w:tr>
      <w:tr>
        <w:trPr>
          <w:cantSplit w:val="true"/>
        </w:trPr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DRV-06 Costo y abuso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ADR-004, ADR-010, ADR-016</w:t>
            </w:r>
          </w:p>
        </w:tc>
        <w:tc>
          <w:tcPr>
            <w:tcW w:w="3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Qwen, Whisper y VoiceStudio locales sin costo por mensaje;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adaptadores/http/limites.js</w:t>
            </w:r>
            <w:r>
              <w:rPr>
                <w:sz w:val="17"/>
                <w:szCs w:val="17"/>
              </w:rPr>
              <w:t>: 30 mensajes por minuto, limites de registro, recuperacion y voz</w:t>
            </w:r>
          </w:p>
        </w:tc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Pruebas de seguridad</w:t>
            </w:r>
          </w:p>
        </w:tc>
      </w:tr>
      <w:tr>
        <w:trPr>
          <w:cantSplit w:val="true"/>
        </w:trPr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DRV-07 Multiplataforma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ADR-001 (Expo), ADR-007 (template Luna)</w:t>
            </w:r>
          </w:p>
        </w:tc>
        <w:tc>
          <w:tcPr>
            <w:tcW w:w="3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Una base de codigo en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frontend/</w:t>
            </w:r>
            <w:r>
              <w:rPr>
                <w:sz w:val="17"/>
                <w:szCs w:val="17"/>
              </w:rPr>
              <w:t xml:space="preserve">; grabacion con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expo-audio</w:t>
            </w:r>
            <w:r>
              <w:rPr>
                <w:sz w:val="17"/>
                <w:szCs w:val="17"/>
              </w:rPr>
              <w:t>, que funciona en Expo Go</w:t>
            </w:r>
          </w:p>
        </w:tc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Compilacion web y Expo Go</w:t>
            </w:r>
          </w:p>
        </w:tc>
      </w:tr>
      <w:tr>
        <w:trPr>
          <w:cantSplit w:val="true"/>
        </w:trPr>
        <w:tc>
          <w:tcPr>
            <w:tcW w:w="147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DRV-08 Facilidad de prueba</w:t>
            </w:r>
          </w:p>
        </w:tc>
        <w:tc>
          <w:tcPr>
            <w:tcW w:w="197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ADR-002, ADR-012, ADR-013</w:t>
            </w:r>
          </w:p>
        </w:tc>
        <w:tc>
          <w:tcPr>
            <w:tcW w:w="363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Adaptador SQLite sin servidor ni claves; casos de uso probados con adaptadores falsos; dependency-cruiser verifica las capas</w:t>
            </w:r>
          </w:p>
        </w:tc>
        <w:tc>
          <w:tcPr>
            <w:tcW w:w="22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coverage</w:t>
            </w:r>
            <w:r>
              <w:rPr>
                <w:sz w:val="17"/>
                <w:szCs w:val="17"/>
              </w:rPr>
              <w:t xml:space="preserve"> (cercana al 96 %),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npm run arch:check</w:t>
            </w:r>
            <w:r>
              <w:rPr>
                <w:sz w:val="17"/>
                <w:szCs w:val="17"/>
              </w:rPr>
              <w:t>, CI contra SQLite y SurrealDB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3. Vista de contexto (C4 Nivel 1)</w:t>
      </w:r>
    </w:p>
    <w:p>
      <w:pPr>
        <w:pStyle w:val="Normal"/>
        <w:spacing w:before="0" w:after="120"/>
        <w:rPr/>
      </w:pPr>
      <w:r>
        <w:rPr/>
        <w:t xml:space="preserve">Quien usa TalkLate (Cliente Traductor, Interlocutor, Administrador) y con que sistemas externos habla: Ollama + Qwen, Claude, Whisper, VoiceStudio (con Azure Speech u OpenAI de respaldo) y la voz del dispositivo. Diagrama completo en </w:t>
      </w:r>
      <w:r>
        <w:rPr>
          <w:i/>
          <w:iCs/>
        </w:rPr>
        <w:t>documento 9 (Diagramas C4)</w:t>
      </w:r>
      <w:r>
        <w:rPr/>
        <w:t>.</w:t>
      </w:r>
    </w:p>
    <w:p>
      <w:pPr>
        <w:pStyle w:val="Heading1"/>
        <w:keepNext w:val="true"/>
        <w:rPr/>
      </w:pPr>
      <w:r>
        <w:rPr/>
        <w:t>4. Vista de contenedores (C4 Nivel 2)</w:t>
      </w:r>
    </w:p>
    <w:p>
      <w:pPr>
        <w:pStyle w:val="Normal"/>
        <w:spacing w:before="0" w:after="120"/>
        <w:rPr/>
      </w:pPr>
      <w:r>
        <w:rPr/>
        <w:t xml:space="preserve">Tres contenedores propios (App, API, Base de datos) y los servicios de IA locales. Diagrama completo en </w:t>
      </w:r>
      <w:r>
        <w:rPr>
          <w:i/>
          <w:iCs/>
        </w:rPr>
        <w:t>documento 9 (Diagramas C4)</w:t>
      </w:r>
      <w:r>
        <w:rPr/>
        <w:t>. Justificacion por contenedor: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12"/>
        <w:gridCol w:w="5423"/>
        <w:gridCol w:w="1525"/>
      </w:tblGrid>
      <w:tr>
        <w:trPr>
          <w:tblHeader w:val="true"/>
        </w:trPr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Contenedor</w:t>
            </w:r>
          </w:p>
        </w:tc>
        <w:tc>
          <w:tcPr>
            <w:tcW w:w="5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ADR</w:t>
            </w:r>
          </w:p>
        </w:tc>
      </w:tr>
      <w:tr>
        <w:trPr>
          <w:cantSplit w:val="true"/>
        </w:trPr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App movil (Expo)</w:t>
            </w:r>
          </w:p>
        </w:tc>
        <w:tc>
          <w:tcPr>
            <w:tcW w:w="5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Una base de codigo multiplataforma, reusa el template Luna; graba la voz con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expo-audio</w:t>
            </w:r>
          </w:p>
        </w:tc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ADR-001, ADR-007, ADR-014</w:t>
            </w:r>
          </w:p>
        </w:tc>
      </w:tr>
      <w:tr>
        <w:trPr>
          <w:cantSplit w:val="true"/>
        </w:trPr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API TalkLate (Node + Express)</w:t>
            </w:r>
          </w:p>
        </w:tc>
        <w:tc>
          <w:tcPr>
            <w:tcW w:w="5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Monolito modular hexagonal, REST sincrona por turno</w:t>
            </w:r>
          </w:p>
        </w:tc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ADR-002, ADR-011, ADR-013</w:t>
            </w:r>
          </w:p>
        </w:tc>
      </w:tr>
      <w:tr>
        <w:trPr>
          <w:cantSplit w:val="true"/>
        </w:trPr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Base de datos (SurrealDB)</w:t>
            </w:r>
          </w:p>
        </w:tc>
        <w:tc>
          <w:tcPr>
            <w:tcW w:w="5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Fuente de verdad detras de un repositorio; enlaces nativos, ASSERT y UNIQUE</w:t>
            </w:r>
          </w:p>
        </w:tc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ADR-012</w:t>
            </w:r>
          </w:p>
        </w:tc>
      </w:tr>
      <w:tr>
        <w:trPr>
          <w:cantSplit w:val="true"/>
        </w:trPr>
        <w:tc>
          <w:tcPr>
            <w:tcW w:w="24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Servicios de IA locales (Ollama, Whisper, VoiceStudio)</w:t>
            </w:r>
          </w:p>
        </w:tc>
        <w:tc>
          <w:tcPr>
            <w:tcW w:w="542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Corren en el servidor de TalkLate, sin costo por mensaje ni datos a terceros</w:t>
            </w:r>
          </w:p>
        </w:tc>
        <w:tc>
          <w:tcPr>
            <w:tcW w:w="15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ADR-004, ADR-014, ADR-016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5. Vista de componentes (C4 Nivel 3)</w:t>
      </w:r>
    </w:p>
    <w:p>
      <w:pPr>
        <w:pStyle w:val="Heading2"/>
        <w:keepNext w:val="true"/>
        <w:rPr/>
      </w:pPr>
      <w:r>
        <w:rPr/>
        <w:t>5.1 API TalkLate</w:t>
      </w:r>
    </w:p>
    <w:p>
      <w:pPr>
        <w:pStyle w:val="Normal"/>
        <w:spacing w:before="0" w:after="120"/>
        <w:rPr/>
      </w:pPr>
      <w:r>
        <w:rPr/>
        <w:t xml:space="preserve">Detalle completo (componentes, bounded contexts y trazabilidad requisito -&gt; componente) en </w:t>
      </w:r>
      <w:r>
        <w:rPr>
          <w:i/>
          <w:iCs/>
        </w:rPr>
        <w:t>documento 10 (Componentes de la API)</w:t>
      </w:r>
      <w:r>
        <w:rPr/>
        <w:t>. En resumen, en capas hexagonales: Adaptador HTTP (rutas, sesion, limites) -&gt; Casos de uso (cuentas, sesiones, conversaciones, traduccion, voz, catalogo, reportes) -&gt; Dominio (reglas, prosodia, voz) y Puertos &lt;- Adaptadores de salida (motores Qwen, Claude y reglas; transcriptor Whisper; sintetizadores VoiceStudio, Azure y OpenAI; repositorios SurrealDB y SQLite; notificador; cifrador), conectados por la Composicion.</w:t>
      </w:r>
    </w:p>
    <w:p>
      <w:pPr>
        <w:pStyle w:val="Heading2"/>
        <w:keepNext w:val="true"/>
        <w:rPr/>
      </w:pPr>
      <w:r>
        <w:rPr/>
        <w:t>5.2 App movil</w:t>
      </w:r>
    </w:p>
    <w:p>
      <w:pPr>
        <w:pStyle w:val="Normal"/>
        <w:spacing w:before="0" w:after="120"/>
        <w:rPr/>
      </w:pPr>
      <w:r>
        <w:rPr/>
        <w:t>El contenedor App reusa el sistema de componentes del template Luna (ADR-007) y agrega las vistas y la logica de TalkLate. Es un cliente delgado: toda la logica de negocio esta en la API.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2581275"/>
            <wp:effectExtent l="0" t="0" r="0" b="0"/>
            <wp:docPr id="4" name="5.2 App movil" descr="5.2 App movil&#10;5.2 App mov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5.2 App movil" descr="5.2 App movil&#10;5.2 App movil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i/>
          <w:iCs/>
          <w:color w:val="404040"/>
          <w:sz w:val="18"/>
          <w:szCs w:val="18"/>
        </w:rPr>
        <w:t xml:space="preserve">Figura 4. </w:t>
      </w:r>
      <w:r>
        <w:rPr>
          <w:i/>
          <w:iCs/>
          <w:color w:val="404040"/>
          <w:sz w:val="18"/>
          <w:szCs w:val="18"/>
        </w:rPr>
        <w:t>5.2 App movil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1842"/>
        <w:gridCol w:w="4771"/>
        <w:gridCol w:w="1921"/>
        <w:gridCol w:w="825"/>
      </w:tblGrid>
      <w:tr>
        <w:trPr>
          <w:tblHeader w:val="true"/>
        </w:trPr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Componente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Responsabilidad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Archivo(s)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7"/>
                <w:szCs w:val="17"/>
              </w:rPr>
              <w:t>ADR</w:t>
            </w:r>
          </w:p>
        </w:tc>
      </w:tr>
      <w:tr>
        <w:trPr>
          <w:cantSplit w:val="true"/>
        </w:trPr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Navegacion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Rutas y layout (drawer, pantallas)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app/_layout.tsx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app/(drawer)/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app/[...404].tsx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ADR-001</w:t>
            </w:r>
          </w:p>
        </w:tc>
      </w:tr>
      <w:tr>
        <w:trPr>
          <w:cantSplit w:val="true"/>
        </w:trPr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Pantallas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Una vista por etapa del journey (ver </w:t>
            </w:r>
            <w:r>
              <w:rPr>
                <w:i/>
                <w:iCs/>
                <w:sz w:val="17"/>
                <w:szCs w:val="17"/>
              </w:rPr>
              <w:t>documento 13 (Especificacion de vistas y UI)</w:t>
            </w:r>
            <w:r>
              <w:rPr>
                <w:sz w:val="17"/>
                <w:szCs w:val="17"/>
              </w:rPr>
              <w:t>)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app/screens/*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ADR-007</w:t>
            </w:r>
          </w:p>
        </w:tc>
      </w:tr>
      <w:tr>
        <w:trPr>
          <w:cantSplit w:val="true"/>
        </w:trPr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AuthContext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Sesion en memoria + persistencia en AsyncStorage; renueva usuario al abrir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app/contexts/AuthContext.tsx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ADR-006</w:t>
            </w:r>
          </w:p>
        </w:tc>
      </w:tr>
      <w:tr>
        <w:trPr>
          <w:cantSplit w:val="true"/>
        </w:trPr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ConversacionesContext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Historial del usuario para el menu lateral y la pantalla de historial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app/contexts/ConversacionesContext.tsx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ADR-007</w:t>
            </w:r>
          </w:p>
        </w:tc>
      </w:tr>
      <w:tr>
        <w:trPr>
          <w:cantSplit w:val="true"/>
        </w:trPr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ChatView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Pantalla del traductor con dos modos: burbuja de voz (por defecto) y chat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components/talklate/ChatView.tsx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ADR-007, ADR-014</w:t>
            </w:r>
          </w:p>
        </w:tc>
      </w:tr>
      <w:tr>
        <w:trPr>
          <w:cantSplit w:val="true"/>
        </w:trPr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BurbujaVoz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Burbuja animada que representa la IA: escucha (ondas), traduce (gira) y habla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components/talklate/BurbujaVoz.tsx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ADR-014</w:t>
            </w:r>
          </w:p>
        </w:tc>
      </w:tr>
      <w:tr>
        <w:trPr>
          <w:cantSplit w:val="true"/>
        </w:trPr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TranslatorInput + MessageBubble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Modo chat: escribir o grabar, mostrar y reproducir la traduccion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components/talklate/*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ADR-007</w:t>
            </w:r>
          </w:p>
        </w:tc>
      </w:tr>
      <w:tr>
        <w:trPr>
          <w:cantSplit w:val="true"/>
        </w:trPr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Grabacion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Graba con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expo-audio</w:t>
            </w:r>
            <w:r>
              <w:rPr>
                <w:sz w:val="17"/>
                <w:szCs w:val="17"/>
              </w:rPr>
              <w:t>, mide el volumen cada 100 ms y detecta el fin de la frase (1.5 s de silencio)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lib/grabacion.ts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ADR-014</w:t>
            </w:r>
          </w:p>
        </w:tc>
      </w:tr>
      <w:tr>
        <w:trPr>
          <w:cantSplit w:val="true"/>
        </w:trPr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Cliente API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 xml:space="preserve">REST a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/api/v1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b/>
                <w:bCs/>
                <w:sz w:val="17"/>
                <w:szCs w:val="17"/>
              </w:rPr>
              <w:t>refresco automatico del token</w:t>
            </w:r>
            <w:r>
              <w:rPr>
                <w:sz w:val="17"/>
                <w:szCs w:val="17"/>
              </w:rPr>
              <w:t xml:space="preserve"> (401 -&gt; renueva una vez con guardia single-flight -&gt; repite)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lib/api.ts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ADR-006, ADR-011</w:t>
            </w:r>
          </w:p>
        </w:tc>
      </w:tr>
      <w:tr>
        <w:trPr>
          <w:cantSplit w:val="true"/>
        </w:trPr>
        <w:tc>
          <w:tcPr>
            <w:tcW w:w="184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Voz</w:t>
            </w:r>
          </w:p>
        </w:tc>
        <w:tc>
          <w:tcPr>
            <w:tcW w:w="477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Pide la voz natural con emocion a la API (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POST /voz</w:t>
            </w:r>
            <w:r>
              <w:rPr>
                <w:sz w:val="17"/>
                <w:szCs w:val="17"/>
              </w:rPr>
              <w:t xml:space="preserve">) y la reproduce; si no hay motor, usa </w:t>
            </w: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expo-speech</w:t>
            </w:r>
            <w:r>
              <w:rPr>
                <w:sz w:val="17"/>
                <w:szCs w:val="17"/>
              </w:rPr>
              <w:t xml:space="preserve"> con tono y velocidad ajustados</w:t>
            </w:r>
          </w:p>
        </w:tc>
        <w:tc>
          <w:tcPr>
            <w:tcW w:w="192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rFonts w:eastAsia="Consolas" w:cs="Consolas" w:ascii="Consolas" w:hAnsi="Consolas"/>
                <w:color w:val="2F5496"/>
                <w:sz w:val="15"/>
                <w:szCs w:val="15"/>
              </w:rPr>
              <w:t>lib/voz.ts</w:t>
            </w:r>
          </w:p>
        </w:tc>
        <w:tc>
          <w:tcPr>
            <w:tcW w:w="82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7"/>
                <w:szCs w:val="17"/>
              </w:rPr>
              <w:t>ADR-015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pBdr>
          <w:left w:val="single" w:sz="18" w:space="8" w:color="8EAADB"/>
        </w:pBdr>
        <w:spacing w:before="0" w:after="120"/>
        <w:ind w:left="360"/>
        <w:rPr/>
      </w:pPr>
      <w:r>
        <w:rPr>
          <w:i/>
          <w:iCs/>
          <w:color w:val="404040"/>
        </w:rPr>
        <w:t>Justificacion: la App es delgada a proposito (ADR-002: la logica vive en la API). La app solo graba y reproduce; transcribir, estimar la entonacion, traducir y sintetizar la voz ocurre en el servidor (ADR-014, ADR-015). La region de origen se reconoce por el vocabulario.</w:t>
      </w:r>
    </w:p>
    <w:p>
      <w:pPr>
        <w:pStyle w:val="Heading1"/>
        <w:keepNext w:val="true"/>
        <w:rPr/>
      </w:pPr>
      <w:r>
        <w:rPr/>
        <w:t>6. Vista de datos</w:t>
      </w:r>
    </w:p>
    <w:p>
      <w:pPr>
        <w:pStyle w:val="Normal"/>
        <w:spacing w:before="0" w:after="120"/>
        <w:rPr/>
      </w:pPr>
      <w:r>
        <w:rPr/>
        <w:t xml:space="preserve">Modelo de dominio (10 objetos + relacion N:M </w:t>
      </w:r>
      <w:r>
        <w:rPr>
          <w:rFonts w:eastAsia="Consolas" w:cs="Consolas" w:ascii="Consolas" w:hAnsi="Consolas"/>
          <w:color w:val="2F5496"/>
          <w:sz w:val="19"/>
          <w:szCs w:val="19"/>
        </w:rPr>
        <w:t>LenguajeRegion</w:t>
      </w:r>
      <w:r>
        <w:rPr/>
        <w:t xml:space="preserve"> + tablas de soporte) y su correspondencia con la base, en </w:t>
      </w:r>
      <w:r>
        <w:rPr>
          <w:i/>
          <w:iCs/>
        </w:rPr>
        <w:t>documento 12 (Modelo de datos)</w:t>
      </w:r>
      <w:r>
        <w:rPr/>
        <w:t>. Justificacion: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8547"/>
        <w:gridCol w:w="812"/>
      </w:tblGrid>
      <w:tr>
        <w:trPr>
          <w:tblHeader w:val="true"/>
        </w:trPr>
        <w:tc>
          <w:tcPr>
            <w:tcW w:w="8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ADR</w:t>
            </w:r>
          </w:p>
        </w:tc>
      </w:tr>
      <w:tr>
        <w:trPr>
          <w:cantSplit w:val="true"/>
        </w:trPr>
        <w:tc>
          <w:tcPr>
            <w:tcW w:w="8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SurrealDB como fuente de verdad, esquema SCHEMAFULL con ASSERT y UNIQUE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ADR-012</w:t>
            </w:r>
          </w:p>
        </w:tc>
      </w:tr>
      <w:tr>
        <w:trPr>
          <w:cantSplit w:val="true"/>
        </w:trPr>
        <w:tc>
          <w:tcPr>
            <w:tcW w:w="8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Identificadores del dominio en espanol (lenguaje ubicuo); esquema de la base en ingles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ADR-009</w:t>
            </w:r>
          </w:p>
        </w:tc>
      </w:tr>
      <w:tr>
        <w:trPr>
          <w:cantSplit w:val="true"/>
        </w:trPr>
        <w:tc>
          <w:tcPr>
            <w:tcW w:w="8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LenguajeRegion N:M y tablas de soporte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reporte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token_refresco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sesion_revocada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recuperacion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ADR-008</w:t>
            </w:r>
          </w:p>
        </w:tc>
      </w:tr>
      <w:tr>
        <w:trPr>
          <w:cantSplit w:val="true"/>
        </w:trPr>
        <w:tc>
          <w:tcPr>
            <w:tcW w:w="854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Contenido de mensajes cifrado en reposo (AES-256-GCM)</w:t>
            </w:r>
          </w:p>
        </w:tc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7. Vista dinamica: traducir un mensaje</w:t>
      </w:r>
    </w:p>
    <w:p>
      <w:pPr>
        <w:pStyle w:val="Normal"/>
        <w:spacing w:before="0" w:after="120"/>
        <w:rPr/>
      </w:pPr>
      <w:r>
        <w:rPr/>
        <w:t>El flujo central (HU0003). Muestra el Circuit Breaker (ADR-004), el cifrado al persistir (ADR-010) y la entrega por el mismo canal (REQ-TRAD-005).</w:t>
      </w:r>
    </w:p>
    <w:p>
      <w:pPr>
        <w:pStyle w:val="Normal"/>
        <w:pBdr>
          <w:left w:val="single" w:sz="18" w:space="8" w:color="8EAADB"/>
        </w:pBdr>
        <w:spacing w:before="0" w:after="120"/>
        <w:ind w:left="360"/>
        <w:rPr/>
      </w:pPr>
      <w:r>
        <w:rPr>
          <w:i/>
          <w:iCs/>
          <w:color w:val="404040"/>
        </w:rPr>
        <w:t xml:space="preserve">Fuente editable: </w:t>
      </w:r>
      <w:r>
        <w:rPr>
          <w:rFonts w:eastAsia="Consolas" w:cs="Consolas" w:ascii="Consolas" w:hAnsi="Consolas"/>
          <w:color w:val="2F5496"/>
          <w:sz w:val="19"/>
          <w:szCs w:val="19"/>
        </w:rPr>
        <w:t>diagramas/secuencia_traduccion.drawio</w:t>
      </w:r>
      <w:r>
        <w:rPr>
          <w:i/>
          <w:iCs/>
          <w:color w:val="404040"/>
        </w:rPr>
        <w:t>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2562225"/>
            <wp:effectExtent l="0" t="0" r="0" b="0"/>
            <wp:docPr id="5" name="7. Vista dinamica: traducir un mensaje" descr="7. Vista dinamica: traducir un mensaje&#10;7. Vista dinamica: traducir un mensaj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7. Vista dinamica: traducir un mensaje" descr="7. Vista dinamica: traducir un mensaje&#10;7. Vista dinamica: traducir un mensaje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i/>
          <w:iCs/>
          <w:color w:val="404040"/>
          <w:sz w:val="18"/>
          <w:szCs w:val="18"/>
        </w:rPr>
        <w:t xml:space="preserve">Figura 5. </w:t>
      </w:r>
      <w:r>
        <w:rPr>
          <w:i/>
          <w:iCs/>
          <w:color w:val="404040"/>
          <w:sz w:val="18"/>
          <w:szCs w:val="18"/>
        </w:rPr>
        <w:t>7. Vista dinamica: traducir un mensaje</w:t>
      </w:r>
    </w:p>
    <w:p>
      <w:pPr>
        <w:pStyle w:val="Heading2"/>
        <w:keepNext w:val="true"/>
        <w:rPr/>
      </w:pPr>
      <w:r>
        <w:rPr/>
        <w:t>7.1 Mensaje hablado (burbuja de voz)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3086100"/>
            <wp:effectExtent l="0" t="0" r="0" b="0"/>
            <wp:docPr id="6" name="7.1 Mensaje hablado (burbuja de voz)" descr="7.1 Mensaje hablado (burbuja de voz)&#10;7.1 Mensaje hablado (burbuja de voz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7.1 Mensaje hablado (burbuja de voz)" descr="7.1 Mensaje hablado (burbuja de voz)&#10;7.1 Mensaje hablado (burbuja de voz)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i/>
          <w:iCs/>
          <w:color w:val="404040"/>
          <w:sz w:val="18"/>
          <w:szCs w:val="18"/>
        </w:rPr>
        <w:t xml:space="preserve">Figura 6. </w:t>
      </w:r>
      <w:r>
        <w:rPr>
          <w:i/>
          <w:iCs/>
          <w:color w:val="404040"/>
          <w:sz w:val="18"/>
          <w:szCs w:val="18"/>
        </w:rPr>
        <w:t>7.1 Mensaje hablado (burbuja de voz)</w:t>
      </w:r>
    </w:p>
    <w:p>
      <w:pPr>
        <w:pStyle w:val="Normal"/>
        <w:pBdr>
          <w:left w:val="single" w:sz="18" w:space="8" w:color="8EAADB"/>
        </w:pBdr>
        <w:spacing w:before="0" w:after="120"/>
        <w:ind w:left="360"/>
        <w:rPr/>
      </w:pPr>
      <w:r>
        <w:rPr>
          <w:i/>
          <w:iCs/>
          <w:color w:val="404040"/>
        </w:rPr>
        <w:t xml:space="preserve">El token de acceso dura 15 minutos. Si vence a mitad del flujo, </w:t>
      </w:r>
      <w:r>
        <w:rPr>
          <w:rFonts w:eastAsia="Consolas" w:cs="Consolas" w:ascii="Consolas" w:hAnsi="Consolas"/>
          <w:color w:val="2F5496"/>
          <w:sz w:val="19"/>
          <w:szCs w:val="19"/>
        </w:rPr>
        <w:t>lib/api.ts</w:t>
      </w:r>
      <w:r>
        <w:rPr>
          <w:i/>
          <w:iCs/>
          <w:color w:val="404040"/>
        </w:rPr>
        <w:t xml:space="preserve"> responde al 401 renovando el token con el de refresco (una sola vez, con guardia) y repite la peticion sin que el usuario lo note (ADR-006).</w:t>
      </w:r>
    </w:p>
    <w:p>
      <w:pPr>
        <w:pStyle w:val="Heading1"/>
        <w:keepNext w:val="true"/>
        <w:rPr/>
      </w:pPr>
      <w:r>
        <w:rPr/>
        <w:t>8. Vista de despliegue</w:t>
      </w:r>
    </w:p>
    <w:p>
      <w:pPr>
        <w:pStyle w:val="Normal"/>
        <w:spacing w:before="0" w:after="120"/>
        <w:rPr/>
      </w:pPr>
      <w:r>
        <w:rPr/>
        <w:t xml:space="preserve">Donde corre cada pieza. Los motores de IA principales (Qwen, Whisper y VoiceStudio) viven en el </w:t>
      </w:r>
      <w:r>
        <w:rPr>
          <w:b/>
          <w:bCs/>
        </w:rPr>
        <w:t>servidor</w:t>
      </w:r>
      <w:r>
        <w:rPr/>
        <w:t xml:space="preserve"> de TalkLate (ADR-004, ADR-014, ADR-016); SurrealDB es una instancia </w:t>
      </w:r>
      <w:r>
        <w:rPr>
          <w:b/>
          <w:bCs/>
        </w:rPr>
        <w:t>remota</w:t>
      </w:r>
      <w:r>
        <w:rPr/>
        <w:t xml:space="preserve"> gestionada (ADR-012). Equipo de referencia para la demostracion: Mac con chip M5 y 32 GB de RAM (aceleracion Metal/MLX); la guia de montaje es </w:t>
      </w:r>
      <w:r>
        <w:rPr>
          <w:rFonts w:eastAsia="Consolas" w:cs="Consolas" w:ascii="Consolas" w:hAnsi="Consolas"/>
          <w:color w:val="2F5496"/>
          <w:sz w:val="19"/>
          <w:szCs w:val="19"/>
        </w:rPr>
        <w:t>backend/VOICESTUDIO_MAC.md</w:t>
      </w:r>
      <w:r>
        <w:rPr/>
        <w:t>.</w:t>
      </w:r>
    </w:p>
    <w:p>
      <w:pPr>
        <w:pStyle w:val="Normal"/>
        <w:pBdr>
          <w:left w:val="single" w:sz="18" w:space="8" w:color="8EAADB"/>
        </w:pBdr>
        <w:spacing w:before="0" w:after="120"/>
        <w:ind w:left="360"/>
        <w:rPr/>
      </w:pPr>
      <w:r>
        <w:rPr>
          <w:i/>
          <w:iCs/>
          <w:color w:val="404040"/>
        </w:rPr>
        <w:t xml:space="preserve">Fuente editable: </w:t>
      </w:r>
      <w:r>
        <w:rPr>
          <w:rFonts w:eastAsia="Consolas" w:cs="Consolas" w:ascii="Consolas" w:hAnsi="Consolas"/>
          <w:color w:val="2F5496"/>
          <w:sz w:val="19"/>
          <w:szCs w:val="19"/>
        </w:rPr>
        <w:t>diagramas/despliegue.drawio</w:t>
      </w:r>
      <w:r>
        <w:rPr>
          <w:i/>
          <w:iCs/>
          <w:color w:val="404040"/>
        </w:rPr>
        <w:t xml:space="preserve">. Vista interactiva: </w:t>
      </w:r>
      <w:r>
        <w:rPr>
          <w:rFonts w:eastAsia="Consolas" w:cs="Consolas" w:ascii="Consolas" w:hAnsi="Consolas"/>
          <w:color w:val="2F5496"/>
          <w:sz w:val="19"/>
          <w:szCs w:val="19"/>
        </w:rPr>
        <w:t>diagramas/arquitectura_talklate.html</w:t>
      </w:r>
      <w:r>
        <w:rPr>
          <w:i/>
          <w:iCs/>
          <w:color w:val="404040"/>
        </w:rPr>
        <w:t>.</w:t>
      </w:r>
    </w:p>
    <w:p>
      <w:pPr>
        <w:pStyle w:val="Normal"/>
        <w:keepNext w:val="true"/>
        <w:spacing w:before="120" w:after="60"/>
        <w:jc w:val="center"/>
        <w:rPr/>
      </w:pPr>
      <w:r>
        <w:rPr/>
        <w:drawing>
          <wp:inline distT="0" distB="0" distL="0" distR="0">
            <wp:extent cx="5943600" cy="3962400"/>
            <wp:effectExtent l="0" t="0" r="0" b="0"/>
            <wp:docPr id="7" name="8. Vista de despliegue" descr="8. Vista de despliegue&#10;8. Vista de desplie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8. Vista de despliegue" descr="8. Vista de despliegue&#10;8. Vista de despliegue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center"/>
        <w:rPr/>
      </w:pPr>
      <w:r>
        <w:rPr>
          <w:b/>
          <w:bCs/>
          <w:i/>
          <w:iCs/>
          <w:color w:val="404040"/>
          <w:sz w:val="18"/>
          <w:szCs w:val="18"/>
        </w:rPr>
        <w:t xml:space="preserve">Figura 7. </w:t>
      </w:r>
      <w:r>
        <w:rPr>
          <w:i/>
          <w:iCs/>
          <w:color w:val="404040"/>
          <w:sz w:val="18"/>
          <w:szCs w:val="18"/>
        </w:rPr>
        <w:t>8. Vista de despliegue</w:t>
      </w:r>
    </w:p>
    <w:p>
      <w:pPr>
        <w:pStyle w:val="Heading1"/>
        <w:keepNext w:val="true"/>
        <w:rPr/>
      </w:pPr>
      <w:r>
        <w:rPr/>
        <w:t>9. Patrones aplicados</w:t>
      </w:r>
    </w:p>
    <w:p>
      <w:pPr>
        <w:pStyle w:val="Normal"/>
        <w:spacing w:before="0" w:after="120"/>
        <w:rPr/>
      </w:pPr>
      <w:r>
        <w:rPr/>
        <w:t>Patrones del catalogo de la convencion del proyecto: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406"/>
        <w:gridCol w:w="6053"/>
        <w:gridCol w:w="901"/>
      </w:tblGrid>
      <w:tr>
        <w:trPr>
          <w:tblHeader w:val="true"/>
        </w:trPr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Patron</w:t>
            </w:r>
          </w:p>
        </w:tc>
        <w:tc>
          <w:tcPr>
            <w:tcW w:w="60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Donde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ADR</w:t>
            </w:r>
          </w:p>
        </w:tc>
      </w:tr>
      <w:tr>
        <w:trPr>
          <w:cantSplit w:val="true"/>
        </w:trPr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Request-Reply</w:t>
            </w:r>
          </w:p>
        </w:tc>
        <w:tc>
          <w:tcPr>
            <w:tcW w:w="60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API REST sincrona por turno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ADR-002, ADR-011</w:t>
            </w:r>
          </w:p>
        </w:tc>
      </w:tr>
      <w:tr>
        <w:trPr>
          <w:cantSplit w:val="true"/>
        </w:trPr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Circuit Breaker (con degradacion aceptable)</w:t>
            </w:r>
          </w:p>
        </w:tc>
        <w:tc>
          <w:tcPr>
            <w:tcW w:w="60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Caso de uso de traduccion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aplicacion/traduccion.js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ADR-004</w:t>
            </w:r>
          </w:p>
        </w:tc>
      </w:tr>
      <w:tr>
        <w:trPr>
          <w:cantSplit w:val="true"/>
        </w:trPr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Cadena de respaldo (fallback)</w:t>
            </w:r>
          </w:p>
        </w:tc>
        <w:tc>
          <w:tcPr>
            <w:tcW w:w="60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Caso de uso de voz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aplicacion/voz.js</w:t>
            </w:r>
            <w:r>
              <w:rPr>
                <w:sz w:val="19"/>
                <w:szCs w:val="19"/>
              </w:rPr>
              <w:t>): VoiceStudio -&gt; Azure -&gt; OpenAI -&gt; voz del celular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ADR-015</w:t>
            </w:r>
          </w:p>
        </w:tc>
      </w:tr>
      <w:tr>
        <w:trPr>
          <w:cantSplit w:val="true"/>
        </w:trPr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Token-Based Authentication</w:t>
            </w:r>
          </w:p>
        </w:tc>
        <w:tc>
          <w:tcPr>
            <w:tcW w:w="60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Sesion JWT + refresco rotativo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ADR-006</w:t>
            </w:r>
          </w:p>
        </w:tc>
      </w:tr>
      <w:tr>
        <w:trPr>
          <w:cantSplit w:val="true"/>
        </w:trPr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Repository</w:t>
            </w:r>
          </w:p>
        </w:tc>
        <w:tc>
          <w:tcPr>
            <w:tcW w:w="60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Puerto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Repositorio</w:t>
            </w:r>
            <w:r>
              <w:rPr>
                <w:sz w:val="19"/>
                <w:szCs w:val="19"/>
              </w:rPr>
              <w:t xml:space="preserve"> con dos adaptadores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adaptadores/persistencia/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ADR-012</w:t>
            </w:r>
          </w:p>
        </w:tc>
      </w:tr>
      <w:tr>
        <w:trPr>
          <w:cantSplit w:val="true"/>
        </w:trPr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Puertos y adaptadores (hexagonal)</w:t>
            </w:r>
          </w:p>
        </w:tc>
        <w:tc>
          <w:tcPr>
            <w:tcW w:w="60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Toda la API: dominio, casos de uso, puertos, adaptadores y composicion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ADR-013</w:t>
            </w:r>
          </w:p>
        </w:tc>
      </w:tr>
      <w:tr>
        <w:trPr>
          <w:cantSplit w:val="true"/>
        </w:trPr>
        <w:tc>
          <w:tcPr>
            <w:tcW w:w="240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Structured Logging</w:t>
            </w:r>
          </w:p>
        </w:tc>
        <w:tc>
          <w:tcPr>
            <w:tcW w:w="605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Logs JSON sin PII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compartido/log.js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901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ADR-010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0" w:after="120"/>
        <w:rPr/>
      </w:pPr>
      <w:r>
        <w:rPr/>
        <w:t xml:space="preserve">Patrones del catalogo que </w:t>
      </w:r>
      <w:r>
        <w:rPr>
          <w:b/>
          <w:bCs/>
        </w:rPr>
        <w:t>no</w:t>
      </w:r>
      <w:r>
        <w:rPr/>
        <w:t xml:space="preserve"> se usan y por que (microservicios, API Gateway, BFF, CQRS, Event Sourcing, Strangler Fig): ver la nota en </w:t>
      </w:r>
      <w:r>
        <w:rPr>
          <w:i/>
          <w:iCs/>
        </w:rPr>
        <w:t>documento 11 (Decisiones de arquitectura (ADR))</w:t>
      </w:r>
      <w:r>
        <w:rPr/>
        <w:t>.</w:t>
      </w:r>
    </w:p>
    <w:p>
      <w:pPr>
        <w:pStyle w:val="Heading1"/>
        <w:keepNext w:val="true"/>
        <w:rPr/>
      </w:pPr>
      <w:r>
        <w:rPr/>
        <w:t>10. Indice de decisiones (ADR)</w:t>
      </w:r>
    </w:p>
    <w:p>
      <w:pPr>
        <w:pStyle w:val="Normal"/>
        <w:spacing w:before="0" w:after="120"/>
        <w:rPr/>
      </w:pPr>
      <w:r>
        <w:rPr/>
        <w:t xml:space="preserve">Detalle completo en </w:t>
      </w:r>
      <w:r>
        <w:rPr>
          <w:i/>
          <w:iCs/>
        </w:rPr>
        <w:t>documento 11 (Decisiones de arquitectura (ADR))</w:t>
      </w:r>
      <w:r>
        <w:rPr/>
        <w:t>. Resumen de que resuelve cada una: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812"/>
        <w:gridCol w:w="7205"/>
        <w:gridCol w:w="1343"/>
      </w:tblGrid>
      <w:tr>
        <w:trPr>
          <w:tblHeader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ADR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Driver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ADR-001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App Expo (React Native) + NativeWind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DRV-07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ADR-002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Backend monolitico Node + Express, REST sincrona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DRV-07, DRV-08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ADR-003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SQLite inicial (reemplazada por ADR-012; queda para pruebas)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DRV-04, DRV-08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ADR-004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Traduccion Qwen -&gt; Claude -&gt; reglas (Circuit Breaker)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DRV-01, DRV-02, DRV-05, DRV-06, DRV-08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ADR-005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Voz en el cliente con expo-speech (la entrada por voz la reemplaza ADR-014)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DRV-07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ADR-006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JWT de acceso corto + refresco rotativo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DRV-03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ADR-007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Interfaz basada en el template Luna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-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ADR-008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Ajustes al modelo de dominio (LenguajeRegion, soporte)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DRV-04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ADR-009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Identificadores del dominio en espanol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-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ADR-010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Proteccion de datos personales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DRV-03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ADR-011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API v1 REST + OpenAPI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-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ADR-012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SurrealDB como fuente de verdad detras de un repositorio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DRV-01, DRV-03, DRV-04, DRV-08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ADR-013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Arquitectura hexagonal (puertos y adaptadores) dentro del monolito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DRV-04, DRV-05, DRV-08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ADR-014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Voz en Expo Go: grabacion en el celular, Whisper en el servidor y entonacion por texto y voz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DRV-01, DRV-02, DRV-07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ADR-015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Voz natural con emocion en el servidor (puerto Sintetizador)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DRV-02, DRV-05</w:t>
            </w:r>
          </w:p>
        </w:tc>
      </w:tr>
      <w:tr>
        <w:trPr>
          <w:cantSplit w:val="true"/>
        </w:trPr>
        <w:tc>
          <w:tcPr>
            <w:tcW w:w="8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ADR-016</w:t>
            </w:r>
          </w:p>
        </w:tc>
        <w:tc>
          <w:tcPr>
            <w:tcW w:w="720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VoiceStudio local como primer motor de voz con emocion</w:t>
            </w:r>
          </w:p>
        </w:tc>
        <w:tc>
          <w:tcPr>
            <w:tcW w:w="134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DRV-02, DRV-06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11. Riesgos tecnicos y mitigaciones</w:t>
      </w:r>
    </w:p>
    <w:tbl>
      <w:tblPr>
        <w:tblW w:w="9360" w:type="dxa"/>
        <w:jc w:val="left"/>
        <w:tblInd w:w="0" w:type="dxa"/>
        <w:tblLayout w:type="fixed"/>
        <w:tblCellMar>
          <w:top w:w="50" w:type="dxa"/>
          <w:left w:w="80" w:type="dxa"/>
          <w:bottom w:w="50" w:type="dxa"/>
          <w:right w:w="80" w:type="dxa"/>
        </w:tblCellMar>
      </w:tblPr>
      <w:tblGrid>
        <w:gridCol w:w="2660"/>
        <w:gridCol w:w="2033"/>
        <w:gridCol w:w="4667"/>
      </w:tblGrid>
      <w:tr>
        <w:trPr>
          <w:tblHeader w:val="true"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Riesgo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Impacto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1F3864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Mitigacion</w:t>
            </w:r>
          </w:p>
        </w:tc>
      </w:tr>
      <w:tr>
        <w:trPr>
          <w:cantSplit w:val="true"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La latencia de Qwen, Whisper y VoiceStudio en el equipo de despliegue supera DRV-01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Conversacion lenta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Medicion con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npm run medir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npm run medir:voz</w:t>
            </w:r>
            <w:r>
              <w:rPr>
                <w:sz w:val="19"/>
                <w:szCs w:val="19"/>
              </w:rPr>
              <w:t xml:space="preserve"> antes de cada demostracion; motores mas livianos (CosyVoice, Kokoro) y respaldo en la nube sin cambiar la app</w:t>
            </w:r>
          </w:p>
        </w:tc>
      </w:tr>
      <w:tr>
        <w:trPr>
          <w:cantSplit w:val="true"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El tiempo de espera de Qwen (60 s) es mayor que el limite de DRV-01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Un turno puede tardar demasiado si Qwen se cuelga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El Circuit Breaker abre el circuito y los mensajes siguientes van directo al respaldo</w:t>
            </w:r>
          </w:p>
        </w:tc>
      </w:tr>
      <w:tr>
        <w:trPr>
          <w:cantSplit w:val="true"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IndexTTS 2 sin GPU es lento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Voz con emocion tardia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Equipo de referencia con Apple Silicon (Metal/MLX); en otros equipos, Azure Speech como primer motor (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VOZ_MOTOR=azure</w:t>
            </w:r>
            <w:r>
              <w:rPr>
                <w:sz w:val="19"/>
                <w:szCs w:val="19"/>
              </w:rPr>
              <w:t>)</w:t>
            </w:r>
          </w:p>
        </w:tc>
      </w:tr>
      <w:tr>
        <w:trPr>
          <w:cantSplit w:val="true"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Licencia AGPL-3.0 de VoiceStudio y licencias por modelo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Restriccion para uso comercial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Uso academico permitido; para uso comercial, Azure u OpenAI detras del mismo puerto</w:t>
            </w:r>
          </w:p>
        </w:tc>
      </w:tr>
      <w:tr>
        <w:trPr>
          <w:cantSplit w:val="true"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Consultas por enlaces sin indice en SurrealDB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Lentitud con muchos datos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Indices sobre los campos de enlace al crecer el volumen (ADR-012)</w:t>
            </w:r>
          </w:p>
        </w:tc>
      </w:tr>
      <w:tr>
        <w:trPr>
          <w:cantSplit w:val="true"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Servicio de correo para recuperacion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El codigo de recuperacion no llega por correo en produccion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color="auto" w:fill="F2F5FB" w:val="clear"/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Puerto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Notificador</w:t>
            </w:r>
            <w:r>
              <w:rPr>
                <w:sz w:val="19"/>
                <w:szCs w:val="19"/>
              </w:rPr>
              <w:t xml:space="preserve"> listo para un proveedor SMTP; en desarrollo el codigo se muestra en la respuesta (ADR-006)</w:t>
            </w:r>
          </w:p>
        </w:tc>
      </w:tr>
      <w:tr>
        <w:trPr>
          <w:cantSplit w:val="true"/>
        </w:trPr>
        <w:tc>
          <w:tcPr>
            <w:tcW w:w="2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Reconocer la region por el sonido de la voz</w:t>
            </w:r>
          </w:p>
        </w:tc>
        <w:tc>
          <w:tcPr>
            <w:tcW w:w="2033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>Precision regional limitada al vocabulario</w:t>
            </w:r>
          </w:p>
        </w:tc>
        <w:tc>
          <w:tcPr>
            <w:tcW w:w="46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spacing w:before="0" w:after="0"/>
              <w:rPr/>
            </w:pPr>
            <w:r>
              <w:rPr>
                <w:sz w:val="19"/>
                <w:szCs w:val="19"/>
              </w:rPr>
              <w:t xml:space="preserve">Evolucion futura sobre el mismo puerto </w:t>
            </w:r>
            <w:r>
              <w:rPr>
                <w:rFonts w:eastAsia="Consolas" w:cs="Consolas" w:ascii="Consolas" w:hAnsi="Consolas"/>
                <w:color w:val="2F5496"/>
                <w:sz w:val="17"/>
                <w:szCs w:val="17"/>
              </w:rPr>
              <w:t>Transcriptor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Heading1"/>
        <w:keepNext w:val="true"/>
        <w:rPr/>
      </w:pPr>
      <w:r>
        <w:rPr/>
        <w:t>12. Trazabilidad global</w:t>
      </w:r>
    </w:p>
    <w:p>
      <w:pPr>
        <w:pStyle w:val="Normal"/>
        <w:spacing w:before="0" w:after="120"/>
        <w:rPr/>
      </w:pPr>
      <w:r>
        <w:rPr/>
        <w:t>La cadena completa que recorre el proyecto:</w:t>
      </w:r>
    </w:p>
    <w:p>
      <w:pPr>
        <w:pStyle w:val="Normal"/>
        <w:spacing w:before="0" w:after="120"/>
        <w:rPr/>
      </w:pPr>
      <w:r>
        <w:rPr>
          <w:b/>
          <w:bCs/>
        </w:rPr>
        <w:t>Vision</w:t>
      </w:r>
      <w:r>
        <w:rPr/>
        <w:t xml:space="preserve"> (</w:t>
      </w:r>
      <w:r>
        <w:rPr>
          <w:i/>
          <w:iCs/>
        </w:rPr>
        <w:t>documento 1 (Vision y contexto)</w:t>
      </w:r>
      <w:r>
        <w:rPr/>
        <w:t xml:space="preserve">) -&gt; </w:t>
      </w:r>
      <w:r>
        <w:rPr>
          <w:b/>
          <w:bCs/>
        </w:rPr>
        <w:t>Impacto</w:t>
      </w:r>
      <w:r>
        <w:rPr/>
        <w:t xml:space="preserve"> (</w:t>
      </w:r>
      <w:r>
        <w:rPr>
          <w:i/>
          <w:iCs/>
        </w:rPr>
        <w:t>documento 2 (Mapa de impacto)</w:t>
      </w:r>
      <w:r>
        <w:rPr/>
        <w:t xml:space="preserve">) -&gt; </w:t>
      </w:r>
      <w:r>
        <w:rPr>
          <w:b/>
          <w:bCs/>
        </w:rPr>
        <w:t>Historia</w:t>
      </w:r>
      <w:r>
        <w:rPr/>
        <w:t xml:space="preserve"> (</w:t>
      </w:r>
      <w:r>
        <w:rPr>
          <w:i/>
          <w:iCs/>
        </w:rPr>
        <w:t>documento 3 (Historias de usuario)</w:t>
      </w:r>
      <w:r>
        <w:rPr/>
        <w:t xml:space="preserve">) -&gt; </w:t>
      </w:r>
      <w:r>
        <w:rPr>
          <w:b/>
          <w:bCs/>
        </w:rPr>
        <w:t>Requisito</w:t>
      </w:r>
      <w:r>
        <w:rPr/>
        <w:t xml:space="preserve"> (</w:t>
      </w:r>
      <w:r>
        <w:rPr>
          <w:i/>
          <w:iCs/>
        </w:rPr>
        <w:t>documento 5 (Requisitos funcionales y no funcionales)</w:t>
      </w:r>
      <w:r>
        <w:rPr/>
        <w:t xml:space="preserve">) -&gt; </w:t>
      </w:r>
      <w:r>
        <w:rPr>
          <w:b/>
          <w:bCs/>
        </w:rPr>
        <w:t>Driver</w:t>
      </w:r>
      <w:r>
        <w:rPr/>
        <w:t xml:space="preserve"> (</w:t>
      </w:r>
      <w:r>
        <w:rPr>
          <w:i/>
          <w:iCs/>
        </w:rPr>
        <w:t>documento 6 (Drivers de arquitectura)</w:t>
      </w:r>
      <w:r>
        <w:rPr/>
        <w:t xml:space="preserve">) -&gt; </w:t>
      </w:r>
      <w:r>
        <w:rPr>
          <w:b/>
          <w:bCs/>
        </w:rPr>
        <w:t>ADR</w:t>
      </w:r>
      <w:r>
        <w:rPr/>
        <w:t xml:space="preserve"> (</w:t>
      </w:r>
      <w:r>
        <w:rPr>
          <w:i/>
          <w:iCs/>
        </w:rPr>
        <w:t>documento 11 (Decisiones de arquitectura (ADR))</w:t>
      </w:r>
      <w:r>
        <w:rPr/>
        <w:t xml:space="preserve">) -&gt; </w:t>
      </w:r>
      <w:r>
        <w:rPr>
          <w:b/>
          <w:bCs/>
        </w:rPr>
        <w:t>Componente</w:t>
      </w:r>
      <w:r>
        <w:rPr/>
        <w:t xml:space="preserve"> (</w:t>
      </w:r>
      <w:r>
        <w:rPr>
          <w:i/>
          <w:iCs/>
        </w:rPr>
        <w:t>documento 10 (Componentes de la API)</w:t>
      </w:r>
      <w:r>
        <w:rPr/>
        <w:t xml:space="preserve"> y seccion 5.2) -&gt; </w:t>
      </w:r>
      <w:r>
        <w:rPr>
          <w:b/>
          <w:bCs/>
        </w:rPr>
        <w:t>Evidencia</w:t>
      </w:r>
      <w:r>
        <w:rPr/>
        <w:t xml:space="preserve"> (pruebas del backend, </w:t>
      </w:r>
      <w:r>
        <w:rPr>
          <w:rFonts w:eastAsia="Consolas" w:cs="Consolas" w:ascii="Consolas" w:hAnsi="Consolas"/>
          <w:color w:val="2F5496"/>
          <w:sz w:val="19"/>
          <w:szCs w:val="19"/>
        </w:rPr>
        <w:t>npm run medir</w:t>
      </w:r>
      <w:r>
        <w:rPr/>
        <w:t xml:space="preserve"> y </w:t>
      </w:r>
      <w:r>
        <w:rPr>
          <w:rFonts w:eastAsia="Consolas" w:cs="Consolas" w:ascii="Consolas" w:hAnsi="Consolas"/>
          <w:color w:val="2F5496"/>
          <w:sz w:val="19"/>
          <w:szCs w:val="19"/>
        </w:rPr>
        <w:t>npm run medir:voz</w:t>
      </w:r>
      <w:r>
        <w:rPr/>
        <w:t>).</w:t>
      </w:r>
    </w:p>
    <w:sectPr>
      <w:headerReference w:type="default" r:id="rId9"/>
      <w:footerReference w:type="default" r:id="rId10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>
        <w:color w:val="7F7F7F"/>
        <w:sz w:val="16"/>
        <w:szCs w:val="16"/>
      </w:rPr>
      <w:t xml:space="preserve">Pagina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r>
      <w:rPr>
        <w:color w:val="7F7F7F"/>
        <w:sz w:val="16"/>
        <w:szCs w:val="16"/>
      </w:rPr>
      <w:t xml:space="preserve"> de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4" w:space="4" w:color="BFBFBF"/>
      </w:pBdr>
      <w:tabs>
        <w:tab w:val="clear" w:pos="720"/>
        <w:tab w:val="right" w:pos="9360" w:leader="none"/>
      </w:tabs>
      <w:rPr/>
    </w:pPr>
    <w:r>
      <w:rPr>
        <w:b/>
        <w:bCs/>
        <w:color w:val="1F3864"/>
        <w:sz w:val="16"/>
        <w:szCs w:val="16"/>
      </w:rPr>
      <w:t>TalkLate</w:t>
    </w:r>
    <w:r>
      <w:rPr>
        <w:color w:val="7F7F7F"/>
        <w:sz w:val="16"/>
        <w:szCs w:val="16"/>
      </w:rPr>
      <w:tab/>
      <w:t>Arquitectura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>
      <w:spacing w:before="360" w:after="160"/>
      <w:outlineLvl w:val="0"/>
    </w:pPr>
    <w:rPr>
      <w:rFonts w:ascii="Calibri" w:hAnsi="Calibri" w:eastAsia="Calibri" w:cs="Calibri"/>
      <w:b/>
      <w:bCs/>
      <w:color w:val="1F3864"/>
      <w:sz w:val="32"/>
      <w:szCs w:val="32"/>
    </w:rPr>
  </w:style>
  <w:style w:type="paragraph" w:styleId="Heading2">
    <w:name w:val="Heading 2"/>
    <w:basedOn w:val="Heading"/>
    <w:qFormat/>
    <w:pPr>
      <w:spacing w:before="280" w:after="120"/>
      <w:outlineLvl w:val="1"/>
    </w:pPr>
    <w:rPr>
      <w:rFonts w:ascii="Calibri" w:hAnsi="Calibri" w:eastAsia="Calibri" w:cs="Calibri"/>
      <w:b/>
      <w:bCs/>
      <w:color w:val="1F3864"/>
      <w:sz w:val="26"/>
      <w:szCs w:val="26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2F5496"/>
      <w:sz w:val="23"/>
      <w:szCs w:val="23"/>
    </w:rPr>
  </w:style>
  <w:style w:type="paragraph" w:styleId="Heading4">
    <w:name w:val="Heading 4"/>
    <w:basedOn w:val="Heading"/>
    <w:qFormat/>
    <w:pPr>
      <w:spacing w:before="160" w:after="80"/>
      <w:outlineLvl w:val="3"/>
    </w:pPr>
    <w:rPr>
      <w:rFonts w:ascii="Calibri" w:hAnsi="Calibri" w:eastAsia="Calibri" w:cs="Calibri"/>
      <w:b/>
      <w:bCs/>
      <w:i/>
      <w:iCs/>
      <w:color w:val="2F5496"/>
      <w:sz w:val="21"/>
      <w:szCs w:val="21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auto" w:line="276"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13</Pages>
  <Words>2260</Words>
  <Characters>13134</Characters>
  <CharactersWithSpaces>15077</CharactersWithSpaces>
  <Paragraphs>321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2026-10-29T23:28:13Z</dcterms:created>
  <dc:creator>Equipo TalkLate</dc:creator>
  <dc:description/>
  <dc:language>en-US</dc:language>
  <cp:lastModifiedBy/>
  <dcterms:modified xsi:type="dcterms:W3CDTF">2026-10-29T23:28:16Z</dcterms:modified>
  <cp:revision>2</cp:revision>
  <dc:subject/>
  <dc:title>TalkLate - Arquitectura</dc:title>
</cp:coreProperties>
</file>