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1F3864"/>
          <w:sz w:val="64"/>
          <w:szCs w:val="64"/>
        </w:rPr>
        <w:t>TalkLate</w:t>
      </w:r>
    </w:p>
    <w:p>
      <w:pPr>
        <w:pStyle w:val="Normal"/>
        <w:spacing w:before="0" w:after="600"/>
        <w:jc w:val="center"/>
        <w:rPr/>
      </w:pPr>
      <w:r>
        <w:rPr>
          <w:i/>
          <w:iCs/>
          <w:color w:val="595959"/>
          <w:sz w:val="24"/>
          <w:szCs w:val="24"/>
        </w:rPr>
        <w:t>Traduccion en tiempo real con conciencia cultural y emocional</w:t>
      </w:r>
    </w:p>
    <w:p>
      <w:pPr>
        <w:pStyle w:val="Normal"/>
        <w:pBdr>
          <w:top w:val="single" w:sz="12" w:space="12" w:color="1F3864"/>
          <w:bottom w:val="single" w:sz="12" w:space="12" w:color="1F3864"/>
        </w:pBdr>
        <w:spacing w:lineRule="auto" w:line="240" w:before="0" w:after="240"/>
        <w:jc w:val="center"/>
        <w:rPr/>
      </w:pPr>
      <w:r>
        <w:rPr>
          <w:b/>
          <w:bCs/>
          <w:color w:val="1F3864"/>
          <w:sz w:val="40"/>
          <w:szCs w:val="40"/>
        </w:rPr>
        <w:t>10. Componentes de la API</w:t>
      </w:r>
    </w:p>
    <w:p>
      <w:pPr>
        <w:pStyle w:val="Normal"/>
        <w:spacing w:before="0" w:after="160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sz w:val="22"/>
          <w:szCs w:val="22"/>
        </w:rPr>
        <w:t>Trabajo de grado</w:t>
      </w:r>
    </w:p>
    <w:p>
      <w:pPr>
        <w:pStyle w:val="Normal"/>
        <w:spacing w:before="0" w:after="120"/>
        <w:jc w:val="center"/>
        <w:rPr/>
      </w:pPr>
      <w:r>
        <w:rPr>
          <w:sz w:val="22"/>
          <w:szCs w:val="22"/>
        </w:rPr>
        <w:t>Julian David Diaz Medina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Diego Alejandro Franco Atehortua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Director: Wider Farid Sanchez Garzon</w:t>
      </w:r>
    </w:p>
    <w:p>
      <w:pPr>
        <w:pStyle w:val="Normal"/>
        <w:spacing w:before="0" w:after="120"/>
        <w:jc w:val="center"/>
        <w:rPr/>
      </w:pPr>
      <w:r>
        <w:rPr>
          <w:color w:val="595959"/>
          <w:sz w:val="20"/>
          <w:szCs w:val="20"/>
        </w:rPr>
        <w:t>Version 1.0 - Octubre de 2026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614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bCs/>
        </w:rPr>
        <w:t>Fase 3 - Arquitectura de software y base de datos</w:t>
      </w:r>
    </w:p>
    <w:p>
      <w:pPr>
        <w:pStyle w:val="Normal"/>
        <w:spacing w:before="0" w:after="120"/>
        <w:rPr/>
      </w:pPr>
      <w:r>
        <w:rPr>
          <w:b/>
          <w:bCs/>
        </w:rPr>
        <w:t>Version:</w:t>
      </w:r>
      <w:r>
        <w:rPr/>
        <w:t xml:space="preserve"> 1.0 (29/10/2026)</w:t>
      </w:r>
    </w:p>
    <w:p>
      <w:pPr>
        <w:pStyle w:val="Normal"/>
        <w:spacing w:before="0" w:after="120"/>
        <w:rPr/>
      </w:pPr>
      <w:r>
        <w:rPr/>
        <w:t xml:space="preserve">Este documento abre el contenedor </w:t>
      </w:r>
      <w:r>
        <w:rPr>
          <w:b/>
          <w:bCs/>
        </w:rPr>
        <w:t>API TalkLate</w:t>
      </w:r>
      <w:r>
        <w:rPr/>
        <w:t xml:space="preserve"> (</w:t>
      </w:r>
      <w:r>
        <w:rPr>
          <w:i/>
          <w:iCs/>
        </w:rPr>
        <w:t>documento 9 (Diagramas C4)</w:t>
      </w:r>
      <w:r>
        <w:rPr/>
        <w:t xml:space="preserve">, Nivel 2) y muestra sus componentes internos: que piezas lo forman, de que se encarga cada una y como se comunican. Solo se detalla este contenedor: la App movil se describe en </w:t>
      </w:r>
      <w:r>
        <w:rPr>
          <w:i/>
          <w:iCs/>
        </w:rPr>
        <w:t>documento 7 (Arquitectura)</w:t>
      </w:r>
      <w:r>
        <w:rPr/>
        <w:t xml:space="preserve"> (seccion 5.2) y en </w:t>
      </w:r>
      <w:r>
        <w:rPr>
          <w:i/>
          <w:iCs/>
        </w:rPr>
        <w:t>documento 13 (Especificacion de vistas y UI)</w:t>
      </w:r>
      <w:r>
        <w:rPr/>
        <w:t xml:space="preserve">, y la base de datos en </w:t>
      </w:r>
      <w:r>
        <w:rPr>
          <w:i/>
          <w:iCs/>
        </w:rPr>
        <w:t>documento 12 (Modelo de datos)</w:t>
      </w:r>
      <w:r>
        <w:rPr/>
        <w:t>.</w:t>
      </w:r>
    </w:p>
    <w:p>
      <w:pPr>
        <w:pStyle w:val="Normal"/>
        <w:spacing w:before="0" w:after="120"/>
        <w:rPr/>
      </w:pPr>
      <w:r>
        <w:rPr>
          <w:b/>
          <w:bCs/>
        </w:rPr>
        <w:t>Metodo:</w:t>
      </w:r>
      <w:r>
        <w:rPr/>
        <w:t xml:space="preserve"> el diagrama refleja el codigo real de </w:t>
      </w:r>
      <w:r>
        <w:rPr>
          <w:rFonts w:eastAsia="Consolas" w:cs="Consolas" w:ascii="Consolas" w:hAnsi="Consolas"/>
          <w:color w:val="2F5496"/>
          <w:sz w:val="19"/>
          <w:szCs w:val="19"/>
        </w:rPr>
        <w:t>backend/src</w:t>
      </w:r>
      <w:r>
        <w:rPr/>
        <w:t>. Cada componente cita sus archivos, el Bounded Context al que pertenece y el ADR que lo justifica (</w:t>
      </w:r>
      <w:r>
        <w:rPr>
          <w:i/>
          <w:iCs/>
        </w:rPr>
        <w:t>documento 11 (Decisiones de arquitectura (ADR))</w:t>
      </w:r>
      <w:r>
        <w:rPr/>
        <w:t>).</w:t>
      </w:r>
    </w:p>
    <w:p>
      <w:pPr>
        <w:pStyle w:val="Normal"/>
        <w:spacing w:before="0" w:after="120"/>
        <w:rPr/>
      </w:pPr>
      <w:r>
        <w:rPr>
          <w:b/>
          <w:bCs/>
        </w:rPr>
        <w:t>Organizacion:</w:t>
      </w:r>
      <w:r>
        <w:rPr/>
        <w:t xml:space="preserve"> la API sigue una </w:t>
      </w:r>
      <w:r>
        <w:rPr>
          <w:b/>
          <w:bCs/>
        </w:rPr>
        <w:t>arquitectura hexagonal (puertos y adaptadores)</w:t>
      </w:r>
      <w:r>
        <w:rPr/>
        <w:t xml:space="preserve"> dentro del monolito modular (ADR-013): el dominio y los casos de uso estan en el centro y no dependen de Express, de la base de datos ni de los motores de IA; cada dependencia externa entra por un puerto y se conecta con un adaptador. La composicion (</w:t>
      </w:r>
      <w:r>
        <w:rPr>
          <w:rFonts w:eastAsia="Consolas" w:cs="Consolas" w:ascii="Consolas" w:hAnsi="Consolas"/>
          <w:color w:val="2F5496"/>
          <w:sz w:val="19"/>
          <w:szCs w:val="19"/>
        </w:rPr>
        <w:t>src/composicion.js</w:t>
      </w:r>
      <w:r>
        <w:rPr/>
        <w:t>) es el unico lugar que conoce los adaptadores concretos. Las reglas de dependencia se verifican con dependency-cruiser (</w:t>
      </w:r>
      <w:r>
        <w:rPr>
          <w:rFonts w:eastAsia="Consolas" w:cs="Consolas" w:ascii="Consolas" w:hAnsi="Consolas"/>
          <w:color w:val="2F5496"/>
          <w:sz w:val="19"/>
          <w:szCs w:val="19"/>
        </w:rPr>
        <w:t>backend/.dependency-cruiser.cjs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npm run arch:check</w:t>
      </w:r>
      <w:r>
        <w:rPr/>
        <w:t xml:space="preserve">). Hoy marca dos dependencias pendientes de mover detras de un puerto: </w:t>
      </w:r>
      <w:r>
        <w:rPr>
          <w:rFonts w:eastAsia="Consolas" w:cs="Consolas" w:ascii="Consolas" w:hAnsi="Consolas"/>
          <w:color w:val="2F5496"/>
          <w:sz w:val="19"/>
          <w:szCs w:val="19"/>
        </w:rPr>
        <w:t>bcryptjs</w:t>
      </w:r>
      <w:r>
        <w:rPr/>
        <w:t xml:space="preserve"> en </w:t>
      </w:r>
      <w:r>
        <w:rPr>
          <w:rFonts w:eastAsia="Consolas" w:cs="Consolas" w:ascii="Consolas" w:hAnsi="Consolas"/>
          <w:color w:val="2F5496"/>
          <w:sz w:val="19"/>
          <w:szCs w:val="19"/>
        </w:rPr>
        <w:t>aplicacion/cuentas.js</w:t>
      </w:r>
      <w:r>
        <w:rPr/>
        <w:t xml:space="preserve"> y </w:t>
      </w:r>
      <w:r>
        <w:rPr>
          <w:rFonts w:eastAsia="Consolas" w:cs="Consolas" w:ascii="Consolas" w:hAnsi="Consolas"/>
          <w:color w:val="2F5496"/>
          <w:sz w:val="19"/>
          <w:szCs w:val="19"/>
        </w:rPr>
        <w:t>jsonwebtoken</w:t>
      </w:r>
      <w:r>
        <w:rPr/>
        <w:t xml:space="preserve"> en </w:t>
      </w:r>
      <w:r>
        <w:rPr>
          <w:rFonts w:eastAsia="Consolas" w:cs="Consolas" w:ascii="Consolas" w:hAnsi="Consolas"/>
          <w:color w:val="2F5496"/>
          <w:sz w:val="19"/>
          <w:szCs w:val="19"/>
        </w:rPr>
        <w:t>aplicacion/sesiones.js</w:t>
      </w:r>
      <w:r>
        <w:rPr/>
        <w:t>.</w:t>
      </w:r>
    </w:p>
    <w:p>
      <w:pPr>
        <w:pStyle w:val="Heading1"/>
        <w:keepNext w:val="true"/>
        <w:rPr/>
      </w:pPr>
      <w:r>
        <w:rPr/>
        <w:t>Diagrama de componentes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3276600"/>
            <wp:effectExtent l="0" t="0" r="0" b="0"/>
            <wp:docPr id="1" name="Diagrama de componentes" descr="Diagrama de componentes&#10;Diagrama de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de componentes" descr="Diagrama de componentes&#10;Diagrama de component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i/>
          <w:iCs/>
          <w:color w:val="404040"/>
          <w:sz w:val="18"/>
          <w:szCs w:val="18"/>
        </w:rPr>
        <w:t xml:space="preserve">Figura 1. </w:t>
      </w:r>
      <w:r>
        <w:rPr>
          <w:i/>
          <w:iCs/>
          <w:color w:val="404040"/>
          <w:sz w:val="18"/>
          <w:szCs w:val="18"/>
        </w:rPr>
        <w:t>Diagrama de componentes</w:t>
      </w:r>
    </w:p>
    <w:p>
      <w:pPr>
        <w:pStyle w:val="Normal"/>
        <w:pBdr>
          <w:left w:val="single" w:sz="18" w:space="8" w:color="8EAADB"/>
        </w:pBdr>
        <w:spacing w:before="0" w:after="120"/>
        <w:ind w:left="360"/>
        <w:rPr/>
      </w:pPr>
      <w:r>
        <w:rPr>
          <w:b/>
          <w:bCs/>
          <w:i/>
          <w:iCs/>
          <w:color w:val="404040"/>
        </w:rPr>
        <w:t>Regla de dependencias:</w:t>
      </w:r>
      <w:r>
        <w:rPr>
          <w:i/>
          <w:iCs/>
          <w:color w:val="404040"/>
        </w:rPr>
        <w:t xml:space="preserve"> las flechas siempre apuntan hacia el nucleo. Los casos de uso (aplicacion) solo importan el dominio y los puertos; nunca un adaptador, ni Express, ni la base. Los adaptadores de salida "cumplen" un puerto y la composicion verifica al arrancar que lo cumplen (</w:t>
      </w:r>
      <w:r>
        <w:rPr>
          <w:rFonts w:eastAsia="Consolas" w:cs="Consolas" w:ascii="Consolas" w:hAnsi="Consolas"/>
          <w:color w:val="2F5496"/>
          <w:sz w:val="19"/>
          <w:szCs w:val="19"/>
        </w:rPr>
        <w:t>asegurarPuerto</w:t>
      </w:r>
      <w:r>
        <w:rPr>
          <w:i/>
          <w:iCs/>
          <w:color w:val="404040"/>
        </w:rPr>
        <w:t>). Por eso se puede cambiar SurrealDB por otra base, o agregar un motor de traduccion, sin tocar los casos de uso. Log estructurado (C26) lo usan todas las capas.</w:t>
      </w:r>
    </w:p>
    <w:p>
      <w:pPr>
        <w:pStyle w:val="Heading1"/>
        <w:keepNext w:val="true"/>
        <w:rPr/>
      </w:pPr>
      <w:r>
        <w:rPr/>
        <w:t>Catalogo de componentes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07"/>
        <w:gridCol w:w="1166"/>
        <w:gridCol w:w="958"/>
        <w:gridCol w:w="1167"/>
        <w:gridCol w:w="2827"/>
        <w:gridCol w:w="1874"/>
        <w:gridCol w:w="960"/>
      </w:tblGrid>
      <w:tr>
        <w:trPr>
          <w:tblHeader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Componente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Capa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Bounded Context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Responsabilidad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Archivo(s)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Patron / ADR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C01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Adaptador HTTP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Entrada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Plataforma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 xml:space="preserve">Arma Express: CORS, limite de cuerpo,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/health</w:t>
            </w:r>
            <w:r>
              <w:rPr>
                <w:sz w:val="15"/>
                <w:szCs w:val="15"/>
              </w:rPr>
              <w:t xml:space="preserve">, OpenAPI/Swagger, monta las rutas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/api/v1</w:t>
            </w:r>
            <w:r>
              <w:rPr>
                <w:sz w:val="15"/>
                <w:szCs w:val="15"/>
              </w:rPr>
              <w:t>, 404 y manejador global de errores.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src/adaptadores/http/app.js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src/server.js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ADR-002, ADR-011, ADR-013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C02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Rutas de cuentas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Entrada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Identidad y Acceso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 xml:space="preserve">Traduce HTTP a casos de uso: registro, login, refresco, recuperacion, logout,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/usuarios/yo</w:t>
            </w:r>
            <w:r>
              <w:rPr>
                <w:sz w:val="15"/>
                <w:szCs w:val="15"/>
              </w:rPr>
              <w:t xml:space="preserve"> y eliminar cuenta.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src/adaptadores/http/rutas/cuentas.js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ADR-011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C03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Rutas de conversaciones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Entrada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Conversaciones y Mensajes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CRUD de conversaciones, envio de mensajes escritos y hablados (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/mensajes/voz</w:t>
            </w:r>
            <w:r>
              <w:rPr>
                <w:sz w:val="15"/>
                <w:szCs w:val="15"/>
              </w:rPr>
              <w:t xml:space="preserve">),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Location</w:t>
            </w:r>
            <w:r>
              <w:rPr>
                <w:sz w:val="15"/>
                <w:szCs w:val="15"/>
              </w:rPr>
              <w:t xml:space="preserve"> y paginacion.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src/adaptadores/http/rutas/conversaciones.js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ADR-011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C04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Rutas de catalogo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Entrada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Catalogo de Idiomas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Consultar el catalogo y las operaciones del administrador.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src/adaptadores/http/rutas/catalogo.js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ADR-011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C05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Rutas de reportes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Entrada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Reportes de Calidad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Reportar una traduccion y revision del administrador.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src/adaptadores/http/rutas/reportes.js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ADR-011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C06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Sesion HTTP y roles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Entrada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Identidad y Acceso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 xml:space="preserve">Lee la cabecera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Authorization</w:t>
            </w:r>
            <w:r>
              <w:rPr>
                <w:sz w:val="15"/>
                <w:szCs w:val="15"/>
              </w:rPr>
              <w:t xml:space="preserve"> y delega en el caso de uso de sesiones;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requerirAdmin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src/adaptadores/http/sesion.js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Token-Based Auth (5.1) / ADR-006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C07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Limites de uso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Entrada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Plataforma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Rate limiting por usuario e IP (mensajes, registro, recuperacion).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src/adaptadores/http/limites.js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ADR-010 (RNF-006)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C08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Caso de uso Cuentas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Aplicacion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Identidad y Acceso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Registro con consentimiento, login con bloqueo por intentos, recuperacion, cierre de sesion y eliminar cuenta.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src/aplicacion/cuentas.js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ADR-006, ADR-010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C09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Caso de uso Sesiones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Aplicacion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Identidad y Acceso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JWT de acceso, token de refresco rotativo y atomico, revocacion.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src/aplicacion/sesiones.js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Token-Based Auth (5.1) / ADR-006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C10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Caso de uso Conversaciones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Aplicacion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Conversaciones y Mensajes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Reglas Conversacion-RN-1 a RN-5, deteccion del idioma origen, mensajes hablados (transcribe, valida tipo y tamano del audio, estima la prosodia), orquesta la traduccion, cifra al guardar; paginacion.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src/aplicacion/conversaciones.js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src/aplicacion/paginacion.js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ADR-004, ADR-010, ADR-014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C11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Caso de uso Traduccion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Aplicacion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Traduccion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Prueba los motores en orden y salta 60 s el que falla (Circuit Breaker); no conoce ningun motor concreto.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src/aplicacion/traduccion.js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Circuit Breaker (4.1) / ADR-004, ADR-013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C12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Caso de uso Catalogo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Aplicacion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Catalogo de Idiomas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Alta, edicion y activacion de idiomas y regiones; combinaciones unicas.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src/aplicacion/catalogo.js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ADR-008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C13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Caso de uso Reportes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Aplicacion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Reportes de Calidad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Reportar una traduccion propia una vez y revision del administrador.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src/aplicacion/reportes.js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ADR-010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C14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Validaciones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Dominio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Plataforma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Reglas de formato de entrada (nombres, correo, contrasena, contenido, nombre de conversacion).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src/dominio/validaciones.js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ADR-011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C15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Errores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Dominio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Plataforma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ErrorNegocio</w:t>
            </w:r>
            <w:r>
              <w:rPr>
                <w:sz w:val="15"/>
                <w:szCs w:val="15"/>
              </w:rPr>
              <w:t xml:space="preserve"> y cuerpo de error uniforme de la API.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src/dominio/errores.js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ADR-011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C16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Analisis de texto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Dominio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Traduccion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Detecta idioma, tono y region de origen por vocabulario.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src/dominio/analisis.js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ADR-004, ADR-005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C17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Puertos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Puertos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(todos)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 xml:space="preserve">Contratos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Repositorio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MotorTraduccion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Transcriptor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Sintetizador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Notificador</w:t>
            </w:r>
            <w:r>
              <w:rPr>
                <w:sz w:val="15"/>
                <w:szCs w:val="15"/>
              </w:rPr>
              <w:t xml:space="preserve"> y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Cifrador</w:t>
            </w:r>
            <w:r>
              <w:rPr>
                <w:sz w:val="15"/>
                <w:szCs w:val="15"/>
              </w:rPr>
              <w:t>, y su verificacion al arrancar.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src/puertos/index.js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Puertos y adaptadores / ADR-013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C18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Motor Qwen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Salida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Traduccion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 xml:space="preserve">Cumple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MotorTraduccion</w:t>
            </w:r>
            <w:r>
              <w:rPr>
                <w:sz w:val="15"/>
                <w:szCs w:val="15"/>
              </w:rPr>
              <w:t xml:space="preserve"> via Ollama local (HTTP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/api/chat</w:t>
            </w:r>
            <w:r>
              <w:rPr>
                <w:sz w:val="15"/>
                <w:szCs w:val="15"/>
              </w:rPr>
              <w:t>).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src/adaptadores/traduccion/qwen.js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ADR-004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C19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Motor Claude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Salida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Traduccion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 xml:space="preserve">Cumple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MotorTraduccion</w:t>
            </w:r>
            <w:r>
              <w:rPr>
                <w:sz w:val="15"/>
                <w:szCs w:val="15"/>
              </w:rPr>
              <w:t xml:space="preserve"> via la API de Anthropic (solo si hay clave).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src/adaptadores/traduccion/claude.js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ADR-004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C20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Motor de reglas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Salida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Traduccion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 xml:space="preserve">Cumple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MotorTraduccion</w:t>
            </w:r>
            <w:r>
              <w:rPr>
                <w:sz w:val="15"/>
                <w:szCs w:val="15"/>
              </w:rPr>
              <w:t xml:space="preserve"> sin red: espanol/ingles con modismos por pais; degradacion aceptable.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src/adaptadores/traduccion/reglas.js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acentos.js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ADR-004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C21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Constructor de prompt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Salida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Traduccion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Prompt de equivalente cultural comun a Qwen y Claude (incluye tono y prosodia de la voz), y lectura de su JSON.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src/adaptadores/traduccion/prompt.js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ADR-004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C22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Repositorio SurrealDB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Salida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(todos)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 xml:space="preserve">Cumple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Repositorio</w:t>
            </w:r>
            <w:r>
              <w:rPr>
                <w:sz w:val="15"/>
                <w:szCs w:val="15"/>
              </w:rPr>
              <w:t xml:space="preserve"> sobre SurrealDB (HTTP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/sql</w:t>
            </w:r>
            <w:r>
              <w:rPr>
                <w:sz w:val="15"/>
                <w:szCs w:val="15"/>
              </w:rPr>
              <w:t xml:space="preserve"> con token de sesion; valores serializados, nunca texto concatenado).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src/adaptadores/persistencia/surreal/repositorio.js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cliente.js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Repository / ADR-012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C23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Repositorio SQLite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Salida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(todos)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 xml:space="preserve">Cumple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Repositorio</w:t>
            </w:r>
            <w:r>
              <w:rPr>
                <w:sz w:val="15"/>
                <w:szCs w:val="15"/>
              </w:rPr>
              <w:t xml:space="preserve"> sobre SQLite para pruebas sin servidor.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src/adaptadores/persistencia/sqlite/repositorio.js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esquema.js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Repository / ADR-003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C24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Notificador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Salida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Identidad y Acceso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 xml:space="preserve">Cumple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Notificador</w:t>
            </w:r>
            <w:r>
              <w:rPr>
                <w:sz w:val="15"/>
                <w:szCs w:val="15"/>
              </w:rPr>
              <w:t>; en desarrollo devuelve el codigo de recuperacion en la respuesta; un proveedor de correo se conecta como otro adaptador del mismo puerto.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src/adaptadores/correo/consola.js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ADR-006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C25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Cifrador AES-GCM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Salida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Plataforma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 xml:space="preserve">Cumple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Cifrador</w:t>
            </w:r>
            <w:r>
              <w:rPr>
                <w:sz w:val="15"/>
                <w:szCs w:val="15"/>
              </w:rPr>
              <w:t>: cifra/descifra el contenido de los mensajes en reposo.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src/adaptadores/cifrado/aesGcm.js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ADR-010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C26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Log estructurado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Transversal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Plataforma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 xml:space="preserve">Logs JSON sin datos personales; evento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traduccion</w:t>
            </w:r>
            <w:r>
              <w:rPr>
                <w:sz w:val="15"/>
                <w:szCs w:val="15"/>
              </w:rPr>
              <w:t xml:space="preserve"> con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duracion_ms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src/compartido/log.js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Structured Logging (6.1) / ADR-010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C27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Composicion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Arranque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Plataforma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Unico lugar que conoce los adaptadores: los elige segun el entorno (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TRADUCTOR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TRANSCRIPCION_URL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VOZ_MOTOR</w:t>
            </w:r>
            <w:r>
              <w:rPr>
                <w:sz w:val="15"/>
                <w:szCs w:val="15"/>
              </w:rPr>
              <w:t>), verifica sus puertos y arma los casos de uso.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src/composicion.js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ADR-013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C28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Rutas de voz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Entrada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Voz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POST /voz</w:t>
            </w:r>
            <w:r>
              <w:rPr>
                <w:sz w:val="15"/>
                <w:szCs w:val="15"/>
              </w:rPr>
              <w:t xml:space="preserve"> (con sesion y limite por usuario) y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GET /voz/audio/:id</w:t>
            </w:r>
            <w:r>
              <w:rPr>
                <w:sz w:val="15"/>
                <w:szCs w:val="15"/>
              </w:rPr>
              <w:t xml:space="preserve"> (id aleatorio de 128 bits que vence en 5 minutos).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src/adaptadores/http/rutas/voz.js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ADR-015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C29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Caso de uso Voz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Aplicacion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Voz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Valida texto, idioma y tono; prueba los sintetizadores en orden; guarda el audio en memoria con vencimiento.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src/aplicacion/voz.js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ADR-015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C30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Prosodia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Dominio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Voz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Estima intensidad, ritmo y expresividad con el volumen y las palabras por segundo; combina el tono de la voz con el de las palabras.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src/dominio/prosodia.js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ADR-014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C31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Expresion de voz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Dominio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Voz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Define como suena cada tono: voz por idioma y pais, estilo SSML, prosodia, instruccion y vector de emocion.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src/dominio/voz.js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ADR-015, ADR-016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C32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Transcriptor Whisper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Salida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Voz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 xml:space="preserve">Cumple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Transcriptor</w:t>
            </w:r>
            <w:r>
              <w:rPr>
                <w:sz w:val="15"/>
                <w:szCs w:val="15"/>
              </w:rPr>
              <w:t>: envia el audio multipart a la API compatible con OpenAI y devuelve el texto.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src/adaptadores/transcripcion/whisper.js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ADR-014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C33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Sintetizador VoiceStudio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Salida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Voz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 xml:space="preserve">Cumple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Sintetizador</w:t>
            </w:r>
            <w:r>
              <w:rPr>
                <w:sz w:val="15"/>
                <w:szCs w:val="15"/>
              </w:rPr>
              <w:t xml:space="preserve">: IndexTTS 2 por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/generate</w:t>
            </w:r>
            <w:r>
              <w:rPr>
                <w:sz w:val="15"/>
                <w:szCs w:val="15"/>
              </w:rPr>
              <w:t xml:space="preserve"> con vector de emocion, u otros motores por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/v1/audio/speech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src/adaptadores/sintesis/voicestudio.js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ADR-016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C34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Sintetizador Azure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Salida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Voz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 xml:space="preserve">Cumple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Sintetizador</w:t>
            </w:r>
            <w:r>
              <w:rPr>
                <w:sz w:val="15"/>
                <w:szCs w:val="15"/>
              </w:rPr>
              <w:t xml:space="preserve">: SSML con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mstts:express-as</w:t>
            </w:r>
            <w:r>
              <w:rPr>
                <w:sz w:val="15"/>
                <w:szCs w:val="15"/>
              </w:rPr>
              <w:t xml:space="preserve"> y prosodia de respaldo.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src/adaptadores/sintesis/azure.js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ADR-015</w:t>
            </w:r>
          </w:p>
        </w:tc>
      </w:tr>
      <w:tr>
        <w:trPr>
          <w:cantSplit w:val="true"/>
        </w:trPr>
        <w:tc>
          <w:tcPr>
            <w:tcW w:w="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C35</w:t>
            </w:r>
          </w:p>
        </w:tc>
        <w:tc>
          <w:tcPr>
            <w:tcW w:w="1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Sintetizador OpenAI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Salida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Voz</w:t>
            </w:r>
          </w:p>
        </w:tc>
        <w:tc>
          <w:tcPr>
            <w:tcW w:w="2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 xml:space="preserve">Cumple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Sintetizador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/v1/audio/speech</w:t>
            </w:r>
            <w:r>
              <w:rPr>
                <w:sz w:val="15"/>
                <w:szCs w:val="15"/>
              </w:rPr>
              <w:t xml:space="preserve"> con la emocion y el acento como instruccion.</w:t>
            </w:r>
          </w:p>
        </w:tc>
        <w:tc>
          <w:tcPr>
            <w:tcW w:w="18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3"/>
                <w:szCs w:val="13"/>
              </w:rPr>
              <w:t>src/adaptadores/sintesis/openai.js</w:t>
            </w:r>
          </w:p>
        </w:tc>
        <w:tc>
          <w:tcPr>
            <w:tcW w:w="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ADR-015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Bounded Contexts</w:t>
      </w:r>
    </w:p>
    <w:p>
      <w:pPr>
        <w:pStyle w:val="Normal"/>
        <w:spacing w:before="0" w:after="120"/>
        <w:rPr/>
      </w:pPr>
      <w:r>
        <w:rPr/>
        <w:t>Cada contexto agrupa componentes y las entidades del modelo (</w:t>
      </w:r>
      <w:r>
        <w:rPr>
          <w:i/>
          <w:iCs/>
        </w:rPr>
        <w:t>documento 12 (Modelo de datos)</w:t>
      </w:r>
      <w:r>
        <w:rPr/>
        <w:t>) que gobierna. En el codigo se reconocen por el caso de uso y por el namespace del repositorio.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326"/>
        <w:gridCol w:w="2003"/>
        <w:gridCol w:w="3285"/>
        <w:gridCol w:w="2745"/>
      </w:tblGrid>
      <w:tr>
        <w:trPr>
          <w:tblHeader w:val="true"/>
        </w:trPr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Bounded Context</w:t>
            </w:r>
          </w:p>
        </w:tc>
        <w:tc>
          <w:tcPr>
            <w:tcW w:w="2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Componentes</w:t>
            </w:r>
          </w:p>
        </w:tc>
        <w:tc>
          <w:tcPr>
            <w:tcW w:w="3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Namespace del repositorio</w:t>
            </w:r>
          </w:p>
        </w:tc>
        <w:tc>
          <w:tcPr>
            <w:tcW w:w="2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Entidades principales</w:t>
            </w:r>
          </w:p>
        </w:tc>
      </w:tr>
      <w:tr>
        <w:trPr>
          <w:cantSplit w:val="true"/>
        </w:trPr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Identidad y Acceso</w:t>
            </w:r>
          </w:p>
        </w:tc>
        <w:tc>
          <w:tcPr>
            <w:tcW w:w="2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C02, C06, C08, C09, C24</w:t>
            </w:r>
          </w:p>
        </w:tc>
        <w:tc>
          <w:tcPr>
            <w:tcW w:w="3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usuarios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tokens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sesiones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recuperaciones</w:t>
            </w:r>
          </w:p>
        </w:tc>
        <w:tc>
          <w:tcPr>
            <w:tcW w:w="2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Usuario, TokenRefresco, SesionRevocada, Recuperacion</w:t>
            </w:r>
          </w:p>
        </w:tc>
      </w:tr>
      <w:tr>
        <w:trPr>
          <w:cantSplit w:val="true"/>
        </w:trPr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Conversaciones y Mensajes</w:t>
            </w:r>
          </w:p>
        </w:tc>
        <w:tc>
          <w:tcPr>
            <w:tcW w:w="2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C03, C10</w:t>
            </w:r>
          </w:p>
        </w:tc>
        <w:tc>
          <w:tcPr>
            <w:tcW w:w="3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conversaciones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mensajes</w:t>
            </w:r>
          </w:p>
        </w:tc>
        <w:tc>
          <w:tcPr>
            <w:tcW w:w="2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Conversacion, LenguajePorConversacion, MensajeOriginal, MensajeDestino</w:t>
            </w:r>
          </w:p>
        </w:tc>
      </w:tr>
      <w:tr>
        <w:trPr>
          <w:cantSplit w:val="true"/>
        </w:trPr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Traduccion</w:t>
            </w:r>
          </w:p>
        </w:tc>
        <w:tc>
          <w:tcPr>
            <w:tcW w:w="2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C11, C16, C18-C21</w:t>
            </w:r>
          </w:p>
        </w:tc>
        <w:tc>
          <w:tcPr>
            <w:tcW w:w="3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- (servicio, sin tablas propias)</w:t>
            </w:r>
          </w:p>
        </w:tc>
        <w:tc>
          <w:tcPr>
            <w:tcW w:w="2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-</w:t>
            </w:r>
          </w:p>
        </w:tc>
      </w:tr>
      <w:tr>
        <w:trPr>
          <w:cantSplit w:val="true"/>
        </w:trPr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Catalogo de Idiomas</w:t>
            </w:r>
          </w:p>
        </w:tc>
        <w:tc>
          <w:tcPr>
            <w:tcW w:w="2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C04, C12</w:t>
            </w:r>
          </w:p>
        </w:tc>
        <w:tc>
          <w:tcPr>
            <w:tcW w:w="3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catalogo</w:t>
            </w:r>
          </w:p>
        </w:tc>
        <w:tc>
          <w:tcPr>
            <w:tcW w:w="2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Pais, Region, Lenguaje, LenguajeRegion, Canal, Entonacion</w:t>
            </w:r>
          </w:p>
        </w:tc>
      </w:tr>
      <w:tr>
        <w:trPr>
          <w:cantSplit w:val="true"/>
        </w:trPr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Reportes de Calidad</w:t>
            </w:r>
          </w:p>
        </w:tc>
        <w:tc>
          <w:tcPr>
            <w:tcW w:w="2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C05, C13</w:t>
            </w:r>
          </w:p>
        </w:tc>
        <w:tc>
          <w:tcPr>
            <w:tcW w:w="3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reportes</w:t>
            </w:r>
          </w:p>
        </w:tc>
        <w:tc>
          <w:tcPr>
            <w:tcW w:w="2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Reporte</w:t>
            </w:r>
          </w:p>
        </w:tc>
      </w:tr>
      <w:tr>
        <w:trPr>
          <w:cantSplit w:val="true"/>
        </w:trPr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Voz</w:t>
            </w:r>
          </w:p>
        </w:tc>
        <w:tc>
          <w:tcPr>
            <w:tcW w:w="2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C28-C35</w:t>
            </w:r>
          </w:p>
        </w:tc>
        <w:tc>
          <w:tcPr>
            <w:tcW w:w="3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- (audio en memoria, sin tablas)</w:t>
            </w:r>
          </w:p>
        </w:tc>
        <w:tc>
          <w:tcPr>
            <w:tcW w:w="2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-</w:t>
            </w:r>
          </w:p>
        </w:tc>
      </w:tr>
      <w:tr>
        <w:trPr>
          <w:cantSplit w:val="true"/>
        </w:trPr>
        <w:tc>
          <w:tcPr>
            <w:tcW w:w="1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Plataforma (transversal)</w:t>
            </w:r>
          </w:p>
        </w:tc>
        <w:tc>
          <w:tcPr>
            <w:tcW w:w="20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C01, C07, C14, C15, C17, C22, C23, C25-C27</w:t>
            </w:r>
          </w:p>
        </w:tc>
        <w:tc>
          <w:tcPr>
            <w:tcW w:w="3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2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-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Trazabilidad: requerimiento -&gt; componente</w:t>
      </w:r>
    </w:p>
    <w:p>
      <w:pPr>
        <w:pStyle w:val="Normal"/>
        <w:spacing w:before="0" w:after="120"/>
        <w:rPr/>
      </w:pPr>
      <w:r>
        <w:rPr/>
        <w:t xml:space="preserve">Completa la cadena requisito -&gt; historia -&gt; impacto de </w:t>
      </w:r>
      <w:r>
        <w:rPr>
          <w:i/>
          <w:iCs/>
        </w:rPr>
        <w:t>documento 5 (Requisitos funcionales y no funcionales)</w:t>
      </w:r>
      <w:r>
        <w:rPr/>
        <w:t xml:space="preserve"> hasta el componente que lo realiza.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6879"/>
        <w:gridCol w:w="2480"/>
      </w:tblGrid>
      <w:tr>
        <w:trPr>
          <w:tblHeader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Componentes que lo realizan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REQ-TRAD-001 (mensaje hablado)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 xml:space="preserve">C03, C10, C30, C32; grabacion con 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expo-audio</w:t>
            </w:r>
            <w:r>
              <w:rPr>
                <w:sz w:val="19"/>
                <w:szCs w:val="19"/>
              </w:rPr>
              <w:t xml:space="preserve"> en la app (ADR-014)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REQ-TRAD-002 (mensaje escrito 1-5000)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C10, C14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REQ-TRAD-003 (traducir con tono/modismos + nota)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C10, C11, C18/C19/C20, C21, C16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REQ-TRAD-004 (voz natural con emocion)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C10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ritmo_voz</w:t>
            </w:r>
            <w:r>
              <w:rPr>
                <w:sz w:val="19"/>
                <w:szCs w:val="19"/>
              </w:rPr>
              <w:t xml:space="preserve">), C28, C29, C31, C33-C35; 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expo-speech</w:t>
            </w:r>
            <w:r>
              <w:rPr>
                <w:sz w:val="19"/>
                <w:szCs w:val="19"/>
              </w:rPr>
              <w:t xml:space="preserve"> de respaldo en la app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REQ-TRAD-005 (entregar por el mismo canal)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C10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REQ-CONV-001 (idioma/region destino valida)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C10, C14, C22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regionValidaParaLenguaje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REQ-CONV-002 (reconocer origen y fijarlo)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C10, C16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detectarIdioma</w:t>
            </w:r>
            <w:r>
              <w:rPr>
                <w:sz w:val="19"/>
                <w:szCs w:val="19"/>
              </w:rPr>
              <w:t>), C22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conversaciones.crearLpc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REQ-CONV-003 (crear conversacion, par soportado)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C10, C11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soportaPar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REQ-CONV-004 (configurar una sola vez)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C10, C22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lpcDe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REQ-CONV-005 (guardar hilo en orden)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C10, C25, C22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mensajes.crear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REQ-CONV-006 (historial paginado)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C03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paginar</w:t>
            </w:r>
            <w:r>
              <w:rPr>
                <w:sz w:val="19"/>
                <w:szCs w:val="19"/>
              </w:rPr>
              <w:t>), C10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REQ-CONV-007 (ver mios, negar ajenos)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C10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delUsuario</w:t>
            </w:r>
            <w:r>
              <w:rPr>
                <w:sz w:val="19"/>
                <w:szCs w:val="19"/>
              </w:rPr>
              <w:t>), C06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REQ-CONV-008 (renombrar 3-80)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C10, C14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validarNombreConversacion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REQ-CONV-009 (eliminar con cascada)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C10, C22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conversaciones.eliminar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REQ-USR-001 (registro + consentimiento)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C02, C08, C14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REQ-USR-002 (login + bloqueo + refresco)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C02, C08, C09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REQ-USR-003 (codigo de recuperacion)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C02, C08, C24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REQ-USR-004 (logout invalida tokens)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C02, C08, C09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REQ-USR-005 (eliminar cuenta)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C02, C08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REQ-INT-001 (traduccion al interlocutor sin cuenta)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C10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REQ-INT-002 (responder en mi idioma)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C10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remitente=interlocutor</w:t>
            </w:r>
            <w:r>
              <w:rPr>
                <w:sz w:val="19"/>
                <w:szCs w:val="19"/>
              </w:rPr>
              <w:t>), C11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REQ-REP-001 (reportar una vez)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C05, C13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REQ-REP-002 (admin revisa reportes)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C05, C13, C06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requerirAdmin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REQ-IDIOMA-001 (ver idiomas activos)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C04, C12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REQ-IDIOMA-002 (agregar idioma/region)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C04, C12, C06, C14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REQ-IDIOMA-003 (activar/desactivar)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C04, C12, C06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RNF-001 (3 s texto, 5 s voz)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C11 (Circuit Breaker), C26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duracion_ms</w:t>
            </w:r>
            <w:r>
              <w:rPr>
                <w:sz w:val="19"/>
                <w:szCs w:val="19"/>
              </w:rPr>
              <w:t>), C32, C33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RNF-003 (proteccion de datos)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C25, C26, C09, C08 (eliminar cuenta)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RNF-005 (degradacion si falla la IA)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C11, C20, C29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RNF-006 (limites de uso)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C07, C08 (bloqueo de login)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RNF-008 (facilidad de prueba)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C17 (puertos), C23, C27 (adaptadores falsos en pruebas)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RNF-009 (API REST + OpenAPI)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C01, C15</w:t>
            </w:r>
          </w:p>
        </w:tc>
      </w:tr>
      <w:tr>
        <w:trPr>
          <w:cantSplit w:val="true"/>
        </w:trPr>
        <w:tc>
          <w:tcPr>
            <w:tcW w:w="6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RNF-010 (voz con emocion)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C30, C31, C33-C35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Limitaciones conocidas y evolucion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b/>
          <w:bCs/>
        </w:rPr>
        <w:t>C24 Notificador:</w:t>
      </w:r>
      <w:r>
        <w:rPr/>
        <w:t xml:space="preserve"> en desarrollo el codigo de recuperacion vuelve en la respuesta; en produccion se conecta un proveedor de correo como otro adaptador del mismo puerto (ADR-006).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C22 Repositorio SurrealDB:</w:t>
      </w:r>
      <w:r>
        <w:rPr/>
        <w:t xml:space="preserve"> algunas consultas filtran recorriendo enlaces; se agregan indices sobre esos campos al crecer el volumen (ADR-012).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C16 Analisis:</w:t>
      </w:r>
      <w:r>
        <w:rPr/>
        <w:t xml:space="preserve"> la region de origen se reconoce por vocabulario; reconocerla por el sonido de la voz es evolucion futura sobre el puerto </w:t>
      </w:r>
      <w:r>
        <w:rPr>
          <w:rFonts w:eastAsia="Consolas" w:cs="Consolas" w:ascii="Consolas" w:hAnsi="Consolas"/>
          <w:color w:val="2F5496"/>
          <w:sz w:val="19"/>
          <w:szCs w:val="19"/>
        </w:rPr>
        <w:t>Transcriptor</w:t>
      </w:r>
      <w:r>
        <w:rPr/>
        <w:t>.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6"/>
        <w:szCs w:val="16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color w:val="7F7F7F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360" w:leader="none"/>
      </w:tabs>
      <w:rPr/>
    </w:pPr>
    <w:r>
      <w:rPr>
        <w:b/>
        <w:bCs/>
        <w:color w:val="1F3864"/>
        <w:sz w:val="16"/>
        <w:szCs w:val="16"/>
      </w:rPr>
      <w:t>TalkLate</w:t>
    </w:r>
    <w:r>
      <w:rPr>
        <w:color w:val="7F7F7F"/>
        <w:sz w:val="16"/>
        <w:szCs w:val="16"/>
      </w:rPr>
      <w:tab/>
      <w:t>Componentes de la API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Calibri" w:hAnsi="Calibri" w:eastAsia="Calibri" w:cs="Calibri"/>
      <w:b/>
      <w:bCs/>
      <w:color w:val="2F5496"/>
      <w:sz w:val="23"/>
      <w:szCs w:val="23"/>
    </w:rPr>
  </w:style>
  <w:style w:type="paragraph" w:styleId="Heading4">
    <w:name w:val="Heading 4"/>
    <w:basedOn w:val="Heading"/>
    <w:qFormat/>
    <w:pPr>
      <w:spacing w:before="160" w:after="80"/>
      <w:outlineLvl w:val="3"/>
    </w:pPr>
    <w:rPr>
      <w:rFonts w:ascii="Calibri" w:hAnsi="Calibri" w:eastAsia="Calibri" w:cs="Calibri"/>
      <w:b/>
      <w:bCs/>
      <w:i/>
      <w:iCs/>
      <w:color w:val="2F5496"/>
      <w:sz w:val="21"/>
      <w:szCs w:val="21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1668</Words>
  <Characters>10783</Characters>
  <CharactersWithSpaces>12069</CharactersWithSpaces>
  <Paragraphs>380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2026-10-29T23:28:13Z</dcterms:created>
  <dc:creator>Equipo TalkLate</dc:creator>
  <dc:description/>
  <dc:language>en-US</dc:language>
  <cp:lastModifiedBy/>
  <dcterms:modified xsi:type="dcterms:W3CDTF">2026-10-29T23:28:19Z</dcterms:modified>
  <cp:revision>2</cp:revision>
  <dc:subject/>
  <dc:title>TalkLate - Componentes de la API</dc:title>
</cp:coreProperties>
</file>