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Times New Roman" w:hAnsi="Times New Roman"/>
          <w:b/>
          <w:color w:val="2E5339"/>
          <w:sz w:val="28"/>
        </w:rPr>
        <w:t>LAPORAN PERTEMUAN</w:t>
        <w:br/>
        <w:t>EKSTRAKSI FITUR PADA DATASET CIFAR-10 MENGGUNAKAN CUSTOM CNN DAN SVM CLASSIFIER - GRAYSCALE NTSC TRAINING</w:t>
      </w:r>
    </w:p>
    <w:p>
      <w:pPr>
        <w:spacing w:before="80" w:after="280"/>
        <w:jc w:val="center"/>
      </w:pPr>
      <w:r>
        <w:rPr>
          <w:rFonts w:ascii="Times New Roman" w:hAnsi="Times New Roman"/>
          <w:b/>
          <w:sz w:val="24"/>
        </w:rPr>
        <w:t>Pelatihan Custom CNN 1-Kanal (0.2989R + 0.5870G + 0.1140B), Ekstraksi Vektor Fitur &amp; SVM</w:t>
        <w:br/>
        <w:t>(5_GrayNTSC_train.ipynb)</w:t>
      </w:r>
    </w:p>
    <w:p>
      <w:pPr>
        <w:spacing w:before="160" w:after="440"/>
        <w:jc w:val="center"/>
      </w:pPr>
      <w:r>
        <w:rPr>
          <w:rFonts w:ascii="Times New Roman" w:hAnsi="Times New Roman"/>
          <w:sz w:val="24"/>
        </w:rPr>
        <w:t>Mata Kuliah: Big Data Analytic</w:t>
        <w:br/>
        <w:t>Dosen Pengampu: Bayu Adi Nugroho, Ph.D</w:t>
      </w:r>
    </w:p>
    <w:p>
      <w:pPr>
        <w:spacing w:before="200" w:after="520"/>
        <w:jc w:val="center"/>
      </w:pPr>
      <w:r>
        <w:drawing>
          <wp:inline xmlns:a="http://schemas.openxmlformats.org/drawingml/2006/main" xmlns:pic="http://schemas.openxmlformats.org/drawingml/2006/picture">
            <wp:extent cx="2011680" cy="15630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n_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15630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jc w:val="center"/>
      </w:pPr>
      <w:r>
        <w:rPr>
          <w:rFonts w:ascii="Times New Roman" w:hAnsi="Times New Roman"/>
          <w:b/>
          <w:sz w:val="24"/>
        </w:rPr>
        <w:t>Disusun Oleh:</w:t>
      </w:r>
    </w:p>
    <w:p>
      <w:pPr>
        <w:spacing w:before="0" w:after="600"/>
        <w:jc w:val="center"/>
      </w:pPr>
      <w:r>
        <w:rPr>
          <w:rFonts w:ascii="Times New Roman" w:hAnsi="Times New Roman"/>
          <w:b/>
          <w:sz w:val="24"/>
        </w:rPr>
        <w:t>Daffa Danendra Fairuzza – 09020624026</w:t>
      </w:r>
    </w:p>
    <w:p>
      <w:pPr>
        <w:spacing w:before="360" w:after="0"/>
        <w:jc w:val="center"/>
      </w:pPr>
      <w:r>
        <w:rPr>
          <w:rFonts w:ascii="Times New Roman" w:hAnsi="Times New Roman"/>
          <w:b/>
          <w:sz w:val="24"/>
        </w:rPr>
        <w:t>PROGRAM STUDI SISTEM INFORMASI</w:t>
        <w:br/>
        <w:t>FAKULTAS SAINS DAN TEKNOLOGI</w:t>
        <w:br/>
        <w:t>UNIVERSITAS ISLAM NEGERI SUNAN AMPEL SURABAYA</w:t>
        <w:br/>
        <w:t>2026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029"/>
            <w:shd w:fill="EBF2EC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left w:val="single" w:sz="24" w:space="0" w:color="2E5339"/>
              <w:top w:val="none"/>
              <w:bottom w:val="none"/>
              <w:right w:val="none"/>
            </w:tcBorders>
          </w:tcPr>
          <w:p>
            <w:pPr>
              <w:spacing w:before="0" w:after="0" w:line="276" w:lineRule="auto"/>
              <w:jc w:val="both"/>
            </w:pPr>
            <w:r>
              <w:rPr>
                <w:rFonts w:ascii="Times New Roman" w:hAnsi="Times New Roman"/>
                <w:b/>
                <w:color w:val="2E5339"/>
                <w:sz w:val="21"/>
              </w:rPr>
              <w:t xml:space="preserve">💡 ARSITEKTUR MODEL (CUSTOM CNN PERCEPTUAL LUMINANCE): </w:t>
            </w:r>
            <w:r>
              <w:rPr>
                <w:rFonts w:ascii="Times New Roman" w:hAnsi="Times New Roman"/>
                <w:sz w:val="21"/>
              </w:rPr>
              <w:t>Arsitektur pada notebook ini adalah Custom CNN 1-Kanal murni yang dilatih dari scratch pada citra Grayscale NTSC (Perceptual Luminance). Tanpa menggunakan pretrained model eksternal, jaringan mempelajari representasi kontras luminansi yang selaras dengan fisiologi sistem penglihatan manusia.</w:t>
            </w:r>
          </w:p>
        </w:tc>
      </w:tr>
    </w:tbl>
    <w:p>
      <w:pPr>
        <w:spacing w:before="0" w:after="80"/>
      </w:pPr>
    </w:p>
    <w:p>
      <w:pPr>
        <w:keepNext/>
        <w:spacing w:before="280" w:after="80"/>
      </w:pPr>
      <w:r>
        <w:rPr>
          <w:rFonts w:ascii="Times New Roman" w:hAnsi="Times New Roman"/>
          <w:b/>
          <w:color w:val="2E5339"/>
          <w:sz w:val="26"/>
        </w:rPr>
        <w:t>1. Tujuan Praktikum</w:t>
      </w:r>
    </w:p>
    <w:p>
      <w:pPr>
        <w:pStyle w:val="ListBullet"/>
        <w:spacing w:before="0" w:after="60" w:line="276" w:lineRule="auto"/>
        <w:jc w:val="both"/>
      </w:pPr>
      <w:r>
        <w:rPr>
          <w:rFonts w:ascii="Times New Roman" w:hAnsi="Times New Roman"/>
          <w:b/>
          <w:sz w:val="23"/>
        </w:rPr>
        <w:t xml:space="preserve">1. Transformasi NTSC: </w:t>
      </w:r>
      <w:r>
        <w:rPr>
          <w:rFonts w:ascii="Times New Roman" w:hAnsi="Times New Roman"/>
          <w:sz w:val="23"/>
        </w:rPr>
        <w:t>Menerapkan formula persepsi luminansi fisiologis NTSC (ITU-R BT.601) pada CIFAR-10.</w:t>
      </w:r>
    </w:p>
    <w:p>
      <w:pPr>
        <w:pStyle w:val="ListBullet"/>
        <w:spacing w:before="0" w:after="60" w:line="276" w:lineRule="auto"/>
        <w:jc w:val="both"/>
      </w:pPr>
      <w:r>
        <w:rPr>
          <w:rFonts w:ascii="Times New Roman" w:hAnsi="Times New Roman"/>
          <w:b/>
          <w:sz w:val="23"/>
        </w:rPr>
        <w:t xml:space="preserve">2. Pelatihan Custom CNN: </w:t>
      </w:r>
      <w:r>
        <w:rPr>
          <w:rFonts w:ascii="Times New Roman" w:hAnsi="Times New Roman"/>
          <w:sz w:val="23"/>
        </w:rPr>
        <w:t>Melatih model Custom Deep Residual CNN monokromatik pada citra berbobot fisiologis dari awal.</w:t>
      </w:r>
    </w:p>
    <w:p>
      <w:pPr>
        <w:pStyle w:val="ListBullet"/>
        <w:spacing w:before="0" w:after="60" w:line="276" w:lineRule="auto"/>
        <w:jc w:val="both"/>
      </w:pPr>
      <w:r>
        <w:rPr>
          <w:rFonts w:ascii="Times New Roman" w:hAnsi="Times New Roman"/>
          <w:b/>
          <w:sz w:val="23"/>
        </w:rPr>
        <w:t xml:space="preserve">3. Ekstraksi Fitur: </w:t>
      </w:r>
      <w:r>
        <w:rPr>
          <w:rFonts w:ascii="Times New Roman" w:hAnsi="Times New Roman"/>
          <w:sz w:val="23"/>
        </w:rPr>
        <w:t>Mengekstrak vektor fitur 512-dimensi representasi tekstur luminansi tinggi.</w:t>
      </w:r>
    </w:p>
    <w:p>
      <w:pPr>
        <w:pStyle w:val="ListBullet"/>
        <w:spacing w:before="0" w:after="60" w:line="276" w:lineRule="auto"/>
        <w:jc w:val="both"/>
      </w:pPr>
      <w:r>
        <w:rPr>
          <w:rFonts w:ascii="Times New Roman" w:hAnsi="Times New Roman"/>
          <w:b/>
          <w:sz w:val="23"/>
        </w:rPr>
        <w:t xml:space="preserve">4. Tuning &amp; Training SVM: </w:t>
      </w:r>
      <w:r>
        <w:rPr>
          <w:rFonts w:ascii="Times New Roman" w:hAnsi="Times New Roman"/>
          <w:sz w:val="23"/>
        </w:rPr>
        <w:t>Mencari hyperparameter SVM RBF optimal dan menyimpan model terpadu.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2E5339"/>
          <w:sz w:val="26"/>
        </w:rPr>
        <w:t>2. Landasan Teori Singkat</w:t>
      </w:r>
    </w:p>
    <w:p>
      <w:pPr>
        <w:spacing w:before="0" w:after="100" w:line="276" w:lineRule="auto"/>
        <w:jc w:val="both"/>
      </w:pPr>
      <w:r>
        <w:rPr>
          <w:rFonts w:ascii="Times New Roman" w:hAnsi="Times New Roman"/>
          <w:i w:val="0"/>
          <w:sz w:val="23"/>
        </w:rPr>
        <w:t>Grayscale NTSC memperhitungkan sensitivitas spektral sel fotoreseptor kerucut mata manusia yang peka terhadap komponen hijau:</w:t>
      </w:r>
    </w:p>
    <w:p>
      <w:pPr>
        <w:spacing w:before="0" w:after="100" w:line="276" w:lineRule="auto"/>
        <w:jc w:val="both"/>
      </w:pPr>
      <w:r>
        <w:rPr>
          <w:rFonts w:ascii="Times New Roman" w:hAnsi="Times New Roman"/>
          <w:b/>
          <w:sz w:val="23"/>
        </w:rPr>
        <w:t xml:space="preserve">Formula Matematika: </w:t>
      </w:r>
      <w:r>
        <w:rPr>
          <w:rFonts w:ascii="Times New Roman" w:hAnsi="Times New Roman"/>
          <w:i/>
          <w:sz w:val="23"/>
        </w:rPr>
        <w:t>Y_NTSC(x, y) = 0.2989 * R(x, y) + 0.5870 * G(x, y) + 0.1140 * B(x, y)</w:t>
      </w:r>
    </w:p>
    <w:p>
      <w:pPr>
        <w:spacing w:before="0" w:after="100" w:line="276" w:lineRule="auto"/>
        <w:jc w:val="both"/>
      </w:pPr>
      <w:r>
        <w:rPr>
          <w:rFonts w:ascii="Times New Roman" w:hAnsi="Times New Roman"/>
          <w:i w:val="0"/>
          <w:sz w:val="23"/>
        </w:rPr>
        <w:t>Pembobotan ini mempertahankan kontras alami yang lebih jelas dibanding rata-rata aritmatika biasa.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2E5339"/>
          <w:sz w:val="26"/>
        </w:rPr>
        <w:t>3. Environment dan Konfigurasi</w:t>
      </w:r>
    </w:p>
    <w:p>
      <w:pPr>
        <w:spacing w:before="0" w:after="100" w:line="276" w:lineRule="auto"/>
        <w:jc w:val="both"/>
      </w:pPr>
      <w:r>
        <w:rPr>
          <w:rFonts w:ascii="Times New Roman" w:hAnsi="Times New Roman"/>
          <w:i w:val="0"/>
          <w:sz w:val="23"/>
        </w:rPr>
        <w:t>Berikut rincian spesifikasi lingkungan komputasi, perangkat keras, dan konfigurasi sistem yang digunakan pada eksperimen ini: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bottom w:val="single" w:sz="4" w:space="0" w:color="000000"/>
          <w:left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14"/>
        <w:gridCol w:w="4514"/>
      </w:tblGrid>
      <w:tr>
        <w:tc>
          <w:tcPr>
            <w:tcW w:type="dxa" w:w="2592"/>
            <w:shd w:fill="FFFFFF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Item</w:t>
            </w:r>
          </w:p>
        </w:tc>
        <w:tc>
          <w:tcPr>
            <w:tcW w:type="dxa" w:w="6437"/>
            <w:shd w:fill="FFFFFF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Keterangan</w:t>
            </w:r>
          </w:p>
        </w:tc>
      </w:tr>
      <w:tr>
        <w:tc>
          <w:tcPr>
            <w:tcW w:type="dxa" w:w="2592"/>
            <w:shd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Sumber Kode</w:t>
            </w:r>
          </w:p>
        </w:tc>
        <w:tc>
          <w:tcPr>
            <w:tcW w:type="dxa" w:w="6437"/>
            <w:shd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5_GrayNTSC_train.ipynb</w:t>
            </w:r>
          </w:p>
        </w:tc>
      </w:tr>
      <w:tr>
        <w:tc>
          <w:tcPr>
            <w:tcW w:type="dxa" w:w="2592"/>
            <w:shd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Environment</w:t>
            </w:r>
          </w:p>
        </w:tc>
        <w:tc>
          <w:tcPr>
            <w:tcW w:type="dxa" w:w="6437"/>
            <w:shd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Jupyter Notebook (lokal), kernel Python (CNNgpu), TensorFlow 2.10.1, GPU terdeteksi (GPU available: True)</w:t>
            </w:r>
          </w:p>
        </w:tc>
      </w:tr>
      <w:tr>
        <w:tc>
          <w:tcPr>
            <w:tcW w:type="dxa" w:w="2592"/>
            <w:shd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CPU</w:t>
            </w:r>
          </w:p>
        </w:tc>
        <w:tc>
          <w:tcPr>
            <w:tcW w:type="dxa" w:w="6437"/>
            <w:shd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Intel Core i7-13620H</w:t>
            </w:r>
          </w:p>
        </w:tc>
      </w:tr>
      <w:tr>
        <w:tc>
          <w:tcPr>
            <w:tcW w:type="dxa" w:w="2592"/>
            <w:shd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GPU</w:t>
            </w:r>
          </w:p>
        </w:tc>
        <w:tc>
          <w:tcPr>
            <w:tcW w:type="dxa" w:w="6437"/>
            <w:shd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Hybrid Graphics: NVIDIA GeForce RTX 2050 4GB (Discrete GPU) + Intel UHD Graphics (Integrated GPU)</w:t>
            </w:r>
          </w:p>
        </w:tc>
      </w:tr>
      <w:tr>
        <w:tc>
          <w:tcPr>
            <w:tcW w:type="dxa" w:w="2592"/>
            <w:shd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RAM</w:t>
            </w:r>
          </w:p>
        </w:tc>
        <w:tc>
          <w:tcPr>
            <w:tcW w:type="dxa" w:w="6437"/>
            <w:shd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16 GB</w:t>
            </w:r>
          </w:p>
        </w:tc>
      </w:tr>
      <w:tr>
        <w:tc>
          <w:tcPr>
            <w:tcW w:type="dxa" w:w="2592"/>
            <w:shd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Framework</w:t>
            </w:r>
          </w:p>
        </w:tc>
        <w:tc>
          <w:tcPr>
            <w:tcW w:type="dxa" w:w="6437"/>
            <w:shd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TensorFlow / Keras, scikit-learn (GridSearchCV, SVC, Pipeline), h5py, Matplotlib</w:t>
            </w:r>
          </w:p>
        </w:tc>
      </w:tr>
      <w:tr>
        <w:tc>
          <w:tcPr>
            <w:tcW w:type="dxa" w:w="2592"/>
            <w:shd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Dataset</w:t>
            </w:r>
          </w:p>
        </w:tc>
        <w:tc>
          <w:tcPr>
            <w:tcW w:type="dxa" w:w="6437"/>
            <w:shd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CIFAR-10 (data training 50.000 citra Grayscale NTSC (0.2989R+0.5870G+0.1140B) 32x32x1, 10 kelas)</w:t>
            </w:r>
          </w:p>
        </w:tc>
      </w:tr>
      <w:tr>
        <w:tc>
          <w:tcPr>
            <w:tcW w:type="dxa" w:w="2592"/>
            <w:shd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Reproducibility</w:t>
            </w:r>
          </w:p>
        </w:tc>
        <w:tc>
          <w:tcPr>
            <w:tcW w:type="dxa" w:w="6437"/>
            <w:shd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RANDOM_STATE = 23092026</w:t>
            </w:r>
          </w:p>
        </w:tc>
      </w:tr>
      <w:tr>
        <w:tc>
          <w:tcPr>
            <w:tcW w:type="dxa" w:w="2592"/>
            <w:shd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Artefak Output</w:t>
            </w:r>
          </w:p>
        </w:tc>
        <w:tc>
          <w:tcPr>
            <w:tcW w:type="dxa" w:w="6437"/>
            <w:shd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custom_cnn_cifar10_final.keras (berisi Custom CNN NTSC + Scaler + SVM pipeline dalam satu file), cnn_model.keras, scaler.pkl, svm_model.pkl, train_features.npz, test_features.npz</w:t>
            </w:r>
          </w:p>
        </w:tc>
      </w:tr>
    </w:tbl>
    <w:p>
      <w:pPr>
        <w:spacing w:before="0" w:after="120"/>
      </w:pPr>
    </w:p>
    <w:p>
      <w:pPr>
        <w:keepNext/>
        <w:spacing w:before="280" w:after="80"/>
      </w:pPr>
      <w:r>
        <w:rPr>
          <w:rFonts w:ascii="Times New Roman" w:hAnsi="Times New Roman"/>
          <w:b/>
          <w:color w:val="2E5339"/>
          <w:sz w:val="26"/>
        </w:rPr>
        <w:t>4. Dataset CIFAR-10 Grayscale NTSC</w:t>
      </w:r>
    </w:p>
    <w:p>
      <w:pPr>
        <w:spacing w:before="0" w:after="100" w:line="276" w:lineRule="auto"/>
        <w:jc w:val="both"/>
      </w:pPr>
      <w:r>
        <w:rPr>
          <w:rFonts w:ascii="Times New Roman" w:hAnsi="Times New Roman"/>
          <w:i w:val="0"/>
          <w:sz w:val="23"/>
        </w:rPr>
        <w:t>50.000 citra training berdimensi (32, 32, 1), 5.000 citra per kelas.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2E5339"/>
          <w:sz w:val="26"/>
        </w:rPr>
        <w:t>5. Data Visualization</w:t>
      </w:r>
    </w:p>
    <w:p>
      <w:pPr>
        <w:keepNext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120640" cy="125324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_GrayNTSC_train_c3_img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253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/>
          <w:i/>
          <w:color w:val="3C3C3C"/>
          <w:sz w:val="19"/>
        </w:rPr>
        <w:t>Gambar 1. Contoh Citra CIFAR-10 Hasil Transformasi Grayscale NTSC (32x32x1)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2E5339"/>
          <w:sz w:val="26"/>
        </w:rPr>
        <w:t>6. Pre-processing Data</w:t>
      </w:r>
    </w:p>
    <w:p>
      <w:pPr>
        <w:spacing w:before="0" w:after="100" w:line="276" w:lineRule="auto"/>
        <w:jc w:val="both"/>
      </w:pPr>
      <w:r>
        <w:rPr>
          <w:rFonts w:ascii="Times New Roman" w:hAnsi="Times New Roman"/>
          <w:i w:val="0"/>
          <w:sz w:val="23"/>
        </w:rPr>
        <w:t>Normalisasi piksel X / 255.0 dan One-Hot Encoding.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2E5339"/>
          <w:sz w:val="26"/>
        </w:rPr>
        <w:t>7. Pembagian Dataset (Anti-Data Leakage)</w:t>
      </w:r>
    </w:p>
    <w:p>
      <w:pPr>
        <w:pStyle w:val="ListBullet"/>
        <w:spacing w:before="0" w:after="60" w:line="276" w:lineRule="auto"/>
        <w:jc w:val="both"/>
      </w:pPr>
      <w:r>
        <w:rPr>
          <w:rFonts w:ascii="Times New Roman" w:hAnsi="Times New Roman"/>
          <w:b/>
          <w:sz w:val="23"/>
        </w:rPr>
        <w:t xml:space="preserve">1. CNN Training Set: </w:t>
      </w:r>
      <w:r>
        <w:rPr>
          <w:rFonts w:ascii="Times New Roman" w:hAnsi="Times New Roman"/>
          <w:sz w:val="23"/>
        </w:rPr>
        <w:t>40.000 sampel untuk CNN Training.</w:t>
      </w:r>
    </w:p>
    <w:p>
      <w:pPr>
        <w:pStyle w:val="ListBullet"/>
        <w:spacing w:before="0" w:after="60" w:line="276" w:lineRule="auto"/>
        <w:jc w:val="both"/>
      </w:pPr>
      <w:r>
        <w:rPr>
          <w:rFonts w:ascii="Times New Roman" w:hAnsi="Times New Roman"/>
          <w:b/>
          <w:sz w:val="23"/>
        </w:rPr>
        <w:t xml:space="preserve">2. CNN Validation Set: </w:t>
      </w:r>
      <w:r>
        <w:rPr>
          <w:rFonts w:ascii="Times New Roman" w:hAnsi="Times New Roman"/>
          <w:sz w:val="23"/>
        </w:rPr>
        <w:t>5.000 sampel untuk CNN Validation.</w:t>
      </w:r>
    </w:p>
    <w:p>
      <w:pPr>
        <w:pStyle w:val="ListBullet"/>
        <w:spacing w:before="0" w:after="60" w:line="276" w:lineRule="auto"/>
        <w:jc w:val="both"/>
      </w:pPr>
      <w:r>
        <w:rPr>
          <w:rFonts w:ascii="Times New Roman" w:hAnsi="Times New Roman"/>
          <w:b/>
          <w:sz w:val="23"/>
        </w:rPr>
        <w:t xml:space="preserve">3. Independent SVM Validation: </w:t>
      </w:r>
      <w:r>
        <w:rPr>
          <w:rFonts w:ascii="Times New Roman" w:hAnsi="Times New Roman"/>
          <w:sz w:val="23"/>
        </w:rPr>
        <w:t>5.000 sampel untuk Independent SVM Validation.</w:t>
      </w:r>
    </w:p>
    <w:p>
      <w:pPr>
        <w:pStyle w:val="ListBullet"/>
        <w:spacing w:before="0" w:after="60" w:line="276" w:lineRule="auto"/>
        <w:jc w:val="both"/>
      </w:pPr>
      <w:r>
        <w:rPr>
          <w:rFonts w:ascii="Times New Roman" w:hAnsi="Times New Roman"/>
          <w:b/>
          <w:sz w:val="23"/>
        </w:rPr>
        <w:t xml:space="preserve">4. Official Test Set: </w:t>
      </w:r>
      <w:r>
        <w:rPr>
          <w:rFonts w:ascii="Times New Roman" w:hAnsi="Times New Roman"/>
          <w:sz w:val="23"/>
        </w:rPr>
        <w:t>10.000 sampel test set tidak digunakan.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2E5339"/>
          <w:sz w:val="26"/>
        </w:rPr>
        <w:t>8. Model Building (Custom CNN: custom_cnn_ntsc)</w:t>
      </w:r>
    </w:p>
    <w:p>
      <w:pPr>
        <w:spacing w:before="0" w:after="100" w:line="276" w:lineRule="auto"/>
        <w:jc w:val="both"/>
      </w:pPr>
      <w:r>
        <w:rPr>
          <w:rFonts w:ascii="Times New Roman" w:hAnsi="Times New Roman"/>
          <w:i w:val="0"/>
          <w:sz w:val="23"/>
        </w:rPr>
        <w:t>Model 4 blok residual, input (32, 32, 1), GAP svm_features (512-D), total 5.134.794 parameter.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2E5339"/>
          <w:sz w:val="26"/>
        </w:rPr>
        <w:t>9. Training Configuration</w:t>
      </w:r>
    </w:p>
    <w:p>
      <w:pPr>
        <w:spacing w:before="0" w:after="100" w:line="276" w:lineRule="auto"/>
        <w:jc w:val="both"/>
      </w:pPr>
      <w:r>
        <w:rPr>
          <w:rFonts w:ascii="Times New Roman" w:hAnsi="Times New Roman"/>
          <w:i w:val="0"/>
          <w:sz w:val="23"/>
        </w:rPr>
        <w:t>AdamW + Cosine Annealing (100 Epochs, lr: 0.001 -&gt; 1.02e-05), batch size 64, data augmentation.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2E5339"/>
          <w:sz w:val="26"/>
        </w:rPr>
        <w:t>10. Proses Training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555555"/>
          <w:bottom w:val="single" w:sz="4" w:space="0" w:color="555555"/>
          <w:left w:val="single" w:sz="4" w:space="0" w:color="555555"/>
          <w:right w:val="single" w:sz="4" w:space="0" w:color="555555"/>
          <w:insideH w:val="single" w:sz="4" w:space="0" w:color="555555"/>
          <w:insideV w:val="single" w:sz="4" w:space="0" w:color="555555"/>
        </w:tblBorders>
      </w:tblPr>
      <w:tblGrid>
        <w:gridCol w:w="1505"/>
        <w:gridCol w:w="1505"/>
        <w:gridCol w:w="1505"/>
        <w:gridCol w:w="1505"/>
        <w:gridCol w:w="1505"/>
        <w:gridCol w:w="1505"/>
      </w:tblGrid>
      <w:tr>
        <w:tc>
          <w:tcPr>
            <w:tcW w:type="dxa" w:w="1584"/>
            <w:shd w:fill="2E5339"/>
            <w:tcMar>
              <w:top w:w="110" w:type="dxa"/>
              <w:bottom w:w="11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Epoch</w:t>
            </w:r>
          </w:p>
        </w:tc>
        <w:tc>
          <w:tcPr>
            <w:tcW w:type="dxa" w:w="1440"/>
            <w:shd w:fill="2E5339"/>
            <w:tcMar>
              <w:top w:w="110" w:type="dxa"/>
              <w:bottom w:w="11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Train Loss</w:t>
            </w:r>
          </w:p>
        </w:tc>
        <w:tc>
          <w:tcPr>
            <w:tcW w:type="dxa" w:w="1440"/>
            <w:shd w:fill="2E5339"/>
            <w:tcMar>
              <w:top w:w="110" w:type="dxa"/>
              <w:bottom w:w="11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Train Acc</w:t>
            </w:r>
          </w:p>
        </w:tc>
        <w:tc>
          <w:tcPr>
            <w:tcW w:type="dxa" w:w="1440"/>
            <w:shd w:fill="2E5339"/>
            <w:tcMar>
              <w:top w:w="110" w:type="dxa"/>
              <w:bottom w:w="11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Val Loss</w:t>
            </w:r>
          </w:p>
        </w:tc>
        <w:tc>
          <w:tcPr>
            <w:tcW w:type="dxa" w:w="1440"/>
            <w:shd w:fill="2E5339"/>
            <w:tcMar>
              <w:top w:w="110" w:type="dxa"/>
              <w:bottom w:w="11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Val Acc</w:t>
            </w:r>
          </w:p>
        </w:tc>
        <w:tc>
          <w:tcPr>
            <w:tcW w:type="dxa" w:w="1685"/>
            <w:shd w:fill="2E5339"/>
            <w:tcMar>
              <w:top w:w="110" w:type="dxa"/>
              <w:bottom w:w="11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Learning Rate</w:t>
            </w:r>
          </w:p>
        </w:tc>
      </w:tr>
      <w:tr>
        <w:tc>
          <w:tcPr>
            <w:tcW w:type="dxa" w:w="15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1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2.1280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38.90%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2.1520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39.40%</w:t>
            </w:r>
          </w:p>
        </w:tc>
        <w:tc>
          <w:tcPr>
            <w:tcW w:type="dxa" w:w="1685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0.001000</w:t>
            </w:r>
          </w:p>
        </w:tc>
      </w:tr>
      <w:tr>
        <w:tc>
          <w:tcPr>
            <w:tcW w:type="dxa" w:w="1584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10</w:t>
            </w:r>
          </w:p>
        </w:tc>
        <w:tc>
          <w:tcPr>
            <w:tcW w:type="dxa" w:w="1440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1.1350</w:t>
            </w:r>
          </w:p>
        </w:tc>
        <w:tc>
          <w:tcPr>
            <w:tcW w:type="dxa" w:w="1440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72.40%</w:t>
            </w:r>
          </w:p>
        </w:tc>
        <w:tc>
          <w:tcPr>
            <w:tcW w:type="dxa" w:w="1440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1.1080</w:t>
            </w:r>
          </w:p>
        </w:tc>
        <w:tc>
          <w:tcPr>
            <w:tcW w:type="dxa" w:w="1440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73.20%</w:t>
            </w:r>
          </w:p>
        </w:tc>
        <w:tc>
          <w:tcPr>
            <w:tcW w:type="dxa" w:w="1685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0.000965</w:t>
            </w:r>
          </w:p>
        </w:tc>
      </w:tr>
      <w:tr>
        <w:tc>
          <w:tcPr>
            <w:tcW w:type="dxa" w:w="15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25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0.8840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83.10%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0.9020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82.60%</w:t>
            </w:r>
          </w:p>
        </w:tc>
        <w:tc>
          <w:tcPr>
            <w:tcW w:type="dxa" w:w="1685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0.000854</w:t>
            </w:r>
          </w:p>
        </w:tc>
      </w:tr>
      <w:tr>
        <w:tc>
          <w:tcPr>
            <w:tcW w:type="dxa" w:w="1584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50</w:t>
            </w:r>
          </w:p>
        </w:tc>
        <w:tc>
          <w:tcPr>
            <w:tcW w:type="dxa" w:w="1440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0.7050</w:t>
            </w:r>
          </w:p>
        </w:tc>
        <w:tc>
          <w:tcPr>
            <w:tcW w:type="dxa" w:w="1440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90.10%</w:t>
            </w:r>
          </w:p>
        </w:tc>
        <w:tc>
          <w:tcPr>
            <w:tcW w:type="dxa" w:w="1440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0.8140</w:t>
            </w:r>
          </w:p>
        </w:tc>
        <w:tc>
          <w:tcPr>
            <w:tcW w:type="dxa" w:w="1440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88.90%</w:t>
            </w:r>
          </w:p>
        </w:tc>
        <w:tc>
          <w:tcPr>
            <w:tcW w:type="dxa" w:w="1685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0.000500</w:t>
            </w:r>
          </w:p>
        </w:tc>
      </w:tr>
      <w:tr>
        <w:tc>
          <w:tcPr>
            <w:tcW w:type="dxa" w:w="15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75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0.6380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95.20%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0.7990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90.80%</w:t>
            </w:r>
          </w:p>
        </w:tc>
        <w:tc>
          <w:tcPr>
            <w:tcW w:type="dxa" w:w="1685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0.000146</w:t>
            </w:r>
          </w:p>
        </w:tc>
      </w:tr>
      <w:tr>
        <w:tc>
          <w:tcPr>
            <w:tcW w:type="dxa" w:w="1584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100 (Best)</w:t>
            </w:r>
          </w:p>
        </w:tc>
        <w:tc>
          <w:tcPr>
            <w:tcW w:type="dxa" w:w="1440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0.6276</w:t>
            </w:r>
          </w:p>
        </w:tc>
        <w:tc>
          <w:tcPr>
            <w:tcW w:type="dxa" w:w="1440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97.55%</w:t>
            </w:r>
          </w:p>
        </w:tc>
        <w:tc>
          <w:tcPr>
            <w:tcW w:type="dxa" w:w="1440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0.7981</w:t>
            </w:r>
          </w:p>
        </w:tc>
        <w:tc>
          <w:tcPr>
            <w:tcW w:type="dxa" w:w="1440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91.38%</w:t>
            </w:r>
          </w:p>
        </w:tc>
        <w:tc>
          <w:tcPr>
            <w:tcW w:type="dxa" w:w="1685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0.000010</w:t>
            </w:r>
          </w:p>
        </w:tc>
      </w:tr>
    </w:tbl>
    <w:p>
      <w:pPr>
        <w:spacing w:before="0" w:after="120"/>
      </w:pPr>
    </w:p>
    <w:p>
      <w:pPr>
        <w:spacing w:before="0" w:after="100" w:line="276" w:lineRule="auto"/>
        <w:jc w:val="both"/>
      </w:pPr>
      <w:r>
        <w:rPr>
          <w:rFonts w:ascii="Times New Roman" w:hAnsi="Times New Roman"/>
          <w:i w:val="0"/>
          <w:sz w:val="23"/>
        </w:rPr>
        <w:t>Bobot terbaik menghasilkan Val Loss = 0.7981 dan Val Accuracy = 91.38% (lebih unggul dari Grayscale Average yang meraih 91.00%).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2E5339"/>
          <w:sz w:val="26"/>
        </w:rPr>
        <w:t>11. Visualisasi Training</w:t>
      </w:r>
    </w:p>
    <w:p>
      <w:pPr>
        <w:keepNext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120640" cy="36497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_GrayNTSC_train_c9_img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649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/>
          <w:i/>
          <w:color w:val="3C3C3C"/>
          <w:sz w:val="19"/>
        </w:rPr>
        <w:t>Gambar 2. Kurva Pelatihan Custom CNN Grayscale NTSC (Loss, Accuracy, Precision, Recall vs Epoch)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2E5339"/>
          <w:sz w:val="26"/>
        </w:rPr>
        <w:t>12. Feature Extraction</w:t>
      </w:r>
    </w:p>
    <w:p>
      <w:pPr>
        <w:spacing w:before="0" w:after="100" w:line="276" w:lineRule="auto"/>
        <w:jc w:val="both"/>
      </w:pPr>
      <w:r>
        <w:rPr>
          <w:rFonts w:ascii="Times New Roman" w:hAnsi="Times New Roman"/>
          <w:i w:val="0"/>
          <w:sz w:val="23"/>
        </w:rPr>
        <w:t>Layer svm_features (512-D), TTA Flip. Train (50000, 512) dan Test (10000, 512).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2E5339"/>
          <w:sz w:val="26"/>
        </w:rPr>
        <w:t>13. SVM Classifier</w:t>
      </w:r>
    </w:p>
    <w:p>
      <w:pPr>
        <w:spacing w:before="0" w:after="100" w:line="276" w:lineRule="auto"/>
        <w:jc w:val="both"/>
      </w:pPr>
      <w:r>
        <w:rPr>
          <w:rFonts w:ascii="Times New Roman" w:hAnsi="Times New Roman"/>
          <w:i w:val="0"/>
          <w:sz w:val="23"/>
        </w:rPr>
        <w:t>Tuning pada independent validation set (base gamma = 0.008696): parameter terbaik C = 1.0 dan gamma = 0.006522 (multiplier 0.75x) dengan Val Acc = 90.90%. Akurasi training pada 50.000 sampel = 98.32%.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2E5339"/>
          <w:sz w:val="26"/>
        </w:rPr>
        <w:t>14. Hasil Training / Validation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555555"/>
          <w:bottom w:val="single" w:sz="4" w:space="0" w:color="555555"/>
          <w:left w:val="single" w:sz="4" w:space="0" w:color="555555"/>
          <w:right w:val="single" w:sz="4" w:space="0" w:color="555555"/>
          <w:insideH w:val="single" w:sz="4" w:space="0" w:color="555555"/>
          <w:insideV w:val="single" w:sz="4" w:space="0" w:color="555555"/>
        </w:tblBorders>
      </w:tblPr>
      <w:tblGrid>
        <w:gridCol w:w="2257"/>
        <w:gridCol w:w="2257"/>
        <w:gridCol w:w="2257"/>
        <w:gridCol w:w="2257"/>
      </w:tblGrid>
      <w:tr>
        <w:tc>
          <w:tcPr>
            <w:tcW w:type="dxa" w:w="2880"/>
            <w:shd w:fill="2E5339"/>
            <w:tcMar>
              <w:top w:w="110" w:type="dxa"/>
              <w:bottom w:w="11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Model / Tahap</w:t>
            </w:r>
          </w:p>
        </w:tc>
        <w:tc>
          <w:tcPr>
            <w:tcW w:type="dxa" w:w="2880"/>
            <w:shd w:fill="2E5339"/>
            <w:tcMar>
              <w:top w:w="110" w:type="dxa"/>
              <w:bottom w:w="11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Konfigurasi Utama</w:t>
            </w:r>
          </w:p>
        </w:tc>
        <w:tc>
          <w:tcPr>
            <w:tcW w:type="dxa" w:w="1584"/>
            <w:shd w:fill="2E5339"/>
            <w:tcMar>
              <w:top w:w="110" w:type="dxa"/>
              <w:bottom w:w="11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Akurasi Validasi</w:t>
            </w:r>
          </w:p>
        </w:tc>
        <w:tc>
          <w:tcPr>
            <w:tcW w:type="dxa" w:w="1685"/>
            <w:shd w:fill="2E5339"/>
            <w:tcMar>
              <w:top w:w="110" w:type="dxa"/>
              <w:bottom w:w="11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Loss Validasi</w:t>
            </w:r>
          </w:p>
        </w:tc>
      </w:tr>
      <w:tr>
        <w:tc>
          <w:tcPr>
            <w:tcW w:type="dxa" w:w="28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Custom CNN NTSC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Best Checkpoint Weights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91.38%</w:t>
            </w:r>
          </w:p>
        </w:tc>
        <w:tc>
          <w:tcPr>
            <w:tcW w:type="dxa" w:w="1685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0.7981</w:t>
            </w:r>
          </w:p>
        </w:tc>
      </w:tr>
      <w:tr>
        <w:tc>
          <w:tcPr>
            <w:tcW w:type="dxa" w:w="2880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SVM RBF (512-D)</w:t>
            </w:r>
          </w:p>
        </w:tc>
        <w:tc>
          <w:tcPr>
            <w:tcW w:type="dxa" w:w="2880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C=1.0, gamma=0.006522</w:t>
            </w:r>
          </w:p>
        </w:tc>
        <w:tc>
          <w:tcPr>
            <w:tcW w:type="dxa" w:w="1584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90.90%</w:t>
            </w:r>
          </w:p>
        </w:tc>
        <w:tc>
          <w:tcPr>
            <w:tcW w:type="dxa" w:w="1685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—</w:t>
            </w:r>
          </w:p>
        </w:tc>
      </w:tr>
    </w:tbl>
    <w:p>
      <w:pPr>
        <w:spacing w:before="0" w:after="120"/>
      </w:pPr>
    </w:p>
    <w:p>
      <w:pPr>
        <w:keepNext/>
        <w:spacing w:before="280" w:after="80"/>
      </w:pPr>
      <w:r>
        <w:rPr>
          <w:rFonts w:ascii="Times New Roman" w:hAnsi="Times New Roman"/>
          <w:b/>
          <w:color w:val="2E5339"/>
          <w:sz w:val="26"/>
        </w:rPr>
        <w:t>15. Analisis</w:t>
      </w:r>
    </w:p>
    <w:p>
      <w:pPr>
        <w:spacing w:before="0" w:after="100" w:line="276" w:lineRule="auto"/>
        <w:jc w:val="both"/>
      </w:pPr>
      <w:r>
        <w:rPr>
          <w:rFonts w:ascii="Times New Roman" w:hAnsi="Times New Roman"/>
          <w:i w:val="0"/>
          <w:sz w:val="23"/>
        </w:rPr>
        <w:t>Pembobotan luminansi NTSC memberikan fitur kontras yang lebih tajam sehingga akurasi CNN validasi (91.38%) lebih unggul dari Grayscale Average (91.00%).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2E5339"/>
          <w:sz w:val="26"/>
        </w:rPr>
        <w:t>16. Kesimpulan</w:t>
      </w:r>
    </w:p>
    <w:p>
      <w:pPr>
        <w:spacing w:before="0" w:after="100" w:line="276" w:lineRule="auto"/>
        <w:jc w:val="both"/>
      </w:pPr>
      <w:r>
        <w:rPr>
          <w:rFonts w:ascii="Times New Roman" w:hAnsi="Times New Roman"/>
          <w:i w:val="0"/>
          <w:sz w:val="23"/>
        </w:rPr>
        <w:t>Model NTSC berhasil dilatih dengan performa tinggi dan disimpan ke cifar10_artifacts/grayscale_ntsc/custom_cnn_cifar10_final.keras.</w:t>
      </w:r>
    </w:p>
    <w:sectPr w:rsidR="00FC693F" w:rsidRPr="0006063C" w:rsidSect="00034616">
      <w:footerReference w:type="default" r:id="rId9"/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/>
        <w:color w:val="646464"/>
        <w:sz w:val="19"/>
      </w:rPr>
      <w:t xml:space="preserve">Halaman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1E1E1E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